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4B" w:rsidRDefault="003F4A4B" w:rsidP="00BB3C0A">
      <w:pPr>
        <w:spacing w:before="240" w:after="240"/>
        <w:ind w:left="-709"/>
        <w:rPr>
          <w:rFonts w:cs="Arial"/>
          <w:b/>
          <w:color w:val="1F497D" w:themeColor="text2"/>
          <w:sz w:val="32"/>
          <w:szCs w:val="32"/>
        </w:rPr>
      </w:pPr>
      <w:bookmarkStart w:id="0" w:name="_GoBack"/>
      <w:bookmarkEnd w:id="0"/>
      <w:r>
        <w:rPr>
          <w:rFonts w:cs="Arial"/>
          <w:b/>
          <w:noProof/>
          <w:color w:val="1F497D" w:themeColor="text2"/>
          <w:sz w:val="32"/>
          <w:szCs w:val="32"/>
          <w:lang w:eastAsia="en-AU"/>
        </w:rPr>
        <w:drawing>
          <wp:inline distT="0" distB="0" distL="0" distR="0">
            <wp:extent cx="5491480" cy="1037590"/>
            <wp:effectExtent l="0" t="0" r="0" b="0"/>
            <wp:docPr id="1" name="Picture 1" descr="C:\Users\82181246\Desktop\Criteria second 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2181246\Desktop\Criteria second edi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1480" cy="1037590"/>
                    </a:xfrm>
                    <a:prstGeom prst="rect">
                      <a:avLst/>
                    </a:prstGeom>
                    <a:noFill/>
                    <a:ln>
                      <a:noFill/>
                    </a:ln>
                  </pic:spPr>
                </pic:pic>
              </a:graphicData>
            </a:graphic>
          </wp:inline>
        </w:drawing>
      </w:r>
    </w:p>
    <w:p w:rsidR="005D342B" w:rsidRPr="003F4A4B" w:rsidRDefault="005D342B" w:rsidP="003F4A4B">
      <w:pPr>
        <w:ind w:left="-709"/>
        <w:rPr>
          <w:rFonts w:cs="Arial"/>
          <w:b/>
          <w:color w:val="0070C0"/>
          <w:sz w:val="32"/>
          <w:szCs w:val="32"/>
        </w:rPr>
      </w:pPr>
      <w:r w:rsidRPr="003F4A4B">
        <w:rPr>
          <w:rFonts w:cs="Arial"/>
          <w:b/>
          <w:color w:val="0070C0"/>
          <w:sz w:val="32"/>
          <w:szCs w:val="32"/>
        </w:rPr>
        <w:t xml:space="preserve">Summary of Key Changes to the </w:t>
      </w:r>
    </w:p>
    <w:p w:rsidR="003F4A4B" w:rsidRDefault="005D342B" w:rsidP="003F4A4B">
      <w:pPr>
        <w:ind w:left="-709"/>
        <w:rPr>
          <w:rFonts w:cs="Arial"/>
          <w:b/>
          <w:i/>
          <w:color w:val="0070C0"/>
          <w:sz w:val="32"/>
          <w:szCs w:val="32"/>
        </w:rPr>
      </w:pPr>
      <w:r w:rsidRPr="003F4A4B">
        <w:rPr>
          <w:rFonts w:cs="Arial"/>
          <w:b/>
          <w:i/>
          <w:color w:val="0070C0"/>
          <w:sz w:val="32"/>
          <w:szCs w:val="32"/>
        </w:rPr>
        <w:t xml:space="preserve">Criteria for the clinical use of intravenous immunoglobulin </w:t>
      </w:r>
    </w:p>
    <w:p w:rsidR="005D342B" w:rsidRPr="003F4A4B" w:rsidRDefault="005D342B" w:rsidP="003F4A4B">
      <w:pPr>
        <w:ind w:left="-709"/>
        <w:rPr>
          <w:rFonts w:cs="Arial"/>
          <w:b/>
          <w:color w:val="0070C0"/>
          <w:sz w:val="32"/>
          <w:szCs w:val="32"/>
        </w:rPr>
      </w:pPr>
      <w:proofErr w:type="gramStart"/>
      <w:r w:rsidRPr="003F4A4B">
        <w:rPr>
          <w:rFonts w:cs="Arial"/>
          <w:b/>
          <w:i/>
          <w:color w:val="0070C0"/>
          <w:sz w:val="32"/>
          <w:szCs w:val="32"/>
        </w:rPr>
        <w:t>in</w:t>
      </w:r>
      <w:proofErr w:type="gramEnd"/>
      <w:r w:rsidRPr="003F4A4B">
        <w:rPr>
          <w:rFonts w:cs="Arial"/>
          <w:b/>
          <w:i/>
          <w:color w:val="0070C0"/>
          <w:sz w:val="32"/>
          <w:szCs w:val="32"/>
        </w:rPr>
        <w:t xml:space="preserve"> Australia </w:t>
      </w:r>
      <w:r w:rsidRPr="003F4A4B">
        <w:rPr>
          <w:rFonts w:cs="Arial"/>
          <w:b/>
          <w:color w:val="0070C0"/>
          <w:sz w:val="32"/>
          <w:szCs w:val="32"/>
        </w:rPr>
        <w:t>Second Edition</w:t>
      </w:r>
      <w:r w:rsidRPr="003F4A4B" w:rsidDel="005D342B">
        <w:rPr>
          <w:rFonts w:cs="Arial"/>
          <w:b/>
          <w:color w:val="0070C0"/>
          <w:sz w:val="32"/>
          <w:szCs w:val="32"/>
        </w:rPr>
        <w:t xml:space="preserve"> </w:t>
      </w:r>
    </w:p>
    <w:p w:rsidR="00410231" w:rsidRPr="003F4A4B" w:rsidRDefault="00410231" w:rsidP="00BB3C0A">
      <w:pPr>
        <w:spacing w:before="240" w:after="240"/>
        <w:ind w:left="-709"/>
        <w:rPr>
          <w:rFonts w:cs="Arial"/>
          <w:b/>
          <w:color w:val="0070C0"/>
          <w:sz w:val="22"/>
          <w:szCs w:val="22"/>
        </w:rPr>
      </w:pPr>
      <w:r w:rsidRPr="003F4A4B">
        <w:rPr>
          <w:rFonts w:cs="Arial"/>
          <w:b/>
          <w:color w:val="0070C0"/>
          <w:sz w:val="22"/>
          <w:szCs w:val="22"/>
        </w:rPr>
        <w:t xml:space="preserve">Indications </w:t>
      </w:r>
      <w:r w:rsidR="006D3AE5" w:rsidRPr="003F4A4B">
        <w:rPr>
          <w:rFonts w:cs="Arial"/>
          <w:b/>
          <w:color w:val="0070C0"/>
          <w:sz w:val="22"/>
          <w:szCs w:val="22"/>
        </w:rPr>
        <w:t xml:space="preserve">that have been </w:t>
      </w:r>
      <w:r w:rsidRPr="003F4A4B">
        <w:rPr>
          <w:rFonts w:cs="Arial"/>
          <w:b/>
          <w:color w:val="0070C0"/>
          <w:sz w:val="22"/>
          <w:szCs w:val="22"/>
        </w:rPr>
        <w:t xml:space="preserve">removed from the </w:t>
      </w:r>
      <w:r w:rsidR="00BB3C0A" w:rsidRPr="003F4A4B">
        <w:rPr>
          <w:rFonts w:cs="Arial"/>
          <w:b/>
          <w:color w:val="0070C0"/>
          <w:sz w:val="22"/>
          <w:szCs w:val="22"/>
        </w:rPr>
        <w:t xml:space="preserve">IVIg </w:t>
      </w:r>
      <w:r w:rsidRPr="003F4A4B">
        <w:rPr>
          <w:rFonts w:cs="Arial"/>
          <w:b/>
          <w:color w:val="0070C0"/>
          <w:sz w:val="22"/>
          <w:szCs w:val="22"/>
        </w:rPr>
        <w:t xml:space="preserve">Criteria </w:t>
      </w:r>
    </w:p>
    <w:tbl>
      <w:tblPr>
        <w:tblW w:w="10348" w:type="dxa"/>
        <w:tblInd w:w="-601" w:type="dxa"/>
        <w:tblLook w:val="00A0" w:firstRow="1" w:lastRow="0" w:firstColumn="1" w:lastColumn="0" w:noHBand="0" w:noVBand="0"/>
      </w:tblPr>
      <w:tblGrid>
        <w:gridCol w:w="972"/>
        <w:gridCol w:w="3423"/>
        <w:gridCol w:w="5953"/>
      </w:tblGrid>
      <w:tr w:rsidR="00410231" w:rsidRPr="007B08DE" w:rsidTr="003F4A4B">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Ch</w:t>
            </w:r>
            <w:r w:rsidR="006D3AE5" w:rsidRPr="00BB3C0A">
              <w:rPr>
                <w:rFonts w:cs="Arial"/>
                <w:b/>
                <w:bCs/>
                <w:color w:val="FFFFFF" w:themeColor="background1"/>
              </w:rPr>
              <w:t>apter</w:t>
            </w:r>
          </w:p>
        </w:tc>
        <w:tc>
          <w:tcPr>
            <w:tcW w:w="3423" w:type="dxa"/>
            <w:tcBorders>
              <w:top w:val="single" w:sz="4" w:space="0" w:color="auto"/>
              <w:left w:val="nil"/>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Indication</w:t>
            </w:r>
          </w:p>
        </w:tc>
        <w:tc>
          <w:tcPr>
            <w:tcW w:w="5953" w:type="dxa"/>
            <w:tcBorders>
              <w:top w:val="single" w:sz="4" w:space="0" w:color="auto"/>
              <w:left w:val="nil"/>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 xml:space="preserve">Change </w:t>
            </w:r>
          </w:p>
        </w:tc>
      </w:tr>
      <w:tr w:rsidR="00410231" w:rsidRPr="007B08DE" w:rsidTr="0061264B">
        <w:trPr>
          <w:trHeight w:val="780"/>
        </w:trPr>
        <w:tc>
          <w:tcPr>
            <w:tcW w:w="972" w:type="dxa"/>
            <w:tcBorders>
              <w:top w:val="nil"/>
              <w:left w:val="single" w:sz="4" w:space="0" w:color="auto"/>
              <w:bottom w:val="single" w:sz="4" w:space="0" w:color="auto"/>
              <w:right w:val="single" w:sz="4" w:space="0" w:color="auto"/>
            </w:tcBorders>
            <w:shd w:val="clear" w:color="000000" w:fill="FFFFFF"/>
            <w:noWrap/>
            <w:vAlign w:val="center"/>
          </w:tcPr>
          <w:p w:rsidR="00410231" w:rsidRPr="007B08DE" w:rsidRDefault="00410231" w:rsidP="0061264B">
            <w:pPr>
              <w:rPr>
                <w:rFonts w:cs="Arial"/>
                <w:color w:val="000000"/>
              </w:rPr>
            </w:pPr>
            <w:r w:rsidRPr="007B08DE">
              <w:rPr>
                <w:rFonts w:cs="Arial"/>
                <w:color w:val="000000"/>
              </w:rPr>
              <w:t>6</w:t>
            </w:r>
          </w:p>
        </w:tc>
        <w:tc>
          <w:tcPr>
            <w:tcW w:w="3423" w:type="dxa"/>
            <w:tcBorders>
              <w:top w:val="nil"/>
              <w:left w:val="nil"/>
              <w:bottom w:val="single" w:sz="4" w:space="0" w:color="auto"/>
              <w:right w:val="single" w:sz="4" w:space="0" w:color="auto"/>
            </w:tcBorders>
            <w:shd w:val="clear" w:color="000000" w:fill="FFFFFF"/>
            <w:vAlign w:val="center"/>
          </w:tcPr>
          <w:p w:rsidR="00410231" w:rsidRPr="007B08DE" w:rsidRDefault="00410231" w:rsidP="0061264B">
            <w:pPr>
              <w:rPr>
                <w:rFonts w:cs="Arial"/>
                <w:color w:val="000000"/>
              </w:rPr>
            </w:pPr>
            <w:proofErr w:type="spellStart"/>
            <w:r w:rsidRPr="007B08DE">
              <w:rPr>
                <w:rFonts w:cs="Arial"/>
                <w:color w:val="000000"/>
              </w:rPr>
              <w:t>Haemopoietic</w:t>
            </w:r>
            <w:proofErr w:type="spellEnd"/>
            <w:r w:rsidRPr="007B08DE">
              <w:rPr>
                <w:rFonts w:cs="Arial"/>
                <w:color w:val="000000"/>
              </w:rPr>
              <w:t xml:space="preserve"> stem cell transplantation (HSCT) for prevention of </w:t>
            </w:r>
            <w:proofErr w:type="spellStart"/>
            <w:r w:rsidRPr="007B08DE">
              <w:rPr>
                <w:rFonts w:cs="Arial"/>
                <w:color w:val="000000"/>
              </w:rPr>
              <w:t>GvHD</w:t>
            </w:r>
            <w:proofErr w:type="spellEnd"/>
            <w:r w:rsidRPr="007B08DE">
              <w:rPr>
                <w:rFonts w:cs="Arial"/>
                <w:color w:val="000000"/>
              </w:rPr>
              <w:t xml:space="preserve"> in high risk Allogeneic HSCT</w:t>
            </w:r>
          </w:p>
        </w:tc>
        <w:tc>
          <w:tcPr>
            <w:tcW w:w="5953" w:type="dxa"/>
            <w:tcBorders>
              <w:top w:val="nil"/>
              <w:left w:val="nil"/>
              <w:bottom w:val="single" w:sz="4" w:space="0" w:color="auto"/>
              <w:right w:val="single" w:sz="4" w:space="0" w:color="auto"/>
            </w:tcBorders>
            <w:shd w:val="clear" w:color="000000" w:fill="FFFFFF"/>
            <w:vAlign w:val="center"/>
          </w:tcPr>
          <w:p w:rsidR="00BB3C0A" w:rsidRDefault="00BB3C0A" w:rsidP="0061264B">
            <w:pPr>
              <w:spacing w:before="120" w:after="120"/>
              <w:rPr>
                <w:rFonts w:cs="Arial"/>
              </w:rPr>
            </w:pPr>
            <w:r>
              <w:rPr>
                <w:rFonts w:cs="Arial"/>
              </w:rPr>
              <w:t>The removal of the indication is based on t</w:t>
            </w:r>
            <w:r w:rsidRPr="003D2D47">
              <w:rPr>
                <w:rFonts w:cs="Arial"/>
              </w:rPr>
              <w:t>he latest published clinical literature</w:t>
            </w:r>
            <w:r>
              <w:rPr>
                <w:rFonts w:cs="Arial"/>
              </w:rPr>
              <w:t>,</w:t>
            </w:r>
            <w:r w:rsidRPr="003D2D47">
              <w:rPr>
                <w:rFonts w:cs="Arial"/>
              </w:rPr>
              <w:t xml:space="preserve"> </w:t>
            </w:r>
            <w:r>
              <w:rPr>
                <w:rFonts w:cs="Arial"/>
              </w:rPr>
              <w:t xml:space="preserve">which </w:t>
            </w:r>
            <w:r w:rsidRPr="003D2D47">
              <w:rPr>
                <w:rFonts w:cs="Arial"/>
              </w:rPr>
              <w:t xml:space="preserve">concludes that the routine prophylactic treatment of </w:t>
            </w:r>
            <w:r>
              <w:rPr>
                <w:rFonts w:cs="Arial"/>
              </w:rPr>
              <w:t>HSCT</w:t>
            </w:r>
            <w:r w:rsidRPr="003D2D47">
              <w:rPr>
                <w:rFonts w:cs="Arial"/>
              </w:rPr>
              <w:t xml:space="preserve"> with IVIg is not supported in the absence of </w:t>
            </w:r>
            <w:proofErr w:type="spellStart"/>
            <w:r w:rsidRPr="003D2D47">
              <w:rPr>
                <w:rFonts w:cs="Arial"/>
              </w:rPr>
              <w:t>hypogammaglobulinaemia</w:t>
            </w:r>
            <w:proofErr w:type="spellEnd"/>
            <w:r w:rsidRPr="003D2D47">
              <w:rPr>
                <w:rFonts w:cs="Arial"/>
              </w:rPr>
              <w:t xml:space="preserve">. </w:t>
            </w:r>
          </w:p>
          <w:p w:rsidR="00410231" w:rsidRDefault="00410231" w:rsidP="002D7EFE">
            <w:pPr>
              <w:spacing w:before="120" w:after="120"/>
              <w:rPr>
                <w:rFonts w:cs="Arial"/>
                <w:color w:val="000000"/>
              </w:rPr>
            </w:pPr>
            <w:r>
              <w:rPr>
                <w:rFonts w:cs="Arial"/>
                <w:color w:val="000000"/>
              </w:rPr>
              <w:t>Patient</w:t>
            </w:r>
            <w:r w:rsidR="00BB3C0A">
              <w:rPr>
                <w:rFonts w:cs="Arial"/>
                <w:color w:val="000000"/>
              </w:rPr>
              <w:t>s</w:t>
            </w:r>
            <w:r>
              <w:rPr>
                <w:rFonts w:cs="Arial"/>
                <w:color w:val="000000"/>
              </w:rPr>
              <w:t xml:space="preserve"> with </w:t>
            </w:r>
            <w:proofErr w:type="spellStart"/>
            <w:r>
              <w:rPr>
                <w:rFonts w:cs="Arial"/>
                <w:color w:val="000000"/>
              </w:rPr>
              <w:t>hypogammaglobulinaemia</w:t>
            </w:r>
            <w:proofErr w:type="spellEnd"/>
            <w:r>
              <w:rPr>
                <w:rFonts w:cs="Arial"/>
                <w:color w:val="000000"/>
              </w:rPr>
              <w:t xml:space="preserve"> may still be eligible to receive IVIg under the </w:t>
            </w:r>
            <w:r w:rsidR="00782EFB">
              <w:rPr>
                <w:rFonts w:cs="Arial"/>
                <w:color w:val="000000"/>
              </w:rPr>
              <w:t>acquired</w:t>
            </w:r>
            <w:r>
              <w:rPr>
                <w:rFonts w:cs="Arial"/>
                <w:color w:val="000000"/>
              </w:rPr>
              <w:t xml:space="preserve"> </w:t>
            </w:r>
            <w:proofErr w:type="spellStart"/>
            <w:r>
              <w:rPr>
                <w:rFonts w:cs="Arial"/>
                <w:color w:val="000000"/>
              </w:rPr>
              <w:t>hypogammaglobulinaemia</w:t>
            </w:r>
            <w:proofErr w:type="spellEnd"/>
            <w:r>
              <w:rPr>
                <w:rFonts w:cs="Arial"/>
                <w:color w:val="000000"/>
              </w:rPr>
              <w:t xml:space="preserve"> indication.</w:t>
            </w:r>
          </w:p>
          <w:p w:rsidR="005D342B" w:rsidRPr="007B08DE" w:rsidRDefault="005D342B" w:rsidP="002D7EFE">
            <w:pPr>
              <w:spacing w:before="120" w:after="120"/>
              <w:rPr>
                <w:rFonts w:cs="Arial"/>
                <w:color w:val="000000"/>
              </w:rPr>
            </w:pPr>
            <w:r w:rsidRPr="00ED6604">
              <w:rPr>
                <w:rFonts w:cs="Arial"/>
                <w:b/>
                <w:color w:val="000000"/>
                <w:szCs w:val="20"/>
              </w:rPr>
              <w:t>Page 148, 2007 Criteria</w:t>
            </w:r>
          </w:p>
        </w:tc>
      </w:tr>
      <w:tr w:rsidR="00410231" w:rsidRPr="007B08DE" w:rsidTr="0061264B">
        <w:trPr>
          <w:trHeight w:val="780"/>
        </w:trPr>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231" w:rsidRPr="007B08DE" w:rsidRDefault="00410231" w:rsidP="0061264B">
            <w:pPr>
              <w:rPr>
                <w:rFonts w:cs="Arial"/>
                <w:color w:val="000000"/>
              </w:rPr>
            </w:pPr>
            <w:r w:rsidRPr="007B08DE">
              <w:rPr>
                <w:rFonts w:cs="Arial"/>
                <w:color w:val="000000"/>
              </w:rPr>
              <w:t>7</w:t>
            </w:r>
          </w:p>
        </w:tc>
        <w:tc>
          <w:tcPr>
            <w:tcW w:w="3423" w:type="dxa"/>
            <w:tcBorders>
              <w:top w:val="single" w:sz="4" w:space="0" w:color="auto"/>
              <w:left w:val="nil"/>
              <w:bottom w:val="single" w:sz="4" w:space="0" w:color="auto"/>
              <w:right w:val="single" w:sz="4" w:space="0" w:color="auto"/>
            </w:tcBorders>
            <w:shd w:val="clear" w:color="000000" w:fill="FFFFFF"/>
            <w:vAlign w:val="center"/>
          </w:tcPr>
          <w:p w:rsidR="00410231" w:rsidRPr="007B08DE" w:rsidRDefault="00410231" w:rsidP="0061264B">
            <w:pPr>
              <w:rPr>
                <w:rFonts w:cs="Arial"/>
                <w:color w:val="000000"/>
              </w:rPr>
            </w:pPr>
            <w:r w:rsidRPr="007B08DE">
              <w:rPr>
                <w:rFonts w:cs="Arial"/>
                <w:color w:val="000000"/>
              </w:rPr>
              <w:t>Sepsis - neonatal</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410231" w:rsidRDefault="00BB3C0A" w:rsidP="0061264B">
            <w:pPr>
              <w:spacing w:before="120" w:after="120"/>
              <w:rPr>
                <w:rFonts w:cs="Arial"/>
                <w:szCs w:val="20"/>
              </w:rPr>
            </w:pPr>
            <w:r w:rsidRPr="00BB3C0A">
              <w:rPr>
                <w:rFonts w:cs="Arial"/>
                <w:szCs w:val="20"/>
              </w:rPr>
              <w:t xml:space="preserve">IVIg is no longer funded </w:t>
            </w:r>
            <w:r>
              <w:rPr>
                <w:rFonts w:cs="Arial"/>
                <w:szCs w:val="20"/>
              </w:rPr>
              <w:t xml:space="preserve">for </w:t>
            </w:r>
            <w:r w:rsidRPr="00BB3C0A">
              <w:rPr>
                <w:rFonts w:cs="Arial"/>
                <w:szCs w:val="20"/>
              </w:rPr>
              <w:t>the treatment of sepsis in neonates. The 2011 International Neonatal Immunotherapy Study</w:t>
            </w:r>
            <w:r w:rsidRPr="00BB3C0A">
              <w:rPr>
                <w:rStyle w:val="FootnoteReference"/>
                <w:rFonts w:cs="Arial"/>
                <w:szCs w:val="20"/>
              </w:rPr>
              <w:footnoteReference w:id="1"/>
            </w:r>
            <w:r w:rsidRPr="00BB3C0A">
              <w:rPr>
                <w:rFonts w:cs="Arial"/>
                <w:szCs w:val="20"/>
              </w:rPr>
              <w:t xml:space="preserve"> found that therapy with IVIg had no effect on the outcomes of suspected or proven neonatal sepsis.</w:t>
            </w:r>
          </w:p>
          <w:p w:rsidR="005D342B" w:rsidRPr="0061264B" w:rsidRDefault="005D342B" w:rsidP="0061264B">
            <w:pPr>
              <w:spacing w:before="120" w:after="120"/>
              <w:rPr>
                <w:rFonts w:cs="Arial"/>
                <w:szCs w:val="20"/>
              </w:rPr>
            </w:pPr>
            <w:r w:rsidRPr="00ED6604">
              <w:rPr>
                <w:rFonts w:cs="Arial"/>
                <w:b/>
                <w:color w:val="000000"/>
                <w:szCs w:val="20"/>
              </w:rPr>
              <w:t>Page 193, 2007 Criteria.</w:t>
            </w:r>
          </w:p>
        </w:tc>
      </w:tr>
    </w:tbl>
    <w:p w:rsidR="003F4A4B" w:rsidRPr="003F4A4B" w:rsidRDefault="003F4A4B" w:rsidP="003F4A4B">
      <w:pPr>
        <w:spacing w:before="360" w:after="120"/>
        <w:ind w:left="-709"/>
        <w:rPr>
          <w:rFonts w:cs="Arial"/>
          <w:b/>
          <w:color w:val="0070C0"/>
          <w:sz w:val="22"/>
          <w:szCs w:val="22"/>
        </w:rPr>
      </w:pPr>
      <w:r w:rsidRPr="003F4A4B">
        <w:rPr>
          <w:rFonts w:cs="Arial"/>
          <w:b/>
          <w:color w:val="0070C0"/>
          <w:sz w:val="22"/>
          <w:szCs w:val="22"/>
        </w:rPr>
        <w:t xml:space="preserve">New Indications </w:t>
      </w:r>
    </w:p>
    <w:tbl>
      <w:tblPr>
        <w:tblW w:w="10348" w:type="dxa"/>
        <w:tblInd w:w="-601" w:type="dxa"/>
        <w:tblLook w:val="00A0" w:firstRow="1" w:lastRow="0" w:firstColumn="1" w:lastColumn="0" w:noHBand="0" w:noVBand="0"/>
      </w:tblPr>
      <w:tblGrid>
        <w:gridCol w:w="1106"/>
        <w:gridCol w:w="3509"/>
        <w:gridCol w:w="5733"/>
      </w:tblGrid>
      <w:tr w:rsidR="003F4A4B" w:rsidRPr="007B08DE" w:rsidTr="00FB37E8">
        <w:trPr>
          <w:cantSplit/>
          <w:trHeight w:val="300"/>
          <w:tblHeader/>
        </w:trPr>
        <w:tc>
          <w:tcPr>
            <w:tcW w:w="993" w:type="dxa"/>
            <w:tcBorders>
              <w:top w:val="single" w:sz="4" w:space="0" w:color="auto"/>
              <w:left w:val="single" w:sz="4" w:space="0" w:color="auto"/>
              <w:bottom w:val="single" w:sz="4" w:space="0" w:color="auto"/>
              <w:right w:val="single" w:sz="4" w:space="0" w:color="auto"/>
            </w:tcBorders>
            <w:shd w:val="clear" w:color="auto" w:fill="0070C0"/>
            <w:vAlign w:val="center"/>
          </w:tcPr>
          <w:p w:rsidR="003F4A4B" w:rsidRPr="00BB3C0A" w:rsidRDefault="003F4A4B" w:rsidP="007D16AC">
            <w:pPr>
              <w:rPr>
                <w:rFonts w:cs="Arial"/>
                <w:b/>
                <w:bCs/>
                <w:color w:val="FFFFFF" w:themeColor="background1"/>
              </w:rPr>
            </w:pPr>
            <w:r w:rsidRPr="00BB3C0A">
              <w:rPr>
                <w:rFonts w:cs="Arial"/>
                <w:b/>
                <w:bCs/>
                <w:color w:val="FFFFFF" w:themeColor="background1"/>
              </w:rPr>
              <w:t>Chapter</w:t>
            </w:r>
          </w:p>
        </w:tc>
        <w:tc>
          <w:tcPr>
            <w:tcW w:w="3544" w:type="dxa"/>
            <w:tcBorders>
              <w:top w:val="single" w:sz="4" w:space="0" w:color="auto"/>
              <w:left w:val="nil"/>
              <w:bottom w:val="single" w:sz="4" w:space="0" w:color="auto"/>
              <w:right w:val="single" w:sz="4" w:space="0" w:color="auto"/>
            </w:tcBorders>
            <w:shd w:val="clear" w:color="auto" w:fill="0070C0"/>
            <w:vAlign w:val="center"/>
          </w:tcPr>
          <w:p w:rsidR="003F4A4B" w:rsidRPr="00BB3C0A" w:rsidRDefault="003F4A4B" w:rsidP="007D16AC">
            <w:pPr>
              <w:rPr>
                <w:rFonts w:cs="Arial"/>
                <w:b/>
                <w:bCs/>
                <w:color w:val="FFFFFF" w:themeColor="background1"/>
              </w:rPr>
            </w:pPr>
            <w:r w:rsidRPr="00BB3C0A">
              <w:rPr>
                <w:rFonts w:cs="Arial"/>
                <w:b/>
                <w:bCs/>
                <w:color w:val="FFFFFF" w:themeColor="background1"/>
              </w:rPr>
              <w:t>Indication</w:t>
            </w:r>
          </w:p>
        </w:tc>
        <w:tc>
          <w:tcPr>
            <w:tcW w:w="5811" w:type="dxa"/>
            <w:tcBorders>
              <w:top w:val="single" w:sz="4" w:space="0" w:color="auto"/>
              <w:left w:val="nil"/>
              <w:bottom w:val="single" w:sz="4" w:space="0" w:color="auto"/>
              <w:right w:val="single" w:sz="4" w:space="0" w:color="auto"/>
            </w:tcBorders>
            <w:shd w:val="clear" w:color="auto" w:fill="0070C0"/>
            <w:vAlign w:val="center"/>
          </w:tcPr>
          <w:p w:rsidR="003F4A4B" w:rsidRPr="00BB3C0A" w:rsidRDefault="003F4A4B" w:rsidP="007D16AC">
            <w:pPr>
              <w:rPr>
                <w:rFonts w:cs="Arial"/>
                <w:b/>
                <w:bCs/>
                <w:color w:val="FFFFFF" w:themeColor="background1"/>
              </w:rPr>
            </w:pPr>
            <w:r w:rsidRPr="00BB3C0A">
              <w:rPr>
                <w:rFonts w:cs="Arial"/>
                <w:b/>
                <w:bCs/>
                <w:color w:val="FFFFFF" w:themeColor="background1"/>
              </w:rPr>
              <w:t xml:space="preserve">Change </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Hashimoto encephalopathy</w:t>
            </w:r>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Cs/>
                <w:color w:val="000000"/>
              </w:rPr>
            </w:pPr>
            <w:r w:rsidRPr="00BA164F">
              <w:rPr>
                <w:rFonts w:cs="Arial"/>
                <w:bCs/>
              </w:rPr>
              <w:t>New indication. ‘Hashimoto encephalopathy (steroid-responsive encephalopathy associated with autoimmune thyroiditis). IVIg is not supported as first-line treatment, because preferable alternative treatments are available. IVIg may be considered in exceptional circumstances where there is progressive neurologic decline despite appropriate steroid therapy.’</w:t>
            </w:r>
          </w:p>
          <w:p w:rsidR="003F4A4B" w:rsidRPr="00BA164F" w:rsidRDefault="003F4A4B" w:rsidP="007D16AC">
            <w:pPr>
              <w:spacing w:before="120" w:after="120"/>
              <w:rPr>
                <w:rFonts w:cs="Arial"/>
                <w:bCs/>
              </w:rPr>
            </w:pPr>
            <w:r w:rsidRPr="00BA164F">
              <w:rPr>
                <w:rFonts w:cs="Arial"/>
                <w:b/>
                <w:bCs/>
                <w:color w:val="000000"/>
              </w:rPr>
              <w:t xml:space="preserve"> Page 197, IVIg Criteria Second Edition</w:t>
            </w:r>
            <w:r w:rsidRPr="00BA164F">
              <w:rPr>
                <w:rFonts w:cs="Arial"/>
                <w:bCs/>
              </w:rPr>
              <w:t>.</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 xml:space="preserve">Limbic encephalitis - </w:t>
            </w:r>
            <w:proofErr w:type="spellStart"/>
            <w:r w:rsidRPr="00BA164F">
              <w:rPr>
                <w:rFonts w:cs="Arial"/>
                <w:bCs/>
              </w:rPr>
              <w:t>nonparaneoplastic</w:t>
            </w:r>
            <w:proofErr w:type="spellEnd"/>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Cs/>
                <w:color w:val="000000"/>
              </w:rPr>
            </w:pPr>
            <w:r w:rsidRPr="00BA164F">
              <w:rPr>
                <w:rFonts w:cs="Arial"/>
                <w:bCs/>
              </w:rPr>
              <w:t xml:space="preserve">New indication. ‘Limbic encephalitis - </w:t>
            </w:r>
            <w:proofErr w:type="spellStart"/>
            <w:r w:rsidRPr="00BA164F">
              <w:rPr>
                <w:rFonts w:cs="Arial"/>
                <w:bCs/>
              </w:rPr>
              <w:t>nonparaneoplastic</w:t>
            </w:r>
            <w:proofErr w:type="spellEnd"/>
            <w:r w:rsidRPr="00BA164F">
              <w:rPr>
                <w:rFonts w:cs="Arial"/>
                <w:bCs/>
              </w:rPr>
              <w:t xml:space="preserve">. There appears to be a role for IVIg in </w:t>
            </w:r>
            <w:proofErr w:type="spellStart"/>
            <w:r w:rsidRPr="00BA164F">
              <w:rPr>
                <w:rFonts w:cs="Arial"/>
                <w:bCs/>
              </w:rPr>
              <w:t>nonparaneoplastic</w:t>
            </w:r>
            <w:proofErr w:type="spellEnd"/>
            <w:r w:rsidRPr="00BA164F">
              <w:rPr>
                <w:rFonts w:cs="Arial"/>
                <w:bCs/>
              </w:rPr>
              <w:t xml:space="preserve"> limbic encephalitis associated with neuronal antibodies to cell surface antigens. This includes VGKC antibodies, as well as NMDA receptor antibodies and AMPA receptor antibodies.’ </w:t>
            </w:r>
          </w:p>
          <w:p w:rsidR="003F4A4B" w:rsidRPr="00BA164F" w:rsidRDefault="003F4A4B" w:rsidP="007D16AC">
            <w:pPr>
              <w:spacing w:before="120" w:after="120"/>
              <w:rPr>
                <w:rFonts w:cs="Arial"/>
                <w:bCs/>
              </w:rPr>
            </w:pPr>
            <w:r w:rsidRPr="00BA164F">
              <w:rPr>
                <w:rFonts w:cs="Arial"/>
                <w:b/>
                <w:bCs/>
                <w:color w:val="000000"/>
              </w:rPr>
              <w:t>Page 198, IVIg Criteria Second Edition</w:t>
            </w:r>
            <w:r w:rsidRPr="00BA164F">
              <w:rPr>
                <w:rFonts w:cs="Arial"/>
                <w:bCs/>
                <w:color w:val="000000"/>
              </w:rPr>
              <w:t>.</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lastRenderedPageBreak/>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proofErr w:type="spellStart"/>
            <w:r w:rsidRPr="00BA164F">
              <w:rPr>
                <w:rFonts w:cs="Arial"/>
                <w:bCs/>
              </w:rPr>
              <w:t>Pyoderma</w:t>
            </w:r>
            <w:proofErr w:type="spellEnd"/>
            <w:r w:rsidRPr="00BA164F">
              <w:rPr>
                <w:rFonts w:cs="Arial"/>
                <w:bCs/>
              </w:rPr>
              <w:t xml:space="preserve"> </w:t>
            </w:r>
            <w:proofErr w:type="spellStart"/>
            <w:r w:rsidRPr="00BA164F">
              <w:rPr>
                <w:rFonts w:cs="Arial"/>
                <w:bCs/>
              </w:rPr>
              <w:t>gangrenosum</w:t>
            </w:r>
            <w:proofErr w:type="spellEnd"/>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Cs/>
                <w:color w:val="000000"/>
              </w:rPr>
            </w:pPr>
            <w:r w:rsidRPr="00BA164F">
              <w:rPr>
                <w:rFonts w:cs="Arial"/>
                <w:bCs/>
              </w:rPr>
              <w:t>New indication. ‘</w:t>
            </w:r>
            <w:proofErr w:type="spellStart"/>
            <w:r w:rsidRPr="00BA164F">
              <w:rPr>
                <w:rFonts w:cs="Arial"/>
                <w:bCs/>
              </w:rPr>
              <w:t>Pyoderma</w:t>
            </w:r>
            <w:proofErr w:type="spellEnd"/>
            <w:r w:rsidRPr="00BA164F">
              <w:rPr>
                <w:rFonts w:cs="Arial"/>
                <w:bCs/>
              </w:rPr>
              <w:t xml:space="preserve"> </w:t>
            </w:r>
            <w:proofErr w:type="spellStart"/>
            <w:r w:rsidRPr="00BA164F">
              <w:rPr>
                <w:rFonts w:cs="Arial"/>
                <w:bCs/>
              </w:rPr>
              <w:t>gangrenosum</w:t>
            </w:r>
            <w:proofErr w:type="spellEnd"/>
            <w:r w:rsidRPr="00BA164F">
              <w:rPr>
                <w:rFonts w:cs="Arial"/>
                <w:bCs/>
              </w:rPr>
              <w:t xml:space="preserve">. Use of IVIg is limited to patients with significant </w:t>
            </w:r>
            <w:proofErr w:type="spellStart"/>
            <w:r w:rsidRPr="00BA164F">
              <w:rPr>
                <w:rFonts w:cs="Arial"/>
                <w:bCs/>
              </w:rPr>
              <w:t>pyoderma</w:t>
            </w:r>
            <w:proofErr w:type="spellEnd"/>
            <w:r w:rsidRPr="00BA164F">
              <w:rPr>
                <w:rFonts w:cs="Arial"/>
                <w:bCs/>
              </w:rPr>
              <w:t xml:space="preserve"> </w:t>
            </w:r>
            <w:proofErr w:type="spellStart"/>
            <w:r w:rsidRPr="00BA164F">
              <w:rPr>
                <w:rFonts w:cs="Arial"/>
                <w:bCs/>
              </w:rPr>
              <w:t>gangrenosum</w:t>
            </w:r>
            <w:proofErr w:type="spellEnd"/>
            <w:r w:rsidRPr="00BA164F">
              <w:rPr>
                <w:rFonts w:cs="Arial"/>
                <w:bCs/>
              </w:rPr>
              <w:t>, diagnosed by a dermatologist, unresponsive to corti</w:t>
            </w:r>
            <w:r>
              <w:rPr>
                <w:rFonts w:cs="Arial"/>
                <w:bCs/>
              </w:rPr>
              <w:t>costeroids and other immunosuppr</w:t>
            </w:r>
            <w:r w:rsidRPr="00BA164F">
              <w:rPr>
                <w:rFonts w:cs="Arial"/>
                <w:bCs/>
              </w:rPr>
              <w:t>essive agents.  Induction dose, then maintenance therapy up to 6 months. Should be ceased in patients who fa</w:t>
            </w:r>
            <w:r>
              <w:rPr>
                <w:rFonts w:cs="Arial"/>
                <w:bCs/>
              </w:rPr>
              <w:t>il to respond after 3 cycles.’</w:t>
            </w:r>
          </w:p>
          <w:p w:rsidR="003F4A4B" w:rsidRPr="00BA164F" w:rsidRDefault="003F4A4B" w:rsidP="007D16AC">
            <w:pPr>
              <w:spacing w:before="120" w:after="120"/>
              <w:rPr>
                <w:rFonts w:cs="Arial"/>
                <w:bCs/>
              </w:rPr>
            </w:pPr>
            <w:r w:rsidRPr="00BA164F">
              <w:rPr>
                <w:rFonts w:cs="Arial"/>
                <w:b/>
                <w:bCs/>
                <w:color w:val="000000"/>
              </w:rPr>
              <w:t>Page 205, IVIg Criteria Second Edition</w:t>
            </w:r>
            <w:r w:rsidRPr="00BA164F">
              <w:rPr>
                <w:rFonts w:cs="Arial"/>
                <w:bCs/>
                <w:color w:val="000000"/>
              </w:rPr>
              <w:t>.</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Rasmussen Syndrome</w:t>
            </w:r>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Cs/>
                <w:color w:val="000000"/>
              </w:rPr>
            </w:pPr>
            <w:r w:rsidRPr="00BA164F">
              <w:rPr>
                <w:rFonts w:cs="Arial"/>
                <w:bCs/>
              </w:rPr>
              <w:t>It was previously listed under ‘Epilepsy - rare childhood cases’, and only available to children. It is now available to adults too; however, the prevalence in adults is extremely rare.</w:t>
            </w:r>
          </w:p>
          <w:p w:rsidR="003F4A4B" w:rsidRPr="00BA164F" w:rsidRDefault="003F4A4B" w:rsidP="007D16AC">
            <w:pPr>
              <w:spacing w:before="120" w:after="120"/>
              <w:rPr>
                <w:rFonts w:cs="Arial"/>
                <w:b/>
                <w:bCs/>
              </w:rPr>
            </w:pPr>
            <w:r w:rsidRPr="00BA164F">
              <w:rPr>
                <w:rFonts w:cs="Arial"/>
                <w:b/>
                <w:bCs/>
                <w:color w:val="000000"/>
              </w:rPr>
              <w:t>Page 206, IVIg Criteria Second Edition.</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Systemic Capillary Leak Syndrome</w:t>
            </w:r>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
                <w:bCs/>
                <w:color w:val="000000"/>
              </w:rPr>
            </w:pPr>
            <w:r w:rsidRPr="00BA164F">
              <w:rPr>
                <w:rFonts w:cs="Arial"/>
                <w:bCs/>
              </w:rPr>
              <w:t xml:space="preserve">New indication. ‘Systemic capillary leak syndrome (SCLS). SCLS is an extremely rare condition that is characterised by life-threatening attacks of reversible capillary </w:t>
            </w:r>
            <w:proofErr w:type="spellStart"/>
            <w:r w:rsidRPr="00BA164F">
              <w:rPr>
                <w:rFonts w:cs="Arial"/>
                <w:bCs/>
              </w:rPr>
              <w:t>hyperpermeability</w:t>
            </w:r>
            <w:proofErr w:type="spellEnd"/>
            <w:r w:rsidRPr="00BA164F">
              <w:rPr>
                <w:rFonts w:cs="Arial"/>
                <w:bCs/>
              </w:rPr>
              <w:t xml:space="preserve"> accompanied by </w:t>
            </w:r>
            <w:proofErr w:type="spellStart"/>
            <w:r w:rsidRPr="00BA164F">
              <w:rPr>
                <w:rFonts w:cs="Arial"/>
                <w:bCs/>
              </w:rPr>
              <w:t>haemoconcentration</w:t>
            </w:r>
            <w:proofErr w:type="spellEnd"/>
            <w:r w:rsidRPr="00BA164F">
              <w:rPr>
                <w:rFonts w:cs="Arial"/>
                <w:bCs/>
              </w:rPr>
              <w:t xml:space="preserve"> and </w:t>
            </w:r>
            <w:proofErr w:type="spellStart"/>
            <w:r w:rsidRPr="00BA164F">
              <w:rPr>
                <w:rFonts w:cs="Arial"/>
                <w:bCs/>
              </w:rPr>
              <w:t>hypoalbuminaemia</w:t>
            </w:r>
            <w:proofErr w:type="spellEnd"/>
            <w:r w:rsidRPr="00BA164F">
              <w:rPr>
                <w:rFonts w:cs="Arial"/>
                <w:bCs/>
              </w:rPr>
              <w:t xml:space="preserve">. A diagnosis by a consultant physician, emergency specialist, or intensive care unit specialist is required.’ Approval will be provided for an initial period of 12 months only. Ongoing therapy will require the clinician to confirm in writing that the patient experienced a reduced number of severe episodes when treated with IVIg. </w:t>
            </w:r>
          </w:p>
          <w:p w:rsidR="003F4A4B" w:rsidRPr="00BA164F" w:rsidRDefault="003F4A4B" w:rsidP="007D16AC">
            <w:pPr>
              <w:spacing w:before="120" w:after="120"/>
              <w:rPr>
                <w:rFonts w:cs="Arial"/>
                <w:bCs/>
              </w:rPr>
            </w:pPr>
            <w:r w:rsidRPr="00BA164F">
              <w:rPr>
                <w:rFonts w:cs="Arial"/>
                <w:b/>
                <w:bCs/>
                <w:color w:val="000000"/>
              </w:rPr>
              <w:t>Page 210, IVIg Criteria Second Edition</w:t>
            </w:r>
            <w:r w:rsidRPr="00BA164F">
              <w:rPr>
                <w:rFonts w:cs="Arial"/>
                <w:bCs/>
              </w:rPr>
              <w:t>.</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Default="003F4A4B" w:rsidP="007D16AC">
            <w:pPr>
              <w:rPr>
                <w:rFonts w:cs="Arial"/>
                <w:bCs/>
              </w:rPr>
            </w:pPr>
            <w:r w:rsidRPr="00BA164F">
              <w:rPr>
                <w:rFonts w:cs="Arial"/>
                <w:bCs/>
              </w:rPr>
              <w:t>8</w:t>
            </w:r>
          </w:p>
          <w:p w:rsidR="003F4A4B" w:rsidRPr="00BA164F" w:rsidRDefault="003F4A4B" w:rsidP="007D16AC">
            <w:pPr>
              <w:rPr>
                <w:rFonts w:cs="Arial"/>
                <w:bCs/>
              </w:rPr>
            </w:pPr>
            <w:r>
              <w:rPr>
                <w:rFonts w:cs="Arial"/>
                <w:bCs/>
              </w:rPr>
              <w:t>Not supported</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proofErr w:type="spellStart"/>
            <w:r w:rsidRPr="00BA164F">
              <w:rPr>
                <w:rFonts w:cs="Arial"/>
                <w:bCs/>
              </w:rPr>
              <w:t>Behcet’s</w:t>
            </w:r>
            <w:proofErr w:type="spellEnd"/>
            <w:r w:rsidRPr="00BA164F">
              <w:rPr>
                <w:rFonts w:cs="Arial"/>
                <w:bCs/>
              </w:rPr>
              <w:t xml:space="preserve"> disease</w:t>
            </w:r>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
                <w:bCs/>
                <w:color w:val="000000"/>
              </w:rPr>
            </w:pPr>
            <w:proofErr w:type="spellStart"/>
            <w:r w:rsidRPr="00BA164F">
              <w:rPr>
                <w:rFonts w:cs="Arial"/>
                <w:bCs/>
              </w:rPr>
              <w:t>Behcet's</w:t>
            </w:r>
            <w:proofErr w:type="spellEnd"/>
            <w:r w:rsidRPr="00BA164F">
              <w:rPr>
                <w:rFonts w:cs="Arial"/>
                <w:bCs/>
              </w:rPr>
              <w:t xml:space="preserve"> disease is a rare immune-mediated systemic </w:t>
            </w:r>
            <w:proofErr w:type="spellStart"/>
            <w:r w:rsidRPr="00BA164F">
              <w:rPr>
                <w:rFonts w:cs="Arial"/>
                <w:bCs/>
              </w:rPr>
              <w:t>vasculitis</w:t>
            </w:r>
            <w:proofErr w:type="spellEnd"/>
            <w:r w:rsidRPr="00BA164F">
              <w:rPr>
                <w:rFonts w:cs="Arial"/>
                <w:bCs/>
              </w:rPr>
              <w:t xml:space="preserve"> that often presents with mucous membrane ulceration and ocular involvements.  It can also involve the gastrointestinal tract, lungs, CNS, and joints. IVIg is </w:t>
            </w:r>
            <w:r w:rsidRPr="00BA164F">
              <w:rPr>
                <w:rFonts w:cs="Arial"/>
                <w:b/>
                <w:bCs/>
              </w:rPr>
              <w:t>not</w:t>
            </w:r>
            <w:r w:rsidRPr="00BA164F">
              <w:rPr>
                <w:rFonts w:cs="Arial"/>
                <w:bCs/>
              </w:rPr>
              <w:t xml:space="preserve"> supported. </w:t>
            </w:r>
          </w:p>
          <w:p w:rsidR="003F4A4B" w:rsidRPr="00BA164F" w:rsidRDefault="003F4A4B" w:rsidP="007D16AC">
            <w:pPr>
              <w:spacing w:before="120" w:after="120"/>
              <w:rPr>
                <w:rFonts w:cs="Arial"/>
                <w:bCs/>
              </w:rPr>
            </w:pPr>
            <w:r w:rsidRPr="00BA164F">
              <w:rPr>
                <w:rFonts w:cs="Arial"/>
                <w:b/>
                <w:bCs/>
                <w:color w:val="000000"/>
              </w:rPr>
              <w:t>Page 215, 2012 IVIg Criteria Second Edition</w:t>
            </w:r>
            <w:r w:rsidRPr="00BA164F">
              <w:rPr>
                <w:rFonts w:cs="Arial"/>
                <w:bCs/>
              </w:rPr>
              <w:t>.</w:t>
            </w:r>
          </w:p>
        </w:tc>
      </w:tr>
      <w:tr w:rsidR="003F4A4B"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4B" w:rsidRDefault="003F4A4B" w:rsidP="007D16AC">
            <w:pPr>
              <w:rPr>
                <w:rFonts w:cs="Arial"/>
                <w:bCs/>
              </w:rPr>
            </w:pPr>
            <w:r w:rsidRPr="00BA164F">
              <w:rPr>
                <w:rFonts w:cs="Arial"/>
                <w:bCs/>
              </w:rPr>
              <w:t>8</w:t>
            </w:r>
          </w:p>
          <w:p w:rsidR="003F4A4B" w:rsidRPr="00BA164F" w:rsidRDefault="003F4A4B" w:rsidP="007D16AC">
            <w:pPr>
              <w:rPr>
                <w:rFonts w:cs="Arial"/>
                <w:bCs/>
              </w:rPr>
            </w:pPr>
            <w:r>
              <w:rPr>
                <w:rFonts w:cs="Arial"/>
                <w:bCs/>
              </w:rPr>
              <w:t>Not supported</w:t>
            </w:r>
          </w:p>
        </w:tc>
        <w:tc>
          <w:tcPr>
            <w:tcW w:w="3544"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rPr>
                <w:rFonts w:cs="Arial"/>
                <w:bCs/>
              </w:rPr>
            </w:pPr>
            <w:r w:rsidRPr="00BA164F">
              <w:rPr>
                <w:rFonts w:cs="Arial"/>
                <w:bCs/>
              </w:rPr>
              <w:t xml:space="preserve">Lupus </w:t>
            </w:r>
            <w:proofErr w:type="spellStart"/>
            <w:r w:rsidRPr="00BA164F">
              <w:rPr>
                <w:rFonts w:cs="Arial"/>
                <w:bCs/>
              </w:rPr>
              <w:t>cerebritis</w:t>
            </w:r>
            <w:proofErr w:type="spellEnd"/>
          </w:p>
        </w:tc>
        <w:tc>
          <w:tcPr>
            <w:tcW w:w="5811" w:type="dxa"/>
            <w:tcBorders>
              <w:top w:val="single" w:sz="4" w:space="0" w:color="auto"/>
              <w:left w:val="nil"/>
              <w:bottom w:val="single" w:sz="4" w:space="0" w:color="auto"/>
              <w:right w:val="single" w:sz="4" w:space="0" w:color="auto"/>
            </w:tcBorders>
            <w:shd w:val="clear" w:color="auto" w:fill="auto"/>
            <w:vAlign w:val="center"/>
          </w:tcPr>
          <w:p w:rsidR="003F4A4B" w:rsidRPr="00BA164F" w:rsidRDefault="003F4A4B" w:rsidP="007D16AC">
            <w:pPr>
              <w:spacing w:before="120" w:after="120"/>
              <w:rPr>
                <w:rFonts w:cs="Arial"/>
                <w:b/>
                <w:bCs/>
                <w:color w:val="000000"/>
              </w:rPr>
            </w:pPr>
            <w:r w:rsidRPr="00BA164F">
              <w:rPr>
                <w:rFonts w:cs="Arial"/>
                <w:bCs/>
              </w:rPr>
              <w:t xml:space="preserve">‘IVIg is </w:t>
            </w:r>
            <w:r w:rsidRPr="00BA164F">
              <w:rPr>
                <w:rFonts w:cs="Arial"/>
                <w:b/>
                <w:bCs/>
              </w:rPr>
              <w:t>not</w:t>
            </w:r>
            <w:r w:rsidRPr="00BA164F">
              <w:rPr>
                <w:rFonts w:cs="Arial"/>
                <w:bCs/>
              </w:rPr>
              <w:t xml:space="preserve"> supported as preferable alternative treatments are available.’ </w:t>
            </w:r>
          </w:p>
          <w:p w:rsidR="003F4A4B" w:rsidRPr="00BA164F" w:rsidRDefault="003F4A4B" w:rsidP="007D16AC">
            <w:pPr>
              <w:spacing w:before="120" w:after="120"/>
              <w:rPr>
                <w:rFonts w:cs="Arial"/>
                <w:bCs/>
              </w:rPr>
            </w:pPr>
            <w:r w:rsidRPr="00BA164F">
              <w:rPr>
                <w:rFonts w:cs="Arial"/>
                <w:b/>
                <w:bCs/>
                <w:color w:val="000000"/>
              </w:rPr>
              <w:t>Page 215, IVIg Criteria Second Edition</w:t>
            </w:r>
            <w:r w:rsidRPr="00BA164F">
              <w:rPr>
                <w:rFonts w:cs="Arial"/>
                <w:bCs/>
              </w:rPr>
              <w:t>.</w:t>
            </w:r>
          </w:p>
        </w:tc>
      </w:tr>
    </w:tbl>
    <w:p w:rsidR="00FB37E8" w:rsidRDefault="00FB37E8" w:rsidP="0061264B">
      <w:pPr>
        <w:spacing w:before="360" w:after="120"/>
        <w:ind w:left="-709"/>
        <w:rPr>
          <w:rFonts w:cs="Arial"/>
          <w:b/>
          <w:color w:val="0070C0"/>
          <w:sz w:val="22"/>
          <w:szCs w:val="22"/>
        </w:rPr>
      </w:pPr>
    </w:p>
    <w:p w:rsidR="00FB37E8" w:rsidRDefault="00FB37E8">
      <w:pPr>
        <w:spacing w:after="200" w:line="276" w:lineRule="auto"/>
        <w:rPr>
          <w:rFonts w:cs="Arial"/>
          <w:b/>
          <w:color w:val="0070C0"/>
          <w:sz w:val="22"/>
          <w:szCs w:val="22"/>
        </w:rPr>
      </w:pPr>
      <w:r>
        <w:rPr>
          <w:rFonts w:cs="Arial"/>
          <w:b/>
          <w:color w:val="0070C0"/>
          <w:sz w:val="22"/>
          <w:szCs w:val="22"/>
        </w:rPr>
        <w:br w:type="page"/>
      </w:r>
    </w:p>
    <w:p w:rsidR="00410231" w:rsidRPr="003F4A4B" w:rsidRDefault="0061264B" w:rsidP="0061264B">
      <w:pPr>
        <w:spacing w:before="360" w:after="120"/>
        <w:ind w:left="-709"/>
        <w:rPr>
          <w:rFonts w:cs="Arial"/>
          <w:b/>
          <w:color w:val="0070C0"/>
          <w:sz w:val="22"/>
          <w:szCs w:val="22"/>
        </w:rPr>
      </w:pPr>
      <w:r w:rsidRPr="003F4A4B">
        <w:rPr>
          <w:rFonts w:cs="Arial"/>
          <w:b/>
          <w:color w:val="0070C0"/>
          <w:sz w:val="22"/>
          <w:szCs w:val="22"/>
        </w:rPr>
        <w:lastRenderedPageBreak/>
        <w:t>C</w:t>
      </w:r>
      <w:r w:rsidR="00410231" w:rsidRPr="003F4A4B">
        <w:rPr>
          <w:rFonts w:cs="Arial"/>
          <w:b/>
          <w:color w:val="0070C0"/>
          <w:sz w:val="22"/>
          <w:szCs w:val="22"/>
        </w:rPr>
        <w:t>hanges to indications to clarify review</w:t>
      </w:r>
      <w:r w:rsidR="00BB3C0A" w:rsidRPr="003F4A4B">
        <w:rPr>
          <w:rFonts w:cs="Arial"/>
          <w:b/>
          <w:color w:val="0070C0"/>
          <w:sz w:val="22"/>
          <w:szCs w:val="22"/>
        </w:rPr>
        <w:t xml:space="preserve"> criteria</w:t>
      </w:r>
      <w:r w:rsidR="00410231" w:rsidRPr="003F4A4B">
        <w:rPr>
          <w:rFonts w:cs="Arial"/>
          <w:b/>
          <w:color w:val="0070C0"/>
          <w:sz w:val="22"/>
          <w:szCs w:val="22"/>
        </w:rPr>
        <w:t xml:space="preserve"> </w:t>
      </w:r>
      <w:r w:rsidR="000D5839" w:rsidRPr="003F4A4B">
        <w:rPr>
          <w:rFonts w:cs="Arial"/>
          <w:b/>
          <w:color w:val="0070C0"/>
          <w:sz w:val="22"/>
          <w:szCs w:val="22"/>
        </w:rPr>
        <w:t xml:space="preserve">for </w:t>
      </w:r>
      <w:r w:rsidR="00410231" w:rsidRPr="003F4A4B">
        <w:rPr>
          <w:rFonts w:cs="Arial"/>
          <w:b/>
          <w:color w:val="0070C0"/>
          <w:sz w:val="22"/>
          <w:szCs w:val="22"/>
        </w:rPr>
        <w:t>continu</w:t>
      </w:r>
      <w:r w:rsidR="000D5839" w:rsidRPr="003F4A4B">
        <w:rPr>
          <w:rFonts w:cs="Arial"/>
          <w:b/>
          <w:color w:val="0070C0"/>
          <w:sz w:val="22"/>
          <w:szCs w:val="22"/>
        </w:rPr>
        <w:t>ation of</w:t>
      </w:r>
      <w:r w:rsidR="00410231" w:rsidRPr="003F4A4B">
        <w:rPr>
          <w:rFonts w:cs="Arial"/>
          <w:b/>
          <w:color w:val="0070C0"/>
          <w:sz w:val="22"/>
          <w:szCs w:val="22"/>
        </w:rPr>
        <w:t xml:space="preserve"> </w:t>
      </w:r>
      <w:r w:rsidR="000D5839" w:rsidRPr="003F4A4B">
        <w:rPr>
          <w:rFonts w:cs="Arial"/>
          <w:b/>
          <w:color w:val="0070C0"/>
          <w:sz w:val="22"/>
          <w:szCs w:val="22"/>
        </w:rPr>
        <w:t xml:space="preserve">IVIg </w:t>
      </w:r>
      <w:r w:rsidR="00410231" w:rsidRPr="003F4A4B">
        <w:rPr>
          <w:rFonts w:cs="Arial"/>
          <w:b/>
          <w:color w:val="0070C0"/>
          <w:sz w:val="22"/>
          <w:szCs w:val="22"/>
        </w:rPr>
        <w:t>therapy</w:t>
      </w:r>
    </w:p>
    <w:tbl>
      <w:tblPr>
        <w:tblW w:w="10348" w:type="dxa"/>
        <w:tblInd w:w="-601" w:type="dxa"/>
        <w:tblLook w:val="00A0" w:firstRow="1" w:lastRow="0" w:firstColumn="1" w:lastColumn="0" w:noHBand="0" w:noVBand="0"/>
      </w:tblPr>
      <w:tblGrid>
        <w:gridCol w:w="993"/>
        <w:gridCol w:w="3402"/>
        <w:gridCol w:w="5953"/>
      </w:tblGrid>
      <w:tr w:rsidR="006D3AE5" w:rsidRPr="006D3AE5" w:rsidTr="00FB37E8">
        <w:trPr>
          <w:cantSplit/>
          <w:trHeight w:val="300"/>
          <w:tblHeader/>
        </w:trPr>
        <w:tc>
          <w:tcPr>
            <w:tcW w:w="993" w:type="dxa"/>
            <w:tcBorders>
              <w:top w:val="single" w:sz="4" w:space="0" w:color="auto"/>
              <w:left w:val="single" w:sz="4" w:space="0" w:color="auto"/>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Ch</w:t>
            </w:r>
            <w:r w:rsidR="006D3AE5" w:rsidRPr="00BB3C0A">
              <w:rPr>
                <w:rFonts w:cs="Arial"/>
                <w:b/>
                <w:bCs/>
                <w:color w:val="FFFFFF" w:themeColor="background1"/>
              </w:rPr>
              <w:t>apter</w:t>
            </w:r>
          </w:p>
        </w:tc>
        <w:tc>
          <w:tcPr>
            <w:tcW w:w="3402" w:type="dxa"/>
            <w:tcBorders>
              <w:top w:val="single" w:sz="4" w:space="0" w:color="auto"/>
              <w:left w:val="nil"/>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Indication</w:t>
            </w:r>
          </w:p>
        </w:tc>
        <w:tc>
          <w:tcPr>
            <w:tcW w:w="5953" w:type="dxa"/>
            <w:tcBorders>
              <w:top w:val="single" w:sz="4" w:space="0" w:color="auto"/>
              <w:left w:val="nil"/>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 xml:space="preserve">Change </w:t>
            </w:r>
          </w:p>
        </w:tc>
      </w:tr>
      <w:tr w:rsidR="00410231" w:rsidRPr="007B08DE" w:rsidTr="00FB37E8">
        <w:trPr>
          <w:cantSplit/>
          <w:trHeight w:val="300"/>
        </w:trPr>
        <w:tc>
          <w:tcPr>
            <w:tcW w:w="993" w:type="dxa"/>
            <w:tcBorders>
              <w:top w:val="single" w:sz="4" w:space="0" w:color="auto"/>
              <w:left w:val="single" w:sz="4" w:space="0" w:color="auto"/>
              <w:bottom w:val="single" w:sz="4" w:space="0" w:color="auto"/>
              <w:right w:val="single" w:sz="4" w:space="0" w:color="auto"/>
            </w:tcBorders>
            <w:vAlign w:val="center"/>
          </w:tcPr>
          <w:p w:rsidR="00410231" w:rsidRPr="007B08DE" w:rsidRDefault="00410231" w:rsidP="0061264B">
            <w:pPr>
              <w:rPr>
                <w:rFonts w:cs="Arial"/>
                <w:bCs/>
                <w:color w:val="000000"/>
              </w:rPr>
            </w:pPr>
            <w:r w:rsidRPr="007B08DE">
              <w:rPr>
                <w:rFonts w:cs="Arial"/>
                <w:bCs/>
                <w:color w:val="000000"/>
              </w:rPr>
              <w:t>5</w:t>
            </w:r>
          </w:p>
        </w:tc>
        <w:tc>
          <w:tcPr>
            <w:tcW w:w="3402" w:type="dxa"/>
            <w:tcBorders>
              <w:top w:val="single" w:sz="4" w:space="0" w:color="auto"/>
              <w:left w:val="nil"/>
              <w:bottom w:val="single" w:sz="4" w:space="0" w:color="auto"/>
              <w:right w:val="single" w:sz="4" w:space="0" w:color="auto"/>
            </w:tcBorders>
            <w:vAlign w:val="center"/>
          </w:tcPr>
          <w:p w:rsidR="00410231" w:rsidRPr="007B08DE" w:rsidRDefault="00410231" w:rsidP="0061264B">
            <w:pPr>
              <w:rPr>
                <w:rFonts w:cs="Arial"/>
                <w:bCs/>
                <w:color w:val="000000"/>
              </w:rPr>
            </w:pPr>
            <w:r w:rsidRPr="007B08DE">
              <w:rPr>
                <w:rFonts w:cs="Arial"/>
                <w:bCs/>
                <w:color w:val="000000"/>
              </w:rPr>
              <w:t xml:space="preserve">Acquired </w:t>
            </w:r>
            <w:proofErr w:type="spellStart"/>
            <w:r w:rsidRPr="007B08DE">
              <w:rPr>
                <w:rFonts w:cs="Arial"/>
                <w:bCs/>
                <w:color w:val="000000"/>
              </w:rPr>
              <w:t>hypogammaglobulinaemia</w:t>
            </w:r>
            <w:proofErr w:type="spellEnd"/>
            <w:r w:rsidRPr="007B08DE">
              <w:rPr>
                <w:rFonts w:cs="Arial"/>
                <w:bCs/>
                <w:color w:val="000000"/>
              </w:rPr>
              <w:t xml:space="preserve"> secondary to haematological malignancies</w:t>
            </w:r>
          </w:p>
        </w:tc>
        <w:tc>
          <w:tcPr>
            <w:tcW w:w="5953" w:type="dxa"/>
            <w:tcBorders>
              <w:top w:val="single" w:sz="4" w:space="0" w:color="auto"/>
              <w:left w:val="nil"/>
              <w:bottom w:val="single" w:sz="4" w:space="0" w:color="auto"/>
              <w:right w:val="single" w:sz="4" w:space="0" w:color="auto"/>
            </w:tcBorders>
            <w:vAlign w:val="center"/>
          </w:tcPr>
          <w:p w:rsidR="006F2073" w:rsidRDefault="006F2073" w:rsidP="006F2073">
            <w:pPr>
              <w:spacing w:before="120" w:after="120"/>
              <w:rPr>
                <w:rFonts w:cs="Arial"/>
              </w:rPr>
            </w:pPr>
            <w:r>
              <w:rPr>
                <w:rFonts w:cs="Arial"/>
              </w:rPr>
              <w:t>The key change</w:t>
            </w:r>
            <w:r w:rsidRPr="00CC3EA6">
              <w:rPr>
                <w:rFonts w:cs="Arial"/>
              </w:rPr>
              <w:t xml:space="preserve"> to the </w:t>
            </w:r>
            <w:r w:rsidR="005D342B">
              <w:rPr>
                <w:rFonts w:cs="Arial"/>
              </w:rPr>
              <w:t>a</w:t>
            </w:r>
            <w:r w:rsidRPr="00FA5751">
              <w:rPr>
                <w:rFonts w:cs="Arial"/>
              </w:rPr>
              <w:t xml:space="preserve">cquired </w:t>
            </w:r>
            <w:proofErr w:type="spellStart"/>
            <w:r>
              <w:rPr>
                <w:rFonts w:cs="Arial"/>
              </w:rPr>
              <w:t>h</w:t>
            </w:r>
            <w:r w:rsidRPr="00FA5751">
              <w:rPr>
                <w:rFonts w:cs="Arial"/>
              </w:rPr>
              <w:t>ypogammaglobulinaemia</w:t>
            </w:r>
            <w:proofErr w:type="spellEnd"/>
            <w:r w:rsidRPr="00FA5751">
              <w:rPr>
                <w:rFonts w:cs="Arial"/>
              </w:rPr>
              <w:t xml:space="preserve"> </w:t>
            </w:r>
            <w:r>
              <w:rPr>
                <w:rFonts w:cs="Arial"/>
              </w:rPr>
              <w:t>secondary to haematological</w:t>
            </w:r>
            <w:r w:rsidR="00A12604">
              <w:rPr>
                <w:rFonts w:cs="Arial"/>
              </w:rPr>
              <w:t xml:space="preserve"> malignancies</w:t>
            </w:r>
            <w:r w:rsidRPr="00843E2B">
              <w:rPr>
                <w:rFonts w:cs="Arial"/>
              </w:rPr>
              <w:t xml:space="preserve"> </w:t>
            </w:r>
            <w:r w:rsidR="00A01463">
              <w:rPr>
                <w:rFonts w:cs="Arial"/>
              </w:rPr>
              <w:t xml:space="preserve">indication </w:t>
            </w:r>
            <w:r>
              <w:rPr>
                <w:rFonts w:cs="Arial"/>
              </w:rPr>
              <w:t>is</w:t>
            </w:r>
            <w:r w:rsidRPr="00CC3EA6">
              <w:rPr>
                <w:rFonts w:cs="Arial"/>
              </w:rPr>
              <w:t xml:space="preserve"> </w:t>
            </w:r>
            <w:r>
              <w:rPr>
                <w:rFonts w:cs="Arial"/>
              </w:rPr>
              <w:t xml:space="preserve">that the treating clinician is required </w:t>
            </w:r>
            <w:r w:rsidR="000D5839">
              <w:rPr>
                <w:rFonts w:cs="Arial"/>
              </w:rPr>
              <w:t xml:space="preserve">to </w:t>
            </w:r>
            <w:r>
              <w:rPr>
                <w:rFonts w:cs="Arial"/>
              </w:rPr>
              <w:t xml:space="preserve">review </w:t>
            </w:r>
            <w:r w:rsidR="00A12604">
              <w:rPr>
                <w:rFonts w:cs="Arial"/>
              </w:rPr>
              <w:t xml:space="preserve">the </w:t>
            </w:r>
            <w:r>
              <w:rPr>
                <w:rFonts w:cs="Arial"/>
              </w:rPr>
              <w:t xml:space="preserve">patient every </w:t>
            </w:r>
            <w:r w:rsidR="00870D73">
              <w:rPr>
                <w:rFonts w:cs="Arial"/>
              </w:rPr>
              <w:t>6</w:t>
            </w:r>
            <w:r>
              <w:rPr>
                <w:rFonts w:cs="Arial"/>
              </w:rPr>
              <w:t xml:space="preserve"> months and consider stopping treatment at 12 months to re-evaluate the patient’s immune system.</w:t>
            </w:r>
          </w:p>
          <w:p w:rsidR="005D342B" w:rsidRDefault="005D342B" w:rsidP="006F2073">
            <w:pPr>
              <w:spacing w:before="120" w:after="120"/>
              <w:rPr>
                <w:rFonts w:cs="Arial"/>
                <w:color w:val="000000"/>
                <w:szCs w:val="20"/>
              </w:rPr>
            </w:pPr>
            <w:r w:rsidRPr="00ED6604">
              <w:rPr>
                <w:rFonts w:cs="Arial"/>
                <w:color w:val="000000"/>
                <w:szCs w:val="20"/>
              </w:rPr>
              <w:t xml:space="preserve">Cessation of IVIG after </w:t>
            </w:r>
            <w:r w:rsidRPr="00ED6604">
              <w:rPr>
                <w:rFonts w:cs="Arial"/>
                <w:b/>
                <w:color w:val="000000"/>
                <w:szCs w:val="20"/>
              </w:rPr>
              <w:t>each</w:t>
            </w:r>
            <w:r w:rsidRPr="00ED6604">
              <w:rPr>
                <w:rFonts w:cs="Arial"/>
                <w:color w:val="000000"/>
                <w:szCs w:val="20"/>
              </w:rPr>
              <w:t xml:space="preserve"> 12 months still requested but now based on clinical circumstance and system for collecting data clarified.  Ongoing therapy will require confirmation </w:t>
            </w:r>
            <w:r w:rsidRPr="00ED6604">
              <w:rPr>
                <w:rFonts w:cs="Arial"/>
                <w:b/>
                <w:color w:val="000000"/>
                <w:szCs w:val="20"/>
              </w:rPr>
              <w:t>in writing</w:t>
            </w:r>
            <w:r w:rsidRPr="00ED6604">
              <w:rPr>
                <w:rFonts w:cs="Arial"/>
                <w:color w:val="000000"/>
                <w:szCs w:val="20"/>
              </w:rPr>
              <w:t xml:space="preserve"> from treating physician that: </w:t>
            </w:r>
          </w:p>
          <w:p w:rsidR="005D342B" w:rsidRPr="005D342B" w:rsidRDefault="005D342B" w:rsidP="005D342B">
            <w:pPr>
              <w:pStyle w:val="ListParagraph"/>
              <w:numPr>
                <w:ilvl w:val="0"/>
                <w:numId w:val="1"/>
              </w:numPr>
              <w:spacing w:before="120" w:after="120"/>
              <w:rPr>
                <w:rFonts w:cs="Arial"/>
                <w:color w:val="000000"/>
                <w:szCs w:val="20"/>
              </w:rPr>
            </w:pPr>
            <w:r w:rsidRPr="005D342B">
              <w:rPr>
                <w:rFonts w:cs="Arial"/>
                <w:color w:val="000000"/>
                <w:szCs w:val="20"/>
              </w:rPr>
              <w:t xml:space="preserve">an annual review has taken place; </w:t>
            </w:r>
          </w:p>
          <w:p w:rsidR="005D342B" w:rsidRPr="005D342B" w:rsidRDefault="005D342B" w:rsidP="005D342B">
            <w:pPr>
              <w:pStyle w:val="ListParagraph"/>
              <w:numPr>
                <w:ilvl w:val="0"/>
                <w:numId w:val="1"/>
              </w:numPr>
              <w:spacing w:before="120" w:after="120"/>
              <w:rPr>
                <w:rFonts w:cs="Arial"/>
              </w:rPr>
            </w:pPr>
            <w:r w:rsidRPr="005D342B">
              <w:rPr>
                <w:rFonts w:cs="Arial"/>
                <w:color w:val="000000"/>
                <w:szCs w:val="20"/>
              </w:rPr>
              <w:t xml:space="preserve">there is demonstrable clinical benefit; and </w:t>
            </w:r>
          </w:p>
          <w:p w:rsidR="005D342B" w:rsidRPr="005D342B" w:rsidRDefault="005D342B" w:rsidP="005D342B">
            <w:pPr>
              <w:pStyle w:val="ListParagraph"/>
              <w:numPr>
                <w:ilvl w:val="0"/>
                <w:numId w:val="1"/>
              </w:numPr>
              <w:spacing w:before="120" w:after="120"/>
              <w:rPr>
                <w:rFonts w:cs="Arial"/>
              </w:rPr>
            </w:pPr>
            <w:proofErr w:type="gramStart"/>
            <w:r w:rsidRPr="005D342B">
              <w:rPr>
                <w:rFonts w:cs="Arial"/>
                <w:color w:val="000000"/>
                <w:szCs w:val="20"/>
              </w:rPr>
              <w:t>trial</w:t>
            </w:r>
            <w:proofErr w:type="gramEnd"/>
            <w:r w:rsidRPr="005D342B">
              <w:rPr>
                <w:rFonts w:cs="Arial"/>
                <w:color w:val="000000"/>
                <w:szCs w:val="20"/>
              </w:rPr>
              <w:t xml:space="preserve"> cessation is </w:t>
            </w:r>
            <w:r w:rsidRPr="005D342B">
              <w:rPr>
                <w:rFonts w:cs="Arial"/>
                <w:i/>
                <w:color w:val="000000"/>
                <w:szCs w:val="20"/>
              </w:rPr>
              <w:t>'medically contraindicated on safety grounds</w:t>
            </w:r>
            <w:r w:rsidRPr="005D342B">
              <w:rPr>
                <w:rFonts w:cs="Arial"/>
                <w:color w:val="000000"/>
                <w:szCs w:val="20"/>
              </w:rPr>
              <w:t xml:space="preserve">'. </w:t>
            </w:r>
          </w:p>
          <w:p w:rsidR="005D342B" w:rsidRDefault="005D342B" w:rsidP="005D342B">
            <w:pPr>
              <w:spacing w:before="120" w:after="120"/>
              <w:rPr>
                <w:rFonts w:cs="Arial"/>
                <w:b/>
                <w:color w:val="000000"/>
                <w:szCs w:val="20"/>
              </w:rPr>
            </w:pPr>
            <w:r>
              <w:rPr>
                <w:rFonts w:cs="Arial"/>
                <w:bCs/>
                <w:color w:val="000000"/>
              </w:rPr>
              <w:t>Exclusion c</w:t>
            </w:r>
            <w:r w:rsidRPr="007B08DE">
              <w:rPr>
                <w:rFonts w:cs="Arial"/>
                <w:bCs/>
                <w:color w:val="000000"/>
              </w:rPr>
              <w:t xml:space="preserve">riteria </w:t>
            </w:r>
            <w:r>
              <w:rPr>
                <w:rFonts w:cs="Arial"/>
                <w:bCs/>
                <w:color w:val="000000"/>
              </w:rPr>
              <w:t xml:space="preserve">have also been added to the indication </w:t>
            </w:r>
            <w:r w:rsidRPr="00ED6604">
              <w:rPr>
                <w:rFonts w:cs="Arial"/>
                <w:color w:val="000000"/>
                <w:szCs w:val="20"/>
              </w:rPr>
              <w:t xml:space="preserve">i.e. HIV in children, transplantation-related immunomodulation, secondary </w:t>
            </w:r>
            <w:proofErr w:type="spellStart"/>
            <w:r w:rsidRPr="00ED6604">
              <w:rPr>
                <w:rFonts w:cs="Arial"/>
                <w:color w:val="000000"/>
                <w:szCs w:val="20"/>
              </w:rPr>
              <w:t>hypoga</w:t>
            </w:r>
            <w:r>
              <w:rPr>
                <w:rFonts w:cs="Arial"/>
                <w:color w:val="000000"/>
                <w:szCs w:val="20"/>
              </w:rPr>
              <w:t>mmaglobulinaemia</w:t>
            </w:r>
            <w:proofErr w:type="spellEnd"/>
            <w:r>
              <w:rPr>
                <w:rFonts w:cs="Arial"/>
                <w:color w:val="000000"/>
                <w:szCs w:val="20"/>
              </w:rPr>
              <w:t>.</w:t>
            </w:r>
          </w:p>
          <w:p w:rsidR="00410231" w:rsidRPr="007B08DE" w:rsidRDefault="005D342B" w:rsidP="006D6AEB">
            <w:pPr>
              <w:spacing w:after="120"/>
              <w:rPr>
                <w:rFonts w:cs="Arial"/>
                <w:bCs/>
                <w:color w:val="000000"/>
              </w:rPr>
            </w:pPr>
            <w:r w:rsidRPr="005D342B">
              <w:rPr>
                <w:rFonts w:cs="Arial"/>
                <w:b/>
                <w:color w:val="000000"/>
                <w:szCs w:val="20"/>
              </w:rPr>
              <w:t>Page 48, IVIg Criteria Second Edition.</w:t>
            </w:r>
            <w:r w:rsidR="00410231" w:rsidRPr="007B08DE">
              <w:rPr>
                <w:rFonts w:cs="Arial"/>
                <w:bCs/>
                <w:color w:val="000000"/>
              </w:rPr>
              <w:t xml:space="preserve"> </w:t>
            </w:r>
          </w:p>
        </w:tc>
      </w:tr>
      <w:tr w:rsidR="001C1336" w:rsidRPr="00ED6604" w:rsidTr="00FB37E8">
        <w:trPr>
          <w:cantSplit/>
          <w:trHeight w:val="300"/>
        </w:trPr>
        <w:tc>
          <w:tcPr>
            <w:tcW w:w="993" w:type="dxa"/>
            <w:tcBorders>
              <w:top w:val="single" w:sz="4" w:space="0" w:color="auto"/>
              <w:left w:val="single" w:sz="4" w:space="0" w:color="auto"/>
              <w:bottom w:val="single" w:sz="4" w:space="0" w:color="auto"/>
              <w:right w:val="single" w:sz="4" w:space="0" w:color="auto"/>
            </w:tcBorders>
            <w:vAlign w:val="center"/>
          </w:tcPr>
          <w:p w:rsidR="001C1336" w:rsidRPr="001C1336" w:rsidRDefault="001C1336" w:rsidP="001C1336">
            <w:pPr>
              <w:rPr>
                <w:rFonts w:cs="Arial"/>
                <w:bCs/>
                <w:color w:val="000000"/>
              </w:rPr>
            </w:pPr>
            <w:r w:rsidRPr="001C1336">
              <w:rPr>
                <w:rFonts w:cs="Arial"/>
                <w:bCs/>
                <w:color w:val="000000"/>
              </w:rPr>
              <w:t>5</w:t>
            </w:r>
          </w:p>
        </w:tc>
        <w:tc>
          <w:tcPr>
            <w:tcW w:w="3402" w:type="dxa"/>
            <w:tcBorders>
              <w:top w:val="single" w:sz="4" w:space="0" w:color="auto"/>
              <w:left w:val="nil"/>
              <w:bottom w:val="single" w:sz="4" w:space="0" w:color="auto"/>
              <w:right w:val="single" w:sz="4" w:space="0" w:color="auto"/>
            </w:tcBorders>
            <w:vAlign w:val="center"/>
          </w:tcPr>
          <w:p w:rsidR="001C1336" w:rsidRPr="001C1336" w:rsidRDefault="001C1336" w:rsidP="001C1336">
            <w:pPr>
              <w:rPr>
                <w:rFonts w:cs="Arial"/>
                <w:bCs/>
                <w:color w:val="000000"/>
              </w:rPr>
            </w:pPr>
            <w:r w:rsidRPr="001C1336">
              <w:rPr>
                <w:rFonts w:cs="Arial"/>
                <w:bCs/>
                <w:color w:val="000000"/>
              </w:rPr>
              <w:t>Inflammatory myopathies</w:t>
            </w:r>
          </w:p>
        </w:tc>
        <w:tc>
          <w:tcPr>
            <w:tcW w:w="5953" w:type="dxa"/>
            <w:tcBorders>
              <w:top w:val="single" w:sz="4" w:space="0" w:color="auto"/>
              <w:left w:val="nil"/>
              <w:bottom w:val="single" w:sz="4" w:space="0" w:color="auto"/>
              <w:right w:val="single" w:sz="4" w:space="0" w:color="auto"/>
            </w:tcBorders>
            <w:vAlign w:val="center"/>
          </w:tcPr>
          <w:p w:rsidR="001C1336" w:rsidRDefault="001C1336" w:rsidP="001C1336">
            <w:pPr>
              <w:spacing w:before="120" w:after="120"/>
              <w:rPr>
                <w:rFonts w:cs="Arial"/>
                <w:bCs/>
                <w:color w:val="000000"/>
              </w:rPr>
            </w:pPr>
            <w:r w:rsidRPr="001C1336">
              <w:rPr>
                <w:rFonts w:cs="Arial"/>
                <w:bCs/>
                <w:color w:val="000000"/>
              </w:rPr>
              <w:t xml:space="preserve">Regular review may now be undertaken by one of three types of physicians, a neurologist, rheumatologist or clinical immunologist (compared with the previous 'neurologist' only).  This is now in line with the qualifying criteria. </w:t>
            </w:r>
          </w:p>
          <w:p w:rsidR="0093726B" w:rsidRPr="001C1336" w:rsidRDefault="001C1336" w:rsidP="003F4A4B">
            <w:pPr>
              <w:spacing w:before="120" w:after="120"/>
              <w:rPr>
                <w:rFonts w:cs="Arial"/>
              </w:rPr>
            </w:pPr>
            <w:r w:rsidRPr="001C1336">
              <w:rPr>
                <w:rFonts w:cs="Arial"/>
                <w:b/>
                <w:bCs/>
                <w:color w:val="000000"/>
              </w:rPr>
              <w:t>Page 73, IVIg Criteria Second Edition</w:t>
            </w:r>
            <w:r w:rsidRPr="001C1336">
              <w:rPr>
                <w:rFonts w:cs="Arial"/>
                <w:bCs/>
                <w:color w:val="000000"/>
              </w:rPr>
              <w:t>.</w:t>
            </w:r>
            <w:r w:rsidRPr="001C1336">
              <w:rPr>
                <w:rFonts w:cs="Arial"/>
              </w:rPr>
              <w:t xml:space="preserve"> </w:t>
            </w:r>
          </w:p>
        </w:tc>
      </w:tr>
      <w:tr w:rsidR="001C1336" w:rsidRPr="007B08DE" w:rsidTr="00FB37E8">
        <w:trPr>
          <w:cantSplit/>
          <w:trHeight w:val="300"/>
        </w:trPr>
        <w:tc>
          <w:tcPr>
            <w:tcW w:w="993" w:type="dxa"/>
            <w:tcBorders>
              <w:top w:val="single" w:sz="4" w:space="0" w:color="auto"/>
              <w:left w:val="single" w:sz="4" w:space="0" w:color="auto"/>
              <w:bottom w:val="single" w:sz="4" w:space="0" w:color="auto"/>
              <w:right w:val="single" w:sz="4" w:space="0" w:color="auto"/>
            </w:tcBorders>
            <w:vAlign w:val="center"/>
          </w:tcPr>
          <w:p w:rsidR="001C1336" w:rsidRPr="007B08DE" w:rsidRDefault="001C1336" w:rsidP="001C1336">
            <w:pPr>
              <w:rPr>
                <w:rFonts w:cs="Arial"/>
                <w:bCs/>
                <w:color w:val="000000"/>
              </w:rPr>
            </w:pPr>
            <w:r w:rsidRPr="007B08DE">
              <w:rPr>
                <w:rFonts w:cs="Arial"/>
                <w:bCs/>
                <w:color w:val="000000"/>
              </w:rPr>
              <w:t>6</w:t>
            </w:r>
          </w:p>
        </w:tc>
        <w:tc>
          <w:tcPr>
            <w:tcW w:w="3402" w:type="dxa"/>
            <w:tcBorders>
              <w:top w:val="single" w:sz="4" w:space="0" w:color="auto"/>
              <w:left w:val="nil"/>
              <w:bottom w:val="single" w:sz="4" w:space="0" w:color="auto"/>
              <w:right w:val="single" w:sz="4" w:space="0" w:color="auto"/>
            </w:tcBorders>
            <w:vAlign w:val="center"/>
          </w:tcPr>
          <w:p w:rsidR="001C1336" w:rsidRPr="00ED6604" w:rsidRDefault="001C1336" w:rsidP="001C1336">
            <w:pPr>
              <w:ind w:left="44"/>
              <w:rPr>
                <w:rFonts w:cs="Arial"/>
                <w:color w:val="000000"/>
                <w:szCs w:val="20"/>
              </w:rPr>
            </w:pPr>
            <w:r w:rsidRPr="00ED6604">
              <w:rPr>
                <w:rFonts w:cs="Arial"/>
                <w:color w:val="000000"/>
                <w:szCs w:val="20"/>
              </w:rPr>
              <w:t xml:space="preserve">Secondary </w:t>
            </w:r>
            <w:proofErr w:type="spellStart"/>
            <w:r w:rsidRPr="00ED6604">
              <w:rPr>
                <w:rFonts w:cs="Arial"/>
                <w:color w:val="000000"/>
                <w:szCs w:val="20"/>
              </w:rPr>
              <w:t>hypogammaglobulinaemia</w:t>
            </w:r>
            <w:proofErr w:type="spellEnd"/>
            <w:r w:rsidRPr="00ED6604">
              <w:rPr>
                <w:rFonts w:cs="Arial"/>
                <w:color w:val="000000"/>
                <w:szCs w:val="20"/>
              </w:rPr>
              <w:t xml:space="preserve"> (including iatrogenic immunodeficiency)</w:t>
            </w:r>
          </w:p>
        </w:tc>
        <w:tc>
          <w:tcPr>
            <w:tcW w:w="5953" w:type="dxa"/>
            <w:tcBorders>
              <w:top w:val="single" w:sz="4" w:space="0" w:color="auto"/>
              <w:left w:val="nil"/>
              <w:bottom w:val="single" w:sz="4" w:space="0" w:color="auto"/>
              <w:right w:val="single" w:sz="4" w:space="0" w:color="auto"/>
            </w:tcBorders>
            <w:vAlign w:val="center"/>
          </w:tcPr>
          <w:p w:rsidR="001C1336" w:rsidRDefault="001C1336" w:rsidP="001C1336">
            <w:pPr>
              <w:spacing w:before="120" w:after="120"/>
              <w:rPr>
                <w:rFonts w:cs="Arial"/>
                <w:color w:val="000000"/>
                <w:szCs w:val="20"/>
              </w:rPr>
            </w:pPr>
            <w:r w:rsidRPr="00ED6604">
              <w:rPr>
                <w:rFonts w:cs="Arial"/>
                <w:color w:val="000000"/>
                <w:szCs w:val="20"/>
              </w:rPr>
              <w:t>The frequency of review has increased from annually to 6 monthly.  Cessation at 12 months still requested but it is now based on clinical circumstances.  Regular review can be now be performed by ‘</w:t>
            </w:r>
            <w:r w:rsidRPr="00ED6604">
              <w:rPr>
                <w:rFonts w:cs="Arial"/>
                <w:i/>
                <w:color w:val="000000"/>
                <w:szCs w:val="20"/>
              </w:rPr>
              <w:t>the treating physician</w:t>
            </w:r>
            <w:r w:rsidRPr="00ED6604">
              <w:rPr>
                <w:rFonts w:cs="Arial"/>
                <w:color w:val="000000"/>
                <w:szCs w:val="20"/>
              </w:rPr>
              <w:t xml:space="preserve">’ (compared with previous requirement for an immunologist).  Ongoing therapy after </w:t>
            </w:r>
            <w:r w:rsidRPr="00ED6604">
              <w:rPr>
                <w:rFonts w:cs="Arial"/>
                <w:b/>
                <w:color w:val="000000"/>
                <w:szCs w:val="20"/>
              </w:rPr>
              <w:t>each</w:t>
            </w:r>
            <w:r w:rsidRPr="00ED6604">
              <w:rPr>
                <w:rFonts w:cs="Arial"/>
                <w:color w:val="000000"/>
                <w:szCs w:val="20"/>
              </w:rPr>
              <w:t xml:space="preserve"> 12 month period will require confirmation </w:t>
            </w:r>
            <w:r w:rsidRPr="00ED6604">
              <w:rPr>
                <w:rFonts w:cs="Arial"/>
                <w:b/>
                <w:color w:val="000000"/>
                <w:szCs w:val="20"/>
              </w:rPr>
              <w:t>in writing</w:t>
            </w:r>
            <w:r w:rsidRPr="00ED6604">
              <w:rPr>
                <w:rFonts w:cs="Arial"/>
                <w:color w:val="000000"/>
                <w:szCs w:val="20"/>
              </w:rPr>
              <w:t xml:space="preserve"> from treating physician that: </w:t>
            </w:r>
          </w:p>
          <w:p w:rsidR="001C1336" w:rsidRPr="001C1336" w:rsidRDefault="001C1336" w:rsidP="001C1336">
            <w:pPr>
              <w:pStyle w:val="ListParagraph"/>
              <w:numPr>
                <w:ilvl w:val="0"/>
                <w:numId w:val="2"/>
              </w:numPr>
              <w:spacing w:before="120" w:after="120"/>
              <w:rPr>
                <w:rFonts w:cs="Arial"/>
                <w:color w:val="000000"/>
                <w:szCs w:val="20"/>
              </w:rPr>
            </w:pPr>
            <w:r w:rsidRPr="001C1336">
              <w:rPr>
                <w:rFonts w:cs="Arial"/>
                <w:color w:val="000000"/>
                <w:szCs w:val="20"/>
              </w:rPr>
              <w:t xml:space="preserve">an annual review has taken place; </w:t>
            </w:r>
          </w:p>
          <w:p w:rsidR="001C1336" w:rsidRPr="001C1336" w:rsidRDefault="001C1336" w:rsidP="001C1336">
            <w:pPr>
              <w:pStyle w:val="ListParagraph"/>
              <w:numPr>
                <w:ilvl w:val="0"/>
                <w:numId w:val="2"/>
              </w:numPr>
              <w:spacing w:before="120" w:after="120"/>
              <w:rPr>
                <w:rFonts w:cs="Arial"/>
                <w:bCs/>
                <w:color w:val="000000"/>
              </w:rPr>
            </w:pPr>
            <w:r w:rsidRPr="001C1336">
              <w:rPr>
                <w:rFonts w:cs="Arial"/>
                <w:color w:val="000000"/>
                <w:szCs w:val="20"/>
              </w:rPr>
              <w:t xml:space="preserve">there is demonstrable clinical benefit; and </w:t>
            </w:r>
          </w:p>
          <w:p w:rsidR="001C1336" w:rsidRPr="001C1336" w:rsidRDefault="001C1336" w:rsidP="001C1336">
            <w:pPr>
              <w:pStyle w:val="ListParagraph"/>
              <w:numPr>
                <w:ilvl w:val="0"/>
                <w:numId w:val="2"/>
              </w:numPr>
              <w:spacing w:before="120" w:after="120"/>
              <w:rPr>
                <w:rFonts w:cs="Arial"/>
                <w:bCs/>
                <w:color w:val="000000"/>
              </w:rPr>
            </w:pPr>
            <w:proofErr w:type="gramStart"/>
            <w:r w:rsidRPr="001C1336">
              <w:rPr>
                <w:rFonts w:cs="Arial"/>
                <w:color w:val="000000"/>
                <w:szCs w:val="20"/>
              </w:rPr>
              <w:t>trial</w:t>
            </w:r>
            <w:proofErr w:type="gramEnd"/>
            <w:r w:rsidRPr="001C1336">
              <w:rPr>
                <w:rFonts w:cs="Arial"/>
                <w:color w:val="000000"/>
                <w:szCs w:val="20"/>
              </w:rPr>
              <w:t xml:space="preserve"> </w:t>
            </w:r>
            <w:r w:rsidRPr="001C1336">
              <w:rPr>
                <w:rFonts w:cs="Arial"/>
                <w:bCs/>
                <w:color w:val="000000"/>
              </w:rPr>
              <w:t>cessation is 'medically contraindicated on safety grounds'.</w:t>
            </w:r>
          </w:p>
          <w:p w:rsidR="001C1336" w:rsidRPr="00ED6604" w:rsidRDefault="001C1336" w:rsidP="001C1336">
            <w:pPr>
              <w:spacing w:before="120" w:after="120"/>
              <w:rPr>
                <w:rFonts w:cs="Arial"/>
                <w:b/>
                <w:color w:val="000000"/>
                <w:szCs w:val="20"/>
              </w:rPr>
            </w:pPr>
            <w:r w:rsidRPr="001C1336">
              <w:rPr>
                <w:rFonts w:cs="Arial"/>
                <w:b/>
                <w:bCs/>
                <w:color w:val="000000"/>
              </w:rPr>
              <w:t>Page106</w:t>
            </w:r>
            <w:r w:rsidR="0093726B">
              <w:rPr>
                <w:rFonts w:cs="Arial"/>
                <w:b/>
                <w:bCs/>
                <w:color w:val="000000"/>
              </w:rPr>
              <w:t>,</w:t>
            </w:r>
            <w:r w:rsidRPr="001C1336">
              <w:rPr>
                <w:rFonts w:cs="Arial"/>
                <w:b/>
                <w:bCs/>
                <w:color w:val="000000"/>
              </w:rPr>
              <w:t xml:space="preserve"> IVIg Criteria Second Edition</w:t>
            </w:r>
            <w:r w:rsidRPr="001C1336">
              <w:rPr>
                <w:rFonts w:cs="Arial"/>
                <w:bCs/>
                <w:color w:val="000000"/>
              </w:rPr>
              <w:t>.</w:t>
            </w:r>
            <w:r w:rsidRPr="00ED6604">
              <w:rPr>
                <w:rFonts w:cs="Arial"/>
                <w:b/>
                <w:color w:val="000000"/>
                <w:szCs w:val="20"/>
              </w:rPr>
              <w:t xml:space="preserve"> </w:t>
            </w:r>
          </w:p>
        </w:tc>
      </w:tr>
      <w:tr w:rsidR="001C1336" w:rsidRPr="007B08DE" w:rsidTr="00FB37E8">
        <w:trPr>
          <w:cantSplit/>
          <w:trHeight w:val="300"/>
        </w:trPr>
        <w:tc>
          <w:tcPr>
            <w:tcW w:w="993" w:type="dxa"/>
            <w:tcBorders>
              <w:top w:val="single" w:sz="4" w:space="0" w:color="auto"/>
              <w:left w:val="single" w:sz="4" w:space="0" w:color="auto"/>
              <w:bottom w:val="single" w:sz="4" w:space="0" w:color="auto"/>
              <w:right w:val="single" w:sz="4" w:space="0" w:color="auto"/>
            </w:tcBorders>
            <w:vAlign w:val="center"/>
          </w:tcPr>
          <w:p w:rsidR="001C1336" w:rsidRPr="007B08DE" w:rsidRDefault="001C1336" w:rsidP="0061264B">
            <w:pPr>
              <w:rPr>
                <w:rFonts w:cs="Arial"/>
                <w:bCs/>
                <w:color w:val="000000"/>
              </w:rPr>
            </w:pPr>
            <w:r w:rsidRPr="007B08DE">
              <w:rPr>
                <w:rFonts w:cs="Arial"/>
                <w:bCs/>
                <w:color w:val="000000"/>
              </w:rPr>
              <w:lastRenderedPageBreak/>
              <w:t>6</w:t>
            </w:r>
          </w:p>
        </w:tc>
        <w:tc>
          <w:tcPr>
            <w:tcW w:w="3402" w:type="dxa"/>
            <w:tcBorders>
              <w:top w:val="single" w:sz="4" w:space="0" w:color="auto"/>
              <w:left w:val="nil"/>
              <w:bottom w:val="single" w:sz="4" w:space="0" w:color="auto"/>
              <w:right w:val="single" w:sz="4" w:space="0" w:color="auto"/>
            </w:tcBorders>
            <w:vAlign w:val="center"/>
          </w:tcPr>
          <w:p w:rsidR="001C1336" w:rsidRPr="00ED6604" w:rsidRDefault="001C1336" w:rsidP="001C1336">
            <w:pPr>
              <w:ind w:left="44"/>
              <w:rPr>
                <w:rFonts w:cs="Arial"/>
                <w:color w:val="000000"/>
                <w:szCs w:val="20"/>
              </w:rPr>
            </w:pPr>
            <w:r w:rsidRPr="00ED6604">
              <w:rPr>
                <w:rFonts w:cs="Arial"/>
                <w:color w:val="000000"/>
                <w:szCs w:val="20"/>
              </w:rPr>
              <w:t xml:space="preserve">Specific antibody deficiency (including </w:t>
            </w:r>
            <w:proofErr w:type="spellStart"/>
            <w:r w:rsidRPr="00ED6604">
              <w:rPr>
                <w:rFonts w:cs="Arial"/>
                <w:color w:val="000000"/>
                <w:szCs w:val="20"/>
              </w:rPr>
              <w:t>IgG</w:t>
            </w:r>
            <w:proofErr w:type="spellEnd"/>
            <w:r w:rsidRPr="00ED6604">
              <w:rPr>
                <w:rFonts w:cs="Arial"/>
                <w:color w:val="000000"/>
                <w:szCs w:val="20"/>
              </w:rPr>
              <w:t xml:space="preserve"> subclasses)</w:t>
            </w:r>
          </w:p>
        </w:tc>
        <w:tc>
          <w:tcPr>
            <w:tcW w:w="5953" w:type="dxa"/>
            <w:tcBorders>
              <w:top w:val="single" w:sz="4" w:space="0" w:color="auto"/>
              <w:left w:val="nil"/>
              <w:bottom w:val="single" w:sz="4" w:space="0" w:color="auto"/>
              <w:right w:val="single" w:sz="4" w:space="0" w:color="auto"/>
            </w:tcBorders>
            <w:vAlign w:val="center"/>
          </w:tcPr>
          <w:p w:rsidR="001C1336" w:rsidRDefault="001C1336" w:rsidP="001C1336">
            <w:pPr>
              <w:ind w:left="72"/>
              <w:rPr>
                <w:rFonts w:cs="Arial"/>
                <w:color w:val="000000"/>
                <w:szCs w:val="20"/>
              </w:rPr>
            </w:pPr>
            <w:r w:rsidRPr="00ED6604">
              <w:rPr>
                <w:rFonts w:cs="Arial"/>
                <w:color w:val="000000"/>
                <w:szCs w:val="20"/>
              </w:rPr>
              <w:t xml:space="preserve">1.  Specific antibody deficiency:  the requirements to cease and review have been strengthened. Ongoing therapy after </w:t>
            </w:r>
            <w:r w:rsidRPr="00054829">
              <w:rPr>
                <w:rFonts w:cs="Arial"/>
                <w:color w:val="000000"/>
                <w:szCs w:val="20"/>
              </w:rPr>
              <w:t>each</w:t>
            </w:r>
            <w:r w:rsidRPr="00ED6604">
              <w:rPr>
                <w:rFonts w:cs="Arial"/>
                <w:color w:val="000000"/>
                <w:szCs w:val="20"/>
              </w:rPr>
              <w:t xml:space="preserve"> 12 month period will require confirmation </w:t>
            </w:r>
            <w:r w:rsidRPr="00054829">
              <w:rPr>
                <w:rFonts w:cs="Arial"/>
                <w:color w:val="000000"/>
                <w:szCs w:val="20"/>
              </w:rPr>
              <w:t>in writing</w:t>
            </w:r>
            <w:r w:rsidRPr="00ED6604">
              <w:rPr>
                <w:rFonts w:cs="Arial"/>
                <w:color w:val="000000"/>
                <w:szCs w:val="20"/>
              </w:rPr>
              <w:t xml:space="preserve"> from clinical immunologist that: </w:t>
            </w:r>
          </w:p>
          <w:p w:rsidR="001C1336" w:rsidRDefault="001C1336" w:rsidP="001C1336">
            <w:pPr>
              <w:pStyle w:val="ListParagraph"/>
              <w:numPr>
                <w:ilvl w:val="0"/>
                <w:numId w:val="4"/>
              </w:numPr>
              <w:spacing w:before="120" w:after="120"/>
              <w:rPr>
                <w:rFonts w:cs="Arial"/>
                <w:color w:val="000000"/>
                <w:szCs w:val="20"/>
              </w:rPr>
            </w:pPr>
            <w:r w:rsidRPr="00ED6604">
              <w:rPr>
                <w:rFonts w:cs="Arial"/>
                <w:color w:val="000000"/>
                <w:szCs w:val="20"/>
              </w:rPr>
              <w:t xml:space="preserve">an annual review has taken place; </w:t>
            </w:r>
          </w:p>
          <w:p w:rsidR="001C1336" w:rsidRDefault="001C1336" w:rsidP="001C1336">
            <w:pPr>
              <w:pStyle w:val="ListParagraph"/>
              <w:numPr>
                <w:ilvl w:val="0"/>
                <w:numId w:val="4"/>
              </w:numPr>
              <w:spacing w:before="120" w:after="120"/>
              <w:rPr>
                <w:rFonts w:cs="Arial"/>
                <w:color w:val="000000"/>
                <w:szCs w:val="20"/>
              </w:rPr>
            </w:pPr>
            <w:r w:rsidRPr="00ED6604">
              <w:rPr>
                <w:rFonts w:cs="Arial"/>
                <w:color w:val="000000"/>
                <w:szCs w:val="20"/>
              </w:rPr>
              <w:t xml:space="preserve">there is demonstrable clinical benefit; and </w:t>
            </w:r>
          </w:p>
          <w:p w:rsidR="001C1336" w:rsidRPr="00ED6604" w:rsidRDefault="001C1336" w:rsidP="001C1336">
            <w:pPr>
              <w:pStyle w:val="ListParagraph"/>
              <w:numPr>
                <w:ilvl w:val="0"/>
                <w:numId w:val="4"/>
              </w:numPr>
              <w:spacing w:before="120" w:after="120"/>
              <w:rPr>
                <w:rFonts w:cs="Arial"/>
                <w:color w:val="000000"/>
                <w:szCs w:val="20"/>
              </w:rPr>
            </w:pPr>
            <w:proofErr w:type="gramStart"/>
            <w:r w:rsidRPr="00ED6604">
              <w:rPr>
                <w:rFonts w:cs="Arial"/>
                <w:color w:val="000000"/>
                <w:szCs w:val="20"/>
              </w:rPr>
              <w:t>trial</w:t>
            </w:r>
            <w:proofErr w:type="gramEnd"/>
            <w:r w:rsidRPr="00ED6604">
              <w:rPr>
                <w:rFonts w:cs="Arial"/>
                <w:color w:val="000000"/>
                <w:szCs w:val="20"/>
              </w:rPr>
              <w:t xml:space="preserve"> cessation is </w:t>
            </w:r>
            <w:r w:rsidRPr="001C1336">
              <w:rPr>
                <w:rFonts w:cs="Arial"/>
                <w:color w:val="000000"/>
                <w:szCs w:val="20"/>
              </w:rPr>
              <w:t>'medically contraindicated on safety grounds'</w:t>
            </w:r>
            <w:r w:rsidRPr="00ED6604">
              <w:rPr>
                <w:rFonts w:cs="Arial"/>
                <w:color w:val="000000"/>
                <w:szCs w:val="20"/>
              </w:rPr>
              <w:t xml:space="preserve">.  </w:t>
            </w:r>
          </w:p>
          <w:p w:rsidR="00013E07" w:rsidRDefault="001C1336" w:rsidP="001C1336">
            <w:pPr>
              <w:ind w:left="72"/>
              <w:rPr>
                <w:rFonts w:cs="Arial"/>
                <w:color w:val="000000"/>
                <w:szCs w:val="20"/>
              </w:rPr>
            </w:pPr>
            <w:r w:rsidRPr="00ED6604">
              <w:rPr>
                <w:rFonts w:cs="Arial"/>
                <w:color w:val="000000"/>
                <w:szCs w:val="20"/>
              </w:rPr>
              <w:t xml:space="preserve">2.  </w:t>
            </w:r>
            <w:proofErr w:type="spellStart"/>
            <w:r w:rsidRPr="00ED6604">
              <w:rPr>
                <w:rFonts w:cs="Arial"/>
                <w:color w:val="000000"/>
                <w:szCs w:val="20"/>
              </w:rPr>
              <w:t>IgG</w:t>
            </w:r>
            <w:proofErr w:type="spellEnd"/>
            <w:r w:rsidRPr="00ED6604">
              <w:rPr>
                <w:rFonts w:cs="Arial"/>
                <w:color w:val="000000"/>
                <w:szCs w:val="20"/>
              </w:rPr>
              <w:t xml:space="preserve"> subclass deficiency:  this is </w:t>
            </w:r>
            <w:r w:rsidRPr="00ED6604">
              <w:rPr>
                <w:rFonts w:cs="Arial"/>
                <w:b/>
                <w:color w:val="000000"/>
                <w:szCs w:val="20"/>
              </w:rPr>
              <w:t>not</w:t>
            </w:r>
            <w:r w:rsidRPr="00ED6604">
              <w:rPr>
                <w:rFonts w:cs="Arial"/>
                <w:color w:val="000000"/>
                <w:szCs w:val="20"/>
              </w:rPr>
              <w:t xml:space="preserve"> an approved indication for </w:t>
            </w:r>
            <w:r w:rsidRPr="00ED6604">
              <w:rPr>
                <w:rFonts w:cs="Arial"/>
                <w:b/>
                <w:color w:val="000000"/>
                <w:szCs w:val="20"/>
              </w:rPr>
              <w:t>new</w:t>
            </w:r>
            <w:r w:rsidRPr="00ED6604">
              <w:rPr>
                <w:rFonts w:cs="Arial"/>
                <w:color w:val="000000"/>
                <w:szCs w:val="20"/>
              </w:rPr>
              <w:t xml:space="preserve"> patients.  Existing patients will now require either a confirmed </w:t>
            </w:r>
            <w:proofErr w:type="spellStart"/>
            <w:r w:rsidRPr="00ED6604">
              <w:rPr>
                <w:rFonts w:cs="Arial"/>
                <w:color w:val="000000"/>
                <w:szCs w:val="20"/>
              </w:rPr>
              <w:t>IgG</w:t>
            </w:r>
            <w:proofErr w:type="spellEnd"/>
            <w:r w:rsidRPr="00ED6604">
              <w:rPr>
                <w:rFonts w:cs="Arial"/>
                <w:color w:val="000000"/>
                <w:szCs w:val="20"/>
              </w:rPr>
              <w:t xml:space="preserve"> deficiency (and thus be eligible under another indication) or clinically active bronchiectasis/</w:t>
            </w:r>
            <w:proofErr w:type="spellStart"/>
            <w:r w:rsidRPr="00ED6604">
              <w:rPr>
                <w:rFonts w:cs="Arial"/>
                <w:color w:val="000000"/>
                <w:szCs w:val="20"/>
              </w:rPr>
              <w:t>suppurative</w:t>
            </w:r>
            <w:proofErr w:type="spellEnd"/>
            <w:r w:rsidRPr="00ED6604">
              <w:rPr>
                <w:rFonts w:cs="Arial"/>
                <w:color w:val="000000"/>
                <w:szCs w:val="20"/>
              </w:rPr>
              <w:t xml:space="preserve"> lung disease.  In the latter case, ongoing therapy (after each 12 month period) will require confirmation </w:t>
            </w:r>
            <w:r w:rsidRPr="00ED6604">
              <w:rPr>
                <w:rFonts w:cs="Arial"/>
                <w:b/>
                <w:color w:val="000000"/>
                <w:szCs w:val="20"/>
              </w:rPr>
              <w:t xml:space="preserve">in writing </w:t>
            </w:r>
            <w:r w:rsidRPr="00ED6604">
              <w:rPr>
                <w:rFonts w:cs="Arial"/>
                <w:color w:val="000000"/>
                <w:szCs w:val="20"/>
              </w:rPr>
              <w:t xml:space="preserve">by a clinical immunologist that: </w:t>
            </w:r>
          </w:p>
          <w:p w:rsidR="00013E07" w:rsidRDefault="001C1336" w:rsidP="00013E07">
            <w:pPr>
              <w:pStyle w:val="ListParagraph"/>
              <w:numPr>
                <w:ilvl w:val="0"/>
                <w:numId w:val="6"/>
              </w:numPr>
              <w:spacing w:before="120" w:after="120"/>
              <w:rPr>
                <w:rFonts w:cs="Arial"/>
                <w:color w:val="000000"/>
                <w:szCs w:val="20"/>
              </w:rPr>
            </w:pPr>
            <w:r w:rsidRPr="00ED6604">
              <w:rPr>
                <w:rFonts w:cs="Arial"/>
                <w:color w:val="000000"/>
                <w:szCs w:val="20"/>
              </w:rPr>
              <w:t xml:space="preserve">an annual review has taken place; </w:t>
            </w:r>
          </w:p>
          <w:p w:rsidR="00013E07" w:rsidRDefault="001C1336" w:rsidP="00013E07">
            <w:pPr>
              <w:pStyle w:val="ListParagraph"/>
              <w:numPr>
                <w:ilvl w:val="0"/>
                <w:numId w:val="6"/>
              </w:numPr>
              <w:spacing w:before="120" w:after="120"/>
              <w:rPr>
                <w:rFonts w:cs="Arial"/>
                <w:color w:val="000000"/>
                <w:szCs w:val="20"/>
              </w:rPr>
            </w:pPr>
            <w:r w:rsidRPr="00ED6604">
              <w:rPr>
                <w:rFonts w:cs="Arial"/>
                <w:color w:val="000000"/>
                <w:szCs w:val="20"/>
              </w:rPr>
              <w:t xml:space="preserve">there is demonstrable clinical benefit; and </w:t>
            </w:r>
          </w:p>
          <w:p w:rsidR="001C1336" w:rsidRDefault="001C1336" w:rsidP="00013E07">
            <w:pPr>
              <w:pStyle w:val="ListParagraph"/>
              <w:numPr>
                <w:ilvl w:val="0"/>
                <w:numId w:val="6"/>
              </w:numPr>
              <w:spacing w:before="120" w:after="120"/>
              <w:rPr>
                <w:rFonts w:cs="Arial"/>
                <w:color w:val="000000"/>
                <w:szCs w:val="20"/>
              </w:rPr>
            </w:pPr>
            <w:proofErr w:type="gramStart"/>
            <w:r w:rsidRPr="00ED6604">
              <w:rPr>
                <w:rFonts w:cs="Arial"/>
                <w:color w:val="000000"/>
                <w:szCs w:val="20"/>
              </w:rPr>
              <w:t>trial</w:t>
            </w:r>
            <w:proofErr w:type="gramEnd"/>
            <w:r w:rsidRPr="00ED6604">
              <w:rPr>
                <w:rFonts w:cs="Arial"/>
                <w:color w:val="000000"/>
                <w:szCs w:val="20"/>
              </w:rPr>
              <w:t xml:space="preserve"> cessation is </w:t>
            </w:r>
            <w:r w:rsidRPr="00013E07">
              <w:rPr>
                <w:rFonts w:cs="Arial"/>
                <w:color w:val="000000"/>
                <w:szCs w:val="20"/>
              </w:rPr>
              <w:t>'medically contraindicated on safety grounds'</w:t>
            </w:r>
            <w:r w:rsidRPr="00ED6604">
              <w:rPr>
                <w:rFonts w:cs="Arial"/>
                <w:color w:val="000000"/>
                <w:szCs w:val="20"/>
              </w:rPr>
              <w:t xml:space="preserve">, and confirmation </w:t>
            </w:r>
            <w:r w:rsidRPr="00ED6604">
              <w:rPr>
                <w:rFonts w:cs="Arial"/>
                <w:b/>
                <w:color w:val="000000"/>
                <w:szCs w:val="20"/>
              </w:rPr>
              <w:t xml:space="preserve">in writing </w:t>
            </w:r>
            <w:r w:rsidRPr="00ED6604">
              <w:rPr>
                <w:rFonts w:cs="Arial"/>
                <w:color w:val="000000"/>
                <w:szCs w:val="20"/>
              </w:rPr>
              <w:t xml:space="preserve">by a second physician that a </w:t>
            </w:r>
            <w:r w:rsidRPr="00ED6604">
              <w:rPr>
                <w:rFonts w:cs="Arial"/>
                <w:i/>
                <w:color w:val="000000"/>
                <w:szCs w:val="20"/>
              </w:rPr>
              <w:t>'trial cessation is medically contraindicated on safety grounds'</w:t>
            </w:r>
            <w:r w:rsidRPr="00ED6604">
              <w:rPr>
                <w:rFonts w:cs="Arial"/>
                <w:color w:val="000000"/>
                <w:szCs w:val="20"/>
              </w:rPr>
              <w:t xml:space="preserve">. </w:t>
            </w:r>
          </w:p>
          <w:p w:rsidR="001C1336" w:rsidRPr="00ED6604" w:rsidRDefault="001C1336" w:rsidP="001C1336">
            <w:pPr>
              <w:ind w:left="72"/>
              <w:rPr>
                <w:rFonts w:cs="Arial"/>
                <w:b/>
                <w:color w:val="000000"/>
                <w:szCs w:val="20"/>
              </w:rPr>
            </w:pPr>
            <w:r w:rsidRPr="00ED6604">
              <w:rPr>
                <w:rFonts w:cs="Arial"/>
                <w:b/>
                <w:color w:val="000000"/>
                <w:szCs w:val="20"/>
              </w:rPr>
              <w:t>Page 110, IVIg Criteria Second Edition.</w:t>
            </w:r>
          </w:p>
        </w:tc>
      </w:tr>
    </w:tbl>
    <w:p w:rsidR="00013E07" w:rsidRDefault="00013E07" w:rsidP="00013E07">
      <w:pPr>
        <w:ind w:left="717"/>
        <w:rPr>
          <w:rFonts w:cs="Arial"/>
          <w:szCs w:val="20"/>
        </w:rPr>
      </w:pPr>
    </w:p>
    <w:p w:rsidR="00013E07" w:rsidRDefault="00013E07" w:rsidP="00013E07">
      <w:pPr>
        <w:ind w:left="717"/>
        <w:rPr>
          <w:rFonts w:cs="Arial"/>
          <w:szCs w:val="20"/>
        </w:rPr>
      </w:pPr>
      <w:r w:rsidRPr="00ED6604">
        <w:rPr>
          <w:rFonts w:cs="Arial"/>
          <w:szCs w:val="20"/>
        </w:rPr>
        <w:t xml:space="preserve">*** Please note that, apart from Primary Immunodeficiency Diseases, all other indications for IVIg for immune replacement will now require confirmation </w:t>
      </w:r>
      <w:r w:rsidRPr="00ED6604">
        <w:rPr>
          <w:rFonts w:cs="Arial"/>
          <w:b/>
          <w:szCs w:val="20"/>
        </w:rPr>
        <w:t>in writing</w:t>
      </w:r>
      <w:r w:rsidRPr="00ED6604">
        <w:rPr>
          <w:rFonts w:cs="Arial"/>
          <w:szCs w:val="20"/>
        </w:rPr>
        <w:t xml:space="preserve"> from one or more physicians for ongoing therapy***</w:t>
      </w:r>
    </w:p>
    <w:p w:rsidR="00410231" w:rsidRPr="003F4A4B" w:rsidRDefault="00410231" w:rsidP="00013E07">
      <w:pPr>
        <w:spacing w:before="360" w:after="120"/>
        <w:ind w:left="-709"/>
        <w:rPr>
          <w:rFonts w:cs="Arial"/>
          <w:b/>
          <w:color w:val="0070C0"/>
          <w:sz w:val="22"/>
          <w:szCs w:val="22"/>
        </w:rPr>
      </w:pPr>
      <w:r w:rsidRPr="003F4A4B">
        <w:rPr>
          <w:rFonts w:cs="Arial"/>
          <w:b/>
          <w:color w:val="0070C0"/>
          <w:sz w:val="22"/>
          <w:szCs w:val="22"/>
        </w:rPr>
        <w:t>Minor wording changes to clarify indication</w:t>
      </w:r>
      <w:r w:rsidR="002124F3" w:rsidRPr="003F4A4B">
        <w:rPr>
          <w:rFonts w:cs="Arial"/>
          <w:b/>
          <w:color w:val="0070C0"/>
          <w:sz w:val="22"/>
          <w:szCs w:val="22"/>
        </w:rPr>
        <w:t>s</w:t>
      </w:r>
    </w:p>
    <w:tbl>
      <w:tblPr>
        <w:tblW w:w="10348" w:type="dxa"/>
        <w:tblInd w:w="-601" w:type="dxa"/>
        <w:tblLook w:val="00A0" w:firstRow="1" w:lastRow="0" w:firstColumn="1" w:lastColumn="0" w:noHBand="0" w:noVBand="0"/>
      </w:tblPr>
      <w:tblGrid>
        <w:gridCol w:w="993"/>
        <w:gridCol w:w="3544"/>
        <w:gridCol w:w="5811"/>
      </w:tblGrid>
      <w:tr w:rsidR="006D3AE5" w:rsidRPr="006D3AE5" w:rsidTr="00FB37E8">
        <w:trPr>
          <w:cantSplit/>
          <w:trHeight w:val="300"/>
          <w:tblHeader/>
        </w:trPr>
        <w:tc>
          <w:tcPr>
            <w:tcW w:w="993" w:type="dxa"/>
            <w:tcBorders>
              <w:top w:val="single" w:sz="4" w:space="0" w:color="auto"/>
              <w:left w:val="single" w:sz="4" w:space="0" w:color="auto"/>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Ch</w:t>
            </w:r>
            <w:r w:rsidR="006D3AE5" w:rsidRPr="00BB3C0A">
              <w:rPr>
                <w:rFonts w:cs="Arial"/>
                <w:b/>
                <w:bCs/>
                <w:color w:val="FFFFFF" w:themeColor="background1"/>
              </w:rPr>
              <w:t>apter</w:t>
            </w:r>
          </w:p>
        </w:tc>
        <w:tc>
          <w:tcPr>
            <w:tcW w:w="3544" w:type="dxa"/>
            <w:tcBorders>
              <w:top w:val="single" w:sz="4" w:space="0" w:color="auto"/>
              <w:left w:val="nil"/>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Indication</w:t>
            </w:r>
          </w:p>
        </w:tc>
        <w:tc>
          <w:tcPr>
            <w:tcW w:w="5811" w:type="dxa"/>
            <w:tcBorders>
              <w:top w:val="single" w:sz="4" w:space="0" w:color="auto"/>
              <w:left w:val="nil"/>
              <w:bottom w:val="single" w:sz="4" w:space="0" w:color="auto"/>
              <w:right w:val="single" w:sz="4" w:space="0" w:color="auto"/>
            </w:tcBorders>
            <w:shd w:val="clear" w:color="auto" w:fill="0070C0"/>
            <w:vAlign w:val="center"/>
          </w:tcPr>
          <w:p w:rsidR="00410231" w:rsidRPr="00BB3C0A" w:rsidRDefault="00410231" w:rsidP="0061264B">
            <w:pPr>
              <w:rPr>
                <w:rFonts w:cs="Arial"/>
                <w:b/>
                <w:bCs/>
                <w:color w:val="FFFFFF" w:themeColor="background1"/>
              </w:rPr>
            </w:pPr>
            <w:r w:rsidRPr="00BB3C0A">
              <w:rPr>
                <w:rFonts w:cs="Arial"/>
                <w:b/>
                <w:bCs/>
                <w:color w:val="FFFFFF" w:themeColor="background1"/>
              </w:rPr>
              <w:t xml:space="preserve">Change </w:t>
            </w:r>
          </w:p>
        </w:tc>
      </w:tr>
      <w:tr w:rsidR="00013E07" w:rsidRPr="007B08DE" w:rsidTr="00FB37E8">
        <w:trPr>
          <w:cantSplit/>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013E07" w:rsidRPr="00ED6604" w:rsidRDefault="00013E07" w:rsidP="00013E07">
            <w:pPr>
              <w:rPr>
                <w:rFonts w:cs="Arial"/>
                <w:color w:val="000000"/>
                <w:szCs w:val="20"/>
              </w:rPr>
            </w:pPr>
            <w:r w:rsidRPr="00ED6604">
              <w:rPr>
                <w:rFonts w:cs="Arial"/>
                <w:color w:val="000000"/>
                <w:szCs w:val="20"/>
              </w:rPr>
              <w:t>5</w:t>
            </w:r>
          </w:p>
        </w:tc>
        <w:tc>
          <w:tcPr>
            <w:tcW w:w="3544" w:type="dxa"/>
            <w:tcBorders>
              <w:top w:val="nil"/>
              <w:left w:val="nil"/>
              <w:bottom w:val="single" w:sz="4" w:space="0" w:color="auto"/>
              <w:right w:val="single" w:sz="4" w:space="0" w:color="auto"/>
            </w:tcBorders>
            <w:vAlign w:val="center"/>
          </w:tcPr>
          <w:p w:rsidR="00013E07" w:rsidRPr="00ED6604" w:rsidRDefault="00013E07" w:rsidP="00013E07">
            <w:pPr>
              <w:rPr>
                <w:rFonts w:cs="Arial"/>
                <w:color w:val="000000"/>
                <w:szCs w:val="20"/>
              </w:rPr>
            </w:pPr>
            <w:r w:rsidRPr="00ED6604">
              <w:rPr>
                <w:rFonts w:cs="Arial"/>
                <w:color w:val="000000"/>
                <w:szCs w:val="20"/>
              </w:rPr>
              <w:t xml:space="preserve">Idiopathic (autoimmune) thrombocytopenia </w:t>
            </w:r>
            <w:proofErr w:type="spellStart"/>
            <w:r w:rsidRPr="00ED6604">
              <w:rPr>
                <w:rFonts w:cs="Arial"/>
                <w:color w:val="000000"/>
                <w:szCs w:val="20"/>
              </w:rPr>
              <w:t>purpura</w:t>
            </w:r>
            <w:proofErr w:type="spellEnd"/>
            <w:r w:rsidRPr="00ED6604">
              <w:rPr>
                <w:rFonts w:cs="Arial"/>
                <w:color w:val="000000"/>
                <w:szCs w:val="20"/>
              </w:rPr>
              <w:t xml:space="preserve"> (ITP) in adults</w:t>
            </w:r>
          </w:p>
        </w:tc>
        <w:tc>
          <w:tcPr>
            <w:tcW w:w="5811" w:type="dxa"/>
            <w:tcBorders>
              <w:top w:val="nil"/>
              <w:left w:val="nil"/>
              <w:bottom w:val="single" w:sz="4" w:space="0" w:color="auto"/>
              <w:right w:val="single" w:sz="4" w:space="0" w:color="auto"/>
            </w:tcBorders>
            <w:vAlign w:val="center"/>
          </w:tcPr>
          <w:p w:rsidR="00013E07" w:rsidRDefault="00013E07" w:rsidP="00054829">
            <w:pPr>
              <w:rPr>
                <w:rFonts w:cs="Arial"/>
                <w:color w:val="000000"/>
                <w:szCs w:val="20"/>
              </w:rPr>
            </w:pPr>
            <w:r w:rsidRPr="00ED6604">
              <w:rPr>
                <w:rFonts w:cs="Arial"/>
                <w:color w:val="000000"/>
                <w:szCs w:val="20"/>
              </w:rPr>
              <w:t xml:space="preserve">There have been several minor changes to the wording.  Indications for use now include the following additional clarification: </w:t>
            </w:r>
          </w:p>
          <w:p w:rsidR="00054829" w:rsidRDefault="00013E07" w:rsidP="00013E07">
            <w:pPr>
              <w:ind w:left="180"/>
              <w:rPr>
                <w:rFonts w:cs="Arial"/>
                <w:color w:val="000000"/>
                <w:szCs w:val="20"/>
              </w:rPr>
            </w:pPr>
            <w:r w:rsidRPr="00ED6604">
              <w:rPr>
                <w:rFonts w:cs="Arial"/>
                <w:color w:val="000000"/>
                <w:szCs w:val="20"/>
              </w:rPr>
              <w:t>1. Refractory acute ITP ‘</w:t>
            </w:r>
            <w:r w:rsidRPr="00ED6604">
              <w:rPr>
                <w:rFonts w:cs="Arial"/>
                <w:i/>
                <w:color w:val="000000"/>
                <w:szCs w:val="20"/>
              </w:rPr>
              <w:t>on the recommendation of a clinical haematologist</w:t>
            </w:r>
            <w:r w:rsidRPr="00ED6604">
              <w:rPr>
                <w:rFonts w:cs="Arial"/>
                <w:color w:val="000000"/>
                <w:szCs w:val="20"/>
              </w:rPr>
              <w:t xml:space="preserve">’; </w:t>
            </w:r>
          </w:p>
          <w:p w:rsidR="00013E07" w:rsidRPr="00013E07" w:rsidRDefault="00013E07" w:rsidP="00013E07">
            <w:pPr>
              <w:ind w:left="180"/>
              <w:rPr>
                <w:rFonts w:cs="Arial"/>
                <w:bCs/>
                <w:color w:val="000000"/>
              </w:rPr>
            </w:pPr>
            <w:r w:rsidRPr="00ED6604">
              <w:rPr>
                <w:rFonts w:cs="Arial"/>
                <w:color w:val="000000"/>
                <w:szCs w:val="20"/>
              </w:rPr>
              <w:t>4. Specific circumstances ‘</w:t>
            </w:r>
            <w:r w:rsidRPr="00ED6604">
              <w:rPr>
                <w:rFonts w:cs="Arial"/>
                <w:i/>
                <w:color w:val="000000"/>
                <w:szCs w:val="20"/>
              </w:rPr>
              <w:t>b. other concurrent risk factors for bleeding (e.g. concurrent anti-coagulant therapy</w:t>
            </w:r>
            <w:r w:rsidRPr="00ED6604">
              <w:rPr>
                <w:rFonts w:cs="Arial"/>
                <w:color w:val="000000"/>
                <w:szCs w:val="20"/>
              </w:rPr>
              <w:t xml:space="preserve">)’; and d. Chronic ITP </w:t>
            </w:r>
            <w:r w:rsidRPr="00ED6604">
              <w:rPr>
                <w:rFonts w:cs="Arial"/>
                <w:i/>
                <w:color w:val="000000"/>
                <w:szCs w:val="20"/>
              </w:rPr>
              <w:t>‘under the guidance of a clinical haematologist, as adjunctive therapy or where other therapies have failed or are not appropriate’</w:t>
            </w:r>
            <w:r w:rsidRPr="00ED6604">
              <w:rPr>
                <w:rFonts w:cs="Arial"/>
                <w:color w:val="000000"/>
                <w:szCs w:val="20"/>
              </w:rPr>
              <w:t>.</w:t>
            </w:r>
          </w:p>
          <w:p w:rsidR="00013E07" w:rsidRPr="00013E07" w:rsidRDefault="00013E07" w:rsidP="00013E07">
            <w:pPr>
              <w:spacing w:before="120" w:after="120"/>
              <w:rPr>
                <w:rFonts w:cs="Arial"/>
                <w:b/>
                <w:color w:val="000000"/>
                <w:szCs w:val="20"/>
              </w:rPr>
            </w:pPr>
            <w:r w:rsidRPr="00013E07">
              <w:rPr>
                <w:rFonts w:cs="Arial"/>
                <w:b/>
                <w:bCs/>
                <w:color w:val="000000"/>
              </w:rPr>
              <w:t>Page 66, IVIg Criteria Second Edition</w:t>
            </w:r>
            <w:r w:rsidRPr="00013E07">
              <w:rPr>
                <w:rFonts w:cs="Arial"/>
                <w:b/>
                <w:color w:val="000000"/>
                <w:szCs w:val="20"/>
              </w:rPr>
              <w:t>.</w:t>
            </w:r>
          </w:p>
        </w:tc>
      </w:tr>
      <w:tr w:rsidR="00013E07" w:rsidRPr="007B08DE" w:rsidTr="00FB37E8">
        <w:trPr>
          <w:cantSplit/>
          <w:trHeight w:val="1437"/>
        </w:trPr>
        <w:tc>
          <w:tcPr>
            <w:tcW w:w="993" w:type="dxa"/>
            <w:tcBorders>
              <w:top w:val="single" w:sz="4" w:space="0" w:color="auto"/>
              <w:left w:val="single" w:sz="4" w:space="0" w:color="auto"/>
              <w:bottom w:val="single" w:sz="4" w:space="0" w:color="auto"/>
              <w:right w:val="single" w:sz="4" w:space="0" w:color="auto"/>
            </w:tcBorders>
            <w:noWrap/>
            <w:vAlign w:val="center"/>
          </w:tcPr>
          <w:p w:rsidR="00013E07" w:rsidRPr="00ED6604" w:rsidRDefault="00013E07" w:rsidP="00013E07">
            <w:pPr>
              <w:rPr>
                <w:rFonts w:cs="Arial"/>
                <w:color w:val="000000"/>
                <w:szCs w:val="20"/>
              </w:rPr>
            </w:pPr>
            <w:r w:rsidRPr="00ED6604">
              <w:rPr>
                <w:rFonts w:cs="Arial"/>
                <w:color w:val="000000"/>
                <w:szCs w:val="20"/>
              </w:rPr>
              <w:t>5</w:t>
            </w:r>
          </w:p>
        </w:tc>
        <w:tc>
          <w:tcPr>
            <w:tcW w:w="3544" w:type="dxa"/>
            <w:tcBorders>
              <w:top w:val="nil"/>
              <w:left w:val="nil"/>
              <w:bottom w:val="single" w:sz="4" w:space="0" w:color="auto"/>
              <w:right w:val="single" w:sz="4" w:space="0" w:color="auto"/>
            </w:tcBorders>
            <w:vAlign w:val="center"/>
          </w:tcPr>
          <w:p w:rsidR="00013E07" w:rsidRPr="00ED6604" w:rsidRDefault="00013E07" w:rsidP="00013E07">
            <w:pPr>
              <w:rPr>
                <w:rFonts w:cs="Arial"/>
                <w:color w:val="000000"/>
                <w:szCs w:val="20"/>
              </w:rPr>
            </w:pPr>
            <w:r w:rsidRPr="00ED6604">
              <w:rPr>
                <w:rFonts w:cs="Arial"/>
                <w:color w:val="000000"/>
                <w:szCs w:val="20"/>
              </w:rPr>
              <w:t>Multifocal motor neuropathy</w:t>
            </w:r>
          </w:p>
        </w:tc>
        <w:tc>
          <w:tcPr>
            <w:tcW w:w="5811" w:type="dxa"/>
            <w:tcBorders>
              <w:top w:val="nil"/>
              <w:left w:val="nil"/>
              <w:bottom w:val="single" w:sz="4" w:space="0" w:color="auto"/>
              <w:right w:val="single" w:sz="4" w:space="0" w:color="auto"/>
            </w:tcBorders>
            <w:vAlign w:val="center"/>
          </w:tcPr>
          <w:p w:rsidR="00013E07" w:rsidRPr="00054829" w:rsidRDefault="00013E07" w:rsidP="00054829">
            <w:pPr>
              <w:spacing w:before="120" w:after="120"/>
              <w:rPr>
                <w:rFonts w:cs="Arial"/>
                <w:b/>
                <w:bCs/>
                <w:color w:val="000000"/>
              </w:rPr>
            </w:pPr>
            <w:r w:rsidRPr="00ED6604">
              <w:rPr>
                <w:rFonts w:cs="Arial"/>
                <w:color w:val="000000"/>
                <w:szCs w:val="20"/>
              </w:rPr>
              <w:t xml:space="preserve">The presence of persistent conduction block is now no longer necessary to qualify for IVIg therapy. The exclusion criteria now include </w:t>
            </w:r>
            <w:r w:rsidRPr="00ED6604">
              <w:rPr>
                <w:rFonts w:cs="Arial"/>
                <w:i/>
                <w:color w:val="000000"/>
                <w:szCs w:val="20"/>
              </w:rPr>
              <w:t>'significant sensory impairment without an adequate alternative explanation</w:t>
            </w:r>
            <w:r w:rsidRPr="00ED6604">
              <w:rPr>
                <w:rFonts w:cs="Arial"/>
                <w:color w:val="000000"/>
                <w:szCs w:val="20"/>
              </w:rPr>
              <w:t xml:space="preserve">’. </w:t>
            </w:r>
          </w:p>
          <w:p w:rsidR="00013E07" w:rsidRPr="00ED6604" w:rsidRDefault="00013E07" w:rsidP="00054829">
            <w:pPr>
              <w:spacing w:before="120" w:after="120"/>
              <w:rPr>
                <w:rFonts w:cs="Arial"/>
                <w:color w:val="000000"/>
                <w:szCs w:val="20"/>
              </w:rPr>
            </w:pPr>
            <w:r w:rsidRPr="00054829">
              <w:rPr>
                <w:rFonts w:cs="Arial"/>
                <w:b/>
                <w:bCs/>
                <w:color w:val="000000"/>
              </w:rPr>
              <w:t>Page 87, IVIg Criteria Second Edition.</w:t>
            </w:r>
          </w:p>
        </w:tc>
      </w:tr>
      <w:tr w:rsidR="00013E07" w:rsidRPr="007B08DE" w:rsidTr="00FB37E8">
        <w:trPr>
          <w:cantSplit/>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013E07" w:rsidRPr="007B08DE" w:rsidRDefault="00013E07" w:rsidP="0061264B">
            <w:pPr>
              <w:rPr>
                <w:rFonts w:cs="Arial"/>
                <w:bCs/>
                <w:color w:val="000000"/>
              </w:rPr>
            </w:pPr>
            <w:r w:rsidRPr="007B08DE">
              <w:rPr>
                <w:rFonts w:cs="Arial"/>
                <w:bCs/>
                <w:color w:val="000000"/>
              </w:rPr>
              <w:t>7</w:t>
            </w:r>
          </w:p>
        </w:tc>
        <w:tc>
          <w:tcPr>
            <w:tcW w:w="3544" w:type="dxa"/>
            <w:tcBorders>
              <w:top w:val="nil"/>
              <w:left w:val="nil"/>
              <w:bottom w:val="single" w:sz="4" w:space="0" w:color="auto"/>
              <w:right w:val="single" w:sz="4" w:space="0" w:color="auto"/>
            </w:tcBorders>
            <w:vAlign w:val="center"/>
          </w:tcPr>
          <w:p w:rsidR="00013E07" w:rsidRPr="007B08DE" w:rsidRDefault="00013E07" w:rsidP="0061264B">
            <w:pPr>
              <w:rPr>
                <w:rFonts w:cs="Arial"/>
                <w:bCs/>
                <w:color w:val="000000"/>
              </w:rPr>
            </w:pPr>
            <w:r w:rsidRPr="007B08DE">
              <w:rPr>
                <w:rFonts w:cs="Arial"/>
                <w:bCs/>
                <w:color w:val="000000"/>
              </w:rPr>
              <w:t>Epilepsy – rare childhood cases</w:t>
            </w:r>
          </w:p>
        </w:tc>
        <w:tc>
          <w:tcPr>
            <w:tcW w:w="5811" w:type="dxa"/>
            <w:tcBorders>
              <w:top w:val="nil"/>
              <w:left w:val="nil"/>
              <w:bottom w:val="single" w:sz="4" w:space="0" w:color="auto"/>
              <w:right w:val="single" w:sz="4" w:space="0" w:color="auto"/>
            </w:tcBorders>
            <w:vAlign w:val="center"/>
          </w:tcPr>
          <w:p w:rsidR="00013E07" w:rsidRDefault="00013E07" w:rsidP="00F101E4">
            <w:pPr>
              <w:spacing w:before="120" w:after="120"/>
              <w:rPr>
                <w:rFonts w:cs="Arial"/>
                <w:bCs/>
                <w:color w:val="000000"/>
              </w:rPr>
            </w:pPr>
            <w:r w:rsidRPr="007B08DE">
              <w:rPr>
                <w:rFonts w:cs="Arial"/>
                <w:bCs/>
                <w:color w:val="000000"/>
              </w:rPr>
              <w:t xml:space="preserve">Rasmussen syndrome </w:t>
            </w:r>
            <w:r>
              <w:rPr>
                <w:rFonts w:cs="Arial"/>
                <w:bCs/>
                <w:color w:val="000000"/>
              </w:rPr>
              <w:t xml:space="preserve">has been listed separately </w:t>
            </w:r>
            <w:r w:rsidRPr="007B08DE">
              <w:rPr>
                <w:rFonts w:cs="Arial"/>
                <w:bCs/>
                <w:color w:val="000000"/>
              </w:rPr>
              <w:t xml:space="preserve">from the ‘epilepsy’ listing. </w:t>
            </w:r>
          </w:p>
          <w:p w:rsidR="00013E07" w:rsidRDefault="00013E07" w:rsidP="00F101E4">
            <w:pPr>
              <w:spacing w:before="120" w:after="120"/>
              <w:rPr>
                <w:rFonts w:cs="Arial"/>
                <w:bCs/>
                <w:color w:val="000000"/>
              </w:rPr>
            </w:pPr>
            <w:r>
              <w:rPr>
                <w:rFonts w:cs="Arial"/>
                <w:bCs/>
                <w:color w:val="000000"/>
              </w:rPr>
              <w:t>The epilepsy indication has been s</w:t>
            </w:r>
            <w:r w:rsidRPr="007B08DE">
              <w:rPr>
                <w:rFonts w:cs="Arial"/>
                <w:bCs/>
                <w:color w:val="000000"/>
              </w:rPr>
              <w:t xml:space="preserve">trengthened </w:t>
            </w:r>
            <w:r>
              <w:rPr>
                <w:rFonts w:cs="Arial"/>
                <w:bCs/>
                <w:color w:val="000000"/>
              </w:rPr>
              <w:t>by including a requirement for a</w:t>
            </w:r>
            <w:r w:rsidRPr="007B08DE">
              <w:rPr>
                <w:rFonts w:cs="Arial"/>
                <w:bCs/>
                <w:color w:val="000000"/>
              </w:rPr>
              <w:t xml:space="preserve"> full assessment by </w:t>
            </w:r>
            <w:r>
              <w:rPr>
                <w:rFonts w:cs="Arial"/>
                <w:bCs/>
                <w:color w:val="000000"/>
              </w:rPr>
              <w:t xml:space="preserve">a </w:t>
            </w:r>
            <w:r w:rsidRPr="007B08DE">
              <w:rPr>
                <w:rFonts w:cs="Arial"/>
                <w:bCs/>
                <w:color w:val="000000"/>
              </w:rPr>
              <w:t xml:space="preserve">paediatric neurologist. </w:t>
            </w:r>
          </w:p>
          <w:p w:rsidR="00054829" w:rsidRPr="007B08DE" w:rsidRDefault="00054829" w:rsidP="00F101E4">
            <w:pPr>
              <w:spacing w:before="120" w:after="120"/>
              <w:rPr>
                <w:rFonts w:cs="Arial"/>
                <w:bCs/>
                <w:color w:val="000000"/>
              </w:rPr>
            </w:pPr>
            <w:r w:rsidRPr="00ED6604">
              <w:rPr>
                <w:rFonts w:cs="Arial"/>
                <w:b/>
                <w:color w:val="000000"/>
                <w:szCs w:val="20"/>
              </w:rPr>
              <w:t>Page 194, IVIg Criteria Second Edition.</w:t>
            </w:r>
          </w:p>
        </w:tc>
      </w:tr>
      <w:tr w:rsidR="00013E07" w:rsidRPr="007B08DE" w:rsidTr="00FB37E8">
        <w:trPr>
          <w:cantSplit/>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013E07" w:rsidRPr="007B08DE" w:rsidRDefault="00013E07" w:rsidP="0061264B">
            <w:pPr>
              <w:rPr>
                <w:rFonts w:cs="Arial"/>
                <w:bCs/>
                <w:color w:val="000000"/>
              </w:rPr>
            </w:pPr>
            <w:r w:rsidRPr="007B08DE">
              <w:rPr>
                <w:rFonts w:cs="Arial"/>
                <w:bCs/>
                <w:color w:val="000000"/>
              </w:rPr>
              <w:lastRenderedPageBreak/>
              <w:t>7</w:t>
            </w:r>
          </w:p>
        </w:tc>
        <w:tc>
          <w:tcPr>
            <w:tcW w:w="3544" w:type="dxa"/>
            <w:tcBorders>
              <w:top w:val="nil"/>
              <w:left w:val="nil"/>
              <w:bottom w:val="single" w:sz="4" w:space="0" w:color="auto"/>
              <w:right w:val="single" w:sz="4" w:space="0" w:color="auto"/>
            </w:tcBorders>
            <w:vAlign w:val="center"/>
          </w:tcPr>
          <w:p w:rsidR="00013E07" w:rsidRPr="007B08DE" w:rsidRDefault="00013E07" w:rsidP="002124F3">
            <w:pPr>
              <w:spacing w:before="120" w:after="120"/>
              <w:rPr>
                <w:rFonts w:cs="Arial"/>
                <w:bCs/>
                <w:color w:val="000000"/>
              </w:rPr>
            </w:pPr>
            <w:r w:rsidRPr="007B08DE">
              <w:rPr>
                <w:rFonts w:cs="Arial"/>
                <w:bCs/>
                <w:color w:val="000000"/>
              </w:rPr>
              <w:t>Potassium channel antibody-associated encephalopathy</w:t>
            </w:r>
          </w:p>
        </w:tc>
        <w:tc>
          <w:tcPr>
            <w:tcW w:w="5811" w:type="dxa"/>
            <w:tcBorders>
              <w:top w:val="nil"/>
              <w:left w:val="nil"/>
              <w:bottom w:val="single" w:sz="4" w:space="0" w:color="auto"/>
              <w:right w:val="single" w:sz="4" w:space="0" w:color="auto"/>
            </w:tcBorders>
            <w:vAlign w:val="center"/>
          </w:tcPr>
          <w:p w:rsidR="00013E07" w:rsidRDefault="00013E07" w:rsidP="002124F3">
            <w:pPr>
              <w:spacing w:before="120" w:after="120"/>
              <w:rPr>
                <w:rFonts w:cs="Arial"/>
                <w:bCs/>
                <w:color w:val="000000"/>
              </w:rPr>
            </w:pPr>
            <w:r w:rsidRPr="007B08DE">
              <w:rPr>
                <w:rFonts w:cs="Arial"/>
                <w:bCs/>
                <w:color w:val="000000"/>
              </w:rPr>
              <w:t xml:space="preserve">Minor wording changes </w:t>
            </w:r>
            <w:r>
              <w:rPr>
                <w:rFonts w:cs="Arial"/>
                <w:bCs/>
                <w:color w:val="000000"/>
              </w:rPr>
              <w:t xml:space="preserve">have been made to </w:t>
            </w:r>
            <w:r w:rsidRPr="007B08DE">
              <w:rPr>
                <w:rFonts w:cs="Arial"/>
                <w:bCs/>
                <w:color w:val="000000"/>
              </w:rPr>
              <w:t>specify syndrome names</w:t>
            </w:r>
            <w:r>
              <w:rPr>
                <w:rFonts w:cs="Arial"/>
                <w:bCs/>
                <w:color w:val="000000"/>
              </w:rPr>
              <w:t>.</w:t>
            </w:r>
          </w:p>
          <w:p w:rsidR="00054829" w:rsidRPr="007B08DE" w:rsidRDefault="00054829" w:rsidP="002124F3">
            <w:pPr>
              <w:spacing w:before="120" w:after="120"/>
              <w:rPr>
                <w:rFonts w:cs="Arial"/>
                <w:bCs/>
                <w:color w:val="000000"/>
              </w:rPr>
            </w:pPr>
            <w:r w:rsidRPr="00ED6604">
              <w:rPr>
                <w:rFonts w:cs="Arial"/>
                <w:b/>
                <w:color w:val="000000"/>
                <w:szCs w:val="20"/>
              </w:rPr>
              <w:t>Page 202, IVIg Criteria Second Edition</w:t>
            </w:r>
            <w:r w:rsidRPr="00ED6604">
              <w:rPr>
                <w:rFonts w:cs="Arial"/>
                <w:color w:val="000000"/>
                <w:szCs w:val="20"/>
              </w:rPr>
              <w:t>.</w:t>
            </w:r>
          </w:p>
        </w:tc>
      </w:tr>
      <w:tr w:rsidR="00054829" w:rsidRPr="007B08DE" w:rsidTr="00FB37E8">
        <w:trPr>
          <w:cantSplit/>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054829" w:rsidRPr="00ED6604" w:rsidRDefault="00054829" w:rsidP="00054829">
            <w:pPr>
              <w:rPr>
                <w:rFonts w:cs="Arial"/>
                <w:color w:val="000000"/>
                <w:szCs w:val="20"/>
              </w:rPr>
            </w:pPr>
            <w:r w:rsidRPr="00ED6604">
              <w:rPr>
                <w:rFonts w:cs="Arial"/>
                <w:color w:val="000000"/>
                <w:szCs w:val="20"/>
              </w:rPr>
              <w:t>7</w:t>
            </w:r>
          </w:p>
        </w:tc>
        <w:tc>
          <w:tcPr>
            <w:tcW w:w="3544" w:type="dxa"/>
            <w:tcBorders>
              <w:top w:val="nil"/>
              <w:left w:val="nil"/>
              <w:bottom w:val="single" w:sz="4" w:space="0" w:color="auto"/>
              <w:right w:val="single" w:sz="4" w:space="0" w:color="auto"/>
            </w:tcBorders>
            <w:vAlign w:val="center"/>
          </w:tcPr>
          <w:p w:rsidR="00054829" w:rsidRPr="00ED6604" w:rsidRDefault="00054829" w:rsidP="00054829">
            <w:pPr>
              <w:rPr>
                <w:rFonts w:cs="Arial"/>
                <w:color w:val="000000"/>
                <w:szCs w:val="20"/>
              </w:rPr>
            </w:pPr>
            <w:r w:rsidRPr="00ED6604">
              <w:rPr>
                <w:rFonts w:cs="Arial"/>
                <w:color w:val="000000"/>
                <w:szCs w:val="20"/>
              </w:rPr>
              <w:t xml:space="preserve"> Diabetic </w:t>
            </w:r>
            <w:proofErr w:type="spellStart"/>
            <w:r w:rsidRPr="00ED6604">
              <w:rPr>
                <w:rFonts w:cs="Arial"/>
                <w:color w:val="000000"/>
                <w:szCs w:val="20"/>
              </w:rPr>
              <w:t>amyotrophy</w:t>
            </w:r>
            <w:proofErr w:type="spellEnd"/>
          </w:p>
        </w:tc>
        <w:tc>
          <w:tcPr>
            <w:tcW w:w="5811" w:type="dxa"/>
            <w:tcBorders>
              <w:top w:val="nil"/>
              <w:left w:val="nil"/>
              <w:bottom w:val="single" w:sz="4" w:space="0" w:color="auto"/>
              <w:right w:val="single" w:sz="4" w:space="0" w:color="auto"/>
            </w:tcBorders>
            <w:vAlign w:val="center"/>
          </w:tcPr>
          <w:p w:rsidR="00054829" w:rsidRPr="00054829" w:rsidRDefault="00054829" w:rsidP="00054829">
            <w:pPr>
              <w:spacing w:before="120" w:after="120"/>
              <w:rPr>
                <w:rFonts w:cs="Arial"/>
                <w:b/>
                <w:bCs/>
                <w:color w:val="000000"/>
              </w:rPr>
            </w:pPr>
            <w:r w:rsidRPr="00ED6604">
              <w:rPr>
                <w:rFonts w:cs="Arial"/>
                <w:color w:val="000000"/>
                <w:szCs w:val="20"/>
              </w:rPr>
              <w:t xml:space="preserve">This condition has been renamed (previously listed as </w:t>
            </w:r>
            <w:r w:rsidRPr="00ED6604">
              <w:rPr>
                <w:rFonts w:cs="Arial"/>
                <w:i/>
                <w:color w:val="000000"/>
                <w:szCs w:val="20"/>
              </w:rPr>
              <w:t>‘autoimmune diabetic neuropathy</w:t>
            </w:r>
            <w:r w:rsidRPr="00ED6604">
              <w:rPr>
                <w:rFonts w:cs="Arial"/>
                <w:color w:val="000000"/>
                <w:szCs w:val="20"/>
              </w:rPr>
              <w:t xml:space="preserve">’).  The indication has been more explicitly defined.  Explicitly requires failure or intolerance of steroids. </w:t>
            </w:r>
          </w:p>
          <w:p w:rsidR="00054829" w:rsidRPr="00ED6604" w:rsidRDefault="00054829" w:rsidP="00054829">
            <w:pPr>
              <w:spacing w:before="120" w:after="120"/>
              <w:rPr>
                <w:rFonts w:cs="Arial"/>
                <w:b/>
                <w:color w:val="000000"/>
                <w:szCs w:val="20"/>
              </w:rPr>
            </w:pPr>
            <w:r w:rsidRPr="00054829">
              <w:rPr>
                <w:rFonts w:cs="Arial"/>
                <w:b/>
                <w:bCs/>
                <w:color w:val="000000"/>
              </w:rPr>
              <w:t>Page 194, IVIg Criteria Second Edition</w:t>
            </w:r>
            <w:r w:rsidRPr="00ED6604">
              <w:rPr>
                <w:rFonts w:cs="Arial"/>
                <w:b/>
                <w:color w:val="000000"/>
                <w:szCs w:val="20"/>
              </w:rPr>
              <w:t>.</w:t>
            </w:r>
          </w:p>
        </w:tc>
      </w:tr>
      <w:tr w:rsidR="00054829" w:rsidRPr="007B08DE" w:rsidTr="00FB37E8">
        <w:trPr>
          <w:cantSplit/>
          <w:trHeight w:val="1188"/>
        </w:trPr>
        <w:tc>
          <w:tcPr>
            <w:tcW w:w="993" w:type="dxa"/>
            <w:tcBorders>
              <w:top w:val="single" w:sz="4" w:space="0" w:color="auto"/>
              <w:left w:val="single" w:sz="4" w:space="0" w:color="auto"/>
              <w:bottom w:val="single" w:sz="4" w:space="0" w:color="auto"/>
              <w:right w:val="single" w:sz="4" w:space="0" w:color="auto"/>
            </w:tcBorders>
            <w:noWrap/>
            <w:vAlign w:val="center"/>
          </w:tcPr>
          <w:p w:rsidR="00054829" w:rsidRPr="007B08DE" w:rsidRDefault="00054829" w:rsidP="0061264B">
            <w:pPr>
              <w:rPr>
                <w:rFonts w:cs="Arial"/>
                <w:bCs/>
                <w:color w:val="000000"/>
              </w:rPr>
            </w:pPr>
            <w:r w:rsidRPr="007B08DE">
              <w:rPr>
                <w:rFonts w:cs="Arial"/>
                <w:bCs/>
                <w:color w:val="000000"/>
              </w:rPr>
              <w:t>7</w:t>
            </w:r>
          </w:p>
        </w:tc>
        <w:tc>
          <w:tcPr>
            <w:tcW w:w="3544" w:type="dxa"/>
            <w:tcBorders>
              <w:top w:val="single" w:sz="4" w:space="0" w:color="auto"/>
              <w:left w:val="nil"/>
              <w:bottom w:val="single" w:sz="4" w:space="0" w:color="auto"/>
              <w:right w:val="single" w:sz="4" w:space="0" w:color="auto"/>
            </w:tcBorders>
            <w:vAlign w:val="center"/>
          </w:tcPr>
          <w:p w:rsidR="00054829" w:rsidRPr="007B08DE" w:rsidRDefault="00054829" w:rsidP="00610AC8">
            <w:pPr>
              <w:spacing w:before="120" w:after="120"/>
              <w:rPr>
                <w:rFonts w:cs="Arial"/>
                <w:bCs/>
                <w:color w:val="000000"/>
              </w:rPr>
            </w:pPr>
            <w:proofErr w:type="spellStart"/>
            <w:r w:rsidRPr="007B08DE">
              <w:rPr>
                <w:rFonts w:cs="Arial"/>
                <w:bCs/>
                <w:color w:val="000000"/>
              </w:rPr>
              <w:t>Paraneoplastic</w:t>
            </w:r>
            <w:proofErr w:type="spellEnd"/>
            <w:r w:rsidRPr="007B08DE">
              <w:rPr>
                <w:rFonts w:cs="Arial"/>
                <w:bCs/>
                <w:color w:val="000000"/>
              </w:rPr>
              <w:t xml:space="preserve"> syndromes</w:t>
            </w:r>
          </w:p>
        </w:tc>
        <w:tc>
          <w:tcPr>
            <w:tcW w:w="5811" w:type="dxa"/>
            <w:tcBorders>
              <w:top w:val="single" w:sz="4" w:space="0" w:color="auto"/>
              <w:left w:val="nil"/>
              <w:bottom w:val="single" w:sz="4" w:space="0" w:color="auto"/>
              <w:right w:val="single" w:sz="4" w:space="0" w:color="auto"/>
            </w:tcBorders>
            <w:vAlign w:val="center"/>
          </w:tcPr>
          <w:p w:rsidR="00054829" w:rsidRDefault="00054829" w:rsidP="00D53390">
            <w:pPr>
              <w:spacing w:before="120" w:after="120"/>
              <w:rPr>
                <w:rFonts w:cs="Arial"/>
                <w:bCs/>
                <w:color w:val="000000"/>
              </w:rPr>
            </w:pPr>
            <w:r>
              <w:rPr>
                <w:rFonts w:cs="Arial"/>
                <w:bCs/>
                <w:color w:val="000000"/>
              </w:rPr>
              <w:t xml:space="preserve">The </w:t>
            </w:r>
            <w:proofErr w:type="spellStart"/>
            <w:r>
              <w:rPr>
                <w:rFonts w:cs="Arial"/>
                <w:bCs/>
                <w:color w:val="000000"/>
              </w:rPr>
              <w:t>paraneoplastic</w:t>
            </w:r>
            <w:proofErr w:type="spellEnd"/>
            <w:r>
              <w:rPr>
                <w:rFonts w:cs="Arial"/>
                <w:bCs/>
                <w:color w:val="000000"/>
              </w:rPr>
              <w:t xml:space="preserve"> syndromes are now </w:t>
            </w:r>
            <w:r w:rsidRPr="007B08DE">
              <w:rPr>
                <w:rFonts w:cs="Arial"/>
                <w:bCs/>
                <w:color w:val="000000"/>
              </w:rPr>
              <w:t xml:space="preserve">more explicitly defined and </w:t>
            </w:r>
            <w:r>
              <w:rPr>
                <w:rFonts w:cs="Arial"/>
                <w:bCs/>
                <w:color w:val="000000"/>
              </w:rPr>
              <w:t>are</w:t>
            </w:r>
            <w:r w:rsidRPr="007B08DE">
              <w:rPr>
                <w:rFonts w:cs="Arial"/>
                <w:bCs/>
                <w:color w:val="000000"/>
              </w:rPr>
              <w:t xml:space="preserve"> listed separately under three separate indications: </w:t>
            </w:r>
            <w:proofErr w:type="spellStart"/>
            <w:r w:rsidRPr="007B08DE">
              <w:rPr>
                <w:rFonts w:cs="Arial"/>
                <w:bCs/>
                <w:color w:val="000000"/>
              </w:rPr>
              <w:t>Paraneoplastic</w:t>
            </w:r>
            <w:proofErr w:type="spellEnd"/>
            <w:r w:rsidRPr="007B08DE">
              <w:rPr>
                <w:rFonts w:cs="Arial"/>
                <w:bCs/>
                <w:color w:val="000000"/>
              </w:rPr>
              <w:t xml:space="preserve"> cerebellar degeneration, Limbic </w:t>
            </w:r>
            <w:r>
              <w:rPr>
                <w:rFonts w:cs="Arial"/>
                <w:bCs/>
                <w:color w:val="000000"/>
              </w:rPr>
              <w:t>e</w:t>
            </w:r>
            <w:r w:rsidRPr="007B08DE">
              <w:rPr>
                <w:rFonts w:cs="Arial"/>
                <w:bCs/>
                <w:color w:val="000000"/>
              </w:rPr>
              <w:t>ncephalitis (</w:t>
            </w:r>
            <w:proofErr w:type="spellStart"/>
            <w:r>
              <w:rPr>
                <w:rFonts w:cs="Arial"/>
                <w:bCs/>
                <w:color w:val="000000"/>
              </w:rPr>
              <w:t>p</w:t>
            </w:r>
            <w:r w:rsidRPr="007B08DE">
              <w:rPr>
                <w:rFonts w:cs="Arial"/>
                <w:bCs/>
                <w:color w:val="000000"/>
              </w:rPr>
              <w:t>araneoplastic</w:t>
            </w:r>
            <w:proofErr w:type="spellEnd"/>
            <w:r w:rsidRPr="007B08DE">
              <w:rPr>
                <w:rFonts w:cs="Arial"/>
                <w:bCs/>
                <w:color w:val="000000"/>
              </w:rPr>
              <w:t xml:space="preserve">) and </w:t>
            </w:r>
            <w:proofErr w:type="spellStart"/>
            <w:r w:rsidRPr="007B08DE">
              <w:rPr>
                <w:rFonts w:cs="Arial"/>
                <w:bCs/>
                <w:color w:val="000000"/>
              </w:rPr>
              <w:t>Paraneoplastic</w:t>
            </w:r>
            <w:proofErr w:type="spellEnd"/>
            <w:r w:rsidRPr="007B08DE">
              <w:rPr>
                <w:rFonts w:cs="Arial"/>
                <w:bCs/>
                <w:color w:val="000000"/>
              </w:rPr>
              <w:t xml:space="preserve"> </w:t>
            </w:r>
            <w:r>
              <w:rPr>
                <w:rFonts w:cs="Arial"/>
                <w:bCs/>
                <w:color w:val="000000"/>
              </w:rPr>
              <w:t>s</w:t>
            </w:r>
            <w:r w:rsidRPr="007B08DE">
              <w:rPr>
                <w:rFonts w:cs="Arial"/>
                <w:bCs/>
                <w:color w:val="000000"/>
              </w:rPr>
              <w:t xml:space="preserve">ubacute </w:t>
            </w:r>
            <w:r>
              <w:rPr>
                <w:rFonts w:cs="Arial"/>
                <w:bCs/>
                <w:color w:val="000000"/>
              </w:rPr>
              <w:t>s</w:t>
            </w:r>
            <w:r w:rsidRPr="007B08DE">
              <w:rPr>
                <w:rFonts w:cs="Arial"/>
                <w:bCs/>
                <w:color w:val="000000"/>
              </w:rPr>
              <w:t xml:space="preserve">ensory </w:t>
            </w:r>
            <w:r>
              <w:rPr>
                <w:rFonts w:cs="Arial"/>
                <w:bCs/>
                <w:color w:val="000000"/>
              </w:rPr>
              <w:t>n</w:t>
            </w:r>
            <w:r w:rsidRPr="007B08DE">
              <w:rPr>
                <w:rFonts w:cs="Arial"/>
                <w:bCs/>
                <w:color w:val="000000"/>
              </w:rPr>
              <w:t>europathy.</w:t>
            </w:r>
          </w:p>
          <w:p w:rsidR="00054829" w:rsidRPr="007B08DE" w:rsidRDefault="00054829" w:rsidP="00D53390">
            <w:pPr>
              <w:spacing w:before="120" w:after="120"/>
              <w:rPr>
                <w:rFonts w:cs="Arial"/>
                <w:bCs/>
                <w:color w:val="000000"/>
              </w:rPr>
            </w:pPr>
            <w:r w:rsidRPr="00ED6604">
              <w:rPr>
                <w:rFonts w:cs="Arial"/>
                <w:b/>
                <w:color w:val="000000"/>
                <w:szCs w:val="20"/>
              </w:rPr>
              <w:t>Page 200, IVIg Criteria Second Edition</w:t>
            </w:r>
          </w:p>
        </w:tc>
      </w:tr>
      <w:tr w:rsidR="00054829" w:rsidRPr="007B08DE" w:rsidTr="00FB37E8">
        <w:trPr>
          <w:cantSplit/>
          <w:trHeight w:val="413"/>
        </w:trPr>
        <w:tc>
          <w:tcPr>
            <w:tcW w:w="993" w:type="dxa"/>
            <w:tcBorders>
              <w:top w:val="single" w:sz="4" w:space="0" w:color="auto"/>
              <w:left w:val="single" w:sz="4" w:space="0" w:color="auto"/>
              <w:bottom w:val="single" w:sz="4" w:space="0" w:color="auto"/>
              <w:right w:val="single" w:sz="4" w:space="0" w:color="auto"/>
            </w:tcBorders>
            <w:noWrap/>
            <w:vAlign w:val="center"/>
          </w:tcPr>
          <w:p w:rsidR="00054829" w:rsidRPr="007B08DE" w:rsidRDefault="00054829" w:rsidP="0061264B">
            <w:pPr>
              <w:rPr>
                <w:rFonts w:cs="Arial"/>
                <w:bCs/>
                <w:color w:val="000000"/>
              </w:rPr>
            </w:pPr>
            <w:r w:rsidRPr="007B08DE">
              <w:rPr>
                <w:rFonts w:cs="Arial"/>
                <w:bCs/>
                <w:color w:val="000000"/>
              </w:rPr>
              <w:t>7</w:t>
            </w:r>
          </w:p>
        </w:tc>
        <w:tc>
          <w:tcPr>
            <w:tcW w:w="3544" w:type="dxa"/>
            <w:tcBorders>
              <w:top w:val="single" w:sz="4" w:space="0" w:color="auto"/>
              <w:left w:val="nil"/>
              <w:bottom w:val="single" w:sz="4" w:space="0" w:color="auto"/>
              <w:right w:val="single" w:sz="4" w:space="0" w:color="auto"/>
            </w:tcBorders>
            <w:vAlign w:val="center"/>
          </w:tcPr>
          <w:p w:rsidR="00054829" w:rsidRPr="007B08DE" w:rsidRDefault="00054829" w:rsidP="00610AC8">
            <w:pPr>
              <w:spacing w:before="120" w:after="120"/>
              <w:rPr>
                <w:rFonts w:cs="Arial"/>
                <w:bCs/>
                <w:color w:val="000000"/>
              </w:rPr>
            </w:pPr>
            <w:r w:rsidRPr="007B08DE">
              <w:rPr>
                <w:rFonts w:cs="Arial"/>
                <w:bCs/>
                <w:color w:val="000000"/>
              </w:rPr>
              <w:t xml:space="preserve">Catastrophic </w:t>
            </w:r>
            <w:proofErr w:type="spellStart"/>
            <w:r w:rsidRPr="007B08DE">
              <w:rPr>
                <w:rFonts w:cs="Arial"/>
                <w:bCs/>
                <w:color w:val="000000"/>
              </w:rPr>
              <w:t>antiphospholipid</w:t>
            </w:r>
            <w:proofErr w:type="spellEnd"/>
            <w:r w:rsidRPr="007B08DE">
              <w:rPr>
                <w:rFonts w:cs="Arial"/>
                <w:bCs/>
                <w:color w:val="000000"/>
              </w:rPr>
              <w:t xml:space="preserve"> syndrome</w:t>
            </w:r>
          </w:p>
        </w:tc>
        <w:tc>
          <w:tcPr>
            <w:tcW w:w="5811" w:type="dxa"/>
            <w:tcBorders>
              <w:top w:val="single" w:sz="4" w:space="0" w:color="auto"/>
              <w:left w:val="nil"/>
              <w:bottom w:val="single" w:sz="4" w:space="0" w:color="auto"/>
              <w:right w:val="single" w:sz="4" w:space="0" w:color="auto"/>
            </w:tcBorders>
            <w:vAlign w:val="center"/>
          </w:tcPr>
          <w:p w:rsidR="00054829" w:rsidRDefault="00054829" w:rsidP="00610AC8">
            <w:pPr>
              <w:spacing w:before="120" w:after="120"/>
              <w:rPr>
                <w:rFonts w:cs="Arial"/>
                <w:bCs/>
                <w:color w:val="000000"/>
              </w:rPr>
            </w:pPr>
            <w:r>
              <w:rPr>
                <w:rFonts w:cs="Arial"/>
                <w:bCs/>
                <w:color w:val="000000"/>
              </w:rPr>
              <w:t xml:space="preserve">Minor wording changes were made to clearly specify the </w:t>
            </w:r>
            <w:r w:rsidRPr="007B08DE">
              <w:rPr>
                <w:rFonts w:cs="Arial"/>
                <w:bCs/>
                <w:color w:val="000000"/>
              </w:rPr>
              <w:t>qualifying criteria and dose.</w:t>
            </w:r>
          </w:p>
          <w:p w:rsidR="00054829" w:rsidRPr="007B08DE" w:rsidRDefault="00782EFB" w:rsidP="00782EFB">
            <w:pPr>
              <w:spacing w:before="120" w:after="120"/>
              <w:rPr>
                <w:rFonts w:cs="Arial"/>
                <w:bCs/>
                <w:color w:val="000000"/>
              </w:rPr>
            </w:pPr>
            <w:proofErr w:type="spellStart"/>
            <w:r w:rsidRPr="00782EFB">
              <w:rPr>
                <w:rFonts w:cs="Arial"/>
                <w:b/>
                <w:color w:val="000000"/>
                <w:szCs w:val="20"/>
              </w:rPr>
              <w:t>Pg</w:t>
            </w:r>
            <w:proofErr w:type="spellEnd"/>
            <w:r w:rsidRPr="00782EFB">
              <w:rPr>
                <w:rFonts w:cs="Arial"/>
                <w:b/>
                <w:color w:val="000000"/>
                <w:szCs w:val="20"/>
              </w:rPr>
              <w:t xml:space="preserve"> 189, IVIg Criteria Second Edition</w:t>
            </w:r>
          </w:p>
        </w:tc>
      </w:tr>
      <w:tr w:rsidR="00054829" w:rsidRPr="007B08DE" w:rsidTr="00FB37E8">
        <w:trPr>
          <w:cantSplit/>
          <w:trHeight w:val="1124"/>
        </w:trPr>
        <w:tc>
          <w:tcPr>
            <w:tcW w:w="993" w:type="dxa"/>
            <w:tcBorders>
              <w:top w:val="single" w:sz="4" w:space="0" w:color="auto"/>
              <w:left w:val="single" w:sz="4" w:space="0" w:color="auto"/>
              <w:bottom w:val="single" w:sz="4" w:space="0" w:color="auto"/>
              <w:right w:val="single" w:sz="4" w:space="0" w:color="auto"/>
            </w:tcBorders>
            <w:noWrap/>
            <w:vAlign w:val="center"/>
          </w:tcPr>
          <w:p w:rsidR="00054829" w:rsidRPr="007B08DE" w:rsidRDefault="00054829" w:rsidP="0061264B">
            <w:pPr>
              <w:rPr>
                <w:rFonts w:cs="Arial"/>
                <w:bCs/>
                <w:color w:val="000000"/>
              </w:rPr>
            </w:pPr>
            <w:r w:rsidRPr="007B08DE">
              <w:rPr>
                <w:rFonts w:cs="Arial"/>
                <w:bCs/>
                <w:color w:val="000000"/>
              </w:rPr>
              <w:t>7</w:t>
            </w:r>
          </w:p>
        </w:tc>
        <w:tc>
          <w:tcPr>
            <w:tcW w:w="3544" w:type="dxa"/>
            <w:tcBorders>
              <w:top w:val="single" w:sz="4" w:space="0" w:color="auto"/>
              <w:left w:val="nil"/>
              <w:bottom w:val="single" w:sz="4" w:space="0" w:color="auto"/>
              <w:right w:val="single" w:sz="4" w:space="0" w:color="auto"/>
            </w:tcBorders>
            <w:vAlign w:val="center"/>
          </w:tcPr>
          <w:p w:rsidR="00054829" w:rsidRPr="007B08DE" w:rsidRDefault="00054829" w:rsidP="00610AC8">
            <w:pPr>
              <w:spacing w:before="120" w:after="120"/>
              <w:rPr>
                <w:rFonts w:cs="Arial"/>
                <w:bCs/>
                <w:color w:val="000000"/>
              </w:rPr>
            </w:pPr>
            <w:r w:rsidRPr="007B08DE">
              <w:rPr>
                <w:rFonts w:cs="Arial"/>
                <w:bCs/>
                <w:color w:val="000000"/>
              </w:rPr>
              <w:t>Myocarditis in children</w:t>
            </w:r>
          </w:p>
        </w:tc>
        <w:tc>
          <w:tcPr>
            <w:tcW w:w="5811" w:type="dxa"/>
            <w:tcBorders>
              <w:top w:val="nil"/>
              <w:left w:val="nil"/>
              <w:bottom w:val="single" w:sz="4" w:space="0" w:color="auto"/>
              <w:right w:val="single" w:sz="4" w:space="0" w:color="auto"/>
            </w:tcBorders>
            <w:vAlign w:val="center"/>
          </w:tcPr>
          <w:p w:rsidR="00054829" w:rsidRDefault="00054829" w:rsidP="00D53390">
            <w:pPr>
              <w:spacing w:before="120" w:after="120"/>
              <w:rPr>
                <w:rFonts w:cs="Arial"/>
                <w:bCs/>
                <w:color w:val="000000"/>
              </w:rPr>
            </w:pPr>
            <w:r>
              <w:rPr>
                <w:rFonts w:cs="Arial"/>
                <w:bCs/>
                <w:color w:val="000000"/>
              </w:rPr>
              <w:t>The changes to the myocarditis in children indication stems from the November 2008 c</w:t>
            </w:r>
            <w:r w:rsidRPr="007B08DE">
              <w:rPr>
                <w:rFonts w:cs="Arial"/>
                <w:bCs/>
                <w:color w:val="000000"/>
              </w:rPr>
              <w:t xml:space="preserve">larification </w:t>
            </w:r>
            <w:r>
              <w:rPr>
                <w:rFonts w:cs="Arial"/>
                <w:bCs/>
                <w:color w:val="000000"/>
              </w:rPr>
              <w:t>p</w:t>
            </w:r>
            <w:r w:rsidRPr="007B08DE">
              <w:rPr>
                <w:rFonts w:cs="Arial"/>
                <w:bCs/>
                <w:color w:val="000000"/>
              </w:rPr>
              <w:t>rocess</w:t>
            </w:r>
            <w:r>
              <w:rPr>
                <w:rFonts w:cs="Arial"/>
                <w:bCs/>
                <w:color w:val="000000"/>
              </w:rPr>
              <w:t>,</w:t>
            </w:r>
            <w:r w:rsidRPr="007B08DE">
              <w:rPr>
                <w:rFonts w:cs="Arial"/>
                <w:bCs/>
                <w:color w:val="000000"/>
              </w:rPr>
              <w:t xml:space="preserve"> which removed the requirement to conduct an invasive test that </w:t>
            </w:r>
            <w:r>
              <w:rPr>
                <w:rFonts w:cs="Arial"/>
                <w:bCs/>
                <w:color w:val="000000"/>
              </w:rPr>
              <w:t>does</w:t>
            </w:r>
            <w:r w:rsidRPr="007B08DE">
              <w:rPr>
                <w:rFonts w:cs="Arial"/>
                <w:bCs/>
                <w:color w:val="000000"/>
              </w:rPr>
              <w:t xml:space="preserve"> not provide results in a timely way and ha</w:t>
            </w:r>
            <w:r>
              <w:rPr>
                <w:rFonts w:cs="Arial"/>
                <w:bCs/>
                <w:color w:val="000000"/>
              </w:rPr>
              <w:t>s</w:t>
            </w:r>
            <w:r w:rsidRPr="007B08DE">
              <w:rPr>
                <w:rFonts w:cs="Arial"/>
                <w:bCs/>
                <w:color w:val="000000"/>
              </w:rPr>
              <w:t xml:space="preserve"> the potential to cause harm.</w:t>
            </w:r>
          </w:p>
          <w:p w:rsidR="00054829" w:rsidRPr="007B08DE" w:rsidRDefault="00054829" w:rsidP="00D53390">
            <w:pPr>
              <w:spacing w:before="120" w:after="120"/>
              <w:rPr>
                <w:rFonts w:cs="Arial"/>
                <w:bCs/>
                <w:color w:val="000000"/>
              </w:rPr>
            </w:pPr>
            <w:r w:rsidRPr="00ED6604">
              <w:rPr>
                <w:rFonts w:cs="Arial"/>
                <w:b/>
                <w:color w:val="000000"/>
                <w:szCs w:val="20"/>
              </w:rPr>
              <w:t>Page 198, IVIg Criteria Second Edition</w:t>
            </w:r>
          </w:p>
        </w:tc>
      </w:tr>
    </w:tbl>
    <w:p w:rsidR="00C40AE7" w:rsidRDefault="00C40AE7" w:rsidP="003F4A4B">
      <w:pPr>
        <w:spacing w:before="360" w:after="120"/>
        <w:ind w:left="-709"/>
      </w:pPr>
    </w:p>
    <w:sectPr w:rsidR="00C40AE7" w:rsidSect="00A64022">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20" w:rsidRDefault="00A66920" w:rsidP="00BB3C0A">
      <w:r>
        <w:separator/>
      </w:r>
    </w:p>
  </w:endnote>
  <w:endnote w:type="continuationSeparator" w:id="0">
    <w:p w:rsidR="00A66920" w:rsidRDefault="00A66920" w:rsidP="00BB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8755"/>
      <w:docPartObj>
        <w:docPartGallery w:val="Page Numbers (Bottom of Page)"/>
        <w:docPartUnique/>
      </w:docPartObj>
    </w:sdtPr>
    <w:sdtEndPr/>
    <w:sdtContent>
      <w:sdt>
        <w:sdtPr>
          <w:id w:val="-1669238322"/>
          <w:docPartObj>
            <w:docPartGallery w:val="Page Numbers (Top of Page)"/>
            <w:docPartUnique/>
          </w:docPartObj>
        </w:sdtPr>
        <w:sdtEndPr/>
        <w:sdtContent>
          <w:p w:rsidR="00BA164F" w:rsidRDefault="00BA164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5368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53681">
              <w:rPr>
                <w:b/>
                <w:bCs/>
                <w:noProof/>
              </w:rPr>
              <w:t>5</w:t>
            </w:r>
            <w:r>
              <w:rPr>
                <w:b/>
                <w:bCs/>
                <w:sz w:val="24"/>
              </w:rPr>
              <w:fldChar w:fldCharType="end"/>
            </w:r>
          </w:p>
        </w:sdtContent>
      </w:sdt>
    </w:sdtContent>
  </w:sdt>
  <w:p w:rsidR="00BA164F" w:rsidRDefault="00BA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20" w:rsidRDefault="00A66920" w:rsidP="00BB3C0A">
      <w:r>
        <w:separator/>
      </w:r>
    </w:p>
  </w:footnote>
  <w:footnote w:type="continuationSeparator" w:id="0">
    <w:p w:rsidR="00A66920" w:rsidRDefault="00A66920" w:rsidP="00BB3C0A">
      <w:r>
        <w:continuationSeparator/>
      </w:r>
    </w:p>
  </w:footnote>
  <w:footnote w:id="1">
    <w:p w:rsidR="00BA164F" w:rsidRPr="008D21D8" w:rsidRDefault="00BA164F" w:rsidP="00BB3C0A">
      <w:pPr>
        <w:pStyle w:val="FootnoteText"/>
      </w:pPr>
      <w:r w:rsidRPr="008D21D8">
        <w:rPr>
          <w:rStyle w:val="FootnoteReference"/>
        </w:rPr>
        <w:footnoteRef/>
      </w:r>
      <w:r w:rsidRPr="008D21D8">
        <w:t xml:space="preserve"> </w:t>
      </w:r>
      <w:proofErr w:type="spellStart"/>
      <w:r>
        <w:t>Brockelhurst</w:t>
      </w:r>
      <w:proofErr w:type="spellEnd"/>
      <w:r>
        <w:t xml:space="preserve"> et al. International Neonatal Immunotherapy Study (INIS) Collaborative Group. </w:t>
      </w:r>
      <w:proofErr w:type="gramStart"/>
      <w:r>
        <w:t>Treatment of Neonatal Sepsis with Intravenous Immune Globulin.</w:t>
      </w:r>
      <w:proofErr w:type="gramEnd"/>
      <w:r>
        <w:t xml:space="preserve"> N </w:t>
      </w:r>
      <w:proofErr w:type="spellStart"/>
      <w:r>
        <w:t>Engl</w:t>
      </w:r>
      <w:proofErr w:type="spellEnd"/>
      <w:r>
        <w:t xml:space="preserve"> J Med 2011;365: 1201-11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1A"/>
    <w:multiLevelType w:val="hybridMultilevel"/>
    <w:tmpl w:val="7248AC44"/>
    <w:lvl w:ilvl="0" w:tplc="3822B99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1EA65EF"/>
    <w:multiLevelType w:val="hybridMultilevel"/>
    <w:tmpl w:val="49804638"/>
    <w:lvl w:ilvl="0" w:tplc="B5BECB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2750F1"/>
    <w:multiLevelType w:val="hybridMultilevel"/>
    <w:tmpl w:val="E04A0E90"/>
    <w:lvl w:ilvl="0" w:tplc="F81A82A2">
      <w:start w:val="1"/>
      <w:numFmt w:val="lowerRoman"/>
      <w:lvlText w:val="%1)"/>
      <w:lvlJc w:val="left"/>
      <w:pPr>
        <w:ind w:left="288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42EA4862"/>
    <w:multiLevelType w:val="hybridMultilevel"/>
    <w:tmpl w:val="330491FE"/>
    <w:lvl w:ilvl="0" w:tplc="3822B9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DC61E1B"/>
    <w:multiLevelType w:val="hybridMultilevel"/>
    <w:tmpl w:val="334AEBA2"/>
    <w:lvl w:ilvl="0" w:tplc="B5BECBAE">
      <w:start w:val="1"/>
      <w:numFmt w:val="lowerRoman"/>
      <w:lvlText w:val="%1)"/>
      <w:lvlJc w:val="left"/>
      <w:pPr>
        <w:ind w:left="1440" w:hanging="720"/>
      </w:pPr>
      <w:rPr>
        <w:rFonts w:hint="default"/>
      </w:rPr>
    </w:lvl>
    <w:lvl w:ilvl="1" w:tplc="0180C9BA">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70E31488"/>
    <w:multiLevelType w:val="hybridMultilevel"/>
    <w:tmpl w:val="29C0F84C"/>
    <w:lvl w:ilvl="0" w:tplc="F81A82A2">
      <w:start w:val="1"/>
      <w:numFmt w:val="lowerRoman"/>
      <w:lvlText w:val="%1)"/>
      <w:lvlJc w:val="left"/>
      <w:pPr>
        <w:ind w:left="1440" w:hanging="720"/>
      </w:pPr>
      <w:rPr>
        <w:rFonts w:hint="default"/>
      </w:rPr>
    </w:lvl>
    <w:lvl w:ilvl="1" w:tplc="0180C9BA">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D311967-F5B9-460E-8C9D-406BCEA1E6DF}"/>
    <w:docVar w:name="dgnword-eventsink" w:val="252176624"/>
  </w:docVars>
  <w:rsids>
    <w:rsidRoot w:val="00410231"/>
    <w:rsid w:val="00013E07"/>
    <w:rsid w:val="00033C41"/>
    <w:rsid w:val="00053BE4"/>
    <w:rsid w:val="00054829"/>
    <w:rsid w:val="000C07C7"/>
    <w:rsid w:val="000D5839"/>
    <w:rsid w:val="00153681"/>
    <w:rsid w:val="00192D2A"/>
    <w:rsid w:val="001C1336"/>
    <w:rsid w:val="001D55C3"/>
    <w:rsid w:val="002124F3"/>
    <w:rsid w:val="00261F43"/>
    <w:rsid w:val="002D7EFE"/>
    <w:rsid w:val="003F4A4B"/>
    <w:rsid w:val="00410231"/>
    <w:rsid w:val="005D342B"/>
    <w:rsid w:val="00610AC8"/>
    <w:rsid w:val="0061264B"/>
    <w:rsid w:val="006D297E"/>
    <w:rsid w:val="006D37DA"/>
    <w:rsid w:val="006D3AE5"/>
    <w:rsid w:val="006D6AEB"/>
    <w:rsid w:val="006F2073"/>
    <w:rsid w:val="00754C24"/>
    <w:rsid w:val="00782EFB"/>
    <w:rsid w:val="00870D73"/>
    <w:rsid w:val="0093726B"/>
    <w:rsid w:val="00943DEF"/>
    <w:rsid w:val="00A01463"/>
    <w:rsid w:val="00A12604"/>
    <w:rsid w:val="00A37919"/>
    <w:rsid w:val="00A64022"/>
    <w:rsid w:val="00A66920"/>
    <w:rsid w:val="00A933F9"/>
    <w:rsid w:val="00BA164F"/>
    <w:rsid w:val="00BB3C0A"/>
    <w:rsid w:val="00BD6990"/>
    <w:rsid w:val="00C40AE7"/>
    <w:rsid w:val="00C66579"/>
    <w:rsid w:val="00CF625D"/>
    <w:rsid w:val="00D02652"/>
    <w:rsid w:val="00D53390"/>
    <w:rsid w:val="00D753B4"/>
    <w:rsid w:val="00E319D0"/>
    <w:rsid w:val="00E76176"/>
    <w:rsid w:val="00F101E4"/>
    <w:rsid w:val="00FB3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31"/>
    <w:pPr>
      <w:spacing w:after="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31"/>
    <w:pPr>
      <w:ind w:left="720"/>
      <w:contextualSpacing/>
    </w:pPr>
  </w:style>
  <w:style w:type="paragraph" w:styleId="BalloonText">
    <w:name w:val="Balloon Text"/>
    <w:basedOn w:val="Normal"/>
    <w:link w:val="BalloonTextChar"/>
    <w:uiPriority w:val="99"/>
    <w:semiHidden/>
    <w:unhideWhenUsed/>
    <w:rsid w:val="00410231"/>
    <w:rPr>
      <w:rFonts w:ascii="Tahoma" w:hAnsi="Tahoma" w:cs="Tahoma"/>
      <w:sz w:val="16"/>
      <w:szCs w:val="16"/>
    </w:rPr>
  </w:style>
  <w:style w:type="character" w:customStyle="1" w:styleId="BalloonTextChar">
    <w:name w:val="Balloon Text Char"/>
    <w:basedOn w:val="DefaultParagraphFont"/>
    <w:link w:val="BalloonText"/>
    <w:uiPriority w:val="99"/>
    <w:semiHidden/>
    <w:rsid w:val="00410231"/>
    <w:rPr>
      <w:rFonts w:ascii="Tahoma" w:eastAsia="MS Mincho" w:hAnsi="Tahoma" w:cs="Tahoma"/>
      <w:sz w:val="16"/>
      <w:szCs w:val="16"/>
    </w:rPr>
  </w:style>
  <w:style w:type="paragraph" w:styleId="FootnoteText">
    <w:name w:val="footnote text"/>
    <w:basedOn w:val="Normal"/>
    <w:link w:val="FootnoteTextChar"/>
    <w:uiPriority w:val="99"/>
    <w:semiHidden/>
    <w:unhideWhenUsed/>
    <w:rsid w:val="00BB3C0A"/>
    <w:rPr>
      <w:szCs w:val="20"/>
    </w:rPr>
  </w:style>
  <w:style w:type="character" w:customStyle="1" w:styleId="FootnoteTextChar">
    <w:name w:val="Footnote Text Char"/>
    <w:basedOn w:val="DefaultParagraphFont"/>
    <w:link w:val="FootnoteText"/>
    <w:uiPriority w:val="99"/>
    <w:semiHidden/>
    <w:rsid w:val="00BB3C0A"/>
    <w:rPr>
      <w:rFonts w:ascii="Arial" w:eastAsia="MS Mincho" w:hAnsi="Arial" w:cs="Times New Roman"/>
      <w:sz w:val="20"/>
      <w:szCs w:val="20"/>
    </w:rPr>
  </w:style>
  <w:style w:type="character" w:styleId="FootnoteReference">
    <w:name w:val="footnote reference"/>
    <w:basedOn w:val="DefaultParagraphFont"/>
    <w:uiPriority w:val="99"/>
    <w:semiHidden/>
    <w:unhideWhenUsed/>
    <w:rsid w:val="00BB3C0A"/>
    <w:rPr>
      <w:vertAlign w:val="superscript"/>
    </w:rPr>
  </w:style>
  <w:style w:type="paragraph" w:styleId="Header">
    <w:name w:val="header"/>
    <w:basedOn w:val="Normal"/>
    <w:link w:val="HeaderChar"/>
    <w:uiPriority w:val="99"/>
    <w:unhideWhenUsed/>
    <w:rsid w:val="00BA164F"/>
    <w:pPr>
      <w:tabs>
        <w:tab w:val="center" w:pos="4513"/>
        <w:tab w:val="right" w:pos="9026"/>
      </w:tabs>
    </w:pPr>
  </w:style>
  <w:style w:type="character" w:customStyle="1" w:styleId="HeaderChar">
    <w:name w:val="Header Char"/>
    <w:basedOn w:val="DefaultParagraphFont"/>
    <w:link w:val="Header"/>
    <w:uiPriority w:val="99"/>
    <w:rsid w:val="00BA164F"/>
    <w:rPr>
      <w:rFonts w:ascii="Arial" w:eastAsia="MS Mincho" w:hAnsi="Arial" w:cs="Times New Roman"/>
      <w:sz w:val="20"/>
      <w:szCs w:val="24"/>
    </w:rPr>
  </w:style>
  <w:style w:type="paragraph" w:styleId="Footer">
    <w:name w:val="footer"/>
    <w:basedOn w:val="Normal"/>
    <w:link w:val="FooterChar"/>
    <w:uiPriority w:val="99"/>
    <w:unhideWhenUsed/>
    <w:rsid w:val="00BA164F"/>
    <w:pPr>
      <w:tabs>
        <w:tab w:val="center" w:pos="4513"/>
        <w:tab w:val="right" w:pos="9026"/>
      </w:tabs>
    </w:pPr>
  </w:style>
  <w:style w:type="character" w:customStyle="1" w:styleId="FooterChar">
    <w:name w:val="Footer Char"/>
    <w:basedOn w:val="DefaultParagraphFont"/>
    <w:link w:val="Footer"/>
    <w:uiPriority w:val="99"/>
    <w:rsid w:val="00BA164F"/>
    <w:rPr>
      <w:rFonts w:ascii="Arial" w:eastAsia="MS Mincho"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31"/>
    <w:pPr>
      <w:spacing w:after="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31"/>
    <w:pPr>
      <w:ind w:left="720"/>
      <w:contextualSpacing/>
    </w:pPr>
  </w:style>
  <w:style w:type="paragraph" w:styleId="BalloonText">
    <w:name w:val="Balloon Text"/>
    <w:basedOn w:val="Normal"/>
    <w:link w:val="BalloonTextChar"/>
    <w:uiPriority w:val="99"/>
    <w:semiHidden/>
    <w:unhideWhenUsed/>
    <w:rsid w:val="00410231"/>
    <w:rPr>
      <w:rFonts w:ascii="Tahoma" w:hAnsi="Tahoma" w:cs="Tahoma"/>
      <w:sz w:val="16"/>
      <w:szCs w:val="16"/>
    </w:rPr>
  </w:style>
  <w:style w:type="character" w:customStyle="1" w:styleId="BalloonTextChar">
    <w:name w:val="Balloon Text Char"/>
    <w:basedOn w:val="DefaultParagraphFont"/>
    <w:link w:val="BalloonText"/>
    <w:uiPriority w:val="99"/>
    <w:semiHidden/>
    <w:rsid w:val="00410231"/>
    <w:rPr>
      <w:rFonts w:ascii="Tahoma" w:eastAsia="MS Mincho" w:hAnsi="Tahoma" w:cs="Tahoma"/>
      <w:sz w:val="16"/>
      <w:szCs w:val="16"/>
    </w:rPr>
  </w:style>
  <w:style w:type="paragraph" w:styleId="FootnoteText">
    <w:name w:val="footnote text"/>
    <w:basedOn w:val="Normal"/>
    <w:link w:val="FootnoteTextChar"/>
    <w:uiPriority w:val="99"/>
    <w:semiHidden/>
    <w:unhideWhenUsed/>
    <w:rsid w:val="00BB3C0A"/>
    <w:rPr>
      <w:szCs w:val="20"/>
    </w:rPr>
  </w:style>
  <w:style w:type="character" w:customStyle="1" w:styleId="FootnoteTextChar">
    <w:name w:val="Footnote Text Char"/>
    <w:basedOn w:val="DefaultParagraphFont"/>
    <w:link w:val="FootnoteText"/>
    <w:uiPriority w:val="99"/>
    <w:semiHidden/>
    <w:rsid w:val="00BB3C0A"/>
    <w:rPr>
      <w:rFonts w:ascii="Arial" w:eastAsia="MS Mincho" w:hAnsi="Arial" w:cs="Times New Roman"/>
      <w:sz w:val="20"/>
      <w:szCs w:val="20"/>
    </w:rPr>
  </w:style>
  <w:style w:type="character" w:styleId="FootnoteReference">
    <w:name w:val="footnote reference"/>
    <w:basedOn w:val="DefaultParagraphFont"/>
    <w:uiPriority w:val="99"/>
    <w:semiHidden/>
    <w:unhideWhenUsed/>
    <w:rsid w:val="00BB3C0A"/>
    <w:rPr>
      <w:vertAlign w:val="superscript"/>
    </w:rPr>
  </w:style>
  <w:style w:type="paragraph" w:styleId="Header">
    <w:name w:val="header"/>
    <w:basedOn w:val="Normal"/>
    <w:link w:val="HeaderChar"/>
    <w:uiPriority w:val="99"/>
    <w:unhideWhenUsed/>
    <w:rsid w:val="00BA164F"/>
    <w:pPr>
      <w:tabs>
        <w:tab w:val="center" w:pos="4513"/>
        <w:tab w:val="right" w:pos="9026"/>
      </w:tabs>
    </w:pPr>
  </w:style>
  <w:style w:type="character" w:customStyle="1" w:styleId="HeaderChar">
    <w:name w:val="Header Char"/>
    <w:basedOn w:val="DefaultParagraphFont"/>
    <w:link w:val="Header"/>
    <w:uiPriority w:val="99"/>
    <w:rsid w:val="00BA164F"/>
    <w:rPr>
      <w:rFonts w:ascii="Arial" w:eastAsia="MS Mincho" w:hAnsi="Arial" w:cs="Times New Roman"/>
      <w:sz w:val="20"/>
      <w:szCs w:val="24"/>
    </w:rPr>
  </w:style>
  <w:style w:type="paragraph" w:styleId="Footer">
    <w:name w:val="footer"/>
    <w:basedOn w:val="Normal"/>
    <w:link w:val="FooterChar"/>
    <w:uiPriority w:val="99"/>
    <w:unhideWhenUsed/>
    <w:rsid w:val="00BA164F"/>
    <w:pPr>
      <w:tabs>
        <w:tab w:val="center" w:pos="4513"/>
        <w:tab w:val="right" w:pos="9026"/>
      </w:tabs>
    </w:pPr>
  </w:style>
  <w:style w:type="character" w:customStyle="1" w:styleId="FooterChar">
    <w:name w:val="Footer Char"/>
    <w:basedOn w:val="DefaultParagraphFont"/>
    <w:link w:val="Footer"/>
    <w:uiPriority w:val="99"/>
    <w:rsid w:val="00BA164F"/>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NBA - Summary of Key Changes to the Criteria for the clinical use of intravenous immunoglobulin in Australia Second Edition</vt:lpstr>
    </vt:vector>
  </TitlesOfParts>
  <Company>The National Blood Authority, Australia</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Summary of Key Changes to the Criteria for the clinical use of intravenous immunoglobulin in Australia Second Edition</dc:title>
  <dc:creator>Wright, Rachel</dc:creator>
  <cp:lastModifiedBy>Wright, Rachel</cp:lastModifiedBy>
  <cp:revision>2</cp:revision>
  <cp:lastPrinted>2012-08-09T05:33:00Z</cp:lastPrinted>
  <dcterms:created xsi:type="dcterms:W3CDTF">2013-04-21T07:09:00Z</dcterms:created>
  <dcterms:modified xsi:type="dcterms:W3CDTF">2013-04-21T07:09:00Z</dcterms:modified>
</cp:coreProperties>
</file>