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DF" w:rsidRPr="003800E8" w:rsidRDefault="00F77EDF" w:rsidP="00F77EDF">
      <w:pPr>
        <w:pStyle w:val="Heading1"/>
        <w:pBdr>
          <w:top w:val="single" w:sz="4" w:space="14" w:color="auto"/>
          <w:bottom w:val="single" w:sz="4" w:space="14" w:color="auto"/>
        </w:pBdr>
        <w:spacing w:before="120"/>
        <w:jc w:val="center"/>
        <w:rPr>
          <w:rFonts w:ascii="Calibri" w:hAnsi="Calibri"/>
          <w:sz w:val="40"/>
          <w:szCs w:val="40"/>
        </w:rPr>
      </w:pPr>
      <w:bookmarkStart w:id="0" w:name="_GoBack"/>
      <w:bookmarkEnd w:id="0"/>
      <w:r w:rsidRPr="003800E8">
        <w:rPr>
          <w:rFonts w:ascii="Calibri" w:hAnsi="Calibri"/>
          <w:sz w:val="40"/>
          <w:szCs w:val="40"/>
        </w:rPr>
        <w:t>Cover Sheet</w:t>
      </w:r>
    </w:p>
    <w:p w:rsidR="00F77EDF" w:rsidRPr="003800E8" w:rsidRDefault="00F77EDF" w:rsidP="00F77EDF">
      <w:pPr>
        <w:rPr>
          <w:rFonts w:ascii="Calibri" w:hAnsi="Calibri"/>
        </w:rPr>
      </w:pPr>
    </w:p>
    <w:p w:rsidR="00F77EDF" w:rsidRPr="003800E8" w:rsidRDefault="00F77EDF" w:rsidP="00F77EDF">
      <w:pPr>
        <w:rPr>
          <w:rFonts w:ascii="Calibri" w:hAnsi="Calibri"/>
        </w:rPr>
      </w:pPr>
      <w:r w:rsidRPr="003800E8">
        <w:rPr>
          <w:rFonts w:ascii="Calibri" w:hAnsi="Calibri"/>
        </w:rPr>
        <w:t>Please ensure that all details on this page are completed.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1700"/>
        <w:gridCol w:w="900"/>
        <w:gridCol w:w="2100"/>
        <w:gridCol w:w="1134"/>
        <w:gridCol w:w="1128"/>
      </w:tblGrid>
      <w:tr w:rsidR="00F77EDF" w:rsidRPr="003800E8" w:rsidTr="00961C33">
        <w:tc>
          <w:tcPr>
            <w:tcW w:w="2608" w:type="dxa"/>
            <w:shd w:val="clear" w:color="auto" w:fill="E0E0E0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  <w:r w:rsidRPr="003800E8">
              <w:rPr>
                <w:rFonts w:ascii="Calibri" w:hAnsi="Calibri"/>
              </w:rPr>
              <w:t>Title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  <w:r w:rsidRPr="003800E8">
              <w:rPr>
                <w:rFonts w:ascii="Calibri" w:hAnsi="Calibri"/>
              </w:rPr>
              <w:t>Name</w:t>
            </w:r>
          </w:p>
        </w:tc>
        <w:tc>
          <w:tcPr>
            <w:tcW w:w="4362" w:type="dxa"/>
            <w:gridSpan w:val="3"/>
            <w:tcBorders>
              <w:right w:val="single" w:sz="4" w:space="0" w:color="auto"/>
            </w:tcBorders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</w:tr>
      <w:tr w:rsidR="00F77EDF" w:rsidRPr="003800E8" w:rsidTr="00961C33">
        <w:tc>
          <w:tcPr>
            <w:tcW w:w="2608" w:type="dxa"/>
            <w:tcBorders>
              <w:bottom w:val="nil"/>
            </w:tcBorders>
            <w:shd w:val="clear" w:color="auto" w:fill="E0E0E0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  <w:r w:rsidRPr="003800E8">
              <w:rPr>
                <w:rFonts w:ascii="Calibri" w:hAnsi="Calibri"/>
              </w:rPr>
              <w:t>Postal Address</w:t>
            </w:r>
          </w:p>
        </w:tc>
        <w:tc>
          <w:tcPr>
            <w:tcW w:w="6962" w:type="dxa"/>
            <w:gridSpan w:val="5"/>
            <w:tcBorders>
              <w:right w:val="single" w:sz="4" w:space="0" w:color="auto"/>
            </w:tcBorders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</w:tr>
      <w:tr w:rsidR="00F77EDF" w:rsidRPr="003800E8" w:rsidTr="00961C33">
        <w:tc>
          <w:tcPr>
            <w:tcW w:w="2608" w:type="dxa"/>
            <w:tcBorders>
              <w:top w:val="nil"/>
            </w:tcBorders>
            <w:shd w:val="clear" w:color="auto" w:fill="E0E0E0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  <w:tc>
          <w:tcPr>
            <w:tcW w:w="6962" w:type="dxa"/>
            <w:gridSpan w:val="5"/>
            <w:tcBorders>
              <w:right w:val="single" w:sz="4" w:space="0" w:color="auto"/>
            </w:tcBorders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</w:tr>
      <w:tr w:rsidR="00F77EDF" w:rsidRPr="003800E8" w:rsidTr="00961C33">
        <w:tc>
          <w:tcPr>
            <w:tcW w:w="2608" w:type="dxa"/>
            <w:shd w:val="clear" w:color="auto" w:fill="E0E0E0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  <w:r w:rsidRPr="003800E8">
              <w:rPr>
                <w:rFonts w:ascii="Calibri" w:hAnsi="Calibri"/>
              </w:rPr>
              <w:t>Suburb</w:t>
            </w:r>
          </w:p>
        </w:tc>
        <w:tc>
          <w:tcPr>
            <w:tcW w:w="1700" w:type="dxa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  <w:r w:rsidRPr="003800E8">
              <w:rPr>
                <w:rFonts w:ascii="Calibri" w:hAnsi="Calibri"/>
              </w:rPr>
              <w:t>State</w:t>
            </w:r>
          </w:p>
        </w:tc>
        <w:tc>
          <w:tcPr>
            <w:tcW w:w="2100" w:type="dxa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  <w:r w:rsidRPr="003800E8">
              <w:rPr>
                <w:rFonts w:ascii="Calibri" w:hAnsi="Calibri"/>
              </w:rPr>
              <w:t>Postcode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</w:tr>
      <w:tr w:rsidR="00F77EDF" w:rsidRPr="003800E8" w:rsidTr="00961C33">
        <w:tc>
          <w:tcPr>
            <w:tcW w:w="2608" w:type="dxa"/>
            <w:shd w:val="clear" w:color="auto" w:fill="E0E0E0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  <w:r w:rsidRPr="003800E8">
              <w:rPr>
                <w:rFonts w:ascii="Calibri" w:hAnsi="Calibri"/>
              </w:rPr>
              <w:t>Phone</w:t>
            </w:r>
          </w:p>
        </w:tc>
        <w:tc>
          <w:tcPr>
            <w:tcW w:w="1700" w:type="dxa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  <w:r w:rsidRPr="003800E8">
              <w:rPr>
                <w:rFonts w:ascii="Calibri" w:hAnsi="Calibri"/>
              </w:rPr>
              <w:t>Fax</w:t>
            </w:r>
          </w:p>
        </w:tc>
        <w:tc>
          <w:tcPr>
            <w:tcW w:w="436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</w:tr>
      <w:tr w:rsidR="00F77EDF" w:rsidRPr="003800E8" w:rsidTr="00961C33">
        <w:tc>
          <w:tcPr>
            <w:tcW w:w="2608" w:type="dxa"/>
            <w:shd w:val="clear" w:color="auto" w:fill="E0E0E0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  <w:r w:rsidRPr="003800E8">
              <w:rPr>
                <w:rFonts w:ascii="Calibri" w:hAnsi="Calibri"/>
              </w:rPr>
              <w:t>E-mail</w:t>
            </w:r>
          </w:p>
        </w:tc>
        <w:tc>
          <w:tcPr>
            <w:tcW w:w="1700" w:type="dxa"/>
            <w:tcBorders>
              <w:right w:val="nil"/>
            </w:tcBorders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  <w:tc>
          <w:tcPr>
            <w:tcW w:w="436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</w:tr>
      <w:tr w:rsidR="00F77EDF" w:rsidRPr="003800E8" w:rsidTr="00961C33">
        <w:tc>
          <w:tcPr>
            <w:tcW w:w="2608" w:type="dxa"/>
            <w:shd w:val="clear" w:color="auto" w:fill="E0E0E0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  <w:r w:rsidRPr="003800E8">
              <w:rPr>
                <w:rFonts w:ascii="Calibri" w:hAnsi="Calibri"/>
              </w:rPr>
              <w:t>Signature</w:t>
            </w:r>
          </w:p>
        </w:tc>
        <w:tc>
          <w:tcPr>
            <w:tcW w:w="1700" w:type="dxa"/>
            <w:tcBorders>
              <w:right w:val="nil"/>
            </w:tcBorders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  <w:tc>
          <w:tcPr>
            <w:tcW w:w="436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</w:tr>
    </w:tbl>
    <w:p w:rsidR="00F77EDF" w:rsidRPr="003800E8" w:rsidRDefault="00F77EDF" w:rsidP="00F77EDF">
      <w:pPr>
        <w:tabs>
          <w:tab w:val="left" w:pos="1100"/>
        </w:tabs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1700"/>
        <w:gridCol w:w="900"/>
        <w:gridCol w:w="2100"/>
        <w:gridCol w:w="1080"/>
        <w:gridCol w:w="54"/>
        <w:gridCol w:w="1128"/>
      </w:tblGrid>
      <w:tr w:rsidR="00F77EDF" w:rsidRPr="003800E8" w:rsidTr="00961C33">
        <w:tc>
          <w:tcPr>
            <w:tcW w:w="8388" w:type="dxa"/>
            <w:gridSpan w:val="5"/>
            <w:shd w:val="clear" w:color="auto" w:fill="FFFF99"/>
          </w:tcPr>
          <w:p w:rsidR="00F77EDF" w:rsidRPr="003800E8" w:rsidRDefault="00F77EDF" w:rsidP="00961C33">
            <w:pPr>
              <w:rPr>
                <w:rFonts w:ascii="Calibri" w:hAnsi="Calibri"/>
                <w:b/>
              </w:rPr>
            </w:pPr>
            <w:r w:rsidRPr="003800E8">
              <w:rPr>
                <w:rFonts w:ascii="Calibri" w:hAnsi="Calibri"/>
                <w:b/>
              </w:rPr>
              <w:t>Is this submission being made on behalf of an organisation?     (Y/N)</w:t>
            </w:r>
          </w:p>
        </w:tc>
        <w:tc>
          <w:tcPr>
            <w:tcW w:w="1182" w:type="dxa"/>
            <w:gridSpan w:val="2"/>
            <w:shd w:val="clear" w:color="auto" w:fill="auto"/>
          </w:tcPr>
          <w:p w:rsidR="00F77EDF" w:rsidRPr="003800E8" w:rsidRDefault="00F77EDF" w:rsidP="00961C33">
            <w:pPr>
              <w:rPr>
                <w:rFonts w:ascii="Calibri" w:hAnsi="Calibri"/>
              </w:rPr>
            </w:pPr>
          </w:p>
        </w:tc>
      </w:tr>
      <w:tr w:rsidR="00F77EDF" w:rsidRPr="003800E8" w:rsidTr="00961C33">
        <w:tc>
          <w:tcPr>
            <w:tcW w:w="2608" w:type="dxa"/>
            <w:shd w:val="clear" w:color="auto" w:fill="E0E0E0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  <w:r w:rsidRPr="003800E8">
              <w:rPr>
                <w:rFonts w:ascii="Calibri" w:hAnsi="Calibri"/>
              </w:rPr>
              <w:t>Name of Organisation</w:t>
            </w:r>
          </w:p>
        </w:tc>
        <w:tc>
          <w:tcPr>
            <w:tcW w:w="6962" w:type="dxa"/>
            <w:gridSpan w:val="6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</w:tr>
      <w:tr w:rsidR="00F77EDF" w:rsidRPr="003800E8" w:rsidTr="00961C33">
        <w:tc>
          <w:tcPr>
            <w:tcW w:w="2608" w:type="dxa"/>
            <w:vMerge w:val="restart"/>
            <w:shd w:val="clear" w:color="auto" w:fill="E0E0E0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/>
              <w:rPr>
                <w:rFonts w:ascii="Calibri" w:hAnsi="Calibri"/>
              </w:rPr>
            </w:pPr>
            <w:r w:rsidRPr="003800E8">
              <w:rPr>
                <w:rFonts w:ascii="Calibri" w:hAnsi="Calibri"/>
              </w:rPr>
              <w:t>Postal Address of Organisation</w:t>
            </w:r>
          </w:p>
        </w:tc>
        <w:tc>
          <w:tcPr>
            <w:tcW w:w="6962" w:type="dxa"/>
            <w:gridSpan w:val="6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</w:tr>
      <w:tr w:rsidR="00F77EDF" w:rsidRPr="003800E8" w:rsidTr="00961C33">
        <w:tc>
          <w:tcPr>
            <w:tcW w:w="2608" w:type="dxa"/>
            <w:vMerge/>
            <w:shd w:val="clear" w:color="auto" w:fill="E0E0E0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  <w:tc>
          <w:tcPr>
            <w:tcW w:w="6962" w:type="dxa"/>
            <w:gridSpan w:val="6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</w:tr>
      <w:tr w:rsidR="00F77EDF" w:rsidRPr="003800E8" w:rsidTr="00961C33">
        <w:tc>
          <w:tcPr>
            <w:tcW w:w="2608" w:type="dxa"/>
            <w:shd w:val="clear" w:color="auto" w:fill="E0E0E0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  <w:r w:rsidRPr="003800E8">
              <w:rPr>
                <w:rFonts w:ascii="Calibri" w:hAnsi="Calibri"/>
              </w:rPr>
              <w:t>Suburb</w:t>
            </w:r>
          </w:p>
        </w:tc>
        <w:tc>
          <w:tcPr>
            <w:tcW w:w="1700" w:type="dxa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  <w:r w:rsidRPr="003800E8">
              <w:rPr>
                <w:rFonts w:ascii="Calibri" w:hAnsi="Calibri"/>
              </w:rPr>
              <w:t>State</w:t>
            </w:r>
          </w:p>
        </w:tc>
        <w:tc>
          <w:tcPr>
            <w:tcW w:w="2100" w:type="dxa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  <w:r w:rsidRPr="003800E8">
              <w:rPr>
                <w:rFonts w:ascii="Calibri" w:hAnsi="Calibri"/>
              </w:rPr>
              <w:t>Postcode</w:t>
            </w:r>
          </w:p>
        </w:tc>
        <w:tc>
          <w:tcPr>
            <w:tcW w:w="1128" w:type="dxa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</w:tr>
      <w:tr w:rsidR="00F77EDF" w:rsidRPr="003800E8" w:rsidTr="00961C33">
        <w:tc>
          <w:tcPr>
            <w:tcW w:w="2608" w:type="dxa"/>
            <w:shd w:val="clear" w:color="auto" w:fill="E0E0E0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  <w:b/>
              </w:rPr>
            </w:pPr>
            <w:r w:rsidRPr="003800E8">
              <w:rPr>
                <w:rFonts w:ascii="Calibri" w:hAnsi="Calibri"/>
                <w:b/>
              </w:rPr>
              <w:t>Authorising Person</w:t>
            </w:r>
          </w:p>
        </w:tc>
        <w:tc>
          <w:tcPr>
            <w:tcW w:w="1700" w:type="dxa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  <w:r w:rsidRPr="003800E8">
              <w:rPr>
                <w:rFonts w:ascii="Calibri" w:hAnsi="Calibri"/>
              </w:rPr>
              <w:t>Name</w:t>
            </w:r>
          </w:p>
        </w:tc>
        <w:tc>
          <w:tcPr>
            <w:tcW w:w="4362" w:type="dxa"/>
            <w:gridSpan w:val="4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</w:tr>
      <w:tr w:rsidR="00F77EDF" w:rsidRPr="003800E8" w:rsidTr="00961C33">
        <w:tc>
          <w:tcPr>
            <w:tcW w:w="2608" w:type="dxa"/>
            <w:shd w:val="clear" w:color="auto" w:fill="E0E0E0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  <w:r w:rsidRPr="003800E8">
              <w:rPr>
                <w:rFonts w:ascii="Calibri" w:hAnsi="Calibri"/>
              </w:rPr>
              <w:t>Position</w:t>
            </w:r>
          </w:p>
        </w:tc>
        <w:tc>
          <w:tcPr>
            <w:tcW w:w="6962" w:type="dxa"/>
            <w:gridSpan w:val="6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</w:tr>
      <w:tr w:rsidR="00F77EDF" w:rsidRPr="003800E8" w:rsidTr="00961C33">
        <w:tc>
          <w:tcPr>
            <w:tcW w:w="2608" w:type="dxa"/>
            <w:shd w:val="clear" w:color="auto" w:fill="E0E0E0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  <w:r w:rsidRPr="003800E8">
              <w:rPr>
                <w:rFonts w:ascii="Calibri" w:hAnsi="Calibri"/>
              </w:rPr>
              <w:t>Phone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  <w:r w:rsidRPr="003800E8">
              <w:rPr>
                <w:rFonts w:ascii="Calibri" w:hAnsi="Calibri"/>
              </w:rPr>
              <w:t>Fax</w:t>
            </w:r>
          </w:p>
        </w:tc>
        <w:tc>
          <w:tcPr>
            <w:tcW w:w="4362" w:type="dxa"/>
            <w:gridSpan w:val="4"/>
            <w:vAlign w:val="center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</w:tr>
      <w:tr w:rsidR="00F77EDF" w:rsidRPr="003800E8" w:rsidTr="00961C33">
        <w:tblPrEx>
          <w:tblLook w:val="01E0" w:firstRow="1" w:lastRow="1" w:firstColumn="1" w:lastColumn="1" w:noHBand="0" w:noVBand="0"/>
        </w:tblPrEx>
        <w:tc>
          <w:tcPr>
            <w:tcW w:w="2608" w:type="dxa"/>
            <w:shd w:val="clear" w:color="auto" w:fill="E0E0E0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  <w:r w:rsidRPr="003800E8">
              <w:rPr>
                <w:rFonts w:ascii="Calibri" w:hAnsi="Calibri"/>
              </w:rPr>
              <w:t>E-mail</w:t>
            </w:r>
          </w:p>
        </w:tc>
        <w:tc>
          <w:tcPr>
            <w:tcW w:w="2600" w:type="dxa"/>
            <w:gridSpan w:val="2"/>
            <w:tcBorders>
              <w:right w:val="nil"/>
            </w:tcBorders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  <w:tc>
          <w:tcPr>
            <w:tcW w:w="4362" w:type="dxa"/>
            <w:gridSpan w:val="4"/>
            <w:tcBorders>
              <w:left w:val="nil"/>
            </w:tcBorders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</w:tr>
      <w:tr w:rsidR="00F77EDF" w:rsidRPr="003800E8" w:rsidTr="00961C33">
        <w:tblPrEx>
          <w:tblLook w:val="01E0" w:firstRow="1" w:lastRow="1" w:firstColumn="1" w:lastColumn="1" w:noHBand="0" w:noVBand="0"/>
        </w:tblPrEx>
        <w:tc>
          <w:tcPr>
            <w:tcW w:w="2608" w:type="dxa"/>
            <w:shd w:val="clear" w:color="auto" w:fill="E0E0E0"/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  <w:r w:rsidRPr="003800E8">
              <w:rPr>
                <w:rFonts w:ascii="Calibri" w:hAnsi="Calibri"/>
              </w:rPr>
              <w:t>Signature</w:t>
            </w:r>
          </w:p>
        </w:tc>
        <w:tc>
          <w:tcPr>
            <w:tcW w:w="2600" w:type="dxa"/>
            <w:gridSpan w:val="2"/>
            <w:tcBorders>
              <w:right w:val="nil"/>
            </w:tcBorders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  <w:tc>
          <w:tcPr>
            <w:tcW w:w="4362" w:type="dxa"/>
            <w:gridSpan w:val="4"/>
            <w:tcBorders>
              <w:left w:val="nil"/>
            </w:tcBorders>
          </w:tcPr>
          <w:p w:rsidR="00F77EDF" w:rsidRPr="003800E8" w:rsidRDefault="00F77EDF" w:rsidP="00961C33">
            <w:pPr>
              <w:tabs>
                <w:tab w:val="left" w:pos="1100"/>
              </w:tabs>
              <w:spacing w:before="80" w:after="80"/>
              <w:rPr>
                <w:rFonts w:ascii="Calibri" w:hAnsi="Calibri"/>
              </w:rPr>
            </w:pPr>
          </w:p>
        </w:tc>
      </w:tr>
    </w:tbl>
    <w:p w:rsidR="00F77EDF" w:rsidRPr="003800E8" w:rsidRDefault="00F77EDF" w:rsidP="00F77EDF">
      <w:pPr>
        <w:rPr>
          <w:rFonts w:ascii="Calibri" w:hAnsi="Calibri"/>
          <w:i/>
          <w:sz w:val="16"/>
          <w:szCs w:val="16"/>
          <w:lang w:val="en-US"/>
        </w:rPr>
      </w:pPr>
    </w:p>
    <w:p w:rsidR="00F77EDF" w:rsidRPr="003800E8" w:rsidRDefault="00F77EDF" w:rsidP="00F77EDF">
      <w:pPr>
        <w:rPr>
          <w:rFonts w:ascii="Calibri" w:hAnsi="Calibri"/>
          <w:i/>
          <w:sz w:val="16"/>
          <w:szCs w:val="16"/>
          <w:lang w:val="en-US"/>
        </w:rPr>
      </w:pPr>
      <w:r w:rsidRPr="003800E8">
        <w:rPr>
          <w:rFonts w:ascii="Calibri" w:hAnsi="Calibri"/>
          <w:i/>
          <w:sz w:val="16"/>
          <w:szCs w:val="16"/>
          <w:lang w:val="en-US"/>
        </w:rPr>
        <w:t xml:space="preserve">* Personal information on this form is collected to enable the NBA to clarify or seek further information on submissions, if required.  </w:t>
      </w:r>
    </w:p>
    <w:p w:rsidR="00CB00D7" w:rsidRDefault="00CB00D7" w:rsidP="00CB00D7">
      <w:pPr>
        <w:pStyle w:val="Heading1"/>
        <w:pBdr>
          <w:top w:val="single" w:sz="4" w:space="14" w:color="auto"/>
          <w:bottom w:val="single" w:sz="4" w:space="14" w:color="auto"/>
        </w:pBd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77EDF" w:rsidRDefault="00CB00D7" w:rsidP="00CB00D7">
      <w:r>
        <w:br w:type="page"/>
      </w:r>
    </w:p>
    <w:p w:rsidR="00663BA0" w:rsidRDefault="00F77EDF" w:rsidP="00663BA0">
      <w:pPr>
        <w:pStyle w:val="Heading1"/>
        <w:pBdr>
          <w:top w:val="single" w:sz="4" w:space="14" w:color="auto"/>
          <w:bottom w:val="single" w:sz="4" w:space="14" w:color="auto"/>
        </w:pBdr>
        <w:spacing w:before="120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lastRenderedPageBreak/>
        <w:t>Submission Template</w:t>
      </w:r>
    </w:p>
    <w:p w:rsidR="00663BA0" w:rsidRPr="00663BA0" w:rsidRDefault="00663BA0" w:rsidP="00663BA0"/>
    <w:p w:rsidR="00F77EDF" w:rsidRDefault="00F77EDF" w:rsidP="00F77EDF">
      <w:pPr>
        <w:tabs>
          <w:tab w:val="left" w:pos="900"/>
        </w:tabs>
        <w:rPr>
          <w:rFonts w:ascii="Calibri" w:hAnsi="Calibri"/>
        </w:rPr>
      </w:pPr>
    </w:p>
    <w:p w:rsidR="00F77EDF" w:rsidRPr="003800E8" w:rsidRDefault="00F77EDF" w:rsidP="00F77EDF">
      <w:pPr>
        <w:rPr>
          <w:rFonts w:ascii="Calibri" w:hAnsi="Calibri"/>
          <w:b/>
          <w:caps/>
          <w:color w:val="800000"/>
          <w:sz w:val="24"/>
          <w:szCs w:val="24"/>
        </w:rPr>
      </w:pPr>
    </w:p>
    <w:p w:rsidR="00F77EDF" w:rsidRPr="000B17CA" w:rsidRDefault="00557491" w:rsidP="00F77EDF">
      <w:pPr>
        <w:numPr>
          <w:ilvl w:val="0"/>
          <w:numId w:val="6"/>
        </w:numPr>
        <w:rPr>
          <w:rFonts w:ascii="Calibri" w:hAnsi="Calibri"/>
          <w:b/>
          <w:color w:val="70B800"/>
          <w:sz w:val="24"/>
          <w:szCs w:val="24"/>
        </w:rPr>
      </w:pPr>
      <w:r>
        <w:rPr>
          <w:rFonts w:ascii="Calibri" w:hAnsi="Calibri"/>
          <w:b/>
          <w:color w:val="70B800"/>
          <w:sz w:val="24"/>
          <w:szCs w:val="24"/>
        </w:rPr>
        <w:t>Preoperative bleeding assessment and intervention resource (Pages 1 – 13)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701"/>
      </w:tblGrid>
      <w:tr w:rsidR="00F77EDF" w:rsidRPr="003800E8" w:rsidTr="00961C33">
        <w:trPr>
          <w:trHeight w:val="636"/>
        </w:trPr>
        <w:tc>
          <w:tcPr>
            <w:tcW w:w="7513" w:type="dxa"/>
            <w:shd w:val="clear" w:color="auto" w:fill="E6E6E6"/>
          </w:tcPr>
          <w:p w:rsidR="00F77EDF" w:rsidRPr="003800E8" w:rsidRDefault="00F77EDF" w:rsidP="00961C33">
            <w:pPr>
              <w:rPr>
                <w:rFonts w:ascii="Calibri" w:hAnsi="Calibri" w:cs="Arial"/>
                <w:b/>
                <w:sz w:val="20"/>
              </w:rPr>
            </w:pPr>
            <w:r w:rsidRPr="003800E8">
              <w:rPr>
                <w:rFonts w:ascii="Calibri" w:hAnsi="Calibri" w:cs="Arial"/>
                <w:b/>
                <w:sz w:val="20"/>
              </w:rPr>
              <w:t>Comments</w:t>
            </w:r>
          </w:p>
          <w:p w:rsidR="00F77EDF" w:rsidRPr="003800E8" w:rsidRDefault="00F77EDF" w:rsidP="00961C33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E6E6E6"/>
          </w:tcPr>
          <w:p w:rsidR="00F77EDF" w:rsidRPr="003800E8" w:rsidRDefault="00F77EDF" w:rsidP="00961C33">
            <w:pPr>
              <w:rPr>
                <w:rFonts w:ascii="Calibri" w:hAnsi="Calibri" w:cs="Arial"/>
                <w:b/>
                <w:sz w:val="20"/>
              </w:rPr>
            </w:pPr>
            <w:r w:rsidRPr="003800E8">
              <w:rPr>
                <w:rFonts w:ascii="Calibri" w:hAnsi="Calibri" w:cs="Arial"/>
                <w:b/>
                <w:sz w:val="20"/>
              </w:rPr>
              <w:t>Attached documentation Y/N</w:t>
            </w:r>
          </w:p>
        </w:tc>
      </w:tr>
      <w:tr w:rsidR="00F77EDF" w:rsidRPr="003800E8" w:rsidTr="00961C33">
        <w:trPr>
          <w:trHeight w:val="323"/>
        </w:trPr>
        <w:tc>
          <w:tcPr>
            <w:tcW w:w="7513" w:type="dxa"/>
          </w:tcPr>
          <w:p w:rsidR="00F77EDF" w:rsidRPr="003800E8" w:rsidRDefault="00F77EDF" w:rsidP="00961C3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</w:tcPr>
          <w:p w:rsidR="00F77EDF" w:rsidRPr="003800E8" w:rsidRDefault="00F77EDF" w:rsidP="00961C33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:rsidR="00F77EDF" w:rsidRDefault="00F77EDF" w:rsidP="00F77EDF">
      <w:pPr>
        <w:ind w:left="360"/>
        <w:rPr>
          <w:rFonts w:ascii="Calibri" w:hAnsi="Calibri"/>
          <w:b/>
          <w:color w:val="76923C"/>
          <w:sz w:val="24"/>
          <w:szCs w:val="24"/>
        </w:rPr>
      </w:pPr>
    </w:p>
    <w:p w:rsidR="00F77EDF" w:rsidRDefault="00F77EDF" w:rsidP="00F77EDF">
      <w:pPr>
        <w:ind w:left="360"/>
        <w:rPr>
          <w:rFonts w:ascii="Calibri" w:hAnsi="Calibri"/>
          <w:b/>
          <w:color w:val="76923C"/>
          <w:sz w:val="24"/>
          <w:szCs w:val="24"/>
        </w:rPr>
      </w:pPr>
    </w:p>
    <w:p w:rsidR="00F77EDF" w:rsidRPr="000B17CA" w:rsidRDefault="00663BA0" w:rsidP="00F77EDF">
      <w:pPr>
        <w:numPr>
          <w:ilvl w:val="0"/>
          <w:numId w:val="6"/>
        </w:numPr>
        <w:rPr>
          <w:rFonts w:ascii="Calibri" w:hAnsi="Calibri"/>
          <w:b/>
          <w:color w:val="70B800"/>
          <w:sz w:val="24"/>
          <w:szCs w:val="24"/>
        </w:rPr>
      </w:pPr>
      <w:r>
        <w:rPr>
          <w:rFonts w:ascii="Calibri" w:hAnsi="Calibri"/>
          <w:b/>
          <w:color w:val="70B800"/>
          <w:sz w:val="24"/>
          <w:szCs w:val="24"/>
        </w:rPr>
        <w:t xml:space="preserve">Appendix 1: </w:t>
      </w:r>
      <w:r w:rsidR="00557491" w:rsidRPr="00557491">
        <w:rPr>
          <w:rFonts w:ascii="Calibri" w:hAnsi="Calibri"/>
          <w:b/>
          <w:color w:val="70B800"/>
          <w:sz w:val="24"/>
          <w:szCs w:val="24"/>
        </w:rPr>
        <w:t>Preoperative bleeding risk assessment and intervention – considerations for organisations wanting to improve clinical practice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701"/>
      </w:tblGrid>
      <w:tr w:rsidR="00F77EDF" w:rsidRPr="003800E8" w:rsidTr="00961C33">
        <w:trPr>
          <w:trHeight w:val="636"/>
        </w:trPr>
        <w:tc>
          <w:tcPr>
            <w:tcW w:w="7513" w:type="dxa"/>
            <w:shd w:val="clear" w:color="auto" w:fill="E6E6E6"/>
          </w:tcPr>
          <w:p w:rsidR="00F77EDF" w:rsidRPr="003800E8" w:rsidRDefault="00F77EDF" w:rsidP="00961C33">
            <w:pPr>
              <w:rPr>
                <w:rFonts w:ascii="Calibri" w:hAnsi="Calibri" w:cs="Arial"/>
                <w:b/>
                <w:sz w:val="20"/>
              </w:rPr>
            </w:pPr>
            <w:r w:rsidRPr="003800E8">
              <w:rPr>
                <w:rFonts w:ascii="Calibri" w:hAnsi="Calibri" w:cs="Arial"/>
                <w:b/>
                <w:sz w:val="20"/>
              </w:rPr>
              <w:t>Comments</w:t>
            </w:r>
          </w:p>
          <w:p w:rsidR="00F77EDF" w:rsidRPr="003800E8" w:rsidRDefault="00F77EDF" w:rsidP="00961C33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E6E6E6"/>
          </w:tcPr>
          <w:p w:rsidR="00F77EDF" w:rsidRPr="003800E8" w:rsidRDefault="00F77EDF" w:rsidP="00961C33">
            <w:pPr>
              <w:rPr>
                <w:rFonts w:ascii="Calibri" w:hAnsi="Calibri" w:cs="Arial"/>
                <w:b/>
                <w:sz w:val="20"/>
              </w:rPr>
            </w:pPr>
            <w:r w:rsidRPr="003800E8">
              <w:rPr>
                <w:rFonts w:ascii="Calibri" w:hAnsi="Calibri" w:cs="Arial"/>
                <w:b/>
                <w:sz w:val="20"/>
              </w:rPr>
              <w:t>Attached documentation Y/N</w:t>
            </w:r>
          </w:p>
        </w:tc>
      </w:tr>
      <w:tr w:rsidR="00F77EDF" w:rsidRPr="003800E8" w:rsidTr="00961C33">
        <w:trPr>
          <w:trHeight w:val="323"/>
        </w:trPr>
        <w:tc>
          <w:tcPr>
            <w:tcW w:w="7513" w:type="dxa"/>
          </w:tcPr>
          <w:p w:rsidR="00F77EDF" w:rsidRPr="003800E8" w:rsidRDefault="00F77EDF" w:rsidP="00961C3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</w:tcPr>
          <w:p w:rsidR="00F77EDF" w:rsidRPr="003800E8" w:rsidRDefault="00F77EDF" w:rsidP="00961C33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:rsidR="00F77EDF" w:rsidRDefault="00F77EDF" w:rsidP="00F77EDF">
      <w:pPr>
        <w:rPr>
          <w:rFonts w:ascii="Calibri" w:hAnsi="Calibri"/>
          <w:b/>
          <w:color w:val="800000"/>
          <w:sz w:val="24"/>
          <w:szCs w:val="24"/>
        </w:rPr>
      </w:pPr>
    </w:p>
    <w:p w:rsidR="00F77EDF" w:rsidRPr="00CB00D7" w:rsidRDefault="00663BA0" w:rsidP="00CB00D7">
      <w:pPr>
        <w:numPr>
          <w:ilvl w:val="0"/>
          <w:numId w:val="6"/>
        </w:numPr>
        <w:rPr>
          <w:rFonts w:ascii="Calibri" w:hAnsi="Calibri"/>
          <w:b/>
          <w:color w:val="70B800"/>
          <w:sz w:val="24"/>
          <w:szCs w:val="24"/>
        </w:rPr>
      </w:pPr>
      <w:r>
        <w:rPr>
          <w:rFonts w:ascii="Calibri" w:hAnsi="Calibri"/>
          <w:b/>
          <w:color w:val="70B800"/>
          <w:sz w:val="24"/>
          <w:szCs w:val="24"/>
        </w:rPr>
        <w:t xml:space="preserve">Appendix 2: </w:t>
      </w:r>
      <w:r w:rsidR="00557491" w:rsidRPr="00557491">
        <w:rPr>
          <w:rFonts w:ascii="Calibri" w:hAnsi="Calibri"/>
          <w:b/>
          <w:color w:val="70B800"/>
          <w:sz w:val="24"/>
          <w:szCs w:val="24"/>
        </w:rPr>
        <w:t>Classification of evidence levels and grades of recommendations – British Committee for Standards in Haematology Guidelines on the assessment of bleeding risk prior to surgery or invasive procedures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701"/>
      </w:tblGrid>
      <w:tr w:rsidR="00F77EDF" w:rsidRPr="003800E8" w:rsidTr="00961C33">
        <w:trPr>
          <w:trHeight w:val="636"/>
        </w:trPr>
        <w:tc>
          <w:tcPr>
            <w:tcW w:w="7513" w:type="dxa"/>
            <w:shd w:val="clear" w:color="auto" w:fill="E6E6E6"/>
          </w:tcPr>
          <w:p w:rsidR="00F77EDF" w:rsidRPr="003800E8" w:rsidRDefault="00F77EDF" w:rsidP="00961C33">
            <w:pPr>
              <w:rPr>
                <w:rFonts w:ascii="Calibri" w:hAnsi="Calibri" w:cs="Arial"/>
                <w:b/>
                <w:sz w:val="20"/>
              </w:rPr>
            </w:pPr>
            <w:r w:rsidRPr="003800E8">
              <w:rPr>
                <w:rFonts w:ascii="Calibri" w:hAnsi="Calibri" w:cs="Arial"/>
                <w:b/>
                <w:sz w:val="20"/>
              </w:rPr>
              <w:t>Comments</w:t>
            </w:r>
          </w:p>
          <w:p w:rsidR="00F77EDF" w:rsidRPr="003800E8" w:rsidRDefault="00F77EDF" w:rsidP="00961C33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E6E6E6"/>
          </w:tcPr>
          <w:p w:rsidR="00F77EDF" w:rsidRPr="003800E8" w:rsidRDefault="00F77EDF" w:rsidP="00961C33">
            <w:pPr>
              <w:rPr>
                <w:rFonts w:ascii="Calibri" w:hAnsi="Calibri" w:cs="Arial"/>
                <w:b/>
                <w:sz w:val="20"/>
              </w:rPr>
            </w:pPr>
            <w:r w:rsidRPr="003800E8">
              <w:rPr>
                <w:rFonts w:ascii="Calibri" w:hAnsi="Calibri" w:cs="Arial"/>
                <w:b/>
                <w:sz w:val="20"/>
              </w:rPr>
              <w:t>Attached documentation Y/N</w:t>
            </w:r>
          </w:p>
        </w:tc>
      </w:tr>
      <w:tr w:rsidR="00F77EDF" w:rsidRPr="003800E8" w:rsidTr="00961C33">
        <w:trPr>
          <w:trHeight w:val="323"/>
        </w:trPr>
        <w:tc>
          <w:tcPr>
            <w:tcW w:w="7513" w:type="dxa"/>
          </w:tcPr>
          <w:p w:rsidR="00F77EDF" w:rsidRPr="003800E8" w:rsidRDefault="00F77EDF" w:rsidP="00961C3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</w:tcPr>
          <w:p w:rsidR="00F77EDF" w:rsidRPr="003800E8" w:rsidRDefault="00F77EDF" w:rsidP="00961C33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:rsidR="00F77EDF" w:rsidRDefault="00F77EDF" w:rsidP="00F77EDF">
      <w:pPr>
        <w:rPr>
          <w:rFonts w:ascii="Calibri" w:hAnsi="Calibri"/>
          <w:b/>
          <w:color w:val="800000"/>
          <w:sz w:val="24"/>
          <w:szCs w:val="24"/>
        </w:rPr>
      </w:pPr>
    </w:p>
    <w:p w:rsidR="00F77EDF" w:rsidRPr="00E86996" w:rsidRDefault="00663BA0" w:rsidP="00E86996">
      <w:pPr>
        <w:numPr>
          <w:ilvl w:val="0"/>
          <w:numId w:val="6"/>
        </w:numPr>
        <w:rPr>
          <w:rFonts w:ascii="Calibri" w:hAnsi="Calibri"/>
          <w:b/>
          <w:color w:val="70B800"/>
          <w:sz w:val="24"/>
          <w:szCs w:val="24"/>
        </w:rPr>
      </w:pPr>
      <w:r>
        <w:rPr>
          <w:rFonts w:ascii="Calibri" w:hAnsi="Calibri"/>
          <w:b/>
          <w:color w:val="70B800"/>
          <w:sz w:val="24"/>
          <w:szCs w:val="24"/>
        </w:rPr>
        <w:t xml:space="preserve">Appendix 3: </w:t>
      </w:r>
      <w:r w:rsidR="00557491" w:rsidRPr="00557491">
        <w:rPr>
          <w:rFonts w:ascii="Calibri" w:hAnsi="Calibri"/>
          <w:b/>
          <w:color w:val="70B800"/>
          <w:sz w:val="24"/>
          <w:szCs w:val="24"/>
        </w:rPr>
        <w:t>Grades of recommendation – GRADE system – Management of severe perioperative bleeding: guidelines from the European Society of Anaesthesiology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701"/>
      </w:tblGrid>
      <w:tr w:rsidR="00F77EDF" w:rsidRPr="003800E8" w:rsidTr="00961C33">
        <w:trPr>
          <w:trHeight w:val="636"/>
        </w:trPr>
        <w:tc>
          <w:tcPr>
            <w:tcW w:w="7513" w:type="dxa"/>
            <w:shd w:val="clear" w:color="auto" w:fill="E6E6E6"/>
          </w:tcPr>
          <w:p w:rsidR="00F77EDF" w:rsidRPr="003800E8" w:rsidRDefault="00F77EDF" w:rsidP="00961C33">
            <w:pPr>
              <w:rPr>
                <w:rFonts w:ascii="Calibri" w:hAnsi="Calibri" w:cs="Arial"/>
                <w:b/>
                <w:sz w:val="20"/>
              </w:rPr>
            </w:pPr>
            <w:r w:rsidRPr="003800E8">
              <w:rPr>
                <w:rFonts w:ascii="Calibri" w:hAnsi="Calibri" w:cs="Arial"/>
                <w:b/>
                <w:sz w:val="20"/>
              </w:rPr>
              <w:t>Comments</w:t>
            </w:r>
          </w:p>
          <w:p w:rsidR="00F77EDF" w:rsidRPr="003800E8" w:rsidRDefault="00F77EDF" w:rsidP="00961C33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E6E6E6"/>
          </w:tcPr>
          <w:p w:rsidR="00F77EDF" w:rsidRPr="003800E8" w:rsidRDefault="00F77EDF" w:rsidP="00961C33">
            <w:pPr>
              <w:rPr>
                <w:rFonts w:ascii="Calibri" w:hAnsi="Calibri" w:cs="Arial"/>
                <w:b/>
                <w:sz w:val="20"/>
              </w:rPr>
            </w:pPr>
            <w:r w:rsidRPr="003800E8">
              <w:rPr>
                <w:rFonts w:ascii="Calibri" w:hAnsi="Calibri" w:cs="Arial"/>
                <w:b/>
                <w:sz w:val="20"/>
              </w:rPr>
              <w:t>Attached documentation Y/N</w:t>
            </w:r>
          </w:p>
        </w:tc>
      </w:tr>
      <w:tr w:rsidR="00F77EDF" w:rsidRPr="003800E8" w:rsidTr="00961C33">
        <w:trPr>
          <w:trHeight w:val="323"/>
        </w:trPr>
        <w:tc>
          <w:tcPr>
            <w:tcW w:w="7513" w:type="dxa"/>
          </w:tcPr>
          <w:p w:rsidR="00F77EDF" w:rsidRPr="003800E8" w:rsidRDefault="00F77EDF" w:rsidP="00961C3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</w:tcPr>
          <w:p w:rsidR="00F77EDF" w:rsidRPr="003800E8" w:rsidRDefault="00F77EDF" w:rsidP="00961C33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:rsidR="00F77EDF" w:rsidRDefault="00F77EDF" w:rsidP="00F77EDF">
      <w:pPr>
        <w:rPr>
          <w:rFonts w:ascii="Calibri" w:hAnsi="Calibri"/>
          <w:b/>
          <w:color w:val="800000"/>
          <w:sz w:val="24"/>
          <w:szCs w:val="24"/>
        </w:rPr>
      </w:pPr>
    </w:p>
    <w:p w:rsidR="00557491" w:rsidRDefault="00557491">
      <w:pPr>
        <w:spacing w:after="0"/>
        <w:rPr>
          <w:rFonts w:ascii="Calibri" w:hAnsi="Calibri"/>
          <w:b/>
          <w:color w:val="800000"/>
          <w:sz w:val="24"/>
          <w:szCs w:val="24"/>
        </w:rPr>
      </w:pPr>
      <w:r>
        <w:rPr>
          <w:rFonts w:ascii="Calibri" w:hAnsi="Calibri"/>
          <w:b/>
          <w:color w:val="800000"/>
          <w:sz w:val="24"/>
          <w:szCs w:val="24"/>
        </w:rPr>
        <w:br w:type="page"/>
      </w:r>
    </w:p>
    <w:p w:rsidR="00557491" w:rsidRPr="00557491" w:rsidRDefault="00557491" w:rsidP="00557491">
      <w:pPr>
        <w:pStyle w:val="ListParagraph"/>
        <w:numPr>
          <w:ilvl w:val="0"/>
          <w:numId w:val="6"/>
        </w:numPr>
        <w:rPr>
          <w:rFonts w:ascii="Calibri" w:hAnsi="Calibri"/>
          <w:b/>
          <w:color w:val="70B800"/>
          <w:sz w:val="24"/>
          <w:szCs w:val="24"/>
        </w:rPr>
      </w:pPr>
      <w:r w:rsidRPr="00557491">
        <w:rPr>
          <w:rFonts w:ascii="Calibri" w:hAnsi="Calibri"/>
          <w:b/>
          <w:color w:val="70B800"/>
          <w:sz w:val="24"/>
          <w:szCs w:val="24"/>
        </w:rPr>
        <w:lastRenderedPageBreak/>
        <w:t xml:space="preserve">Appendix </w:t>
      </w:r>
      <w:r>
        <w:rPr>
          <w:rFonts w:ascii="Calibri" w:hAnsi="Calibri"/>
          <w:b/>
          <w:color w:val="70B800"/>
          <w:sz w:val="24"/>
          <w:szCs w:val="24"/>
        </w:rPr>
        <w:t>4</w:t>
      </w:r>
      <w:r w:rsidRPr="00557491">
        <w:rPr>
          <w:rFonts w:ascii="Calibri" w:hAnsi="Calibri"/>
          <w:b/>
          <w:color w:val="70B800"/>
          <w:sz w:val="24"/>
          <w:szCs w:val="24"/>
        </w:rPr>
        <w:t>: Recommendations and Practice points</w:t>
      </w:r>
      <w:bookmarkStart w:id="1" w:name="bookmark0"/>
      <w:bookmarkStart w:id="2" w:name="Table_2.3_Definitions_of_NHMRC_grades_fo"/>
      <w:bookmarkEnd w:id="1"/>
      <w:bookmarkEnd w:id="2"/>
      <w:r w:rsidRPr="00557491">
        <w:rPr>
          <w:rFonts w:ascii="Calibri" w:hAnsi="Calibri"/>
          <w:b/>
          <w:color w:val="70B800"/>
          <w:sz w:val="24"/>
          <w:szCs w:val="24"/>
        </w:rPr>
        <w:t xml:space="preserve"> – Patient Blood Management Guidelines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701"/>
      </w:tblGrid>
      <w:tr w:rsidR="00557491" w:rsidRPr="003800E8" w:rsidTr="00A520EA">
        <w:trPr>
          <w:trHeight w:val="636"/>
        </w:trPr>
        <w:tc>
          <w:tcPr>
            <w:tcW w:w="7513" w:type="dxa"/>
            <w:shd w:val="clear" w:color="auto" w:fill="E6E6E6"/>
          </w:tcPr>
          <w:p w:rsidR="00557491" w:rsidRPr="003800E8" w:rsidRDefault="00557491" w:rsidP="00A520EA">
            <w:pPr>
              <w:rPr>
                <w:rFonts w:ascii="Calibri" w:hAnsi="Calibri" w:cs="Arial"/>
                <w:b/>
                <w:sz w:val="20"/>
              </w:rPr>
            </w:pPr>
            <w:r w:rsidRPr="003800E8">
              <w:rPr>
                <w:rFonts w:ascii="Calibri" w:hAnsi="Calibri" w:cs="Arial"/>
                <w:b/>
                <w:sz w:val="20"/>
              </w:rPr>
              <w:t>Comments</w:t>
            </w:r>
          </w:p>
          <w:p w:rsidR="00557491" w:rsidRPr="003800E8" w:rsidRDefault="00557491" w:rsidP="00A520E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E6E6E6"/>
          </w:tcPr>
          <w:p w:rsidR="00557491" w:rsidRPr="003800E8" w:rsidRDefault="00557491" w:rsidP="00A520EA">
            <w:pPr>
              <w:rPr>
                <w:rFonts w:ascii="Calibri" w:hAnsi="Calibri" w:cs="Arial"/>
                <w:b/>
                <w:sz w:val="20"/>
              </w:rPr>
            </w:pPr>
            <w:r w:rsidRPr="003800E8">
              <w:rPr>
                <w:rFonts w:ascii="Calibri" w:hAnsi="Calibri" w:cs="Arial"/>
                <w:b/>
                <w:sz w:val="20"/>
              </w:rPr>
              <w:t>Attached documentation Y/N</w:t>
            </w:r>
          </w:p>
        </w:tc>
      </w:tr>
      <w:tr w:rsidR="00557491" w:rsidRPr="003800E8" w:rsidTr="00A520EA">
        <w:trPr>
          <w:trHeight w:val="323"/>
        </w:trPr>
        <w:tc>
          <w:tcPr>
            <w:tcW w:w="7513" w:type="dxa"/>
          </w:tcPr>
          <w:p w:rsidR="00557491" w:rsidRPr="003800E8" w:rsidRDefault="00557491" w:rsidP="00A520E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</w:tcPr>
          <w:p w:rsidR="00557491" w:rsidRPr="003800E8" w:rsidRDefault="00557491" w:rsidP="00A520EA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:rsidR="00557491" w:rsidRDefault="00557491" w:rsidP="00F77EDF">
      <w:pPr>
        <w:rPr>
          <w:rFonts w:ascii="Calibri" w:hAnsi="Calibri"/>
          <w:b/>
          <w:color w:val="800000"/>
          <w:sz w:val="24"/>
          <w:szCs w:val="24"/>
        </w:rPr>
      </w:pPr>
    </w:p>
    <w:p w:rsidR="00557491" w:rsidRPr="00557491" w:rsidRDefault="00557491" w:rsidP="00557491">
      <w:pPr>
        <w:pStyle w:val="ListParagraph"/>
        <w:numPr>
          <w:ilvl w:val="0"/>
          <w:numId w:val="6"/>
        </w:numPr>
        <w:rPr>
          <w:rFonts w:ascii="Calibri" w:hAnsi="Calibri"/>
          <w:b/>
          <w:color w:val="70B800"/>
          <w:sz w:val="24"/>
          <w:szCs w:val="24"/>
        </w:rPr>
      </w:pPr>
      <w:r>
        <w:rPr>
          <w:rFonts w:ascii="Calibri" w:hAnsi="Calibri"/>
          <w:b/>
          <w:color w:val="70B800"/>
          <w:sz w:val="24"/>
          <w:szCs w:val="24"/>
        </w:rPr>
        <w:t>Appendix 5</w:t>
      </w:r>
      <w:r w:rsidRPr="00557491">
        <w:rPr>
          <w:rFonts w:ascii="Calibri" w:hAnsi="Calibri"/>
          <w:b/>
          <w:color w:val="70B800"/>
          <w:sz w:val="24"/>
          <w:szCs w:val="24"/>
        </w:rPr>
        <w:t>: European Society of Anaesthesiology (ESA) guidance regarding cessation of medications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701"/>
      </w:tblGrid>
      <w:tr w:rsidR="00557491" w:rsidRPr="003800E8" w:rsidTr="00A520EA">
        <w:trPr>
          <w:trHeight w:val="636"/>
        </w:trPr>
        <w:tc>
          <w:tcPr>
            <w:tcW w:w="7513" w:type="dxa"/>
            <w:shd w:val="clear" w:color="auto" w:fill="E6E6E6"/>
          </w:tcPr>
          <w:p w:rsidR="00557491" w:rsidRPr="003800E8" w:rsidRDefault="00557491" w:rsidP="00A520EA">
            <w:pPr>
              <w:rPr>
                <w:rFonts w:ascii="Calibri" w:hAnsi="Calibri" w:cs="Arial"/>
                <w:b/>
                <w:sz w:val="20"/>
              </w:rPr>
            </w:pPr>
            <w:r w:rsidRPr="003800E8">
              <w:rPr>
                <w:rFonts w:ascii="Calibri" w:hAnsi="Calibri" w:cs="Arial"/>
                <w:b/>
                <w:sz w:val="20"/>
              </w:rPr>
              <w:t>Comments</w:t>
            </w:r>
          </w:p>
          <w:p w:rsidR="00557491" w:rsidRPr="003800E8" w:rsidRDefault="00557491" w:rsidP="00A520E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E6E6E6"/>
          </w:tcPr>
          <w:p w:rsidR="00557491" w:rsidRPr="003800E8" w:rsidRDefault="00557491" w:rsidP="00A520EA">
            <w:pPr>
              <w:rPr>
                <w:rFonts w:ascii="Calibri" w:hAnsi="Calibri" w:cs="Arial"/>
                <w:b/>
                <w:sz w:val="20"/>
              </w:rPr>
            </w:pPr>
            <w:r w:rsidRPr="003800E8">
              <w:rPr>
                <w:rFonts w:ascii="Calibri" w:hAnsi="Calibri" w:cs="Arial"/>
                <w:b/>
                <w:sz w:val="20"/>
              </w:rPr>
              <w:t>Attached documentation Y/N</w:t>
            </w:r>
          </w:p>
        </w:tc>
      </w:tr>
      <w:tr w:rsidR="00557491" w:rsidRPr="003800E8" w:rsidTr="00A520EA">
        <w:trPr>
          <w:trHeight w:val="323"/>
        </w:trPr>
        <w:tc>
          <w:tcPr>
            <w:tcW w:w="7513" w:type="dxa"/>
          </w:tcPr>
          <w:p w:rsidR="00557491" w:rsidRPr="003800E8" w:rsidRDefault="00557491" w:rsidP="00A520E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</w:tcPr>
          <w:p w:rsidR="00557491" w:rsidRPr="003800E8" w:rsidRDefault="00557491" w:rsidP="00A520EA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:rsidR="00B54C91" w:rsidRDefault="00B54C91" w:rsidP="00B54C91">
      <w:pPr>
        <w:rPr>
          <w:rFonts w:ascii="Calibri" w:hAnsi="Calibri"/>
          <w:b/>
          <w:color w:val="800000"/>
          <w:sz w:val="24"/>
          <w:szCs w:val="24"/>
        </w:rPr>
      </w:pPr>
    </w:p>
    <w:p w:rsidR="00F77EDF" w:rsidRPr="003800E8" w:rsidRDefault="00F77EDF" w:rsidP="00F77EDF">
      <w:pPr>
        <w:rPr>
          <w:rFonts w:ascii="Calibri" w:hAnsi="Calibri"/>
          <w:b/>
          <w:color w:val="800000"/>
          <w:sz w:val="24"/>
          <w:szCs w:val="24"/>
        </w:rPr>
      </w:pPr>
    </w:p>
    <w:p w:rsidR="00663BA0" w:rsidRPr="00F77EDF" w:rsidRDefault="00663BA0" w:rsidP="00557491">
      <w:pPr>
        <w:spacing w:after="0"/>
      </w:pPr>
    </w:p>
    <w:p w:rsidR="009A5B38" w:rsidRPr="00F77EDF" w:rsidRDefault="009A5B38" w:rsidP="00F77EDF"/>
    <w:sectPr w:rsidR="009A5B38" w:rsidRPr="00F77EDF" w:rsidSect="002D7E8B">
      <w:headerReference w:type="default" r:id="rId9"/>
      <w:footerReference w:type="default" r:id="rId10"/>
      <w:pgSz w:w="11906" w:h="16838" w:code="9"/>
      <w:pgMar w:top="1134" w:right="1134" w:bottom="1134" w:left="1418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8B" w:rsidRDefault="00391B8B">
      <w:r>
        <w:separator/>
      </w:r>
    </w:p>
  </w:endnote>
  <w:endnote w:type="continuationSeparator" w:id="0">
    <w:p w:rsidR="00391B8B" w:rsidRDefault="0039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EC" w:rsidRPr="000D47D7" w:rsidRDefault="009770EC" w:rsidP="007F0045">
    <w:pPr>
      <w:pStyle w:val="Footer"/>
      <w:framePr w:wrap="around" w:vAnchor="text" w:hAnchor="page" w:x="10966" w:y="48"/>
      <w:jc w:val="right"/>
      <w:rPr>
        <w:rStyle w:val="PageNumber"/>
        <w:rFonts w:ascii="Calibri" w:hAnsi="Calibri"/>
      </w:rPr>
    </w:pPr>
    <w:r w:rsidRPr="000D47D7">
      <w:rPr>
        <w:rStyle w:val="PageNumber"/>
        <w:rFonts w:ascii="Calibri" w:hAnsi="Calibri"/>
      </w:rPr>
      <w:fldChar w:fldCharType="begin"/>
    </w:r>
    <w:r w:rsidRPr="000D47D7">
      <w:rPr>
        <w:rStyle w:val="PageNumber"/>
        <w:rFonts w:ascii="Calibri" w:hAnsi="Calibri"/>
      </w:rPr>
      <w:instrText xml:space="preserve">PAGE  </w:instrText>
    </w:r>
    <w:r w:rsidRPr="000D47D7">
      <w:rPr>
        <w:rStyle w:val="PageNumber"/>
        <w:rFonts w:ascii="Calibri" w:hAnsi="Calibri"/>
      </w:rPr>
      <w:fldChar w:fldCharType="separate"/>
    </w:r>
    <w:r w:rsidR="00B86337">
      <w:rPr>
        <w:rStyle w:val="PageNumber"/>
        <w:rFonts w:ascii="Calibri" w:hAnsi="Calibri"/>
        <w:noProof/>
      </w:rPr>
      <w:t>2</w:t>
    </w:r>
    <w:r w:rsidRPr="000D47D7">
      <w:rPr>
        <w:rStyle w:val="PageNumber"/>
        <w:rFonts w:ascii="Calibri" w:hAnsi="Calibri"/>
      </w:rPr>
      <w:fldChar w:fldCharType="end"/>
    </w:r>
  </w:p>
  <w:p w:rsidR="009770EC" w:rsidRPr="00EB7836" w:rsidRDefault="00986720" w:rsidP="002D7E8B">
    <w:pPr>
      <w:pStyle w:val="Footer"/>
      <w:rPr>
        <w:szCs w:val="18"/>
      </w:rPr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608330</wp:posOffset>
          </wp:positionH>
          <wp:positionV relativeFrom="page">
            <wp:posOffset>10064115</wp:posOffset>
          </wp:positionV>
          <wp:extent cx="6002020" cy="408305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202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8B" w:rsidRDefault="00391B8B">
      <w:r>
        <w:separator/>
      </w:r>
    </w:p>
  </w:footnote>
  <w:footnote w:type="continuationSeparator" w:id="0">
    <w:p w:rsidR="00391B8B" w:rsidRDefault="00391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EC" w:rsidRPr="00ED454C" w:rsidRDefault="009770EC" w:rsidP="00233695">
    <w:pPr>
      <w:spacing w:after="0"/>
      <w:jc w:val="center"/>
      <w:rPr>
        <w:vanish/>
        <w:color w:val="FFFFFF"/>
      </w:rPr>
    </w:pPr>
  </w:p>
  <w:tbl>
    <w:tblPr>
      <w:tblW w:w="9606" w:type="dxa"/>
      <w:shd w:val="clear" w:color="auto" w:fill="76923C"/>
      <w:tblLook w:val="01E0" w:firstRow="1" w:lastRow="1" w:firstColumn="1" w:lastColumn="1" w:noHBand="0" w:noVBand="0"/>
    </w:tblPr>
    <w:tblGrid>
      <w:gridCol w:w="9606"/>
    </w:tblGrid>
    <w:tr w:rsidR="006A15A1" w:rsidRPr="00ED454C" w:rsidTr="00B86337">
      <w:trPr>
        <w:trHeight w:val="845"/>
      </w:trPr>
      <w:tc>
        <w:tcPr>
          <w:tcW w:w="9606" w:type="dxa"/>
          <w:shd w:val="clear" w:color="auto" w:fill="00A9E0"/>
          <w:vAlign w:val="center"/>
        </w:tcPr>
        <w:p w:rsidR="00663BA0" w:rsidRPr="00ED454C" w:rsidRDefault="00EA75E4" w:rsidP="00B86337">
          <w:pPr>
            <w:pStyle w:val="ReportTitle"/>
            <w:spacing w:before="0" w:after="0"/>
            <w:rPr>
              <w:rFonts w:ascii="Arial" w:hAnsi="Arial" w:cs="Arial"/>
              <w:color w:val="FFFFFF"/>
              <w:sz w:val="24"/>
              <w:szCs w:val="24"/>
            </w:rPr>
          </w:pPr>
          <w:r>
            <w:rPr>
              <w:rFonts w:ascii="Arial" w:hAnsi="Arial" w:cs="Arial"/>
              <w:color w:val="FFFFFF"/>
              <w:sz w:val="24"/>
              <w:szCs w:val="24"/>
            </w:rPr>
            <w:t>Preoperative bleeding risk assessment and intervention resource</w:t>
          </w:r>
        </w:p>
      </w:tc>
    </w:tr>
  </w:tbl>
  <w:p w:rsidR="009770EC" w:rsidRDefault="009770EC" w:rsidP="002D7E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0B8"/>
    <w:multiLevelType w:val="hybridMultilevel"/>
    <w:tmpl w:val="D20808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628E"/>
    <w:multiLevelType w:val="hybridMultilevel"/>
    <w:tmpl w:val="D20808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617BB"/>
    <w:multiLevelType w:val="hybridMultilevel"/>
    <w:tmpl w:val="1CCC26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1B6870"/>
    <w:multiLevelType w:val="hybridMultilevel"/>
    <w:tmpl w:val="4BAEBAB8"/>
    <w:lvl w:ilvl="0" w:tplc="D50CDD0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B1D78"/>
    <w:multiLevelType w:val="hybridMultilevel"/>
    <w:tmpl w:val="D20808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A7373"/>
    <w:multiLevelType w:val="hybridMultilevel"/>
    <w:tmpl w:val="D20808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311BD"/>
    <w:multiLevelType w:val="hybridMultilevel"/>
    <w:tmpl w:val="49FA80A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F38652C"/>
    <w:multiLevelType w:val="hybridMultilevel"/>
    <w:tmpl w:val="25245D3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FF1A0C"/>
    <w:multiLevelType w:val="hybridMultilevel"/>
    <w:tmpl w:val="D20808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E6EE0"/>
    <w:multiLevelType w:val="hybridMultilevel"/>
    <w:tmpl w:val="D20808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A03CF"/>
    <w:multiLevelType w:val="hybridMultilevel"/>
    <w:tmpl w:val="AF8C21DC"/>
    <w:lvl w:ilvl="0" w:tplc="91D0836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7FBA5346"/>
    <w:multiLevelType w:val="hybridMultilevel"/>
    <w:tmpl w:val="D20808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F"/>
    <w:rsid w:val="000039FC"/>
    <w:rsid w:val="00006091"/>
    <w:rsid w:val="00020107"/>
    <w:rsid w:val="00023623"/>
    <w:rsid w:val="000439B7"/>
    <w:rsid w:val="000740A6"/>
    <w:rsid w:val="000741CF"/>
    <w:rsid w:val="000B17CA"/>
    <w:rsid w:val="000B2973"/>
    <w:rsid w:val="000E4508"/>
    <w:rsid w:val="000F5C90"/>
    <w:rsid w:val="000F7AE5"/>
    <w:rsid w:val="00101954"/>
    <w:rsid w:val="00101B31"/>
    <w:rsid w:val="00105C04"/>
    <w:rsid w:val="00113BDA"/>
    <w:rsid w:val="001208D7"/>
    <w:rsid w:val="00141E43"/>
    <w:rsid w:val="00143372"/>
    <w:rsid w:val="0018258F"/>
    <w:rsid w:val="00184D0E"/>
    <w:rsid w:val="00187175"/>
    <w:rsid w:val="001A101B"/>
    <w:rsid w:val="001A5D53"/>
    <w:rsid w:val="001B4DE0"/>
    <w:rsid w:val="00207B0B"/>
    <w:rsid w:val="0023281F"/>
    <w:rsid w:val="00233695"/>
    <w:rsid w:val="00261776"/>
    <w:rsid w:val="0027236D"/>
    <w:rsid w:val="00277092"/>
    <w:rsid w:val="0028767B"/>
    <w:rsid w:val="00294C6F"/>
    <w:rsid w:val="002B355C"/>
    <w:rsid w:val="002D6E8C"/>
    <w:rsid w:val="002D7E8B"/>
    <w:rsid w:val="002E2368"/>
    <w:rsid w:val="002E5468"/>
    <w:rsid w:val="002F5EF8"/>
    <w:rsid w:val="00306CDE"/>
    <w:rsid w:val="00355820"/>
    <w:rsid w:val="00361FAA"/>
    <w:rsid w:val="00371AEE"/>
    <w:rsid w:val="00391B8B"/>
    <w:rsid w:val="00394E13"/>
    <w:rsid w:val="003F5EA9"/>
    <w:rsid w:val="004106D3"/>
    <w:rsid w:val="00426F4E"/>
    <w:rsid w:val="004A454E"/>
    <w:rsid w:val="004A582F"/>
    <w:rsid w:val="004C7D14"/>
    <w:rsid w:val="004D7B10"/>
    <w:rsid w:val="004E6C02"/>
    <w:rsid w:val="00505AE2"/>
    <w:rsid w:val="00520419"/>
    <w:rsid w:val="00546760"/>
    <w:rsid w:val="00557491"/>
    <w:rsid w:val="00560FA9"/>
    <w:rsid w:val="00563964"/>
    <w:rsid w:val="005761E4"/>
    <w:rsid w:val="0058399F"/>
    <w:rsid w:val="005E4415"/>
    <w:rsid w:val="00622453"/>
    <w:rsid w:val="00623556"/>
    <w:rsid w:val="00663BA0"/>
    <w:rsid w:val="00687829"/>
    <w:rsid w:val="006A15A1"/>
    <w:rsid w:val="007277EE"/>
    <w:rsid w:val="00732594"/>
    <w:rsid w:val="007475CC"/>
    <w:rsid w:val="00757066"/>
    <w:rsid w:val="007B05D7"/>
    <w:rsid w:val="007C60F3"/>
    <w:rsid w:val="007E3365"/>
    <w:rsid w:val="007F0045"/>
    <w:rsid w:val="007F1EF8"/>
    <w:rsid w:val="007F2C1D"/>
    <w:rsid w:val="008526A3"/>
    <w:rsid w:val="00861829"/>
    <w:rsid w:val="0086559F"/>
    <w:rsid w:val="00865DDA"/>
    <w:rsid w:val="00883ACD"/>
    <w:rsid w:val="008D3C94"/>
    <w:rsid w:val="008F0BC1"/>
    <w:rsid w:val="009130DC"/>
    <w:rsid w:val="00922B92"/>
    <w:rsid w:val="009258CD"/>
    <w:rsid w:val="009266E9"/>
    <w:rsid w:val="00952438"/>
    <w:rsid w:val="00961C33"/>
    <w:rsid w:val="00973BC4"/>
    <w:rsid w:val="009770EC"/>
    <w:rsid w:val="00986720"/>
    <w:rsid w:val="00991FC4"/>
    <w:rsid w:val="009A5B38"/>
    <w:rsid w:val="009D09B2"/>
    <w:rsid w:val="009E742C"/>
    <w:rsid w:val="00A01000"/>
    <w:rsid w:val="00A9584D"/>
    <w:rsid w:val="00AC3AB0"/>
    <w:rsid w:val="00B54C91"/>
    <w:rsid w:val="00B86337"/>
    <w:rsid w:val="00B8677D"/>
    <w:rsid w:val="00BB252E"/>
    <w:rsid w:val="00BD4897"/>
    <w:rsid w:val="00BF6868"/>
    <w:rsid w:val="00C023ED"/>
    <w:rsid w:val="00C528C3"/>
    <w:rsid w:val="00C80E36"/>
    <w:rsid w:val="00C944C6"/>
    <w:rsid w:val="00CB00D7"/>
    <w:rsid w:val="00CB1966"/>
    <w:rsid w:val="00CD69C0"/>
    <w:rsid w:val="00CD6D3E"/>
    <w:rsid w:val="00CF2540"/>
    <w:rsid w:val="00CF6992"/>
    <w:rsid w:val="00D17447"/>
    <w:rsid w:val="00D329F9"/>
    <w:rsid w:val="00D43E97"/>
    <w:rsid w:val="00D7621F"/>
    <w:rsid w:val="00D8707A"/>
    <w:rsid w:val="00DC169F"/>
    <w:rsid w:val="00DF0034"/>
    <w:rsid w:val="00E077BF"/>
    <w:rsid w:val="00E21524"/>
    <w:rsid w:val="00E3474C"/>
    <w:rsid w:val="00E665DA"/>
    <w:rsid w:val="00E858BE"/>
    <w:rsid w:val="00E86996"/>
    <w:rsid w:val="00EA75E4"/>
    <w:rsid w:val="00ED454C"/>
    <w:rsid w:val="00F05EEA"/>
    <w:rsid w:val="00F22C0A"/>
    <w:rsid w:val="00F249D2"/>
    <w:rsid w:val="00F53B4A"/>
    <w:rsid w:val="00F759ED"/>
    <w:rsid w:val="00F77EDF"/>
    <w:rsid w:val="00F93C40"/>
    <w:rsid w:val="00F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BC4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6559F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2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23E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itle">
    <w:name w:val="ReportTitle"/>
    <w:basedOn w:val="Normal"/>
    <w:rsid w:val="0086559F"/>
    <w:pPr>
      <w:spacing w:before="240" w:after="60"/>
      <w:jc w:val="center"/>
    </w:pPr>
    <w:rPr>
      <w:rFonts w:ascii="Times New Roman" w:hAnsi="Times New Roman"/>
      <w:b/>
      <w:kern w:val="28"/>
      <w:sz w:val="48"/>
    </w:rPr>
  </w:style>
  <w:style w:type="character" w:styleId="PageNumber">
    <w:name w:val="page number"/>
    <w:basedOn w:val="DefaultParagraphFont"/>
    <w:rsid w:val="0086559F"/>
  </w:style>
  <w:style w:type="character" w:styleId="Hyperlink">
    <w:name w:val="Hyperlink"/>
    <w:rsid w:val="009770EC"/>
    <w:rPr>
      <w:color w:val="0000FF"/>
      <w:u w:val="single"/>
    </w:rPr>
  </w:style>
  <w:style w:type="paragraph" w:styleId="BodyText2">
    <w:name w:val="Body Text 2"/>
    <w:basedOn w:val="Normal"/>
    <w:link w:val="BodyText2Char"/>
    <w:rsid w:val="009770EC"/>
    <w:pPr>
      <w:spacing w:after="0"/>
      <w:jc w:val="both"/>
    </w:pPr>
    <w:rPr>
      <w:rFonts w:ascii="Times New Roman" w:hAnsi="Times New Roman"/>
      <w:b/>
      <w:snapToGrid w:val="0"/>
      <w:sz w:val="24"/>
      <w:lang w:eastAsia="en-AU"/>
    </w:rPr>
  </w:style>
  <w:style w:type="character" w:customStyle="1" w:styleId="BodyText2Char">
    <w:name w:val="Body Text 2 Char"/>
    <w:link w:val="BodyText2"/>
    <w:rsid w:val="009770EC"/>
    <w:rPr>
      <w:b/>
      <w:snapToGrid w:val="0"/>
      <w:sz w:val="24"/>
    </w:rPr>
  </w:style>
  <w:style w:type="paragraph" w:customStyle="1" w:styleId="bullet">
    <w:name w:val="bullet"/>
    <w:basedOn w:val="Normal"/>
    <w:rsid w:val="009770EC"/>
    <w:pPr>
      <w:keepLines/>
      <w:numPr>
        <w:numId w:val="2"/>
      </w:numPr>
      <w:tabs>
        <w:tab w:val="clear" w:pos="720"/>
        <w:tab w:val="left" w:pos="284"/>
      </w:tabs>
      <w:overflowPunct w:val="0"/>
      <w:autoSpaceDE w:val="0"/>
      <w:autoSpaceDN w:val="0"/>
      <w:adjustRightInd w:val="0"/>
      <w:spacing w:after="80"/>
      <w:ind w:left="284" w:hanging="284"/>
      <w:textAlignment w:val="baseline"/>
    </w:pPr>
    <w:rPr>
      <w:rFonts w:ascii="Palatino Linotype" w:hAnsi="Palatino Linotype"/>
      <w:sz w:val="20"/>
      <w:lang w:eastAsia="en-AU"/>
    </w:rPr>
  </w:style>
  <w:style w:type="paragraph" w:styleId="BalloonText">
    <w:name w:val="Balloon Text"/>
    <w:basedOn w:val="Normal"/>
    <w:link w:val="BalloonTextChar"/>
    <w:rsid w:val="000060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609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762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621F"/>
    <w:rPr>
      <w:sz w:val="20"/>
    </w:rPr>
  </w:style>
  <w:style w:type="character" w:customStyle="1" w:styleId="CommentTextChar">
    <w:name w:val="Comment Text Char"/>
    <w:link w:val="CommentText"/>
    <w:rsid w:val="00D7621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621F"/>
    <w:rPr>
      <w:b/>
      <w:bCs/>
    </w:rPr>
  </w:style>
  <w:style w:type="character" w:customStyle="1" w:styleId="CommentSubjectChar">
    <w:name w:val="Comment Subject Char"/>
    <w:link w:val="CommentSubject"/>
    <w:rsid w:val="00D7621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57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BC4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6559F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2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23E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itle">
    <w:name w:val="ReportTitle"/>
    <w:basedOn w:val="Normal"/>
    <w:rsid w:val="0086559F"/>
    <w:pPr>
      <w:spacing w:before="240" w:after="60"/>
      <w:jc w:val="center"/>
    </w:pPr>
    <w:rPr>
      <w:rFonts w:ascii="Times New Roman" w:hAnsi="Times New Roman"/>
      <w:b/>
      <w:kern w:val="28"/>
      <w:sz w:val="48"/>
    </w:rPr>
  </w:style>
  <w:style w:type="character" w:styleId="PageNumber">
    <w:name w:val="page number"/>
    <w:basedOn w:val="DefaultParagraphFont"/>
    <w:rsid w:val="0086559F"/>
  </w:style>
  <w:style w:type="character" w:styleId="Hyperlink">
    <w:name w:val="Hyperlink"/>
    <w:rsid w:val="009770EC"/>
    <w:rPr>
      <w:color w:val="0000FF"/>
      <w:u w:val="single"/>
    </w:rPr>
  </w:style>
  <w:style w:type="paragraph" w:styleId="BodyText2">
    <w:name w:val="Body Text 2"/>
    <w:basedOn w:val="Normal"/>
    <w:link w:val="BodyText2Char"/>
    <w:rsid w:val="009770EC"/>
    <w:pPr>
      <w:spacing w:after="0"/>
      <w:jc w:val="both"/>
    </w:pPr>
    <w:rPr>
      <w:rFonts w:ascii="Times New Roman" w:hAnsi="Times New Roman"/>
      <w:b/>
      <w:snapToGrid w:val="0"/>
      <w:sz w:val="24"/>
      <w:lang w:eastAsia="en-AU"/>
    </w:rPr>
  </w:style>
  <w:style w:type="character" w:customStyle="1" w:styleId="BodyText2Char">
    <w:name w:val="Body Text 2 Char"/>
    <w:link w:val="BodyText2"/>
    <w:rsid w:val="009770EC"/>
    <w:rPr>
      <w:b/>
      <w:snapToGrid w:val="0"/>
      <w:sz w:val="24"/>
    </w:rPr>
  </w:style>
  <w:style w:type="paragraph" w:customStyle="1" w:styleId="bullet">
    <w:name w:val="bullet"/>
    <w:basedOn w:val="Normal"/>
    <w:rsid w:val="009770EC"/>
    <w:pPr>
      <w:keepLines/>
      <w:numPr>
        <w:numId w:val="2"/>
      </w:numPr>
      <w:tabs>
        <w:tab w:val="clear" w:pos="720"/>
        <w:tab w:val="left" w:pos="284"/>
      </w:tabs>
      <w:overflowPunct w:val="0"/>
      <w:autoSpaceDE w:val="0"/>
      <w:autoSpaceDN w:val="0"/>
      <w:adjustRightInd w:val="0"/>
      <w:spacing w:after="80"/>
      <w:ind w:left="284" w:hanging="284"/>
      <w:textAlignment w:val="baseline"/>
    </w:pPr>
    <w:rPr>
      <w:rFonts w:ascii="Palatino Linotype" w:hAnsi="Palatino Linotype"/>
      <w:sz w:val="20"/>
      <w:lang w:eastAsia="en-AU"/>
    </w:rPr>
  </w:style>
  <w:style w:type="paragraph" w:styleId="BalloonText">
    <w:name w:val="Balloon Text"/>
    <w:basedOn w:val="Normal"/>
    <w:link w:val="BalloonTextChar"/>
    <w:rsid w:val="000060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609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762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621F"/>
    <w:rPr>
      <w:sz w:val="20"/>
    </w:rPr>
  </w:style>
  <w:style w:type="character" w:customStyle="1" w:styleId="CommentTextChar">
    <w:name w:val="Comment Text Char"/>
    <w:link w:val="CommentText"/>
    <w:rsid w:val="00D7621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621F"/>
    <w:rPr>
      <w:b/>
      <w:bCs/>
    </w:rPr>
  </w:style>
  <w:style w:type="character" w:customStyle="1" w:styleId="CommentSubjectChar">
    <w:name w:val="Comment Subject Char"/>
    <w:link w:val="CommentSubject"/>
    <w:rsid w:val="00D7621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5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7E9C-D242-49C6-9E9D-7EB6CF0E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C7795D7.dotm</Template>
  <TotalTime>60</TotalTime>
  <Pages>3</Pages>
  <Words>201</Words>
  <Characters>1387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National Blood Authority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National Blood Authority</dc:creator>
  <cp:lastModifiedBy>Sandra Russell</cp:lastModifiedBy>
  <cp:revision>6</cp:revision>
  <dcterms:created xsi:type="dcterms:W3CDTF">2014-08-08T01:19:00Z</dcterms:created>
  <dcterms:modified xsi:type="dcterms:W3CDTF">2014-10-01T04:15:00Z</dcterms:modified>
</cp:coreProperties>
</file>