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10" w:rsidRPr="00DE3603" w:rsidRDefault="00991110" w:rsidP="009D3A5D">
      <w:pPr>
        <w:pStyle w:val="Heading1"/>
      </w:pPr>
      <w:bookmarkStart w:id="0" w:name="_Toc399150586"/>
      <w:bookmarkStart w:id="1" w:name="_Toc364168319"/>
      <w:r w:rsidRPr="00DE3603">
        <w:t>Preoperative bleeding risk</w:t>
      </w:r>
      <w:r w:rsidR="00ED5FDD" w:rsidRPr="00DE3603">
        <w:t xml:space="preserve"> assessment </w:t>
      </w:r>
      <w:r w:rsidR="002A643D">
        <w:t>and intervention resource:</w:t>
      </w:r>
      <w:r w:rsidR="00ED5FDD" w:rsidRPr="00DE3603">
        <w:t xml:space="preserve"> </w:t>
      </w:r>
      <w:r w:rsidR="00137F32" w:rsidRPr="00DE3603">
        <w:t xml:space="preserve">quick reference </w:t>
      </w:r>
      <w:r w:rsidR="00ED5FDD" w:rsidRPr="00DE3603">
        <w:t>guide</w:t>
      </w:r>
      <w:bookmarkEnd w:id="0"/>
    </w:p>
    <w:p w:rsidR="0093012B" w:rsidRPr="005179F6" w:rsidRDefault="0093012B" w:rsidP="00816069">
      <w:pPr>
        <w:jc w:val="both"/>
        <w:rPr>
          <w:rFonts w:cstheme="minorHAnsi"/>
        </w:rPr>
      </w:pPr>
      <w:r w:rsidRPr="005179F6">
        <w:rPr>
          <w:rFonts w:cstheme="minorHAnsi"/>
        </w:rPr>
        <w:t xml:space="preserve">Assessing </w:t>
      </w:r>
      <w:r w:rsidR="00545056" w:rsidRPr="005179F6">
        <w:rPr>
          <w:rFonts w:cstheme="minorHAnsi"/>
        </w:rPr>
        <w:t xml:space="preserve">and managing </w:t>
      </w:r>
      <w:r w:rsidRPr="005179F6">
        <w:rPr>
          <w:rFonts w:cstheme="minorHAnsi"/>
        </w:rPr>
        <w:t xml:space="preserve">the risk of bleeding in a preoperative patient can be achieved </w:t>
      </w:r>
      <w:r w:rsidR="008151C8" w:rsidRPr="005179F6">
        <w:rPr>
          <w:rFonts w:cstheme="minorHAnsi"/>
        </w:rPr>
        <w:t>by following the key steps outlined below:</w:t>
      </w:r>
    </w:p>
    <w:p w:rsidR="0093012B" w:rsidRPr="005179F6" w:rsidRDefault="0093012B" w:rsidP="00816069">
      <w:pPr>
        <w:jc w:val="both"/>
        <w:rPr>
          <w:rFonts w:cstheme="minorHAnsi"/>
        </w:rPr>
      </w:pPr>
    </w:p>
    <w:p w:rsidR="00381710" w:rsidRPr="005179F6" w:rsidRDefault="0093012B" w:rsidP="00816069">
      <w:pPr>
        <w:pStyle w:val="ListParagraph"/>
        <w:numPr>
          <w:ilvl w:val="0"/>
          <w:numId w:val="37"/>
        </w:numPr>
        <w:jc w:val="both"/>
        <w:rPr>
          <w:rFonts w:cstheme="minorHAnsi"/>
        </w:rPr>
      </w:pPr>
      <w:r w:rsidRPr="005179F6">
        <w:rPr>
          <w:rFonts w:cstheme="minorHAnsi"/>
        </w:rPr>
        <w:t>Review medications, including complementary therapies</w:t>
      </w:r>
      <w:r w:rsidR="00DF4726" w:rsidRPr="005179F6">
        <w:rPr>
          <w:rFonts w:cstheme="minorHAnsi"/>
        </w:rPr>
        <w:t>:</w:t>
      </w:r>
    </w:p>
    <w:p w:rsidR="00F118C7" w:rsidRPr="005179F6" w:rsidRDefault="00F118C7" w:rsidP="00816069">
      <w:pPr>
        <w:pStyle w:val="ListParagraph"/>
        <w:numPr>
          <w:ilvl w:val="1"/>
          <w:numId w:val="41"/>
        </w:numPr>
        <w:jc w:val="both"/>
        <w:rPr>
          <w:rFonts w:cstheme="minorHAnsi"/>
        </w:rPr>
      </w:pPr>
      <w:r w:rsidRPr="005179F6">
        <w:rPr>
          <w:rFonts w:cstheme="minorHAnsi"/>
        </w:rPr>
        <w:t xml:space="preserve">Manage as per </w:t>
      </w:r>
      <w:r w:rsidR="00C22E73" w:rsidRPr="005179F6">
        <w:rPr>
          <w:rFonts w:cstheme="minorHAnsi"/>
        </w:rPr>
        <w:t>evidence based guidelines</w:t>
      </w:r>
      <w:r w:rsidR="008151C8" w:rsidRPr="005179F6">
        <w:rPr>
          <w:rFonts w:cstheme="minorHAnsi"/>
        </w:rPr>
        <w:t xml:space="preserve">, including </w:t>
      </w:r>
      <w:r w:rsidR="00B577EF" w:rsidRPr="005179F6">
        <w:rPr>
          <w:rFonts w:cstheme="minorHAnsi"/>
        </w:rPr>
        <w:t xml:space="preserve">specialist guidelines, local protocols or </w:t>
      </w:r>
      <w:r w:rsidR="008151C8" w:rsidRPr="005179F6">
        <w:rPr>
          <w:rFonts w:cstheme="minorHAnsi"/>
        </w:rPr>
        <w:t>referral where appropriate</w:t>
      </w:r>
      <w:r w:rsidR="00B577EF" w:rsidRPr="005179F6">
        <w:rPr>
          <w:rFonts w:cstheme="minorHAnsi"/>
        </w:rPr>
        <w:t>;</w:t>
      </w:r>
    </w:p>
    <w:p w:rsidR="00F118C7" w:rsidRPr="005179F6" w:rsidRDefault="00F118C7" w:rsidP="00816069">
      <w:pPr>
        <w:pStyle w:val="ListParagraph"/>
        <w:numPr>
          <w:ilvl w:val="0"/>
          <w:numId w:val="37"/>
        </w:numPr>
        <w:jc w:val="both"/>
        <w:rPr>
          <w:rFonts w:cstheme="minorHAnsi"/>
        </w:rPr>
      </w:pPr>
      <w:r w:rsidRPr="005179F6">
        <w:rPr>
          <w:rFonts w:cstheme="minorHAnsi"/>
        </w:rPr>
        <w:t>Perform initial bleeding history including family and personal history of bleeding disorder or excessive bleeding</w:t>
      </w:r>
      <w:r w:rsidR="00DF4726" w:rsidRPr="005179F6">
        <w:rPr>
          <w:rFonts w:cstheme="minorHAnsi"/>
        </w:rPr>
        <w:t>:</w:t>
      </w:r>
    </w:p>
    <w:p w:rsidR="0093012B" w:rsidRPr="005179F6" w:rsidRDefault="00F118C7" w:rsidP="00816069">
      <w:pPr>
        <w:pStyle w:val="ListParagraph"/>
        <w:numPr>
          <w:ilvl w:val="1"/>
          <w:numId w:val="41"/>
        </w:numPr>
        <w:jc w:val="both"/>
        <w:rPr>
          <w:rFonts w:cstheme="minorHAnsi"/>
        </w:rPr>
      </w:pPr>
      <w:r w:rsidRPr="005179F6">
        <w:rPr>
          <w:rFonts w:cstheme="minorHAnsi"/>
        </w:rPr>
        <w:t>If positive us</w:t>
      </w:r>
      <w:r w:rsidR="00FC3708" w:rsidRPr="005179F6">
        <w:rPr>
          <w:rFonts w:cstheme="minorHAnsi"/>
        </w:rPr>
        <w:t>e</w:t>
      </w:r>
      <w:r w:rsidRPr="005179F6">
        <w:rPr>
          <w:rFonts w:cstheme="minorHAnsi"/>
        </w:rPr>
        <w:t xml:space="preserve"> a </w:t>
      </w:r>
      <w:r w:rsidR="00545056" w:rsidRPr="005179F6">
        <w:rPr>
          <w:rFonts w:cstheme="minorHAnsi"/>
        </w:rPr>
        <w:t xml:space="preserve">Bleeding Assessment </w:t>
      </w:r>
      <w:r w:rsidR="00361646" w:rsidRPr="005179F6">
        <w:rPr>
          <w:rFonts w:cstheme="minorHAnsi"/>
        </w:rPr>
        <w:t xml:space="preserve">Tool </w:t>
      </w:r>
      <w:r w:rsidR="00545056" w:rsidRPr="005179F6">
        <w:rPr>
          <w:rFonts w:cstheme="minorHAnsi"/>
        </w:rPr>
        <w:t>(</w:t>
      </w:r>
      <w:r w:rsidRPr="005179F6">
        <w:rPr>
          <w:rFonts w:cstheme="minorHAnsi"/>
        </w:rPr>
        <w:t>BAT</w:t>
      </w:r>
      <w:r w:rsidR="00545056" w:rsidRPr="005179F6">
        <w:rPr>
          <w:rFonts w:cstheme="minorHAnsi"/>
        </w:rPr>
        <w:t>)</w:t>
      </w:r>
      <w:r w:rsidR="00DF4726" w:rsidRPr="005179F6">
        <w:rPr>
          <w:rFonts w:cstheme="minorHAnsi"/>
        </w:rPr>
        <w:t xml:space="preserve"> consisting of a standardise</w:t>
      </w:r>
      <w:r w:rsidR="002F21F5" w:rsidRPr="005179F6">
        <w:rPr>
          <w:rFonts w:cstheme="minorHAnsi"/>
        </w:rPr>
        <w:t>d</w:t>
      </w:r>
      <w:r w:rsidR="00DF4726" w:rsidRPr="005179F6">
        <w:rPr>
          <w:rFonts w:cstheme="minorHAnsi"/>
        </w:rPr>
        <w:t xml:space="preserve"> bleeding questionnaire and bleeding score</w:t>
      </w:r>
      <w:r w:rsidR="00DD2AF2" w:rsidRPr="005179F6">
        <w:rPr>
          <w:rFonts w:cstheme="minorHAnsi"/>
        </w:rPr>
        <w:t xml:space="preserve"> and/or refer for further assessment; </w:t>
      </w:r>
    </w:p>
    <w:p w:rsidR="00F118C7" w:rsidRPr="005179F6" w:rsidRDefault="00F118C7" w:rsidP="00816069">
      <w:pPr>
        <w:pStyle w:val="ListParagraph"/>
        <w:numPr>
          <w:ilvl w:val="0"/>
          <w:numId w:val="37"/>
        </w:numPr>
        <w:jc w:val="both"/>
        <w:rPr>
          <w:rFonts w:cstheme="minorHAnsi"/>
        </w:rPr>
      </w:pPr>
      <w:r w:rsidRPr="005179F6">
        <w:rPr>
          <w:rFonts w:cstheme="minorHAnsi"/>
        </w:rPr>
        <w:t>Perform a physical examination</w:t>
      </w:r>
      <w:r w:rsidR="00DF4726" w:rsidRPr="005179F6">
        <w:rPr>
          <w:rFonts w:cstheme="minorHAnsi"/>
        </w:rPr>
        <w:t>:</w:t>
      </w:r>
    </w:p>
    <w:p w:rsidR="008151C8" w:rsidRPr="005179F6" w:rsidRDefault="00F118C7" w:rsidP="00816069">
      <w:pPr>
        <w:pStyle w:val="ListParagraph"/>
        <w:numPr>
          <w:ilvl w:val="1"/>
          <w:numId w:val="41"/>
        </w:numPr>
        <w:jc w:val="both"/>
        <w:rPr>
          <w:rFonts w:cstheme="minorHAnsi"/>
        </w:rPr>
      </w:pPr>
      <w:r w:rsidRPr="005179F6">
        <w:rPr>
          <w:rFonts w:cstheme="minorHAnsi"/>
        </w:rPr>
        <w:t>If positive for signs of bleeding or comorbidities associated with increased risk of bleeding</w:t>
      </w:r>
      <w:r w:rsidR="00DD2AF2" w:rsidRPr="005179F6">
        <w:rPr>
          <w:rFonts w:cstheme="minorHAnsi"/>
        </w:rPr>
        <w:t xml:space="preserve"> use a BAT and/or</w:t>
      </w:r>
      <w:r w:rsidRPr="005179F6">
        <w:rPr>
          <w:rFonts w:cstheme="minorHAnsi"/>
        </w:rPr>
        <w:t xml:space="preserve"> refer for further assessment</w:t>
      </w:r>
      <w:r w:rsidR="00B577EF" w:rsidRPr="005179F6">
        <w:rPr>
          <w:rFonts w:cstheme="minorHAnsi"/>
        </w:rPr>
        <w:t>;</w:t>
      </w:r>
    </w:p>
    <w:p w:rsidR="008151C8" w:rsidRPr="005179F6" w:rsidRDefault="00F118C7" w:rsidP="00816069">
      <w:pPr>
        <w:pStyle w:val="ListParagraph"/>
        <w:numPr>
          <w:ilvl w:val="0"/>
          <w:numId w:val="37"/>
        </w:numPr>
        <w:jc w:val="both"/>
        <w:rPr>
          <w:rFonts w:cstheme="minorHAnsi"/>
        </w:rPr>
      </w:pPr>
      <w:r w:rsidRPr="005179F6">
        <w:rPr>
          <w:rFonts w:cstheme="minorHAnsi"/>
        </w:rPr>
        <w:t>If all initial screens are negative, no further evaluation is required – routine preoperative coagulatio</w:t>
      </w:r>
      <w:r w:rsidR="00B577EF" w:rsidRPr="005179F6">
        <w:rPr>
          <w:rFonts w:cstheme="minorHAnsi"/>
        </w:rPr>
        <w:t>n screening is not recommended;</w:t>
      </w:r>
    </w:p>
    <w:p w:rsidR="008151C8" w:rsidRPr="005179F6" w:rsidRDefault="00520E3D" w:rsidP="00816069">
      <w:pPr>
        <w:pStyle w:val="ListParagraph"/>
        <w:numPr>
          <w:ilvl w:val="0"/>
          <w:numId w:val="37"/>
        </w:numPr>
        <w:jc w:val="both"/>
        <w:rPr>
          <w:rFonts w:cstheme="minorHAnsi"/>
        </w:rPr>
      </w:pPr>
      <w:r w:rsidRPr="005179F6">
        <w:rPr>
          <w:rFonts w:cstheme="minorHAnsi"/>
        </w:rPr>
        <w:t>Neither p</w:t>
      </w:r>
      <w:r w:rsidR="00545056" w:rsidRPr="005179F6">
        <w:rPr>
          <w:rFonts w:cstheme="minorHAnsi"/>
        </w:rPr>
        <w:t xml:space="preserve">reoperative </w:t>
      </w:r>
      <w:r w:rsidRPr="005179F6">
        <w:rPr>
          <w:rFonts w:cstheme="minorHAnsi"/>
        </w:rPr>
        <w:t>point</w:t>
      </w:r>
      <w:r w:rsidR="00545056" w:rsidRPr="005179F6">
        <w:rPr>
          <w:rFonts w:cstheme="minorHAnsi"/>
        </w:rPr>
        <w:t>-of-care (POC)</w:t>
      </w:r>
      <w:r w:rsidRPr="005179F6">
        <w:rPr>
          <w:rFonts w:cstheme="minorHAnsi"/>
        </w:rPr>
        <w:t xml:space="preserve"> global coagulation assays nor POC</w:t>
      </w:r>
      <w:r w:rsidR="00BC6A8C" w:rsidRPr="005179F6">
        <w:rPr>
          <w:rFonts w:cstheme="minorHAnsi"/>
        </w:rPr>
        <w:t xml:space="preserve"> INR</w:t>
      </w:r>
      <w:r w:rsidR="00545056" w:rsidRPr="005179F6">
        <w:rPr>
          <w:rFonts w:cstheme="minorHAnsi"/>
        </w:rPr>
        <w:t xml:space="preserve"> measurement predict b</w:t>
      </w:r>
      <w:r w:rsidR="00B577EF" w:rsidRPr="005179F6">
        <w:rPr>
          <w:rFonts w:cstheme="minorHAnsi"/>
        </w:rPr>
        <w:t xml:space="preserve">leeding </w:t>
      </w:r>
      <w:r w:rsidRPr="005179F6">
        <w:rPr>
          <w:rFonts w:cstheme="minorHAnsi"/>
        </w:rPr>
        <w:t>tendency</w:t>
      </w:r>
      <w:r w:rsidR="00B577EF" w:rsidRPr="005179F6">
        <w:rPr>
          <w:rFonts w:cstheme="minorHAnsi"/>
        </w:rPr>
        <w:t>;</w:t>
      </w:r>
    </w:p>
    <w:p w:rsidR="006227EE" w:rsidRPr="005179F6" w:rsidRDefault="006227EE" w:rsidP="00816069">
      <w:pPr>
        <w:pStyle w:val="ListParagraph"/>
        <w:numPr>
          <w:ilvl w:val="0"/>
          <w:numId w:val="37"/>
        </w:numPr>
        <w:jc w:val="both"/>
        <w:rPr>
          <w:rFonts w:cstheme="minorHAnsi"/>
        </w:rPr>
      </w:pPr>
      <w:r w:rsidRPr="005179F6">
        <w:rPr>
          <w:rFonts w:cstheme="minorHAnsi"/>
        </w:rPr>
        <w:t>Refer for specialist and/or multidisciplinary assessment and management</w:t>
      </w:r>
      <w:r w:rsidR="008151C8" w:rsidRPr="005179F6">
        <w:rPr>
          <w:rFonts w:cstheme="minorHAnsi"/>
        </w:rPr>
        <w:t>,</w:t>
      </w:r>
      <w:r w:rsidRPr="005179F6">
        <w:rPr>
          <w:rFonts w:cstheme="minorHAnsi"/>
        </w:rPr>
        <w:t xml:space="preserve"> patients:</w:t>
      </w:r>
    </w:p>
    <w:p w:rsidR="0009320B" w:rsidRPr="005179F6" w:rsidRDefault="0009320B" w:rsidP="0009320B">
      <w:pPr>
        <w:pStyle w:val="ListParagraph"/>
        <w:numPr>
          <w:ilvl w:val="1"/>
          <w:numId w:val="41"/>
        </w:numPr>
        <w:jc w:val="both"/>
        <w:rPr>
          <w:rFonts w:cstheme="minorHAnsi"/>
        </w:rPr>
      </w:pPr>
      <w:r>
        <w:rPr>
          <w:rFonts w:cstheme="minorHAnsi"/>
        </w:rPr>
        <w:t>undergoing high risk procedures;</w:t>
      </w:r>
    </w:p>
    <w:p w:rsidR="0009320B" w:rsidRPr="005179F6" w:rsidRDefault="0009320B" w:rsidP="0009320B">
      <w:pPr>
        <w:pStyle w:val="ListParagraph"/>
        <w:numPr>
          <w:ilvl w:val="1"/>
          <w:numId w:val="41"/>
        </w:numPr>
        <w:jc w:val="both"/>
        <w:rPr>
          <w:rFonts w:cstheme="minorHAnsi"/>
        </w:rPr>
      </w:pPr>
      <w:r w:rsidRPr="005179F6">
        <w:rPr>
          <w:rFonts w:cstheme="minorHAnsi"/>
        </w:rPr>
        <w:t>with haemostatic abnormalities a</w:t>
      </w:r>
      <w:r>
        <w:rPr>
          <w:rFonts w:cstheme="minorHAnsi"/>
        </w:rPr>
        <w:t>ssociated with comorbid illness;</w:t>
      </w:r>
      <w:r w:rsidRPr="005179F6">
        <w:rPr>
          <w:rFonts w:cstheme="minorHAnsi"/>
        </w:rPr>
        <w:t xml:space="preserve"> and those </w:t>
      </w:r>
    </w:p>
    <w:p w:rsidR="006227EE" w:rsidRPr="005179F6" w:rsidRDefault="006227EE" w:rsidP="00816069">
      <w:pPr>
        <w:pStyle w:val="ListParagraph"/>
        <w:numPr>
          <w:ilvl w:val="1"/>
          <w:numId w:val="41"/>
        </w:numPr>
        <w:jc w:val="both"/>
        <w:rPr>
          <w:rFonts w:cstheme="minorHAnsi"/>
        </w:rPr>
      </w:pPr>
      <w:proofErr w:type="gramStart"/>
      <w:r w:rsidRPr="005179F6">
        <w:rPr>
          <w:rFonts w:cstheme="minorHAnsi"/>
        </w:rPr>
        <w:t>with</w:t>
      </w:r>
      <w:proofErr w:type="gramEnd"/>
      <w:r w:rsidRPr="005179F6">
        <w:rPr>
          <w:rFonts w:cstheme="minorHAnsi"/>
        </w:rPr>
        <w:t xml:space="preserve"> know</w:t>
      </w:r>
      <w:r w:rsidR="0009320B">
        <w:rPr>
          <w:rFonts w:cstheme="minorHAnsi"/>
        </w:rPr>
        <w:t>n congenital bleeding disorders.</w:t>
      </w:r>
    </w:p>
    <w:p w:rsidR="006227EE" w:rsidRPr="005179F6" w:rsidRDefault="006227EE" w:rsidP="00816069">
      <w:pPr>
        <w:jc w:val="both"/>
        <w:rPr>
          <w:rFonts w:cstheme="minorHAnsi"/>
        </w:rPr>
      </w:pPr>
    </w:p>
    <w:p w:rsidR="006227EE" w:rsidRDefault="00575D37" w:rsidP="00816069">
      <w:pPr>
        <w:jc w:val="both"/>
        <w:rPr>
          <w:rFonts w:cstheme="minorHAnsi"/>
        </w:rPr>
      </w:pPr>
      <w:r w:rsidRPr="005179F6">
        <w:rPr>
          <w:rFonts w:cstheme="minorHAnsi"/>
        </w:rPr>
        <w:t>Details regarding these steps</w:t>
      </w:r>
      <w:r w:rsidR="00520E3D" w:rsidRPr="005179F6">
        <w:rPr>
          <w:rFonts w:cstheme="minorHAnsi"/>
        </w:rPr>
        <w:t xml:space="preserve"> are outlined in the following pages. C</w:t>
      </w:r>
      <w:r w:rsidR="00E60E72" w:rsidRPr="005179F6">
        <w:rPr>
          <w:rFonts w:cstheme="minorHAnsi"/>
        </w:rPr>
        <w:t xml:space="preserve">onsiderations for incorporation </w:t>
      </w:r>
      <w:r w:rsidR="00520E3D" w:rsidRPr="005179F6">
        <w:rPr>
          <w:rFonts w:cstheme="minorHAnsi"/>
        </w:rPr>
        <w:t xml:space="preserve">of bleeding risk assessment </w:t>
      </w:r>
      <w:r w:rsidR="00E60E72" w:rsidRPr="005179F6">
        <w:rPr>
          <w:rFonts w:cstheme="minorHAnsi"/>
        </w:rPr>
        <w:t>into clinical practice using clinical practice improvement (CPI) methodologies</w:t>
      </w:r>
      <w:r w:rsidRPr="005179F6">
        <w:rPr>
          <w:rFonts w:cstheme="minorHAnsi"/>
        </w:rPr>
        <w:t xml:space="preserve"> can be found in </w:t>
      </w:r>
      <w:hyperlink w:anchor="_Appendix_1:_Preoperative" w:history="1">
        <w:r w:rsidR="00520E3D" w:rsidRPr="005179F6">
          <w:rPr>
            <w:rStyle w:val="Hyperlink"/>
            <w:rFonts w:cstheme="minorHAnsi"/>
          </w:rPr>
          <w:t>Appendix 1</w:t>
        </w:r>
      </w:hyperlink>
      <w:r w:rsidRPr="005179F6">
        <w:rPr>
          <w:rFonts w:cstheme="minorHAnsi"/>
        </w:rPr>
        <w:t>.</w:t>
      </w:r>
    </w:p>
    <w:p w:rsidR="00877656" w:rsidRDefault="00877656" w:rsidP="00816069">
      <w:pPr>
        <w:jc w:val="both"/>
        <w:rPr>
          <w:rFonts w:cstheme="minorHAnsi"/>
        </w:rPr>
      </w:pPr>
    </w:p>
    <w:p w:rsidR="00FE124C" w:rsidRDefault="00877656" w:rsidP="00877656">
      <w:pPr>
        <w:jc w:val="both"/>
        <w:sectPr w:rsidR="00FE124C" w:rsidSect="00FE124C">
          <w:headerReference w:type="even" r:id="rId9"/>
          <w:headerReference w:type="default" r:id="rId10"/>
          <w:footerReference w:type="even" r:id="rId11"/>
          <w:footerReference w:type="default" r:id="rId12"/>
          <w:headerReference w:type="first" r:id="rId13"/>
          <w:footerReference w:type="first" r:id="rId14"/>
          <w:footnotePr>
            <w:numFmt w:val="lowerLetter"/>
          </w:footnotePr>
          <w:type w:val="continuous"/>
          <w:pgSz w:w="11906" w:h="16838"/>
          <w:pgMar w:top="1247" w:right="1134" w:bottom="1021" w:left="1134" w:header="709" w:footer="709" w:gutter="0"/>
          <w:pgNumType w:fmt="lowerRoman" w:start="1"/>
          <w:cols w:space="708"/>
          <w:titlePg/>
          <w:docGrid w:linePitch="360"/>
        </w:sectPr>
      </w:pPr>
      <w:r>
        <w:object w:dxaOrig="12840" w:dyaOrig="10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2pt;height:348.6pt" o:ole="">
            <v:imagedata r:id="rId15" o:title=""/>
          </v:shape>
          <o:OLEObject Type="Embed" ProgID="Visio.Drawing.11" ShapeID="_x0000_i1025" DrawAspect="Content" ObjectID="_1473086952" r:id="rId16"/>
        </w:object>
      </w:r>
    </w:p>
    <w:p w:rsidR="008151C8" w:rsidRPr="005179F6" w:rsidRDefault="008151C8" w:rsidP="00877656">
      <w:pPr>
        <w:jc w:val="both"/>
        <w:rPr>
          <w:rFonts w:cstheme="minorHAnsi"/>
        </w:rPr>
      </w:pPr>
    </w:p>
    <w:sdt>
      <w:sdtPr>
        <w:rPr>
          <w:rFonts w:asciiTheme="minorHAnsi" w:eastAsiaTheme="minorHAnsi" w:hAnsiTheme="minorHAnsi" w:cstheme="minorBidi"/>
          <w:b w:val="0"/>
          <w:bCs w:val="0"/>
          <w:sz w:val="22"/>
          <w:szCs w:val="22"/>
          <w:lang w:val="en-AU" w:eastAsia="en-US"/>
        </w:rPr>
        <w:id w:val="31387079"/>
        <w:docPartObj>
          <w:docPartGallery w:val="Table of Contents"/>
          <w:docPartUnique/>
        </w:docPartObj>
      </w:sdtPr>
      <w:sdtEndPr>
        <w:rPr>
          <w:noProof/>
        </w:rPr>
      </w:sdtEndPr>
      <w:sdtContent>
        <w:p w:rsidR="00DE3603" w:rsidRDefault="00DE3603" w:rsidP="009D3A5D">
          <w:pPr>
            <w:pStyle w:val="TOCHeading"/>
          </w:pPr>
          <w:r>
            <w:t>Table of Contents</w:t>
          </w:r>
        </w:p>
        <w:p w:rsidR="00FE124C" w:rsidRDefault="00DD2C86">
          <w:pPr>
            <w:pStyle w:val="TOC1"/>
            <w:rPr>
              <w:rFonts w:eastAsiaTheme="minorEastAsia"/>
              <w:noProof/>
              <w:lang w:eastAsia="en-AU"/>
            </w:rPr>
          </w:pPr>
          <w:r>
            <w:fldChar w:fldCharType="begin"/>
          </w:r>
          <w:r w:rsidR="00DE3603">
            <w:instrText xml:space="preserve"> TOC \o "1-3" \h \z \u </w:instrText>
          </w:r>
          <w:r>
            <w:fldChar w:fldCharType="separate"/>
          </w:r>
          <w:hyperlink w:anchor="_Toc399150586" w:history="1">
            <w:r w:rsidR="00FE124C" w:rsidRPr="00EB546B">
              <w:rPr>
                <w:rStyle w:val="Hyperlink"/>
                <w:noProof/>
              </w:rPr>
              <w:t>Preoperative bleeding risk assessment and intervention resource: quick reference guide</w:t>
            </w:r>
            <w:r w:rsidR="00FE124C">
              <w:rPr>
                <w:noProof/>
                <w:webHidden/>
              </w:rPr>
              <w:tab/>
            </w:r>
            <w:r w:rsidR="00FE124C">
              <w:rPr>
                <w:noProof/>
                <w:webHidden/>
              </w:rPr>
              <w:fldChar w:fldCharType="begin"/>
            </w:r>
            <w:r w:rsidR="00FE124C">
              <w:rPr>
                <w:noProof/>
                <w:webHidden/>
              </w:rPr>
              <w:instrText xml:space="preserve"> PAGEREF _Toc399150586 \h </w:instrText>
            </w:r>
            <w:r w:rsidR="00FE124C">
              <w:rPr>
                <w:noProof/>
                <w:webHidden/>
              </w:rPr>
            </w:r>
            <w:r w:rsidR="00FE124C">
              <w:rPr>
                <w:noProof/>
                <w:webHidden/>
              </w:rPr>
              <w:fldChar w:fldCharType="separate"/>
            </w:r>
            <w:r w:rsidR="00FE124C">
              <w:rPr>
                <w:noProof/>
                <w:webHidden/>
              </w:rPr>
              <w:t>i</w:t>
            </w:r>
            <w:r w:rsidR="00FE124C">
              <w:rPr>
                <w:noProof/>
                <w:webHidden/>
              </w:rPr>
              <w:fldChar w:fldCharType="end"/>
            </w:r>
          </w:hyperlink>
        </w:p>
        <w:p w:rsidR="00FE124C" w:rsidRDefault="00690965">
          <w:pPr>
            <w:pStyle w:val="TOC1"/>
            <w:rPr>
              <w:rFonts w:eastAsiaTheme="minorEastAsia"/>
              <w:noProof/>
              <w:lang w:eastAsia="en-AU"/>
            </w:rPr>
          </w:pPr>
          <w:hyperlink w:anchor="_Toc399150587" w:history="1">
            <w:r w:rsidR="00FE124C" w:rsidRPr="00EB546B">
              <w:rPr>
                <w:rStyle w:val="Hyperlink"/>
                <w:noProof/>
              </w:rPr>
              <w:t>Background</w:t>
            </w:r>
            <w:r w:rsidR="00FE124C">
              <w:rPr>
                <w:noProof/>
                <w:webHidden/>
              </w:rPr>
              <w:tab/>
            </w:r>
            <w:r w:rsidR="00FE124C">
              <w:rPr>
                <w:noProof/>
                <w:webHidden/>
              </w:rPr>
              <w:fldChar w:fldCharType="begin"/>
            </w:r>
            <w:r w:rsidR="00FE124C">
              <w:rPr>
                <w:noProof/>
                <w:webHidden/>
              </w:rPr>
              <w:instrText xml:space="preserve"> PAGEREF _Toc399150587 \h </w:instrText>
            </w:r>
            <w:r w:rsidR="00FE124C">
              <w:rPr>
                <w:noProof/>
                <w:webHidden/>
              </w:rPr>
            </w:r>
            <w:r w:rsidR="00FE124C">
              <w:rPr>
                <w:noProof/>
                <w:webHidden/>
              </w:rPr>
              <w:fldChar w:fldCharType="separate"/>
            </w:r>
            <w:r w:rsidR="00FE124C">
              <w:rPr>
                <w:noProof/>
                <w:webHidden/>
              </w:rPr>
              <w:t>2</w:t>
            </w:r>
            <w:r w:rsidR="00FE124C">
              <w:rPr>
                <w:noProof/>
                <w:webHidden/>
              </w:rPr>
              <w:fldChar w:fldCharType="end"/>
            </w:r>
          </w:hyperlink>
        </w:p>
        <w:p w:rsidR="00FE124C" w:rsidRDefault="00690965">
          <w:pPr>
            <w:pStyle w:val="TOC2"/>
            <w:tabs>
              <w:tab w:val="right" w:leader="dot" w:pos="9628"/>
            </w:tabs>
            <w:rPr>
              <w:rFonts w:eastAsiaTheme="minorEastAsia"/>
              <w:noProof/>
              <w:lang w:eastAsia="en-AU"/>
            </w:rPr>
          </w:pPr>
          <w:hyperlink w:anchor="_Toc399150588" w:history="1">
            <w:r w:rsidR="00FE124C" w:rsidRPr="00EB546B">
              <w:rPr>
                <w:rStyle w:val="Hyperlink"/>
                <w:noProof/>
              </w:rPr>
              <w:t>Table 1: British Committee for Standards in Haematology recommendations on the assessment of bleeding risk prior to surgery or invasive procedures.</w:t>
            </w:r>
            <w:r w:rsidR="00FE124C">
              <w:rPr>
                <w:noProof/>
                <w:webHidden/>
              </w:rPr>
              <w:tab/>
            </w:r>
            <w:r w:rsidR="00FE124C">
              <w:rPr>
                <w:noProof/>
                <w:webHidden/>
              </w:rPr>
              <w:fldChar w:fldCharType="begin"/>
            </w:r>
            <w:r w:rsidR="00FE124C">
              <w:rPr>
                <w:noProof/>
                <w:webHidden/>
              </w:rPr>
              <w:instrText xml:space="preserve"> PAGEREF _Toc399150588 \h </w:instrText>
            </w:r>
            <w:r w:rsidR="00FE124C">
              <w:rPr>
                <w:noProof/>
                <w:webHidden/>
              </w:rPr>
            </w:r>
            <w:r w:rsidR="00FE124C">
              <w:rPr>
                <w:noProof/>
                <w:webHidden/>
              </w:rPr>
              <w:fldChar w:fldCharType="separate"/>
            </w:r>
            <w:r w:rsidR="00FE124C">
              <w:rPr>
                <w:noProof/>
                <w:webHidden/>
              </w:rPr>
              <w:t>2</w:t>
            </w:r>
            <w:r w:rsidR="00FE124C">
              <w:rPr>
                <w:noProof/>
                <w:webHidden/>
              </w:rPr>
              <w:fldChar w:fldCharType="end"/>
            </w:r>
          </w:hyperlink>
        </w:p>
        <w:p w:rsidR="00FE124C" w:rsidRDefault="00690965">
          <w:pPr>
            <w:pStyle w:val="TOC2"/>
            <w:tabs>
              <w:tab w:val="right" w:leader="dot" w:pos="9628"/>
            </w:tabs>
            <w:rPr>
              <w:rFonts w:eastAsiaTheme="minorEastAsia"/>
              <w:noProof/>
              <w:lang w:eastAsia="en-AU"/>
            </w:rPr>
          </w:pPr>
          <w:hyperlink w:anchor="_Toc399150589" w:history="1">
            <w:r w:rsidR="00FE124C" w:rsidRPr="00EB546B">
              <w:rPr>
                <w:rStyle w:val="Hyperlink"/>
                <w:noProof/>
              </w:rPr>
              <w:t>Table 2: Management of severe perioperative bleeding: guidelines from the European Society of Anaesthesiology</w:t>
            </w:r>
            <w:r w:rsidR="00FE124C">
              <w:rPr>
                <w:noProof/>
                <w:webHidden/>
              </w:rPr>
              <w:tab/>
            </w:r>
            <w:r w:rsidR="00FE124C">
              <w:rPr>
                <w:noProof/>
                <w:webHidden/>
              </w:rPr>
              <w:fldChar w:fldCharType="begin"/>
            </w:r>
            <w:r w:rsidR="00FE124C">
              <w:rPr>
                <w:noProof/>
                <w:webHidden/>
              </w:rPr>
              <w:instrText xml:space="preserve"> PAGEREF _Toc399150589 \h </w:instrText>
            </w:r>
            <w:r w:rsidR="00FE124C">
              <w:rPr>
                <w:noProof/>
                <w:webHidden/>
              </w:rPr>
            </w:r>
            <w:r w:rsidR="00FE124C">
              <w:rPr>
                <w:noProof/>
                <w:webHidden/>
              </w:rPr>
              <w:fldChar w:fldCharType="separate"/>
            </w:r>
            <w:r w:rsidR="00FE124C">
              <w:rPr>
                <w:noProof/>
                <w:webHidden/>
              </w:rPr>
              <w:t>2</w:t>
            </w:r>
            <w:r w:rsidR="00FE124C">
              <w:rPr>
                <w:noProof/>
                <w:webHidden/>
              </w:rPr>
              <w:fldChar w:fldCharType="end"/>
            </w:r>
          </w:hyperlink>
        </w:p>
        <w:p w:rsidR="00FE124C" w:rsidRDefault="00690965">
          <w:pPr>
            <w:pStyle w:val="TOC2"/>
            <w:tabs>
              <w:tab w:val="right" w:leader="dot" w:pos="9628"/>
            </w:tabs>
            <w:rPr>
              <w:rFonts w:eastAsiaTheme="minorEastAsia"/>
              <w:noProof/>
              <w:lang w:eastAsia="en-AU"/>
            </w:rPr>
          </w:pPr>
          <w:hyperlink w:anchor="_Toc399150590" w:history="1">
            <w:r w:rsidR="00FE124C" w:rsidRPr="00EB546B">
              <w:rPr>
                <w:rStyle w:val="Hyperlink"/>
                <w:noProof/>
              </w:rPr>
              <w:t>Figure 1: Preoperative assessment of bleeding risk</w:t>
            </w:r>
            <w:r w:rsidR="00FE124C">
              <w:rPr>
                <w:noProof/>
                <w:webHidden/>
              </w:rPr>
              <w:tab/>
            </w:r>
            <w:r w:rsidR="00FE124C">
              <w:rPr>
                <w:noProof/>
                <w:webHidden/>
              </w:rPr>
              <w:fldChar w:fldCharType="begin"/>
            </w:r>
            <w:r w:rsidR="00FE124C">
              <w:rPr>
                <w:noProof/>
                <w:webHidden/>
              </w:rPr>
              <w:instrText xml:space="preserve"> PAGEREF _Toc399150590 \h </w:instrText>
            </w:r>
            <w:r w:rsidR="00FE124C">
              <w:rPr>
                <w:noProof/>
                <w:webHidden/>
              </w:rPr>
            </w:r>
            <w:r w:rsidR="00FE124C">
              <w:rPr>
                <w:noProof/>
                <w:webHidden/>
              </w:rPr>
              <w:fldChar w:fldCharType="separate"/>
            </w:r>
            <w:r w:rsidR="00FE124C">
              <w:rPr>
                <w:noProof/>
                <w:webHidden/>
              </w:rPr>
              <w:t>3</w:t>
            </w:r>
            <w:r w:rsidR="00FE124C">
              <w:rPr>
                <w:noProof/>
                <w:webHidden/>
              </w:rPr>
              <w:fldChar w:fldCharType="end"/>
            </w:r>
          </w:hyperlink>
        </w:p>
        <w:p w:rsidR="00FE124C" w:rsidRDefault="00690965">
          <w:pPr>
            <w:pStyle w:val="TOC1"/>
            <w:rPr>
              <w:rFonts w:eastAsiaTheme="minorEastAsia"/>
              <w:noProof/>
              <w:lang w:eastAsia="en-AU"/>
            </w:rPr>
          </w:pPr>
          <w:hyperlink w:anchor="_Toc399150591" w:history="1">
            <w:r w:rsidR="00FE124C" w:rsidRPr="00EB546B">
              <w:rPr>
                <w:rStyle w:val="Hyperlink"/>
                <w:noProof/>
              </w:rPr>
              <w:t>Medication assessment</w:t>
            </w:r>
            <w:r w:rsidR="00FE124C">
              <w:rPr>
                <w:noProof/>
                <w:webHidden/>
              </w:rPr>
              <w:tab/>
            </w:r>
            <w:r w:rsidR="00FE124C">
              <w:rPr>
                <w:noProof/>
                <w:webHidden/>
              </w:rPr>
              <w:fldChar w:fldCharType="begin"/>
            </w:r>
            <w:r w:rsidR="00FE124C">
              <w:rPr>
                <w:noProof/>
                <w:webHidden/>
              </w:rPr>
              <w:instrText xml:space="preserve"> PAGEREF _Toc399150591 \h </w:instrText>
            </w:r>
            <w:r w:rsidR="00FE124C">
              <w:rPr>
                <w:noProof/>
                <w:webHidden/>
              </w:rPr>
            </w:r>
            <w:r w:rsidR="00FE124C">
              <w:rPr>
                <w:noProof/>
                <w:webHidden/>
              </w:rPr>
              <w:fldChar w:fldCharType="separate"/>
            </w:r>
            <w:r w:rsidR="00FE124C">
              <w:rPr>
                <w:noProof/>
                <w:webHidden/>
              </w:rPr>
              <w:t>3</w:t>
            </w:r>
            <w:r w:rsidR="00FE124C">
              <w:rPr>
                <w:noProof/>
                <w:webHidden/>
              </w:rPr>
              <w:fldChar w:fldCharType="end"/>
            </w:r>
          </w:hyperlink>
        </w:p>
        <w:p w:rsidR="00FE124C" w:rsidRDefault="00690965">
          <w:pPr>
            <w:pStyle w:val="TOC2"/>
            <w:tabs>
              <w:tab w:val="right" w:leader="dot" w:pos="9628"/>
            </w:tabs>
            <w:rPr>
              <w:rFonts w:eastAsiaTheme="minorEastAsia"/>
              <w:noProof/>
              <w:lang w:eastAsia="en-AU"/>
            </w:rPr>
          </w:pPr>
          <w:hyperlink w:anchor="_Toc399150592" w:history="1">
            <w:r w:rsidR="00FE124C" w:rsidRPr="00EB546B">
              <w:rPr>
                <w:rStyle w:val="Hyperlink"/>
                <w:noProof/>
              </w:rPr>
              <w:t>Table 3: Guidance regarding cessation of medications - Patient Blood Management Guidelines: Module 2 Perioperative</w:t>
            </w:r>
            <w:r w:rsidR="00FE124C">
              <w:rPr>
                <w:noProof/>
                <w:webHidden/>
              </w:rPr>
              <w:tab/>
            </w:r>
            <w:r w:rsidR="00FE124C">
              <w:rPr>
                <w:noProof/>
                <w:webHidden/>
              </w:rPr>
              <w:fldChar w:fldCharType="begin"/>
            </w:r>
            <w:r w:rsidR="00FE124C">
              <w:rPr>
                <w:noProof/>
                <w:webHidden/>
              </w:rPr>
              <w:instrText xml:space="preserve"> PAGEREF _Toc399150592 \h </w:instrText>
            </w:r>
            <w:r w:rsidR="00FE124C">
              <w:rPr>
                <w:noProof/>
                <w:webHidden/>
              </w:rPr>
            </w:r>
            <w:r w:rsidR="00FE124C">
              <w:rPr>
                <w:noProof/>
                <w:webHidden/>
              </w:rPr>
              <w:fldChar w:fldCharType="separate"/>
            </w:r>
            <w:r w:rsidR="00FE124C">
              <w:rPr>
                <w:noProof/>
                <w:webHidden/>
              </w:rPr>
              <w:t>4</w:t>
            </w:r>
            <w:r w:rsidR="00FE124C">
              <w:rPr>
                <w:noProof/>
                <w:webHidden/>
              </w:rPr>
              <w:fldChar w:fldCharType="end"/>
            </w:r>
          </w:hyperlink>
        </w:p>
        <w:p w:rsidR="00FE124C" w:rsidRDefault="00690965">
          <w:pPr>
            <w:pStyle w:val="TOC2"/>
            <w:tabs>
              <w:tab w:val="right" w:leader="dot" w:pos="9628"/>
            </w:tabs>
            <w:rPr>
              <w:rFonts w:eastAsiaTheme="minorEastAsia"/>
              <w:noProof/>
              <w:lang w:eastAsia="en-AU"/>
            </w:rPr>
          </w:pPr>
          <w:hyperlink w:anchor="_Toc399150593" w:history="1">
            <w:r w:rsidR="00FE124C" w:rsidRPr="00EB546B">
              <w:rPr>
                <w:rStyle w:val="Hyperlink"/>
                <w:noProof/>
              </w:rPr>
              <w:t>Figure 2: Suggested management of patients receiving NOAC requiring urgent surgery</w:t>
            </w:r>
            <w:r w:rsidR="00FE124C" w:rsidRPr="00EB546B">
              <w:rPr>
                <w:rStyle w:val="Hyperlink"/>
                <w:noProof/>
                <w:vertAlign w:val="superscript"/>
              </w:rPr>
              <w:t>4</w:t>
            </w:r>
            <w:r w:rsidR="00FE124C">
              <w:rPr>
                <w:noProof/>
                <w:webHidden/>
              </w:rPr>
              <w:tab/>
            </w:r>
            <w:r w:rsidR="00FE124C">
              <w:rPr>
                <w:noProof/>
                <w:webHidden/>
              </w:rPr>
              <w:fldChar w:fldCharType="begin"/>
            </w:r>
            <w:r w:rsidR="00FE124C">
              <w:rPr>
                <w:noProof/>
                <w:webHidden/>
              </w:rPr>
              <w:instrText xml:space="preserve"> PAGEREF _Toc399150593 \h </w:instrText>
            </w:r>
            <w:r w:rsidR="00FE124C">
              <w:rPr>
                <w:noProof/>
                <w:webHidden/>
              </w:rPr>
            </w:r>
            <w:r w:rsidR="00FE124C">
              <w:rPr>
                <w:noProof/>
                <w:webHidden/>
              </w:rPr>
              <w:fldChar w:fldCharType="separate"/>
            </w:r>
            <w:r w:rsidR="00FE124C">
              <w:rPr>
                <w:noProof/>
                <w:webHidden/>
              </w:rPr>
              <w:t>5</w:t>
            </w:r>
            <w:r w:rsidR="00FE124C">
              <w:rPr>
                <w:noProof/>
                <w:webHidden/>
              </w:rPr>
              <w:fldChar w:fldCharType="end"/>
            </w:r>
          </w:hyperlink>
        </w:p>
        <w:p w:rsidR="00FE124C" w:rsidRDefault="00690965">
          <w:pPr>
            <w:pStyle w:val="TOC1"/>
            <w:rPr>
              <w:rFonts w:eastAsiaTheme="minorEastAsia"/>
              <w:noProof/>
              <w:lang w:eastAsia="en-AU"/>
            </w:rPr>
          </w:pPr>
          <w:hyperlink w:anchor="_Toc399150594" w:history="1">
            <w:r w:rsidR="00FE124C" w:rsidRPr="00EB546B">
              <w:rPr>
                <w:rStyle w:val="Hyperlink"/>
                <w:noProof/>
              </w:rPr>
              <w:t>Bleeding History</w:t>
            </w:r>
            <w:r w:rsidR="00FE124C">
              <w:rPr>
                <w:noProof/>
                <w:webHidden/>
              </w:rPr>
              <w:tab/>
            </w:r>
            <w:r w:rsidR="00FE124C">
              <w:rPr>
                <w:noProof/>
                <w:webHidden/>
              </w:rPr>
              <w:fldChar w:fldCharType="begin"/>
            </w:r>
            <w:r w:rsidR="00FE124C">
              <w:rPr>
                <w:noProof/>
                <w:webHidden/>
              </w:rPr>
              <w:instrText xml:space="preserve"> PAGEREF _Toc399150594 \h </w:instrText>
            </w:r>
            <w:r w:rsidR="00FE124C">
              <w:rPr>
                <w:noProof/>
                <w:webHidden/>
              </w:rPr>
            </w:r>
            <w:r w:rsidR="00FE124C">
              <w:rPr>
                <w:noProof/>
                <w:webHidden/>
              </w:rPr>
              <w:fldChar w:fldCharType="separate"/>
            </w:r>
            <w:r w:rsidR="00FE124C">
              <w:rPr>
                <w:noProof/>
                <w:webHidden/>
              </w:rPr>
              <w:t>6</w:t>
            </w:r>
            <w:r w:rsidR="00FE124C">
              <w:rPr>
                <w:noProof/>
                <w:webHidden/>
              </w:rPr>
              <w:fldChar w:fldCharType="end"/>
            </w:r>
          </w:hyperlink>
        </w:p>
        <w:p w:rsidR="00FE124C" w:rsidRDefault="00690965">
          <w:pPr>
            <w:pStyle w:val="TOC1"/>
            <w:rPr>
              <w:rFonts w:eastAsiaTheme="minorEastAsia"/>
              <w:noProof/>
              <w:lang w:eastAsia="en-AU"/>
            </w:rPr>
          </w:pPr>
          <w:hyperlink w:anchor="_Toc399150595" w:history="1">
            <w:r w:rsidR="00FE124C" w:rsidRPr="00EB546B">
              <w:rPr>
                <w:rStyle w:val="Hyperlink"/>
                <w:noProof/>
              </w:rPr>
              <w:t>What is a Bleeding Assessment Tool (BAT)?</w:t>
            </w:r>
            <w:r w:rsidR="00FE124C">
              <w:rPr>
                <w:noProof/>
                <w:webHidden/>
              </w:rPr>
              <w:tab/>
            </w:r>
            <w:r w:rsidR="00FE124C">
              <w:rPr>
                <w:noProof/>
                <w:webHidden/>
              </w:rPr>
              <w:fldChar w:fldCharType="begin"/>
            </w:r>
            <w:r w:rsidR="00FE124C">
              <w:rPr>
                <w:noProof/>
                <w:webHidden/>
              </w:rPr>
              <w:instrText xml:space="preserve"> PAGEREF _Toc399150595 \h </w:instrText>
            </w:r>
            <w:r w:rsidR="00FE124C">
              <w:rPr>
                <w:noProof/>
                <w:webHidden/>
              </w:rPr>
            </w:r>
            <w:r w:rsidR="00FE124C">
              <w:rPr>
                <w:noProof/>
                <w:webHidden/>
              </w:rPr>
              <w:fldChar w:fldCharType="separate"/>
            </w:r>
            <w:r w:rsidR="00FE124C">
              <w:rPr>
                <w:noProof/>
                <w:webHidden/>
              </w:rPr>
              <w:t>6</w:t>
            </w:r>
            <w:r w:rsidR="00FE124C">
              <w:rPr>
                <w:noProof/>
                <w:webHidden/>
              </w:rPr>
              <w:fldChar w:fldCharType="end"/>
            </w:r>
          </w:hyperlink>
        </w:p>
        <w:p w:rsidR="00FE124C" w:rsidRDefault="00690965">
          <w:pPr>
            <w:pStyle w:val="TOC1"/>
            <w:rPr>
              <w:rFonts w:eastAsiaTheme="minorEastAsia"/>
              <w:noProof/>
              <w:lang w:eastAsia="en-AU"/>
            </w:rPr>
          </w:pPr>
          <w:hyperlink w:anchor="_Toc399150596" w:history="1">
            <w:r w:rsidR="00FE124C" w:rsidRPr="00EB546B">
              <w:rPr>
                <w:rStyle w:val="Hyperlink"/>
                <w:noProof/>
              </w:rPr>
              <w:t>What Bleeding Assessment Tools are available?</w:t>
            </w:r>
            <w:r w:rsidR="00FE124C">
              <w:rPr>
                <w:noProof/>
                <w:webHidden/>
              </w:rPr>
              <w:tab/>
            </w:r>
            <w:r w:rsidR="00FE124C">
              <w:rPr>
                <w:noProof/>
                <w:webHidden/>
              </w:rPr>
              <w:fldChar w:fldCharType="begin"/>
            </w:r>
            <w:r w:rsidR="00FE124C">
              <w:rPr>
                <w:noProof/>
                <w:webHidden/>
              </w:rPr>
              <w:instrText xml:space="preserve"> PAGEREF _Toc399150596 \h </w:instrText>
            </w:r>
            <w:r w:rsidR="00FE124C">
              <w:rPr>
                <w:noProof/>
                <w:webHidden/>
              </w:rPr>
            </w:r>
            <w:r w:rsidR="00FE124C">
              <w:rPr>
                <w:noProof/>
                <w:webHidden/>
              </w:rPr>
              <w:fldChar w:fldCharType="separate"/>
            </w:r>
            <w:r w:rsidR="00FE124C">
              <w:rPr>
                <w:noProof/>
                <w:webHidden/>
              </w:rPr>
              <w:t>6</w:t>
            </w:r>
            <w:r w:rsidR="00FE124C">
              <w:rPr>
                <w:noProof/>
                <w:webHidden/>
              </w:rPr>
              <w:fldChar w:fldCharType="end"/>
            </w:r>
          </w:hyperlink>
        </w:p>
        <w:p w:rsidR="00FE124C" w:rsidRDefault="00690965">
          <w:pPr>
            <w:pStyle w:val="TOC2"/>
            <w:tabs>
              <w:tab w:val="right" w:leader="dot" w:pos="9628"/>
            </w:tabs>
            <w:rPr>
              <w:rFonts w:eastAsiaTheme="minorEastAsia"/>
              <w:noProof/>
              <w:lang w:eastAsia="en-AU"/>
            </w:rPr>
          </w:pPr>
          <w:hyperlink w:anchor="_Toc399150597" w:history="1">
            <w:r w:rsidR="00FE124C" w:rsidRPr="00EB546B">
              <w:rPr>
                <w:rStyle w:val="Hyperlink"/>
                <w:noProof/>
              </w:rPr>
              <w:t>Table 4: Bleeding Assessment Tools</w:t>
            </w:r>
            <w:r w:rsidR="00FE124C">
              <w:rPr>
                <w:noProof/>
                <w:webHidden/>
              </w:rPr>
              <w:tab/>
            </w:r>
            <w:r w:rsidR="00FE124C">
              <w:rPr>
                <w:noProof/>
                <w:webHidden/>
              </w:rPr>
              <w:fldChar w:fldCharType="begin"/>
            </w:r>
            <w:r w:rsidR="00FE124C">
              <w:rPr>
                <w:noProof/>
                <w:webHidden/>
              </w:rPr>
              <w:instrText xml:space="preserve"> PAGEREF _Toc399150597 \h </w:instrText>
            </w:r>
            <w:r w:rsidR="00FE124C">
              <w:rPr>
                <w:noProof/>
                <w:webHidden/>
              </w:rPr>
            </w:r>
            <w:r w:rsidR="00FE124C">
              <w:rPr>
                <w:noProof/>
                <w:webHidden/>
              </w:rPr>
              <w:fldChar w:fldCharType="separate"/>
            </w:r>
            <w:r w:rsidR="00FE124C">
              <w:rPr>
                <w:noProof/>
                <w:webHidden/>
              </w:rPr>
              <w:t>8</w:t>
            </w:r>
            <w:r w:rsidR="00FE124C">
              <w:rPr>
                <w:noProof/>
                <w:webHidden/>
              </w:rPr>
              <w:fldChar w:fldCharType="end"/>
            </w:r>
          </w:hyperlink>
        </w:p>
        <w:p w:rsidR="00FE124C" w:rsidRDefault="00690965">
          <w:pPr>
            <w:pStyle w:val="TOC1"/>
            <w:rPr>
              <w:rFonts w:eastAsiaTheme="minorEastAsia"/>
              <w:noProof/>
              <w:lang w:eastAsia="en-AU"/>
            </w:rPr>
          </w:pPr>
          <w:hyperlink w:anchor="_Toc399150598" w:history="1">
            <w:r w:rsidR="00FE124C" w:rsidRPr="00EB546B">
              <w:rPr>
                <w:rStyle w:val="Hyperlink"/>
                <w:noProof/>
              </w:rPr>
              <w:t>Use of BATs in the clinical setting</w:t>
            </w:r>
            <w:r w:rsidR="00FE124C">
              <w:rPr>
                <w:noProof/>
                <w:webHidden/>
              </w:rPr>
              <w:tab/>
            </w:r>
            <w:r w:rsidR="00FE124C">
              <w:rPr>
                <w:noProof/>
                <w:webHidden/>
              </w:rPr>
              <w:fldChar w:fldCharType="begin"/>
            </w:r>
            <w:r w:rsidR="00FE124C">
              <w:rPr>
                <w:noProof/>
                <w:webHidden/>
              </w:rPr>
              <w:instrText xml:space="preserve"> PAGEREF _Toc399150598 \h </w:instrText>
            </w:r>
            <w:r w:rsidR="00FE124C">
              <w:rPr>
                <w:noProof/>
                <w:webHidden/>
              </w:rPr>
            </w:r>
            <w:r w:rsidR="00FE124C">
              <w:rPr>
                <w:noProof/>
                <w:webHidden/>
              </w:rPr>
              <w:fldChar w:fldCharType="separate"/>
            </w:r>
            <w:r w:rsidR="00FE124C">
              <w:rPr>
                <w:noProof/>
                <w:webHidden/>
              </w:rPr>
              <w:t>9</w:t>
            </w:r>
            <w:r w:rsidR="00FE124C">
              <w:rPr>
                <w:noProof/>
                <w:webHidden/>
              </w:rPr>
              <w:fldChar w:fldCharType="end"/>
            </w:r>
          </w:hyperlink>
        </w:p>
        <w:p w:rsidR="00FE124C" w:rsidRDefault="00690965">
          <w:pPr>
            <w:pStyle w:val="TOC1"/>
            <w:rPr>
              <w:rFonts w:eastAsiaTheme="minorEastAsia"/>
              <w:noProof/>
              <w:lang w:eastAsia="en-AU"/>
            </w:rPr>
          </w:pPr>
          <w:hyperlink w:anchor="_Toc399150599" w:history="1">
            <w:r w:rsidR="00FE124C" w:rsidRPr="00EB546B">
              <w:rPr>
                <w:rStyle w:val="Hyperlink"/>
                <w:noProof/>
              </w:rPr>
              <w:t>Application BATs in the preoperative setting</w:t>
            </w:r>
            <w:r w:rsidR="00FE124C">
              <w:rPr>
                <w:noProof/>
                <w:webHidden/>
              </w:rPr>
              <w:tab/>
            </w:r>
            <w:r w:rsidR="00FE124C">
              <w:rPr>
                <w:noProof/>
                <w:webHidden/>
              </w:rPr>
              <w:fldChar w:fldCharType="begin"/>
            </w:r>
            <w:r w:rsidR="00FE124C">
              <w:rPr>
                <w:noProof/>
                <w:webHidden/>
              </w:rPr>
              <w:instrText xml:space="preserve"> PAGEREF _Toc399150599 \h </w:instrText>
            </w:r>
            <w:r w:rsidR="00FE124C">
              <w:rPr>
                <w:noProof/>
                <w:webHidden/>
              </w:rPr>
            </w:r>
            <w:r w:rsidR="00FE124C">
              <w:rPr>
                <w:noProof/>
                <w:webHidden/>
              </w:rPr>
              <w:fldChar w:fldCharType="separate"/>
            </w:r>
            <w:r w:rsidR="00FE124C">
              <w:rPr>
                <w:noProof/>
                <w:webHidden/>
              </w:rPr>
              <w:t>9</w:t>
            </w:r>
            <w:r w:rsidR="00FE124C">
              <w:rPr>
                <w:noProof/>
                <w:webHidden/>
              </w:rPr>
              <w:fldChar w:fldCharType="end"/>
            </w:r>
          </w:hyperlink>
        </w:p>
        <w:p w:rsidR="00FE124C" w:rsidRDefault="00690965">
          <w:pPr>
            <w:pStyle w:val="TOC1"/>
            <w:rPr>
              <w:rFonts w:eastAsiaTheme="minorEastAsia"/>
              <w:noProof/>
              <w:lang w:eastAsia="en-AU"/>
            </w:rPr>
          </w:pPr>
          <w:hyperlink w:anchor="_Toc399150600" w:history="1">
            <w:r w:rsidR="00FE124C" w:rsidRPr="00EB546B">
              <w:rPr>
                <w:rStyle w:val="Hyperlink"/>
                <w:noProof/>
              </w:rPr>
              <w:t>Physical examination to assess bleeding risk</w:t>
            </w:r>
            <w:r w:rsidR="00FE124C">
              <w:rPr>
                <w:noProof/>
                <w:webHidden/>
              </w:rPr>
              <w:tab/>
            </w:r>
            <w:r w:rsidR="00FE124C">
              <w:rPr>
                <w:noProof/>
                <w:webHidden/>
              </w:rPr>
              <w:fldChar w:fldCharType="begin"/>
            </w:r>
            <w:r w:rsidR="00FE124C">
              <w:rPr>
                <w:noProof/>
                <w:webHidden/>
              </w:rPr>
              <w:instrText xml:space="preserve"> PAGEREF _Toc399150600 \h </w:instrText>
            </w:r>
            <w:r w:rsidR="00FE124C">
              <w:rPr>
                <w:noProof/>
                <w:webHidden/>
              </w:rPr>
            </w:r>
            <w:r w:rsidR="00FE124C">
              <w:rPr>
                <w:noProof/>
                <w:webHidden/>
              </w:rPr>
              <w:fldChar w:fldCharType="separate"/>
            </w:r>
            <w:r w:rsidR="00FE124C">
              <w:rPr>
                <w:noProof/>
                <w:webHidden/>
              </w:rPr>
              <w:t>9</w:t>
            </w:r>
            <w:r w:rsidR="00FE124C">
              <w:rPr>
                <w:noProof/>
                <w:webHidden/>
              </w:rPr>
              <w:fldChar w:fldCharType="end"/>
            </w:r>
          </w:hyperlink>
        </w:p>
        <w:p w:rsidR="00FE124C" w:rsidRDefault="00690965">
          <w:pPr>
            <w:pStyle w:val="TOC1"/>
            <w:rPr>
              <w:rFonts w:eastAsiaTheme="minorEastAsia"/>
              <w:noProof/>
              <w:lang w:eastAsia="en-AU"/>
            </w:rPr>
          </w:pPr>
          <w:hyperlink w:anchor="_Toc399150601" w:history="1">
            <w:r w:rsidR="00FE124C" w:rsidRPr="00EB546B">
              <w:rPr>
                <w:rStyle w:val="Hyperlink"/>
                <w:noProof/>
              </w:rPr>
              <w:t>Coagulation assessment</w:t>
            </w:r>
            <w:r w:rsidR="00FE124C">
              <w:rPr>
                <w:noProof/>
                <w:webHidden/>
              </w:rPr>
              <w:tab/>
            </w:r>
            <w:r w:rsidR="00FE124C">
              <w:rPr>
                <w:noProof/>
                <w:webHidden/>
              </w:rPr>
              <w:fldChar w:fldCharType="begin"/>
            </w:r>
            <w:r w:rsidR="00FE124C">
              <w:rPr>
                <w:noProof/>
                <w:webHidden/>
              </w:rPr>
              <w:instrText xml:space="preserve"> PAGEREF _Toc399150601 \h </w:instrText>
            </w:r>
            <w:r w:rsidR="00FE124C">
              <w:rPr>
                <w:noProof/>
                <w:webHidden/>
              </w:rPr>
            </w:r>
            <w:r w:rsidR="00FE124C">
              <w:rPr>
                <w:noProof/>
                <w:webHidden/>
              </w:rPr>
              <w:fldChar w:fldCharType="separate"/>
            </w:r>
            <w:r w:rsidR="00FE124C">
              <w:rPr>
                <w:noProof/>
                <w:webHidden/>
              </w:rPr>
              <w:t>9</w:t>
            </w:r>
            <w:r w:rsidR="00FE124C">
              <w:rPr>
                <w:noProof/>
                <w:webHidden/>
              </w:rPr>
              <w:fldChar w:fldCharType="end"/>
            </w:r>
          </w:hyperlink>
        </w:p>
        <w:p w:rsidR="00FE124C" w:rsidRDefault="00690965">
          <w:pPr>
            <w:pStyle w:val="TOC1"/>
            <w:rPr>
              <w:rFonts w:eastAsiaTheme="minorEastAsia"/>
              <w:noProof/>
              <w:lang w:eastAsia="en-AU"/>
            </w:rPr>
          </w:pPr>
          <w:hyperlink w:anchor="_Toc399150602" w:history="1">
            <w:r w:rsidR="00FE124C" w:rsidRPr="00EB546B">
              <w:rPr>
                <w:rStyle w:val="Hyperlink"/>
                <w:noProof/>
              </w:rPr>
              <w:t>Point-of-care coagulation assessment</w:t>
            </w:r>
            <w:r w:rsidR="00FE124C">
              <w:rPr>
                <w:noProof/>
                <w:webHidden/>
              </w:rPr>
              <w:tab/>
            </w:r>
            <w:r w:rsidR="00FE124C">
              <w:rPr>
                <w:noProof/>
                <w:webHidden/>
              </w:rPr>
              <w:fldChar w:fldCharType="begin"/>
            </w:r>
            <w:r w:rsidR="00FE124C">
              <w:rPr>
                <w:noProof/>
                <w:webHidden/>
              </w:rPr>
              <w:instrText xml:space="preserve"> PAGEREF _Toc399150602 \h </w:instrText>
            </w:r>
            <w:r w:rsidR="00FE124C">
              <w:rPr>
                <w:noProof/>
                <w:webHidden/>
              </w:rPr>
            </w:r>
            <w:r w:rsidR="00FE124C">
              <w:rPr>
                <w:noProof/>
                <w:webHidden/>
              </w:rPr>
              <w:fldChar w:fldCharType="separate"/>
            </w:r>
            <w:r w:rsidR="00FE124C">
              <w:rPr>
                <w:noProof/>
                <w:webHidden/>
              </w:rPr>
              <w:t>10</w:t>
            </w:r>
            <w:r w:rsidR="00FE124C">
              <w:rPr>
                <w:noProof/>
                <w:webHidden/>
              </w:rPr>
              <w:fldChar w:fldCharType="end"/>
            </w:r>
          </w:hyperlink>
        </w:p>
        <w:p w:rsidR="00FE124C" w:rsidRDefault="00690965">
          <w:pPr>
            <w:pStyle w:val="TOC1"/>
            <w:rPr>
              <w:rFonts w:eastAsiaTheme="minorEastAsia"/>
              <w:noProof/>
              <w:lang w:eastAsia="en-AU"/>
            </w:rPr>
          </w:pPr>
          <w:hyperlink w:anchor="_Toc399150603" w:history="1">
            <w:r w:rsidR="00FE124C" w:rsidRPr="00EB546B">
              <w:rPr>
                <w:rStyle w:val="Hyperlink"/>
                <w:noProof/>
              </w:rPr>
              <w:t>Type of surgery</w:t>
            </w:r>
            <w:r w:rsidR="00FE124C">
              <w:rPr>
                <w:noProof/>
                <w:webHidden/>
              </w:rPr>
              <w:tab/>
            </w:r>
            <w:r w:rsidR="00FE124C">
              <w:rPr>
                <w:noProof/>
                <w:webHidden/>
              </w:rPr>
              <w:fldChar w:fldCharType="begin"/>
            </w:r>
            <w:r w:rsidR="00FE124C">
              <w:rPr>
                <w:noProof/>
                <w:webHidden/>
              </w:rPr>
              <w:instrText xml:space="preserve"> PAGEREF _Toc399150603 \h </w:instrText>
            </w:r>
            <w:r w:rsidR="00FE124C">
              <w:rPr>
                <w:noProof/>
                <w:webHidden/>
              </w:rPr>
            </w:r>
            <w:r w:rsidR="00FE124C">
              <w:rPr>
                <w:noProof/>
                <w:webHidden/>
              </w:rPr>
              <w:fldChar w:fldCharType="separate"/>
            </w:r>
            <w:r w:rsidR="00FE124C">
              <w:rPr>
                <w:noProof/>
                <w:webHidden/>
              </w:rPr>
              <w:t>10</w:t>
            </w:r>
            <w:r w:rsidR="00FE124C">
              <w:rPr>
                <w:noProof/>
                <w:webHidden/>
              </w:rPr>
              <w:fldChar w:fldCharType="end"/>
            </w:r>
          </w:hyperlink>
        </w:p>
        <w:p w:rsidR="00FE124C" w:rsidRDefault="00690965">
          <w:pPr>
            <w:pStyle w:val="TOC1"/>
            <w:rPr>
              <w:rFonts w:eastAsiaTheme="minorEastAsia"/>
              <w:noProof/>
              <w:lang w:eastAsia="en-AU"/>
            </w:rPr>
          </w:pPr>
          <w:hyperlink w:anchor="_Toc399150604" w:history="1">
            <w:r w:rsidR="00FE124C" w:rsidRPr="00EB546B">
              <w:rPr>
                <w:rStyle w:val="Hyperlink"/>
                <w:noProof/>
              </w:rPr>
              <w:t>Patients with comorbidities involving haemostatic derangement</w:t>
            </w:r>
            <w:r w:rsidR="00FE124C">
              <w:rPr>
                <w:noProof/>
                <w:webHidden/>
              </w:rPr>
              <w:tab/>
            </w:r>
            <w:r w:rsidR="00FE124C">
              <w:rPr>
                <w:noProof/>
                <w:webHidden/>
              </w:rPr>
              <w:fldChar w:fldCharType="begin"/>
            </w:r>
            <w:r w:rsidR="00FE124C">
              <w:rPr>
                <w:noProof/>
                <w:webHidden/>
              </w:rPr>
              <w:instrText xml:space="preserve"> PAGEREF _Toc399150604 \h </w:instrText>
            </w:r>
            <w:r w:rsidR="00FE124C">
              <w:rPr>
                <w:noProof/>
                <w:webHidden/>
              </w:rPr>
            </w:r>
            <w:r w:rsidR="00FE124C">
              <w:rPr>
                <w:noProof/>
                <w:webHidden/>
              </w:rPr>
              <w:fldChar w:fldCharType="separate"/>
            </w:r>
            <w:r w:rsidR="00FE124C">
              <w:rPr>
                <w:noProof/>
                <w:webHidden/>
              </w:rPr>
              <w:t>11</w:t>
            </w:r>
            <w:r w:rsidR="00FE124C">
              <w:rPr>
                <w:noProof/>
                <w:webHidden/>
              </w:rPr>
              <w:fldChar w:fldCharType="end"/>
            </w:r>
          </w:hyperlink>
        </w:p>
        <w:p w:rsidR="00FE124C" w:rsidRDefault="00690965">
          <w:pPr>
            <w:pStyle w:val="TOC1"/>
            <w:rPr>
              <w:rFonts w:eastAsiaTheme="minorEastAsia"/>
              <w:noProof/>
              <w:lang w:eastAsia="en-AU"/>
            </w:rPr>
          </w:pPr>
          <w:hyperlink w:anchor="_Toc399150605" w:history="1">
            <w:r w:rsidR="00FE124C" w:rsidRPr="00EB546B">
              <w:rPr>
                <w:rStyle w:val="Hyperlink"/>
                <w:noProof/>
              </w:rPr>
              <w:t>Patients with congenital bleeding disorders</w:t>
            </w:r>
            <w:r w:rsidR="00FE124C">
              <w:rPr>
                <w:noProof/>
                <w:webHidden/>
              </w:rPr>
              <w:tab/>
            </w:r>
            <w:r w:rsidR="00FE124C">
              <w:rPr>
                <w:noProof/>
                <w:webHidden/>
              </w:rPr>
              <w:fldChar w:fldCharType="begin"/>
            </w:r>
            <w:r w:rsidR="00FE124C">
              <w:rPr>
                <w:noProof/>
                <w:webHidden/>
              </w:rPr>
              <w:instrText xml:space="preserve"> PAGEREF _Toc399150605 \h </w:instrText>
            </w:r>
            <w:r w:rsidR="00FE124C">
              <w:rPr>
                <w:noProof/>
                <w:webHidden/>
              </w:rPr>
            </w:r>
            <w:r w:rsidR="00FE124C">
              <w:rPr>
                <w:noProof/>
                <w:webHidden/>
              </w:rPr>
              <w:fldChar w:fldCharType="separate"/>
            </w:r>
            <w:r w:rsidR="00FE124C">
              <w:rPr>
                <w:noProof/>
                <w:webHidden/>
              </w:rPr>
              <w:t>11</w:t>
            </w:r>
            <w:r w:rsidR="00FE124C">
              <w:rPr>
                <w:noProof/>
                <w:webHidden/>
              </w:rPr>
              <w:fldChar w:fldCharType="end"/>
            </w:r>
          </w:hyperlink>
        </w:p>
        <w:p w:rsidR="00FE124C" w:rsidRDefault="00690965">
          <w:pPr>
            <w:pStyle w:val="TOC1"/>
            <w:rPr>
              <w:rFonts w:eastAsiaTheme="minorEastAsia"/>
              <w:noProof/>
              <w:lang w:eastAsia="en-AU"/>
            </w:rPr>
          </w:pPr>
          <w:hyperlink w:anchor="_Toc399150606" w:history="1">
            <w:r w:rsidR="00FE124C" w:rsidRPr="00EB546B">
              <w:rPr>
                <w:rStyle w:val="Hyperlink"/>
                <w:noProof/>
              </w:rPr>
              <w:t>References:</w:t>
            </w:r>
            <w:r w:rsidR="00FE124C">
              <w:rPr>
                <w:noProof/>
                <w:webHidden/>
              </w:rPr>
              <w:tab/>
            </w:r>
            <w:r w:rsidR="00FE124C">
              <w:rPr>
                <w:noProof/>
                <w:webHidden/>
              </w:rPr>
              <w:fldChar w:fldCharType="begin"/>
            </w:r>
            <w:r w:rsidR="00FE124C">
              <w:rPr>
                <w:noProof/>
                <w:webHidden/>
              </w:rPr>
              <w:instrText xml:space="preserve"> PAGEREF _Toc399150606 \h </w:instrText>
            </w:r>
            <w:r w:rsidR="00FE124C">
              <w:rPr>
                <w:noProof/>
                <w:webHidden/>
              </w:rPr>
            </w:r>
            <w:r w:rsidR="00FE124C">
              <w:rPr>
                <w:noProof/>
                <w:webHidden/>
              </w:rPr>
              <w:fldChar w:fldCharType="separate"/>
            </w:r>
            <w:r w:rsidR="00FE124C">
              <w:rPr>
                <w:noProof/>
                <w:webHidden/>
              </w:rPr>
              <w:t>12</w:t>
            </w:r>
            <w:r w:rsidR="00FE124C">
              <w:rPr>
                <w:noProof/>
                <w:webHidden/>
              </w:rPr>
              <w:fldChar w:fldCharType="end"/>
            </w:r>
          </w:hyperlink>
        </w:p>
        <w:p w:rsidR="00FE124C" w:rsidRDefault="00690965">
          <w:pPr>
            <w:pStyle w:val="TOC2"/>
            <w:tabs>
              <w:tab w:val="right" w:leader="dot" w:pos="9628"/>
            </w:tabs>
            <w:rPr>
              <w:rFonts w:eastAsiaTheme="minorEastAsia"/>
              <w:noProof/>
              <w:lang w:eastAsia="en-AU"/>
            </w:rPr>
          </w:pPr>
          <w:hyperlink w:anchor="_Toc399150607" w:history="1">
            <w:r w:rsidR="00FE124C" w:rsidRPr="00EB546B">
              <w:rPr>
                <w:rStyle w:val="Hyperlink"/>
                <w:noProof/>
              </w:rPr>
              <w:t>Appendix 1: Preoperative bleeding risk assessment and intervention – considerations for</w:t>
            </w:r>
            <w:r w:rsidR="00FE124C" w:rsidRPr="00EB546B">
              <w:rPr>
                <w:rStyle w:val="Hyperlink"/>
                <w:rFonts w:cstheme="minorHAnsi"/>
                <w:noProof/>
              </w:rPr>
              <w:t xml:space="preserve"> organisations wanting to improve clinical practice</w:t>
            </w:r>
            <w:r w:rsidR="00FE124C">
              <w:rPr>
                <w:noProof/>
                <w:webHidden/>
              </w:rPr>
              <w:tab/>
            </w:r>
            <w:r w:rsidR="00FE124C">
              <w:rPr>
                <w:noProof/>
                <w:webHidden/>
              </w:rPr>
              <w:fldChar w:fldCharType="begin"/>
            </w:r>
            <w:r w:rsidR="00FE124C">
              <w:rPr>
                <w:noProof/>
                <w:webHidden/>
              </w:rPr>
              <w:instrText xml:space="preserve"> PAGEREF _Toc399150607 \h </w:instrText>
            </w:r>
            <w:r w:rsidR="00FE124C">
              <w:rPr>
                <w:noProof/>
                <w:webHidden/>
              </w:rPr>
            </w:r>
            <w:r w:rsidR="00FE124C">
              <w:rPr>
                <w:noProof/>
                <w:webHidden/>
              </w:rPr>
              <w:fldChar w:fldCharType="separate"/>
            </w:r>
            <w:r w:rsidR="00FE124C">
              <w:rPr>
                <w:noProof/>
                <w:webHidden/>
              </w:rPr>
              <w:t>13</w:t>
            </w:r>
            <w:r w:rsidR="00FE124C">
              <w:rPr>
                <w:noProof/>
                <w:webHidden/>
              </w:rPr>
              <w:fldChar w:fldCharType="end"/>
            </w:r>
          </w:hyperlink>
        </w:p>
        <w:p w:rsidR="00FE124C" w:rsidRDefault="00690965">
          <w:pPr>
            <w:pStyle w:val="TOC2"/>
            <w:tabs>
              <w:tab w:val="right" w:leader="dot" w:pos="9628"/>
            </w:tabs>
            <w:rPr>
              <w:rFonts w:eastAsiaTheme="minorEastAsia"/>
              <w:noProof/>
              <w:lang w:eastAsia="en-AU"/>
            </w:rPr>
          </w:pPr>
          <w:hyperlink w:anchor="_Toc399150608" w:history="1">
            <w:r w:rsidR="00FE124C" w:rsidRPr="00EB546B">
              <w:rPr>
                <w:rStyle w:val="Hyperlink"/>
                <w:noProof/>
              </w:rPr>
              <w:t>Appendix 2: Classification of evidence levels and grades of recommendations – British Committee for Standards in Haematology Guidelines on the assessment of bleeding risk prior to surgery or invasive procedures</w:t>
            </w:r>
            <w:r w:rsidR="00FE124C">
              <w:rPr>
                <w:noProof/>
                <w:webHidden/>
              </w:rPr>
              <w:tab/>
            </w:r>
            <w:r w:rsidR="00FE124C">
              <w:rPr>
                <w:noProof/>
                <w:webHidden/>
              </w:rPr>
              <w:fldChar w:fldCharType="begin"/>
            </w:r>
            <w:r w:rsidR="00FE124C">
              <w:rPr>
                <w:noProof/>
                <w:webHidden/>
              </w:rPr>
              <w:instrText xml:space="preserve"> PAGEREF _Toc399150608 \h </w:instrText>
            </w:r>
            <w:r w:rsidR="00FE124C">
              <w:rPr>
                <w:noProof/>
                <w:webHidden/>
              </w:rPr>
            </w:r>
            <w:r w:rsidR="00FE124C">
              <w:rPr>
                <w:noProof/>
                <w:webHidden/>
              </w:rPr>
              <w:fldChar w:fldCharType="separate"/>
            </w:r>
            <w:r w:rsidR="00FE124C">
              <w:rPr>
                <w:noProof/>
                <w:webHidden/>
              </w:rPr>
              <w:t>14</w:t>
            </w:r>
            <w:r w:rsidR="00FE124C">
              <w:rPr>
                <w:noProof/>
                <w:webHidden/>
              </w:rPr>
              <w:fldChar w:fldCharType="end"/>
            </w:r>
          </w:hyperlink>
        </w:p>
        <w:p w:rsidR="00FE124C" w:rsidRDefault="00690965">
          <w:pPr>
            <w:pStyle w:val="TOC2"/>
            <w:tabs>
              <w:tab w:val="right" w:leader="dot" w:pos="9628"/>
            </w:tabs>
            <w:rPr>
              <w:rFonts w:eastAsiaTheme="minorEastAsia"/>
              <w:noProof/>
              <w:lang w:eastAsia="en-AU"/>
            </w:rPr>
          </w:pPr>
          <w:hyperlink w:anchor="_Toc399150609" w:history="1">
            <w:r w:rsidR="00FE124C" w:rsidRPr="00EB546B">
              <w:rPr>
                <w:rStyle w:val="Hyperlink"/>
                <w:noProof/>
              </w:rPr>
              <w:t>Appendix 3: Grades of recommendation – GRADE system – Management of severe perioperative bleeding: guidelines from the European Society of Anaesthesiology</w:t>
            </w:r>
            <w:r w:rsidR="00FE124C">
              <w:rPr>
                <w:noProof/>
                <w:webHidden/>
              </w:rPr>
              <w:tab/>
            </w:r>
            <w:r w:rsidR="00FE124C">
              <w:rPr>
                <w:noProof/>
                <w:webHidden/>
              </w:rPr>
              <w:fldChar w:fldCharType="begin"/>
            </w:r>
            <w:r w:rsidR="00FE124C">
              <w:rPr>
                <w:noProof/>
                <w:webHidden/>
              </w:rPr>
              <w:instrText xml:space="preserve"> PAGEREF _Toc399150609 \h </w:instrText>
            </w:r>
            <w:r w:rsidR="00FE124C">
              <w:rPr>
                <w:noProof/>
                <w:webHidden/>
              </w:rPr>
            </w:r>
            <w:r w:rsidR="00FE124C">
              <w:rPr>
                <w:noProof/>
                <w:webHidden/>
              </w:rPr>
              <w:fldChar w:fldCharType="separate"/>
            </w:r>
            <w:r w:rsidR="00FE124C">
              <w:rPr>
                <w:noProof/>
                <w:webHidden/>
              </w:rPr>
              <w:t>15</w:t>
            </w:r>
            <w:r w:rsidR="00FE124C">
              <w:rPr>
                <w:noProof/>
                <w:webHidden/>
              </w:rPr>
              <w:fldChar w:fldCharType="end"/>
            </w:r>
          </w:hyperlink>
        </w:p>
        <w:p w:rsidR="00FE124C" w:rsidRDefault="00690965">
          <w:pPr>
            <w:pStyle w:val="TOC2"/>
            <w:tabs>
              <w:tab w:val="right" w:leader="dot" w:pos="9628"/>
            </w:tabs>
            <w:rPr>
              <w:rFonts w:eastAsiaTheme="minorEastAsia"/>
              <w:noProof/>
              <w:lang w:eastAsia="en-AU"/>
            </w:rPr>
          </w:pPr>
          <w:hyperlink w:anchor="_Toc399150610" w:history="1">
            <w:r w:rsidR="00FE124C" w:rsidRPr="00EB546B">
              <w:rPr>
                <w:rStyle w:val="Hyperlink"/>
                <w:noProof/>
              </w:rPr>
              <w:t>Appendix 4: Recommendations and Practice points – Patient Blood Management Guidelines</w:t>
            </w:r>
            <w:r w:rsidR="00FE124C">
              <w:rPr>
                <w:noProof/>
                <w:webHidden/>
              </w:rPr>
              <w:tab/>
            </w:r>
            <w:r w:rsidR="00FE124C">
              <w:rPr>
                <w:noProof/>
                <w:webHidden/>
              </w:rPr>
              <w:fldChar w:fldCharType="begin"/>
            </w:r>
            <w:r w:rsidR="00FE124C">
              <w:rPr>
                <w:noProof/>
                <w:webHidden/>
              </w:rPr>
              <w:instrText xml:space="preserve"> PAGEREF _Toc399150610 \h </w:instrText>
            </w:r>
            <w:r w:rsidR="00FE124C">
              <w:rPr>
                <w:noProof/>
                <w:webHidden/>
              </w:rPr>
            </w:r>
            <w:r w:rsidR="00FE124C">
              <w:rPr>
                <w:noProof/>
                <w:webHidden/>
              </w:rPr>
              <w:fldChar w:fldCharType="separate"/>
            </w:r>
            <w:r w:rsidR="00FE124C">
              <w:rPr>
                <w:noProof/>
                <w:webHidden/>
              </w:rPr>
              <w:t>16</w:t>
            </w:r>
            <w:r w:rsidR="00FE124C">
              <w:rPr>
                <w:noProof/>
                <w:webHidden/>
              </w:rPr>
              <w:fldChar w:fldCharType="end"/>
            </w:r>
          </w:hyperlink>
        </w:p>
        <w:p w:rsidR="00FE124C" w:rsidRDefault="00690965">
          <w:pPr>
            <w:pStyle w:val="TOC2"/>
            <w:tabs>
              <w:tab w:val="right" w:leader="dot" w:pos="9628"/>
            </w:tabs>
            <w:rPr>
              <w:rFonts w:eastAsiaTheme="minorEastAsia"/>
              <w:noProof/>
              <w:lang w:eastAsia="en-AU"/>
            </w:rPr>
          </w:pPr>
          <w:hyperlink w:anchor="_Toc399150611" w:history="1">
            <w:r w:rsidR="00FE124C" w:rsidRPr="00EB546B">
              <w:rPr>
                <w:rStyle w:val="Hyperlink"/>
                <w:noProof/>
              </w:rPr>
              <w:t>Appendix 5: European Society of Anaesthesiology (ESA) guidance regarding cessation of medications (extract)</w:t>
            </w:r>
            <w:r w:rsidR="00FE124C" w:rsidRPr="00EB546B">
              <w:rPr>
                <w:rStyle w:val="Hyperlink"/>
                <w:noProof/>
                <w:vertAlign w:val="superscript"/>
              </w:rPr>
              <w:t>2</w:t>
            </w:r>
            <w:r w:rsidR="00FE124C">
              <w:rPr>
                <w:noProof/>
                <w:webHidden/>
              </w:rPr>
              <w:tab/>
            </w:r>
            <w:r w:rsidR="00FE124C">
              <w:rPr>
                <w:noProof/>
                <w:webHidden/>
              </w:rPr>
              <w:fldChar w:fldCharType="begin"/>
            </w:r>
            <w:r w:rsidR="00FE124C">
              <w:rPr>
                <w:noProof/>
                <w:webHidden/>
              </w:rPr>
              <w:instrText xml:space="preserve"> PAGEREF _Toc399150611 \h </w:instrText>
            </w:r>
            <w:r w:rsidR="00FE124C">
              <w:rPr>
                <w:noProof/>
                <w:webHidden/>
              </w:rPr>
            </w:r>
            <w:r w:rsidR="00FE124C">
              <w:rPr>
                <w:noProof/>
                <w:webHidden/>
              </w:rPr>
              <w:fldChar w:fldCharType="separate"/>
            </w:r>
            <w:r w:rsidR="00FE124C">
              <w:rPr>
                <w:noProof/>
                <w:webHidden/>
              </w:rPr>
              <w:t>17</w:t>
            </w:r>
            <w:r w:rsidR="00FE124C">
              <w:rPr>
                <w:noProof/>
                <w:webHidden/>
              </w:rPr>
              <w:fldChar w:fldCharType="end"/>
            </w:r>
          </w:hyperlink>
        </w:p>
        <w:p w:rsidR="00DE3603" w:rsidRDefault="00DD2C86">
          <w:r>
            <w:rPr>
              <w:b/>
              <w:bCs/>
              <w:noProof/>
            </w:rPr>
            <w:fldChar w:fldCharType="end"/>
          </w:r>
        </w:p>
      </w:sdtContent>
    </w:sdt>
    <w:p w:rsidR="005179F6" w:rsidRPr="005179F6" w:rsidRDefault="005179F6" w:rsidP="005179F6">
      <w:pPr>
        <w:rPr>
          <w:lang w:val="en-US" w:eastAsia="ja-JP"/>
        </w:rPr>
      </w:pPr>
    </w:p>
    <w:p w:rsidR="00701B53" w:rsidRPr="005179F6" w:rsidRDefault="00701B53" w:rsidP="005179F6">
      <w:pPr>
        <w:rPr>
          <w:rFonts w:cstheme="minorHAnsi"/>
        </w:rPr>
      </w:pPr>
      <w:r w:rsidRPr="005179F6">
        <w:rPr>
          <w:rFonts w:cstheme="minorHAnsi"/>
        </w:rPr>
        <w:br w:type="page"/>
      </w:r>
    </w:p>
    <w:p w:rsidR="00701B53" w:rsidRPr="00DE3603" w:rsidRDefault="00701B53" w:rsidP="009D3A5D">
      <w:pPr>
        <w:pStyle w:val="Heading1"/>
      </w:pPr>
      <w:bookmarkStart w:id="2" w:name="_Toc399150587"/>
      <w:r w:rsidRPr="00DE3603">
        <w:lastRenderedPageBreak/>
        <w:t>Background</w:t>
      </w:r>
      <w:bookmarkEnd w:id="2"/>
    </w:p>
    <w:p w:rsidR="00BE2774" w:rsidRPr="005179F6" w:rsidRDefault="00270052" w:rsidP="007B597F">
      <w:pPr>
        <w:jc w:val="both"/>
        <w:rPr>
          <w:rFonts w:cstheme="minorHAnsi"/>
        </w:rPr>
      </w:pPr>
      <w:r w:rsidRPr="005179F6">
        <w:rPr>
          <w:rFonts w:cstheme="minorHAnsi"/>
        </w:rPr>
        <w:t>Asse</w:t>
      </w:r>
      <w:r w:rsidR="00BE2774" w:rsidRPr="005179F6">
        <w:rPr>
          <w:rFonts w:cstheme="minorHAnsi"/>
        </w:rPr>
        <w:t xml:space="preserve">ssment of bleeding risk is a key component of patient blood management strategies to minimise blood loss. Patients may be at increased risk of bleeding for a number of reasons, including </w:t>
      </w:r>
      <w:r w:rsidR="00E34A3D" w:rsidRPr="005179F6">
        <w:rPr>
          <w:rFonts w:cstheme="minorHAnsi"/>
        </w:rPr>
        <w:t>hereditary or acquired</w:t>
      </w:r>
      <w:r w:rsidR="00BE2774" w:rsidRPr="005179F6">
        <w:rPr>
          <w:rFonts w:cstheme="minorHAnsi"/>
        </w:rPr>
        <w:t xml:space="preserve"> </w:t>
      </w:r>
      <w:r w:rsidR="00FA5106" w:rsidRPr="005179F6">
        <w:rPr>
          <w:rFonts w:cstheme="minorHAnsi"/>
        </w:rPr>
        <w:t>bleeding</w:t>
      </w:r>
      <w:r w:rsidR="00BE2774" w:rsidRPr="005179F6">
        <w:rPr>
          <w:rFonts w:cstheme="minorHAnsi"/>
        </w:rPr>
        <w:t xml:space="preserve"> disorders, medical conditions such as liver disease</w:t>
      </w:r>
      <w:r w:rsidR="00FA5106" w:rsidRPr="005179F6">
        <w:rPr>
          <w:rFonts w:cstheme="minorHAnsi"/>
        </w:rPr>
        <w:t>,</w:t>
      </w:r>
      <w:r w:rsidR="00BE2774" w:rsidRPr="005179F6">
        <w:rPr>
          <w:rFonts w:cstheme="minorHAnsi"/>
        </w:rPr>
        <w:t xml:space="preserve"> and medications including complementary medicines.</w:t>
      </w:r>
    </w:p>
    <w:p w:rsidR="00BE2774" w:rsidRPr="005179F6" w:rsidRDefault="00BE2774" w:rsidP="007B597F">
      <w:pPr>
        <w:jc w:val="both"/>
        <w:rPr>
          <w:rFonts w:cstheme="minorHAnsi"/>
        </w:rPr>
      </w:pPr>
    </w:p>
    <w:p w:rsidR="004A2826" w:rsidRPr="005179F6" w:rsidRDefault="00C53561" w:rsidP="007B597F">
      <w:pPr>
        <w:jc w:val="both"/>
        <w:rPr>
          <w:rFonts w:cstheme="minorHAnsi"/>
        </w:rPr>
      </w:pPr>
      <w:r w:rsidRPr="005179F6">
        <w:rPr>
          <w:rFonts w:cstheme="minorHAnsi"/>
        </w:rPr>
        <w:t>Assessment</w:t>
      </w:r>
      <w:r w:rsidR="009E4A39" w:rsidRPr="005179F6">
        <w:rPr>
          <w:rFonts w:cstheme="minorHAnsi"/>
        </w:rPr>
        <w:t xml:space="preserve"> of bleeding risk </w:t>
      </w:r>
      <w:r w:rsidRPr="005179F6">
        <w:rPr>
          <w:rFonts w:cstheme="minorHAnsi"/>
        </w:rPr>
        <w:t xml:space="preserve">in the </w:t>
      </w:r>
      <w:r w:rsidR="00DE57A1" w:rsidRPr="005179F6">
        <w:rPr>
          <w:rFonts w:cstheme="minorHAnsi"/>
        </w:rPr>
        <w:t>preoperative</w:t>
      </w:r>
      <w:r w:rsidRPr="005179F6">
        <w:rPr>
          <w:rFonts w:cstheme="minorHAnsi"/>
        </w:rPr>
        <w:t xml:space="preserve"> patient consists of administering a</w:t>
      </w:r>
      <w:r w:rsidR="009E4A39" w:rsidRPr="005179F6">
        <w:rPr>
          <w:rFonts w:cstheme="minorHAnsi"/>
        </w:rPr>
        <w:t xml:space="preserve"> structured bleeding questionnaire </w:t>
      </w:r>
      <w:r w:rsidR="00587D12" w:rsidRPr="005179F6">
        <w:rPr>
          <w:rFonts w:cstheme="minorHAnsi"/>
        </w:rPr>
        <w:t>which,</w:t>
      </w:r>
      <w:r w:rsidR="009E4A39" w:rsidRPr="005179F6">
        <w:rPr>
          <w:rFonts w:cstheme="minorHAnsi"/>
        </w:rPr>
        <w:t xml:space="preserve"> in conjunction with physical examination</w:t>
      </w:r>
      <w:r w:rsidRPr="005179F6">
        <w:rPr>
          <w:rFonts w:cstheme="minorHAnsi"/>
        </w:rPr>
        <w:t>,</w:t>
      </w:r>
      <w:r w:rsidR="009E4A39" w:rsidRPr="005179F6">
        <w:rPr>
          <w:rFonts w:cstheme="minorHAnsi"/>
        </w:rPr>
        <w:t xml:space="preserve"> will guide </w:t>
      </w:r>
      <w:r w:rsidRPr="005179F6">
        <w:rPr>
          <w:rFonts w:cstheme="minorHAnsi"/>
        </w:rPr>
        <w:t xml:space="preserve">laboratory testing. </w:t>
      </w:r>
      <w:r w:rsidR="009D6141" w:rsidRPr="005179F6">
        <w:rPr>
          <w:rFonts w:cstheme="minorHAnsi"/>
        </w:rPr>
        <w:t xml:space="preserve">In the vast majority of cases a positive bleeding history will require referral for specialist assessment and management. </w:t>
      </w:r>
      <w:r w:rsidR="00587D12" w:rsidRPr="005179F6">
        <w:rPr>
          <w:rFonts w:cstheme="minorHAnsi"/>
        </w:rPr>
        <w:t>Conversely, a</w:t>
      </w:r>
      <w:r w:rsidR="00052CA8" w:rsidRPr="005179F6">
        <w:rPr>
          <w:rFonts w:cstheme="minorHAnsi"/>
        </w:rPr>
        <w:t xml:space="preserve"> negative</w:t>
      </w:r>
      <w:r w:rsidR="00587D12" w:rsidRPr="005179F6">
        <w:rPr>
          <w:rFonts w:cstheme="minorHAnsi"/>
        </w:rPr>
        <w:t xml:space="preserve"> initial screen and examination may exclude patients from</w:t>
      </w:r>
      <w:r w:rsidR="009D6141" w:rsidRPr="005179F6">
        <w:rPr>
          <w:rFonts w:cstheme="minorHAnsi"/>
        </w:rPr>
        <w:t xml:space="preserve"> </w:t>
      </w:r>
      <w:r w:rsidR="00587D12" w:rsidRPr="005179F6">
        <w:rPr>
          <w:rFonts w:cstheme="minorHAnsi"/>
        </w:rPr>
        <w:t>further evaluation. Routine coagulation screening prior to surgery or other invasive procedures to predict postoperative bleeding in unselected patients is not recommended.</w:t>
      </w:r>
      <w:r w:rsidR="006257AB" w:rsidRPr="00816069">
        <w:rPr>
          <w:rFonts w:cstheme="minorHAnsi"/>
          <w:vertAlign w:val="superscript"/>
        </w:rPr>
        <w:t>1</w:t>
      </w:r>
      <w:r w:rsidR="00682524" w:rsidRPr="005179F6">
        <w:rPr>
          <w:rFonts w:cstheme="minorHAnsi"/>
        </w:rPr>
        <w:t xml:space="preserve"> The key components </w:t>
      </w:r>
      <w:r w:rsidR="007D3585" w:rsidRPr="005179F6">
        <w:rPr>
          <w:rFonts w:cstheme="minorHAnsi"/>
        </w:rPr>
        <w:t xml:space="preserve">of assessment of bleeding risk </w:t>
      </w:r>
      <w:r w:rsidR="00682524" w:rsidRPr="005179F6">
        <w:rPr>
          <w:rFonts w:cstheme="minorHAnsi"/>
        </w:rPr>
        <w:t xml:space="preserve">are summarised by the British Committee for Standards in Haematology (BCSH) four recommendations from the </w:t>
      </w:r>
      <w:r w:rsidR="00B56206" w:rsidRPr="00DD17ED">
        <w:rPr>
          <w:rFonts w:cstheme="minorHAnsi"/>
          <w:i/>
        </w:rPr>
        <w:t>G</w:t>
      </w:r>
      <w:r w:rsidR="00682524" w:rsidRPr="00DD17ED">
        <w:rPr>
          <w:rFonts w:cstheme="minorHAnsi"/>
          <w:i/>
        </w:rPr>
        <w:t>uidelines on the assessment of bleeding risk prior to surgery or invasive procedures</w:t>
      </w:r>
      <w:proofErr w:type="gramStart"/>
      <w:r w:rsidR="004A2826" w:rsidRPr="005179F6">
        <w:rPr>
          <w:rFonts w:cstheme="minorHAnsi"/>
        </w:rPr>
        <w:t>,</w:t>
      </w:r>
      <w:r w:rsidR="004A2826" w:rsidRPr="00816069">
        <w:rPr>
          <w:rFonts w:cstheme="minorHAnsi"/>
          <w:vertAlign w:val="superscript"/>
        </w:rPr>
        <w:t>1</w:t>
      </w:r>
      <w:proofErr w:type="gramEnd"/>
      <w:r w:rsidR="004A2826" w:rsidRPr="005179F6">
        <w:rPr>
          <w:rFonts w:cstheme="minorHAnsi"/>
        </w:rPr>
        <w:t xml:space="preserve"> as outlined in Table 1</w:t>
      </w:r>
      <w:r w:rsidR="00682524" w:rsidRPr="005179F6">
        <w:rPr>
          <w:rFonts w:cstheme="minorHAnsi"/>
        </w:rPr>
        <w:t>.</w:t>
      </w:r>
      <w:r w:rsidR="005B0232" w:rsidRPr="005179F6">
        <w:rPr>
          <w:rFonts w:cstheme="minorHAnsi"/>
        </w:rPr>
        <w:t xml:space="preserve"> </w:t>
      </w:r>
      <w:r w:rsidR="00170AB8" w:rsidRPr="005179F6">
        <w:rPr>
          <w:rFonts w:cstheme="minorHAnsi"/>
        </w:rPr>
        <w:t>Table 2 details similar recommendations from the European Society of Anaesthesiology</w:t>
      </w:r>
      <w:r w:rsidR="00E76F68" w:rsidRPr="005179F6">
        <w:rPr>
          <w:rFonts w:cstheme="minorHAnsi"/>
        </w:rPr>
        <w:t xml:space="preserve"> </w:t>
      </w:r>
      <w:r w:rsidR="00E76F68" w:rsidRPr="00DD17ED">
        <w:rPr>
          <w:rFonts w:cstheme="minorHAnsi"/>
          <w:i/>
        </w:rPr>
        <w:t>Management of severe perioperative bleeding: guidelines</w:t>
      </w:r>
      <w:r w:rsidR="00170AB8" w:rsidRPr="005179F6">
        <w:rPr>
          <w:rFonts w:cstheme="minorHAnsi"/>
        </w:rPr>
        <w:t>.</w:t>
      </w:r>
      <w:r w:rsidR="00170AB8" w:rsidRPr="00816069">
        <w:rPr>
          <w:rFonts w:cstheme="minorHAnsi"/>
          <w:vertAlign w:val="superscript"/>
        </w:rPr>
        <w:t>2</w:t>
      </w:r>
      <w:r w:rsidR="00170AB8" w:rsidRPr="005179F6">
        <w:rPr>
          <w:rFonts w:cstheme="minorHAnsi"/>
        </w:rPr>
        <w:t xml:space="preserve"> </w:t>
      </w:r>
      <w:r w:rsidR="005B0232" w:rsidRPr="005179F6">
        <w:rPr>
          <w:rFonts w:cstheme="minorHAnsi"/>
        </w:rPr>
        <w:t>Figure 1 demonstrates the key components of preoperative assessment of bleeding risk.</w:t>
      </w:r>
      <w:bookmarkStart w:id="3" w:name="_GoBack"/>
      <w:bookmarkEnd w:id="3"/>
    </w:p>
    <w:p w:rsidR="005179F6" w:rsidRDefault="005179F6" w:rsidP="005179F6">
      <w:pPr>
        <w:rPr>
          <w:rFonts w:cstheme="minorHAnsi"/>
        </w:rPr>
      </w:pPr>
    </w:p>
    <w:tbl>
      <w:tblPr>
        <w:tblStyle w:val="TableGrid"/>
        <w:tblW w:w="0" w:type="auto"/>
        <w:jc w:val="center"/>
        <w:tblLook w:val="04A0" w:firstRow="1" w:lastRow="0" w:firstColumn="1" w:lastColumn="0" w:noHBand="0" w:noVBand="1"/>
      </w:tblPr>
      <w:tblGrid>
        <w:gridCol w:w="8221"/>
      </w:tblGrid>
      <w:tr w:rsidR="006E60D8" w:rsidRPr="005179F6" w:rsidTr="006E60D8">
        <w:trPr>
          <w:jc w:val="center"/>
        </w:trPr>
        <w:tc>
          <w:tcPr>
            <w:tcW w:w="8221" w:type="dxa"/>
          </w:tcPr>
          <w:p w:rsidR="006E60D8" w:rsidRPr="00DE3603" w:rsidRDefault="006E60D8" w:rsidP="005E1050">
            <w:pPr>
              <w:pStyle w:val="Heading2"/>
              <w:outlineLvl w:val="1"/>
            </w:pPr>
            <w:bookmarkStart w:id="4" w:name="_Toc399150588"/>
            <w:proofErr w:type="gramStart"/>
            <w:r w:rsidRPr="00DE3603">
              <w:t>Table 1: British Committee for Standards in Haematology recommendations on the assessment of bleeding risk prior to surgery or invasive procedures.</w:t>
            </w:r>
            <w:proofErr w:type="gramEnd"/>
            <w:r w:rsidRPr="00DE3603">
              <w:rPr>
                <w:vertAlign w:val="superscript"/>
              </w:rPr>
              <w:footnoteReference w:id="1"/>
            </w:r>
            <w:bookmarkEnd w:id="4"/>
          </w:p>
        </w:tc>
      </w:tr>
      <w:tr w:rsidR="006E60D8" w:rsidRPr="005179F6" w:rsidTr="006E60D8">
        <w:trPr>
          <w:trHeight w:val="1794"/>
          <w:jc w:val="center"/>
        </w:trPr>
        <w:tc>
          <w:tcPr>
            <w:tcW w:w="8221" w:type="dxa"/>
          </w:tcPr>
          <w:p w:rsidR="006E60D8" w:rsidRPr="006E60D8" w:rsidRDefault="006E60D8" w:rsidP="006E60D8">
            <w:pPr>
              <w:pStyle w:val="ListParagraph"/>
              <w:numPr>
                <w:ilvl w:val="0"/>
                <w:numId w:val="47"/>
              </w:numPr>
              <w:spacing w:before="240"/>
              <w:rPr>
                <w:rFonts w:cstheme="minorHAnsi"/>
                <w:sz w:val="20"/>
                <w:szCs w:val="20"/>
              </w:rPr>
            </w:pPr>
            <w:r w:rsidRPr="006E60D8">
              <w:rPr>
                <w:rFonts w:cstheme="minorHAnsi"/>
                <w:sz w:val="20"/>
                <w:szCs w:val="20"/>
              </w:rPr>
              <w:t>Indiscriminate coagulation screening prior to surgery or other invasive procedures to predict postoperative bleeding in unselected patients is not recommended. (Grade B, Level III).</w:t>
            </w:r>
          </w:p>
          <w:p w:rsidR="006E60D8" w:rsidRPr="006E60D8" w:rsidRDefault="006E60D8" w:rsidP="006E60D8">
            <w:pPr>
              <w:pStyle w:val="ListParagraph"/>
              <w:numPr>
                <w:ilvl w:val="0"/>
                <w:numId w:val="47"/>
              </w:numPr>
              <w:rPr>
                <w:rFonts w:cstheme="minorHAnsi"/>
                <w:sz w:val="20"/>
                <w:szCs w:val="20"/>
              </w:rPr>
            </w:pPr>
            <w:r w:rsidRPr="006E60D8">
              <w:rPr>
                <w:rFonts w:cstheme="minorHAnsi"/>
                <w:sz w:val="20"/>
                <w:szCs w:val="20"/>
              </w:rPr>
              <w:t xml:space="preserve">A bleeding history including detail of family history, previous excessive post-traumatic or postsurgical bleeding and use of anti-thrombotic drugs should be taken in all patients preoperatively and prior to invasive procedures. (Grade C, Level IV). </w:t>
            </w:r>
          </w:p>
          <w:p w:rsidR="002F3B6F" w:rsidRDefault="006E60D8" w:rsidP="002F3B6F">
            <w:pPr>
              <w:pStyle w:val="ListParagraph"/>
              <w:numPr>
                <w:ilvl w:val="0"/>
                <w:numId w:val="47"/>
              </w:numPr>
              <w:rPr>
                <w:rFonts w:cstheme="minorHAnsi"/>
                <w:sz w:val="20"/>
                <w:szCs w:val="20"/>
              </w:rPr>
            </w:pPr>
            <w:r w:rsidRPr="006E60D8">
              <w:rPr>
                <w:rFonts w:cstheme="minorHAnsi"/>
                <w:sz w:val="20"/>
                <w:szCs w:val="20"/>
              </w:rPr>
              <w:t xml:space="preserve">If the bleeding history is negative, no further coagulation testing is indicated. (Grade C, Level IV). </w:t>
            </w:r>
          </w:p>
          <w:p w:rsidR="006E60D8" w:rsidRPr="002F3B6F" w:rsidRDefault="006E60D8" w:rsidP="002F3B6F">
            <w:pPr>
              <w:pStyle w:val="ListParagraph"/>
              <w:numPr>
                <w:ilvl w:val="0"/>
                <w:numId w:val="47"/>
              </w:numPr>
              <w:rPr>
                <w:rFonts w:cstheme="minorHAnsi"/>
                <w:sz w:val="20"/>
                <w:szCs w:val="20"/>
              </w:rPr>
            </w:pPr>
            <w:r w:rsidRPr="002F3B6F">
              <w:rPr>
                <w:rFonts w:cstheme="minorHAnsi"/>
                <w:sz w:val="20"/>
                <w:szCs w:val="20"/>
              </w:rPr>
              <w:t>If the bleeding history is positive or there is a clear clinical indication (e.g. liver disease), a comprehensive assessment, guided by the clinical features is required. (Grade C, Level IV).</w:t>
            </w:r>
          </w:p>
          <w:p w:rsidR="006E60D8" w:rsidRPr="006E60D8" w:rsidRDefault="006E60D8" w:rsidP="006E60D8">
            <w:pPr>
              <w:rPr>
                <w:rFonts w:cstheme="minorHAnsi"/>
              </w:rPr>
            </w:pPr>
          </w:p>
        </w:tc>
      </w:tr>
    </w:tbl>
    <w:p w:rsidR="008A7E4B" w:rsidRDefault="008A7E4B" w:rsidP="005179F6">
      <w:pPr>
        <w:rPr>
          <w:rFonts w:cstheme="minorHAnsi"/>
        </w:rPr>
      </w:pPr>
    </w:p>
    <w:p w:rsidR="008A7E4B" w:rsidRDefault="008A7E4B" w:rsidP="005179F6">
      <w:pPr>
        <w:rPr>
          <w:rFonts w:cstheme="minorHAnsi"/>
        </w:rPr>
      </w:pPr>
    </w:p>
    <w:tbl>
      <w:tblPr>
        <w:tblStyle w:val="TableGrid"/>
        <w:tblW w:w="0" w:type="auto"/>
        <w:jc w:val="center"/>
        <w:tblLook w:val="04A0" w:firstRow="1" w:lastRow="0" w:firstColumn="1" w:lastColumn="0" w:noHBand="0" w:noVBand="1"/>
      </w:tblPr>
      <w:tblGrid>
        <w:gridCol w:w="8221"/>
      </w:tblGrid>
      <w:tr w:rsidR="008A7E4B" w:rsidRPr="005179F6" w:rsidTr="009E1887">
        <w:trPr>
          <w:jc w:val="center"/>
        </w:trPr>
        <w:tc>
          <w:tcPr>
            <w:tcW w:w="8221" w:type="dxa"/>
          </w:tcPr>
          <w:p w:rsidR="008A7E4B" w:rsidRPr="00DE3603" w:rsidRDefault="008A7E4B" w:rsidP="009E1887">
            <w:pPr>
              <w:pStyle w:val="Heading2"/>
              <w:outlineLvl w:val="1"/>
            </w:pPr>
            <w:bookmarkStart w:id="5" w:name="_Toc399150589"/>
            <w:r w:rsidRPr="008A7E4B">
              <w:t>Table 2: Management of severe perioperative bleeding: guidelines from the European Society of Anaesthesiology</w:t>
            </w:r>
            <w:r w:rsidRPr="008A7E4B">
              <w:rPr>
                <w:vertAlign w:val="superscript"/>
              </w:rPr>
              <w:footnoteReference w:id="2"/>
            </w:r>
            <w:bookmarkEnd w:id="5"/>
          </w:p>
        </w:tc>
      </w:tr>
      <w:tr w:rsidR="008A7E4B" w:rsidRPr="005179F6" w:rsidTr="009E1887">
        <w:trPr>
          <w:trHeight w:val="1794"/>
          <w:jc w:val="center"/>
        </w:trPr>
        <w:tc>
          <w:tcPr>
            <w:tcW w:w="8221" w:type="dxa"/>
          </w:tcPr>
          <w:p w:rsidR="008A7E4B" w:rsidRPr="006E60D8" w:rsidRDefault="008A7E4B" w:rsidP="008A7E4B">
            <w:pPr>
              <w:widowControl/>
              <w:autoSpaceDE w:val="0"/>
              <w:autoSpaceDN w:val="0"/>
              <w:adjustRightInd w:val="0"/>
              <w:spacing w:before="120" w:after="120"/>
              <w:ind w:left="357"/>
              <w:rPr>
                <w:rFonts w:ascii="Arial" w:eastAsia="Calibri" w:hAnsi="Arial" w:cs="Arial"/>
                <w:b/>
                <w:sz w:val="20"/>
                <w:szCs w:val="20"/>
              </w:rPr>
            </w:pPr>
            <w:r w:rsidRPr="006E60D8">
              <w:rPr>
                <w:rFonts w:ascii="Arial" w:eastAsia="Calibri" w:hAnsi="Arial" w:cs="Arial"/>
                <w:b/>
                <w:sz w:val="20"/>
                <w:szCs w:val="20"/>
              </w:rPr>
              <w:t>Evaluation of coagulation status:</w:t>
            </w:r>
          </w:p>
          <w:p w:rsidR="008A7E4B" w:rsidRDefault="008A7E4B" w:rsidP="008A7E4B">
            <w:pPr>
              <w:widowControl/>
              <w:numPr>
                <w:ilvl w:val="0"/>
                <w:numId w:val="28"/>
              </w:numPr>
              <w:autoSpaceDE w:val="0"/>
              <w:autoSpaceDN w:val="0"/>
              <w:adjustRightInd w:val="0"/>
              <w:spacing w:before="120" w:after="120"/>
              <w:ind w:left="714" w:hanging="357"/>
              <w:rPr>
                <w:rFonts w:ascii="Arial" w:eastAsia="Calibri" w:hAnsi="Arial" w:cs="Arial"/>
                <w:sz w:val="20"/>
                <w:szCs w:val="20"/>
              </w:rPr>
            </w:pPr>
            <w:r w:rsidRPr="006E60D8">
              <w:rPr>
                <w:rFonts w:ascii="Arial" w:eastAsia="Calibri" w:hAnsi="Arial" w:cs="Arial"/>
                <w:sz w:val="20"/>
                <w:szCs w:val="20"/>
              </w:rPr>
              <w:t xml:space="preserve">We recommend the use of a structured patient interview or questionnaire before surgery or </w:t>
            </w:r>
            <w:proofErr w:type="gramStart"/>
            <w:r w:rsidRPr="006E60D8">
              <w:rPr>
                <w:rFonts w:ascii="Arial" w:eastAsia="Calibri" w:hAnsi="Arial" w:cs="Arial"/>
                <w:sz w:val="20"/>
                <w:szCs w:val="20"/>
              </w:rPr>
              <w:t>invasive procedures, which considers</w:t>
            </w:r>
            <w:proofErr w:type="gramEnd"/>
            <w:r w:rsidRPr="006E60D8">
              <w:rPr>
                <w:rFonts w:ascii="Arial" w:eastAsia="Calibri" w:hAnsi="Arial" w:cs="Arial"/>
                <w:sz w:val="20"/>
                <w:szCs w:val="20"/>
              </w:rPr>
              <w:t xml:space="preserve"> clinical and family bleeding history and detailed information on the patient’s medication. 1C</w:t>
            </w:r>
          </w:p>
          <w:p w:rsidR="008A7E4B" w:rsidRPr="008A7E4B" w:rsidRDefault="008A7E4B" w:rsidP="008A7E4B">
            <w:pPr>
              <w:widowControl/>
              <w:numPr>
                <w:ilvl w:val="0"/>
                <w:numId w:val="28"/>
              </w:numPr>
              <w:autoSpaceDE w:val="0"/>
              <w:autoSpaceDN w:val="0"/>
              <w:adjustRightInd w:val="0"/>
              <w:spacing w:before="120" w:after="120"/>
              <w:ind w:left="714" w:hanging="357"/>
              <w:rPr>
                <w:rFonts w:ascii="Arial" w:eastAsia="Calibri" w:hAnsi="Arial" w:cs="Arial"/>
                <w:sz w:val="20"/>
                <w:szCs w:val="20"/>
              </w:rPr>
            </w:pPr>
            <w:r w:rsidRPr="008A7E4B">
              <w:rPr>
                <w:rFonts w:ascii="Arial" w:eastAsia="Calibri" w:hAnsi="Arial" w:cs="Arial"/>
                <w:sz w:val="20"/>
                <w:szCs w:val="20"/>
              </w:rPr>
              <w:t>We recommend the use of standardised questionnaires on bleeding and drug history as preferable to the routine use of conventional coagulation screening tests such as a PTT, PT and platelet count in elective surgery. 1C</w:t>
            </w:r>
          </w:p>
        </w:tc>
      </w:tr>
    </w:tbl>
    <w:p w:rsidR="006E60D8" w:rsidRDefault="006E60D8" w:rsidP="005179F6">
      <w:pPr>
        <w:rPr>
          <w:rFonts w:cstheme="minorHAnsi"/>
        </w:rPr>
      </w:pPr>
    </w:p>
    <w:p w:rsidR="006E60D8" w:rsidRDefault="006E60D8">
      <w:pPr>
        <w:widowControl/>
        <w:spacing w:after="200" w:line="276" w:lineRule="auto"/>
        <w:rPr>
          <w:rFonts w:asciiTheme="majorHAnsi" w:eastAsiaTheme="majorEastAsia" w:hAnsiTheme="majorHAnsi" w:cstheme="majorHAnsi"/>
          <w:b/>
          <w:bCs/>
          <w:szCs w:val="26"/>
        </w:rPr>
      </w:pPr>
      <w:bookmarkStart w:id="6" w:name="_Figure_1:_Preoperative"/>
      <w:bookmarkEnd w:id="6"/>
      <w:r>
        <w:br w:type="page"/>
      </w:r>
    </w:p>
    <w:p w:rsidR="005B0232" w:rsidRPr="00DE3603" w:rsidRDefault="005B0232" w:rsidP="009D3A5D">
      <w:pPr>
        <w:pStyle w:val="Heading2"/>
      </w:pPr>
      <w:bookmarkStart w:id="7" w:name="_Toc399150590"/>
      <w:r w:rsidRPr="00DE3603">
        <w:lastRenderedPageBreak/>
        <w:t>Figure 1: Preoperative assessment of bleeding risk</w:t>
      </w:r>
      <w:bookmarkEnd w:id="7"/>
    </w:p>
    <w:p w:rsidR="00CC08B4" w:rsidRPr="005179F6" w:rsidRDefault="00152639" w:rsidP="005179F6">
      <w:pPr>
        <w:rPr>
          <w:rFonts w:cstheme="minorHAnsi"/>
        </w:rPr>
      </w:pPr>
      <w:r>
        <w:object w:dxaOrig="12840" w:dyaOrig="10260">
          <v:shape id="_x0000_i1026" type="#_x0000_t75" style="width:436.2pt;height:348.6pt" o:ole="">
            <v:imagedata r:id="rId15" o:title=""/>
          </v:shape>
          <o:OLEObject Type="Embed" ProgID="Visio.Drawing.11" ShapeID="_x0000_i1026" DrawAspect="Content" ObjectID="_1473086953" r:id="rId17"/>
        </w:object>
      </w:r>
    </w:p>
    <w:p w:rsidR="00270052" w:rsidRPr="005179F6" w:rsidRDefault="00270052" w:rsidP="005179F6">
      <w:pPr>
        <w:rPr>
          <w:rFonts w:cstheme="minorHAnsi"/>
        </w:rPr>
      </w:pPr>
    </w:p>
    <w:p w:rsidR="00270052" w:rsidRPr="005179F6" w:rsidRDefault="00270052" w:rsidP="009D3A5D">
      <w:pPr>
        <w:pStyle w:val="Heading1"/>
      </w:pPr>
      <w:bookmarkStart w:id="8" w:name="_Toc399150591"/>
      <w:r w:rsidRPr="005179F6">
        <w:t>Medication assessment</w:t>
      </w:r>
      <w:bookmarkEnd w:id="8"/>
    </w:p>
    <w:p w:rsidR="00D45975" w:rsidRPr="005179F6" w:rsidRDefault="00D45975" w:rsidP="00816069">
      <w:pPr>
        <w:jc w:val="both"/>
        <w:rPr>
          <w:rFonts w:cstheme="minorHAnsi"/>
        </w:rPr>
      </w:pPr>
      <w:r w:rsidRPr="005179F6">
        <w:rPr>
          <w:rFonts w:cstheme="minorHAnsi"/>
        </w:rPr>
        <w:t xml:space="preserve">Numerous medications and complementary therapies may affect haemostasis so a comprehensive list of what the patient is taking is required. The management of antiplatelet agents including non-steroidal anti-inflammatory agents, aspirin and </w:t>
      </w:r>
      <w:proofErr w:type="spellStart"/>
      <w:r w:rsidRPr="005179F6">
        <w:rPr>
          <w:rFonts w:cstheme="minorHAnsi"/>
        </w:rPr>
        <w:t>clopidogrel</w:t>
      </w:r>
      <w:proofErr w:type="spellEnd"/>
      <w:r w:rsidR="00ED1145">
        <w:rPr>
          <w:rFonts w:cstheme="minorHAnsi"/>
        </w:rPr>
        <w:t>;</w:t>
      </w:r>
      <w:r w:rsidRPr="005179F6">
        <w:rPr>
          <w:rFonts w:cstheme="minorHAnsi"/>
        </w:rPr>
        <w:t xml:space="preserve"> and anticoagulant therapy </w:t>
      </w:r>
      <w:r w:rsidR="00ED1145">
        <w:rPr>
          <w:rFonts w:cstheme="minorHAnsi"/>
        </w:rPr>
        <w:t xml:space="preserve">including </w:t>
      </w:r>
      <w:r w:rsidRPr="005179F6">
        <w:rPr>
          <w:rFonts w:cstheme="minorHAnsi"/>
        </w:rPr>
        <w:t xml:space="preserve">warfarin, heparin and the </w:t>
      </w:r>
      <w:r w:rsidR="00ED1145">
        <w:rPr>
          <w:rFonts w:cstheme="minorHAnsi"/>
        </w:rPr>
        <w:t>n</w:t>
      </w:r>
      <w:r w:rsidR="000535A3">
        <w:rPr>
          <w:rFonts w:cstheme="minorHAnsi"/>
        </w:rPr>
        <w:t>ew oral anticoagulants (NOAC</w:t>
      </w:r>
      <w:r w:rsidR="00ED1145">
        <w:rPr>
          <w:rFonts w:cstheme="minorHAnsi"/>
        </w:rPr>
        <w:t>)</w:t>
      </w:r>
      <w:r w:rsidRPr="005179F6">
        <w:rPr>
          <w:rFonts w:cstheme="minorHAnsi"/>
        </w:rPr>
        <w:t xml:space="preserve"> will need to be tailored for each patient to balance the risk of bleeding and thrombotic events</w:t>
      </w:r>
      <w:r w:rsidR="00BC6A8C" w:rsidRPr="005179F6">
        <w:rPr>
          <w:rFonts w:cstheme="minorHAnsi"/>
        </w:rPr>
        <w:t>. The management plan needs to</w:t>
      </w:r>
      <w:r w:rsidRPr="005179F6">
        <w:rPr>
          <w:rFonts w:cstheme="minorHAnsi"/>
        </w:rPr>
        <w:t xml:space="preserve"> tak</w:t>
      </w:r>
      <w:r w:rsidR="00BC6A8C" w:rsidRPr="005179F6">
        <w:rPr>
          <w:rFonts w:cstheme="minorHAnsi"/>
        </w:rPr>
        <w:t>e</w:t>
      </w:r>
      <w:r w:rsidRPr="005179F6">
        <w:rPr>
          <w:rFonts w:cstheme="minorHAnsi"/>
        </w:rPr>
        <w:t xml:space="preserve"> into consideration the indications for the medications, the nature of the procedure and its risk of bleeding. A multidisciplinary team approach, involving surgeon, anaesthetist, cardiologist and haematologist, may be necessary to develop a management plan appropriate for the patient. </w:t>
      </w:r>
    </w:p>
    <w:p w:rsidR="00D45975" w:rsidRPr="005179F6" w:rsidRDefault="00D45975" w:rsidP="00816069">
      <w:pPr>
        <w:jc w:val="both"/>
        <w:rPr>
          <w:rFonts w:cstheme="minorHAnsi"/>
        </w:rPr>
      </w:pPr>
    </w:p>
    <w:p w:rsidR="007507BD" w:rsidRPr="005179F6" w:rsidRDefault="00D45975" w:rsidP="00816069">
      <w:pPr>
        <w:jc w:val="both"/>
        <w:rPr>
          <w:rFonts w:cstheme="minorHAnsi"/>
        </w:rPr>
      </w:pPr>
      <w:r w:rsidRPr="005179F6">
        <w:rPr>
          <w:rFonts w:cstheme="minorHAnsi"/>
        </w:rPr>
        <w:t xml:space="preserve">Some guidance regarding management of patients on anticoagulant and antiplatelet agents is provided in the PBM guidelines: Module 2 – </w:t>
      </w:r>
      <w:r w:rsidR="00A41A1A" w:rsidRPr="005179F6">
        <w:rPr>
          <w:rFonts w:cstheme="minorHAnsi"/>
        </w:rPr>
        <w:t>Perioperative</w:t>
      </w:r>
      <w:r w:rsidR="00A41A1A" w:rsidRPr="00816069">
        <w:rPr>
          <w:rFonts w:cstheme="minorHAnsi"/>
          <w:vertAlign w:val="superscript"/>
        </w:rPr>
        <w:t>3</w:t>
      </w:r>
      <w:r w:rsidR="00A41A1A" w:rsidRPr="005179F6">
        <w:rPr>
          <w:rFonts w:cstheme="minorHAnsi"/>
        </w:rPr>
        <w:t xml:space="preserve"> </w:t>
      </w:r>
      <w:r w:rsidRPr="005179F6">
        <w:rPr>
          <w:rFonts w:cstheme="minorHAnsi"/>
        </w:rPr>
        <w:t xml:space="preserve">as outlined in Table </w:t>
      </w:r>
      <w:r w:rsidR="00B56206" w:rsidRPr="005179F6">
        <w:rPr>
          <w:rFonts w:cstheme="minorHAnsi"/>
        </w:rPr>
        <w:t>3</w:t>
      </w:r>
      <w:r w:rsidRPr="005179F6">
        <w:rPr>
          <w:rFonts w:cstheme="minorHAnsi"/>
        </w:rPr>
        <w:t>.</w:t>
      </w:r>
      <w:r w:rsidR="007507BD" w:rsidRPr="005179F6">
        <w:rPr>
          <w:rFonts w:cstheme="minorHAnsi"/>
        </w:rPr>
        <w:t xml:space="preserve"> </w:t>
      </w:r>
      <w:r w:rsidR="000535A3">
        <w:rPr>
          <w:rFonts w:cstheme="minorHAnsi"/>
        </w:rPr>
        <w:t>The Australian Society of Thrombosis and Haemostasis (ASTH) have published practical guidance on the management of patients taking NOAC in the perioperative period.</w:t>
      </w:r>
      <w:r w:rsidR="000535A3" w:rsidRPr="00E1766E">
        <w:rPr>
          <w:rFonts w:cstheme="minorHAnsi"/>
          <w:vertAlign w:val="superscript"/>
        </w:rPr>
        <w:t>4</w:t>
      </w:r>
      <w:r w:rsidR="000535A3">
        <w:rPr>
          <w:rFonts w:cstheme="minorHAnsi"/>
        </w:rPr>
        <w:t xml:space="preserve"> </w:t>
      </w:r>
      <w:r w:rsidR="008539E6">
        <w:rPr>
          <w:rFonts w:cstheme="minorHAnsi"/>
        </w:rPr>
        <w:t xml:space="preserve">Figure 2 outlines the ASTH suggested management of patients receiving NOAC requiring urgent surgery and Table 4 includes a suggested management approach for preoperative interruption of NOAC. </w:t>
      </w:r>
      <w:r w:rsidR="00362DD1">
        <w:rPr>
          <w:rFonts w:cstheme="minorHAnsi"/>
        </w:rPr>
        <w:t>A summary of additional relevant</w:t>
      </w:r>
      <w:r w:rsidR="00311FA4">
        <w:rPr>
          <w:rFonts w:cstheme="minorHAnsi"/>
        </w:rPr>
        <w:t xml:space="preserve"> medication</w:t>
      </w:r>
      <w:r w:rsidR="007507BD" w:rsidRPr="005179F6">
        <w:rPr>
          <w:rFonts w:cstheme="minorHAnsi"/>
        </w:rPr>
        <w:t xml:space="preserve"> guidance from the European Society of Anaesthesiology is available in </w:t>
      </w:r>
      <w:r w:rsidR="00362DD1">
        <w:rPr>
          <w:rFonts w:cstheme="minorHAnsi"/>
        </w:rPr>
        <w:t>Appendix 5</w:t>
      </w:r>
      <w:r w:rsidR="007507BD" w:rsidRPr="005179F6">
        <w:rPr>
          <w:rFonts w:cstheme="minorHAnsi"/>
        </w:rPr>
        <w:t>.</w:t>
      </w:r>
    </w:p>
    <w:p w:rsidR="00D45975" w:rsidRPr="005179F6" w:rsidRDefault="00D45975" w:rsidP="005179F6">
      <w:pPr>
        <w:rPr>
          <w:rFonts w:cstheme="minorHAnsi"/>
        </w:rPr>
      </w:pPr>
    </w:p>
    <w:p w:rsidR="007507BD" w:rsidRPr="005179F6" w:rsidRDefault="007507BD" w:rsidP="00816069">
      <w:pPr>
        <w:jc w:val="both"/>
        <w:rPr>
          <w:rFonts w:cstheme="minorHAnsi"/>
        </w:rPr>
      </w:pPr>
      <w:r w:rsidRPr="005179F6">
        <w:rPr>
          <w:rFonts w:cstheme="minorHAnsi"/>
        </w:rPr>
        <w:t xml:space="preserve">Additional sources to assist management include: </w:t>
      </w:r>
    </w:p>
    <w:p w:rsidR="007507BD" w:rsidRPr="009D3A5D" w:rsidRDefault="00690965" w:rsidP="00816069">
      <w:pPr>
        <w:pStyle w:val="ListParagraph"/>
        <w:numPr>
          <w:ilvl w:val="0"/>
          <w:numId w:val="42"/>
        </w:numPr>
        <w:jc w:val="both"/>
        <w:rPr>
          <w:rFonts w:cstheme="minorHAnsi"/>
        </w:rPr>
      </w:pPr>
      <w:hyperlink r:id="rId18" w:history="1">
        <w:r w:rsidR="007507BD" w:rsidRPr="009D3A5D">
          <w:rPr>
            <w:rStyle w:val="Hyperlink"/>
            <w:rFonts w:cstheme="minorHAnsi"/>
          </w:rPr>
          <w:t>Consensus guidelines for warfarin reversal</w:t>
        </w:r>
      </w:hyperlink>
      <w:r w:rsidR="007507BD" w:rsidRPr="009D3A5D">
        <w:rPr>
          <w:rFonts w:cstheme="minorHAnsi"/>
        </w:rPr>
        <w:t>: Australasian Society of Thrombosis and Haemostasis</w:t>
      </w:r>
      <w:r w:rsidR="00362DD1">
        <w:rPr>
          <w:rFonts w:cstheme="minorHAnsi"/>
        </w:rPr>
        <w:t>,</w:t>
      </w:r>
      <w:r w:rsidR="002F3B6F">
        <w:rPr>
          <w:rFonts w:cstheme="minorHAnsi"/>
        </w:rPr>
        <w:t xml:space="preserve"> </w:t>
      </w:r>
      <w:r w:rsidR="00362DD1">
        <w:rPr>
          <w:rFonts w:cstheme="minorHAnsi"/>
        </w:rPr>
        <w:t>2013</w:t>
      </w:r>
      <w:r w:rsidR="002F3B6F">
        <w:rPr>
          <w:rFonts w:cstheme="minorHAnsi"/>
        </w:rPr>
        <w:t>;</w:t>
      </w:r>
      <w:r w:rsidR="000535A3">
        <w:rPr>
          <w:rFonts w:cstheme="minorHAnsi"/>
          <w:vertAlign w:val="superscript"/>
        </w:rPr>
        <w:t>5</w:t>
      </w:r>
    </w:p>
    <w:p w:rsidR="007507BD" w:rsidRPr="009D3A5D" w:rsidRDefault="00690965" w:rsidP="00816069">
      <w:pPr>
        <w:pStyle w:val="ListParagraph"/>
        <w:numPr>
          <w:ilvl w:val="0"/>
          <w:numId w:val="42"/>
        </w:numPr>
        <w:jc w:val="both"/>
        <w:rPr>
          <w:rFonts w:cstheme="minorHAnsi"/>
        </w:rPr>
      </w:pPr>
      <w:hyperlink r:id="rId19" w:history="1">
        <w:r w:rsidR="007507BD" w:rsidRPr="009D3A5D">
          <w:rPr>
            <w:rStyle w:val="Hyperlink"/>
            <w:rFonts w:cstheme="minorHAnsi"/>
          </w:rPr>
          <w:t>The perioperative management of antithrombotic therapy</w:t>
        </w:r>
      </w:hyperlink>
      <w:r w:rsidR="007507BD" w:rsidRPr="009D3A5D">
        <w:rPr>
          <w:rFonts w:cstheme="minorHAnsi"/>
        </w:rPr>
        <w:t>: American College of Chest Physicians Evidence-Based Clinical Practice Guidelines (8th Edition</w:t>
      </w:r>
      <w:r w:rsidR="002F3B6F">
        <w:rPr>
          <w:rFonts w:cstheme="minorHAnsi"/>
        </w:rPr>
        <w:t>)</w:t>
      </w:r>
      <w:r w:rsidR="00362DD1">
        <w:rPr>
          <w:rFonts w:cstheme="minorHAnsi"/>
        </w:rPr>
        <w:t>, 2008</w:t>
      </w:r>
      <w:r w:rsidR="007507BD" w:rsidRPr="009D3A5D">
        <w:rPr>
          <w:rFonts w:cstheme="minorHAnsi"/>
        </w:rPr>
        <w:t>;</w:t>
      </w:r>
      <w:r w:rsidR="000535A3">
        <w:rPr>
          <w:rFonts w:cstheme="minorHAnsi"/>
          <w:vertAlign w:val="superscript"/>
        </w:rPr>
        <w:t>6</w:t>
      </w:r>
    </w:p>
    <w:p w:rsidR="008539E6" w:rsidRPr="008539E6" w:rsidRDefault="00690965" w:rsidP="00233FE1">
      <w:pPr>
        <w:pStyle w:val="ListParagraph"/>
        <w:numPr>
          <w:ilvl w:val="0"/>
          <w:numId w:val="42"/>
        </w:numPr>
        <w:jc w:val="both"/>
        <w:rPr>
          <w:rFonts w:cstheme="minorHAnsi"/>
        </w:rPr>
      </w:pPr>
      <w:hyperlink r:id="rId20" w:history="1">
        <w:r w:rsidR="008539E6" w:rsidRPr="00BA19EA">
          <w:rPr>
            <w:rStyle w:val="Hyperlink"/>
            <w:rFonts w:cstheme="minorHAnsi"/>
          </w:rPr>
          <w:t>New oral anticoagulants</w:t>
        </w:r>
        <w:r w:rsidR="009E1887" w:rsidRPr="00BA19EA">
          <w:rPr>
            <w:rStyle w:val="Hyperlink"/>
            <w:rFonts w:cstheme="minorHAnsi"/>
          </w:rPr>
          <w:t>:</w:t>
        </w:r>
        <w:r w:rsidR="008539E6" w:rsidRPr="00BA19EA">
          <w:rPr>
            <w:rStyle w:val="Hyperlink"/>
            <w:rFonts w:cstheme="minorHAnsi"/>
          </w:rPr>
          <w:t xml:space="preserve"> a practical guide on prescription, laboratory testing and peri-</w:t>
        </w:r>
        <w:r w:rsidR="008539E6" w:rsidRPr="00BA19EA">
          <w:rPr>
            <w:rStyle w:val="Hyperlink"/>
            <w:rFonts w:cstheme="minorHAnsi"/>
          </w:rPr>
          <w:lastRenderedPageBreak/>
          <w:t>procedural/bleeding management</w:t>
        </w:r>
      </w:hyperlink>
      <w:r w:rsidR="008539E6">
        <w:rPr>
          <w:rFonts w:cstheme="minorHAnsi"/>
        </w:rPr>
        <w:t xml:space="preserve">: </w:t>
      </w:r>
      <w:r w:rsidR="008539E6" w:rsidRPr="009D3A5D">
        <w:rPr>
          <w:rFonts w:cstheme="minorHAnsi"/>
        </w:rPr>
        <w:t>Australasian Society of Thrombosis and Haemostasis</w:t>
      </w:r>
      <w:r w:rsidR="002F3B6F">
        <w:rPr>
          <w:rFonts w:cstheme="minorHAnsi"/>
        </w:rPr>
        <w:t>, 2014;</w:t>
      </w:r>
      <w:r w:rsidR="008539E6" w:rsidRPr="0025621E">
        <w:rPr>
          <w:rFonts w:cstheme="minorHAnsi"/>
          <w:vertAlign w:val="superscript"/>
        </w:rPr>
        <w:t>4</w:t>
      </w:r>
    </w:p>
    <w:p w:rsidR="0025621E" w:rsidRDefault="00690965" w:rsidP="00233FE1">
      <w:pPr>
        <w:pStyle w:val="ListParagraph"/>
        <w:numPr>
          <w:ilvl w:val="0"/>
          <w:numId w:val="42"/>
        </w:numPr>
        <w:jc w:val="both"/>
        <w:rPr>
          <w:rFonts w:cstheme="minorHAnsi"/>
        </w:rPr>
      </w:pPr>
      <w:hyperlink r:id="rId21" w:history="1">
        <w:r w:rsidR="0025621E">
          <w:rPr>
            <w:rStyle w:val="Hyperlink"/>
            <w:rFonts w:cstheme="minorHAnsi"/>
          </w:rPr>
          <w:t>Management of severe perioperative bleeding</w:t>
        </w:r>
      </w:hyperlink>
      <w:r w:rsidR="0025621E" w:rsidRPr="0091731A">
        <w:rPr>
          <w:rFonts w:cstheme="minorHAnsi"/>
        </w:rPr>
        <w:t>: guidelines from the European Society of Anaesthesiology</w:t>
      </w:r>
      <w:r w:rsidR="002F3B6F">
        <w:rPr>
          <w:rFonts w:cstheme="minorHAnsi"/>
        </w:rPr>
        <w:t>, 2013</w:t>
      </w:r>
      <w:r w:rsidR="0025621E" w:rsidRPr="009D3A5D">
        <w:rPr>
          <w:rFonts w:cstheme="minorHAnsi"/>
        </w:rPr>
        <w:t>;</w:t>
      </w:r>
      <w:r w:rsidR="0025621E" w:rsidRPr="00816069">
        <w:rPr>
          <w:rFonts w:cstheme="minorHAnsi"/>
          <w:vertAlign w:val="superscript"/>
        </w:rPr>
        <w:t>2</w:t>
      </w:r>
      <w:r w:rsidR="0025621E" w:rsidRPr="009D3A5D">
        <w:rPr>
          <w:rFonts w:cstheme="minorHAnsi"/>
        </w:rPr>
        <w:t xml:space="preserve"> and</w:t>
      </w:r>
    </w:p>
    <w:p w:rsidR="007507BD" w:rsidRPr="00233FE1" w:rsidRDefault="00690965" w:rsidP="00233FE1">
      <w:pPr>
        <w:pStyle w:val="ListParagraph"/>
        <w:numPr>
          <w:ilvl w:val="0"/>
          <w:numId w:val="42"/>
        </w:numPr>
        <w:jc w:val="both"/>
        <w:rPr>
          <w:rFonts w:cstheme="minorHAnsi"/>
        </w:rPr>
      </w:pPr>
      <w:hyperlink r:id="rId22" w:history="1">
        <w:r w:rsidR="00233FE1" w:rsidRPr="00983613">
          <w:rPr>
            <w:rStyle w:val="Hyperlink"/>
            <w:rFonts w:cstheme="minorHAnsi"/>
          </w:rPr>
          <w:t>Guideline on the management of bleeding in patients on antithrombotic agents</w:t>
        </w:r>
      </w:hyperlink>
      <w:r w:rsidR="00233FE1">
        <w:rPr>
          <w:rFonts w:cstheme="minorHAnsi"/>
        </w:rPr>
        <w:t>:</w:t>
      </w:r>
      <w:r w:rsidR="007507BD" w:rsidRPr="00233FE1">
        <w:rPr>
          <w:rFonts w:cstheme="minorHAnsi"/>
        </w:rPr>
        <w:t xml:space="preserve"> British Committee for Standards in Haematology</w:t>
      </w:r>
      <w:r w:rsidR="002F3B6F">
        <w:rPr>
          <w:rFonts w:cstheme="minorHAnsi"/>
        </w:rPr>
        <w:t>, 2008</w:t>
      </w:r>
      <w:r w:rsidR="007507BD" w:rsidRPr="00233FE1">
        <w:rPr>
          <w:rFonts w:cstheme="minorHAnsi"/>
        </w:rPr>
        <w:t>.</w:t>
      </w:r>
      <w:r w:rsidR="000535A3">
        <w:rPr>
          <w:rFonts w:cstheme="minorHAnsi"/>
          <w:vertAlign w:val="superscript"/>
        </w:rPr>
        <w:t>7</w:t>
      </w:r>
    </w:p>
    <w:p w:rsidR="00545056" w:rsidRPr="005179F6" w:rsidRDefault="00545056" w:rsidP="005179F6">
      <w:pPr>
        <w:rPr>
          <w:rFonts w:cstheme="minorHAnsi"/>
        </w:rPr>
      </w:pPr>
    </w:p>
    <w:tbl>
      <w:tblPr>
        <w:tblStyle w:val="TableGrid"/>
        <w:tblW w:w="0" w:type="auto"/>
        <w:tblInd w:w="534" w:type="dxa"/>
        <w:tblLook w:val="04A0" w:firstRow="1" w:lastRow="0" w:firstColumn="1" w:lastColumn="0" w:noHBand="0" w:noVBand="1"/>
      </w:tblPr>
      <w:tblGrid>
        <w:gridCol w:w="1701"/>
        <w:gridCol w:w="5811"/>
        <w:gridCol w:w="1560"/>
      </w:tblGrid>
      <w:tr w:rsidR="00D45975" w:rsidRPr="005179F6" w:rsidTr="00045D4E">
        <w:tc>
          <w:tcPr>
            <w:tcW w:w="9072" w:type="dxa"/>
            <w:gridSpan w:val="3"/>
          </w:tcPr>
          <w:p w:rsidR="00D45975" w:rsidRPr="009D3A5D" w:rsidRDefault="00D45975" w:rsidP="009D3A5D">
            <w:pPr>
              <w:pStyle w:val="Heading2"/>
              <w:outlineLvl w:val="1"/>
            </w:pPr>
            <w:bookmarkStart w:id="9" w:name="_Toc399150592"/>
            <w:r w:rsidRPr="009D3A5D">
              <w:t xml:space="preserve">Table </w:t>
            </w:r>
            <w:r w:rsidR="00B56206" w:rsidRPr="009D3A5D">
              <w:t>3</w:t>
            </w:r>
            <w:r w:rsidRPr="009D3A5D">
              <w:t xml:space="preserve">: </w:t>
            </w:r>
            <w:r w:rsidR="003263AD" w:rsidRPr="009D3A5D">
              <w:t>G</w:t>
            </w:r>
            <w:r w:rsidRPr="009D3A5D">
              <w:t>uidance regarding cessation of medications</w:t>
            </w:r>
            <w:r w:rsidR="00F35A45" w:rsidRPr="009D3A5D">
              <w:t xml:space="preserve"> </w:t>
            </w:r>
            <w:r w:rsidR="00DD17ED">
              <w:t xml:space="preserve">- </w:t>
            </w:r>
            <w:r w:rsidR="00361646" w:rsidRPr="009D3A5D">
              <w:t>Patient Blood Management Guidelines: Module 2 Perioperative</w:t>
            </w:r>
            <w:r w:rsidR="00660A72" w:rsidRPr="00816069">
              <w:rPr>
                <w:vertAlign w:val="superscript"/>
              </w:rPr>
              <w:footnoteReference w:id="3"/>
            </w:r>
            <w:bookmarkEnd w:id="9"/>
          </w:p>
        </w:tc>
      </w:tr>
      <w:tr w:rsidR="00D45975" w:rsidRPr="005179F6" w:rsidTr="00045D4E">
        <w:tc>
          <w:tcPr>
            <w:tcW w:w="1701" w:type="dxa"/>
          </w:tcPr>
          <w:p w:rsidR="00D45975" w:rsidRPr="009D3A5D" w:rsidRDefault="00D45975" w:rsidP="009D3A5D">
            <w:pPr>
              <w:spacing w:before="60" w:after="60"/>
              <w:rPr>
                <w:rFonts w:cstheme="minorHAnsi"/>
                <w:b/>
              </w:rPr>
            </w:pPr>
            <w:r w:rsidRPr="009D3A5D">
              <w:rPr>
                <w:rFonts w:cstheme="minorHAnsi"/>
                <w:b/>
              </w:rPr>
              <w:t>Medication</w:t>
            </w:r>
          </w:p>
        </w:tc>
        <w:tc>
          <w:tcPr>
            <w:tcW w:w="5811" w:type="dxa"/>
          </w:tcPr>
          <w:p w:rsidR="00D45975" w:rsidRPr="009D3A5D" w:rsidRDefault="00D45975" w:rsidP="009D3A5D">
            <w:pPr>
              <w:spacing w:before="60" w:after="60"/>
              <w:rPr>
                <w:rFonts w:cstheme="minorHAnsi"/>
                <w:b/>
              </w:rPr>
            </w:pPr>
            <w:r w:rsidRPr="009D3A5D">
              <w:rPr>
                <w:rFonts w:cstheme="minorHAnsi"/>
                <w:b/>
              </w:rPr>
              <w:t>Recommendation</w:t>
            </w:r>
            <w:r w:rsidR="00701B53" w:rsidRPr="009D3A5D">
              <w:rPr>
                <w:rFonts w:cstheme="minorHAnsi"/>
                <w:b/>
              </w:rPr>
              <w:t xml:space="preserve"> </w:t>
            </w:r>
            <w:r w:rsidR="004D0604" w:rsidRPr="009D3A5D">
              <w:rPr>
                <w:rFonts w:cstheme="minorHAnsi"/>
                <w:b/>
              </w:rPr>
              <w:t>(R)</w:t>
            </w:r>
            <w:r w:rsidRPr="009D3A5D">
              <w:rPr>
                <w:rFonts w:cstheme="minorHAnsi"/>
                <w:b/>
              </w:rPr>
              <w:t>/Practice point</w:t>
            </w:r>
            <w:r w:rsidR="00701B53" w:rsidRPr="009D3A5D">
              <w:rPr>
                <w:rFonts w:cstheme="minorHAnsi"/>
                <w:b/>
              </w:rPr>
              <w:t xml:space="preserve"> </w:t>
            </w:r>
            <w:r w:rsidR="004D0604" w:rsidRPr="009D3A5D">
              <w:rPr>
                <w:rFonts w:cstheme="minorHAnsi"/>
                <w:b/>
              </w:rPr>
              <w:t>(PP)</w:t>
            </w:r>
          </w:p>
        </w:tc>
        <w:tc>
          <w:tcPr>
            <w:tcW w:w="1560" w:type="dxa"/>
          </w:tcPr>
          <w:p w:rsidR="00D45975" w:rsidRPr="009D3A5D" w:rsidRDefault="00D45975" w:rsidP="009D3A5D">
            <w:pPr>
              <w:spacing w:before="60" w:after="60"/>
              <w:rPr>
                <w:rFonts w:cstheme="minorHAnsi"/>
                <w:b/>
              </w:rPr>
            </w:pPr>
            <w:r w:rsidRPr="009D3A5D">
              <w:rPr>
                <w:rFonts w:cstheme="minorHAnsi"/>
                <w:b/>
              </w:rPr>
              <w:t>Reference</w:t>
            </w:r>
          </w:p>
        </w:tc>
      </w:tr>
      <w:tr w:rsidR="00D45975" w:rsidRPr="005179F6" w:rsidTr="00045D4E">
        <w:tc>
          <w:tcPr>
            <w:tcW w:w="1701" w:type="dxa"/>
            <w:vMerge w:val="restart"/>
            <w:vAlign w:val="center"/>
          </w:tcPr>
          <w:p w:rsidR="00D45975" w:rsidRPr="005179F6" w:rsidRDefault="00D45975" w:rsidP="000D066B">
            <w:pPr>
              <w:spacing w:before="20" w:after="20"/>
              <w:rPr>
                <w:rFonts w:cstheme="minorHAnsi"/>
              </w:rPr>
            </w:pPr>
            <w:r w:rsidRPr="005179F6">
              <w:rPr>
                <w:rFonts w:cstheme="minorHAnsi"/>
              </w:rPr>
              <w:t>Aspirin</w:t>
            </w:r>
          </w:p>
        </w:tc>
        <w:tc>
          <w:tcPr>
            <w:tcW w:w="5811" w:type="dxa"/>
          </w:tcPr>
          <w:p w:rsidR="00D45975" w:rsidRPr="005179F6" w:rsidRDefault="00D45975" w:rsidP="000D066B">
            <w:pPr>
              <w:spacing w:before="20" w:after="20"/>
              <w:rPr>
                <w:rFonts w:cstheme="minorHAnsi"/>
              </w:rPr>
            </w:pPr>
            <w:r w:rsidRPr="005179F6">
              <w:rPr>
                <w:rFonts w:cstheme="minorHAnsi"/>
              </w:rPr>
              <w:t>In patients undergoing noncardiac surgery, it is reasonable to continue low dose aspirin therapy. This may require specific evaluation in neurosurgery and intraocular surgery (Grade C).</w:t>
            </w:r>
          </w:p>
        </w:tc>
        <w:tc>
          <w:tcPr>
            <w:tcW w:w="1560" w:type="dxa"/>
          </w:tcPr>
          <w:p w:rsidR="00D45975" w:rsidRPr="005179F6" w:rsidRDefault="00D45975" w:rsidP="000D066B">
            <w:pPr>
              <w:spacing w:before="20" w:after="20"/>
              <w:rPr>
                <w:rFonts w:cstheme="minorHAnsi"/>
              </w:rPr>
            </w:pPr>
            <w:r w:rsidRPr="005179F6">
              <w:rPr>
                <w:rFonts w:cstheme="minorHAnsi"/>
              </w:rPr>
              <w:t>R8</w:t>
            </w:r>
          </w:p>
        </w:tc>
      </w:tr>
      <w:tr w:rsidR="00D45975" w:rsidRPr="005179F6" w:rsidTr="00045D4E">
        <w:tc>
          <w:tcPr>
            <w:tcW w:w="1701" w:type="dxa"/>
            <w:vMerge/>
          </w:tcPr>
          <w:p w:rsidR="00D45975" w:rsidRPr="005179F6" w:rsidRDefault="00D45975" w:rsidP="000D066B">
            <w:pPr>
              <w:spacing w:before="20" w:after="20"/>
              <w:rPr>
                <w:rFonts w:cstheme="minorHAnsi"/>
              </w:rPr>
            </w:pPr>
          </w:p>
        </w:tc>
        <w:tc>
          <w:tcPr>
            <w:tcW w:w="5811" w:type="dxa"/>
          </w:tcPr>
          <w:p w:rsidR="00D45975" w:rsidRPr="005179F6" w:rsidRDefault="00D45975" w:rsidP="000D066B">
            <w:pPr>
              <w:spacing w:before="20" w:after="20"/>
              <w:rPr>
                <w:rFonts w:cstheme="minorHAnsi"/>
              </w:rPr>
            </w:pPr>
            <w:r w:rsidRPr="005179F6">
              <w:rPr>
                <w:rFonts w:cstheme="minorHAnsi"/>
              </w:rPr>
              <w:t>In patients undergoing cardiac surgery, aspirin may be continued until the time of surgery.</w:t>
            </w:r>
          </w:p>
        </w:tc>
        <w:tc>
          <w:tcPr>
            <w:tcW w:w="1560" w:type="dxa"/>
          </w:tcPr>
          <w:p w:rsidR="00D45975" w:rsidRPr="005179F6" w:rsidRDefault="00D45975" w:rsidP="000D066B">
            <w:pPr>
              <w:spacing w:before="20" w:after="20"/>
              <w:rPr>
                <w:rFonts w:cstheme="minorHAnsi"/>
              </w:rPr>
            </w:pPr>
            <w:r w:rsidRPr="005179F6">
              <w:rPr>
                <w:rFonts w:cstheme="minorHAnsi"/>
              </w:rPr>
              <w:t>PP8</w:t>
            </w:r>
          </w:p>
        </w:tc>
      </w:tr>
      <w:tr w:rsidR="00D45975" w:rsidRPr="005179F6" w:rsidTr="00045D4E">
        <w:tc>
          <w:tcPr>
            <w:tcW w:w="1701" w:type="dxa"/>
            <w:vAlign w:val="center"/>
          </w:tcPr>
          <w:p w:rsidR="00D45975" w:rsidRPr="005179F6" w:rsidRDefault="00D45975" w:rsidP="000D066B">
            <w:pPr>
              <w:spacing w:before="20" w:after="20"/>
              <w:rPr>
                <w:rFonts w:cstheme="minorHAnsi"/>
              </w:rPr>
            </w:pPr>
            <w:r w:rsidRPr="005179F6">
              <w:rPr>
                <w:rFonts w:cstheme="minorHAnsi"/>
              </w:rPr>
              <w:t>Non-steroidal anti-inflammatories (NSAIDs)</w:t>
            </w:r>
          </w:p>
        </w:tc>
        <w:tc>
          <w:tcPr>
            <w:tcW w:w="5811" w:type="dxa"/>
          </w:tcPr>
          <w:p w:rsidR="00D45975" w:rsidRPr="005179F6" w:rsidRDefault="00D45975" w:rsidP="000D066B">
            <w:pPr>
              <w:spacing w:before="20" w:after="20"/>
              <w:rPr>
                <w:rFonts w:cstheme="minorHAnsi"/>
              </w:rPr>
            </w:pPr>
            <w:r w:rsidRPr="005179F6">
              <w:rPr>
                <w:rFonts w:cstheme="minorHAnsi"/>
              </w:rPr>
              <w:t>In patients undergoing elective orthopaedic surgery, NSAID therapy should be ceased preoperatively to reduce blood loss and transfusion. The timing of the cessation should reflect the agent’s pharmacology</w:t>
            </w:r>
            <w:r w:rsidR="00701B53" w:rsidRPr="005179F6">
              <w:rPr>
                <w:rFonts w:cstheme="minorHAnsi"/>
              </w:rPr>
              <w:t xml:space="preserve"> (Grade C).</w:t>
            </w:r>
          </w:p>
        </w:tc>
        <w:tc>
          <w:tcPr>
            <w:tcW w:w="1560" w:type="dxa"/>
          </w:tcPr>
          <w:p w:rsidR="00D45975" w:rsidRPr="005179F6" w:rsidRDefault="00D45975" w:rsidP="000D066B">
            <w:pPr>
              <w:spacing w:before="20" w:after="20"/>
              <w:rPr>
                <w:rFonts w:cstheme="minorHAnsi"/>
              </w:rPr>
            </w:pPr>
            <w:r w:rsidRPr="005179F6">
              <w:rPr>
                <w:rFonts w:cstheme="minorHAnsi"/>
              </w:rPr>
              <w:t>R9</w:t>
            </w:r>
          </w:p>
        </w:tc>
      </w:tr>
      <w:tr w:rsidR="00D45975" w:rsidRPr="005179F6" w:rsidTr="00045D4E">
        <w:tc>
          <w:tcPr>
            <w:tcW w:w="1701" w:type="dxa"/>
            <w:vMerge w:val="restart"/>
            <w:vAlign w:val="center"/>
          </w:tcPr>
          <w:p w:rsidR="00D45975" w:rsidRPr="005179F6" w:rsidRDefault="00D45975" w:rsidP="000D066B">
            <w:pPr>
              <w:spacing w:before="20" w:after="20"/>
              <w:rPr>
                <w:rFonts w:cstheme="minorHAnsi"/>
              </w:rPr>
            </w:pPr>
            <w:r w:rsidRPr="005179F6">
              <w:rPr>
                <w:rFonts w:cstheme="minorHAnsi"/>
              </w:rPr>
              <w:t>Clopidogrel</w:t>
            </w:r>
          </w:p>
        </w:tc>
        <w:tc>
          <w:tcPr>
            <w:tcW w:w="5811" w:type="dxa"/>
          </w:tcPr>
          <w:p w:rsidR="00D45975" w:rsidRPr="005179F6" w:rsidRDefault="00D45975" w:rsidP="000D066B">
            <w:pPr>
              <w:spacing w:before="20" w:after="20"/>
              <w:rPr>
                <w:rFonts w:cstheme="minorHAnsi"/>
              </w:rPr>
            </w:pPr>
            <w:r w:rsidRPr="005179F6">
              <w:rPr>
                <w:rFonts w:cstheme="minorHAnsi"/>
              </w:rPr>
              <w:t xml:space="preserve">In patients undergoing CABG either with or without </w:t>
            </w:r>
            <w:proofErr w:type="spellStart"/>
            <w:r w:rsidRPr="005179F6">
              <w:rPr>
                <w:rFonts w:cstheme="minorHAnsi"/>
              </w:rPr>
              <w:t>CPB</w:t>
            </w:r>
            <w:proofErr w:type="spellEnd"/>
            <w:r w:rsidRPr="005179F6">
              <w:rPr>
                <w:rFonts w:cstheme="minorHAnsi"/>
              </w:rPr>
              <w:t xml:space="preserve"> (</w:t>
            </w:r>
            <w:proofErr w:type="spellStart"/>
            <w:r w:rsidRPr="005179F6">
              <w:rPr>
                <w:rFonts w:cstheme="minorHAnsi"/>
              </w:rPr>
              <w:t>OPCAB</w:t>
            </w:r>
            <w:proofErr w:type="spellEnd"/>
            <w:r w:rsidRPr="005179F6">
              <w:rPr>
                <w:rFonts w:cstheme="minorHAnsi"/>
              </w:rPr>
              <w:t xml:space="preserve">), </w:t>
            </w:r>
            <w:proofErr w:type="spellStart"/>
            <w:r w:rsidRPr="005179F6">
              <w:rPr>
                <w:rFonts w:cstheme="minorHAnsi"/>
              </w:rPr>
              <w:t>clopidogrel</w:t>
            </w:r>
            <w:proofErr w:type="spellEnd"/>
            <w:r w:rsidRPr="005179F6">
              <w:rPr>
                <w:rFonts w:cstheme="minorHAnsi"/>
              </w:rPr>
              <w:t xml:space="preserve"> therapy should be stopped, where possible, at least 5 days before surgery</w:t>
            </w:r>
            <w:r w:rsidR="00701B53" w:rsidRPr="005179F6">
              <w:rPr>
                <w:rFonts w:cstheme="minorHAnsi"/>
              </w:rPr>
              <w:t xml:space="preserve"> (Grade C).</w:t>
            </w:r>
          </w:p>
        </w:tc>
        <w:tc>
          <w:tcPr>
            <w:tcW w:w="1560" w:type="dxa"/>
          </w:tcPr>
          <w:p w:rsidR="00D45975" w:rsidRPr="005179F6" w:rsidRDefault="00D45975" w:rsidP="000D066B">
            <w:pPr>
              <w:spacing w:before="20" w:after="20"/>
              <w:rPr>
                <w:rFonts w:cstheme="minorHAnsi"/>
              </w:rPr>
            </w:pPr>
            <w:r w:rsidRPr="005179F6">
              <w:rPr>
                <w:rFonts w:cstheme="minorHAnsi"/>
              </w:rPr>
              <w:t>R7</w:t>
            </w:r>
          </w:p>
        </w:tc>
      </w:tr>
      <w:tr w:rsidR="00D45975" w:rsidRPr="005179F6" w:rsidTr="00045D4E">
        <w:tc>
          <w:tcPr>
            <w:tcW w:w="1701" w:type="dxa"/>
            <w:vMerge/>
          </w:tcPr>
          <w:p w:rsidR="00D45975" w:rsidRPr="005179F6" w:rsidRDefault="00D45975" w:rsidP="000D066B">
            <w:pPr>
              <w:spacing w:before="20" w:after="20"/>
              <w:rPr>
                <w:rFonts w:cstheme="minorHAnsi"/>
              </w:rPr>
            </w:pPr>
          </w:p>
        </w:tc>
        <w:tc>
          <w:tcPr>
            <w:tcW w:w="5811" w:type="dxa"/>
          </w:tcPr>
          <w:p w:rsidR="00D45975" w:rsidRPr="005179F6" w:rsidRDefault="00D45975" w:rsidP="000D066B">
            <w:pPr>
              <w:spacing w:before="20" w:after="20"/>
              <w:rPr>
                <w:rFonts w:cstheme="minorHAnsi"/>
              </w:rPr>
            </w:pPr>
            <w:r w:rsidRPr="005179F6">
              <w:rPr>
                <w:rFonts w:cstheme="minorHAnsi"/>
              </w:rPr>
              <w:t xml:space="preserve">In patients receiving </w:t>
            </w:r>
            <w:proofErr w:type="spellStart"/>
            <w:r w:rsidRPr="005179F6">
              <w:rPr>
                <w:rFonts w:cstheme="minorHAnsi"/>
              </w:rPr>
              <w:t>clopidogrel</w:t>
            </w:r>
            <w:proofErr w:type="spellEnd"/>
            <w:r w:rsidRPr="005179F6">
              <w:rPr>
                <w:rFonts w:cstheme="minorHAnsi"/>
              </w:rPr>
              <w:t xml:space="preserve"> who are scheduled for elective noncardiac surgery or other invasive procedures, a multidisciplinary approach should be used to decide whether to cease therapy or defer surgery, balancing the risk of bleeding and thrombotic events. Specific evaluation is required for patients who had a recent stroke, or received a drug-eluting stent within the last 12 months or a bare metal stent within the last 6 weeks. If a decision is made to cease therapy preoperatively, this should occur 7–10 days before surgery.</w:t>
            </w:r>
          </w:p>
        </w:tc>
        <w:tc>
          <w:tcPr>
            <w:tcW w:w="1560" w:type="dxa"/>
          </w:tcPr>
          <w:p w:rsidR="00D45975" w:rsidRPr="005179F6" w:rsidRDefault="00D45975" w:rsidP="000D066B">
            <w:pPr>
              <w:spacing w:before="20" w:after="20"/>
              <w:rPr>
                <w:rFonts w:cstheme="minorHAnsi"/>
              </w:rPr>
            </w:pPr>
            <w:r w:rsidRPr="005179F6">
              <w:rPr>
                <w:rFonts w:cstheme="minorHAnsi"/>
              </w:rPr>
              <w:t>PP9</w:t>
            </w:r>
          </w:p>
        </w:tc>
      </w:tr>
      <w:tr w:rsidR="00D45975" w:rsidRPr="005179F6" w:rsidTr="00045D4E">
        <w:tc>
          <w:tcPr>
            <w:tcW w:w="1701" w:type="dxa"/>
            <w:vMerge w:val="restart"/>
            <w:vAlign w:val="center"/>
          </w:tcPr>
          <w:p w:rsidR="00D45975" w:rsidRPr="005179F6" w:rsidRDefault="00D45975" w:rsidP="000D066B">
            <w:pPr>
              <w:spacing w:before="20" w:after="20"/>
              <w:rPr>
                <w:rFonts w:cstheme="minorHAnsi"/>
              </w:rPr>
            </w:pPr>
            <w:r w:rsidRPr="005179F6">
              <w:rPr>
                <w:rFonts w:cstheme="minorHAnsi"/>
              </w:rPr>
              <w:t>Warfarin</w:t>
            </w:r>
          </w:p>
        </w:tc>
        <w:tc>
          <w:tcPr>
            <w:tcW w:w="5811" w:type="dxa"/>
          </w:tcPr>
          <w:p w:rsidR="00D45975" w:rsidRPr="005179F6" w:rsidRDefault="00D45975" w:rsidP="000D066B">
            <w:pPr>
              <w:spacing w:before="20" w:after="20"/>
              <w:rPr>
                <w:rFonts w:cstheme="minorHAnsi"/>
              </w:rPr>
            </w:pPr>
            <w:r w:rsidRPr="005179F6">
              <w:rPr>
                <w:rFonts w:cstheme="minorHAnsi"/>
              </w:rPr>
              <w:t xml:space="preserve">In patients undergoing minor dental procedures, </w:t>
            </w:r>
            <w:proofErr w:type="spellStart"/>
            <w:r w:rsidRPr="005179F6">
              <w:rPr>
                <w:rFonts w:cstheme="minorHAnsi"/>
              </w:rPr>
              <w:t>arthrocentesis</w:t>
            </w:r>
            <w:proofErr w:type="spellEnd"/>
            <w:r w:rsidRPr="005179F6">
              <w:rPr>
                <w:rFonts w:cstheme="minorHAnsi"/>
              </w:rPr>
              <w:t>, cataract surgery, upper gastrointestinal endoscopy without biopsy or colonoscopy without biopsy, warfarin may be continued</w:t>
            </w:r>
            <w:r w:rsidR="00701B53" w:rsidRPr="005179F6">
              <w:rPr>
                <w:rFonts w:cstheme="minorHAnsi"/>
              </w:rPr>
              <w:t xml:space="preserve"> (Grade B).</w:t>
            </w:r>
          </w:p>
        </w:tc>
        <w:tc>
          <w:tcPr>
            <w:tcW w:w="1560" w:type="dxa"/>
          </w:tcPr>
          <w:p w:rsidR="00D45975" w:rsidRPr="005179F6" w:rsidRDefault="00D45975" w:rsidP="000D066B">
            <w:pPr>
              <w:spacing w:before="20" w:after="20"/>
              <w:rPr>
                <w:rFonts w:cstheme="minorHAnsi"/>
              </w:rPr>
            </w:pPr>
            <w:r w:rsidRPr="005179F6">
              <w:rPr>
                <w:rFonts w:cstheme="minorHAnsi"/>
              </w:rPr>
              <w:t>R10</w:t>
            </w:r>
          </w:p>
        </w:tc>
      </w:tr>
      <w:tr w:rsidR="00D45975" w:rsidRPr="005179F6" w:rsidTr="00045D4E">
        <w:tc>
          <w:tcPr>
            <w:tcW w:w="1701" w:type="dxa"/>
            <w:vMerge/>
          </w:tcPr>
          <w:p w:rsidR="00D45975" w:rsidRPr="005179F6" w:rsidRDefault="00D45975" w:rsidP="000D066B">
            <w:pPr>
              <w:spacing w:before="20" w:after="20"/>
              <w:rPr>
                <w:rFonts w:cstheme="minorHAnsi"/>
              </w:rPr>
            </w:pPr>
          </w:p>
        </w:tc>
        <w:tc>
          <w:tcPr>
            <w:tcW w:w="5811" w:type="dxa"/>
          </w:tcPr>
          <w:p w:rsidR="00D45975" w:rsidRPr="005179F6" w:rsidRDefault="00D45975" w:rsidP="000D066B">
            <w:pPr>
              <w:spacing w:before="20" w:after="20"/>
              <w:rPr>
                <w:rFonts w:cstheme="minorHAnsi"/>
              </w:rPr>
            </w:pPr>
            <w:r w:rsidRPr="005179F6">
              <w:rPr>
                <w:rFonts w:cstheme="minorHAnsi"/>
              </w:rPr>
              <w:t>In patients receiving warfarin who are scheduled for elective noncardiac surgery or other invasive procedures (excluding minor</w:t>
            </w:r>
            <w:r w:rsidR="00BA19EA">
              <w:rPr>
                <w:rFonts w:cstheme="minorHAnsi"/>
              </w:rPr>
              <w:t xml:space="preserve"> procedures - </w:t>
            </w:r>
            <w:r w:rsidRPr="005179F6">
              <w:rPr>
                <w:rFonts w:cstheme="minorHAnsi"/>
              </w:rPr>
              <w:t>see Recommendation 10); specific management according to current guidelines is required (e.g. guidelines from the American College of Chest Physicians and the Australasian Society of Thrombosis and Haemostasis).</w:t>
            </w:r>
          </w:p>
        </w:tc>
        <w:tc>
          <w:tcPr>
            <w:tcW w:w="1560" w:type="dxa"/>
          </w:tcPr>
          <w:p w:rsidR="00D45975" w:rsidRPr="005179F6" w:rsidRDefault="00D45975" w:rsidP="000D066B">
            <w:pPr>
              <w:spacing w:before="20" w:after="20"/>
              <w:rPr>
                <w:rFonts w:cstheme="minorHAnsi"/>
              </w:rPr>
            </w:pPr>
            <w:r w:rsidRPr="005179F6">
              <w:rPr>
                <w:rFonts w:cstheme="minorHAnsi"/>
              </w:rPr>
              <w:t>PP10</w:t>
            </w:r>
          </w:p>
        </w:tc>
      </w:tr>
    </w:tbl>
    <w:p w:rsidR="00045D4E" w:rsidRDefault="00045D4E" w:rsidP="000D066B">
      <w:pPr>
        <w:rPr>
          <w:rFonts w:cstheme="minorHAnsi"/>
        </w:rPr>
      </w:pPr>
    </w:p>
    <w:p w:rsidR="00045D4E" w:rsidRDefault="00045D4E">
      <w:pPr>
        <w:widowControl/>
        <w:spacing w:after="200" w:line="276" w:lineRule="auto"/>
        <w:rPr>
          <w:rFonts w:cstheme="minorHAnsi"/>
        </w:rPr>
      </w:pPr>
      <w:r>
        <w:rPr>
          <w:rFonts w:cstheme="minorHAnsi"/>
        </w:rPr>
        <w:br w:type="page"/>
      </w:r>
    </w:p>
    <w:p w:rsidR="00E9789B" w:rsidRPr="0025621E" w:rsidRDefault="0025621E" w:rsidP="000D066B">
      <w:pPr>
        <w:pStyle w:val="Heading2"/>
      </w:pPr>
      <w:bookmarkStart w:id="10" w:name="_Toc399150593"/>
      <w:r w:rsidRPr="0025621E">
        <w:lastRenderedPageBreak/>
        <w:t>Figure 2</w:t>
      </w:r>
      <w:r>
        <w:t>: Suggested management of patients receiving NOAC requiring urgent surgery</w:t>
      </w:r>
      <w:r w:rsidRPr="00045D4E">
        <w:rPr>
          <w:vertAlign w:val="superscript"/>
        </w:rPr>
        <w:t>4</w:t>
      </w:r>
      <w:bookmarkEnd w:id="10"/>
    </w:p>
    <w:p w:rsidR="0025621E" w:rsidRPr="000D066B" w:rsidRDefault="000D066B" w:rsidP="000D066B">
      <w:pPr>
        <w:rPr>
          <w:rFonts w:cstheme="minorHAnsi"/>
          <w:sz w:val="20"/>
          <w:szCs w:val="20"/>
        </w:rPr>
      </w:pPr>
      <w:r w:rsidRPr="000D066B">
        <w:rPr>
          <w:rFonts w:cstheme="minorHAnsi"/>
          <w:sz w:val="20"/>
          <w:szCs w:val="20"/>
        </w:rPr>
        <w:t>(</w:t>
      </w:r>
      <w:r w:rsidR="00E262C8">
        <w:rPr>
          <w:rFonts w:cstheme="minorHAnsi"/>
          <w:sz w:val="20"/>
          <w:szCs w:val="20"/>
        </w:rPr>
        <w:t>Reproduced with permission</w:t>
      </w:r>
      <w:r w:rsidRPr="000D066B">
        <w:rPr>
          <w:rFonts w:cstheme="minorHAnsi"/>
          <w:sz w:val="20"/>
          <w:szCs w:val="20"/>
        </w:rPr>
        <w:t>)</w:t>
      </w:r>
    </w:p>
    <w:p w:rsidR="0025621E" w:rsidRDefault="00B972D4" w:rsidP="0025621E">
      <w:pPr>
        <w:jc w:val="center"/>
        <w:rPr>
          <w:rFonts w:cstheme="minorHAnsi"/>
        </w:rPr>
      </w:pPr>
      <w:r>
        <w:rPr>
          <w:rFonts w:cstheme="minorHAnsi"/>
          <w:noProof/>
          <w:lang w:eastAsia="en-AU"/>
        </w:rPr>
        <w:drawing>
          <wp:inline distT="0" distB="0" distL="0" distR="0" wp14:anchorId="460E722B" wp14:editId="333EBF94">
            <wp:extent cx="6120130" cy="6205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PNG"/>
                    <pic:cNvPicPr/>
                  </pic:nvPicPr>
                  <pic:blipFill>
                    <a:blip r:embed="rId23">
                      <a:extLst>
                        <a:ext uri="{28A0092B-C50C-407E-A947-70E740481C1C}">
                          <a14:useLocalDpi xmlns:a14="http://schemas.microsoft.com/office/drawing/2010/main" val="0"/>
                        </a:ext>
                      </a:extLst>
                    </a:blip>
                    <a:stretch>
                      <a:fillRect/>
                    </a:stretch>
                  </pic:blipFill>
                  <pic:spPr>
                    <a:xfrm>
                      <a:off x="0" y="0"/>
                      <a:ext cx="6120130" cy="6205220"/>
                    </a:xfrm>
                    <a:prstGeom prst="rect">
                      <a:avLst/>
                    </a:prstGeom>
                  </pic:spPr>
                </pic:pic>
              </a:graphicData>
            </a:graphic>
          </wp:inline>
        </w:drawing>
      </w:r>
    </w:p>
    <w:p w:rsidR="0025621E" w:rsidRDefault="0025621E" w:rsidP="0025621E">
      <w:pPr>
        <w:rPr>
          <w:rFonts w:cstheme="minorHAnsi"/>
        </w:rPr>
      </w:pPr>
    </w:p>
    <w:p w:rsidR="00E1766E" w:rsidRDefault="00E1766E">
      <w:pPr>
        <w:widowControl/>
        <w:spacing w:after="200" w:line="276" w:lineRule="auto"/>
        <w:rPr>
          <w:rFonts w:cstheme="minorHAnsi"/>
        </w:rPr>
      </w:pPr>
      <w:r>
        <w:rPr>
          <w:rFonts w:cstheme="minorHAnsi"/>
        </w:rPr>
        <w:br w:type="page"/>
      </w:r>
    </w:p>
    <w:p w:rsidR="009E1887" w:rsidRPr="000D066B" w:rsidRDefault="0025621E" w:rsidP="009E1887">
      <w:pPr>
        <w:rPr>
          <w:rFonts w:cstheme="minorHAnsi"/>
          <w:sz w:val="20"/>
          <w:szCs w:val="20"/>
        </w:rPr>
      </w:pPr>
      <w:r w:rsidRPr="00A40CF2">
        <w:rPr>
          <w:rFonts w:asciiTheme="majorHAnsi" w:hAnsiTheme="majorHAnsi" w:cstheme="majorHAnsi"/>
          <w:b/>
        </w:rPr>
        <w:lastRenderedPageBreak/>
        <w:t>Table 4: Preoperative interruption of new oral anticoagulants: a suggested management approach</w:t>
      </w:r>
      <w:r w:rsidRPr="00A40CF2">
        <w:rPr>
          <w:rFonts w:asciiTheme="majorHAnsi" w:hAnsiTheme="majorHAnsi" w:cstheme="majorHAnsi"/>
          <w:b/>
          <w:vertAlign w:val="superscript"/>
        </w:rPr>
        <w:t>4</w:t>
      </w:r>
      <w:r w:rsidR="00E262C8">
        <w:rPr>
          <w:rFonts w:asciiTheme="majorHAnsi" w:hAnsiTheme="majorHAnsi" w:cstheme="majorHAnsi"/>
          <w:b/>
        </w:rPr>
        <w:t xml:space="preserve"> </w:t>
      </w:r>
      <w:r w:rsidR="009E1887" w:rsidRPr="000D066B">
        <w:rPr>
          <w:rFonts w:cstheme="minorHAnsi"/>
          <w:sz w:val="20"/>
          <w:szCs w:val="20"/>
        </w:rPr>
        <w:t>(</w:t>
      </w:r>
      <w:r w:rsidR="00E262C8">
        <w:rPr>
          <w:rFonts w:cstheme="minorHAnsi"/>
          <w:sz w:val="20"/>
          <w:szCs w:val="20"/>
        </w:rPr>
        <w:t>Reproduced with permission</w:t>
      </w:r>
      <w:r w:rsidR="009E1887" w:rsidRPr="000D066B">
        <w:rPr>
          <w:rFonts w:cstheme="minorHAnsi"/>
          <w:sz w:val="20"/>
          <w:szCs w:val="20"/>
        </w:rPr>
        <w:t>)</w:t>
      </w:r>
    </w:p>
    <w:p w:rsidR="0025621E" w:rsidRDefault="0025621E" w:rsidP="0025621E">
      <w:pPr>
        <w:rPr>
          <w:rFonts w:cstheme="minorHAnsi"/>
        </w:rPr>
      </w:pPr>
    </w:p>
    <w:p w:rsidR="0025621E" w:rsidRDefault="00B972D4" w:rsidP="00E1766E">
      <w:pPr>
        <w:jc w:val="center"/>
        <w:rPr>
          <w:rFonts w:cstheme="minorHAnsi"/>
        </w:rPr>
      </w:pPr>
      <w:r>
        <w:rPr>
          <w:rFonts w:cstheme="minorHAnsi"/>
          <w:noProof/>
          <w:lang w:eastAsia="en-AU"/>
        </w:rPr>
        <w:drawing>
          <wp:inline distT="0" distB="0" distL="0" distR="0" wp14:anchorId="09485015" wp14:editId="3634FBC3">
            <wp:extent cx="6120130" cy="2684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6.PNG"/>
                    <pic:cNvPicPr/>
                  </pic:nvPicPr>
                  <pic:blipFill>
                    <a:blip r:embed="rId24">
                      <a:extLst>
                        <a:ext uri="{28A0092B-C50C-407E-A947-70E740481C1C}">
                          <a14:useLocalDpi xmlns:a14="http://schemas.microsoft.com/office/drawing/2010/main" val="0"/>
                        </a:ext>
                      </a:extLst>
                    </a:blip>
                    <a:stretch>
                      <a:fillRect/>
                    </a:stretch>
                  </pic:blipFill>
                  <pic:spPr>
                    <a:xfrm>
                      <a:off x="0" y="0"/>
                      <a:ext cx="6120130" cy="2684780"/>
                    </a:xfrm>
                    <a:prstGeom prst="rect">
                      <a:avLst/>
                    </a:prstGeom>
                  </pic:spPr>
                </pic:pic>
              </a:graphicData>
            </a:graphic>
          </wp:inline>
        </w:drawing>
      </w:r>
    </w:p>
    <w:p w:rsidR="0025621E" w:rsidRDefault="0025621E" w:rsidP="0025621E">
      <w:pPr>
        <w:rPr>
          <w:rFonts w:cstheme="minorHAnsi"/>
        </w:rPr>
      </w:pPr>
    </w:p>
    <w:p w:rsidR="00270052" w:rsidRPr="005179F6" w:rsidRDefault="00270052" w:rsidP="009D3A5D">
      <w:pPr>
        <w:pStyle w:val="Heading1"/>
      </w:pPr>
      <w:bookmarkStart w:id="11" w:name="_Toc399150594"/>
      <w:r w:rsidRPr="005179F6">
        <w:t>Bleeding History</w:t>
      </w:r>
      <w:bookmarkEnd w:id="11"/>
    </w:p>
    <w:p w:rsidR="009E4A39" w:rsidRDefault="00270052" w:rsidP="00816069">
      <w:pPr>
        <w:jc w:val="both"/>
        <w:rPr>
          <w:rFonts w:cstheme="minorHAnsi"/>
        </w:rPr>
      </w:pPr>
      <w:r w:rsidRPr="005179F6">
        <w:rPr>
          <w:rFonts w:cstheme="minorHAnsi"/>
        </w:rPr>
        <w:t>T</w:t>
      </w:r>
      <w:r w:rsidR="009E4A39" w:rsidRPr="005179F6">
        <w:rPr>
          <w:rFonts w:cstheme="minorHAnsi"/>
        </w:rPr>
        <w:t>he use of a structured patient interview or questionnaire before surgery or invasive procedures to assess bleeding risk has been recommended in international guidelines.</w:t>
      </w:r>
      <w:r w:rsidR="009E4A39" w:rsidRPr="00816069">
        <w:rPr>
          <w:rFonts w:cstheme="minorHAnsi"/>
          <w:vertAlign w:val="superscript"/>
        </w:rPr>
        <w:t>1,2</w:t>
      </w:r>
      <w:r w:rsidR="009E4A39" w:rsidRPr="005179F6">
        <w:rPr>
          <w:rFonts w:cstheme="minorHAnsi"/>
        </w:rPr>
        <w:t xml:space="preserve"> This should include family bleeding history, </w:t>
      </w:r>
      <w:r w:rsidR="00EE2ED2" w:rsidRPr="005179F6">
        <w:rPr>
          <w:rFonts w:cstheme="minorHAnsi"/>
        </w:rPr>
        <w:t xml:space="preserve">and personal bleeding history, including </w:t>
      </w:r>
      <w:r w:rsidR="009E4A39" w:rsidRPr="005179F6">
        <w:rPr>
          <w:rFonts w:cstheme="minorHAnsi"/>
        </w:rPr>
        <w:t>previous excessive post-traumatic or postsurgical bleeding</w:t>
      </w:r>
      <w:r w:rsidR="00EE2ED2" w:rsidRPr="005179F6">
        <w:rPr>
          <w:rFonts w:cstheme="minorHAnsi"/>
        </w:rPr>
        <w:t>;</w:t>
      </w:r>
      <w:r w:rsidR="009E4A39" w:rsidRPr="005179F6">
        <w:rPr>
          <w:rFonts w:cstheme="minorHAnsi"/>
        </w:rPr>
        <w:t xml:space="preserve"> and detailed information on the patient’s medication includin</w:t>
      </w:r>
      <w:r w:rsidR="00DD17ED">
        <w:rPr>
          <w:rFonts w:cstheme="minorHAnsi"/>
        </w:rPr>
        <w:t>g complementary medications.</w:t>
      </w:r>
      <w:r w:rsidR="009E4A39" w:rsidRPr="00816069">
        <w:rPr>
          <w:rFonts w:cstheme="minorHAnsi"/>
          <w:vertAlign w:val="superscript"/>
        </w:rPr>
        <w:t>1,2</w:t>
      </w:r>
      <w:r w:rsidR="009E4A39" w:rsidRPr="005179F6">
        <w:rPr>
          <w:rFonts w:cstheme="minorHAnsi"/>
        </w:rPr>
        <w:t xml:space="preserve"> </w:t>
      </w:r>
      <w:r w:rsidR="00C53561" w:rsidRPr="005179F6">
        <w:rPr>
          <w:rFonts w:cstheme="minorHAnsi"/>
        </w:rPr>
        <w:t xml:space="preserve">A number of Bleeding Assessment Tools (BATs) are available for this purpose and are </w:t>
      </w:r>
      <w:r w:rsidR="00BD4DBA" w:rsidRPr="005179F6">
        <w:rPr>
          <w:rFonts w:cstheme="minorHAnsi"/>
        </w:rPr>
        <w:t>outlined</w:t>
      </w:r>
      <w:r w:rsidR="00C53561" w:rsidRPr="005179F6">
        <w:rPr>
          <w:rFonts w:cstheme="minorHAnsi"/>
        </w:rPr>
        <w:t xml:space="preserve"> below.</w:t>
      </w:r>
    </w:p>
    <w:p w:rsidR="00DD17ED" w:rsidRPr="005179F6" w:rsidRDefault="00DD17ED" w:rsidP="00816069">
      <w:pPr>
        <w:jc w:val="both"/>
        <w:rPr>
          <w:rFonts w:cstheme="minorHAnsi"/>
        </w:rPr>
      </w:pPr>
    </w:p>
    <w:p w:rsidR="00C53561" w:rsidRPr="005179F6" w:rsidRDefault="00C53561" w:rsidP="009D3A5D">
      <w:pPr>
        <w:pStyle w:val="Heading1"/>
      </w:pPr>
      <w:bookmarkStart w:id="12" w:name="_Toc399150595"/>
      <w:r w:rsidRPr="005179F6">
        <w:t>What is a Bleeding Assessment Tool (BAT)?</w:t>
      </w:r>
      <w:bookmarkEnd w:id="12"/>
    </w:p>
    <w:p w:rsidR="00CE1E46" w:rsidRPr="005179F6" w:rsidRDefault="00CE1E46" w:rsidP="00816069">
      <w:pPr>
        <w:jc w:val="both"/>
        <w:rPr>
          <w:rFonts w:cstheme="minorHAnsi"/>
        </w:rPr>
      </w:pPr>
      <w:r w:rsidRPr="005179F6">
        <w:rPr>
          <w:rFonts w:cstheme="minorHAnsi"/>
        </w:rPr>
        <w:t>The evaluation of bleeding symptoms is a well-recognised challenge for both patients and physicians</w:t>
      </w:r>
      <w:r w:rsidR="001F226C" w:rsidRPr="005179F6">
        <w:rPr>
          <w:rFonts w:cstheme="minorHAnsi"/>
        </w:rPr>
        <w:t xml:space="preserve"> </w:t>
      </w:r>
      <w:r w:rsidRPr="005179F6">
        <w:rPr>
          <w:rFonts w:cstheme="minorHAnsi"/>
        </w:rPr>
        <w:t>because the reporting and interpretation of bleeding symptoms is subjective.</w:t>
      </w:r>
      <w:r w:rsidR="000535A3">
        <w:rPr>
          <w:rFonts w:cstheme="minorHAnsi"/>
          <w:vertAlign w:val="superscript"/>
        </w:rPr>
        <w:t>8</w:t>
      </w:r>
      <w:r w:rsidR="00326082">
        <w:rPr>
          <w:rFonts w:cstheme="minorHAnsi"/>
          <w:vertAlign w:val="superscript"/>
        </w:rPr>
        <w:t>,</w:t>
      </w:r>
      <w:r w:rsidR="000535A3">
        <w:rPr>
          <w:rFonts w:cstheme="minorHAnsi"/>
          <w:vertAlign w:val="superscript"/>
        </w:rPr>
        <w:t>9</w:t>
      </w:r>
      <w:r w:rsidRPr="005179F6">
        <w:rPr>
          <w:rFonts w:cstheme="minorHAnsi"/>
        </w:rPr>
        <w:t xml:space="preserve"> </w:t>
      </w:r>
      <w:r w:rsidR="004E50A6" w:rsidRPr="005179F6">
        <w:rPr>
          <w:rFonts w:cstheme="minorHAnsi"/>
        </w:rPr>
        <w:t>Mild bleeding events are commonly reported by patients both with and without inherited bleeding disorders.</w:t>
      </w:r>
      <w:r w:rsidR="000535A3">
        <w:rPr>
          <w:rFonts w:cstheme="minorHAnsi"/>
          <w:vertAlign w:val="superscript"/>
        </w:rPr>
        <w:t>9</w:t>
      </w:r>
      <w:r w:rsidR="004E50A6" w:rsidRPr="005179F6">
        <w:rPr>
          <w:rFonts w:cstheme="minorHAnsi"/>
        </w:rPr>
        <w:t xml:space="preserve"> Additionally, there are diagnostic limitations with available laboratory testing for mild bleeding disorders.</w:t>
      </w:r>
      <w:r w:rsidR="000535A3">
        <w:rPr>
          <w:rFonts w:cstheme="minorHAnsi"/>
          <w:vertAlign w:val="superscript"/>
        </w:rPr>
        <w:t>8</w:t>
      </w:r>
      <w:r w:rsidR="004E50A6" w:rsidRPr="005179F6">
        <w:rPr>
          <w:rFonts w:cstheme="minorHAnsi"/>
        </w:rPr>
        <w:t xml:space="preserve"> </w:t>
      </w:r>
      <w:r w:rsidRPr="005179F6">
        <w:rPr>
          <w:rFonts w:cstheme="minorHAnsi"/>
        </w:rPr>
        <w:t xml:space="preserve">As a result, bleeding assessment tools (BATs) have been developed and studied in a variety of clinical settings in an attempt to </w:t>
      </w:r>
      <w:r w:rsidR="004E50A6" w:rsidRPr="005179F6">
        <w:rPr>
          <w:rFonts w:cstheme="minorHAnsi"/>
        </w:rPr>
        <w:t>standardise and quantify bleeding symptoms</w:t>
      </w:r>
      <w:r w:rsidRPr="005179F6">
        <w:rPr>
          <w:rFonts w:cstheme="minorHAnsi"/>
        </w:rPr>
        <w:t xml:space="preserve">. The goal of </w:t>
      </w:r>
      <w:r w:rsidR="009E4A39" w:rsidRPr="005179F6">
        <w:rPr>
          <w:rFonts w:cstheme="minorHAnsi"/>
        </w:rPr>
        <w:t xml:space="preserve">a </w:t>
      </w:r>
      <w:r w:rsidRPr="005179F6">
        <w:rPr>
          <w:rFonts w:cstheme="minorHAnsi"/>
        </w:rPr>
        <w:t xml:space="preserve">BAT </w:t>
      </w:r>
      <w:r w:rsidR="009E4A39" w:rsidRPr="005179F6">
        <w:rPr>
          <w:rFonts w:cstheme="minorHAnsi"/>
        </w:rPr>
        <w:t>is</w:t>
      </w:r>
      <w:r w:rsidRPr="005179F6">
        <w:rPr>
          <w:rFonts w:cstheme="minorHAnsi"/>
        </w:rPr>
        <w:t xml:space="preserve"> to:</w:t>
      </w:r>
    </w:p>
    <w:p w:rsidR="00E34A3D" w:rsidRPr="009D3A5D" w:rsidRDefault="00CE1E46" w:rsidP="00816069">
      <w:pPr>
        <w:pStyle w:val="ListParagraph"/>
        <w:numPr>
          <w:ilvl w:val="0"/>
          <w:numId w:val="43"/>
        </w:numPr>
        <w:jc w:val="both"/>
        <w:rPr>
          <w:rFonts w:cstheme="minorHAnsi"/>
        </w:rPr>
      </w:pPr>
      <w:r w:rsidRPr="009D3A5D">
        <w:rPr>
          <w:rFonts w:cstheme="minorHAnsi"/>
        </w:rPr>
        <w:t>improve diagnostic accuracy and thereby avoid unwarranted laboratory testing;</w:t>
      </w:r>
    </w:p>
    <w:p w:rsidR="00CE1E46" w:rsidRPr="009D3A5D" w:rsidRDefault="00CE1E46" w:rsidP="00816069">
      <w:pPr>
        <w:pStyle w:val="ListParagraph"/>
        <w:numPr>
          <w:ilvl w:val="0"/>
          <w:numId w:val="43"/>
        </w:numPr>
        <w:jc w:val="both"/>
        <w:rPr>
          <w:rFonts w:cstheme="minorHAnsi"/>
        </w:rPr>
      </w:pPr>
      <w:r w:rsidRPr="009D3A5D">
        <w:rPr>
          <w:rFonts w:cstheme="minorHAnsi"/>
        </w:rPr>
        <w:t>predict the risk of bleeding in an individual patient</w:t>
      </w:r>
      <w:r w:rsidR="004E50A6" w:rsidRPr="009D3A5D">
        <w:rPr>
          <w:rFonts w:cstheme="minorHAnsi"/>
        </w:rPr>
        <w:t>;</w:t>
      </w:r>
    </w:p>
    <w:p w:rsidR="00CE1E46" w:rsidRPr="009D3A5D" w:rsidRDefault="00CE1E46" w:rsidP="00816069">
      <w:pPr>
        <w:pStyle w:val="ListParagraph"/>
        <w:numPr>
          <w:ilvl w:val="0"/>
          <w:numId w:val="43"/>
        </w:numPr>
        <w:jc w:val="both"/>
        <w:rPr>
          <w:rFonts w:cstheme="minorHAnsi"/>
        </w:rPr>
      </w:pPr>
      <w:r w:rsidRPr="009D3A5D">
        <w:rPr>
          <w:rFonts w:cstheme="minorHAnsi"/>
        </w:rPr>
        <w:t xml:space="preserve">describe the symptom severity; and </w:t>
      </w:r>
    </w:p>
    <w:p w:rsidR="00CE1E46" w:rsidRPr="009D3A5D" w:rsidRDefault="00CE1E46" w:rsidP="00816069">
      <w:pPr>
        <w:pStyle w:val="ListParagraph"/>
        <w:numPr>
          <w:ilvl w:val="0"/>
          <w:numId w:val="43"/>
        </w:numPr>
        <w:jc w:val="both"/>
        <w:rPr>
          <w:rFonts w:cstheme="minorHAnsi"/>
        </w:rPr>
      </w:pPr>
      <w:r w:rsidRPr="009D3A5D">
        <w:rPr>
          <w:rFonts w:cstheme="minorHAnsi"/>
        </w:rPr>
        <w:t xml:space="preserve">inform </w:t>
      </w:r>
      <w:r w:rsidR="001F226C" w:rsidRPr="009D3A5D">
        <w:rPr>
          <w:rFonts w:cstheme="minorHAnsi"/>
        </w:rPr>
        <w:t>treatment.</w:t>
      </w:r>
      <w:r w:rsidR="000535A3">
        <w:rPr>
          <w:rFonts w:cstheme="minorHAnsi"/>
          <w:vertAlign w:val="superscript"/>
        </w:rPr>
        <w:t>8</w:t>
      </w:r>
    </w:p>
    <w:p w:rsidR="00C53561" w:rsidRPr="005179F6" w:rsidRDefault="00C53561" w:rsidP="00816069">
      <w:pPr>
        <w:jc w:val="both"/>
        <w:rPr>
          <w:rFonts w:cstheme="minorHAnsi"/>
        </w:rPr>
      </w:pPr>
    </w:p>
    <w:p w:rsidR="00E34A3D" w:rsidRPr="005179F6" w:rsidRDefault="00C53561" w:rsidP="00816069">
      <w:pPr>
        <w:jc w:val="both"/>
        <w:rPr>
          <w:rFonts w:cstheme="minorHAnsi"/>
        </w:rPr>
      </w:pPr>
      <w:r w:rsidRPr="005179F6">
        <w:rPr>
          <w:rFonts w:cstheme="minorHAnsi"/>
        </w:rPr>
        <w:t>BATs consist of a clinician administered, standardised bleeding history questionnaire and a bleeding score. The worst episode of each symptom is graded according to the bleeding score table. The final bleeding score is the total of all values. The higher the bleeding score, the greater</w:t>
      </w:r>
      <w:r w:rsidR="000A2237">
        <w:rPr>
          <w:rFonts w:cstheme="minorHAnsi"/>
        </w:rPr>
        <w:t xml:space="preserve"> </w:t>
      </w:r>
      <w:r w:rsidRPr="005179F6">
        <w:rPr>
          <w:rFonts w:cstheme="minorHAnsi"/>
        </w:rPr>
        <w:t>the likelihood of a bleeding disorder.</w:t>
      </w:r>
    </w:p>
    <w:p w:rsidR="004E50A6" w:rsidRPr="005179F6" w:rsidRDefault="004E50A6" w:rsidP="00816069">
      <w:pPr>
        <w:jc w:val="both"/>
        <w:rPr>
          <w:rFonts w:cstheme="minorHAnsi"/>
        </w:rPr>
      </w:pPr>
    </w:p>
    <w:p w:rsidR="004A2826" w:rsidRPr="005179F6" w:rsidRDefault="004A2826" w:rsidP="009D3A5D">
      <w:pPr>
        <w:pStyle w:val="Heading1"/>
      </w:pPr>
      <w:bookmarkStart w:id="13" w:name="_Toc399150596"/>
      <w:r w:rsidRPr="005179F6">
        <w:t>What Bleeding Assessment Tools are available?</w:t>
      </w:r>
      <w:bookmarkEnd w:id="13"/>
    </w:p>
    <w:p w:rsidR="00BD4DBA" w:rsidRPr="005179F6" w:rsidRDefault="004A2826" w:rsidP="00816069">
      <w:pPr>
        <w:jc w:val="both"/>
        <w:rPr>
          <w:rFonts w:cstheme="minorHAnsi"/>
        </w:rPr>
      </w:pPr>
      <w:r w:rsidRPr="005179F6">
        <w:rPr>
          <w:rFonts w:cstheme="minorHAnsi"/>
        </w:rPr>
        <w:t>Both adult and paediatric BATs are available, as well as a newer combined tool developed by the International Society of Thrombosis and Haemostasis (ISTH) in an effort to consolidate the available tools.</w:t>
      </w:r>
      <w:r w:rsidR="000C29AF" w:rsidRPr="000C29AF">
        <w:rPr>
          <w:rFonts w:cstheme="minorHAnsi"/>
          <w:vertAlign w:val="superscript"/>
        </w:rPr>
        <w:t>10</w:t>
      </w:r>
      <w:r w:rsidRPr="005179F6">
        <w:rPr>
          <w:rFonts w:cstheme="minorHAnsi"/>
        </w:rPr>
        <w:t xml:space="preserve"> All the tools stem from a set of provisional criteria for the diagnosis of von Willebrand Disease (VWD) type 1, published in 2005.</w:t>
      </w:r>
      <w:r w:rsidR="000C29AF">
        <w:rPr>
          <w:rFonts w:cstheme="minorHAnsi"/>
          <w:vertAlign w:val="superscript"/>
        </w:rPr>
        <w:t>11</w:t>
      </w:r>
      <w:r w:rsidRPr="005179F6">
        <w:rPr>
          <w:rFonts w:cstheme="minorHAnsi"/>
        </w:rPr>
        <w:t xml:space="preserve"> The tools are referenced in Table </w:t>
      </w:r>
      <w:r w:rsidR="00983BDE" w:rsidRPr="005179F6">
        <w:rPr>
          <w:rFonts w:cstheme="minorHAnsi"/>
        </w:rPr>
        <w:t>4</w:t>
      </w:r>
      <w:r w:rsidR="0077568E" w:rsidRPr="005179F6">
        <w:rPr>
          <w:rFonts w:cstheme="minorHAnsi"/>
        </w:rPr>
        <w:t>.</w:t>
      </w:r>
    </w:p>
    <w:p w:rsidR="002E3B80" w:rsidRPr="005179F6" w:rsidRDefault="002E3B80" w:rsidP="00816069">
      <w:pPr>
        <w:jc w:val="both"/>
        <w:rPr>
          <w:rFonts w:cstheme="minorHAnsi"/>
        </w:rPr>
      </w:pPr>
    </w:p>
    <w:p w:rsidR="00A02CA9" w:rsidRPr="005179F6" w:rsidRDefault="00A02CA9" w:rsidP="00816069">
      <w:pPr>
        <w:jc w:val="both"/>
        <w:rPr>
          <w:rFonts w:cstheme="minorHAnsi"/>
        </w:rPr>
      </w:pPr>
    </w:p>
    <w:p w:rsidR="002E3B80" w:rsidRPr="005179F6" w:rsidRDefault="002E3B80" w:rsidP="00816069">
      <w:pPr>
        <w:jc w:val="both"/>
        <w:rPr>
          <w:rFonts w:cstheme="minorHAnsi"/>
        </w:rPr>
      </w:pPr>
      <w:r w:rsidRPr="005179F6">
        <w:rPr>
          <w:rFonts w:cstheme="minorHAnsi"/>
        </w:rPr>
        <w:t>In addition to the above tools there are two excellent articles which provide an overview of the available BATs:</w:t>
      </w:r>
    </w:p>
    <w:p w:rsidR="002E3B80" w:rsidRPr="005179F6" w:rsidRDefault="002E3B80" w:rsidP="00816069">
      <w:pPr>
        <w:jc w:val="both"/>
        <w:rPr>
          <w:rFonts w:cstheme="minorHAnsi"/>
        </w:rPr>
      </w:pPr>
    </w:p>
    <w:p w:rsidR="002E3B80" w:rsidRPr="009D3A5D" w:rsidRDefault="002E3B80" w:rsidP="000C29AF">
      <w:pPr>
        <w:pStyle w:val="ListParagraph"/>
        <w:numPr>
          <w:ilvl w:val="0"/>
          <w:numId w:val="49"/>
        </w:numPr>
        <w:jc w:val="both"/>
        <w:rPr>
          <w:rFonts w:cstheme="minorHAnsi"/>
        </w:rPr>
      </w:pPr>
      <w:proofErr w:type="spellStart"/>
      <w:r w:rsidRPr="009D3A5D">
        <w:rPr>
          <w:rFonts w:cstheme="minorHAnsi"/>
        </w:rPr>
        <w:t>Rydz</w:t>
      </w:r>
      <w:proofErr w:type="spellEnd"/>
      <w:r w:rsidRPr="009D3A5D">
        <w:rPr>
          <w:rFonts w:cstheme="minorHAnsi"/>
        </w:rPr>
        <w:t xml:space="preserve"> N and James PD. </w:t>
      </w:r>
      <w:hyperlink r:id="rId25" w:history="1">
        <w:r w:rsidRPr="009D3A5D">
          <w:rPr>
            <w:rStyle w:val="Hyperlink"/>
            <w:rFonts w:cstheme="minorHAnsi"/>
          </w:rPr>
          <w:t>The evolution and value of bleeding assessment tools</w:t>
        </w:r>
      </w:hyperlink>
      <w:r w:rsidRPr="009D3A5D">
        <w:rPr>
          <w:rFonts w:cstheme="minorHAnsi"/>
        </w:rPr>
        <w:t xml:space="preserve">. Journal of Thrombosis and Haemostasis, 2012; 10: 2223–2229. (This article includes a </w:t>
      </w:r>
      <w:hyperlink r:id="rId26" w:history="1">
        <w:r w:rsidRPr="009D3A5D">
          <w:rPr>
            <w:rStyle w:val="Hyperlink"/>
            <w:rFonts w:cstheme="minorHAnsi"/>
          </w:rPr>
          <w:t>Comparison of Scoring Systems</w:t>
        </w:r>
      </w:hyperlink>
      <w:r w:rsidRPr="009D3A5D">
        <w:rPr>
          <w:rFonts w:cstheme="minorHAnsi"/>
        </w:rPr>
        <w:t>).</w:t>
      </w:r>
      <w:r w:rsidR="000535A3">
        <w:rPr>
          <w:rFonts w:cstheme="minorHAnsi"/>
          <w:vertAlign w:val="superscript"/>
        </w:rPr>
        <w:t>8</w:t>
      </w:r>
    </w:p>
    <w:p w:rsidR="002E3B80" w:rsidRPr="009D3A5D" w:rsidRDefault="002E3B80" w:rsidP="000C29AF">
      <w:pPr>
        <w:pStyle w:val="ListParagraph"/>
        <w:numPr>
          <w:ilvl w:val="0"/>
          <w:numId w:val="49"/>
        </w:numPr>
        <w:jc w:val="both"/>
        <w:rPr>
          <w:rFonts w:cstheme="minorHAnsi"/>
        </w:rPr>
      </w:pPr>
      <w:r w:rsidRPr="009D3A5D">
        <w:rPr>
          <w:rFonts w:cstheme="minorHAnsi"/>
        </w:rPr>
        <w:t xml:space="preserve">O’Brien S. </w:t>
      </w:r>
      <w:hyperlink r:id="rId27" w:history="1">
        <w:r w:rsidRPr="009D3A5D">
          <w:rPr>
            <w:rStyle w:val="Hyperlink"/>
            <w:rFonts w:cstheme="minorHAnsi"/>
          </w:rPr>
          <w:t>Bleeding scores: are they really useful?</w:t>
        </w:r>
      </w:hyperlink>
      <w:r w:rsidRPr="009D3A5D">
        <w:rPr>
          <w:rFonts w:cstheme="minorHAnsi"/>
        </w:rPr>
        <w:t xml:space="preserve"> </w:t>
      </w:r>
      <w:proofErr w:type="spellStart"/>
      <w:r w:rsidRPr="009D3A5D">
        <w:rPr>
          <w:rFonts w:cstheme="minorHAnsi"/>
        </w:rPr>
        <w:t>Hemaotology</w:t>
      </w:r>
      <w:proofErr w:type="spellEnd"/>
      <w:r w:rsidRPr="009D3A5D">
        <w:rPr>
          <w:rFonts w:cstheme="minorHAnsi"/>
        </w:rPr>
        <w:t xml:space="preserve">. Am </w:t>
      </w:r>
      <w:proofErr w:type="spellStart"/>
      <w:r w:rsidRPr="009D3A5D">
        <w:rPr>
          <w:rFonts w:cstheme="minorHAnsi"/>
        </w:rPr>
        <w:t>Soc</w:t>
      </w:r>
      <w:proofErr w:type="spellEnd"/>
      <w:r w:rsidRPr="009D3A5D">
        <w:rPr>
          <w:rFonts w:cstheme="minorHAnsi"/>
        </w:rPr>
        <w:t xml:space="preserve"> </w:t>
      </w:r>
      <w:proofErr w:type="spellStart"/>
      <w:r w:rsidRPr="009D3A5D">
        <w:rPr>
          <w:rFonts w:cstheme="minorHAnsi"/>
        </w:rPr>
        <w:t>Hematol</w:t>
      </w:r>
      <w:proofErr w:type="spellEnd"/>
      <w:r w:rsidRPr="009D3A5D">
        <w:rPr>
          <w:rFonts w:cstheme="minorHAnsi"/>
        </w:rPr>
        <w:t xml:space="preserve"> </w:t>
      </w:r>
      <w:proofErr w:type="spellStart"/>
      <w:r w:rsidRPr="009D3A5D">
        <w:rPr>
          <w:rFonts w:cstheme="minorHAnsi"/>
        </w:rPr>
        <w:t>Educ</w:t>
      </w:r>
      <w:proofErr w:type="spellEnd"/>
      <w:r w:rsidRPr="009D3A5D">
        <w:rPr>
          <w:rFonts w:cstheme="minorHAnsi"/>
        </w:rPr>
        <w:t xml:space="preserve"> Program, 2012;2012:152-156</w:t>
      </w:r>
      <w:r w:rsidR="001C4454">
        <w:rPr>
          <w:rFonts w:cstheme="minorHAnsi"/>
        </w:rPr>
        <w:t>.</w:t>
      </w:r>
      <w:r w:rsidR="000535A3">
        <w:rPr>
          <w:rFonts w:cstheme="minorHAnsi"/>
          <w:vertAlign w:val="superscript"/>
        </w:rPr>
        <w:t>9</w:t>
      </w:r>
    </w:p>
    <w:p w:rsidR="002E3B80" w:rsidRPr="005179F6" w:rsidRDefault="002E3B80" w:rsidP="005179F6">
      <w:pPr>
        <w:rPr>
          <w:rFonts w:cstheme="minorHAnsi"/>
        </w:rPr>
      </w:pPr>
    </w:p>
    <w:p w:rsidR="002E3B80" w:rsidRPr="005179F6" w:rsidRDefault="002E3B80" w:rsidP="005179F6">
      <w:pPr>
        <w:rPr>
          <w:rFonts w:cstheme="minorHAnsi"/>
        </w:rPr>
      </w:pPr>
    </w:p>
    <w:p w:rsidR="002E3B80" w:rsidRPr="005179F6" w:rsidRDefault="002E3B80" w:rsidP="005179F6">
      <w:pPr>
        <w:rPr>
          <w:rFonts w:cstheme="minorHAnsi"/>
        </w:rPr>
        <w:sectPr w:rsidR="002E3B80" w:rsidRPr="005179F6" w:rsidSect="00FE124C">
          <w:footnotePr>
            <w:numFmt w:val="lowerLetter"/>
          </w:footnotePr>
          <w:pgSz w:w="11906" w:h="16838"/>
          <w:pgMar w:top="1247" w:right="1134" w:bottom="1021" w:left="1134" w:header="709" w:footer="709" w:gutter="0"/>
          <w:pgNumType w:start="1"/>
          <w:cols w:space="708"/>
          <w:titlePg/>
          <w:docGrid w:linePitch="360"/>
        </w:sectPr>
      </w:pPr>
    </w:p>
    <w:tbl>
      <w:tblPr>
        <w:tblStyle w:val="TableGrid"/>
        <w:tblW w:w="0" w:type="auto"/>
        <w:tblInd w:w="392" w:type="dxa"/>
        <w:tblLook w:val="04A0" w:firstRow="1" w:lastRow="0" w:firstColumn="1" w:lastColumn="0" w:noHBand="0" w:noVBand="1"/>
      </w:tblPr>
      <w:tblGrid>
        <w:gridCol w:w="2410"/>
        <w:gridCol w:w="9639"/>
        <w:gridCol w:w="2061"/>
      </w:tblGrid>
      <w:tr w:rsidR="002E3B80" w:rsidRPr="005179F6" w:rsidTr="00EE2ED2">
        <w:tc>
          <w:tcPr>
            <w:tcW w:w="14110" w:type="dxa"/>
            <w:gridSpan w:val="3"/>
          </w:tcPr>
          <w:p w:rsidR="002E3B80" w:rsidRPr="005179F6" w:rsidRDefault="002E3B80" w:rsidP="009D3A5D">
            <w:pPr>
              <w:pStyle w:val="Heading2"/>
              <w:outlineLvl w:val="1"/>
            </w:pPr>
            <w:bookmarkStart w:id="14" w:name="_Toc399150597"/>
            <w:r w:rsidRPr="005179F6">
              <w:lastRenderedPageBreak/>
              <w:t xml:space="preserve">Table </w:t>
            </w:r>
            <w:r w:rsidR="00983BDE" w:rsidRPr="005179F6">
              <w:t>4</w:t>
            </w:r>
            <w:r w:rsidRPr="005179F6">
              <w:t>: Bleeding Assessment Tools</w:t>
            </w:r>
            <w:bookmarkEnd w:id="14"/>
          </w:p>
        </w:tc>
      </w:tr>
      <w:tr w:rsidR="002E3B80" w:rsidRPr="005179F6" w:rsidTr="002769D6">
        <w:tc>
          <w:tcPr>
            <w:tcW w:w="2410" w:type="dxa"/>
          </w:tcPr>
          <w:p w:rsidR="002E3B80" w:rsidRPr="009D3A5D" w:rsidRDefault="002E3B80" w:rsidP="005179F6">
            <w:pPr>
              <w:rPr>
                <w:rFonts w:cstheme="minorHAnsi"/>
                <w:b/>
              </w:rPr>
            </w:pPr>
            <w:r w:rsidRPr="009D3A5D">
              <w:rPr>
                <w:rFonts w:cstheme="minorHAnsi"/>
                <w:b/>
              </w:rPr>
              <w:t>Tool</w:t>
            </w:r>
          </w:p>
        </w:tc>
        <w:tc>
          <w:tcPr>
            <w:tcW w:w="9639" w:type="dxa"/>
          </w:tcPr>
          <w:p w:rsidR="002E3B80" w:rsidRPr="009D3A5D" w:rsidRDefault="002E3B80" w:rsidP="005179F6">
            <w:pPr>
              <w:rPr>
                <w:rFonts w:cstheme="minorHAnsi"/>
                <w:b/>
              </w:rPr>
            </w:pPr>
            <w:r w:rsidRPr="009D3A5D">
              <w:rPr>
                <w:rFonts w:cstheme="minorHAnsi"/>
                <w:b/>
              </w:rPr>
              <w:t>Reference and links to questionnaire and bleeding score</w:t>
            </w:r>
          </w:p>
        </w:tc>
        <w:tc>
          <w:tcPr>
            <w:tcW w:w="2061" w:type="dxa"/>
          </w:tcPr>
          <w:p w:rsidR="002E3B80" w:rsidRPr="009D3A5D" w:rsidRDefault="002E3B80" w:rsidP="005179F6">
            <w:pPr>
              <w:rPr>
                <w:rFonts w:cstheme="minorHAnsi"/>
                <w:b/>
              </w:rPr>
            </w:pPr>
            <w:r w:rsidRPr="009D3A5D">
              <w:rPr>
                <w:rFonts w:cstheme="minorHAnsi"/>
                <w:b/>
              </w:rPr>
              <w:t>Estimated completion time3</w:t>
            </w:r>
          </w:p>
        </w:tc>
      </w:tr>
      <w:tr w:rsidR="00CC641D" w:rsidRPr="005179F6" w:rsidTr="002769D6">
        <w:tc>
          <w:tcPr>
            <w:tcW w:w="2410" w:type="dxa"/>
          </w:tcPr>
          <w:p w:rsidR="00CC641D" w:rsidRPr="005179F6" w:rsidRDefault="00CC641D" w:rsidP="005179F6">
            <w:pPr>
              <w:rPr>
                <w:rFonts w:cstheme="minorHAnsi"/>
              </w:rPr>
            </w:pPr>
            <w:r w:rsidRPr="005179F6">
              <w:rPr>
                <w:rFonts w:cstheme="minorHAnsi"/>
              </w:rPr>
              <w:t>ASH evaluation and management of VWD</w:t>
            </w:r>
          </w:p>
        </w:tc>
        <w:tc>
          <w:tcPr>
            <w:tcW w:w="9639" w:type="dxa"/>
          </w:tcPr>
          <w:p w:rsidR="00CC641D" w:rsidRPr="005179F6" w:rsidRDefault="00690965" w:rsidP="000C29AF">
            <w:pPr>
              <w:rPr>
                <w:rFonts w:cstheme="minorHAnsi"/>
              </w:rPr>
            </w:pPr>
            <w:hyperlink r:id="rId28" w:history="1">
              <w:r w:rsidR="00CC641D" w:rsidRPr="005179F6">
                <w:rPr>
                  <w:rStyle w:val="Hyperlink"/>
                  <w:rFonts w:cstheme="minorHAnsi"/>
                </w:rPr>
                <w:t>2012 Clinical Practice Guideline on the Evaluation and Management of von Willebrand Disease (VWD)</w:t>
              </w:r>
            </w:hyperlink>
            <w:r w:rsidR="00CC641D" w:rsidRPr="005179F6">
              <w:rPr>
                <w:rFonts w:cstheme="minorHAnsi"/>
              </w:rPr>
              <w:t>. Quick Reference. American Society of Hematology, 2012.</w:t>
            </w:r>
            <w:r w:rsidR="00326082">
              <w:rPr>
                <w:rFonts w:cstheme="minorHAnsi"/>
                <w:vertAlign w:val="superscript"/>
              </w:rPr>
              <w:t>1</w:t>
            </w:r>
            <w:r w:rsidR="000C29AF">
              <w:rPr>
                <w:rFonts w:cstheme="minorHAnsi"/>
                <w:vertAlign w:val="superscript"/>
              </w:rPr>
              <w:t>2</w:t>
            </w:r>
          </w:p>
        </w:tc>
        <w:tc>
          <w:tcPr>
            <w:tcW w:w="2061" w:type="dxa"/>
          </w:tcPr>
          <w:p w:rsidR="00CC641D" w:rsidRPr="005179F6" w:rsidRDefault="00CC641D" w:rsidP="005179F6">
            <w:pPr>
              <w:rPr>
                <w:rFonts w:cstheme="minorHAnsi"/>
              </w:rPr>
            </w:pPr>
            <w:r w:rsidRPr="005179F6">
              <w:rPr>
                <w:rFonts w:cstheme="minorHAnsi"/>
              </w:rPr>
              <w:t>5-10 mins</w:t>
            </w:r>
          </w:p>
        </w:tc>
      </w:tr>
      <w:tr w:rsidR="00CC641D" w:rsidRPr="005179F6" w:rsidTr="002769D6">
        <w:tc>
          <w:tcPr>
            <w:tcW w:w="2410" w:type="dxa"/>
          </w:tcPr>
          <w:p w:rsidR="00CC641D" w:rsidRPr="005179F6" w:rsidRDefault="00CC641D" w:rsidP="005179F6">
            <w:pPr>
              <w:rPr>
                <w:rFonts w:cstheme="minorHAnsi"/>
              </w:rPr>
            </w:pPr>
            <w:r w:rsidRPr="005179F6">
              <w:rPr>
                <w:rFonts w:cstheme="minorHAnsi"/>
              </w:rPr>
              <w:t xml:space="preserve">SIMTI evaluation of haemorrhagic risk </w:t>
            </w:r>
          </w:p>
        </w:tc>
        <w:tc>
          <w:tcPr>
            <w:tcW w:w="9639" w:type="dxa"/>
          </w:tcPr>
          <w:p w:rsidR="00CC641D" w:rsidRPr="005179F6" w:rsidRDefault="00CC641D" w:rsidP="00326082">
            <w:pPr>
              <w:rPr>
                <w:rFonts w:cstheme="minorHAnsi"/>
              </w:rPr>
            </w:pPr>
            <w:proofErr w:type="spellStart"/>
            <w:r w:rsidRPr="005179F6">
              <w:rPr>
                <w:rFonts w:cstheme="minorHAnsi"/>
              </w:rPr>
              <w:t>Liumbruno</w:t>
            </w:r>
            <w:proofErr w:type="spellEnd"/>
            <w:r w:rsidRPr="005179F6">
              <w:rPr>
                <w:rFonts w:cstheme="minorHAnsi"/>
              </w:rPr>
              <w:t xml:space="preserve"> GM, </w:t>
            </w:r>
            <w:proofErr w:type="spellStart"/>
            <w:r w:rsidRPr="005179F6">
              <w:rPr>
                <w:rFonts w:cstheme="minorHAnsi"/>
              </w:rPr>
              <w:t>Bennardello</w:t>
            </w:r>
            <w:proofErr w:type="spellEnd"/>
            <w:r w:rsidRPr="005179F6">
              <w:rPr>
                <w:rFonts w:cstheme="minorHAnsi"/>
              </w:rPr>
              <w:t xml:space="preserve"> F, </w:t>
            </w:r>
            <w:proofErr w:type="spellStart"/>
            <w:r w:rsidRPr="005179F6">
              <w:rPr>
                <w:rFonts w:cstheme="minorHAnsi"/>
              </w:rPr>
              <w:t>Lattanzio</w:t>
            </w:r>
            <w:proofErr w:type="spellEnd"/>
            <w:r w:rsidRPr="005179F6">
              <w:rPr>
                <w:rFonts w:cstheme="minorHAnsi"/>
              </w:rPr>
              <w:t xml:space="preserve"> A, </w:t>
            </w:r>
            <w:proofErr w:type="spellStart"/>
            <w:r w:rsidRPr="005179F6">
              <w:rPr>
                <w:rFonts w:cstheme="minorHAnsi"/>
              </w:rPr>
              <w:t>Piccoli</w:t>
            </w:r>
            <w:proofErr w:type="spellEnd"/>
            <w:r w:rsidRPr="005179F6">
              <w:rPr>
                <w:rFonts w:cstheme="minorHAnsi"/>
              </w:rPr>
              <w:t xml:space="preserve"> P, Rossetti G. Italian Society of Transfusion Medicine and </w:t>
            </w:r>
            <w:proofErr w:type="spellStart"/>
            <w:r w:rsidRPr="005179F6">
              <w:rPr>
                <w:rFonts w:cstheme="minorHAnsi"/>
              </w:rPr>
              <w:t>Immunohaematology</w:t>
            </w:r>
            <w:proofErr w:type="spellEnd"/>
            <w:r w:rsidRPr="005179F6">
              <w:rPr>
                <w:rFonts w:cstheme="minorHAnsi"/>
              </w:rPr>
              <w:t xml:space="preserve"> (</w:t>
            </w:r>
            <w:proofErr w:type="spellStart"/>
            <w:r w:rsidRPr="005179F6">
              <w:rPr>
                <w:rFonts w:cstheme="minorHAnsi"/>
              </w:rPr>
              <w:t>SIMTI</w:t>
            </w:r>
            <w:proofErr w:type="spellEnd"/>
            <w:r w:rsidRPr="005179F6">
              <w:rPr>
                <w:rFonts w:cstheme="minorHAnsi"/>
              </w:rPr>
              <w:t xml:space="preserve">) Working Party. </w:t>
            </w:r>
            <w:hyperlink r:id="rId29" w:history="1">
              <w:r w:rsidRPr="005179F6">
                <w:rPr>
                  <w:rStyle w:val="Hyperlink"/>
                  <w:rFonts w:cstheme="minorHAnsi"/>
                </w:rPr>
                <w:t>Recommendations for the transfusion management of patients in the peri-operative period. I. The pre-operative period</w:t>
              </w:r>
            </w:hyperlink>
            <w:r w:rsidRPr="005179F6">
              <w:rPr>
                <w:rFonts w:cstheme="minorHAnsi"/>
              </w:rPr>
              <w:t>. Blood Transfus, 2011; 9:19–40.</w:t>
            </w:r>
            <w:r w:rsidR="00326082" w:rsidRPr="00326082">
              <w:rPr>
                <w:rFonts w:cstheme="minorHAnsi"/>
                <w:vertAlign w:val="superscript"/>
              </w:rPr>
              <w:t>1</w:t>
            </w:r>
            <w:r w:rsidR="000C29AF">
              <w:rPr>
                <w:rFonts w:cstheme="minorHAnsi"/>
                <w:vertAlign w:val="superscript"/>
              </w:rPr>
              <w:t>3</w:t>
            </w:r>
          </w:p>
        </w:tc>
        <w:tc>
          <w:tcPr>
            <w:tcW w:w="2061" w:type="dxa"/>
          </w:tcPr>
          <w:p w:rsidR="00CC641D" w:rsidRPr="005179F6" w:rsidRDefault="00816192" w:rsidP="005179F6">
            <w:pPr>
              <w:rPr>
                <w:rFonts w:cstheme="minorHAnsi"/>
              </w:rPr>
            </w:pPr>
            <w:r w:rsidRPr="005179F6">
              <w:rPr>
                <w:rFonts w:cstheme="minorHAnsi"/>
              </w:rPr>
              <w:t>40 mins</w:t>
            </w:r>
          </w:p>
        </w:tc>
      </w:tr>
      <w:tr w:rsidR="00426926" w:rsidRPr="005179F6" w:rsidTr="002769D6">
        <w:tc>
          <w:tcPr>
            <w:tcW w:w="2410" w:type="dxa"/>
          </w:tcPr>
          <w:p w:rsidR="00426926" w:rsidRPr="005179F6" w:rsidRDefault="00426926" w:rsidP="005179F6">
            <w:pPr>
              <w:rPr>
                <w:rFonts w:cstheme="minorHAnsi"/>
              </w:rPr>
            </w:pPr>
            <w:r w:rsidRPr="005179F6">
              <w:rPr>
                <w:rFonts w:cstheme="minorHAnsi"/>
              </w:rPr>
              <w:t>International Society of Thrombosis and Haemostasis (ISTH) -BAT</w:t>
            </w:r>
          </w:p>
        </w:tc>
        <w:tc>
          <w:tcPr>
            <w:tcW w:w="9639" w:type="dxa"/>
          </w:tcPr>
          <w:p w:rsidR="00426926" w:rsidRPr="005179F6" w:rsidRDefault="00426926" w:rsidP="005179F6">
            <w:pPr>
              <w:rPr>
                <w:rFonts w:cstheme="minorHAnsi"/>
              </w:rPr>
            </w:pPr>
            <w:proofErr w:type="spellStart"/>
            <w:r w:rsidRPr="005179F6">
              <w:rPr>
                <w:rFonts w:cstheme="minorHAnsi"/>
              </w:rPr>
              <w:t>Rodeghiero</w:t>
            </w:r>
            <w:proofErr w:type="spellEnd"/>
            <w:r w:rsidRPr="005179F6">
              <w:rPr>
                <w:rFonts w:cstheme="minorHAnsi"/>
              </w:rPr>
              <w:t xml:space="preserve"> F, </w:t>
            </w:r>
            <w:proofErr w:type="spellStart"/>
            <w:r w:rsidRPr="005179F6">
              <w:rPr>
                <w:rFonts w:cstheme="minorHAnsi"/>
              </w:rPr>
              <w:t>Tosetto</w:t>
            </w:r>
            <w:proofErr w:type="spellEnd"/>
            <w:r w:rsidRPr="005179F6">
              <w:rPr>
                <w:rFonts w:cstheme="minorHAnsi"/>
              </w:rPr>
              <w:t xml:space="preserve"> A, </w:t>
            </w:r>
            <w:proofErr w:type="spellStart"/>
            <w:r w:rsidRPr="005179F6">
              <w:rPr>
                <w:rFonts w:cstheme="minorHAnsi"/>
              </w:rPr>
              <w:t>Abshire</w:t>
            </w:r>
            <w:proofErr w:type="spellEnd"/>
            <w:r w:rsidRPr="005179F6">
              <w:rPr>
                <w:rFonts w:cstheme="minorHAnsi"/>
              </w:rPr>
              <w:t xml:space="preserve"> T, Arnold D, </w:t>
            </w:r>
            <w:proofErr w:type="spellStart"/>
            <w:r w:rsidRPr="005179F6">
              <w:rPr>
                <w:rFonts w:cstheme="minorHAnsi"/>
              </w:rPr>
              <w:t>Coller</w:t>
            </w:r>
            <w:proofErr w:type="spellEnd"/>
            <w:r w:rsidRPr="005179F6">
              <w:rPr>
                <w:rFonts w:cstheme="minorHAnsi"/>
              </w:rPr>
              <w:t xml:space="preserve"> B, et al. and On Behalf Of The ISTH/SSC Joint VWF And Perinatal/Pediatric </w:t>
            </w:r>
            <w:proofErr w:type="spellStart"/>
            <w:r w:rsidRPr="005179F6">
              <w:rPr>
                <w:rFonts w:cstheme="minorHAnsi"/>
              </w:rPr>
              <w:t>Hemostasis</w:t>
            </w:r>
            <w:proofErr w:type="spellEnd"/>
            <w:r w:rsidRPr="005179F6">
              <w:rPr>
                <w:rFonts w:cstheme="minorHAnsi"/>
              </w:rPr>
              <w:t xml:space="preserve"> Subcommittees Working Group.  </w:t>
            </w:r>
            <w:hyperlink r:id="rId30" w:history="1">
              <w:r w:rsidRPr="005179F6">
                <w:rPr>
                  <w:rStyle w:val="Hyperlink"/>
                  <w:rFonts w:cstheme="minorHAnsi"/>
                </w:rPr>
                <w:t>ISTH/SSC bleeding assessment tool: a standardized questionnaire and a proposal for a new bleeding score for inherited bleeding disorders</w:t>
              </w:r>
            </w:hyperlink>
            <w:r w:rsidRPr="005179F6">
              <w:rPr>
                <w:rFonts w:cstheme="minorHAnsi"/>
              </w:rPr>
              <w:t>. Journal of Thrombosis and Haemostasis, 2010; 8: 2063–2065.</w:t>
            </w:r>
            <w:r w:rsidR="00326082" w:rsidRPr="00326082">
              <w:rPr>
                <w:rFonts w:cstheme="minorHAnsi"/>
                <w:vertAlign w:val="superscript"/>
              </w:rPr>
              <w:t>1</w:t>
            </w:r>
            <w:r w:rsidR="000C29AF">
              <w:rPr>
                <w:rFonts w:cstheme="minorHAnsi"/>
                <w:vertAlign w:val="superscript"/>
              </w:rPr>
              <w:t>0</w:t>
            </w:r>
          </w:p>
          <w:p w:rsidR="00426926" w:rsidRPr="005179F6" w:rsidRDefault="00690965" w:rsidP="00326082">
            <w:pPr>
              <w:rPr>
                <w:rFonts w:cstheme="minorHAnsi"/>
              </w:rPr>
            </w:pPr>
            <w:hyperlink r:id="rId31" w:history="1">
              <w:r w:rsidR="00426926" w:rsidRPr="005179F6">
                <w:rPr>
                  <w:rStyle w:val="Hyperlink"/>
                  <w:rFonts w:cstheme="minorHAnsi"/>
                </w:rPr>
                <w:t>ISTH questionnaire and bleeding score</w:t>
              </w:r>
            </w:hyperlink>
            <w:r w:rsidR="00326082">
              <w:rPr>
                <w:rFonts w:cstheme="minorHAnsi"/>
              </w:rPr>
              <w:t>.</w:t>
            </w:r>
          </w:p>
        </w:tc>
        <w:tc>
          <w:tcPr>
            <w:tcW w:w="2061" w:type="dxa"/>
          </w:tcPr>
          <w:p w:rsidR="00426926" w:rsidRPr="005179F6" w:rsidRDefault="00426926" w:rsidP="005179F6">
            <w:pPr>
              <w:rPr>
                <w:rFonts w:cstheme="minorHAnsi"/>
              </w:rPr>
            </w:pPr>
            <w:r w:rsidRPr="005179F6">
              <w:rPr>
                <w:rFonts w:cstheme="minorHAnsi"/>
              </w:rPr>
              <w:t>20 mins</w:t>
            </w:r>
          </w:p>
        </w:tc>
      </w:tr>
      <w:tr w:rsidR="00426926" w:rsidRPr="005179F6" w:rsidTr="002769D6">
        <w:tc>
          <w:tcPr>
            <w:tcW w:w="2410" w:type="dxa"/>
          </w:tcPr>
          <w:p w:rsidR="00426926" w:rsidRPr="005179F6" w:rsidRDefault="00426926" w:rsidP="005179F6">
            <w:pPr>
              <w:rPr>
                <w:rFonts w:cstheme="minorHAnsi"/>
              </w:rPr>
            </w:pPr>
            <w:r w:rsidRPr="005179F6">
              <w:rPr>
                <w:rFonts w:cstheme="minorHAnsi"/>
              </w:rPr>
              <w:t>Paediatric Bleeding Questionnaire</w:t>
            </w:r>
          </w:p>
        </w:tc>
        <w:tc>
          <w:tcPr>
            <w:tcW w:w="9639" w:type="dxa"/>
          </w:tcPr>
          <w:p w:rsidR="00426926" w:rsidRPr="005179F6" w:rsidRDefault="00426926" w:rsidP="005179F6">
            <w:pPr>
              <w:rPr>
                <w:rFonts w:cstheme="minorHAnsi"/>
              </w:rPr>
            </w:pPr>
            <w:r w:rsidRPr="005179F6">
              <w:rPr>
                <w:rFonts w:cstheme="minorHAnsi"/>
              </w:rPr>
              <w:t xml:space="preserve">Bowman M, </w:t>
            </w:r>
            <w:proofErr w:type="spellStart"/>
            <w:r w:rsidRPr="005179F6">
              <w:rPr>
                <w:rFonts w:cstheme="minorHAnsi"/>
              </w:rPr>
              <w:t>Riddel</w:t>
            </w:r>
            <w:proofErr w:type="spellEnd"/>
            <w:r w:rsidRPr="005179F6">
              <w:rPr>
                <w:rFonts w:cstheme="minorHAnsi"/>
              </w:rPr>
              <w:t xml:space="preserve"> J, Rand ML, </w:t>
            </w:r>
            <w:proofErr w:type="spellStart"/>
            <w:r w:rsidRPr="005179F6">
              <w:rPr>
                <w:rFonts w:cstheme="minorHAnsi"/>
              </w:rPr>
              <w:t>Tosetto</w:t>
            </w:r>
            <w:proofErr w:type="spellEnd"/>
            <w:r w:rsidRPr="005179F6">
              <w:rPr>
                <w:rFonts w:cstheme="minorHAnsi"/>
              </w:rPr>
              <w:t xml:space="preserve"> A, Silva M, and James PD. </w:t>
            </w:r>
            <w:hyperlink r:id="rId32" w:history="1">
              <w:r w:rsidRPr="005179F6">
                <w:rPr>
                  <w:rStyle w:val="Hyperlink"/>
                  <w:rFonts w:cstheme="minorHAnsi"/>
                </w:rPr>
                <w:t>Evaluation of the diagnostic utility for von Willebrand disease of a pediatric bleeding questionnaire</w:t>
              </w:r>
            </w:hyperlink>
            <w:r w:rsidRPr="005179F6">
              <w:rPr>
                <w:rFonts w:cstheme="minorHAnsi"/>
              </w:rPr>
              <w:t>. J Thromb Haemost, 2009;7:1418–1421.</w:t>
            </w:r>
            <w:r w:rsidR="00326082" w:rsidRPr="00326082">
              <w:rPr>
                <w:rFonts w:cstheme="minorHAnsi"/>
                <w:vertAlign w:val="superscript"/>
              </w:rPr>
              <w:t>1</w:t>
            </w:r>
            <w:r w:rsidR="000535A3">
              <w:rPr>
                <w:rFonts w:cstheme="minorHAnsi"/>
                <w:vertAlign w:val="superscript"/>
              </w:rPr>
              <w:t>4</w:t>
            </w:r>
          </w:p>
          <w:p w:rsidR="00426926" w:rsidRPr="005179F6" w:rsidRDefault="00690965" w:rsidP="005179F6">
            <w:pPr>
              <w:rPr>
                <w:rFonts w:cstheme="minorHAnsi"/>
              </w:rPr>
            </w:pPr>
            <w:hyperlink r:id="rId33" w:history="1">
              <w:r w:rsidR="00426926" w:rsidRPr="005179F6">
                <w:rPr>
                  <w:rStyle w:val="Hyperlink"/>
                  <w:rFonts w:cstheme="minorHAnsi"/>
                </w:rPr>
                <w:t>Paediatric questionnaire and bleeding score</w:t>
              </w:r>
            </w:hyperlink>
          </w:p>
        </w:tc>
        <w:tc>
          <w:tcPr>
            <w:tcW w:w="2061" w:type="dxa"/>
          </w:tcPr>
          <w:p w:rsidR="00426926" w:rsidRPr="005179F6" w:rsidRDefault="00426926" w:rsidP="005179F6">
            <w:pPr>
              <w:rPr>
                <w:rFonts w:cstheme="minorHAnsi"/>
              </w:rPr>
            </w:pPr>
            <w:r w:rsidRPr="005179F6">
              <w:rPr>
                <w:rFonts w:cstheme="minorHAnsi"/>
              </w:rPr>
              <w:t>20 mins</w:t>
            </w:r>
          </w:p>
        </w:tc>
      </w:tr>
      <w:tr w:rsidR="00426926" w:rsidRPr="005179F6" w:rsidTr="002769D6">
        <w:tc>
          <w:tcPr>
            <w:tcW w:w="2410" w:type="dxa"/>
          </w:tcPr>
          <w:p w:rsidR="00426926" w:rsidRPr="005179F6" w:rsidRDefault="00426926" w:rsidP="005179F6">
            <w:pPr>
              <w:rPr>
                <w:rFonts w:cstheme="minorHAnsi"/>
              </w:rPr>
            </w:pPr>
            <w:r w:rsidRPr="005179F6">
              <w:rPr>
                <w:rFonts w:cstheme="minorHAnsi"/>
              </w:rPr>
              <w:t>Condensed MCMDM-1 VWD</w:t>
            </w:r>
          </w:p>
        </w:tc>
        <w:tc>
          <w:tcPr>
            <w:tcW w:w="9639" w:type="dxa"/>
          </w:tcPr>
          <w:p w:rsidR="00426926" w:rsidRPr="005179F6" w:rsidRDefault="00426926" w:rsidP="005179F6">
            <w:pPr>
              <w:rPr>
                <w:rFonts w:cstheme="minorHAnsi"/>
              </w:rPr>
            </w:pPr>
            <w:r w:rsidRPr="005179F6">
              <w:rPr>
                <w:rFonts w:cstheme="minorHAnsi"/>
              </w:rPr>
              <w:t xml:space="preserve">Bowman M, </w:t>
            </w:r>
            <w:proofErr w:type="spellStart"/>
            <w:r w:rsidRPr="005179F6">
              <w:rPr>
                <w:rFonts w:cstheme="minorHAnsi"/>
              </w:rPr>
              <w:t>Mundell</w:t>
            </w:r>
            <w:proofErr w:type="spellEnd"/>
            <w:r w:rsidRPr="005179F6">
              <w:rPr>
                <w:rFonts w:cstheme="minorHAnsi"/>
              </w:rPr>
              <w:t xml:space="preserve"> G, </w:t>
            </w:r>
            <w:proofErr w:type="spellStart"/>
            <w:r w:rsidRPr="005179F6">
              <w:rPr>
                <w:rFonts w:cstheme="minorHAnsi"/>
              </w:rPr>
              <w:t>Grabell</w:t>
            </w:r>
            <w:proofErr w:type="spellEnd"/>
            <w:r w:rsidRPr="005179F6">
              <w:rPr>
                <w:rFonts w:cstheme="minorHAnsi"/>
              </w:rPr>
              <w:t xml:space="preserve"> J, et al. </w:t>
            </w:r>
            <w:hyperlink r:id="rId34" w:history="1">
              <w:r w:rsidRPr="005179F6">
                <w:rPr>
                  <w:rStyle w:val="Hyperlink"/>
                  <w:rFonts w:cstheme="minorHAnsi"/>
                </w:rPr>
                <w:t>Generation and validation of the Condensed MCMDM-1VWD Bleeding Questionnaire for von Willebrand disease</w:t>
              </w:r>
            </w:hyperlink>
            <w:r w:rsidRPr="005179F6">
              <w:rPr>
                <w:rFonts w:cstheme="minorHAnsi"/>
              </w:rPr>
              <w:t>. J Thromb Haemost, 2008</w:t>
            </w:r>
            <w:r w:rsidR="004A21A7" w:rsidRPr="005179F6">
              <w:rPr>
                <w:rFonts w:cstheme="minorHAnsi"/>
              </w:rPr>
              <w:t>; 6:2062</w:t>
            </w:r>
            <w:r w:rsidRPr="005179F6">
              <w:rPr>
                <w:rFonts w:cstheme="minorHAnsi"/>
              </w:rPr>
              <w:t>–2066.</w:t>
            </w:r>
            <w:r w:rsidR="00326082">
              <w:rPr>
                <w:rFonts w:cstheme="minorHAnsi"/>
                <w:vertAlign w:val="superscript"/>
              </w:rPr>
              <w:t>1</w:t>
            </w:r>
            <w:r w:rsidR="000535A3">
              <w:rPr>
                <w:rFonts w:cstheme="minorHAnsi"/>
                <w:vertAlign w:val="superscript"/>
              </w:rPr>
              <w:t>5</w:t>
            </w:r>
          </w:p>
          <w:p w:rsidR="00426926" w:rsidRPr="005179F6" w:rsidRDefault="00690965" w:rsidP="005179F6">
            <w:pPr>
              <w:rPr>
                <w:rFonts w:cstheme="minorHAnsi"/>
              </w:rPr>
            </w:pPr>
            <w:hyperlink r:id="rId35" w:history="1">
              <w:r w:rsidR="00426926" w:rsidRPr="005179F6">
                <w:rPr>
                  <w:rStyle w:val="Hyperlink"/>
                  <w:rFonts w:cstheme="minorHAnsi"/>
                </w:rPr>
                <w:t>Condensed MCMDM-1 VWD questionnaire and bleeding score</w:t>
              </w:r>
            </w:hyperlink>
          </w:p>
        </w:tc>
        <w:tc>
          <w:tcPr>
            <w:tcW w:w="2061" w:type="dxa"/>
          </w:tcPr>
          <w:p w:rsidR="00426926" w:rsidRPr="005179F6" w:rsidRDefault="00426926" w:rsidP="005179F6">
            <w:pPr>
              <w:rPr>
                <w:rFonts w:cstheme="minorHAnsi"/>
              </w:rPr>
            </w:pPr>
            <w:r w:rsidRPr="005179F6">
              <w:rPr>
                <w:rFonts w:cstheme="minorHAnsi"/>
              </w:rPr>
              <w:t>5-10 mins</w:t>
            </w:r>
          </w:p>
        </w:tc>
      </w:tr>
      <w:tr w:rsidR="00426926" w:rsidRPr="005179F6" w:rsidTr="002769D6">
        <w:tc>
          <w:tcPr>
            <w:tcW w:w="2410" w:type="dxa"/>
          </w:tcPr>
          <w:p w:rsidR="00426926" w:rsidRPr="005179F6" w:rsidRDefault="00426926" w:rsidP="005179F6">
            <w:pPr>
              <w:rPr>
                <w:rFonts w:cstheme="minorHAnsi"/>
              </w:rPr>
            </w:pPr>
            <w:r w:rsidRPr="005179F6">
              <w:rPr>
                <w:rFonts w:cstheme="minorHAnsi"/>
              </w:rPr>
              <w:t xml:space="preserve">European Molecular and Clinical Markers for the Diagnosis and Management of type 1 VWD (MCMDM-1 VWD) </w:t>
            </w:r>
          </w:p>
        </w:tc>
        <w:tc>
          <w:tcPr>
            <w:tcW w:w="9639" w:type="dxa"/>
          </w:tcPr>
          <w:p w:rsidR="00426926" w:rsidRPr="005179F6" w:rsidRDefault="00426926" w:rsidP="005179F6">
            <w:pPr>
              <w:rPr>
                <w:rFonts w:cstheme="minorHAnsi"/>
              </w:rPr>
            </w:pPr>
            <w:proofErr w:type="spellStart"/>
            <w:r w:rsidRPr="005179F6">
              <w:rPr>
                <w:rFonts w:cstheme="minorHAnsi"/>
              </w:rPr>
              <w:t>Tosetto</w:t>
            </w:r>
            <w:proofErr w:type="spellEnd"/>
            <w:r w:rsidRPr="005179F6">
              <w:rPr>
                <w:rFonts w:cstheme="minorHAnsi"/>
              </w:rPr>
              <w:t xml:space="preserve"> A, </w:t>
            </w:r>
            <w:proofErr w:type="spellStart"/>
            <w:r w:rsidRPr="005179F6">
              <w:rPr>
                <w:rFonts w:cstheme="minorHAnsi"/>
              </w:rPr>
              <w:t>Rodeghiero</w:t>
            </w:r>
            <w:proofErr w:type="spellEnd"/>
            <w:r w:rsidRPr="005179F6">
              <w:rPr>
                <w:rFonts w:cstheme="minorHAnsi"/>
              </w:rPr>
              <w:t xml:space="preserve"> F, </w:t>
            </w:r>
            <w:proofErr w:type="spellStart"/>
            <w:r w:rsidRPr="005179F6">
              <w:rPr>
                <w:rFonts w:cstheme="minorHAnsi"/>
              </w:rPr>
              <w:t>Castaman</w:t>
            </w:r>
            <w:proofErr w:type="spellEnd"/>
            <w:r w:rsidRPr="005179F6">
              <w:rPr>
                <w:rFonts w:cstheme="minorHAnsi"/>
              </w:rPr>
              <w:t xml:space="preserve"> G, et al. </w:t>
            </w:r>
            <w:hyperlink r:id="rId36" w:history="1">
              <w:r w:rsidRPr="005179F6">
                <w:rPr>
                  <w:rStyle w:val="Hyperlink"/>
                  <w:rFonts w:cstheme="minorHAnsi"/>
                </w:rPr>
                <w:t>A quantitative analysis of bleeding symptoms in type 1 von Willebrand disease: results from a multicenter European study (MCMDM-1 VWD)</w:t>
              </w:r>
            </w:hyperlink>
            <w:r w:rsidRPr="005179F6">
              <w:rPr>
                <w:rFonts w:cstheme="minorHAnsi"/>
              </w:rPr>
              <w:t>. J Thromb Haemost, 2006;4:766–773.</w:t>
            </w:r>
            <w:r w:rsidR="00326082">
              <w:rPr>
                <w:rFonts w:cstheme="minorHAnsi"/>
                <w:vertAlign w:val="superscript"/>
              </w:rPr>
              <w:t>1</w:t>
            </w:r>
            <w:r w:rsidR="000535A3">
              <w:rPr>
                <w:rFonts w:cstheme="minorHAnsi"/>
                <w:vertAlign w:val="superscript"/>
              </w:rPr>
              <w:t>6</w:t>
            </w:r>
          </w:p>
          <w:p w:rsidR="00426926" w:rsidRPr="005179F6" w:rsidRDefault="00426926" w:rsidP="005179F6">
            <w:pPr>
              <w:rPr>
                <w:rFonts w:cstheme="minorHAnsi"/>
              </w:rPr>
            </w:pPr>
            <w:r w:rsidRPr="005179F6">
              <w:rPr>
                <w:rFonts w:cstheme="minorHAnsi"/>
              </w:rPr>
              <w:t xml:space="preserve">MCMDM-1 VWD </w:t>
            </w:r>
            <w:hyperlink r:id="rId37" w:history="1">
              <w:r w:rsidRPr="005179F6">
                <w:rPr>
                  <w:rStyle w:val="Hyperlink"/>
                  <w:rFonts w:cstheme="minorHAnsi"/>
                </w:rPr>
                <w:t>Questionnaire</w:t>
              </w:r>
            </w:hyperlink>
            <w:r w:rsidRPr="005179F6">
              <w:rPr>
                <w:rFonts w:cstheme="minorHAnsi"/>
              </w:rPr>
              <w:t xml:space="preserve"> and </w:t>
            </w:r>
            <w:hyperlink r:id="rId38" w:history="1">
              <w:r w:rsidRPr="005179F6">
                <w:rPr>
                  <w:rStyle w:val="Hyperlink"/>
                  <w:rFonts w:cstheme="minorHAnsi"/>
                </w:rPr>
                <w:t>Bleeding score</w:t>
              </w:r>
            </w:hyperlink>
          </w:p>
        </w:tc>
        <w:tc>
          <w:tcPr>
            <w:tcW w:w="2061" w:type="dxa"/>
          </w:tcPr>
          <w:p w:rsidR="00426926" w:rsidRPr="005179F6" w:rsidRDefault="00426926" w:rsidP="005179F6">
            <w:pPr>
              <w:rPr>
                <w:rFonts w:cstheme="minorHAnsi"/>
              </w:rPr>
            </w:pPr>
            <w:r w:rsidRPr="005179F6">
              <w:rPr>
                <w:rFonts w:cstheme="minorHAnsi"/>
              </w:rPr>
              <w:t>40 mins</w:t>
            </w:r>
          </w:p>
        </w:tc>
      </w:tr>
      <w:tr w:rsidR="00426926" w:rsidRPr="005179F6" w:rsidTr="002769D6">
        <w:tc>
          <w:tcPr>
            <w:tcW w:w="2410" w:type="dxa"/>
          </w:tcPr>
          <w:p w:rsidR="00426926" w:rsidRPr="005179F6" w:rsidRDefault="00426926" w:rsidP="005179F6">
            <w:pPr>
              <w:rPr>
                <w:rFonts w:cstheme="minorHAnsi"/>
              </w:rPr>
            </w:pPr>
            <w:proofErr w:type="spellStart"/>
            <w:r w:rsidRPr="005179F6">
              <w:rPr>
                <w:rFonts w:cstheme="minorHAnsi"/>
              </w:rPr>
              <w:t>Vincenza</w:t>
            </w:r>
            <w:proofErr w:type="spellEnd"/>
            <w:r w:rsidRPr="005179F6">
              <w:rPr>
                <w:rFonts w:cstheme="minorHAnsi"/>
              </w:rPr>
              <w:t xml:space="preserve"> bleeding score</w:t>
            </w:r>
          </w:p>
        </w:tc>
        <w:tc>
          <w:tcPr>
            <w:tcW w:w="9639" w:type="dxa"/>
          </w:tcPr>
          <w:p w:rsidR="00426926" w:rsidRPr="005179F6" w:rsidRDefault="00426926" w:rsidP="005179F6">
            <w:pPr>
              <w:rPr>
                <w:rFonts w:cstheme="minorHAnsi"/>
              </w:rPr>
            </w:pPr>
            <w:proofErr w:type="spellStart"/>
            <w:r w:rsidRPr="005179F6">
              <w:rPr>
                <w:rFonts w:cstheme="minorHAnsi"/>
              </w:rPr>
              <w:t>Rodeghiero</w:t>
            </w:r>
            <w:proofErr w:type="spellEnd"/>
            <w:r w:rsidRPr="005179F6">
              <w:rPr>
                <w:rFonts w:cstheme="minorHAnsi"/>
              </w:rPr>
              <w:t xml:space="preserve"> F, </w:t>
            </w:r>
            <w:proofErr w:type="spellStart"/>
            <w:r w:rsidRPr="005179F6">
              <w:rPr>
                <w:rFonts w:cstheme="minorHAnsi"/>
              </w:rPr>
              <w:t>Castaman</w:t>
            </w:r>
            <w:proofErr w:type="spellEnd"/>
            <w:r w:rsidRPr="005179F6">
              <w:rPr>
                <w:rFonts w:cstheme="minorHAnsi"/>
              </w:rPr>
              <w:t xml:space="preserve"> G, </w:t>
            </w:r>
            <w:proofErr w:type="spellStart"/>
            <w:r w:rsidRPr="005179F6">
              <w:rPr>
                <w:rFonts w:cstheme="minorHAnsi"/>
              </w:rPr>
              <w:t>Tosetto</w:t>
            </w:r>
            <w:proofErr w:type="spellEnd"/>
            <w:r w:rsidRPr="005179F6">
              <w:rPr>
                <w:rFonts w:cstheme="minorHAnsi"/>
              </w:rPr>
              <w:t xml:space="preserve"> A, </w:t>
            </w:r>
            <w:proofErr w:type="spellStart"/>
            <w:r w:rsidRPr="005179F6">
              <w:rPr>
                <w:rFonts w:cstheme="minorHAnsi"/>
              </w:rPr>
              <w:t>Batlle</w:t>
            </w:r>
            <w:proofErr w:type="spellEnd"/>
            <w:r w:rsidRPr="005179F6">
              <w:rPr>
                <w:rFonts w:cstheme="minorHAnsi"/>
              </w:rPr>
              <w:t xml:space="preserve"> J, Baudo F, et al.  </w:t>
            </w:r>
            <w:hyperlink r:id="rId39" w:history="1">
              <w:r w:rsidRPr="005179F6">
                <w:rPr>
                  <w:rStyle w:val="Hyperlink"/>
                  <w:rFonts w:cstheme="minorHAnsi"/>
                </w:rPr>
                <w:t>The discriminant power of bleeding history for the diagnosis of type 1 von Willebrand disease: an international, multicenter study</w:t>
              </w:r>
            </w:hyperlink>
            <w:r w:rsidRPr="005179F6">
              <w:rPr>
                <w:rFonts w:cstheme="minorHAnsi"/>
              </w:rPr>
              <w:t>. J T</w:t>
            </w:r>
            <w:r w:rsidR="00326082">
              <w:rPr>
                <w:rFonts w:cstheme="minorHAnsi"/>
              </w:rPr>
              <w:t>hromb Haemost, 2005; 3:2619-26.</w:t>
            </w:r>
            <w:r w:rsidR="00326082">
              <w:rPr>
                <w:rFonts w:cstheme="minorHAnsi"/>
                <w:vertAlign w:val="superscript"/>
              </w:rPr>
              <w:t>1</w:t>
            </w:r>
            <w:r w:rsidR="000535A3">
              <w:rPr>
                <w:rFonts w:cstheme="minorHAnsi"/>
                <w:vertAlign w:val="superscript"/>
              </w:rPr>
              <w:t>7</w:t>
            </w:r>
          </w:p>
          <w:p w:rsidR="00426926" w:rsidRPr="005179F6" w:rsidRDefault="00690965" w:rsidP="005179F6">
            <w:pPr>
              <w:rPr>
                <w:rFonts w:cstheme="minorHAnsi"/>
              </w:rPr>
            </w:pPr>
            <w:hyperlink r:id="rId40" w:history="1">
              <w:proofErr w:type="spellStart"/>
              <w:r w:rsidR="00426926" w:rsidRPr="005179F6">
                <w:rPr>
                  <w:rStyle w:val="Hyperlink"/>
                  <w:rFonts w:cstheme="minorHAnsi"/>
                </w:rPr>
                <w:t>Vincenza</w:t>
              </w:r>
              <w:proofErr w:type="spellEnd"/>
              <w:r w:rsidR="00426926" w:rsidRPr="005179F6">
                <w:rPr>
                  <w:rStyle w:val="Hyperlink"/>
                  <w:rFonts w:cstheme="minorHAnsi"/>
                </w:rPr>
                <w:t xml:space="preserve"> questionnaire and bleeding score</w:t>
              </w:r>
            </w:hyperlink>
          </w:p>
        </w:tc>
        <w:tc>
          <w:tcPr>
            <w:tcW w:w="2061" w:type="dxa"/>
          </w:tcPr>
          <w:p w:rsidR="00426926" w:rsidRPr="005179F6" w:rsidRDefault="00426926" w:rsidP="005179F6">
            <w:pPr>
              <w:rPr>
                <w:rFonts w:cstheme="minorHAnsi"/>
              </w:rPr>
            </w:pPr>
            <w:r w:rsidRPr="005179F6">
              <w:rPr>
                <w:rFonts w:cstheme="minorHAnsi"/>
              </w:rPr>
              <w:t>40 mins</w:t>
            </w:r>
          </w:p>
        </w:tc>
      </w:tr>
    </w:tbl>
    <w:p w:rsidR="002E3B80" w:rsidRPr="005179F6" w:rsidRDefault="002E3B80" w:rsidP="005179F6">
      <w:pPr>
        <w:rPr>
          <w:rFonts w:cstheme="minorHAnsi"/>
        </w:rPr>
        <w:sectPr w:rsidR="002E3B80" w:rsidRPr="005179F6" w:rsidSect="005179F6">
          <w:pgSz w:w="16838" w:h="11906" w:orient="landscape"/>
          <w:pgMar w:top="1418" w:right="1134" w:bottom="1418" w:left="1134" w:header="709" w:footer="709" w:gutter="0"/>
          <w:cols w:space="708"/>
          <w:docGrid w:linePitch="360"/>
        </w:sectPr>
      </w:pPr>
    </w:p>
    <w:p w:rsidR="00FA2D7C" w:rsidRPr="005179F6" w:rsidRDefault="000F715D" w:rsidP="009D3A5D">
      <w:pPr>
        <w:pStyle w:val="Heading1"/>
      </w:pPr>
      <w:bookmarkStart w:id="15" w:name="_Toc399150598"/>
      <w:r w:rsidRPr="005179F6">
        <w:lastRenderedPageBreak/>
        <w:t>Use of BAT</w:t>
      </w:r>
      <w:r w:rsidR="00637FF4" w:rsidRPr="005179F6">
        <w:t>s</w:t>
      </w:r>
      <w:r w:rsidRPr="005179F6">
        <w:t xml:space="preserve"> in the clinical setting</w:t>
      </w:r>
      <w:bookmarkEnd w:id="15"/>
    </w:p>
    <w:p w:rsidR="000F715D" w:rsidRPr="005179F6" w:rsidRDefault="000F715D" w:rsidP="00816069">
      <w:pPr>
        <w:jc w:val="both"/>
        <w:rPr>
          <w:rFonts w:cstheme="minorHAnsi"/>
        </w:rPr>
      </w:pPr>
      <w:r w:rsidRPr="005179F6">
        <w:rPr>
          <w:rFonts w:cstheme="minorHAnsi"/>
        </w:rPr>
        <w:t>BAT</w:t>
      </w:r>
      <w:r w:rsidR="00637FF4" w:rsidRPr="005179F6">
        <w:rPr>
          <w:rFonts w:cstheme="minorHAnsi"/>
        </w:rPr>
        <w:t>s</w:t>
      </w:r>
      <w:r w:rsidRPr="005179F6">
        <w:rPr>
          <w:rFonts w:cstheme="minorHAnsi"/>
        </w:rPr>
        <w:t xml:space="preserve"> have been predominantly used and validated </w:t>
      </w:r>
      <w:r w:rsidR="009570E6" w:rsidRPr="005179F6">
        <w:rPr>
          <w:rFonts w:cstheme="minorHAnsi"/>
        </w:rPr>
        <w:t xml:space="preserve">as research tools </w:t>
      </w:r>
      <w:r w:rsidRPr="005179F6">
        <w:rPr>
          <w:rFonts w:cstheme="minorHAnsi"/>
        </w:rPr>
        <w:t>to identify patients with VWD. More studies of their use for diagnoses of mild bleeding disorders other than VWD are required.</w:t>
      </w:r>
      <w:r w:rsidR="000535A3">
        <w:rPr>
          <w:rFonts w:cstheme="minorHAnsi"/>
          <w:vertAlign w:val="superscript"/>
        </w:rPr>
        <w:t>9</w:t>
      </w:r>
      <w:r w:rsidRPr="005179F6">
        <w:rPr>
          <w:rFonts w:cstheme="minorHAnsi"/>
        </w:rPr>
        <w:t xml:space="preserve"> </w:t>
      </w:r>
      <w:r w:rsidR="009839F7" w:rsidRPr="005179F6">
        <w:rPr>
          <w:rFonts w:cstheme="minorHAnsi"/>
        </w:rPr>
        <w:t>Platelet function disorders present a particular challenge due to a lack of a standardised approach to interpretation of platelet function testing.</w:t>
      </w:r>
      <w:r w:rsidR="008539E6">
        <w:rPr>
          <w:rFonts w:cstheme="minorHAnsi"/>
          <w:vertAlign w:val="superscript"/>
        </w:rPr>
        <w:t>8</w:t>
      </w:r>
      <w:r w:rsidR="00326082" w:rsidRPr="00326082">
        <w:rPr>
          <w:rFonts w:cstheme="minorHAnsi"/>
          <w:vertAlign w:val="superscript"/>
        </w:rPr>
        <w:t>,</w:t>
      </w:r>
      <w:r w:rsidR="000535A3">
        <w:rPr>
          <w:rFonts w:cstheme="minorHAnsi"/>
          <w:vertAlign w:val="superscript"/>
        </w:rPr>
        <w:t>9</w:t>
      </w:r>
      <w:r w:rsidR="009839F7" w:rsidRPr="005179F6">
        <w:rPr>
          <w:rFonts w:cstheme="minorHAnsi"/>
        </w:rPr>
        <w:t xml:space="preserve"> BATs</w:t>
      </w:r>
      <w:r w:rsidRPr="005179F6">
        <w:rPr>
          <w:rFonts w:cstheme="minorHAnsi"/>
        </w:rPr>
        <w:t xml:space="preserve"> have never been intended for use in severe bleeding disorders such as haemophilia.</w:t>
      </w:r>
      <w:r w:rsidR="008539E6">
        <w:rPr>
          <w:rFonts w:cstheme="minorHAnsi"/>
          <w:vertAlign w:val="superscript"/>
        </w:rPr>
        <w:t>8</w:t>
      </w:r>
      <w:r w:rsidR="00326082" w:rsidRPr="00326082">
        <w:rPr>
          <w:rFonts w:cstheme="minorHAnsi"/>
          <w:vertAlign w:val="superscript"/>
        </w:rPr>
        <w:t>,</w:t>
      </w:r>
      <w:r w:rsidR="008539E6">
        <w:rPr>
          <w:rFonts w:cstheme="minorHAnsi"/>
          <w:vertAlign w:val="superscript"/>
        </w:rPr>
        <w:t>9</w:t>
      </w:r>
      <w:r w:rsidR="00326082" w:rsidRPr="005179F6">
        <w:rPr>
          <w:rFonts w:cstheme="minorHAnsi"/>
        </w:rPr>
        <w:t xml:space="preserve"> </w:t>
      </w:r>
      <w:r w:rsidRPr="005179F6">
        <w:rPr>
          <w:rFonts w:cstheme="minorHAnsi"/>
        </w:rPr>
        <w:t>The instruments are designed to be administered by trained clinicians – further study would be required to assess the applicability of self-reporting of symptoms.</w:t>
      </w:r>
      <w:r w:rsidR="005E1050" w:rsidRPr="005E1050">
        <w:rPr>
          <w:rFonts w:cstheme="minorHAnsi"/>
          <w:vertAlign w:val="superscript"/>
        </w:rPr>
        <w:t>8</w:t>
      </w:r>
      <w:r w:rsidRPr="005179F6">
        <w:rPr>
          <w:rFonts w:cstheme="minorHAnsi"/>
        </w:rPr>
        <w:t xml:space="preserve"> An exact cut-off for an abnormal score has not been established and appears to vary depending on patient age, gender and the clinical setting.</w:t>
      </w:r>
      <w:r w:rsidR="008539E6">
        <w:rPr>
          <w:rFonts w:cstheme="minorHAnsi"/>
          <w:vertAlign w:val="superscript"/>
        </w:rPr>
        <w:t>9</w:t>
      </w:r>
    </w:p>
    <w:p w:rsidR="009839F7" w:rsidRPr="005179F6" w:rsidRDefault="009839F7" w:rsidP="00816069">
      <w:pPr>
        <w:jc w:val="both"/>
        <w:rPr>
          <w:rFonts w:cstheme="minorHAnsi"/>
        </w:rPr>
      </w:pPr>
    </w:p>
    <w:p w:rsidR="009839F7" w:rsidRPr="005179F6" w:rsidRDefault="009839F7" w:rsidP="00816069">
      <w:pPr>
        <w:jc w:val="both"/>
        <w:rPr>
          <w:rFonts w:cstheme="minorHAnsi"/>
        </w:rPr>
      </w:pPr>
      <w:r w:rsidRPr="005179F6">
        <w:rPr>
          <w:rFonts w:cstheme="minorHAnsi"/>
        </w:rPr>
        <w:t xml:space="preserve">The clinical utility of bleeding scores lies in their ability to summarise a great deal of clinical information about a patient to aid communication between clinicians and to assist </w:t>
      </w:r>
      <w:r w:rsidR="00B31B97" w:rsidRPr="005179F6">
        <w:rPr>
          <w:rFonts w:cstheme="minorHAnsi"/>
        </w:rPr>
        <w:t xml:space="preserve">in the </w:t>
      </w:r>
      <w:r w:rsidRPr="005179F6">
        <w:rPr>
          <w:rFonts w:cstheme="minorHAnsi"/>
        </w:rPr>
        <w:t>prioritis</w:t>
      </w:r>
      <w:r w:rsidR="00B31B97" w:rsidRPr="005179F6">
        <w:rPr>
          <w:rFonts w:cstheme="minorHAnsi"/>
        </w:rPr>
        <w:t>ation of</w:t>
      </w:r>
      <w:r w:rsidRPr="005179F6">
        <w:rPr>
          <w:rFonts w:cstheme="minorHAnsi"/>
        </w:rPr>
        <w:t xml:space="preserve"> laboratory testing. In the primary care and even haematology settings, the greatest clinical utility lies in their high negative predictive value and perhaps the greatest value is in the identification of patients for whom VWF testing is not necessary.</w:t>
      </w:r>
      <w:r w:rsidR="008539E6">
        <w:rPr>
          <w:rFonts w:cstheme="minorHAnsi"/>
          <w:vertAlign w:val="superscript"/>
        </w:rPr>
        <w:t>9</w:t>
      </w:r>
    </w:p>
    <w:p w:rsidR="000F715D" w:rsidRPr="005179F6" w:rsidRDefault="000F715D" w:rsidP="00816069">
      <w:pPr>
        <w:jc w:val="both"/>
        <w:rPr>
          <w:rFonts w:cstheme="minorHAnsi"/>
        </w:rPr>
      </w:pPr>
    </w:p>
    <w:p w:rsidR="000F715D" w:rsidRPr="005179F6" w:rsidRDefault="00BA4B53" w:rsidP="00816069">
      <w:pPr>
        <w:jc w:val="both"/>
        <w:rPr>
          <w:rFonts w:cstheme="minorHAnsi"/>
        </w:rPr>
      </w:pPr>
      <w:r w:rsidRPr="005179F6">
        <w:rPr>
          <w:rFonts w:cstheme="minorHAnsi"/>
        </w:rPr>
        <w:t xml:space="preserve">It is important to note that </w:t>
      </w:r>
      <w:r w:rsidR="00EF0ADB" w:rsidRPr="005179F6">
        <w:rPr>
          <w:rFonts w:cstheme="minorHAnsi"/>
        </w:rPr>
        <w:t>bleeding history may be negative in paediatric patients due to lack of haemostatic challenges. Therefore, if a positive family history exists, some laboratory workup will be required to confirm or exclude a bleeding disorder.</w:t>
      </w:r>
      <w:r w:rsidR="008539E6">
        <w:rPr>
          <w:rFonts w:cstheme="minorHAnsi"/>
          <w:vertAlign w:val="superscript"/>
        </w:rPr>
        <w:t>9</w:t>
      </w:r>
    </w:p>
    <w:p w:rsidR="009E4A39" w:rsidRPr="005179F6" w:rsidRDefault="009E4A39" w:rsidP="00816069">
      <w:pPr>
        <w:jc w:val="both"/>
        <w:rPr>
          <w:rFonts w:cstheme="minorHAnsi"/>
        </w:rPr>
      </w:pPr>
    </w:p>
    <w:p w:rsidR="0042734B" w:rsidRPr="005179F6" w:rsidRDefault="001D266C" w:rsidP="00816069">
      <w:pPr>
        <w:jc w:val="both"/>
        <w:rPr>
          <w:rFonts w:cstheme="minorHAnsi"/>
        </w:rPr>
      </w:pPr>
      <w:r w:rsidRPr="005179F6">
        <w:rPr>
          <w:rFonts w:cstheme="minorHAnsi"/>
        </w:rPr>
        <w:t>The ASH 2012 updated Quick Reference. Clinical Practice Guideline on the Evaluation and Management of von Willebrand Disease VWD</w:t>
      </w:r>
      <w:r w:rsidR="005E1050" w:rsidRPr="005E1050">
        <w:rPr>
          <w:rFonts w:cstheme="minorHAnsi"/>
          <w:vertAlign w:val="superscript"/>
        </w:rPr>
        <w:t>1</w:t>
      </w:r>
      <w:r w:rsidR="005972D6">
        <w:rPr>
          <w:rFonts w:cstheme="minorHAnsi"/>
          <w:vertAlign w:val="superscript"/>
        </w:rPr>
        <w:t>2</w:t>
      </w:r>
      <w:r w:rsidRPr="005179F6">
        <w:rPr>
          <w:rFonts w:cstheme="minorHAnsi"/>
        </w:rPr>
        <w:t xml:space="preserve"> </w:t>
      </w:r>
      <w:r w:rsidR="009570E6" w:rsidRPr="005179F6">
        <w:rPr>
          <w:rFonts w:cstheme="minorHAnsi"/>
        </w:rPr>
        <w:t xml:space="preserve">is </w:t>
      </w:r>
      <w:r w:rsidR="00AD374A" w:rsidRPr="005179F6">
        <w:rPr>
          <w:rFonts w:cstheme="minorHAnsi"/>
        </w:rPr>
        <w:t xml:space="preserve">an example of the use of a BAT in clinical practice. </w:t>
      </w:r>
      <w:r w:rsidR="009570E6" w:rsidRPr="005179F6">
        <w:rPr>
          <w:rFonts w:cstheme="minorHAnsi"/>
        </w:rPr>
        <w:t xml:space="preserve">It </w:t>
      </w:r>
      <w:r w:rsidR="00796F38" w:rsidRPr="005179F6">
        <w:rPr>
          <w:rFonts w:cstheme="minorHAnsi"/>
        </w:rPr>
        <w:t>starts with three</w:t>
      </w:r>
      <w:r w:rsidRPr="005179F6">
        <w:rPr>
          <w:rFonts w:cstheme="minorHAnsi"/>
        </w:rPr>
        <w:t xml:space="preserve"> initial broad </w:t>
      </w:r>
      <w:r w:rsidR="00796F38" w:rsidRPr="005179F6">
        <w:rPr>
          <w:rFonts w:cstheme="minorHAnsi"/>
        </w:rPr>
        <w:t xml:space="preserve">screening </w:t>
      </w:r>
      <w:r w:rsidRPr="005179F6">
        <w:rPr>
          <w:rFonts w:cstheme="minorHAnsi"/>
        </w:rPr>
        <w:t>questions</w:t>
      </w:r>
      <w:r w:rsidR="00796F38" w:rsidRPr="005179F6">
        <w:rPr>
          <w:rFonts w:cstheme="minorHAnsi"/>
        </w:rPr>
        <w:t>. I</w:t>
      </w:r>
      <w:r w:rsidRPr="005179F6">
        <w:rPr>
          <w:rFonts w:cstheme="minorHAnsi"/>
        </w:rPr>
        <w:t>f a positive result is obtained</w:t>
      </w:r>
      <w:r w:rsidR="00796F38" w:rsidRPr="005179F6">
        <w:rPr>
          <w:rFonts w:cstheme="minorHAnsi"/>
        </w:rPr>
        <w:t>, the Condensed MCMDM-1 VWD Bleeding Questionnaire and Bleeding score are administered</w:t>
      </w:r>
      <w:r w:rsidRPr="005179F6">
        <w:rPr>
          <w:rFonts w:cstheme="minorHAnsi"/>
        </w:rPr>
        <w:t xml:space="preserve">. </w:t>
      </w:r>
      <w:r w:rsidR="00796F38" w:rsidRPr="005179F6">
        <w:rPr>
          <w:rFonts w:cstheme="minorHAnsi"/>
        </w:rPr>
        <w:t>P</w:t>
      </w:r>
      <w:r w:rsidRPr="005179F6">
        <w:rPr>
          <w:rFonts w:cstheme="minorHAnsi"/>
        </w:rPr>
        <w:t>hysical examination is required</w:t>
      </w:r>
      <w:r w:rsidR="00796F38" w:rsidRPr="005179F6">
        <w:rPr>
          <w:rFonts w:cstheme="minorHAnsi"/>
        </w:rPr>
        <w:t xml:space="preserve"> and if either history or examination is positive an assessment algorithm provides guidance on testing</w:t>
      </w:r>
      <w:r w:rsidR="00CC641D" w:rsidRPr="005179F6">
        <w:rPr>
          <w:rFonts w:cstheme="minorHAnsi"/>
        </w:rPr>
        <w:t>.</w:t>
      </w:r>
    </w:p>
    <w:p w:rsidR="00CC641D" w:rsidRPr="005179F6" w:rsidRDefault="00CC641D" w:rsidP="00816069">
      <w:pPr>
        <w:jc w:val="both"/>
        <w:rPr>
          <w:rFonts w:cstheme="minorHAnsi"/>
        </w:rPr>
      </w:pPr>
    </w:p>
    <w:p w:rsidR="009E4A39" w:rsidRPr="005179F6" w:rsidRDefault="009E4A39" w:rsidP="00816069">
      <w:pPr>
        <w:pStyle w:val="Heading1"/>
        <w:jc w:val="both"/>
      </w:pPr>
      <w:bookmarkStart w:id="16" w:name="_Toc399150599"/>
      <w:r w:rsidRPr="005179F6">
        <w:t xml:space="preserve">Application </w:t>
      </w:r>
      <w:r w:rsidR="00F35A45" w:rsidRPr="005179F6">
        <w:t>BAT</w:t>
      </w:r>
      <w:r w:rsidR="00B0590C">
        <w:t>s</w:t>
      </w:r>
      <w:r w:rsidR="00F35A45" w:rsidRPr="005179F6">
        <w:t xml:space="preserve"> </w:t>
      </w:r>
      <w:r w:rsidRPr="005179F6">
        <w:t xml:space="preserve">in the </w:t>
      </w:r>
      <w:r w:rsidR="00996670" w:rsidRPr="005179F6">
        <w:t>preoperative</w:t>
      </w:r>
      <w:r w:rsidRPr="005179F6">
        <w:t xml:space="preserve"> setting</w:t>
      </w:r>
      <w:bookmarkEnd w:id="16"/>
    </w:p>
    <w:p w:rsidR="000F715D" w:rsidRPr="005179F6" w:rsidRDefault="009A7F46" w:rsidP="00816069">
      <w:pPr>
        <w:jc w:val="both"/>
        <w:rPr>
          <w:rFonts w:cstheme="minorHAnsi"/>
        </w:rPr>
      </w:pPr>
      <w:r w:rsidRPr="005179F6">
        <w:rPr>
          <w:rFonts w:cstheme="minorHAnsi"/>
        </w:rPr>
        <w:t>The British Committee for Standards in Haematology recommends a bleeding history be taken in all patients preoperatively and</w:t>
      </w:r>
      <w:r w:rsidR="00D42CAD" w:rsidRPr="005179F6">
        <w:rPr>
          <w:rFonts w:cstheme="minorHAnsi"/>
        </w:rPr>
        <w:t xml:space="preserve"> prior to invasive procedures.</w:t>
      </w:r>
      <w:r w:rsidR="005E1050" w:rsidRPr="005E1050">
        <w:rPr>
          <w:rFonts w:cstheme="minorHAnsi"/>
          <w:vertAlign w:val="superscript"/>
        </w:rPr>
        <w:t>1</w:t>
      </w:r>
      <w:r w:rsidR="00D42CAD" w:rsidRPr="005179F6">
        <w:rPr>
          <w:rFonts w:cstheme="minorHAnsi"/>
        </w:rPr>
        <w:t xml:space="preserve"> </w:t>
      </w:r>
      <w:r w:rsidRPr="005179F6">
        <w:rPr>
          <w:rFonts w:cstheme="minorHAnsi"/>
        </w:rPr>
        <w:t xml:space="preserve">The European Society of Anaesthesiology specifically recommends the use of a structured patient interview </w:t>
      </w:r>
      <w:r w:rsidR="00E61584" w:rsidRPr="005179F6">
        <w:rPr>
          <w:rFonts w:cstheme="minorHAnsi"/>
        </w:rPr>
        <w:t>or</w:t>
      </w:r>
      <w:r w:rsidRPr="005179F6">
        <w:rPr>
          <w:rFonts w:cstheme="minorHAnsi"/>
        </w:rPr>
        <w:t xml:space="preserve"> questionnaire before surgery or invasive procedures. Both recommendations state the need for both clinical and family history of bleeding</w:t>
      </w:r>
      <w:r w:rsidR="00E61584" w:rsidRPr="005179F6">
        <w:rPr>
          <w:rFonts w:cstheme="minorHAnsi"/>
        </w:rPr>
        <w:t>,</w:t>
      </w:r>
      <w:r w:rsidRPr="005179F6">
        <w:rPr>
          <w:rFonts w:cstheme="minorHAnsi"/>
        </w:rPr>
        <w:t xml:space="preserve"> and details of medications which may impact on bleeding.</w:t>
      </w:r>
      <w:r w:rsidR="005E1050" w:rsidRPr="005E1050">
        <w:rPr>
          <w:rFonts w:cstheme="minorHAnsi"/>
          <w:vertAlign w:val="superscript"/>
        </w:rPr>
        <w:t>2</w:t>
      </w:r>
    </w:p>
    <w:p w:rsidR="007F10BE" w:rsidRPr="005179F6" w:rsidRDefault="007F10BE" w:rsidP="00816069">
      <w:pPr>
        <w:jc w:val="both"/>
        <w:rPr>
          <w:rFonts w:cstheme="minorHAnsi"/>
        </w:rPr>
      </w:pPr>
    </w:p>
    <w:p w:rsidR="00270052" w:rsidRPr="005179F6" w:rsidRDefault="00270052" w:rsidP="00816069">
      <w:pPr>
        <w:pStyle w:val="Heading1"/>
        <w:jc w:val="both"/>
      </w:pPr>
      <w:bookmarkStart w:id="17" w:name="_Toc399150600"/>
      <w:r w:rsidRPr="005179F6">
        <w:t>Physical examination to assess bleeding risk</w:t>
      </w:r>
      <w:bookmarkEnd w:id="17"/>
    </w:p>
    <w:p w:rsidR="00EF7B6F" w:rsidRPr="005179F6" w:rsidRDefault="00EF7B6F" w:rsidP="00816069">
      <w:pPr>
        <w:jc w:val="both"/>
        <w:rPr>
          <w:rFonts w:cstheme="minorHAnsi"/>
        </w:rPr>
      </w:pPr>
      <w:r w:rsidRPr="005179F6">
        <w:rPr>
          <w:rFonts w:cstheme="minorHAnsi"/>
        </w:rPr>
        <w:t>Physical examination should be performed as a second step, focusing on signs of bleeding and diseases which may cause haemostatic</w:t>
      </w:r>
      <w:r w:rsidR="00D44704" w:rsidRPr="005179F6">
        <w:rPr>
          <w:rFonts w:cstheme="minorHAnsi"/>
        </w:rPr>
        <w:t xml:space="preserve"> failure (e.g. liver disease</w:t>
      </w:r>
      <w:r w:rsidRPr="005179F6">
        <w:rPr>
          <w:rFonts w:cstheme="minorHAnsi"/>
        </w:rPr>
        <w:t>).</w:t>
      </w:r>
      <w:r w:rsidRPr="005E1050">
        <w:rPr>
          <w:rFonts w:cstheme="minorHAnsi"/>
          <w:vertAlign w:val="superscript"/>
        </w:rPr>
        <w:t>2</w:t>
      </w:r>
      <w:r w:rsidRPr="005179F6">
        <w:rPr>
          <w:rFonts w:cstheme="minorHAnsi"/>
        </w:rPr>
        <w:t xml:space="preserve"> Gender, body mass index and comorbidities including arterial hypertension, diabetes mellitus and renal dysfunction are independent risk factors for bleeding and transfusion.</w:t>
      </w:r>
      <w:r w:rsidRPr="005E1050">
        <w:rPr>
          <w:rFonts w:cstheme="minorHAnsi"/>
          <w:vertAlign w:val="superscript"/>
        </w:rPr>
        <w:t>2</w:t>
      </w:r>
      <w:r w:rsidRPr="005179F6">
        <w:rPr>
          <w:rFonts w:cstheme="minorHAnsi"/>
        </w:rPr>
        <w:t xml:space="preserve"> </w:t>
      </w:r>
      <w:r w:rsidR="001C4454">
        <w:rPr>
          <w:rFonts w:cstheme="minorHAnsi"/>
        </w:rPr>
        <w:t>E</w:t>
      </w:r>
      <w:r w:rsidR="001C4454" w:rsidRPr="005179F6">
        <w:rPr>
          <w:rFonts w:cstheme="minorHAnsi"/>
        </w:rPr>
        <w:t xml:space="preserve">vidence </w:t>
      </w:r>
      <w:r w:rsidRPr="005179F6">
        <w:rPr>
          <w:rFonts w:cstheme="minorHAnsi"/>
        </w:rPr>
        <w:t xml:space="preserve">of bleeding or anaemia, including size, location, and distribution of </w:t>
      </w:r>
      <w:proofErr w:type="spellStart"/>
      <w:r w:rsidRPr="005179F6">
        <w:rPr>
          <w:rFonts w:cstheme="minorHAnsi"/>
        </w:rPr>
        <w:t>ecchymoses</w:t>
      </w:r>
      <w:proofErr w:type="spellEnd"/>
      <w:r w:rsidRPr="005179F6">
        <w:rPr>
          <w:rFonts w:cstheme="minorHAnsi"/>
        </w:rPr>
        <w:t>, haematomas, and petechiae</w:t>
      </w:r>
      <w:r w:rsidR="001C4454">
        <w:rPr>
          <w:rFonts w:cstheme="minorHAnsi"/>
        </w:rPr>
        <w:t xml:space="preserve"> should be sought</w:t>
      </w:r>
      <w:r w:rsidRPr="005179F6">
        <w:rPr>
          <w:rFonts w:cstheme="minorHAnsi"/>
        </w:rPr>
        <w:t>.</w:t>
      </w:r>
      <w:r w:rsidR="005E1050" w:rsidRPr="005E1050">
        <w:rPr>
          <w:rFonts w:cstheme="minorHAnsi"/>
          <w:vertAlign w:val="superscript"/>
        </w:rPr>
        <w:t>1</w:t>
      </w:r>
      <w:r w:rsidR="008539E6">
        <w:rPr>
          <w:rFonts w:cstheme="minorHAnsi"/>
          <w:vertAlign w:val="superscript"/>
        </w:rPr>
        <w:t>1</w:t>
      </w:r>
      <w:r w:rsidRPr="005179F6">
        <w:rPr>
          <w:rFonts w:cstheme="minorHAnsi"/>
        </w:rPr>
        <w:t xml:space="preserve"> Evidence of risks of increased bleeding such as jaundice or spider </w:t>
      </w:r>
      <w:proofErr w:type="spellStart"/>
      <w:r w:rsidRPr="005179F6">
        <w:rPr>
          <w:rFonts w:cstheme="minorHAnsi"/>
        </w:rPr>
        <w:t>angiomata</w:t>
      </w:r>
      <w:proofErr w:type="spellEnd"/>
      <w:r w:rsidRPr="005179F6">
        <w:rPr>
          <w:rFonts w:cstheme="minorHAnsi"/>
        </w:rPr>
        <w:t xml:space="preserve">, splenomegaly, </w:t>
      </w:r>
      <w:proofErr w:type="spellStart"/>
      <w:r w:rsidRPr="005179F6">
        <w:rPr>
          <w:rFonts w:cstheme="minorHAnsi"/>
        </w:rPr>
        <w:t>arthropathy</w:t>
      </w:r>
      <w:proofErr w:type="spellEnd"/>
      <w:r w:rsidRPr="005179F6">
        <w:rPr>
          <w:rFonts w:cstheme="minorHAnsi"/>
        </w:rPr>
        <w:t>, joint and skin laxity, and telangiectasia should also be assessed.</w:t>
      </w:r>
      <w:r w:rsidR="005E1050" w:rsidRPr="005E1050">
        <w:rPr>
          <w:rFonts w:cstheme="minorHAnsi"/>
          <w:vertAlign w:val="superscript"/>
        </w:rPr>
        <w:t>1</w:t>
      </w:r>
      <w:r w:rsidR="005972D6">
        <w:rPr>
          <w:rFonts w:cstheme="minorHAnsi"/>
          <w:vertAlign w:val="superscript"/>
        </w:rPr>
        <w:t>2</w:t>
      </w:r>
    </w:p>
    <w:p w:rsidR="00EF7B6F" w:rsidRPr="005179F6" w:rsidRDefault="00EF7B6F" w:rsidP="00816069">
      <w:pPr>
        <w:jc w:val="both"/>
        <w:rPr>
          <w:rFonts w:cstheme="minorHAnsi"/>
        </w:rPr>
      </w:pPr>
    </w:p>
    <w:p w:rsidR="000E7E5A" w:rsidRPr="005179F6" w:rsidRDefault="00F00062" w:rsidP="00816069">
      <w:pPr>
        <w:pStyle w:val="Heading1"/>
        <w:jc w:val="both"/>
      </w:pPr>
      <w:bookmarkStart w:id="18" w:name="_Toc399150601"/>
      <w:r w:rsidRPr="005179F6">
        <w:t>Coagulation assessment</w:t>
      </w:r>
      <w:bookmarkEnd w:id="18"/>
    </w:p>
    <w:p w:rsidR="00F00062" w:rsidRPr="005179F6" w:rsidRDefault="00F00062" w:rsidP="00816069">
      <w:pPr>
        <w:jc w:val="both"/>
        <w:rPr>
          <w:rFonts w:cstheme="minorHAnsi"/>
        </w:rPr>
      </w:pPr>
      <w:r w:rsidRPr="005179F6">
        <w:rPr>
          <w:rFonts w:cstheme="minorHAnsi"/>
        </w:rPr>
        <w:t xml:space="preserve">Traditionally, perioperative coagulation monitoring has relied on clinical judgement and standard laboratory tests (SLTs). However, many SLTs were designed to test for coagulation factor deficiencies, not for predicting risk of bleeding or guiding haemostatic management. Moreover, utility of SLTs in emergency situations is limited by slow turnaround times due to sample transport and plasma </w:t>
      </w:r>
      <w:r w:rsidR="007E0454" w:rsidRPr="005179F6">
        <w:rPr>
          <w:rFonts w:cstheme="minorHAnsi"/>
        </w:rPr>
        <w:t>preparation requirements</w:t>
      </w:r>
      <w:r w:rsidRPr="005179F6">
        <w:rPr>
          <w:rFonts w:cstheme="minorHAnsi"/>
        </w:rPr>
        <w:t>.</w:t>
      </w:r>
      <w:r w:rsidRPr="005E1050">
        <w:rPr>
          <w:rFonts w:cstheme="minorHAnsi"/>
          <w:vertAlign w:val="superscript"/>
        </w:rPr>
        <w:t>2</w:t>
      </w:r>
    </w:p>
    <w:p w:rsidR="00962DDF" w:rsidRPr="005179F6" w:rsidRDefault="00962DDF" w:rsidP="00816069">
      <w:pPr>
        <w:jc w:val="both"/>
        <w:rPr>
          <w:rFonts w:cstheme="minorHAnsi"/>
        </w:rPr>
      </w:pPr>
    </w:p>
    <w:p w:rsidR="00962DDF" w:rsidRPr="005179F6" w:rsidRDefault="00962DDF" w:rsidP="005E1050">
      <w:pPr>
        <w:jc w:val="both"/>
        <w:rPr>
          <w:rFonts w:cstheme="minorHAnsi"/>
        </w:rPr>
      </w:pPr>
      <w:r w:rsidRPr="005179F6">
        <w:rPr>
          <w:rFonts w:cstheme="minorHAnsi"/>
        </w:rPr>
        <w:t xml:space="preserve">Routine coagulation testing to predict perioperative bleeding risk in unselected patients prior to </w:t>
      </w:r>
      <w:r w:rsidRPr="005179F6">
        <w:rPr>
          <w:rFonts w:cstheme="minorHAnsi"/>
        </w:rPr>
        <w:lastRenderedPageBreak/>
        <w:t>surgery or other invasive procedures is not recommended.</w:t>
      </w:r>
      <w:r w:rsidRPr="005E1050">
        <w:rPr>
          <w:rFonts w:cstheme="minorHAnsi"/>
          <w:vertAlign w:val="superscript"/>
        </w:rPr>
        <w:t>1,2</w:t>
      </w:r>
      <w:r w:rsidRPr="005179F6">
        <w:rPr>
          <w:rFonts w:cstheme="minorHAnsi"/>
        </w:rPr>
        <w:t xml:space="preserve"> Coagulation tests may suggest increased bleeding risk, but they cannot predict intraoperative or postoperative bleeding caused by exogenous factors.</w:t>
      </w:r>
      <w:r w:rsidRPr="005E1050">
        <w:rPr>
          <w:rFonts w:cstheme="minorHAnsi"/>
          <w:vertAlign w:val="superscript"/>
        </w:rPr>
        <w:t>2</w:t>
      </w:r>
    </w:p>
    <w:p w:rsidR="00BC68CD" w:rsidRPr="005179F6" w:rsidRDefault="00BC68CD" w:rsidP="005E1050">
      <w:pPr>
        <w:jc w:val="both"/>
        <w:rPr>
          <w:rFonts w:cstheme="minorHAnsi"/>
        </w:rPr>
      </w:pPr>
    </w:p>
    <w:p w:rsidR="000E7E5A" w:rsidRPr="005179F6" w:rsidRDefault="00DE2E2B" w:rsidP="005E1050">
      <w:pPr>
        <w:jc w:val="both"/>
        <w:rPr>
          <w:rFonts w:cstheme="minorHAnsi"/>
        </w:rPr>
      </w:pPr>
      <w:r w:rsidRPr="005179F6">
        <w:rPr>
          <w:rFonts w:cstheme="minorHAnsi"/>
        </w:rPr>
        <w:t xml:space="preserve">Selective laboratory testing is advised because it is more cost-effective and more evidence based. Preoperative assessment of </w:t>
      </w:r>
      <w:proofErr w:type="spellStart"/>
      <w:r w:rsidRPr="005179F6">
        <w:rPr>
          <w:rFonts w:cstheme="minorHAnsi"/>
        </w:rPr>
        <w:t>aPTT</w:t>
      </w:r>
      <w:proofErr w:type="spellEnd"/>
      <w:r w:rsidRPr="005179F6">
        <w:rPr>
          <w:rFonts w:cstheme="minorHAnsi"/>
        </w:rPr>
        <w:t>, PT, INR, fibrinogen and platelet count is warranted in patients with bleeding disorders, a history of bleeding or a clear clinical indication (e.g. HELLP syndrome [haemolysis, elevated liver enzymes and low platelets], liver disease</w:t>
      </w:r>
      <w:r w:rsidR="00BC6A8C" w:rsidRPr="005179F6">
        <w:rPr>
          <w:rFonts w:cstheme="minorHAnsi"/>
        </w:rPr>
        <w:t xml:space="preserve"> or</w:t>
      </w:r>
      <w:r w:rsidRPr="005179F6">
        <w:rPr>
          <w:rFonts w:cstheme="minorHAnsi"/>
        </w:rPr>
        <w:t xml:space="preserve"> leukaemia</w:t>
      </w:r>
      <w:r w:rsidR="00B232A5" w:rsidRPr="005179F6">
        <w:rPr>
          <w:rFonts w:cstheme="minorHAnsi"/>
        </w:rPr>
        <w:t>).</w:t>
      </w:r>
    </w:p>
    <w:p w:rsidR="00B232A5" w:rsidRPr="005179F6" w:rsidRDefault="00B232A5" w:rsidP="005E1050">
      <w:pPr>
        <w:jc w:val="both"/>
        <w:rPr>
          <w:rFonts w:cstheme="minorHAnsi"/>
        </w:rPr>
      </w:pPr>
    </w:p>
    <w:p w:rsidR="00B232A5" w:rsidRPr="00152639" w:rsidRDefault="00B232A5" w:rsidP="00152639">
      <w:pPr>
        <w:jc w:val="both"/>
        <w:rPr>
          <w:rFonts w:cstheme="minorHAnsi"/>
        </w:rPr>
      </w:pPr>
      <w:r w:rsidRPr="005179F6">
        <w:rPr>
          <w:rFonts w:cstheme="minorHAnsi"/>
        </w:rPr>
        <w:t xml:space="preserve">Platelet function </w:t>
      </w:r>
      <w:r w:rsidR="009A080A">
        <w:rPr>
          <w:rFonts w:cstheme="minorHAnsi"/>
        </w:rPr>
        <w:t xml:space="preserve">screening (eg with a </w:t>
      </w:r>
      <w:r w:rsidR="009A080A" w:rsidRPr="005179F6">
        <w:rPr>
          <w:rFonts w:cstheme="minorHAnsi"/>
        </w:rPr>
        <w:t xml:space="preserve">Platelet Function Analyser (PFA-100®, Siemens, Tarrytown, NY) </w:t>
      </w:r>
      <w:r w:rsidR="009A080A">
        <w:rPr>
          <w:rFonts w:cstheme="minorHAnsi"/>
        </w:rPr>
        <w:t xml:space="preserve">may be useful preoperatively in </w:t>
      </w:r>
      <w:r w:rsidR="009A080A" w:rsidRPr="00152639">
        <w:rPr>
          <w:rFonts w:cstheme="minorHAnsi"/>
        </w:rPr>
        <w:t>patients with a positive bleeding history</w:t>
      </w:r>
      <w:r w:rsidR="009A080A">
        <w:rPr>
          <w:rFonts w:cstheme="minorHAnsi"/>
        </w:rPr>
        <w:t xml:space="preserve"> or taking antiplatelet medication.</w:t>
      </w:r>
      <w:r w:rsidRPr="005E1050">
        <w:rPr>
          <w:rFonts w:cstheme="minorHAnsi"/>
          <w:vertAlign w:val="superscript"/>
        </w:rPr>
        <w:t>2</w:t>
      </w:r>
    </w:p>
    <w:p w:rsidR="00B232A5" w:rsidRDefault="00B232A5" w:rsidP="005E1050">
      <w:pPr>
        <w:jc w:val="both"/>
        <w:rPr>
          <w:rFonts w:cstheme="minorHAnsi"/>
        </w:rPr>
      </w:pPr>
    </w:p>
    <w:p w:rsidR="009F20B4" w:rsidRPr="005179F6" w:rsidRDefault="00F00062" w:rsidP="005E1050">
      <w:pPr>
        <w:pStyle w:val="Heading1"/>
        <w:jc w:val="both"/>
      </w:pPr>
      <w:bookmarkStart w:id="19" w:name="_Toc399150602"/>
      <w:r w:rsidRPr="005179F6">
        <w:t xml:space="preserve">Point-of-care coagulation </w:t>
      </w:r>
      <w:r w:rsidR="00B232A5" w:rsidRPr="005179F6">
        <w:t>assessment</w:t>
      </w:r>
      <w:bookmarkEnd w:id="19"/>
    </w:p>
    <w:p w:rsidR="009F20B4" w:rsidRPr="005179F6" w:rsidRDefault="00B232A5" w:rsidP="005E1050">
      <w:pPr>
        <w:jc w:val="both"/>
        <w:rPr>
          <w:rFonts w:cstheme="minorHAnsi"/>
        </w:rPr>
      </w:pPr>
      <w:r w:rsidRPr="005179F6">
        <w:rPr>
          <w:rFonts w:cstheme="minorHAnsi"/>
        </w:rPr>
        <w:t>Point-of-care (POC) coagulation assays such as thrombelastography (TEG;</w:t>
      </w:r>
      <w:r w:rsidR="00E92B2B">
        <w:rPr>
          <w:rFonts w:cstheme="minorHAnsi"/>
        </w:rPr>
        <w:t xml:space="preserve"> Haemonetics Corporation</w:t>
      </w:r>
      <w:r w:rsidRPr="005179F6">
        <w:rPr>
          <w:rFonts w:cstheme="minorHAnsi"/>
        </w:rPr>
        <w:t>,</w:t>
      </w:r>
      <w:r w:rsidR="00E92B2B">
        <w:rPr>
          <w:rFonts w:cstheme="minorHAnsi"/>
        </w:rPr>
        <w:t xml:space="preserve"> MA, United States</w:t>
      </w:r>
      <w:r w:rsidRPr="005179F6">
        <w:rPr>
          <w:rFonts w:cstheme="minorHAnsi"/>
        </w:rPr>
        <w:t>) and thromboelastometry (ROTEM</w:t>
      </w:r>
      <w:r w:rsidR="005371DA" w:rsidRPr="005179F6">
        <w:rPr>
          <w:rFonts w:cstheme="minorHAnsi"/>
        </w:rPr>
        <w:t>; TemInternationalGmbH,</w:t>
      </w:r>
      <w:r w:rsidR="008A7E4B">
        <w:rPr>
          <w:rFonts w:cstheme="minorHAnsi"/>
        </w:rPr>
        <w:t xml:space="preserve"> </w:t>
      </w:r>
      <w:r w:rsidR="005371DA" w:rsidRPr="005179F6">
        <w:rPr>
          <w:rFonts w:cstheme="minorHAnsi"/>
        </w:rPr>
        <w:t>Munich,</w:t>
      </w:r>
      <w:r w:rsidR="008A7E4B">
        <w:rPr>
          <w:rFonts w:cstheme="minorHAnsi"/>
        </w:rPr>
        <w:t xml:space="preserve"> </w:t>
      </w:r>
      <w:r w:rsidR="005371DA" w:rsidRPr="005179F6">
        <w:rPr>
          <w:rFonts w:cstheme="minorHAnsi"/>
        </w:rPr>
        <w:t>Germany</w:t>
      </w:r>
      <w:r w:rsidRPr="005179F6">
        <w:rPr>
          <w:rFonts w:cstheme="minorHAnsi"/>
        </w:rPr>
        <w:t>),</w:t>
      </w:r>
      <w:r w:rsidR="005161B2" w:rsidRPr="005179F6">
        <w:rPr>
          <w:rFonts w:cstheme="minorHAnsi"/>
        </w:rPr>
        <w:t xml:space="preserve"> </w:t>
      </w:r>
      <w:proofErr w:type="gramStart"/>
      <w:r w:rsidR="005161B2" w:rsidRPr="005179F6">
        <w:rPr>
          <w:rFonts w:cstheme="minorHAnsi"/>
        </w:rPr>
        <w:t>enable</w:t>
      </w:r>
      <w:proofErr w:type="gramEnd"/>
      <w:r w:rsidR="005161B2" w:rsidRPr="005179F6">
        <w:rPr>
          <w:rFonts w:cstheme="minorHAnsi"/>
        </w:rPr>
        <w:t xml:space="preserve"> </w:t>
      </w:r>
      <w:r w:rsidR="007E0454" w:rsidRPr="005179F6">
        <w:rPr>
          <w:rFonts w:cstheme="minorHAnsi"/>
        </w:rPr>
        <w:t>rapid intraoperative diagnosis of the cause of bleeding</w:t>
      </w:r>
      <w:r w:rsidR="007E0454" w:rsidRPr="005E1050">
        <w:rPr>
          <w:rFonts w:cstheme="minorHAnsi"/>
          <w:vertAlign w:val="superscript"/>
        </w:rPr>
        <w:t>2</w:t>
      </w:r>
      <w:r w:rsidR="00A104E7" w:rsidRPr="005179F6">
        <w:rPr>
          <w:rFonts w:cstheme="minorHAnsi"/>
        </w:rPr>
        <w:t xml:space="preserve"> </w:t>
      </w:r>
      <w:r w:rsidR="002B17F3" w:rsidRPr="005179F6">
        <w:rPr>
          <w:rFonts w:cstheme="minorHAnsi"/>
        </w:rPr>
        <w:t xml:space="preserve">but are not practical to use in pre-operative bleeding risk assessment and may not predict bleeding risk. </w:t>
      </w:r>
      <w:r w:rsidR="009F20B4" w:rsidRPr="005179F6">
        <w:rPr>
          <w:rFonts w:cstheme="minorHAnsi"/>
        </w:rPr>
        <w:t>Indiscriminate preoperative coagulation monitoring using POC assays is unlikely to be cost-effective, but it may be wa</w:t>
      </w:r>
      <w:r w:rsidR="006274B4">
        <w:rPr>
          <w:rFonts w:cstheme="minorHAnsi"/>
        </w:rPr>
        <w:t>rranted in combination with standard laboratory testing</w:t>
      </w:r>
      <w:r w:rsidR="009F20B4" w:rsidRPr="005179F6">
        <w:rPr>
          <w:rFonts w:cstheme="minorHAnsi"/>
        </w:rPr>
        <w:t xml:space="preserve"> in patients with bleeding disorders such as VWD, factor XII deficiency, and haemoph</w:t>
      </w:r>
      <w:r w:rsidR="0081085F" w:rsidRPr="005179F6">
        <w:rPr>
          <w:rFonts w:cstheme="minorHAnsi"/>
        </w:rPr>
        <w:t>ilia A with dysfibrinogenaemia.</w:t>
      </w:r>
      <w:r w:rsidR="0081085F" w:rsidRPr="005E1050">
        <w:rPr>
          <w:rFonts w:cstheme="minorHAnsi"/>
          <w:vertAlign w:val="superscript"/>
        </w:rPr>
        <w:t>2</w:t>
      </w:r>
      <w:r w:rsidR="002B17F3" w:rsidRPr="005179F6">
        <w:rPr>
          <w:rFonts w:cstheme="minorHAnsi"/>
        </w:rPr>
        <w:t xml:space="preserve"> Consideration for use in cardiac surgery is recommended.</w:t>
      </w:r>
      <w:r w:rsidR="005E1050" w:rsidRPr="005E1050">
        <w:rPr>
          <w:rFonts w:cstheme="minorHAnsi"/>
          <w:vertAlign w:val="superscript"/>
        </w:rPr>
        <w:t>3</w:t>
      </w:r>
    </w:p>
    <w:p w:rsidR="000E7E5A" w:rsidRPr="005179F6" w:rsidRDefault="000E7E5A" w:rsidP="005E1050">
      <w:pPr>
        <w:jc w:val="both"/>
        <w:rPr>
          <w:rFonts w:cstheme="minorHAnsi"/>
        </w:rPr>
      </w:pPr>
    </w:p>
    <w:p w:rsidR="00B232A5" w:rsidRPr="005179F6" w:rsidRDefault="00A104E7" w:rsidP="005E1050">
      <w:pPr>
        <w:jc w:val="both"/>
        <w:rPr>
          <w:rFonts w:cstheme="minorHAnsi"/>
        </w:rPr>
      </w:pPr>
      <w:r w:rsidRPr="005179F6">
        <w:rPr>
          <w:rFonts w:cstheme="minorHAnsi"/>
        </w:rPr>
        <w:t>Similarly, t</w:t>
      </w:r>
      <w:r w:rsidR="00B232A5" w:rsidRPr="005179F6">
        <w:rPr>
          <w:rFonts w:cstheme="minorHAnsi"/>
        </w:rPr>
        <w:t>here is currently little evidence to support additional, routine application of point-of-care INR testing in the preoperative setting to predict bleeding tendency, despite the fact that many recent devices provide results which are comparable with laboratory testing.</w:t>
      </w:r>
      <w:r w:rsidR="00B232A5" w:rsidRPr="005E1050">
        <w:rPr>
          <w:rFonts w:cstheme="minorHAnsi"/>
          <w:vertAlign w:val="superscript"/>
        </w:rPr>
        <w:t>2</w:t>
      </w:r>
    </w:p>
    <w:p w:rsidR="00B232A5" w:rsidRPr="005179F6" w:rsidRDefault="00B232A5" w:rsidP="005E1050">
      <w:pPr>
        <w:jc w:val="both"/>
        <w:rPr>
          <w:rFonts w:cstheme="minorHAnsi"/>
        </w:rPr>
      </w:pPr>
    </w:p>
    <w:p w:rsidR="00DA1A22" w:rsidRPr="005179F6" w:rsidRDefault="00DA1A22" w:rsidP="005E1050">
      <w:pPr>
        <w:pStyle w:val="Heading1"/>
        <w:jc w:val="both"/>
      </w:pPr>
      <w:bookmarkStart w:id="20" w:name="_Toc399150603"/>
      <w:r w:rsidRPr="005179F6">
        <w:t>Type of surgery</w:t>
      </w:r>
      <w:bookmarkEnd w:id="20"/>
    </w:p>
    <w:p w:rsidR="00DA1A22" w:rsidRPr="005179F6" w:rsidRDefault="00DA1A22" w:rsidP="005E1050">
      <w:pPr>
        <w:jc w:val="both"/>
        <w:rPr>
          <w:rFonts w:cstheme="minorHAnsi"/>
        </w:rPr>
      </w:pPr>
      <w:r w:rsidRPr="005179F6">
        <w:rPr>
          <w:rFonts w:cstheme="minorHAnsi"/>
        </w:rPr>
        <w:t>Thoracic or abdominal procedures lasting &gt;2 h</w:t>
      </w:r>
      <w:r w:rsidR="000049C8" w:rsidRPr="005179F6">
        <w:rPr>
          <w:rFonts w:cstheme="minorHAnsi"/>
        </w:rPr>
        <w:t>ours</w:t>
      </w:r>
      <w:r w:rsidRPr="005179F6">
        <w:rPr>
          <w:rFonts w:cstheme="minorHAnsi"/>
        </w:rPr>
        <w:t xml:space="preserve"> and with blood loss &gt;500 m</w:t>
      </w:r>
      <w:r w:rsidR="000049C8" w:rsidRPr="005179F6">
        <w:rPr>
          <w:rFonts w:cstheme="minorHAnsi"/>
        </w:rPr>
        <w:t xml:space="preserve">L </w:t>
      </w:r>
      <w:r w:rsidRPr="005179F6">
        <w:rPr>
          <w:rFonts w:cstheme="minorHAnsi"/>
        </w:rPr>
        <w:t>carry particular risks, and may require laboratory analysis for bleeding risk stratification.</w:t>
      </w:r>
      <w:r w:rsidRPr="001C4454">
        <w:rPr>
          <w:rFonts w:cstheme="minorHAnsi"/>
          <w:vertAlign w:val="superscript"/>
        </w:rPr>
        <w:t>2</w:t>
      </w:r>
      <w:r w:rsidRPr="005179F6">
        <w:rPr>
          <w:rFonts w:cstheme="minorHAnsi"/>
        </w:rPr>
        <w:t xml:space="preserve"> Specialist guidelines or haematology advice should be sought for at risk patients undergoing intracranial, intraocular and neuraxial procedures.</w:t>
      </w:r>
      <w:r w:rsidR="005E1050" w:rsidRPr="005E1050">
        <w:rPr>
          <w:rFonts w:cstheme="minorHAnsi"/>
          <w:vertAlign w:val="superscript"/>
        </w:rPr>
        <w:t>3</w:t>
      </w:r>
    </w:p>
    <w:p w:rsidR="00DA1A22" w:rsidRPr="005179F6" w:rsidRDefault="00DA1A22" w:rsidP="005E1050">
      <w:pPr>
        <w:jc w:val="both"/>
        <w:rPr>
          <w:rFonts w:cstheme="minorHAnsi"/>
        </w:rPr>
      </w:pPr>
    </w:p>
    <w:p w:rsidR="00DA1A22" w:rsidRPr="005179F6" w:rsidRDefault="00DA1A22" w:rsidP="005E1050">
      <w:pPr>
        <w:jc w:val="both"/>
        <w:rPr>
          <w:rFonts w:cstheme="minorHAnsi"/>
        </w:rPr>
      </w:pPr>
      <w:r w:rsidRPr="005179F6">
        <w:rPr>
          <w:rFonts w:cstheme="minorHAnsi"/>
        </w:rPr>
        <w:t>Complex cardiovascular surgery may be accompanied by major blood loss, which can lead to loss and consumption of coagulation factors and haemodilution. Coagulopathy in cardiac surgery patients may be exacerbated by concurrent antithrombotic therapy, extracorporeal circulation, hypothermia and volume replacement using crystalloids/colloids.</w:t>
      </w:r>
      <w:r w:rsidR="008D2981" w:rsidRPr="005E1050">
        <w:rPr>
          <w:rFonts w:cstheme="minorHAnsi"/>
          <w:vertAlign w:val="superscript"/>
        </w:rPr>
        <w:t>2</w:t>
      </w:r>
      <w:r w:rsidRPr="005179F6">
        <w:rPr>
          <w:rFonts w:cstheme="minorHAnsi"/>
        </w:rPr>
        <w:t xml:space="preserve"> Failure to restore haemostasis and restrict perioperative bleeding increases the risk of re-exploration, transfusion requirements, </w:t>
      </w:r>
      <w:proofErr w:type="gramStart"/>
      <w:r w:rsidRPr="005179F6">
        <w:rPr>
          <w:rFonts w:cstheme="minorHAnsi"/>
        </w:rPr>
        <w:t>ICU</w:t>
      </w:r>
      <w:proofErr w:type="gramEnd"/>
      <w:r w:rsidR="005972D6">
        <w:rPr>
          <w:rFonts w:cstheme="minorHAnsi"/>
        </w:rPr>
        <w:t xml:space="preserve"> length of stay</w:t>
      </w:r>
      <w:r w:rsidRPr="005179F6">
        <w:rPr>
          <w:rFonts w:cstheme="minorHAnsi"/>
        </w:rPr>
        <w:t>, morbidity and mortality.</w:t>
      </w:r>
      <w:r w:rsidRPr="005E1050">
        <w:rPr>
          <w:rFonts w:cstheme="minorHAnsi"/>
          <w:vertAlign w:val="superscript"/>
        </w:rPr>
        <w:t>2</w:t>
      </w:r>
    </w:p>
    <w:p w:rsidR="000E7E5A" w:rsidRPr="005179F6" w:rsidRDefault="000E7E5A" w:rsidP="005E1050">
      <w:pPr>
        <w:jc w:val="both"/>
        <w:rPr>
          <w:rFonts w:cstheme="minorHAnsi"/>
        </w:rPr>
      </w:pPr>
    </w:p>
    <w:p w:rsidR="000E7E5A" w:rsidRPr="005179F6" w:rsidRDefault="00DA1A22" w:rsidP="005E1050">
      <w:pPr>
        <w:jc w:val="both"/>
        <w:rPr>
          <w:rFonts w:cstheme="minorHAnsi"/>
        </w:rPr>
      </w:pPr>
      <w:r w:rsidRPr="005179F6">
        <w:rPr>
          <w:rFonts w:cstheme="minorHAnsi"/>
        </w:rPr>
        <w:t xml:space="preserve">Gynaecological cancer patients are prone to increased blood viscosity and fibrinogen concentrations, and perioperative transfusion &gt;2 </w:t>
      </w:r>
      <w:r w:rsidR="000049C8" w:rsidRPr="005179F6">
        <w:rPr>
          <w:rFonts w:cstheme="minorHAnsi"/>
        </w:rPr>
        <w:t>L</w:t>
      </w:r>
      <w:r w:rsidRPr="005179F6">
        <w:rPr>
          <w:rFonts w:cstheme="minorHAnsi"/>
        </w:rPr>
        <w:t xml:space="preserve"> increases the risk of postoperative venous thromboembolism. Perioperative haemostatic monitoring and intervention is critical.</w:t>
      </w:r>
      <w:r w:rsidR="00B53F29" w:rsidRPr="005E1050">
        <w:rPr>
          <w:rFonts w:cstheme="minorHAnsi"/>
          <w:vertAlign w:val="superscript"/>
        </w:rPr>
        <w:t>2</w:t>
      </w:r>
    </w:p>
    <w:p w:rsidR="00B53F29" w:rsidRPr="005179F6" w:rsidRDefault="00B53F29" w:rsidP="005E1050">
      <w:pPr>
        <w:jc w:val="both"/>
        <w:rPr>
          <w:rFonts w:cstheme="minorHAnsi"/>
        </w:rPr>
      </w:pPr>
    </w:p>
    <w:p w:rsidR="000E7E5A" w:rsidRPr="005179F6" w:rsidRDefault="00C17D18" w:rsidP="005E1050">
      <w:pPr>
        <w:jc w:val="both"/>
        <w:rPr>
          <w:rFonts w:cstheme="minorHAnsi"/>
        </w:rPr>
      </w:pPr>
      <w:r w:rsidRPr="005179F6">
        <w:rPr>
          <w:rFonts w:cstheme="minorHAnsi"/>
        </w:rPr>
        <w:t>Obstetric patients with conditions that are likely to result in surgery will require multidisciplinary assessment and management. The NBA Patient Blood Management Guidelines: Module 5 – Obstetrics is currently under development.</w:t>
      </w:r>
    </w:p>
    <w:p w:rsidR="00B43CE3" w:rsidRPr="005179F6" w:rsidRDefault="00B43CE3" w:rsidP="005E1050">
      <w:pPr>
        <w:jc w:val="both"/>
        <w:rPr>
          <w:rFonts w:cstheme="minorHAnsi"/>
        </w:rPr>
      </w:pPr>
    </w:p>
    <w:p w:rsidR="00B43CE3" w:rsidRPr="005179F6" w:rsidRDefault="00B43CE3" w:rsidP="005E1050">
      <w:pPr>
        <w:jc w:val="both"/>
        <w:rPr>
          <w:rFonts w:cstheme="minorHAnsi"/>
        </w:rPr>
      </w:pPr>
      <w:r w:rsidRPr="005179F6">
        <w:rPr>
          <w:rFonts w:cstheme="minorHAnsi"/>
        </w:rPr>
        <w:t>Severe bleeding with the need for allogeneic blood transfusion is relatively uncommon in neurosurgery. However, haematoma growth has a major impact on neurological outcomes and mortality in patients with intracerebral haemorrhage (ICH). Therefore, ICH has to be treated early.</w:t>
      </w:r>
      <w:r w:rsidRPr="005E1050">
        <w:rPr>
          <w:rFonts w:cstheme="minorHAnsi"/>
          <w:vertAlign w:val="superscript"/>
        </w:rPr>
        <w:t>2</w:t>
      </w:r>
    </w:p>
    <w:p w:rsidR="00BC68CD" w:rsidRPr="005179F6" w:rsidRDefault="00BC68CD" w:rsidP="005E1050">
      <w:pPr>
        <w:jc w:val="both"/>
        <w:rPr>
          <w:rFonts w:cstheme="minorHAnsi"/>
        </w:rPr>
      </w:pPr>
    </w:p>
    <w:p w:rsidR="00BC68CD" w:rsidRPr="005179F6" w:rsidRDefault="007F7581" w:rsidP="005E1050">
      <w:pPr>
        <w:pStyle w:val="Heading1"/>
        <w:jc w:val="both"/>
      </w:pPr>
      <w:bookmarkStart w:id="21" w:name="_Toc399150604"/>
      <w:r w:rsidRPr="005179F6">
        <w:lastRenderedPageBreak/>
        <w:t>Patients with comorbidities involving haemostatic derangement</w:t>
      </w:r>
      <w:bookmarkEnd w:id="21"/>
    </w:p>
    <w:p w:rsidR="00BC68CD" w:rsidRPr="005179F6" w:rsidRDefault="0069673C" w:rsidP="005E1050">
      <w:pPr>
        <w:jc w:val="both"/>
        <w:rPr>
          <w:rFonts w:cstheme="minorHAnsi"/>
        </w:rPr>
      </w:pPr>
      <w:r w:rsidRPr="005179F6">
        <w:rPr>
          <w:rFonts w:cstheme="minorHAnsi"/>
        </w:rPr>
        <w:t>Specialist guidelines or haematology advice should be sought for at-risk patients with severe thrombocytopaenia or coagulopathy.</w:t>
      </w:r>
      <w:r w:rsidR="005E1050" w:rsidRPr="005E1050">
        <w:rPr>
          <w:rFonts w:cstheme="minorHAnsi"/>
          <w:vertAlign w:val="superscript"/>
        </w:rPr>
        <w:t>3</w:t>
      </w:r>
      <w:r w:rsidRPr="005179F6">
        <w:rPr>
          <w:rFonts w:cstheme="minorHAnsi"/>
        </w:rPr>
        <w:t xml:space="preserve"> </w:t>
      </w:r>
      <w:r w:rsidR="007F7581" w:rsidRPr="005179F6">
        <w:rPr>
          <w:rFonts w:cstheme="minorHAnsi"/>
        </w:rPr>
        <w:t>The European Society of Anaesthesiology (ESA) suggest that patients with haemostatic derangements associated with systemic, metabolic and</w:t>
      </w:r>
      <w:r w:rsidR="000049C8" w:rsidRPr="005179F6">
        <w:rPr>
          <w:rFonts w:cstheme="minorHAnsi"/>
        </w:rPr>
        <w:t>/or</w:t>
      </w:r>
      <w:r w:rsidR="007F7581" w:rsidRPr="005179F6">
        <w:rPr>
          <w:rFonts w:cstheme="minorHAnsi"/>
        </w:rPr>
        <w:t xml:space="preserve"> endocrine diseases should be managed perioperatively in collaboration with a haematologist.</w:t>
      </w:r>
      <w:r w:rsidR="007F7581" w:rsidRPr="005E1050">
        <w:rPr>
          <w:rFonts w:cstheme="minorHAnsi"/>
          <w:vertAlign w:val="superscript"/>
        </w:rPr>
        <w:t>2</w:t>
      </w:r>
    </w:p>
    <w:p w:rsidR="00BC68CD" w:rsidRPr="005179F6" w:rsidRDefault="00BC68CD" w:rsidP="005E1050">
      <w:pPr>
        <w:jc w:val="both"/>
        <w:rPr>
          <w:rFonts w:cstheme="minorHAnsi"/>
        </w:rPr>
      </w:pPr>
    </w:p>
    <w:p w:rsidR="00BC68CD" w:rsidRPr="005179F6" w:rsidRDefault="00682524" w:rsidP="005E1050">
      <w:pPr>
        <w:pStyle w:val="Heading1"/>
        <w:jc w:val="both"/>
      </w:pPr>
      <w:bookmarkStart w:id="22" w:name="_Toc399150605"/>
      <w:r w:rsidRPr="005179F6">
        <w:t>Patients with congenital bleeding disorders</w:t>
      </w:r>
      <w:bookmarkEnd w:id="22"/>
    </w:p>
    <w:p w:rsidR="00BC68CD" w:rsidRPr="007B196C" w:rsidRDefault="00ED5363" w:rsidP="008539E6">
      <w:pPr>
        <w:pStyle w:val="PlainText"/>
        <w:jc w:val="both"/>
        <w:rPr>
          <w:rFonts w:asciiTheme="minorHAnsi" w:hAnsiTheme="minorHAnsi" w:cstheme="minorHAnsi"/>
          <w:sz w:val="22"/>
          <w:szCs w:val="22"/>
          <w:lang w:eastAsia="en-US"/>
        </w:rPr>
      </w:pPr>
      <w:r w:rsidRPr="007B196C">
        <w:rPr>
          <w:rFonts w:asciiTheme="minorHAnsi" w:hAnsiTheme="minorHAnsi" w:cstheme="minorHAnsi"/>
          <w:sz w:val="22"/>
          <w:szCs w:val="22"/>
          <w:lang w:eastAsia="en-US"/>
        </w:rPr>
        <w:t>Pre-operative assessment and surgery in patients with known or suspected Von Willebrand disease, platelet defects, Haemophilia A and B or other rare bleeding disorders should whenever possible be undertaken in a hospital with a Haemophilia Treatment Centre or in close consultation with a haematologist in a Haemophilia Treatment Centre.</w:t>
      </w:r>
    </w:p>
    <w:p w:rsidR="00F57048" w:rsidRPr="005179F6" w:rsidRDefault="00F57048" w:rsidP="005179F6">
      <w:pPr>
        <w:rPr>
          <w:rFonts w:cstheme="minorHAnsi"/>
        </w:rPr>
      </w:pPr>
      <w:r w:rsidRPr="005179F6">
        <w:rPr>
          <w:rFonts w:cstheme="minorHAnsi"/>
        </w:rPr>
        <w:br w:type="page"/>
      </w:r>
    </w:p>
    <w:p w:rsidR="006B666A" w:rsidRPr="005179F6" w:rsidRDefault="00C17D18" w:rsidP="00983613">
      <w:pPr>
        <w:pStyle w:val="Heading1"/>
      </w:pPr>
      <w:bookmarkStart w:id="23" w:name="_Toc399150606"/>
      <w:r w:rsidRPr="005179F6">
        <w:lastRenderedPageBreak/>
        <w:t>References:</w:t>
      </w:r>
      <w:bookmarkEnd w:id="23"/>
    </w:p>
    <w:p w:rsidR="00E73EB2" w:rsidRPr="00983613" w:rsidRDefault="00E73EB2" w:rsidP="00983613">
      <w:pPr>
        <w:pStyle w:val="ListParagraph"/>
        <w:numPr>
          <w:ilvl w:val="0"/>
          <w:numId w:val="45"/>
        </w:numPr>
        <w:rPr>
          <w:rFonts w:cstheme="minorHAnsi"/>
        </w:rPr>
      </w:pPr>
      <w:r w:rsidRPr="00983613">
        <w:rPr>
          <w:rFonts w:cstheme="minorHAnsi"/>
        </w:rPr>
        <w:t xml:space="preserve">Chee YL, Crawford JC, Watson HG and Greaves M. </w:t>
      </w:r>
      <w:hyperlink r:id="rId41" w:history="1">
        <w:r w:rsidRPr="00983613">
          <w:rPr>
            <w:rStyle w:val="Hyperlink"/>
            <w:rFonts w:cstheme="minorHAnsi"/>
          </w:rPr>
          <w:t>Guidelines on the assessment of bleeding risk prior to surgery or invasive procedures</w:t>
        </w:r>
      </w:hyperlink>
      <w:r w:rsidRPr="00983613">
        <w:rPr>
          <w:rFonts w:cstheme="minorHAnsi"/>
        </w:rPr>
        <w:t>. British Committee for Standards in Haematology. British Journal of Haematology, 2008</w:t>
      </w:r>
      <w:proofErr w:type="gramStart"/>
      <w:r w:rsidRPr="00983613">
        <w:rPr>
          <w:rFonts w:cstheme="minorHAnsi"/>
        </w:rPr>
        <w:t>;140:496</w:t>
      </w:r>
      <w:proofErr w:type="gramEnd"/>
      <w:r w:rsidRPr="00983613">
        <w:rPr>
          <w:rFonts w:cstheme="minorHAnsi"/>
        </w:rPr>
        <w:t>–504</w:t>
      </w:r>
      <w:r w:rsidR="00CE4754">
        <w:rPr>
          <w:rFonts w:cstheme="minorHAnsi"/>
        </w:rPr>
        <w:t>.</w:t>
      </w:r>
    </w:p>
    <w:p w:rsidR="00E73EB2" w:rsidRPr="00983613" w:rsidRDefault="00E73EB2" w:rsidP="00983613">
      <w:pPr>
        <w:pStyle w:val="ListParagraph"/>
        <w:numPr>
          <w:ilvl w:val="0"/>
          <w:numId w:val="45"/>
        </w:numPr>
        <w:rPr>
          <w:rFonts w:cstheme="minorHAnsi"/>
        </w:rPr>
      </w:pPr>
      <w:r w:rsidRPr="00983613">
        <w:rPr>
          <w:rFonts w:cstheme="minorHAnsi"/>
        </w:rPr>
        <w:t xml:space="preserve">Kozek-Langenecker SA, </w:t>
      </w:r>
      <w:proofErr w:type="spellStart"/>
      <w:r w:rsidRPr="00983613">
        <w:rPr>
          <w:rFonts w:cstheme="minorHAnsi"/>
        </w:rPr>
        <w:t>Afshari</w:t>
      </w:r>
      <w:proofErr w:type="spellEnd"/>
      <w:r w:rsidRPr="00983613">
        <w:rPr>
          <w:rFonts w:cstheme="minorHAnsi"/>
        </w:rPr>
        <w:t xml:space="preserve"> A, </w:t>
      </w:r>
      <w:proofErr w:type="spellStart"/>
      <w:r w:rsidRPr="00983613">
        <w:rPr>
          <w:rFonts w:cstheme="minorHAnsi"/>
        </w:rPr>
        <w:t>Albaladejo</w:t>
      </w:r>
      <w:proofErr w:type="spellEnd"/>
      <w:r w:rsidRPr="00983613">
        <w:rPr>
          <w:rFonts w:cstheme="minorHAnsi"/>
        </w:rPr>
        <w:t xml:space="preserve"> P, </w:t>
      </w:r>
      <w:proofErr w:type="spellStart"/>
      <w:r w:rsidRPr="00983613">
        <w:rPr>
          <w:rFonts w:cstheme="minorHAnsi"/>
        </w:rPr>
        <w:t>Santullano</w:t>
      </w:r>
      <w:proofErr w:type="spellEnd"/>
      <w:r w:rsidRPr="00983613">
        <w:rPr>
          <w:rFonts w:cstheme="minorHAnsi"/>
        </w:rPr>
        <w:t xml:space="preserve"> CA, De </w:t>
      </w:r>
      <w:proofErr w:type="spellStart"/>
      <w:r w:rsidRPr="00983613">
        <w:rPr>
          <w:rFonts w:cstheme="minorHAnsi"/>
        </w:rPr>
        <w:t>Robertis</w:t>
      </w:r>
      <w:proofErr w:type="spellEnd"/>
      <w:r w:rsidRPr="00983613">
        <w:rPr>
          <w:rFonts w:cstheme="minorHAnsi"/>
        </w:rPr>
        <w:t xml:space="preserve"> E, et al. Management of severe perioperative bleeding: guidelines from the European Society of Anaesthesiology. Eur J </w:t>
      </w:r>
      <w:proofErr w:type="spellStart"/>
      <w:r w:rsidRPr="00983613">
        <w:rPr>
          <w:rFonts w:cstheme="minorHAnsi"/>
        </w:rPr>
        <w:t>Anaesthesiol</w:t>
      </w:r>
      <w:proofErr w:type="spellEnd"/>
      <w:r w:rsidRPr="00983613">
        <w:rPr>
          <w:rFonts w:cstheme="minorHAnsi"/>
        </w:rPr>
        <w:t>. 2013</w:t>
      </w:r>
      <w:proofErr w:type="gramStart"/>
      <w:r w:rsidRPr="00983613">
        <w:rPr>
          <w:rFonts w:cstheme="minorHAnsi"/>
        </w:rPr>
        <w:t>;30:270</w:t>
      </w:r>
      <w:proofErr w:type="gramEnd"/>
      <w:r w:rsidRPr="00983613">
        <w:rPr>
          <w:rFonts w:cstheme="minorHAnsi"/>
        </w:rPr>
        <w:t>-382.</w:t>
      </w:r>
    </w:p>
    <w:p w:rsidR="00A41A1A" w:rsidRDefault="00A41A1A" w:rsidP="00983613">
      <w:pPr>
        <w:pStyle w:val="ListParagraph"/>
        <w:numPr>
          <w:ilvl w:val="0"/>
          <w:numId w:val="45"/>
        </w:numPr>
        <w:rPr>
          <w:rFonts w:cstheme="minorHAnsi"/>
        </w:rPr>
      </w:pPr>
      <w:r w:rsidRPr="00983613">
        <w:rPr>
          <w:rFonts w:cstheme="minorHAnsi"/>
        </w:rPr>
        <w:t>Nat</w:t>
      </w:r>
      <w:r w:rsidR="006A3969">
        <w:rPr>
          <w:rFonts w:cstheme="minorHAnsi"/>
        </w:rPr>
        <w:t>i</w:t>
      </w:r>
      <w:r w:rsidRPr="00983613">
        <w:rPr>
          <w:rFonts w:cstheme="minorHAnsi"/>
        </w:rPr>
        <w:t xml:space="preserve">onal Blood Authority. </w:t>
      </w:r>
      <w:hyperlink r:id="rId42" w:history="1">
        <w:r w:rsidRPr="00983613">
          <w:rPr>
            <w:rStyle w:val="Hyperlink"/>
            <w:rFonts w:cstheme="minorHAnsi"/>
          </w:rPr>
          <w:t>Patient Blood Management Guidelines: Module 2 – Perioperative</w:t>
        </w:r>
      </w:hyperlink>
      <w:r w:rsidRPr="00983613">
        <w:rPr>
          <w:rFonts w:cstheme="minorHAnsi"/>
        </w:rPr>
        <w:t>. Australia, 2012.</w:t>
      </w:r>
    </w:p>
    <w:p w:rsidR="000535A3" w:rsidRPr="009E1887" w:rsidRDefault="000535A3" w:rsidP="00983613">
      <w:pPr>
        <w:pStyle w:val="ListParagraph"/>
        <w:numPr>
          <w:ilvl w:val="0"/>
          <w:numId w:val="45"/>
        </w:numPr>
        <w:rPr>
          <w:rFonts w:cstheme="minorHAnsi"/>
        </w:rPr>
      </w:pPr>
      <w:r w:rsidRPr="009E1887">
        <w:rPr>
          <w:rFonts w:cstheme="minorHAnsi"/>
        </w:rPr>
        <w:t>Tran H</w:t>
      </w:r>
      <w:r w:rsidR="009E1887">
        <w:rPr>
          <w:rFonts w:cstheme="minorHAnsi"/>
        </w:rPr>
        <w:t>, Joseph J, Young L, McRae S, Curnow J, et al.</w:t>
      </w:r>
      <w:r w:rsidRPr="009E1887">
        <w:rPr>
          <w:rFonts w:cstheme="minorHAnsi"/>
        </w:rPr>
        <w:t xml:space="preserve"> </w:t>
      </w:r>
      <w:hyperlink r:id="rId43" w:history="1">
        <w:r w:rsidRPr="009E1887">
          <w:rPr>
            <w:rStyle w:val="Hyperlink"/>
            <w:rFonts w:cstheme="minorHAnsi"/>
          </w:rPr>
          <w:t>New oral anticoagulants – a practical guide on prescription, laboratory testing and peri-proce</w:t>
        </w:r>
        <w:r w:rsidR="009E1887" w:rsidRPr="009E1887">
          <w:rPr>
            <w:rStyle w:val="Hyperlink"/>
            <w:rFonts w:cstheme="minorHAnsi"/>
          </w:rPr>
          <w:t>dural/bleeding management.</w:t>
        </w:r>
      </w:hyperlink>
      <w:r w:rsidR="009E1887">
        <w:rPr>
          <w:rFonts w:cstheme="minorHAnsi"/>
        </w:rPr>
        <w:t xml:space="preserve"> Internal Medicine Journal, 2014</w:t>
      </w:r>
      <w:proofErr w:type="gramStart"/>
      <w:r w:rsidR="009E1887">
        <w:rPr>
          <w:rFonts w:cstheme="minorHAnsi"/>
        </w:rPr>
        <w:t>;44:525</w:t>
      </w:r>
      <w:proofErr w:type="gramEnd"/>
      <w:r w:rsidR="009E1887">
        <w:rPr>
          <w:rFonts w:cstheme="minorHAnsi"/>
        </w:rPr>
        <w:t>-536</w:t>
      </w:r>
      <w:r w:rsidR="00CE4754">
        <w:rPr>
          <w:rFonts w:cstheme="minorHAnsi"/>
        </w:rPr>
        <w:t>.</w:t>
      </w:r>
    </w:p>
    <w:p w:rsidR="00A41A1A" w:rsidRPr="00983613" w:rsidRDefault="00A41A1A" w:rsidP="00983613">
      <w:pPr>
        <w:pStyle w:val="ListParagraph"/>
        <w:numPr>
          <w:ilvl w:val="0"/>
          <w:numId w:val="45"/>
        </w:numPr>
        <w:rPr>
          <w:rFonts w:cstheme="minorHAnsi"/>
        </w:rPr>
      </w:pPr>
      <w:r w:rsidRPr="00983613">
        <w:rPr>
          <w:rFonts w:cstheme="minorHAnsi"/>
        </w:rPr>
        <w:t xml:space="preserve">Tran HA, Chunilal SD, Harper PL, Tran H, Wood, EM et al. </w:t>
      </w:r>
      <w:hyperlink r:id="rId44" w:history="1">
        <w:r w:rsidRPr="00983613">
          <w:rPr>
            <w:rStyle w:val="Hyperlink"/>
            <w:rFonts w:cstheme="minorHAnsi"/>
          </w:rPr>
          <w:t>An update of consensus guidelines for warfarin reversal</w:t>
        </w:r>
      </w:hyperlink>
      <w:r w:rsidRPr="00983613">
        <w:rPr>
          <w:rFonts w:cstheme="minorHAnsi"/>
        </w:rPr>
        <w:t>. On behalf of the Australasian Society of Thrombosis and Haemostasis. Med J Aust</w:t>
      </w:r>
      <w:r w:rsidR="009E1887">
        <w:rPr>
          <w:rFonts w:cstheme="minorHAnsi"/>
        </w:rPr>
        <w:t>,</w:t>
      </w:r>
      <w:r w:rsidRPr="00983613">
        <w:rPr>
          <w:rFonts w:cstheme="minorHAnsi"/>
        </w:rPr>
        <w:t xml:space="preserve"> 2013</w:t>
      </w:r>
      <w:proofErr w:type="gramStart"/>
      <w:r w:rsidRPr="00983613">
        <w:rPr>
          <w:rFonts w:cstheme="minorHAnsi"/>
        </w:rPr>
        <w:t>;198:198</w:t>
      </w:r>
      <w:proofErr w:type="gramEnd"/>
      <w:r w:rsidRPr="00983613">
        <w:rPr>
          <w:rFonts w:cstheme="minorHAnsi"/>
        </w:rPr>
        <w:t>-199.</w:t>
      </w:r>
    </w:p>
    <w:p w:rsidR="00A41A1A" w:rsidRPr="00983613" w:rsidRDefault="00A41A1A" w:rsidP="00983613">
      <w:pPr>
        <w:pStyle w:val="ListParagraph"/>
        <w:numPr>
          <w:ilvl w:val="0"/>
          <w:numId w:val="45"/>
        </w:numPr>
        <w:rPr>
          <w:rFonts w:cstheme="minorHAnsi"/>
        </w:rPr>
      </w:pPr>
      <w:proofErr w:type="spellStart"/>
      <w:r w:rsidRPr="00983613">
        <w:rPr>
          <w:rFonts w:cstheme="minorHAnsi"/>
        </w:rPr>
        <w:t>Douketis</w:t>
      </w:r>
      <w:proofErr w:type="spellEnd"/>
      <w:r w:rsidRPr="00983613">
        <w:rPr>
          <w:rFonts w:cstheme="minorHAnsi"/>
        </w:rPr>
        <w:t xml:space="preserve"> JD, Berger </w:t>
      </w:r>
      <w:proofErr w:type="spellStart"/>
      <w:r w:rsidRPr="00983613">
        <w:rPr>
          <w:rFonts w:cstheme="minorHAnsi"/>
        </w:rPr>
        <w:t>PB</w:t>
      </w:r>
      <w:proofErr w:type="spellEnd"/>
      <w:r w:rsidRPr="00983613">
        <w:rPr>
          <w:rFonts w:cstheme="minorHAnsi"/>
        </w:rPr>
        <w:t xml:space="preserve">, Dunn AS, et al. </w:t>
      </w:r>
      <w:hyperlink r:id="rId45" w:history="1">
        <w:r w:rsidRPr="00983613">
          <w:rPr>
            <w:rStyle w:val="Hyperlink"/>
            <w:rFonts w:cstheme="minorHAnsi"/>
          </w:rPr>
          <w:t>The perioperative management of antithrombotic therapy*: American College of Chest Physicians Evidence-Based Clinical Practice Guidelines</w:t>
        </w:r>
      </w:hyperlink>
      <w:r w:rsidRPr="00983613">
        <w:rPr>
          <w:rFonts w:cstheme="minorHAnsi"/>
        </w:rPr>
        <w:t xml:space="preserve"> (8th edition). Chest, 2008</w:t>
      </w:r>
      <w:proofErr w:type="gramStart"/>
      <w:r w:rsidRPr="00983613">
        <w:rPr>
          <w:rFonts w:cstheme="minorHAnsi"/>
        </w:rPr>
        <w:t>;133</w:t>
      </w:r>
      <w:proofErr w:type="gramEnd"/>
      <w:r w:rsidRPr="00983613">
        <w:rPr>
          <w:rFonts w:cstheme="minorHAnsi"/>
        </w:rPr>
        <w:t>(6_suppl):299S-339S.</w:t>
      </w:r>
    </w:p>
    <w:p w:rsidR="00701B53" w:rsidRPr="00983613" w:rsidRDefault="00701B53" w:rsidP="00983613">
      <w:pPr>
        <w:pStyle w:val="ListParagraph"/>
        <w:numPr>
          <w:ilvl w:val="0"/>
          <w:numId w:val="45"/>
        </w:numPr>
        <w:rPr>
          <w:rFonts w:cstheme="minorHAnsi"/>
        </w:rPr>
      </w:pPr>
      <w:r w:rsidRPr="00983613">
        <w:rPr>
          <w:rFonts w:cstheme="minorHAnsi"/>
        </w:rPr>
        <w:t xml:space="preserve">Chee YL, Crawford JC, Watson HG, Greaves M. </w:t>
      </w:r>
      <w:hyperlink r:id="rId46" w:history="1">
        <w:r w:rsidRPr="00983613">
          <w:rPr>
            <w:rStyle w:val="Hyperlink"/>
            <w:rFonts w:cstheme="minorHAnsi"/>
          </w:rPr>
          <w:t>Guideline on the management of bleeding in patients on antithrombotic agents</w:t>
        </w:r>
      </w:hyperlink>
      <w:r w:rsidRPr="00983613">
        <w:rPr>
          <w:rFonts w:cstheme="minorHAnsi"/>
        </w:rPr>
        <w:t>: British Committee for Standards in Haematology. British Journal of Haematology, 2008</w:t>
      </w:r>
      <w:proofErr w:type="gramStart"/>
      <w:r w:rsidRPr="00983613">
        <w:rPr>
          <w:rFonts w:cstheme="minorHAnsi"/>
        </w:rPr>
        <w:t>;140:496</w:t>
      </w:r>
      <w:proofErr w:type="gramEnd"/>
      <w:r w:rsidRPr="00983613">
        <w:rPr>
          <w:rFonts w:cstheme="minorHAnsi"/>
        </w:rPr>
        <w:t>-504.</w:t>
      </w:r>
    </w:p>
    <w:p w:rsidR="00E73EB2" w:rsidRPr="00983613" w:rsidRDefault="00E73EB2" w:rsidP="00983613">
      <w:pPr>
        <w:pStyle w:val="ListParagraph"/>
        <w:numPr>
          <w:ilvl w:val="0"/>
          <w:numId w:val="45"/>
        </w:numPr>
        <w:rPr>
          <w:rFonts w:cstheme="minorHAnsi"/>
        </w:rPr>
      </w:pPr>
      <w:proofErr w:type="spellStart"/>
      <w:r w:rsidRPr="00983613">
        <w:rPr>
          <w:rFonts w:cstheme="minorHAnsi"/>
        </w:rPr>
        <w:t>Rydz</w:t>
      </w:r>
      <w:proofErr w:type="spellEnd"/>
      <w:r w:rsidRPr="00983613">
        <w:rPr>
          <w:rFonts w:cstheme="minorHAnsi"/>
        </w:rPr>
        <w:t xml:space="preserve"> N and James PD. </w:t>
      </w:r>
      <w:hyperlink r:id="rId47" w:history="1">
        <w:r w:rsidRPr="00983613">
          <w:rPr>
            <w:rStyle w:val="Hyperlink"/>
            <w:rFonts w:cstheme="minorHAnsi"/>
          </w:rPr>
          <w:t>The evolution and value of bleeding assessment tools</w:t>
        </w:r>
      </w:hyperlink>
      <w:r w:rsidRPr="00983613">
        <w:rPr>
          <w:rFonts w:cstheme="minorHAnsi"/>
        </w:rPr>
        <w:t>. Journal of Thrombosis and Ha</w:t>
      </w:r>
      <w:r w:rsidR="00CE4754">
        <w:rPr>
          <w:rFonts w:cstheme="minorHAnsi"/>
        </w:rPr>
        <w:t>emostasis, 2012; 10: 2223–2229.</w:t>
      </w:r>
    </w:p>
    <w:p w:rsidR="00E73EB2" w:rsidRPr="00983613" w:rsidRDefault="00E73EB2" w:rsidP="00983613">
      <w:pPr>
        <w:pStyle w:val="ListParagraph"/>
        <w:numPr>
          <w:ilvl w:val="0"/>
          <w:numId w:val="45"/>
        </w:numPr>
        <w:rPr>
          <w:rFonts w:cstheme="minorHAnsi"/>
        </w:rPr>
      </w:pPr>
      <w:r w:rsidRPr="00983613">
        <w:rPr>
          <w:rFonts w:cstheme="minorHAnsi"/>
        </w:rPr>
        <w:t xml:space="preserve">O’Brien S. </w:t>
      </w:r>
      <w:hyperlink r:id="rId48" w:history="1">
        <w:r w:rsidRPr="00983613">
          <w:rPr>
            <w:rStyle w:val="Hyperlink"/>
            <w:rFonts w:cstheme="minorHAnsi"/>
          </w:rPr>
          <w:t>Bleeding scores: are they really useful?</w:t>
        </w:r>
      </w:hyperlink>
      <w:r w:rsidRPr="00983613">
        <w:rPr>
          <w:rFonts w:cstheme="minorHAnsi"/>
        </w:rPr>
        <w:t xml:space="preserve"> </w:t>
      </w:r>
      <w:proofErr w:type="spellStart"/>
      <w:r w:rsidRPr="00983613">
        <w:rPr>
          <w:rFonts w:cstheme="minorHAnsi"/>
        </w:rPr>
        <w:t>Hemaotology</w:t>
      </w:r>
      <w:proofErr w:type="spellEnd"/>
      <w:r w:rsidRPr="00983613">
        <w:rPr>
          <w:rFonts w:cstheme="minorHAnsi"/>
        </w:rPr>
        <w:t xml:space="preserve">. Am </w:t>
      </w:r>
      <w:proofErr w:type="spellStart"/>
      <w:r w:rsidRPr="00983613">
        <w:rPr>
          <w:rFonts w:cstheme="minorHAnsi"/>
        </w:rPr>
        <w:t>Soc</w:t>
      </w:r>
      <w:proofErr w:type="spellEnd"/>
      <w:r w:rsidRPr="00983613">
        <w:rPr>
          <w:rFonts w:cstheme="minorHAnsi"/>
        </w:rPr>
        <w:t xml:space="preserve"> </w:t>
      </w:r>
      <w:proofErr w:type="spellStart"/>
      <w:r w:rsidRPr="00983613">
        <w:rPr>
          <w:rFonts w:cstheme="minorHAnsi"/>
        </w:rPr>
        <w:t>Hematol</w:t>
      </w:r>
      <w:proofErr w:type="spellEnd"/>
      <w:r w:rsidRPr="00983613">
        <w:rPr>
          <w:rFonts w:cstheme="minorHAnsi"/>
        </w:rPr>
        <w:t xml:space="preserve"> </w:t>
      </w:r>
      <w:proofErr w:type="spellStart"/>
      <w:r w:rsidRPr="00983613">
        <w:rPr>
          <w:rFonts w:cstheme="minorHAnsi"/>
        </w:rPr>
        <w:t>Educ</w:t>
      </w:r>
      <w:proofErr w:type="spellEnd"/>
      <w:r w:rsidRPr="00983613">
        <w:rPr>
          <w:rFonts w:cstheme="minorHAnsi"/>
        </w:rPr>
        <w:t xml:space="preserve"> Program, 2012</w:t>
      </w:r>
      <w:proofErr w:type="gramStart"/>
      <w:r w:rsidRPr="00983613">
        <w:rPr>
          <w:rFonts w:cstheme="minorHAnsi"/>
        </w:rPr>
        <w:t>;2012:152</w:t>
      </w:r>
      <w:proofErr w:type="gramEnd"/>
      <w:r w:rsidRPr="00983613">
        <w:rPr>
          <w:rFonts w:cstheme="minorHAnsi"/>
        </w:rPr>
        <w:t>-156</w:t>
      </w:r>
      <w:r w:rsidR="00CE4754">
        <w:rPr>
          <w:rFonts w:cstheme="minorHAnsi"/>
        </w:rPr>
        <w:t>.</w:t>
      </w:r>
    </w:p>
    <w:p w:rsidR="000C29AF" w:rsidRPr="00983613" w:rsidRDefault="000C29AF" w:rsidP="000C29AF">
      <w:pPr>
        <w:pStyle w:val="ListParagraph"/>
        <w:numPr>
          <w:ilvl w:val="0"/>
          <w:numId w:val="45"/>
        </w:numPr>
        <w:rPr>
          <w:rFonts w:cstheme="minorHAnsi"/>
        </w:rPr>
      </w:pPr>
      <w:proofErr w:type="spellStart"/>
      <w:r w:rsidRPr="00983613">
        <w:rPr>
          <w:rFonts w:cstheme="minorHAnsi"/>
        </w:rPr>
        <w:t>Rodeghiero</w:t>
      </w:r>
      <w:proofErr w:type="spellEnd"/>
      <w:r w:rsidRPr="00983613">
        <w:rPr>
          <w:rFonts w:cstheme="minorHAnsi"/>
        </w:rPr>
        <w:t xml:space="preserve"> F, </w:t>
      </w:r>
      <w:proofErr w:type="spellStart"/>
      <w:r w:rsidRPr="00983613">
        <w:rPr>
          <w:rFonts w:cstheme="minorHAnsi"/>
        </w:rPr>
        <w:t>Tosetto</w:t>
      </w:r>
      <w:proofErr w:type="spellEnd"/>
      <w:r w:rsidRPr="00983613">
        <w:rPr>
          <w:rFonts w:cstheme="minorHAnsi"/>
        </w:rPr>
        <w:t xml:space="preserve"> A, </w:t>
      </w:r>
      <w:proofErr w:type="spellStart"/>
      <w:r w:rsidRPr="00983613">
        <w:rPr>
          <w:rFonts w:cstheme="minorHAnsi"/>
        </w:rPr>
        <w:t>Abshire</w:t>
      </w:r>
      <w:proofErr w:type="spellEnd"/>
      <w:r w:rsidRPr="00983613">
        <w:rPr>
          <w:rFonts w:cstheme="minorHAnsi"/>
        </w:rPr>
        <w:t xml:space="preserve"> T, Arnold D, </w:t>
      </w:r>
      <w:proofErr w:type="spellStart"/>
      <w:r w:rsidRPr="00983613">
        <w:rPr>
          <w:rFonts w:cstheme="minorHAnsi"/>
        </w:rPr>
        <w:t>Coller</w:t>
      </w:r>
      <w:proofErr w:type="spellEnd"/>
      <w:r w:rsidRPr="00983613">
        <w:rPr>
          <w:rFonts w:cstheme="minorHAnsi"/>
        </w:rPr>
        <w:t xml:space="preserve"> B, et al. and On Behalf Of The ISTH/SSC Joint VWF And Perinatal/Pediatric </w:t>
      </w:r>
      <w:proofErr w:type="spellStart"/>
      <w:r w:rsidRPr="00983613">
        <w:rPr>
          <w:rFonts w:cstheme="minorHAnsi"/>
        </w:rPr>
        <w:t>Hemostasis</w:t>
      </w:r>
      <w:proofErr w:type="spellEnd"/>
      <w:r w:rsidRPr="00983613">
        <w:rPr>
          <w:rFonts w:cstheme="minorHAnsi"/>
        </w:rPr>
        <w:t xml:space="preserve"> Subcommittees Working Group</w:t>
      </w:r>
      <w:proofErr w:type="gramStart"/>
      <w:r w:rsidRPr="00983613">
        <w:rPr>
          <w:rFonts w:cstheme="minorHAnsi"/>
        </w:rPr>
        <w:t xml:space="preserve">.  </w:t>
      </w:r>
      <w:proofErr w:type="gramEnd"/>
      <w:r w:rsidR="00FE124C">
        <w:fldChar w:fldCharType="begin"/>
      </w:r>
      <w:r w:rsidR="00FE124C">
        <w:instrText xml:space="preserve"> HYPERLINK "http://onlinelibrary.wiley.com/doi/10.1111/j.1538-7836.2010.03975.x/full" </w:instrText>
      </w:r>
      <w:r w:rsidR="00FE124C">
        <w:fldChar w:fldCharType="separate"/>
      </w:r>
      <w:r w:rsidRPr="00983613">
        <w:rPr>
          <w:rStyle w:val="Hyperlink"/>
          <w:rFonts w:cstheme="minorHAnsi"/>
        </w:rPr>
        <w:t>ISTH/</w:t>
      </w:r>
      <w:proofErr w:type="spellStart"/>
      <w:r w:rsidRPr="00983613">
        <w:rPr>
          <w:rStyle w:val="Hyperlink"/>
          <w:rFonts w:cstheme="minorHAnsi"/>
        </w:rPr>
        <w:t>SSC</w:t>
      </w:r>
      <w:proofErr w:type="spellEnd"/>
      <w:r w:rsidRPr="00983613">
        <w:rPr>
          <w:rStyle w:val="Hyperlink"/>
          <w:rFonts w:cstheme="minorHAnsi"/>
        </w:rPr>
        <w:t xml:space="preserve"> bleeding assessment tool: a standardized questionnaire and a proposal for a new bleeding score for inherited bleeding disorders</w:t>
      </w:r>
      <w:r w:rsidR="00FE124C">
        <w:rPr>
          <w:rStyle w:val="Hyperlink"/>
          <w:rFonts w:cstheme="minorHAnsi"/>
        </w:rPr>
        <w:fldChar w:fldCharType="end"/>
      </w:r>
      <w:r w:rsidRPr="00983613">
        <w:rPr>
          <w:rFonts w:cstheme="minorHAnsi"/>
        </w:rPr>
        <w:t>. Journal of Thrombosis and Haemostasis, 2010; 8: 2063–2065.</w:t>
      </w:r>
    </w:p>
    <w:p w:rsidR="00E73EB2" w:rsidRPr="00983613" w:rsidRDefault="004A21A7" w:rsidP="00983613">
      <w:pPr>
        <w:pStyle w:val="ListParagraph"/>
        <w:numPr>
          <w:ilvl w:val="0"/>
          <w:numId w:val="45"/>
        </w:numPr>
        <w:rPr>
          <w:rFonts w:cstheme="minorHAnsi"/>
        </w:rPr>
      </w:pPr>
      <w:r w:rsidRPr="00983613">
        <w:rPr>
          <w:rFonts w:cstheme="minorHAnsi"/>
        </w:rPr>
        <w:t>Sadler J</w:t>
      </w:r>
      <w:r w:rsidR="00E73EB2" w:rsidRPr="00983613">
        <w:rPr>
          <w:rFonts w:cstheme="minorHAnsi"/>
        </w:rPr>
        <w:t xml:space="preserve"> E and </w:t>
      </w:r>
      <w:proofErr w:type="spellStart"/>
      <w:r w:rsidR="00E73EB2" w:rsidRPr="00983613">
        <w:rPr>
          <w:rFonts w:cstheme="minorHAnsi"/>
        </w:rPr>
        <w:t>Rodeghiero</w:t>
      </w:r>
      <w:proofErr w:type="spellEnd"/>
      <w:r w:rsidR="00E73EB2" w:rsidRPr="00983613">
        <w:rPr>
          <w:rFonts w:cstheme="minorHAnsi"/>
        </w:rPr>
        <w:t xml:space="preserve"> F. </w:t>
      </w:r>
      <w:hyperlink r:id="rId49" w:history="1">
        <w:r w:rsidR="00E73EB2" w:rsidRPr="00983613">
          <w:rPr>
            <w:rStyle w:val="Hyperlink"/>
            <w:rFonts w:cstheme="minorHAnsi"/>
          </w:rPr>
          <w:t>Provisional criteria for the diagnosis of VWD type 1: on behalf of the ISTH SSC Subcommittee on von Willebrand Factor</w:t>
        </w:r>
      </w:hyperlink>
      <w:r w:rsidR="00E73EB2" w:rsidRPr="00983613">
        <w:rPr>
          <w:rFonts w:cstheme="minorHAnsi"/>
        </w:rPr>
        <w:t>. Journal of Thrombosis and Haemostasis, 2005</w:t>
      </w:r>
      <w:r w:rsidRPr="00983613">
        <w:rPr>
          <w:rFonts w:cstheme="minorHAnsi"/>
        </w:rPr>
        <w:t>; 3</w:t>
      </w:r>
      <w:r w:rsidR="00CE4754">
        <w:rPr>
          <w:rFonts w:cstheme="minorHAnsi"/>
        </w:rPr>
        <w:t>: 775–777.</w:t>
      </w:r>
    </w:p>
    <w:p w:rsidR="000C29AF" w:rsidRPr="00983613" w:rsidRDefault="00690965" w:rsidP="000C29AF">
      <w:pPr>
        <w:pStyle w:val="ListParagraph"/>
        <w:numPr>
          <w:ilvl w:val="0"/>
          <w:numId w:val="45"/>
        </w:numPr>
        <w:rPr>
          <w:rFonts w:cstheme="minorHAnsi"/>
        </w:rPr>
      </w:pPr>
      <w:hyperlink r:id="rId50" w:history="1">
        <w:r w:rsidR="000C29AF" w:rsidRPr="00983613">
          <w:rPr>
            <w:rStyle w:val="Hyperlink"/>
            <w:rFonts w:cstheme="minorHAnsi"/>
          </w:rPr>
          <w:t>2012 Clinical Practice Guideline on the Evaluation and Management of von Willebrand Disease (VWD)</w:t>
        </w:r>
      </w:hyperlink>
      <w:r w:rsidR="000C29AF" w:rsidRPr="00983613">
        <w:rPr>
          <w:rFonts w:cstheme="minorHAnsi"/>
        </w:rPr>
        <w:t>. Quick Reference. American Society of Hematology, 2012.</w:t>
      </w:r>
    </w:p>
    <w:p w:rsidR="000C29AF" w:rsidRPr="00983613" w:rsidRDefault="000C29AF" w:rsidP="000C29AF">
      <w:pPr>
        <w:pStyle w:val="ListParagraph"/>
        <w:numPr>
          <w:ilvl w:val="0"/>
          <w:numId w:val="45"/>
        </w:numPr>
        <w:rPr>
          <w:rFonts w:cstheme="minorHAnsi"/>
        </w:rPr>
      </w:pPr>
      <w:proofErr w:type="spellStart"/>
      <w:r w:rsidRPr="00983613">
        <w:rPr>
          <w:rFonts w:cstheme="minorHAnsi"/>
        </w:rPr>
        <w:t>Liumbruno</w:t>
      </w:r>
      <w:proofErr w:type="spellEnd"/>
      <w:r w:rsidRPr="00983613">
        <w:rPr>
          <w:rFonts w:cstheme="minorHAnsi"/>
        </w:rPr>
        <w:t xml:space="preserve"> GM, </w:t>
      </w:r>
      <w:proofErr w:type="spellStart"/>
      <w:r w:rsidRPr="00983613">
        <w:rPr>
          <w:rFonts w:cstheme="minorHAnsi"/>
        </w:rPr>
        <w:t>Bennardello</w:t>
      </w:r>
      <w:proofErr w:type="spellEnd"/>
      <w:r w:rsidRPr="00983613">
        <w:rPr>
          <w:rFonts w:cstheme="minorHAnsi"/>
        </w:rPr>
        <w:t xml:space="preserve"> F, </w:t>
      </w:r>
      <w:proofErr w:type="spellStart"/>
      <w:r w:rsidRPr="00983613">
        <w:rPr>
          <w:rFonts w:cstheme="minorHAnsi"/>
        </w:rPr>
        <w:t>Lattanzio</w:t>
      </w:r>
      <w:proofErr w:type="spellEnd"/>
      <w:r w:rsidRPr="00983613">
        <w:rPr>
          <w:rFonts w:cstheme="minorHAnsi"/>
        </w:rPr>
        <w:t xml:space="preserve"> A, </w:t>
      </w:r>
      <w:proofErr w:type="spellStart"/>
      <w:r w:rsidRPr="00983613">
        <w:rPr>
          <w:rFonts w:cstheme="minorHAnsi"/>
        </w:rPr>
        <w:t>Piccoli</w:t>
      </w:r>
      <w:proofErr w:type="spellEnd"/>
      <w:r w:rsidRPr="00983613">
        <w:rPr>
          <w:rFonts w:cstheme="minorHAnsi"/>
        </w:rPr>
        <w:t xml:space="preserve"> P, Rossetti G. Italian Society of Transfusion Medicine and </w:t>
      </w:r>
      <w:proofErr w:type="spellStart"/>
      <w:r w:rsidRPr="00983613">
        <w:rPr>
          <w:rFonts w:cstheme="minorHAnsi"/>
        </w:rPr>
        <w:t>Immunohaematology</w:t>
      </w:r>
      <w:proofErr w:type="spellEnd"/>
      <w:r w:rsidRPr="00983613">
        <w:rPr>
          <w:rFonts w:cstheme="minorHAnsi"/>
        </w:rPr>
        <w:t xml:space="preserve"> (</w:t>
      </w:r>
      <w:proofErr w:type="spellStart"/>
      <w:r w:rsidRPr="00983613">
        <w:rPr>
          <w:rFonts w:cstheme="minorHAnsi"/>
        </w:rPr>
        <w:t>SIMTI</w:t>
      </w:r>
      <w:proofErr w:type="spellEnd"/>
      <w:r w:rsidRPr="00983613">
        <w:rPr>
          <w:rFonts w:cstheme="minorHAnsi"/>
        </w:rPr>
        <w:t xml:space="preserve">) Working Party. </w:t>
      </w:r>
      <w:hyperlink r:id="rId51" w:history="1">
        <w:r w:rsidRPr="00983613">
          <w:rPr>
            <w:rStyle w:val="Hyperlink"/>
            <w:rFonts w:cstheme="minorHAnsi"/>
          </w:rPr>
          <w:t>Recommendations for the transfusion management of patients in the peri-operative period. I. The pre-operative period</w:t>
        </w:r>
      </w:hyperlink>
      <w:r w:rsidRPr="00983613">
        <w:rPr>
          <w:rFonts w:cstheme="minorHAnsi"/>
        </w:rPr>
        <w:t>. Blood Transfus, 2011; 9:19–40.</w:t>
      </w:r>
    </w:p>
    <w:p w:rsidR="000C29AF" w:rsidRPr="00983613" w:rsidRDefault="000C29AF" w:rsidP="000C29AF">
      <w:pPr>
        <w:pStyle w:val="ListParagraph"/>
        <w:numPr>
          <w:ilvl w:val="0"/>
          <w:numId w:val="45"/>
        </w:numPr>
        <w:rPr>
          <w:rFonts w:cstheme="minorHAnsi"/>
        </w:rPr>
      </w:pPr>
      <w:r w:rsidRPr="00983613">
        <w:rPr>
          <w:rFonts w:cstheme="minorHAnsi"/>
        </w:rPr>
        <w:t xml:space="preserve">Bowman M, </w:t>
      </w:r>
      <w:proofErr w:type="spellStart"/>
      <w:r w:rsidRPr="00983613">
        <w:rPr>
          <w:rFonts w:cstheme="minorHAnsi"/>
        </w:rPr>
        <w:t>Riddel</w:t>
      </w:r>
      <w:proofErr w:type="spellEnd"/>
      <w:r w:rsidRPr="00983613">
        <w:rPr>
          <w:rFonts w:cstheme="minorHAnsi"/>
        </w:rPr>
        <w:t xml:space="preserve"> J, Rand ML, </w:t>
      </w:r>
      <w:proofErr w:type="spellStart"/>
      <w:r w:rsidRPr="00983613">
        <w:rPr>
          <w:rFonts w:cstheme="minorHAnsi"/>
        </w:rPr>
        <w:t>Tosetto</w:t>
      </w:r>
      <w:proofErr w:type="spellEnd"/>
      <w:r w:rsidRPr="00983613">
        <w:rPr>
          <w:rFonts w:cstheme="minorHAnsi"/>
        </w:rPr>
        <w:t xml:space="preserve"> A, Silva M, and James PD. </w:t>
      </w:r>
      <w:hyperlink r:id="rId52" w:history="1">
        <w:r w:rsidRPr="00983613">
          <w:rPr>
            <w:rStyle w:val="Hyperlink"/>
            <w:rFonts w:cstheme="minorHAnsi"/>
          </w:rPr>
          <w:t>Evaluation of the diagnostic utility for von Willebrand disease of a pediatric bleeding questionnaire</w:t>
        </w:r>
      </w:hyperlink>
      <w:r w:rsidRPr="00983613">
        <w:rPr>
          <w:rFonts w:cstheme="minorHAnsi"/>
        </w:rPr>
        <w:t>. J Thromb Haemost, 2009</w:t>
      </w:r>
      <w:proofErr w:type="gramStart"/>
      <w:r w:rsidRPr="00983613">
        <w:rPr>
          <w:rFonts w:cstheme="minorHAnsi"/>
        </w:rPr>
        <w:t>;7:1418</w:t>
      </w:r>
      <w:proofErr w:type="gramEnd"/>
      <w:r w:rsidRPr="00983613">
        <w:rPr>
          <w:rFonts w:cstheme="minorHAnsi"/>
        </w:rPr>
        <w:t>–1421.</w:t>
      </w:r>
    </w:p>
    <w:p w:rsidR="000C29AF" w:rsidRPr="00983613" w:rsidRDefault="000C29AF" w:rsidP="000C29AF">
      <w:pPr>
        <w:pStyle w:val="ListParagraph"/>
        <w:numPr>
          <w:ilvl w:val="0"/>
          <w:numId w:val="45"/>
        </w:numPr>
        <w:rPr>
          <w:rFonts w:cstheme="minorHAnsi"/>
        </w:rPr>
      </w:pPr>
      <w:r w:rsidRPr="00983613">
        <w:rPr>
          <w:rFonts w:cstheme="minorHAnsi"/>
        </w:rPr>
        <w:t xml:space="preserve">Bowman M, </w:t>
      </w:r>
      <w:proofErr w:type="spellStart"/>
      <w:r w:rsidRPr="00983613">
        <w:rPr>
          <w:rFonts w:cstheme="minorHAnsi"/>
        </w:rPr>
        <w:t>Mundell</w:t>
      </w:r>
      <w:proofErr w:type="spellEnd"/>
      <w:r w:rsidRPr="00983613">
        <w:rPr>
          <w:rFonts w:cstheme="minorHAnsi"/>
        </w:rPr>
        <w:t xml:space="preserve"> G, </w:t>
      </w:r>
      <w:proofErr w:type="spellStart"/>
      <w:r w:rsidRPr="00983613">
        <w:rPr>
          <w:rFonts w:cstheme="minorHAnsi"/>
        </w:rPr>
        <w:t>Grabell</w:t>
      </w:r>
      <w:proofErr w:type="spellEnd"/>
      <w:r w:rsidRPr="00983613">
        <w:rPr>
          <w:rFonts w:cstheme="minorHAnsi"/>
        </w:rPr>
        <w:t xml:space="preserve"> J, et al. </w:t>
      </w:r>
      <w:hyperlink r:id="rId53" w:history="1">
        <w:r w:rsidRPr="00983613">
          <w:rPr>
            <w:rStyle w:val="Hyperlink"/>
            <w:rFonts w:cstheme="minorHAnsi"/>
          </w:rPr>
          <w:t>Generation and validation of the Condensed MCMDM-1VWD Bleeding Questionnaire for von Willebrand disease</w:t>
        </w:r>
      </w:hyperlink>
      <w:r w:rsidRPr="00983613">
        <w:rPr>
          <w:rFonts w:cstheme="minorHAnsi"/>
        </w:rPr>
        <w:t>. J Thromb Haemost, 2008</w:t>
      </w:r>
      <w:proofErr w:type="gramStart"/>
      <w:r w:rsidRPr="00983613">
        <w:rPr>
          <w:rFonts w:cstheme="minorHAnsi"/>
        </w:rPr>
        <w:t>;6:2062</w:t>
      </w:r>
      <w:proofErr w:type="gramEnd"/>
      <w:r w:rsidRPr="00983613">
        <w:rPr>
          <w:rFonts w:cstheme="minorHAnsi"/>
        </w:rPr>
        <w:t>–2066.</w:t>
      </w:r>
    </w:p>
    <w:p w:rsidR="000C29AF" w:rsidRPr="00983613" w:rsidRDefault="000C29AF" w:rsidP="000C29AF">
      <w:pPr>
        <w:pStyle w:val="ListParagraph"/>
        <w:numPr>
          <w:ilvl w:val="0"/>
          <w:numId w:val="45"/>
        </w:numPr>
        <w:rPr>
          <w:rFonts w:cstheme="minorHAnsi"/>
        </w:rPr>
      </w:pPr>
      <w:proofErr w:type="spellStart"/>
      <w:r w:rsidRPr="00983613">
        <w:rPr>
          <w:rFonts w:cstheme="minorHAnsi"/>
        </w:rPr>
        <w:t>Tosetto</w:t>
      </w:r>
      <w:proofErr w:type="spellEnd"/>
      <w:r w:rsidRPr="00983613">
        <w:rPr>
          <w:rFonts w:cstheme="minorHAnsi"/>
        </w:rPr>
        <w:t xml:space="preserve"> A, </w:t>
      </w:r>
      <w:proofErr w:type="spellStart"/>
      <w:r w:rsidRPr="00983613">
        <w:rPr>
          <w:rFonts w:cstheme="minorHAnsi"/>
        </w:rPr>
        <w:t>Rodeghiero</w:t>
      </w:r>
      <w:proofErr w:type="spellEnd"/>
      <w:r w:rsidRPr="00983613">
        <w:rPr>
          <w:rFonts w:cstheme="minorHAnsi"/>
        </w:rPr>
        <w:t xml:space="preserve"> F, </w:t>
      </w:r>
      <w:proofErr w:type="spellStart"/>
      <w:r w:rsidRPr="00983613">
        <w:rPr>
          <w:rFonts w:cstheme="minorHAnsi"/>
        </w:rPr>
        <w:t>Castaman</w:t>
      </w:r>
      <w:proofErr w:type="spellEnd"/>
      <w:r w:rsidRPr="00983613">
        <w:rPr>
          <w:rFonts w:cstheme="minorHAnsi"/>
        </w:rPr>
        <w:t xml:space="preserve"> G, et al. </w:t>
      </w:r>
      <w:hyperlink r:id="rId54" w:history="1">
        <w:r w:rsidRPr="00983613">
          <w:rPr>
            <w:rStyle w:val="Hyperlink"/>
            <w:rFonts w:cstheme="minorHAnsi"/>
          </w:rPr>
          <w:t>A quantitative analysis of bleeding symptoms in type 1 von Willebrand disease: results from a multicenter European study (MCMDM-1 VWD)</w:t>
        </w:r>
      </w:hyperlink>
      <w:r w:rsidRPr="00983613">
        <w:rPr>
          <w:rFonts w:cstheme="minorHAnsi"/>
        </w:rPr>
        <w:t>. J Thromb Haemost, 2006</w:t>
      </w:r>
      <w:proofErr w:type="gramStart"/>
      <w:r w:rsidRPr="00983613">
        <w:rPr>
          <w:rFonts w:cstheme="minorHAnsi"/>
        </w:rPr>
        <w:t>;4:766</w:t>
      </w:r>
      <w:proofErr w:type="gramEnd"/>
      <w:r w:rsidRPr="00983613">
        <w:rPr>
          <w:rFonts w:cstheme="minorHAnsi"/>
        </w:rPr>
        <w:t>–773.</w:t>
      </w:r>
    </w:p>
    <w:p w:rsidR="000B2EAC" w:rsidRPr="00983613" w:rsidRDefault="00E73EB2" w:rsidP="00983613">
      <w:pPr>
        <w:pStyle w:val="ListParagraph"/>
        <w:numPr>
          <w:ilvl w:val="0"/>
          <w:numId w:val="45"/>
        </w:numPr>
        <w:rPr>
          <w:rFonts w:cstheme="minorHAnsi"/>
        </w:rPr>
      </w:pPr>
      <w:proofErr w:type="spellStart"/>
      <w:r w:rsidRPr="00983613">
        <w:rPr>
          <w:rFonts w:cstheme="minorHAnsi"/>
        </w:rPr>
        <w:t>Rodeghiero</w:t>
      </w:r>
      <w:proofErr w:type="spellEnd"/>
      <w:r w:rsidRPr="00983613">
        <w:rPr>
          <w:rFonts w:cstheme="minorHAnsi"/>
        </w:rPr>
        <w:t xml:space="preserve"> F, </w:t>
      </w:r>
      <w:proofErr w:type="spellStart"/>
      <w:r w:rsidRPr="00983613">
        <w:rPr>
          <w:rFonts w:cstheme="minorHAnsi"/>
        </w:rPr>
        <w:t>Castaman</w:t>
      </w:r>
      <w:proofErr w:type="spellEnd"/>
      <w:r w:rsidRPr="00983613">
        <w:rPr>
          <w:rFonts w:cstheme="minorHAnsi"/>
        </w:rPr>
        <w:t xml:space="preserve"> G, </w:t>
      </w:r>
      <w:proofErr w:type="spellStart"/>
      <w:r w:rsidRPr="00983613">
        <w:rPr>
          <w:rFonts w:cstheme="minorHAnsi"/>
        </w:rPr>
        <w:t>Tosetto</w:t>
      </w:r>
      <w:proofErr w:type="spellEnd"/>
      <w:r w:rsidRPr="00983613">
        <w:rPr>
          <w:rFonts w:cstheme="minorHAnsi"/>
        </w:rPr>
        <w:t xml:space="preserve"> A, </w:t>
      </w:r>
      <w:proofErr w:type="spellStart"/>
      <w:r w:rsidRPr="00983613">
        <w:rPr>
          <w:rFonts w:cstheme="minorHAnsi"/>
        </w:rPr>
        <w:t>Batlle</w:t>
      </w:r>
      <w:proofErr w:type="spellEnd"/>
      <w:r w:rsidRPr="00983613">
        <w:rPr>
          <w:rFonts w:cstheme="minorHAnsi"/>
        </w:rPr>
        <w:t xml:space="preserve"> J, Baudo F, et al.  </w:t>
      </w:r>
      <w:hyperlink r:id="rId55" w:history="1">
        <w:r w:rsidRPr="00983613">
          <w:rPr>
            <w:rStyle w:val="Hyperlink"/>
            <w:rFonts w:cstheme="minorHAnsi"/>
          </w:rPr>
          <w:t>The discriminant power of bleeding history for the diagnosis of type 1 von Willebrand disease: an international, multicenter study</w:t>
        </w:r>
      </w:hyperlink>
      <w:r w:rsidRPr="00983613">
        <w:rPr>
          <w:rFonts w:cstheme="minorHAnsi"/>
        </w:rPr>
        <w:t>. J T</w:t>
      </w:r>
      <w:r w:rsidR="00CE4754">
        <w:rPr>
          <w:rFonts w:cstheme="minorHAnsi"/>
        </w:rPr>
        <w:t>hromb Haemost, 2005; 3:2619-26.</w:t>
      </w:r>
    </w:p>
    <w:p w:rsidR="00BE2774" w:rsidRPr="005179F6" w:rsidRDefault="00BE2774" w:rsidP="005179F6">
      <w:pPr>
        <w:rPr>
          <w:rFonts w:cstheme="minorHAnsi"/>
        </w:rPr>
      </w:pPr>
      <w:r w:rsidRPr="005179F6">
        <w:rPr>
          <w:rFonts w:cstheme="minorHAnsi"/>
        </w:rPr>
        <w:br w:type="page"/>
      </w:r>
    </w:p>
    <w:p w:rsidR="00820A60" w:rsidRPr="005179F6" w:rsidRDefault="00820A60" w:rsidP="0048367D">
      <w:pPr>
        <w:pStyle w:val="Heading2"/>
        <w:rPr>
          <w:rFonts w:asciiTheme="minorHAnsi" w:hAnsiTheme="minorHAnsi" w:cstheme="minorHAnsi"/>
        </w:rPr>
      </w:pPr>
      <w:bookmarkStart w:id="24" w:name="_Appendix_1_–"/>
      <w:bookmarkStart w:id="25" w:name="_Appendix_1:_Preoperative"/>
      <w:bookmarkStart w:id="26" w:name="_Toc399150607"/>
      <w:bookmarkEnd w:id="24"/>
      <w:bookmarkEnd w:id="25"/>
      <w:r w:rsidRPr="0048367D">
        <w:lastRenderedPageBreak/>
        <w:t>Appendix 1: Preoperative bleeding risk assessment and intervention – considerations for</w:t>
      </w:r>
      <w:r w:rsidRPr="005179F6">
        <w:rPr>
          <w:rFonts w:asciiTheme="minorHAnsi" w:hAnsiTheme="minorHAnsi" w:cstheme="minorHAnsi"/>
        </w:rPr>
        <w:t xml:space="preserve"> organisations wanting to improve clinical practice</w:t>
      </w:r>
      <w:bookmarkEnd w:id="26"/>
    </w:p>
    <w:p w:rsidR="00820A60" w:rsidRPr="005179F6" w:rsidRDefault="00820A60" w:rsidP="001C4454">
      <w:pPr>
        <w:jc w:val="both"/>
        <w:rPr>
          <w:rFonts w:cstheme="minorHAnsi"/>
        </w:rPr>
      </w:pPr>
      <w:r w:rsidRPr="005179F6">
        <w:rPr>
          <w:rFonts w:cstheme="minorHAnsi"/>
        </w:rPr>
        <w:t>Assessment of bleeding risk is a key component of PBM strategies to minimise blood loss. In order to incorporate preoperative bleeding risk assessment and intervention into routine practice, the use of clinical practice improvement methodology is recommended. Identifying a lead clinician or clinicians (eg. anaesthetist, haematologist, high risk preoperative physician/anaesthetist or general physician with an interest in the area or role in the management of surgical patients) is an important starting point.</w:t>
      </w:r>
    </w:p>
    <w:p w:rsidR="00820A60" w:rsidRPr="005179F6" w:rsidRDefault="00820A60" w:rsidP="001C4454">
      <w:pPr>
        <w:jc w:val="both"/>
        <w:rPr>
          <w:rFonts w:cstheme="minorHAnsi"/>
        </w:rPr>
      </w:pPr>
    </w:p>
    <w:p w:rsidR="00361646" w:rsidRPr="005179F6" w:rsidRDefault="00820A60" w:rsidP="001C4454">
      <w:pPr>
        <w:jc w:val="both"/>
        <w:rPr>
          <w:rFonts w:cstheme="minorHAnsi"/>
        </w:rPr>
      </w:pPr>
      <w:r w:rsidRPr="005179F6">
        <w:rPr>
          <w:rFonts w:cstheme="minorHAnsi"/>
        </w:rPr>
        <w:t xml:space="preserve">Clinical practice improvement (CPI) is the overarching name for a series of methodologies that can be taken to plan, implement and assess the impact of changes in the delivery of health services. Clinical practice improvement is not a one-off event but a continuing cycle of improvement activities. CPI methodology is described in detail in the </w:t>
      </w:r>
      <w:hyperlink r:id="rId56" w:history="1">
        <w:r w:rsidRPr="005179F6">
          <w:rPr>
            <w:rStyle w:val="Hyperlink"/>
            <w:rFonts w:cstheme="minorHAnsi"/>
          </w:rPr>
          <w:t>Easy Guide to Clinical Practice Improvement</w:t>
        </w:r>
      </w:hyperlink>
      <w:r w:rsidRPr="005179F6">
        <w:rPr>
          <w:rFonts w:cstheme="minorHAnsi"/>
        </w:rPr>
        <w:t xml:space="preserve">, and many organisations offer training courses that are based around the participant undertaking a project. </w:t>
      </w:r>
    </w:p>
    <w:p w:rsidR="00361646" w:rsidRPr="005179F6" w:rsidRDefault="00361646" w:rsidP="001C4454">
      <w:pPr>
        <w:jc w:val="both"/>
        <w:rPr>
          <w:rFonts w:cstheme="minorHAnsi"/>
        </w:rPr>
      </w:pPr>
    </w:p>
    <w:p w:rsidR="00820A60" w:rsidRPr="005179F6" w:rsidRDefault="00820A60" w:rsidP="001C4454">
      <w:pPr>
        <w:jc w:val="both"/>
        <w:rPr>
          <w:rFonts w:cstheme="minorHAnsi"/>
        </w:rPr>
      </w:pPr>
      <w:r w:rsidRPr="005179F6">
        <w:rPr>
          <w:rFonts w:cstheme="minorHAnsi"/>
        </w:rPr>
        <w:t xml:space="preserve">Key steps of the CPI process are outlined below with specific examples given for a project centred </w:t>
      </w:r>
      <w:r w:rsidR="00935B70" w:rsidRPr="005179F6">
        <w:rPr>
          <w:rFonts w:cstheme="minorHAnsi"/>
        </w:rPr>
        <w:t>on</w:t>
      </w:r>
      <w:r w:rsidRPr="005179F6">
        <w:rPr>
          <w:rFonts w:cstheme="minorHAnsi"/>
        </w:rPr>
        <w:t xml:space="preserve"> incorporating preoperative bleeding risk assessment and intervention into routine preoperative care in cardiac surgery patients.</w:t>
      </w:r>
    </w:p>
    <w:p w:rsidR="00820A60" w:rsidRPr="0048367D" w:rsidRDefault="00820A60" w:rsidP="001C4454">
      <w:pPr>
        <w:pStyle w:val="ListParagraph"/>
        <w:numPr>
          <w:ilvl w:val="0"/>
          <w:numId w:val="46"/>
        </w:numPr>
        <w:jc w:val="both"/>
        <w:rPr>
          <w:rFonts w:cstheme="minorHAnsi"/>
        </w:rPr>
      </w:pPr>
      <w:r w:rsidRPr="0048367D">
        <w:rPr>
          <w:rFonts w:cstheme="minorHAnsi"/>
        </w:rPr>
        <w:t>Form a guidance team: Gain support from relevant hospital heads including cardiothoracic surgery, anaesthetics, haematology, nursing and safety and quality.</w:t>
      </w:r>
    </w:p>
    <w:p w:rsidR="00820A60" w:rsidRPr="0048367D" w:rsidRDefault="00820A60" w:rsidP="001C4454">
      <w:pPr>
        <w:pStyle w:val="ListParagraph"/>
        <w:numPr>
          <w:ilvl w:val="0"/>
          <w:numId w:val="46"/>
        </w:numPr>
        <w:jc w:val="both"/>
        <w:rPr>
          <w:rFonts w:cstheme="minorHAnsi"/>
        </w:rPr>
      </w:pPr>
      <w:r w:rsidRPr="0048367D">
        <w:rPr>
          <w:rFonts w:cstheme="minorHAnsi"/>
        </w:rPr>
        <w:t>Collect baseline data: Undertake an audit of the frequency and current management of preoperative bleeding risk assessment in cardiac surgery patients.</w:t>
      </w:r>
    </w:p>
    <w:p w:rsidR="00820A60" w:rsidRPr="0048367D" w:rsidRDefault="00820A60" w:rsidP="001C4454">
      <w:pPr>
        <w:pStyle w:val="ListParagraph"/>
        <w:numPr>
          <w:ilvl w:val="0"/>
          <w:numId w:val="46"/>
        </w:numPr>
        <w:jc w:val="both"/>
        <w:rPr>
          <w:rFonts w:cstheme="minorHAnsi"/>
        </w:rPr>
      </w:pPr>
      <w:r w:rsidRPr="0048367D">
        <w:rPr>
          <w:rFonts w:cstheme="minorHAnsi"/>
        </w:rPr>
        <w:t>Establish a multidisciplinary project team consisting of the team leader and people with fundamental knowledge of the process</w:t>
      </w:r>
      <w:r w:rsidR="00935B70">
        <w:rPr>
          <w:rFonts w:cstheme="minorHAnsi"/>
        </w:rPr>
        <w:t>;</w:t>
      </w:r>
      <w:r w:rsidRPr="0048367D">
        <w:rPr>
          <w:rFonts w:cstheme="minorHAnsi"/>
        </w:rPr>
        <w:t xml:space="preserve"> for example</w:t>
      </w:r>
      <w:r w:rsidR="00FC0452">
        <w:rPr>
          <w:rFonts w:cstheme="minorHAnsi"/>
        </w:rPr>
        <w:t xml:space="preserve"> this could include:</w:t>
      </w:r>
      <w:r w:rsidRPr="0048367D">
        <w:rPr>
          <w:rFonts w:cstheme="minorHAnsi"/>
        </w:rPr>
        <w:t xml:space="preserve"> cardiac surgery clinical nurse consultant, cardiac surgery nurse coordinator, cardiac surgeon, cardiac surgery registrar, cardiac surgery resident medical officer, cardiac surgery physiotherapist, high-risk peri-operative physician, anaesthetist overseeing pre-admission clinic, general practitioner (GP), GP liaison nurse, haematologist, transfusion nurse consultant and a consumer. Include a quality improvement facilitator.</w:t>
      </w:r>
    </w:p>
    <w:p w:rsidR="00820A60" w:rsidRPr="0048367D" w:rsidRDefault="00820A60" w:rsidP="001C4454">
      <w:pPr>
        <w:pStyle w:val="ListParagraph"/>
        <w:numPr>
          <w:ilvl w:val="0"/>
          <w:numId w:val="46"/>
        </w:numPr>
        <w:jc w:val="both"/>
        <w:rPr>
          <w:rFonts w:cstheme="minorHAnsi"/>
        </w:rPr>
      </w:pPr>
      <w:r w:rsidRPr="0048367D">
        <w:rPr>
          <w:rFonts w:cstheme="minorHAnsi"/>
        </w:rPr>
        <w:t>Develop an aim or mission statement that is SMART, ie Specific, Timely, Measurable, Appropriate, Result oriented and Time scheduled. (</w:t>
      </w:r>
      <w:proofErr w:type="gramStart"/>
      <w:r w:rsidRPr="0048367D">
        <w:rPr>
          <w:rFonts w:cstheme="minorHAnsi"/>
        </w:rPr>
        <w:t>eg</w:t>
      </w:r>
      <w:proofErr w:type="gramEnd"/>
      <w:r w:rsidRPr="0048367D">
        <w:rPr>
          <w:rFonts w:cstheme="minorHAnsi"/>
        </w:rPr>
        <w:t>. To increase the percentage of patients on the cardiac surgery waiting list with bleeding risk assessed and managed prior to surgery by 75% by MM/YY)</w:t>
      </w:r>
    </w:p>
    <w:p w:rsidR="00820A60" w:rsidRPr="0048367D" w:rsidRDefault="00820A60" w:rsidP="001C4454">
      <w:pPr>
        <w:pStyle w:val="ListParagraph"/>
        <w:numPr>
          <w:ilvl w:val="0"/>
          <w:numId w:val="46"/>
        </w:numPr>
        <w:jc w:val="both"/>
        <w:rPr>
          <w:rFonts w:cstheme="minorHAnsi"/>
        </w:rPr>
      </w:pPr>
      <w:r w:rsidRPr="0048367D">
        <w:rPr>
          <w:rFonts w:cstheme="minorHAnsi"/>
        </w:rPr>
        <w:t>Diagnostic phase: Map (flow-chart) current hospital processes for cardiac surgery patients p</w:t>
      </w:r>
      <w:r w:rsidR="0042789A">
        <w:rPr>
          <w:rFonts w:cstheme="minorHAnsi"/>
        </w:rPr>
        <w:t>re</w:t>
      </w:r>
      <w:r w:rsidRPr="0048367D">
        <w:rPr>
          <w:rFonts w:cstheme="minorHAnsi"/>
        </w:rPr>
        <w:t xml:space="preserve">operatively (starting with initial referral), conduct a brainstorming session of the barriers and enablers to improvement with the project team, construct a cause and effect diagram and prioritise the causes in a Pareto chart. </w:t>
      </w:r>
    </w:p>
    <w:p w:rsidR="00820A60" w:rsidRPr="0048367D" w:rsidRDefault="00820A60" w:rsidP="001C4454">
      <w:pPr>
        <w:pStyle w:val="ListParagraph"/>
        <w:numPr>
          <w:ilvl w:val="0"/>
          <w:numId w:val="46"/>
        </w:numPr>
        <w:jc w:val="both"/>
        <w:rPr>
          <w:rFonts w:cstheme="minorHAnsi"/>
        </w:rPr>
      </w:pPr>
      <w:r w:rsidRPr="0048367D">
        <w:rPr>
          <w:rFonts w:cstheme="minorHAnsi"/>
        </w:rPr>
        <w:t>Intervention phase: Achieve consensus within the team on where to focus improvement energy. Use a plan-do-study-act (PDSA) framework for improvement cycles. Customisation of the suggested flowchart by local experts may be required to tailor it to the patient group and hospital resources/referral pathways. The team will also need to determine the most appropriate bleeding assessment tool for their local setting.</w:t>
      </w:r>
    </w:p>
    <w:p w:rsidR="00820A60" w:rsidRPr="0048367D" w:rsidRDefault="00820A60" w:rsidP="001C4454">
      <w:pPr>
        <w:pStyle w:val="ListParagraph"/>
        <w:numPr>
          <w:ilvl w:val="0"/>
          <w:numId w:val="46"/>
        </w:numPr>
        <w:jc w:val="both"/>
        <w:rPr>
          <w:rFonts w:cstheme="minorHAnsi"/>
        </w:rPr>
      </w:pPr>
      <w:r w:rsidRPr="0048367D">
        <w:rPr>
          <w:rFonts w:cstheme="minorHAnsi"/>
        </w:rPr>
        <w:t>Impact and implementation phase: measure the impact of changes in order to be sure the intervention has resulted in an improvement, and to provide the evidence required to justify permanent implementation of these changes. Measure the number of cardiac surgery patients with bleeding risk assessed and managed in advance of surgery with each improvement cycle.</w:t>
      </w:r>
    </w:p>
    <w:p w:rsidR="00820A60" w:rsidRPr="0048367D" w:rsidRDefault="00820A60" w:rsidP="001C4454">
      <w:pPr>
        <w:pStyle w:val="ListParagraph"/>
        <w:numPr>
          <w:ilvl w:val="0"/>
          <w:numId w:val="46"/>
        </w:numPr>
        <w:jc w:val="both"/>
        <w:rPr>
          <w:rFonts w:cstheme="minorHAnsi"/>
        </w:rPr>
      </w:pPr>
      <w:r w:rsidRPr="0048367D">
        <w:rPr>
          <w:rFonts w:cstheme="minorHAnsi"/>
        </w:rPr>
        <w:t>Sustaining improvement phase: Mechanisms, such as standardisation of existing systems and process, documentation of associated policies, procedures, protocols and guidelines, training and education of staff, and ongoing measurement and review, need to be established to sustain the improvement.</w:t>
      </w:r>
    </w:p>
    <w:p w:rsidR="00EB15B5" w:rsidRPr="005179F6" w:rsidRDefault="00EB15B5" w:rsidP="005179F6">
      <w:pPr>
        <w:rPr>
          <w:rFonts w:cstheme="minorHAnsi"/>
        </w:rPr>
      </w:pPr>
      <w:bookmarkStart w:id="27" w:name="_Appendix_2:_ESA"/>
      <w:bookmarkEnd w:id="27"/>
      <w:r w:rsidRPr="005179F6">
        <w:rPr>
          <w:rFonts w:cstheme="minorHAnsi"/>
        </w:rPr>
        <w:br w:type="page"/>
      </w:r>
    </w:p>
    <w:p w:rsidR="00E8172A" w:rsidRPr="005179F6" w:rsidRDefault="00E8172A" w:rsidP="00F81AC4">
      <w:pPr>
        <w:pStyle w:val="Heading2"/>
      </w:pPr>
      <w:bookmarkStart w:id="28" w:name="_Toc399150608"/>
      <w:r w:rsidRPr="005179F6">
        <w:lastRenderedPageBreak/>
        <w:t>Appendix 2: Classification of evidence levels and grades of recommendations</w:t>
      </w:r>
      <w:r w:rsidR="00860E9F">
        <w:t xml:space="preserve"> </w:t>
      </w:r>
      <w:r w:rsidR="00860E9F" w:rsidRPr="0048367D">
        <w:t>–</w:t>
      </w:r>
      <w:r w:rsidRPr="005179F6">
        <w:t xml:space="preserve"> </w:t>
      </w:r>
      <w:r w:rsidR="00DE57A1" w:rsidRPr="005179F6">
        <w:t xml:space="preserve">British Committee for Standards in Haematology </w:t>
      </w:r>
      <w:r w:rsidR="00860E9F">
        <w:t>Guidelines</w:t>
      </w:r>
      <w:r w:rsidR="00DE57A1" w:rsidRPr="005179F6">
        <w:t xml:space="preserve"> on the assessment of bleeding risk prior to surgery or invasive procedures</w:t>
      </w:r>
      <w:bookmarkEnd w:id="28"/>
    </w:p>
    <w:p w:rsidR="00E8172A" w:rsidRPr="005179F6" w:rsidRDefault="00E8172A" w:rsidP="005179F6">
      <w:pPr>
        <w:rPr>
          <w:rFonts w:cstheme="minorHAnsi"/>
        </w:rPr>
      </w:pPr>
    </w:p>
    <w:p w:rsidR="00DE57A1" w:rsidRPr="00F81AC4" w:rsidRDefault="00DE57A1" w:rsidP="005179F6">
      <w:pPr>
        <w:rPr>
          <w:rFonts w:cstheme="minorHAnsi"/>
          <w:b/>
        </w:rPr>
      </w:pPr>
      <w:r w:rsidRPr="00F81AC4">
        <w:rPr>
          <w:rFonts w:cstheme="minorHAnsi"/>
          <w:b/>
        </w:rPr>
        <w:t>Classification of evidence levels</w:t>
      </w:r>
    </w:p>
    <w:p w:rsidR="00404716" w:rsidRPr="005179F6" w:rsidRDefault="00404716" w:rsidP="005179F6">
      <w:pPr>
        <w:rPr>
          <w:rFonts w:cstheme="minorHAnsi"/>
        </w:rPr>
      </w:pPr>
    </w:p>
    <w:p w:rsidR="00DE57A1" w:rsidRPr="005179F6" w:rsidRDefault="00DE57A1" w:rsidP="005179F6">
      <w:pPr>
        <w:rPr>
          <w:rFonts w:cstheme="minorHAnsi"/>
        </w:rPr>
      </w:pPr>
      <w:proofErr w:type="spellStart"/>
      <w:proofErr w:type="gramStart"/>
      <w:r w:rsidRPr="005179F6">
        <w:rPr>
          <w:rFonts w:cstheme="minorHAnsi"/>
        </w:rPr>
        <w:t>Ia</w:t>
      </w:r>
      <w:proofErr w:type="spellEnd"/>
      <w:proofErr w:type="gramEnd"/>
      <w:r w:rsidR="00E8172A" w:rsidRPr="005179F6">
        <w:rPr>
          <w:rFonts w:cstheme="minorHAnsi"/>
        </w:rPr>
        <w:tab/>
      </w:r>
      <w:r w:rsidRPr="005179F6">
        <w:rPr>
          <w:rFonts w:cstheme="minorHAnsi"/>
        </w:rPr>
        <w:t>Evidence obtained from meta-analysis of randomi</w:t>
      </w:r>
      <w:r w:rsidR="008E3C2F">
        <w:rPr>
          <w:rFonts w:cstheme="minorHAnsi"/>
        </w:rPr>
        <w:t>s</w:t>
      </w:r>
      <w:r w:rsidRPr="005179F6">
        <w:rPr>
          <w:rFonts w:cstheme="minorHAnsi"/>
        </w:rPr>
        <w:t>ed</w:t>
      </w:r>
      <w:r w:rsidR="00404716" w:rsidRPr="005179F6">
        <w:rPr>
          <w:rFonts w:cstheme="minorHAnsi"/>
        </w:rPr>
        <w:t xml:space="preserve"> </w:t>
      </w:r>
      <w:r w:rsidRPr="005179F6">
        <w:rPr>
          <w:rFonts w:cstheme="minorHAnsi"/>
        </w:rPr>
        <w:t>controlled trials.</w:t>
      </w:r>
    </w:p>
    <w:p w:rsidR="00DE57A1" w:rsidRPr="005179F6" w:rsidRDefault="00DE57A1" w:rsidP="005179F6">
      <w:pPr>
        <w:rPr>
          <w:rFonts w:cstheme="minorHAnsi"/>
        </w:rPr>
      </w:pPr>
      <w:proofErr w:type="spellStart"/>
      <w:proofErr w:type="gramStart"/>
      <w:r w:rsidRPr="005179F6">
        <w:rPr>
          <w:rFonts w:cstheme="minorHAnsi"/>
        </w:rPr>
        <w:t>Ib</w:t>
      </w:r>
      <w:proofErr w:type="spellEnd"/>
      <w:proofErr w:type="gramEnd"/>
      <w:r w:rsidR="00E8172A" w:rsidRPr="005179F6">
        <w:rPr>
          <w:rFonts w:cstheme="minorHAnsi"/>
        </w:rPr>
        <w:tab/>
      </w:r>
      <w:r w:rsidRPr="005179F6">
        <w:rPr>
          <w:rFonts w:cstheme="minorHAnsi"/>
        </w:rPr>
        <w:t>Evidence obtained from at least one randomi</w:t>
      </w:r>
      <w:r w:rsidR="008E3C2F">
        <w:rPr>
          <w:rFonts w:cstheme="minorHAnsi"/>
        </w:rPr>
        <w:t>s</w:t>
      </w:r>
      <w:r w:rsidRPr="005179F6">
        <w:rPr>
          <w:rFonts w:cstheme="minorHAnsi"/>
        </w:rPr>
        <w:t>ed</w:t>
      </w:r>
      <w:r w:rsidR="00404716" w:rsidRPr="005179F6">
        <w:rPr>
          <w:rFonts w:cstheme="minorHAnsi"/>
        </w:rPr>
        <w:t xml:space="preserve"> </w:t>
      </w:r>
      <w:r w:rsidRPr="005179F6">
        <w:rPr>
          <w:rFonts w:cstheme="minorHAnsi"/>
        </w:rPr>
        <w:t>controlled trial.</w:t>
      </w:r>
    </w:p>
    <w:p w:rsidR="00DE57A1" w:rsidRPr="005179F6" w:rsidRDefault="00E8172A" w:rsidP="005179F6">
      <w:pPr>
        <w:rPr>
          <w:rFonts w:cstheme="minorHAnsi"/>
        </w:rPr>
      </w:pPr>
      <w:r w:rsidRPr="005179F6">
        <w:rPr>
          <w:rFonts w:cstheme="minorHAnsi"/>
        </w:rPr>
        <w:t>IIb</w:t>
      </w:r>
      <w:r w:rsidRPr="005179F6">
        <w:rPr>
          <w:rFonts w:cstheme="minorHAnsi"/>
        </w:rPr>
        <w:tab/>
      </w:r>
      <w:r w:rsidR="00DE57A1" w:rsidRPr="005179F6">
        <w:rPr>
          <w:rFonts w:cstheme="minorHAnsi"/>
        </w:rPr>
        <w:t>Evidence obtained from at least one well-designed</w:t>
      </w:r>
      <w:r w:rsidR="00404716" w:rsidRPr="005179F6">
        <w:rPr>
          <w:rFonts w:cstheme="minorHAnsi"/>
        </w:rPr>
        <w:t xml:space="preserve"> </w:t>
      </w:r>
      <w:r w:rsidR="00DE57A1" w:rsidRPr="005179F6">
        <w:rPr>
          <w:rFonts w:cstheme="minorHAnsi"/>
        </w:rPr>
        <w:t>controlled study without randomi</w:t>
      </w:r>
      <w:r w:rsidR="008E3C2F">
        <w:rPr>
          <w:rFonts w:cstheme="minorHAnsi"/>
        </w:rPr>
        <w:t>s</w:t>
      </w:r>
      <w:r w:rsidR="00DE57A1" w:rsidRPr="005179F6">
        <w:rPr>
          <w:rFonts w:cstheme="minorHAnsi"/>
        </w:rPr>
        <w:t>ation.</w:t>
      </w:r>
    </w:p>
    <w:p w:rsidR="00404716" w:rsidRPr="005179F6" w:rsidRDefault="00404716" w:rsidP="005179F6">
      <w:pPr>
        <w:rPr>
          <w:rFonts w:cstheme="minorHAnsi"/>
        </w:rPr>
      </w:pPr>
      <w:r w:rsidRPr="005179F6">
        <w:rPr>
          <w:rFonts w:cstheme="minorHAnsi"/>
        </w:rPr>
        <w:t>IIb</w:t>
      </w:r>
      <w:r w:rsidR="00E8172A" w:rsidRPr="005179F6">
        <w:rPr>
          <w:rFonts w:cstheme="minorHAnsi"/>
        </w:rPr>
        <w:tab/>
      </w:r>
      <w:r w:rsidR="00DE57A1" w:rsidRPr="005179F6">
        <w:rPr>
          <w:rFonts w:cstheme="minorHAnsi"/>
        </w:rPr>
        <w:t>Evidence obtained from at least one other type of</w:t>
      </w:r>
      <w:r w:rsidRPr="005179F6">
        <w:rPr>
          <w:rFonts w:cstheme="minorHAnsi"/>
        </w:rPr>
        <w:t xml:space="preserve"> </w:t>
      </w:r>
      <w:r w:rsidR="00DE57A1" w:rsidRPr="005179F6">
        <w:rPr>
          <w:rFonts w:cstheme="minorHAnsi"/>
        </w:rPr>
        <w:t>well-designed quasi-experimental study*.</w:t>
      </w:r>
    </w:p>
    <w:p w:rsidR="00DE57A1" w:rsidRPr="005179F6" w:rsidRDefault="00DE57A1" w:rsidP="00F81AC4">
      <w:pPr>
        <w:ind w:left="720" w:hanging="720"/>
        <w:rPr>
          <w:rFonts w:cstheme="minorHAnsi"/>
        </w:rPr>
      </w:pPr>
      <w:r w:rsidRPr="005179F6">
        <w:rPr>
          <w:rFonts w:cstheme="minorHAnsi"/>
        </w:rPr>
        <w:t>III</w:t>
      </w:r>
      <w:r w:rsidR="00E8172A" w:rsidRPr="005179F6">
        <w:rPr>
          <w:rFonts w:cstheme="minorHAnsi"/>
        </w:rPr>
        <w:tab/>
      </w:r>
      <w:r w:rsidRPr="005179F6">
        <w:rPr>
          <w:rFonts w:cstheme="minorHAnsi"/>
        </w:rPr>
        <w:t>Evidence obtained from well-designed non-experimental</w:t>
      </w:r>
      <w:r w:rsidR="00404716" w:rsidRPr="005179F6">
        <w:rPr>
          <w:rFonts w:cstheme="minorHAnsi"/>
        </w:rPr>
        <w:t xml:space="preserve"> </w:t>
      </w:r>
      <w:r w:rsidR="00F81AC4">
        <w:rPr>
          <w:rFonts w:cstheme="minorHAnsi"/>
        </w:rPr>
        <w:t xml:space="preserve">descriptive studies, such as </w:t>
      </w:r>
      <w:r w:rsidRPr="005179F6">
        <w:rPr>
          <w:rFonts w:cstheme="minorHAnsi"/>
        </w:rPr>
        <w:t>comparative studies,</w:t>
      </w:r>
      <w:r w:rsidR="00404716" w:rsidRPr="005179F6">
        <w:rPr>
          <w:rFonts w:cstheme="minorHAnsi"/>
        </w:rPr>
        <w:t xml:space="preserve"> </w:t>
      </w:r>
      <w:r w:rsidRPr="005179F6">
        <w:rPr>
          <w:rFonts w:cstheme="minorHAnsi"/>
        </w:rPr>
        <w:t>correlation studies and case studies.</w:t>
      </w:r>
    </w:p>
    <w:p w:rsidR="00DE57A1" w:rsidRPr="005179F6" w:rsidRDefault="00DE57A1" w:rsidP="00F81AC4">
      <w:pPr>
        <w:ind w:left="720" w:hanging="720"/>
        <w:rPr>
          <w:rFonts w:cstheme="minorHAnsi"/>
        </w:rPr>
      </w:pPr>
      <w:r w:rsidRPr="005179F6">
        <w:rPr>
          <w:rFonts w:cstheme="minorHAnsi"/>
        </w:rPr>
        <w:t>IV</w:t>
      </w:r>
      <w:r w:rsidR="00E8172A" w:rsidRPr="005179F6">
        <w:rPr>
          <w:rFonts w:cstheme="minorHAnsi"/>
        </w:rPr>
        <w:tab/>
      </w:r>
      <w:r w:rsidRPr="005179F6">
        <w:rPr>
          <w:rFonts w:cstheme="minorHAnsi"/>
        </w:rPr>
        <w:t>Evidence obtained from expert committee reports or</w:t>
      </w:r>
      <w:r w:rsidR="00404716" w:rsidRPr="005179F6">
        <w:rPr>
          <w:rFonts w:cstheme="minorHAnsi"/>
        </w:rPr>
        <w:t xml:space="preserve"> </w:t>
      </w:r>
      <w:r w:rsidRPr="005179F6">
        <w:rPr>
          <w:rFonts w:cstheme="minorHAnsi"/>
        </w:rPr>
        <w:t>opinions and/or clinical experiences of respected authorities.</w:t>
      </w:r>
    </w:p>
    <w:p w:rsidR="00404716" w:rsidRPr="005179F6" w:rsidRDefault="00404716" w:rsidP="005179F6">
      <w:pPr>
        <w:rPr>
          <w:rFonts w:cstheme="minorHAnsi"/>
        </w:rPr>
      </w:pPr>
    </w:p>
    <w:p w:rsidR="00DE57A1" w:rsidRPr="00F81AC4" w:rsidRDefault="00DE57A1" w:rsidP="005179F6">
      <w:pPr>
        <w:rPr>
          <w:rFonts w:cstheme="minorHAnsi"/>
          <w:b/>
        </w:rPr>
      </w:pPr>
      <w:r w:rsidRPr="00F81AC4">
        <w:rPr>
          <w:rFonts w:cstheme="minorHAnsi"/>
          <w:b/>
        </w:rPr>
        <w:t>Classification of grades of recommendations</w:t>
      </w:r>
    </w:p>
    <w:p w:rsidR="00404716" w:rsidRPr="005179F6" w:rsidRDefault="00404716" w:rsidP="005179F6">
      <w:pPr>
        <w:rPr>
          <w:rFonts w:cstheme="minorHAnsi"/>
        </w:rPr>
      </w:pPr>
    </w:p>
    <w:p w:rsidR="00DE57A1" w:rsidRPr="005179F6" w:rsidRDefault="00E8172A" w:rsidP="00F81AC4">
      <w:pPr>
        <w:ind w:left="720" w:hanging="720"/>
        <w:rPr>
          <w:rFonts w:cstheme="minorHAnsi"/>
        </w:rPr>
      </w:pPr>
      <w:r w:rsidRPr="005179F6">
        <w:rPr>
          <w:rFonts w:cstheme="minorHAnsi"/>
        </w:rPr>
        <w:t>A</w:t>
      </w:r>
      <w:r w:rsidRPr="005179F6">
        <w:rPr>
          <w:rFonts w:cstheme="minorHAnsi"/>
        </w:rPr>
        <w:tab/>
      </w:r>
      <w:r w:rsidR="00DE57A1" w:rsidRPr="005179F6">
        <w:rPr>
          <w:rFonts w:cstheme="minorHAnsi"/>
        </w:rPr>
        <w:t>Requires at least one randomi</w:t>
      </w:r>
      <w:r w:rsidR="008E3C2F">
        <w:rPr>
          <w:rFonts w:cstheme="minorHAnsi"/>
        </w:rPr>
        <w:t>s</w:t>
      </w:r>
      <w:r w:rsidR="00DE57A1" w:rsidRPr="005179F6">
        <w:rPr>
          <w:rFonts w:cstheme="minorHAnsi"/>
        </w:rPr>
        <w:t>ed controlled trial as part of</w:t>
      </w:r>
      <w:r w:rsidR="00404716" w:rsidRPr="005179F6">
        <w:rPr>
          <w:rFonts w:cstheme="minorHAnsi"/>
        </w:rPr>
        <w:t xml:space="preserve"> </w:t>
      </w:r>
      <w:r w:rsidR="00DE57A1" w:rsidRPr="005179F6">
        <w:rPr>
          <w:rFonts w:cstheme="minorHAnsi"/>
        </w:rPr>
        <w:t>a body of literature of overall good quality and consistency</w:t>
      </w:r>
      <w:r w:rsidR="00404716" w:rsidRPr="005179F6">
        <w:rPr>
          <w:rFonts w:cstheme="minorHAnsi"/>
        </w:rPr>
        <w:t xml:space="preserve"> a</w:t>
      </w:r>
      <w:r w:rsidR="00DE57A1" w:rsidRPr="005179F6">
        <w:rPr>
          <w:rFonts w:cstheme="minorHAnsi"/>
        </w:rPr>
        <w:t xml:space="preserve">ddressing specific recommendation. (Evidence levels </w:t>
      </w:r>
      <w:proofErr w:type="spellStart"/>
      <w:proofErr w:type="gramStart"/>
      <w:r w:rsidR="00DE57A1" w:rsidRPr="005179F6">
        <w:rPr>
          <w:rFonts w:cstheme="minorHAnsi"/>
        </w:rPr>
        <w:t>Ia</w:t>
      </w:r>
      <w:proofErr w:type="spellEnd"/>
      <w:proofErr w:type="gramEnd"/>
      <w:r w:rsidR="00DE57A1" w:rsidRPr="005179F6">
        <w:rPr>
          <w:rFonts w:cstheme="minorHAnsi"/>
        </w:rPr>
        <w:t xml:space="preserve">, </w:t>
      </w:r>
      <w:proofErr w:type="spellStart"/>
      <w:r w:rsidR="00DE57A1" w:rsidRPr="005179F6">
        <w:rPr>
          <w:rFonts w:cstheme="minorHAnsi"/>
        </w:rPr>
        <w:t>Ib</w:t>
      </w:r>
      <w:proofErr w:type="spellEnd"/>
      <w:r w:rsidR="00DE57A1" w:rsidRPr="005179F6">
        <w:rPr>
          <w:rFonts w:cstheme="minorHAnsi"/>
        </w:rPr>
        <w:t>).</w:t>
      </w:r>
    </w:p>
    <w:p w:rsidR="00404716" w:rsidRPr="005179F6" w:rsidRDefault="00404716" w:rsidP="00F81AC4">
      <w:pPr>
        <w:ind w:left="720" w:hanging="720"/>
        <w:rPr>
          <w:rFonts w:cstheme="minorHAnsi"/>
        </w:rPr>
      </w:pPr>
      <w:r w:rsidRPr="005179F6">
        <w:rPr>
          <w:rFonts w:cstheme="minorHAnsi"/>
        </w:rPr>
        <w:t>B</w:t>
      </w:r>
      <w:r w:rsidR="00E8172A" w:rsidRPr="005179F6">
        <w:rPr>
          <w:rFonts w:cstheme="minorHAnsi"/>
        </w:rPr>
        <w:tab/>
      </w:r>
      <w:r w:rsidR="00DE57A1" w:rsidRPr="005179F6">
        <w:rPr>
          <w:rFonts w:cstheme="minorHAnsi"/>
        </w:rPr>
        <w:t>Requires the availability of well conducted clinical studies but no</w:t>
      </w:r>
      <w:r w:rsidRPr="005179F6">
        <w:rPr>
          <w:rFonts w:cstheme="minorHAnsi"/>
        </w:rPr>
        <w:t xml:space="preserve"> </w:t>
      </w:r>
      <w:r w:rsidR="00DE57A1" w:rsidRPr="005179F6">
        <w:rPr>
          <w:rFonts w:cstheme="minorHAnsi"/>
        </w:rPr>
        <w:t>randomi</w:t>
      </w:r>
      <w:r w:rsidR="008E3C2F">
        <w:rPr>
          <w:rFonts w:cstheme="minorHAnsi"/>
        </w:rPr>
        <w:t>s</w:t>
      </w:r>
      <w:r w:rsidR="00DE57A1" w:rsidRPr="005179F6">
        <w:rPr>
          <w:rFonts w:cstheme="minorHAnsi"/>
        </w:rPr>
        <w:t>ed clinical trials on the topic of recommendation.</w:t>
      </w:r>
      <w:r w:rsidR="00E8172A" w:rsidRPr="005179F6">
        <w:rPr>
          <w:rFonts w:cstheme="minorHAnsi"/>
        </w:rPr>
        <w:t xml:space="preserve"> </w:t>
      </w:r>
      <w:r w:rsidR="00DE57A1" w:rsidRPr="005179F6">
        <w:rPr>
          <w:rFonts w:cstheme="minorHAnsi"/>
        </w:rPr>
        <w:t xml:space="preserve">(Evidence levels IIa, IIb, </w:t>
      </w:r>
      <w:proofErr w:type="gramStart"/>
      <w:r w:rsidR="00DE57A1" w:rsidRPr="005179F6">
        <w:rPr>
          <w:rFonts w:cstheme="minorHAnsi"/>
        </w:rPr>
        <w:t>III</w:t>
      </w:r>
      <w:proofErr w:type="gramEnd"/>
      <w:r w:rsidR="00DE57A1" w:rsidRPr="005179F6">
        <w:rPr>
          <w:rFonts w:cstheme="minorHAnsi"/>
        </w:rPr>
        <w:t>).</w:t>
      </w:r>
    </w:p>
    <w:p w:rsidR="00E8172A" w:rsidRDefault="00404716" w:rsidP="00F81AC4">
      <w:pPr>
        <w:ind w:left="720" w:hanging="720"/>
        <w:rPr>
          <w:rFonts w:cstheme="minorHAnsi"/>
        </w:rPr>
      </w:pPr>
      <w:r w:rsidRPr="005179F6">
        <w:rPr>
          <w:rFonts w:cstheme="minorHAnsi"/>
        </w:rPr>
        <w:t>C</w:t>
      </w:r>
      <w:r w:rsidR="00E8172A" w:rsidRPr="005179F6">
        <w:rPr>
          <w:rFonts w:cstheme="minorHAnsi"/>
        </w:rPr>
        <w:tab/>
      </w:r>
      <w:r w:rsidR="00DE57A1" w:rsidRPr="005179F6">
        <w:rPr>
          <w:rFonts w:cstheme="minorHAnsi"/>
        </w:rPr>
        <w:t>Requires evidence obtained from expert committee reports or</w:t>
      </w:r>
      <w:r w:rsidRPr="005179F6">
        <w:rPr>
          <w:rFonts w:cstheme="minorHAnsi"/>
        </w:rPr>
        <w:t xml:space="preserve"> </w:t>
      </w:r>
      <w:r w:rsidR="00DE57A1" w:rsidRPr="005179F6">
        <w:rPr>
          <w:rFonts w:cstheme="minorHAnsi"/>
        </w:rPr>
        <w:t>opinions and/or clinical experiences of respected authorities.</w:t>
      </w:r>
      <w:r w:rsidRPr="005179F6">
        <w:rPr>
          <w:rFonts w:cstheme="minorHAnsi"/>
        </w:rPr>
        <w:t xml:space="preserve"> </w:t>
      </w:r>
      <w:proofErr w:type="gramStart"/>
      <w:r w:rsidRPr="005179F6">
        <w:rPr>
          <w:rFonts w:cstheme="minorHAnsi"/>
        </w:rPr>
        <w:t xml:space="preserve">Indicates </w:t>
      </w:r>
      <w:r w:rsidR="00DE57A1" w:rsidRPr="005179F6">
        <w:rPr>
          <w:rFonts w:cstheme="minorHAnsi"/>
        </w:rPr>
        <w:t>an absence of directly applicable clinical studies</w:t>
      </w:r>
      <w:r w:rsidRPr="005179F6">
        <w:rPr>
          <w:rFonts w:cstheme="minorHAnsi"/>
        </w:rPr>
        <w:t xml:space="preserve"> </w:t>
      </w:r>
      <w:r w:rsidR="00DE57A1" w:rsidRPr="005179F6">
        <w:rPr>
          <w:rFonts w:cstheme="minorHAnsi"/>
        </w:rPr>
        <w:t>of good quality.</w:t>
      </w:r>
      <w:proofErr w:type="gramEnd"/>
      <w:r w:rsidR="00DE57A1" w:rsidRPr="005179F6">
        <w:rPr>
          <w:rFonts w:cstheme="minorHAnsi"/>
        </w:rPr>
        <w:t xml:space="preserve"> (Evidence level IV).</w:t>
      </w:r>
      <w:r w:rsidR="003263AD" w:rsidRPr="005179F6">
        <w:rPr>
          <w:rFonts w:cstheme="minorHAnsi"/>
        </w:rPr>
        <w:t xml:space="preserve"> </w:t>
      </w:r>
    </w:p>
    <w:p w:rsidR="0042789A" w:rsidRDefault="0042789A" w:rsidP="00F81AC4">
      <w:pPr>
        <w:ind w:left="720" w:hanging="720"/>
        <w:rPr>
          <w:rFonts w:cstheme="minorHAnsi"/>
        </w:rPr>
      </w:pPr>
    </w:p>
    <w:p w:rsidR="0042789A" w:rsidRPr="0042789A" w:rsidRDefault="0042789A" w:rsidP="0042789A">
      <w:pPr>
        <w:rPr>
          <w:sz w:val="20"/>
          <w:szCs w:val="20"/>
        </w:rPr>
      </w:pPr>
      <w:r w:rsidRPr="0042789A">
        <w:rPr>
          <w:sz w:val="20"/>
          <w:szCs w:val="20"/>
        </w:rPr>
        <w:t xml:space="preserve">*refers to a situation in which implementation of an intervention is </w:t>
      </w:r>
      <w:proofErr w:type="spellStart"/>
      <w:r w:rsidR="00FA7DC0">
        <w:rPr>
          <w:sz w:val="20"/>
          <w:szCs w:val="20"/>
        </w:rPr>
        <w:t>out</w:t>
      </w:r>
      <w:r w:rsidR="00FA7DC0" w:rsidRPr="0042789A">
        <w:rPr>
          <w:sz w:val="20"/>
          <w:szCs w:val="20"/>
        </w:rPr>
        <w:t>with</w:t>
      </w:r>
      <w:proofErr w:type="spellEnd"/>
      <w:r w:rsidRPr="0042789A">
        <w:rPr>
          <w:sz w:val="20"/>
          <w:szCs w:val="20"/>
        </w:rPr>
        <w:t xml:space="preserve"> the control of the investigators, but an opportunity exists to evaluate its effect.</w:t>
      </w:r>
    </w:p>
    <w:p w:rsidR="00E8172A" w:rsidRPr="005179F6" w:rsidRDefault="00E8172A" w:rsidP="005179F6">
      <w:pPr>
        <w:rPr>
          <w:rFonts w:cstheme="minorHAnsi"/>
        </w:rPr>
      </w:pPr>
      <w:r w:rsidRPr="005179F6">
        <w:rPr>
          <w:rFonts w:cstheme="minorHAnsi"/>
        </w:rPr>
        <w:br w:type="page"/>
      </w:r>
    </w:p>
    <w:p w:rsidR="00FF5FFB" w:rsidRPr="005179F6" w:rsidRDefault="00FF5FFB" w:rsidP="005179F6">
      <w:pPr>
        <w:rPr>
          <w:rFonts w:cstheme="minorHAnsi"/>
        </w:rPr>
        <w:sectPr w:rsidR="00FF5FFB" w:rsidRPr="005179F6" w:rsidSect="005179F6">
          <w:pgSz w:w="11906" w:h="16838"/>
          <w:pgMar w:top="1418" w:right="1134" w:bottom="1134" w:left="1134" w:header="709" w:footer="709" w:gutter="0"/>
          <w:cols w:space="708"/>
          <w:docGrid w:linePitch="360"/>
        </w:sectPr>
      </w:pPr>
    </w:p>
    <w:p w:rsidR="00DE57A1" w:rsidRPr="005179F6" w:rsidRDefault="00E8172A" w:rsidP="00B94DE6">
      <w:pPr>
        <w:pStyle w:val="Heading2"/>
      </w:pPr>
      <w:bookmarkStart w:id="29" w:name="_Toc399150609"/>
      <w:r w:rsidRPr="005179F6">
        <w:lastRenderedPageBreak/>
        <w:t>Appendix 3: Grades of recommendation – GRADE system</w:t>
      </w:r>
      <w:r w:rsidR="004C611C">
        <w:t xml:space="preserve"> –</w:t>
      </w:r>
      <w:r w:rsidR="00BD0B19" w:rsidRPr="005179F6">
        <w:t xml:space="preserve"> </w:t>
      </w:r>
      <w:r w:rsidR="003263AD" w:rsidRPr="005179F6">
        <w:t>Management of severe perioperative bleeding: guidelines from the European Society of Anaesthesiology</w:t>
      </w:r>
      <w:bookmarkEnd w:id="29"/>
    </w:p>
    <w:p w:rsidR="003263AD" w:rsidRPr="005179F6" w:rsidRDefault="003263AD" w:rsidP="005179F6">
      <w:pPr>
        <w:rPr>
          <w:rFonts w:cstheme="minorHAnsi"/>
        </w:rPr>
      </w:pPr>
    </w:p>
    <w:tbl>
      <w:tblPr>
        <w:tblStyle w:val="LightShading"/>
        <w:tblW w:w="14981" w:type="dxa"/>
        <w:tblLook w:val="04A0" w:firstRow="1" w:lastRow="0" w:firstColumn="1" w:lastColumn="0" w:noHBand="0" w:noVBand="1"/>
      </w:tblPr>
      <w:tblGrid>
        <w:gridCol w:w="2518"/>
        <w:gridCol w:w="2693"/>
        <w:gridCol w:w="5954"/>
        <w:gridCol w:w="3719"/>
        <w:gridCol w:w="97"/>
      </w:tblGrid>
      <w:tr w:rsidR="00BD0B19" w:rsidRPr="005179F6" w:rsidTr="00F81AC4">
        <w:trPr>
          <w:gridAfter w:val="1"/>
          <w:cnfStyle w:val="100000000000" w:firstRow="1" w:lastRow="0" w:firstColumn="0" w:lastColumn="0" w:oddVBand="0" w:evenVBand="0" w:oddHBand="0" w:evenHBand="0" w:firstRowFirstColumn="0" w:firstRowLastColumn="0" w:lastRowFirstColumn="0" w:lastRowLastColumn="0"/>
          <w:wAfter w:w="97" w:type="dxa"/>
        </w:trPr>
        <w:tc>
          <w:tcPr>
            <w:cnfStyle w:val="001000000000" w:firstRow="0" w:lastRow="0" w:firstColumn="1" w:lastColumn="0" w:oddVBand="0" w:evenVBand="0" w:oddHBand="0" w:evenHBand="0" w:firstRowFirstColumn="0" w:firstRowLastColumn="0" w:lastRowFirstColumn="0" w:lastRowLastColumn="0"/>
            <w:tcW w:w="2518" w:type="dxa"/>
          </w:tcPr>
          <w:p w:rsidR="00BD0B19" w:rsidRPr="005179F6" w:rsidRDefault="00BD0B19" w:rsidP="008E3C2F">
            <w:pPr>
              <w:spacing w:before="40"/>
              <w:rPr>
                <w:rFonts w:cstheme="minorHAnsi"/>
              </w:rPr>
            </w:pPr>
          </w:p>
        </w:tc>
        <w:tc>
          <w:tcPr>
            <w:tcW w:w="2693" w:type="dxa"/>
          </w:tcPr>
          <w:p w:rsidR="00BD0B19" w:rsidRPr="005179F6" w:rsidRDefault="00BD0B19" w:rsidP="008E3C2F">
            <w:pPr>
              <w:spacing w:before="40"/>
              <w:cnfStyle w:val="100000000000" w:firstRow="1" w:lastRow="0" w:firstColumn="0" w:lastColumn="0" w:oddVBand="0" w:evenVBand="0" w:oddHBand="0" w:evenHBand="0" w:firstRowFirstColumn="0" w:firstRowLastColumn="0" w:lastRowFirstColumn="0" w:lastRowLastColumn="0"/>
              <w:rPr>
                <w:rFonts w:cstheme="minorHAnsi"/>
              </w:rPr>
            </w:pPr>
            <w:r w:rsidRPr="005179F6">
              <w:rPr>
                <w:rFonts w:cstheme="minorHAnsi"/>
              </w:rPr>
              <w:t>Clarity of benefit</w:t>
            </w:r>
          </w:p>
        </w:tc>
        <w:tc>
          <w:tcPr>
            <w:tcW w:w="5954" w:type="dxa"/>
          </w:tcPr>
          <w:p w:rsidR="00BD0B19" w:rsidRPr="005179F6" w:rsidRDefault="00BD0B19" w:rsidP="008E3C2F">
            <w:pPr>
              <w:spacing w:before="40"/>
              <w:cnfStyle w:val="100000000000" w:firstRow="1" w:lastRow="0" w:firstColumn="0" w:lastColumn="0" w:oddVBand="0" w:evenVBand="0" w:oddHBand="0" w:evenHBand="0" w:firstRowFirstColumn="0" w:firstRowLastColumn="0" w:lastRowFirstColumn="0" w:lastRowLastColumn="0"/>
              <w:rPr>
                <w:rFonts w:cstheme="minorHAnsi"/>
              </w:rPr>
            </w:pPr>
            <w:r w:rsidRPr="005179F6">
              <w:rPr>
                <w:rFonts w:cstheme="minorHAnsi"/>
              </w:rPr>
              <w:t>Quality of supporting evidence</w:t>
            </w:r>
          </w:p>
        </w:tc>
        <w:tc>
          <w:tcPr>
            <w:tcW w:w="3719" w:type="dxa"/>
          </w:tcPr>
          <w:p w:rsidR="00BD0B19" w:rsidRPr="005179F6" w:rsidRDefault="00BD0B19" w:rsidP="008E3C2F">
            <w:pPr>
              <w:spacing w:before="40"/>
              <w:cnfStyle w:val="100000000000" w:firstRow="1" w:lastRow="0" w:firstColumn="0" w:lastColumn="0" w:oddVBand="0" w:evenVBand="0" w:oddHBand="0" w:evenHBand="0" w:firstRowFirstColumn="0" w:firstRowLastColumn="0" w:lastRowFirstColumn="0" w:lastRowLastColumn="0"/>
              <w:rPr>
                <w:rFonts w:cstheme="minorHAnsi"/>
              </w:rPr>
            </w:pPr>
            <w:r w:rsidRPr="005179F6">
              <w:rPr>
                <w:rFonts w:cstheme="minorHAnsi"/>
              </w:rPr>
              <w:t>Implications</w:t>
            </w:r>
          </w:p>
        </w:tc>
      </w:tr>
      <w:tr w:rsidR="00FF5FFB" w:rsidRPr="005179F6" w:rsidTr="00F81AC4">
        <w:trPr>
          <w:gridAfter w:val="1"/>
          <w:cnfStyle w:val="000000100000" w:firstRow="0" w:lastRow="0" w:firstColumn="0" w:lastColumn="0" w:oddVBand="0" w:evenVBand="0" w:oddHBand="1" w:evenHBand="0" w:firstRowFirstColumn="0" w:firstRowLastColumn="0" w:lastRowFirstColumn="0" w:lastRowLastColumn="0"/>
          <w:wAfter w:w="97" w:type="dxa"/>
        </w:trPr>
        <w:tc>
          <w:tcPr>
            <w:cnfStyle w:val="001000000000" w:firstRow="0" w:lastRow="0" w:firstColumn="1" w:lastColumn="0" w:oddVBand="0" w:evenVBand="0" w:oddHBand="0" w:evenHBand="0" w:firstRowFirstColumn="0" w:firstRowLastColumn="0" w:lastRowFirstColumn="0" w:lastRowLastColumn="0"/>
            <w:tcW w:w="2518" w:type="dxa"/>
          </w:tcPr>
          <w:p w:rsidR="00BD0B19" w:rsidRPr="005179F6" w:rsidRDefault="00BD0B19" w:rsidP="008E3C2F">
            <w:pPr>
              <w:spacing w:before="40"/>
              <w:rPr>
                <w:rFonts w:cstheme="minorHAnsi"/>
              </w:rPr>
            </w:pPr>
            <w:r w:rsidRPr="005179F6">
              <w:rPr>
                <w:rFonts w:cstheme="minorHAnsi"/>
              </w:rPr>
              <w:t>1A Strong recommendation. High quality evidence</w:t>
            </w:r>
          </w:p>
        </w:tc>
        <w:tc>
          <w:tcPr>
            <w:tcW w:w="2693" w:type="dxa"/>
          </w:tcPr>
          <w:p w:rsidR="00BD0B19" w:rsidRPr="005179F6" w:rsidRDefault="00BD0B19" w:rsidP="008E3C2F">
            <w:pPr>
              <w:spacing w:before="40"/>
              <w:cnfStyle w:val="000000100000" w:firstRow="0" w:lastRow="0" w:firstColumn="0" w:lastColumn="0" w:oddVBand="0" w:evenVBand="0" w:oddHBand="1" w:evenHBand="0" w:firstRowFirstColumn="0" w:firstRowLastColumn="0" w:lastRowFirstColumn="0" w:lastRowLastColumn="0"/>
              <w:rPr>
                <w:rFonts w:cstheme="minorHAnsi"/>
              </w:rPr>
            </w:pPr>
            <w:r w:rsidRPr="005179F6">
              <w:rPr>
                <w:rFonts w:cstheme="minorHAnsi"/>
              </w:rPr>
              <w:t>Benefits clearly outweigh risk and burdens, or vice versa</w:t>
            </w:r>
          </w:p>
        </w:tc>
        <w:tc>
          <w:tcPr>
            <w:tcW w:w="5954" w:type="dxa"/>
          </w:tcPr>
          <w:p w:rsidR="00BD0B19" w:rsidRPr="005179F6" w:rsidRDefault="00BD0B19" w:rsidP="008E3C2F">
            <w:pPr>
              <w:spacing w:before="40"/>
              <w:cnfStyle w:val="000000100000" w:firstRow="0" w:lastRow="0" w:firstColumn="0" w:lastColumn="0" w:oddVBand="0" w:evenVBand="0" w:oddHBand="1" w:evenHBand="0" w:firstRowFirstColumn="0" w:firstRowLastColumn="0" w:lastRowFirstColumn="0" w:lastRowLastColumn="0"/>
              <w:rPr>
                <w:rFonts w:cstheme="minorHAnsi"/>
              </w:rPr>
            </w:pPr>
            <w:r w:rsidRPr="005179F6">
              <w:rPr>
                <w:rFonts w:cstheme="minorHAnsi"/>
              </w:rPr>
              <w:t xml:space="preserve">Consistent evidence </w:t>
            </w:r>
            <w:r w:rsidR="008E3C2F">
              <w:rPr>
                <w:rFonts w:cstheme="minorHAnsi"/>
              </w:rPr>
              <w:t xml:space="preserve">from well performed randomised, </w:t>
            </w:r>
            <w:r w:rsidRPr="005179F6">
              <w:rPr>
                <w:rFonts w:cstheme="minorHAnsi"/>
              </w:rPr>
              <w:t>controlled trials or overwhelming evidence of some other form. Further research is unlikely to change our confidence in the estimate of benefit and risk</w:t>
            </w:r>
            <w:r w:rsidR="008E3C2F">
              <w:rPr>
                <w:rFonts w:cstheme="minorHAnsi"/>
              </w:rPr>
              <w:t>.</w:t>
            </w:r>
          </w:p>
        </w:tc>
        <w:tc>
          <w:tcPr>
            <w:tcW w:w="3719" w:type="dxa"/>
          </w:tcPr>
          <w:p w:rsidR="00BD0B19" w:rsidRPr="005179F6" w:rsidRDefault="00BD0B19" w:rsidP="008E3C2F">
            <w:pPr>
              <w:spacing w:before="40"/>
              <w:cnfStyle w:val="000000100000" w:firstRow="0" w:lastRow="0" w:firstColumn="0" w:lastColumn="0" w:oddVBand="0" w:evenVBand="0" w:oddHBand="1" w:evenHBand="0" w:firstRowFirstColumn="0" w:firstRowLastColumn="0" w:lastRowFirstColumn="0" w:lastRowLastColumn="0"/>
              <w:rPr>
                <w:rFonts w:cstheme="minorHAnsi"/>
              </w:rPr>
            </w:pPr>
            <w:r w:rsidRPr="005179F6">
              <w:rPr>
                <w:rFonts w:cstheme="minorHAnsi"/>
              </w:rPr>
              <w:t>Strong recommendation, can apply to most patients in most circumstances without reservation</w:t>
            </w:r>
            <w:r w:rsidR="008E3C2F">
              <w:rPr>
                <w:rFonts w:cstheme="minorHAnsi"/>
              </w:rPr>
              <w:t>.</w:t>
            </w:r>
          </w:p>
        </w:tc>
      </w:tr>
      <w:tr w:rsidR="00BD0B19" w:rsidRPr="005179F6" w:rsidTr="00F81AC4">
        <w:trPr>
          <w:gridAfter w:val="1"/>
          <w:wAfter w:w="97" w:type="dxa"/>
        </w:trPr>
        <w:tc>
          <w:tcPr>
            <w:cnfStyle w:val="001000000000" w:firstRow="0" w:lastRow="0" w:firstColumn="1" w:lastColumn="0" w:oddVBand="0" w:evenVBand="0" w:oddHBand="0" w:evenHBand="0" w:firstRowFirstColumn="0" w:firstRowLastColumn="0" w:lastRowFirstColumn="0" w:lastRowLastColumn="0"/>
            <w:tcW w:w="2518" w:type="dxa"/>
          </w:tcPr>
          <w:p w:rsidR="00BD0B19" w:rsidRPr="005179F6" w:rsidRDefault="00BD0B19" w:rsidP="008E3C2F">
            <w:pPr>
              <w:spacing w:before="40"/>
              <w:rPr>
                <w:rFonts w:cstheme="minorHAnsi"/>
              </w:rPr>
            </w:pPr>
            <w:r w:rsidRPr="005179F6">
              <w:rPr>
                <w:rFonts w:cstheme="minorHAnsi"/>
              </w:rPr>
              <w:t>1B Strong recommendation. Moderate quality evidence</w:t>
            </w:r>
          </w:p>
        </w:tc>
        <w:tc>
          <w:tcPr>
            <w:tcW w:w="2693" w:type="dxa"/>
          </w:tcPr>
          <w:p w:rsidR="00BD0B19" w:rsidRPr="005179F6" w:rsidRDefault="00FF5FFB" w:rsidP="008E3C2F">
            <w:pPr>
              <w:spacing w:before="40"/>
              <w:cnfStyle w:val="000000000000" w:firstRow="0" w:lastRow="0" w:firstColumn="0" w:lastColumn="0" w:oddVBand="0" w:evenVBand="0" w:oddHBand="0" w:evenHBand="0" w:firstRowFirstColumn="0" w:firstRowLastColumn="0" w:lastRowFirstColumn="0" w:lastRowLastColumn="0"/>
              <w:rPr>
                <w:rFonts w:cstheme="minorHAnsi"/>
              </w:rPr>
            </w:pPr>
            <w:r w:rsidRPr="005179F6">
              <w:rPr>
                <w:rFonts w:cstheme="minorHAnsi"/>
              </w:rPr>
              <w:t xml:space="preserve">Benefits clearly outweigh risk </w:t>
            </w:r>
            <w:r w:rsidR="00BD0B19" w:rsidRPr="005179F6">
              <w:rPr>
                <w:rFonts w:cstheme="minorHAnsi"/>
              </w:rPr>
              <w:t>and burdens, or vice versa.</w:t>
            </w:r>
          </w:p>
        </w:tc>
        <w:tc>
          <w:tcPr>
            <w:tcW w:w="5954" w:type="dxa"/>
          </w:tcPr>
          <w:p w:rsidR="00BD0B19" w:rsidRPr="005179F6" w:rsidRDefault="00BD0B19" w:rsidP="008E3C2F">
            <w:pPr>
              <w:spacing w:before="40"/>
              <w:cnfStyle w:val="000000000000" w:firstRow="0" w:lastRow="0" w:firstColumn="0" w:lastColumn="0" w:oddVBand="0" w:evenVBand="0" w:oddHBand="0" w:evenHBand="0" w:firstRowFirstColumn="0" w:firstRowLastColumn="0" w:lastRowFirstColumn="0" w:lastRowLastColumn="0"/>
              <w:rPr>
                <w:rFonts w:cstheme="minorHAnsi"/>
              </w:rPr>
            </w:pPr>
            <w:r w:rsidRPr="005179F6">
              <w:rPr>
                <w:rFonts w:cstheme="minorHAnsi"/>
              </w:rPr>
              <w:t>Evidence from randomised, controlled trials with important limitations (inconsistent results, methodological flaws, indirect or imprecise), or very strong evidence of some other form. Further research (if performed) is likely to have an impact on our confidence in the estimate of benefit and risk and may change the estimate.</w:t>
            </w:r>
          </w:p>
        </w:tc>
        <w:tc>
          <w:tcPr>
            <w:tcW w:w="3719" w:type="dxa"/>
          </w:tcPr>
          <w:p w:rsidR="00BD0B19" w:rsidRPr="005179F6" w:rsidRDefault="00BD0B19" w:rsidP="008E3C2F">
            <w:pPr>
              <w:spacing w:before="40"/>
              <w:cnfStyle w:val="000000000000" w:firstRow="0" w:lastRow="0" w:firstColumn="0" w:lastColumn="0" w:oddVBand="0" w:evenVBand="0" w:oddHBand="0" w:evenHBand="0" w:firstRowFirstColumn="0" w:firstRowLastColumn="0" w:lastRowFirstColumn="0" w:lastRowLastColumn="0"/>
              <w:rPr>
                <w:rFonts w:cstheme="minorHAnsi"/>
              </w:rPr>
            </w:pPr>
            <w:r w:rsidRPr="005179F6">
              <w:rPr>
                <w:rFonts w:cstheme="minorHAnsi"/>
              </w:rPr>
              <w:t>Strong recommendation, likely to apply to most patients</w:t>
            </w:r>
            <w:r w:rsidR="008E3C2F">
              <w:rPr>
                <w:rFonts w:cstheme="minorHAnsi"/>
              </w:rPr>
              <w:t>.</w:t>
            </w:r>
          </w:p>
          <w:p w:rsidR="00BD0B19" w:rsidRPr="005179F6" w:rsidRDefault="00BD0B19" w:rsidP="008E3C2F">
            <w:pPr>
              <w:spacing w:before="40"/>
              <w:cnfStyle w:val="000000000000" w:firstRow="0" w:lastRow="0" w:firstColumn="0" w:lastColumn="0" w:oddVBand="0" w:evenVBand="0" w:oddHBand="0" w:evenHBand="0" w:firstRowFirstColumn="0" w:firstRowLastColumn="0" w:lastRowFirstColumn="0" w:lastRowLastColumn="0"/>
              <w:rPr>
                <w:rFonts w:cstheme="minorHAnsi"/>
              </w:rPr>
            </w:pPr>
          </w:p>
        </w:tc>
      </w:tr>
      <w:tr w:rsidR="00FF5FFB" w:rsidRPr="005179F6" w:rsidTr="00F81AC4">
        <w:trPr>
          <w:gridAfter w:val="1"/>
          <w:cnfStyle w:val="000000100000" w:firstRow="0" w:lastRow="0" w:firstColumn="0" w:lastColumn="0" w:oddVBand="0" w:evenVBand="0" w:oddHBand="1" w:evenHBand="0" w:firstRowFirstColumn="0" w:firstRowLastColumn="0" w:lastRowFirstColumn="0" w:lastRowLastColumn="0"/>
          <w:wAfter w:w="97" w:type="dxa"/>
        </w:trPr>
        <w:tc>
          <w:tcPr>
            <w:cnfStyle w:val="001000000000" w:firstRow="0" w:lastRow="0" w:firstColumn="1" w:lastColumn="0" w:oddVBand="0" w:evenVBand="0" w:oddHBand="0" w:evenHBand="0" w:firstRowFirstColumn="0" w:firstRowLastColumn="0" w:lastRowFirstColumn="0" w:lastRowLastColumn="0"/>
            <w:tcW w:w="2518" w:type="dxa"/>
          </w:tcPr>
          <w:p w:rsidR="00BD0B19" w:rsidRPr="005179F6" w:rsidRDefault="00BD0B19" w:rsidP="008E3C2F">
            <w:pPr>
              <w:spacing w:before="40"/>
              <w:rPr>
                <w:rFonts w:cstheme="minorHAnsi"/>
              </w:rPr>
            </w:pPr>
            <w:r w:rsidRPr="005179F6">
              <w:rPr>
                <w:rFonts w:cstheme="minorHAnsi"/>
              </w:rPr>
              <w:t>1C Strong recommendation. Low quality evidence</w:t>
            </w:r>
          </w:p>
        </w:tc>
        <w:tc>
          <w:tcPr>
            <w:tcW w:w="2693" w:type="dxa"/>
          </w:tcPr>
          <w:p w:rsidR="00BD0B19" w:rsidRPr="005179F6" w:rsidRDefault="00BD0B19" w:rsidP="008E3C2F">
            <w:pPr>
              <w:spacing w:before="40"/>
              <w:cnfStyle w:val="000000100000" w:firstRow="0" w:lastRow="0" w:firstColumn="0" w:lastColumn="0" w:oddVBand="0" w:evenVBand="0" w:oddHBand="1" w:evenHBand="0" w:firstRowFirstColumn="0" w:firstRowLastColumn="0" w:lastRowFirstColumn="0" w:lastRowLastColumn="0"/>
              <w:rPr>
                <w:rFonts w:cstheme="minorHAnsi"/>
              </w:rPr>
            </w:pPr>
            <w:r w:rsidRPr="005179F6">
              <w:rPr>
                <w:rFonts w:cstheme="minorHAnsi"/>
              </w:rPr>
              <w:t>Benefits appear to outweigh risk and burdens, or vice versa.</w:t>
            </w:r>
          </w:p>
        </w:tc>
        <w:tc>
          <w:tcPr>
            <w:tcW w:w="5954" w:type="dxa"/>
          </w:tcPr>
          <w:p w:rsidR="00BD0B19" w:rsidRPr="005179F6" w:rsidRDefault="00BD0B19" w:rsidP="008E3C2F">
            <w:pPr>
              <w:spacing w:before="40"/>
              <w:cnfStyle w:val="000000100000" w:firstRow="0" w:lastRow="0" w:firstColumn="0" w:lastColumn="0" w:oddVBand="0" w:evenVBand="0" w:oddHBand="1" w:evenHBand="0" w:firstRowFirstColumn="0" w:firstRowLastColumn="0" w:lastRowFirstColumn="0" w:lastRowLastColumn="0"/>
              <w:rPr>
                <w:rFonts w:cstheme="minorHAnsi"/>
              </w:rPr>
            </w:pPr>
            <w:r w:rsidRPr="005179F6">
              <w:rPr>
                <w:rFonts w:cstheme="minorHAnsi"/>
              </w:rPr>
              <w:t xml:space="preserve">Evidence from observational studies, unsystematic clinical experience, or from randomised, controlled trials with serious </w:t>
            </w:r>
            <w:r w:rsidR="00FA7DC0" w:rsidRPr="005179F6">
              <w:rPr>
                <w:rFonts w:cstheme="minorHAnsi"/>
              </w:rPr>
              <w:t>flaws. Any</w:t>
            </w:r>
            <w:r w:rsidR="008E3C2F">
              <w:rPr>
                <w:rFonts w:cstheme="minorHAnsi"/>
              </w:rPr>
              <w:t xml:space="preserve"> estimate of effect is </w:t>
            </w:r>
            <w:r w:rsidRPr="005179F6">
              <w:rPr>
                <w:rFonts w:cstheme="minorHAnsi"/>
              </w:rPr>
              <w:t>uncertain.</w:t>
            </w:r>
          </w:p>
        </w:tc>
        <w:tc>
          <w:tcPr>
            <w:tcW w:w="3719" w:type="dxa"/>
          </w:tcPr>
          <w:p w:rsidR="00BD0B19" w:rsidRPr="005179F6" w:rsidRDefault="00BD0B19" w:rsidP="008E3C2F">
            <w:pPr>
              <w:spacing w:before="40"/>
              <w:cnfStyle w:val="000000100000" w:firstRow="0" w:lastRow="0" w:firstColumn="0" w:lastColumn="0" w:oddVBand="0" w:evenVBand="0" w:oddHBand="1" w:evenHBand="0" w:firstRowFirstColumn="0" w:firstRowLastColumn="0" w:lastRowFirstColumn="0" w:lastRowLastColumn="0"/>
              <w:rPr>
                <w:rFonts w:cstheme="minorHAnsi"/>
              </w:rPr>
            </w:pPr>
            <w:r w:rsidRPr="005179F6">
              <w:rPr>
                <w:rFonts w:cstheme="minorHAnsi"/>
              </w:rPr>
              <w:t>Relatively strong recommendation; might change when higher quality evidence becomes available</w:t>
            </w:r>
            <w:r w:rsidR="008E3C2F">
              <w:rPr>
                <w:rFonts w:cstheme="minorHAnsi"/>
              </w:rPr>
              <w:t>.</w:t>
            </w:r>
          </w:p>
          <w:p w:rsidR="00BD0B19" w:rsidRPr="005179F6" w:rsidRDefault="00BD0B19" w:rsidP="008E3C2F">
            <w:pPr>
              <w:spacing w:before="40"/>
              <w:cnfStyle w:val="000000100000" w:firstRow="0" w:lastRow="0" w:firstColumn="0" w:lastColumn="0" w:oddVBand="0" w:evenVBand="0" w:oddHBand="1" w:evenHBand="0" w:firstRowFirstColumn="0" w:firstRowLastColumn="0" w:lastRowFirstColumn="0" w:lastRowLastColumn="0"/>
              <w:rPr>
                <w:rFonts w:cstheme="minorHAnsi"/>
              </w:rPr>
            </w:pPr>
          </w:p>
        </w:tc>
      </w:tr>
      <w:tr w:rsidR="00BD0B19" w:rsidRPr="005179F6" w:rsidTr="00F81AC4">
        <w:trPr>
          <w:gridAfter w:val="1"/>
          <w:wAfter w:w="97" w:type="dxa"/>
        </w:trPr>
        <w:tc>
          <w:tcPr>
            <w:cnfStyle w:val="001000000000" w:firstRow="0" w:lastRow="0" w:firstColumn="1" w:lastColumn="0" w:oddVBand="0" w:evenVBand="0" w:oddHBand="0" w:evenHBand="0" w:firstRowFirstColumn="0" w:firstRowLastColumn="0" w:lastRowFirstColumn="0" w:lastRowLastColumn="0"/>
            <w:tcW w:w="2518" w:type="dxa"/>
          </w:tcPr>
          <w:p w:rsidR="00BD0B19" w:rsidRPr="005179F6" w:rsidRDefault="007C0A03" w:rsidP="008E3C2F">
            <w:pPr>
              <w:spacing w:before="40"/>
              <w:rPr>
                <w:rFonts w:cstheme="minorHAnsi"/>
              </w:rPr>
            </w:pPr>
            <w:r w:rsidRPr="005179F6">
              <w:rPr>
                <w:rFonts w:cstheme="minorHAnsi"/>
              </w:rPr>
              <w:t>2A Weak recommendation. High quality evidence.</w:t>
            </w:r>
          </w:p>
        </w:tc>
        <w:tc>
          <w:tcPr>
            <w:tcW w:w="2693" w:type="dxa"/>
          </w:tcPr>
          <w:p w:rsidR="00BD0B19" w:rsidRPr="005179F6" w:rsidRDefault="007C0A03" w:rsidP="008E3C2F">
            <w:pPr>
              <w:spacing w:before="40"/>
              <w:cnfStyle w:val="000000000000" w:firstRow="0" w:lastRow="0" w:firstColumn="0" w:lastColumn="0" w:oddVBand="0" w:evenVBand="0" w:oddHBand="0" w:evenHBand="0" w:firstRowFirstColumn="0" w:firstRowLastColumn="0" w:lastRowFirstColumn="0" w:lastRowLastColumn="0"/>
              <w:rPr>
                <w:rFonts w:cstheme="minorHAnsi"/>
              </w:rPr>
            </w:pPr>
            <w:r w:rsidRPr="005179F6">
              <w:rPr>
                <w:rFonts w:cstheme="minorHAnsi"/>
              </w:rPr>
              <w:t>Benefits closely balanced with risks and burdens.</w:t>
            </w:r>
          </w:p>
        </w:tc>
        <w:tc>
          <w:tcPr>
            <w:tcW w:w="5954" w:type="dxa"/>
          </w:tcPr>
          <w:p w:rsidR="00BD0B19" w:rsidRPr="005179F6" w:rsidRDefault="007C0A03" w:rsidP="008E3C2F">
            <w:pPr>
              <w:spacing w:before="40"/>
              <w:cnfStyle w:val="000000000000" w:firstRow="0" w:lastRow="0" w:firstColumn="0" w:lastColumn="0" w:oddVBand="0" w:evenVBand="0" w:oddHBand="0" w:evenHBand="0" w:firstRowFirstColumn="0" w:firstRowLastColumn="0" w:lastRowFirstColumn="0" w:lastRowLastColumn="0"/>
              <w:rPr>
                <w:rFonts w:cstheme="minorHAnsi"/>
              </w:rPr>
            </w:pPr>
            <w:r w:rsidRPr="005179F6">
              <w:rPr>
                <w:rFonts w:cstheme="minorHAnsi"/>
              </w:rPr>
              <w:t>Consistent evidence from well performed, randomised, controlled trials or overwhelming evidence of some other form. Further res</w:t>
            </w:r>
            <w:r w:rsidR="008E3C2F">
              <w:rPr>
                <w:rFonts w:cstheme="minorHAnsi"/>
              </w:rPr>
              <w:t xml:space="preserve">earch is unlikely to change our </w:t>
            </w:r>
            <w:r w:rsidRPr="005179F6">
              <w:rPr>
                <w:rFonts w:cstheme="minorHAnsi"/>
              </w:rPr>
              <w:t>confidence in the estimate of benefit and risk.</w:t>
            </w:r>
          </w:p>
        </w:tc>
        <w:tc>
          <w:tcPr>
            <w:tcW w:w="3719" w:type="dxa"/>
          </w:tcPr>
          <w:p w:rsidR="007C0A03" w:rsidRPr="005179F6" w:rsidRDefault="007C0A03" w:rsidP="008E3C2F">
            <w:pPr>
              <w:spacing w:before="40"/>
              <w:cnfStyle w:val="000000000000" w:firstRow="0" w:lastRow="0" w:firstColumn="0" w:lastColumn="0" w:oddVBand="0" w:evenVBand="0" w:oddHBand="0" w:evenHBand="0" w:firstRowFirstColumn="0" w:firstRowLastColumn="0" w:lastRowFirstColumn="0" w:lastRowLastColumn="0"/>
              <w:rPr>
                <w:rFonts w:cstheme="minorHAnsi"/>
              </w:rPr>
            </w:pPr>
            <w:r w:rsidRPr="005179F6">
              <w:rPr>
                <w:rFonts w:cstheme="minorHAnsi"/>
              </w:rPr>
              <w:t>Weak recommendation, best action may differ depending on circumstances or patients or societal values.</w:t>
            </w:r>
          </w:p>
          <w:p w:rsidR="00BD0B19" w:rsidRPr="005179F6" w:rsidRDefault="00BD0B19" w:rsidP="008E3C2F">
            <w:pPr>
              <w:spacing w:before="40"/>
              <w:cnfStyle w:val="000000000000" w:firstRow="0" w:lastRow="0" w:firstColumn="0" w:lastColumn="0" w:oddVBand="0" w:evenVBand="0" w:oddHBand="0" w:evenHBand="0" w:firstRowFirstColumn="0" w:firstRowLastColumn="0" w:lastRowFirstColumn="0" w:lastRowLastColumn="0"/>
              <w:rPr>
                <w:rFonts w:cstheme="minorHAnsi"/>
              </w:rPr>
            </w:pPr>
          </w:p>
        </w:tc>
      </w:tr>
      <w:tr w:rsidR="00FF5FFB" w:rsidRPr="005179F6" w:rsidTr="00F81AC4">
        <w:trPr>
          <w:gridAfter w:val="1"/>
          <w:cnfStyle w:val="000000100000" w:firstRow="0" w:lastRow="0" w:firstColumn="0" w:lastColumn="0" w:oddVBand="0" w:evenVBand="0" w:oddHBand="1" w:evenHBand="0" w:firstRowFirstColumn="0" w:firstRowLastColumn="0" w:lastRowFirstColumn="0" w:lastRowLastColumn="0"/>
          <w:wAfter w:w="97" w:type="dxa"/>
        </w:trPr>
        <w:tc>
          <w:tcPr>
            <w:cnfStyle w:val="001000000000" w:firstRow="0" w:lastRow="0" w:firstColumn="1" w:lastColumn="0" w:oddVBand="0" w:evenVBand="0" w:oddHBand="0" w:evenHBand="0" w:firstRowFirstColumn="0" w:firstRowLastColumn="0" w:lastRowFirstColumn="0" w:lastRowLastColumn="0"/>
            <w:tcW w:w="2518" w:type="dxa"/>
          </w:tcPr>
          <w:p w:rsidR="00BD0B19" w:rsidRPr="005179F6" w:rsidRDefault="007C0A03" w:rsidP="008E3C2F">
            <w:pPr>
              <w:spacing w:before="40"/>
              <w:rPr>
                <w:rFonts w:cstheme="minorHAnsi"/>
              </w:rPr>
            </w:pPr>
            <w:r w:rsidRPr="005179F6">
              <w:rPr>
                <w:rFonts w:cstheme="minorHAnsi"/>
              </w:rPr>
              <w:t>2B Weak recommendation. Moderate quality evidence.</w:t>
            </w:r>
          </w:p>
        </w:tc>
        <w:tc>
          <w:tcPr>
            <w:tcW w:w="2693" w:type="dxa"/>
          </w:tcPr>
          <w:p w:rsidR="00BD0B19" w:rsidRPr="005179F6" w:rsidRDefault="00FF5FFB" w:rsidP="008E3C2F">
            <w:pPr>
              <w:spacing w:before="40"/>
              <w:cnfStyle w:val="000000100000" w:firstRow="0" w:lastRow="0" w:firstColumn="0" w:lastColumn="0" w:oddVBand="0" w:evenVBand="0" w:oddHBand="1" w:evenHBand="0" w:firstRowFirstColumn="0" w:firstRowLastColumn="0" w:lastRowFirstColumn="0" w:lastRowLastColumn="0"/>
              <w:rPr>
                <w:rFonts w:cstheme="minorHAnsi"/>
              </w:rPr>
            </w:pPr>
            <w:r w:rsidRPr="005179F6">
              <w:rPr>
                <w:rFonts w:cstheme="minorHAnsi"/>
              </w:rPr>
              <w:t xml:space="preserve">Benefits closely balanced with </w:t>
            </w:r>
            <w:r w:rsidR="007C0A03" w:rsidRPr="005179F6">
              <w:rPr>
                <w:rFonts w:cstheme="minorHAnsi"/>
              </w:rPr>
              <w:t xml:space="preserve">risks </w:t>
            </w:r>
            <w:r w:rsidRPr="005179F6">
              <w:rPr>
                <w:rFonts w:cstheme="minorHAnsi"/>
              </w:rPr>
              <w:t>a</w:t>
            </w:r>
            <w:r w:rsidR="007C0A03" w:rsidRPr="005179F6">
              <w:rPr>
                <w:rFonts w:cstheme="minorHAnsi"/>
              </w:rPr>
              <w:t xml:space="preserve">nd burdens, some uncertainty in the estimates </w:t>
            </w:r>
            <w:r w:rsidR="008E3C2F">
              <w:rPr>
                <w:rFonts w:cstheme="minorHAnsi"/>
              </w:rPr>
              <w:t>of benefits, risks and burdens.</w:t>
            </w:r>
          </w:p>
        </w:tc>
        <w:tc>
          <w:tcPr>
            <w:tcW w:w="5954" w:type="dxa"/>
          </w:tcPr>
          <w:p w:rsidR="00BD0B19" w:rsidRPr="005179F6" w:rsidRDefault="007C0A03" w:rsidP="008E3C2F">
            <w:pPr>
              <w:spacing w:before="40"/>
              <w:cnfStyle w:val="000000100000" w:firstRow="0" w:lastRow="0" w:firstColumn="0" w:lastColumn="0" w:oddVBand="0" w:evenVBand="0" w:oddHBand="1" w:evenHBand="0" w:firstRowFirstColumn="0" w:firstRowLastColumn="0" w:lastRowFirstColumn="0" w:lastRowLastColumn="0"/>
              <w:rPr>
                <w:rFonts w:cstheme="minorHAnsi"/>
              </w:rPr>
            </w:pPr>
            <w:r w:rsidRPr="005179F6">
              <w:rPr>
                <w:rFonts w:cstheme="minorHAnsi"/>
              </w:rPr>
              <w:t>Evidence from randomised, controlled trials with important lim</w:t>
            </w:r>
            <w:r w:rsidR="008E3C2F">
              <w:rPr>
                <w:rFonts w:cstheme="minorHAnsi"/>
              </w:rPr>
              <w:t xml:space="preserve">itations (inconsistent results, </w:t>
            </w:r>
            <w:r w:rsidRPr="005179F6">
              <w:rPr>
                <w:rFonts w:cstheme="minorHAnsi"/>
              </w:rPr>
              <w:t>methodological flaws, indirect or imprecise), or very strong evidence of some other form. Further research (if performed) is likely to have an impact on our confidence in the estimate of benefit and risk and may change the estimate.</w:t>
            </w:r>
          </w:p>
        </w:tc>
        <w:tc>
          <w:tcPr>
            <w:tcW w:w="3719" w:type="dxa"/>
          </w:tcPr>
          <w:p w:rsidR="007C0A03" w:rsidRPr="005179F6" w:rsidRDefault="007C0A03" w:rsidP="008E3C2F">
            <w:pPr>
              <w:spacing w:before="40"/>
              <w:cnfStyle w:val="000000100000" w:firstRow="0" w:lastRow="0" w:firstColumn="0" w:lastColumn="0" w:oddVBand="0" w:evenVBand="0" w:oddHBand="1" w:evenHBand="0" w:firstRowFirstColumn="0" w:firstRowLastColumn="0" w:lastRowFirstColumn="0" w:lastRowLastColumn="0"/>
              <w:rPr>
                <w:rFonts w:cstheme="minorHAnsi"/>
              </w:rPr>
            </w:pPr>
            <w:r w:rsidRPr="005179F6">
              <w:rPr>
                <w:rFonts w:cstheme="minorHAnsi"/>
              </w:rPr>
              <w:t>Weak recommendation, alternative approaches likely to be better for some patients under some circumstances.</w:t>
            </w:r>
          </w:p>
          <w:p w:rsidR="00BD0B19" w:rsidRPr="005179F6" w:rsidRDefault="00BD0B19" w:rsidP="008E3C2F">
            <w:pPr>
              <w:spacing w:before="40"/>
              <w:cnfStyle w:val="000000100000" w:firstRow="0" w:lastRow="0" w:firstColumn="0" w:lastColumn="0" w:oddVBand="0" w:evenVBand="0" w:oddHBand="1" w:evenHBand="0" w:firstRowFirstColumn="0" w:firstRowLastColumn="0" w:lastRowFirstColumn="0" w:lastRowLastColumn="0"/>
              <w:rPr>
                <w:rFonts w:cstheme="minorHAnsi"/>
              </w:rPr>
            </w:pPr>
          </w:p>
        </w:tc>
      </w:tr>
      <w:tr w:rsidR="00BD0B19" w:rsidRPr="005179F6" w:rsidTr="00F81AC4">
        <w:tc>
          <w:tcPr>
            <w:cnfStyle w:val="001000000000" w:firstRow="0" w:lastRow="0" w:firstColumn="1" w:lastColumn="0" w:oddVBand="0" w:evenVBand="0" w:oddHBand="0" w:evenHBand="0" w:firstRowFirstColumn="0" w:firstRowLastColumn="0" w:lastRowFirstColumn="0" w:lastRowLastColumn="0"/>
            <w:tcW w:w="2518" w:type="dxa"/>
          </w:tcPr>
          <w:p w:rsidR="00BD0B19" w:rsidRPr="005179F6" w:rsidRDefault="007C0A03" w:rsidP="008E3C2F">
            <w:pPr>
              <w:spacing w:before="40"/>
              <w:rPr>
                <w:rFonts w:cstheme="minorHAnsi"/>
              </w:rPr>
            </w:pPr>
            <w:r w:rsidRPr="005179F6">
              <w:rPr>
                <w:rFonts w:cstheme="minorHAnsi"/>
              </w:rPr>
              <w:t>2C Weak recommendation. Low quality evidence.</w:t>
            </w:r>
          </w:p>
        </w:tc>
        <w:tc>
          <w:tcPr>
            <w:tcW w:w="2693" w:type="dxa"/>
          </w:tcPr>
          <w:p w:rsidR="00BD0B19" w:rsidRPr="005179F6" w:rsidRDefault="007C0A03" w:rsidP="008E3C2F">
            <w:pPr>
              <w:spacing w:before="40"/>
              <w:cnfStyle w:val="000000000000" w:firstRow="0" w:lastRow="0" w:firstColumn="0" w:lastColumn="0" w:oddVBand="0" w:evenVBand="0" w:oddHBand="0" w:evenHBand="0" w:firstRowFirstColumn="0" w:firstRowLastColumn="0" w:lastRowFirstColumn="0" w:lastRowLastColumn="0"/>
              <w:rPr>
                <w:rFonts w:cstheme="minorHAnsi"/>
              </w:rPr>
            </w:pPr>
            <w:r w:rsidRPr="005179F6">
              <w:rPr>
                <w:rFonts w:cstheme="minorHAnsi"/>
              </w:rPr>
              <w:t xml:space="preserve">Uncertainty in the estimates of </w:t>
            </w:r>
            <w:r w:rsidR="00FF5FFB" w:rsidRPr="005179F6">
              <w:rPr>
                <w:rFonts w:cstheme="minorHAnsi"/>
              </w:rPr>
              <w:t>benefits</w:t>
            </w:r>
            <w:r w:rsidRPr="005179F6">
              <w:rPr>
                <w:rFonts w:cstheme="minorHAnsi"/>
              </w:rPr>
              <w:t xml:space="preserve"> risks and burdens; benefits may be closely balanced with risks and burdens.</w:t>
            </w:r>
          </w:p>
        </w:tc>
        <w:tc>
          <w:tcPr>
            <w:tcW w:w="5954" w:type="dxa"/>
          </w:tcPr>
          <w:p w:rsidR="00BD0B19" w:rsidRPr="005179F6" w:rsidRDefault="007C0A03" w:rsidP="008E3C2F">
            <w:pPr>
              <w:spacing w:before="40"/>
              <w:cnfStyle w:val="000000000000" w:firstRow="0" w:lastRow="0" w:firstColumn="0" w:lastColumn="0" w:oddVBand="0" w:evenVBand="0" w:oddHBand="0" w:evenHBand="0" w:firstRowFirstColumn="0" w:firstRowLastColumn="0" w:lastRowFirstColumn="0" w:lastRowLastColumn="0"/>
              <w:rPr>
                <w:rFonts w:cstheme="minorHAnsi"/>
              </w:rPr>
            </w:pPr>
            <w:r w:rsidRPr="005179F6">
              <w:rPr>
                <w:rFonts w:cstheme="minorHAnsi"/>
              </w:rPr>
              <w:t>Evidence from observational studies, unsystematic clinical experience,</w:t>
            </w:r>
            <w:r w:rsidR="008E3C2F">
              <w:rPr>
                <w:rFonts w:cstheme="minorHAnsi"/>
              </w:rPr>
              <w:t xml:space="preserve"> or from randomised, controlled </w:t>
            </w:r>
            <w:r w:rsidRPr="005179F6">
              <w:rPr>
                <w:rFonts w:cstheme="minorHAnsi"/>
              </w:rPr>
              <w:t>trials with serious flaws. Any estimate of effect is uncertain.</w:t>
            </w:r>
          </w:p>
        </w:tc>
        <w:tc>
          <w:tcPr>
            <w:tcW w:w="3816" w:type="dxa"/>
            <w:gridSpan w:val="2"/>
          </w:tcPr>
          <w:p w:rsidR="007C0A03" w:rsidRPr="005179F6" w:rsidRDefault="007C0A03" w:rsidP="008E3C2F">
            <w:pPr>
              <w:spacing w:before="40"/>
              <w:cnfStyle w:val="000000000000" w:firstRow="0" w:lastRow="0" w:firstColumn="0" w:lastColumn="0" w:oddVBand="0" w:evenVBand="0" w:oddHBand="0" w:evenHBand="0" w:firstRowFirstColumn="0" w:firstRowLastColumn="0" w:lastRowFirstColumn="0" w:lastRowLastColumn="0"/>
              <w:rPr>
                <w:rFonts w:cstheme="minorHAnsi"/>
              </w:rPr>
            </w:pPr>
            <w:r w:rsidRPr="005179F6">
              <w:rPr>
                <w:rFonts w:cstheme="minorHAnsi"/>
              </w:rPr>
              <w:t>Very weak recommendation;</w:t>
            </w:r>
          </w:p>
          <w:p w:rsidR="007C0A03" w:rsidRPr="005179F6" w:rsidRDefault="007C0A03" w:rsidP="008E3C2F">
            <w:pPr>
              <w:spacing w:before="40"/>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5179F6">
              <w:rPr>
                <w:rFonts w:cstheme="minorHAnsi"/>
              </w:rPr>
              <w:t>other</w:t>
            </w:r>
            <w:proofErr w:type="gramEnd"/>
            <w:r w:rsidRPr="005179F6">
              <w:rPr>
                <w:rFonts w:cstheme="minorHAnsi"/>
              </w:rPr>
              <w:t xml:space="preserve"> alternatives may be equally reasonable</w:t>
            </w:r>
            <w:r w:rsidR="008E3C2F">
              <w:rPr>
                <w:rFonts w:cstheme="minorHAnsi"/>
              </w:rPr>
              <w:t>.</w:t>
            </w:r>
          </w:p>
          <w:p w:rsidR="00BD0B19" w:rsidRPr="005179F6" w:rsidRDefault="00BD0B19" w:rsidP="008E3C2F">
            <w:pPr>
              <w:spacing w:before="40"/>
              <w:cnfStyle w:val="000000000000" w:firstRow="0" w:lastRow="0" w:firstColumn="0" w:lastColumn="0" w:oddVBand="0" w:evenVBand="0" w:oddHBand="0" w:evenHBand="0" w:firstRowFirstColumn="0" w:firstRowLastColumn="0" w:lastRowFirstColumn="0" w:lastRowLastColumn="0"/>
              <w:rPr>
                <w:rFonts w:cstheme="minorHAnsi"/>
              </w:rPr>
            </w:pPr>
          </w:p>
        </w:tc>
      </w:tr>
    </w:tbl>
    <w:p w:rsidR="00FF5FFB" w:rsidRPr="005179F6" w:rsidRDefault="00FF5FFB" w:rsidP="005179F6">
      <w:pPr>
        <w:rPr>
          <w:rFonts w:cstheme="minorHAnsi"/>
        </w:rPr>
        <w:sectPr w:rsidR="00FF5FFB" w:rsidRPr="005179F6" w:rsidSect="00F81AC4">
          <w:pgSz w:w="16838" w:h="11906" w:orient="landscape"/>
          <w:pgMar w:top="1134" w:right="1134" w:bottom="1134" w:left="1134" w:header="709" w:footer="709" w:gutter="0"/>
          <w:cols w:space="708"/>
          <w:docGrid w:linePitch="360"/>
        </w:sectPr>
      </w:pPr>
    </w:p>
    <w:p w:rsidR="00B40493" w:rsidRPr="005179F6" w:rsidRDefault="00AD3599" w:rsidP="00B94DE6">
      <w:pPr>
        <w:pStyle w:val="Heading2"/>
      </w:pPr>
      <w:bookmarkStart w:id="30" w:name="_Toc399150610"/>
      <w:r w:rsidRPr="005179F6">
        <w:lastRenderedPageBreak/>
        <w:t xml:space="preserve">Appendix 4: </w:t>
      </w:r>
      <w:r w:rsidR="00B40493" w:rsidRPr="005179F6">
        <w:t>Recommendations and Practice points</w:t>
      </w:r>
      <w:bookmarkStart w:id="31" w:name="bookmark0"/>
      <w:bookmarkStart w:id="32" w:name="Table_2.3_Definitions_of_NHMRC_grades_fo"/>
      <w:bookmarkEnd w:id="31"/>
      <w:bookmarkEnd w:id="32"/>
      <w:r w:rsidR="004C611C">
        <w:t xml:space="preserve"> – </w:t>
      </w:r>
      <w:r w:rsidR="004C611C" w:rsidRPr="005179F6">
        <w:t>P</w:t>
      </w:r>
      <w:r w:rsidR="004C611C">
        <w:t>atient Blood Management</w:t>
      </w:r>
      <w:r w:rsidR="004C611C" w:rsidRPr="005179F6">
        <w:t xml:space="preserve"> Guidelines</w:t>
      </w:r>
      <w:bookmarkEnd w:id="30"/>
    </w:p>
    <w:p w:rsidR="00B40493" w:rsidRPr="005179F6" w:rsidRDefault="00B40493" w:rsidP="005179F6">
      <w:pPr>
        <w:rPr>
          <w:rFonts w:cstheme="minorHAnsi"/>
        </w:rPr>
      </w:pPr>
    </w:p>
    <w:p w:rsidR="00CF665C" w:rsidRPr="005179F6" w:rsidRDefault="00EE2EE0" w:rsidP="005E1050">
      <w:pPr>
        <w:jc w:val="both"/>
        <w:rPr>
          <w:rFonts w:cstheme="minorHAnsi"/>
        </w:rPr>
      </w:pPr>
      <w:r w:rsidRPr="005179F6">
        <w:rPr>
          <w:rFonts w:cstheme="minorHAnsi"/>
        </w:rPr>
        <w:t>The Patient Blood Management Guidelines contain both recommendations and practice points to guide clinical practice. R</w:t>
      </w:r>
      <w:r w:rsidR="00CF665C" w:rsidRPr="005179F6">
        <w:rPr>
          <w:rFonts w:cstheme="minorHAnsi"/>
        </w:rPr>
        <w:t>ecommendations are based on evidence from systematic review</w:t>
      </w:r>
      <w:r w:rsidR="00860E9F">
        <w:rPr>
          <w:rFonts w:cstheme="minorHAnsi"/>
        </w:rPr>
        <w:t xml:space="preserve"> of the literature</w:t>
      </w:r>
      <w:r w:rsidR="00CF665C" w:rsidRPr="005179F6">
        <w:rPr>
          <w:rFonts w:cstheme="minorHAnsi"/>
        </w:rPr>
        <w:t xml:space="preserve"> and the practice points are base</w:t>
      </w:r>
      <w:r w:rsidRPr="005179F6">
        <w:rPr>
          <w:rFonts w:cstheme="minorHAnsi"/>
        </w:rPr>
        <w:t>d on consensus decision-making, where</w:t>
      </w:r>
      <w:r w:rsidR="00CF665C" w:rsidRPr="005179F6">
        <w:rPr>
          <w:rFonts w:cstheme="minorHAnsi"/>
        </w:rPr>
        <w:t xml:space="preserve"> insufficient </w:t>
      </w:r>
      <w:r w:rsidRPr="005179F6">
        <w:rPr>
          <w:rFonts w:cstheme="minorHAnsi"/>
        </w:rPr>
        <w:t>high-quality data was available</w:t>
      </w:r>
      <w:r w:rsidR="00CF665C" w:rsidRPr="005179F6">
        <w:rPr>
          <w:rFonts w:cstheme="minorHAnsi"/>
        </w:rPr>
        <w:t xml:space="preserve">. </w:t>
      </w:r>
    </w:p>
    <w:p w:rsidR="007B3A28" w:rsidRPr="005179F6" w:rsidRDefault="007B3A28" w:rsidP="005E1050">
      <w:pPr>
        <w:jc w:val="both"/>
        <w:rPr>
          <w:rFonts w:cstheme="minorHAnsi"/>
        </w:rPr>
      </w:pPr>
    </w:p>
    <w:p w:rsidR="007B3A28" w:rsidRPr="005179F6" w:rsidRDefault="007B3A28" w:rsidP="005E1050">
      <w:pPr>
        <w:jc w:val="both"/>
        <w:rPr>
          <w:rFonts w:cstheme="minorHAnsi"/>
        </w:rPr>
      </w:pPr>
      <w:r w:rsidRPr="005179F6">
        <w:rPr>
          <w:rFonts w:cstheme="minorHAnsi"/>
        </w:rPr>
        <w:t>The Nation</w:t>
      </w:r>
      <w:r w:rsidR="000A2237">
        <w:rPr>
          <w:rFonts w:cstheme="minorHAnsi"/>
        </w:rPr>
        <w:t>al</w:t>
      </w:r>
      <w:r w:rsidRPr="005179F6">
        <w:rPr>
          <w:rFonts w:cstheme="minorHAnsi"/>
        </w:rPr>
        <w:t xml:space="preserve"> Health and Medical Research</w:t>
      </w:r>
      <w:r w:rsidR="000A2237">
        <w:rPr>
          <w:rFonts w:cstheme="minorHAnsi"/>
        </w:rPr>
        <w:t xml:space="preserve"> Council (NHMRC)</w:t>
      </w:r>
      <w:r w:rsidRPr="005179F6">
        <w:rPr>
          <w:rFonts w:cstheme="minorHAnsi"/>
        </w:rPr>
        <w:t xml:space="preserve"> grades of recommendations definitions were used to indicate the strength of the body of evidence underpinning the PBM guideline recommendation.</w:t>
      </w:r>
    </w:p>
    <w:p w:rsidR="007B3A28" w:rsidRPr="005179F6" w:rsidRDefault="007B3A28" w:rsidP="005179F6">
      <w:pPr>
        <w:rPr>
          <w:rFonts w:cstheme="minorHAnsi"/>
        </w:rPr>
      </w:pPr>
    </w:p>
    <w:tbl>
      <w:tblPr>
        <w:tblStyle w:val="TableGrid"/>
        <w:tblW w:w="0" w:type="auto"/>
        <w:tblInd w:w="250" w:type="dxa"/>
        <w:tblLook w:val="04A0" w:firstRow="1" w:lastRow="0" w:firstColumn="1" w:lastColumn="0" w:noHBand="0" w:noVBand="1"/>
      </w:tblPr>
      <w:tblGrid>
        <w:gridCol w:w="992"/>
        <w:gridCol w:w="8163"/>
      </w:tblGrid>
      <w:tr w:rsidR="007B3A28" w:rsidRPr="005179F6" w:rsidTr="00E07D80">
        <w:tc>
          <w:tcPr>
            <w:tcW w:w="992" w:type="dxa"/>
          </w:tcPr>
          <w:p w:rsidR="007B3A28" w:rsidRPr="005E1050" w:rsidRDefault="007B3A28" w:rsidP="005179F6">
            <w:pPr>
              <w:rPr>
                <w:rFonts w:cstheme="minorHAnsi"/>
                <w:b/>
              </w:rPr>
            </w:pPr>
            <w:r w:rsidRPr="005E1050">
              <w:rPr>
                <w:rFonts w:cstheme="minorHAnsi"/>
                <w:b/>
              </w:rPr>
              <w:t>Grade</w:t>
            </w:r>
          </w:p>
        </w:tc>
        <w:tc>
          <w:tcPr>
            <w:tcW w:w="8163" w:type="dxa"/>
          </w:tcPr>
          <w:p w:rsidR="007B3A28" w:rsidRPr="005179F6" w:rsidRDefault="007B3A28" w:rsidP="005179F6">
            <w:pPr>
              <w:rPr>
                <w:rFonts w:cstheme="minorHAnsi"/>
              </w:rPr>
            </w:pPr>
          </w:p>
        </w:tc>
      </w:tr>
      <w:tr w:rsidR="007B3A28" w:rsidRPr="005179F6" w:rsidTr="00E07D80">
        <w:tc>
          <w:tcPr>
            <w:tcW w:w="992" w:type="dxa"/>
          </w:tcPr>
          <w:p w:rsidR="007B3A28" w:rsidRPr="005E1050" w:rsidRDefault="007B3A28" w:rsidP="005179F6">
            <w:pPr>
              <w:rPr>
                <w:rFonts w:cstheme="minorHAnsi"/>
                <w:b/>
              </w:rPr>
            </w:pPr>
            <w:r w:rsidRPr="005E1050">
              <w:rPr>
                <w:rFonts w:cstheme="minorHAnsi"/>
                <w:b/>
              </w:rPr>
              <w:t>A</w:t>
            </w:r>
          </w:p>
        </w:tc>
        <w:tc>
          <w:tcPr>
            <w:tcW w:w="8163" w:type="dxa"/>
          </w:tcPr>
          <w:p w:rsidR="007B3A28" w:rsidRPr="005179F6" w:rsidRDefault="007B3A28" w:rsidP="005179F6">
            <w:pPr>
              <w:rPr>
                <w:rFonts w:cstheme="minorHAnsi"/>
              </w:rPr>
            </w:pPr>
            <w:r w:rsidRPr="005179F6">
              <w:rPr>
                <w:rFonts w:cstheme="minorHAnsi"/>
              </w:rPr>
              <w:t>Body of evidence can be trusted to guide practice</w:t>
            </w:r>
          </w:p>
        </w:tc>
      </w:tr>
      <w:tr w:rsidR="007B3A28" w:rsidRPr="005179F6" w:rsidTr="00E07D80">
        <w:tc>
          <w:tcPr>
            <w:tcW w:w="992" w:type="dxa"/>
          </w:tcPr>
          <w:p w:rsidR="007B3A28" w:rsidRPr="005E1050" w:rsidRDefault="007B3A28" w:rsidP="005179F6">
            <w:pPr>
              <w:rPr>
                <w:rFonts w:cstheme="minorHAnsi"/>
                <w:b/>
              </w:rPr>
            </w:pPr>
            <w:r w:rsidRPr="005E1050">
              <w:rPr>
                <w:rFonts w:cstheme="minorHAnsi"/>
                <w:b/>
              </w:rPr>
              <w:t>B</w:t>
            </w:r>
          </w:p>
        </w:tc>
        <w:tc>
          <w:tcPr>
            <w:tcW w:w="8163" w:type="dxa"/>
          </w:tcPr>
          <w:p w:rsidR="007B3A28" w:rsidRPr="005179F6" w:rsidRDefault="007B3A28" w:rsidP="005179F6">
            <w:pPr>
              <w:rPr>
                <w:rFonts w:cstheme="minorHAnsi"/>
              </w:rPr>
            </w:pPr>
            <w:r w:rsidRPr="005179F6">
              <w:rPr>
                <w:rFonts w:cstheme="minorHAnsi"/>
              </w:rPr>
              <w:t>Body of evidence can be trusted to guide practice in most situations</w:t>
            </w:r>
          </w:p>
        </w:tc>
      </w:tr>
      <w:tr w:rsidR="007B3A28" w:rsidRPr="005179F6" w:rsidTr="00E07D80">
        <w:tc>
          <w:tcPr>
            <w:tcW w:w="992" w:type="dxa"/>
          </w:tcPr>
          <w:p w:rsidR="007B3A28" w:rsidRPr="005E1050" w:rsidRDefault="007B3A28" w:rsidP="005179F6">
            <w:pPr>
              <w:rPr>
                <w:rFonts w:cstheme="minorHAnsi"/>
                <w:b/>
              </w:rPr>
            </w:pPr>
            <w:r w:rsidRPr="005E1050">
              <w:rPr>
                <w:rFonts w:cstheme="minorHAnsi"/>
                <w:b/>
              </w:rPr>
              <w:t>C</w:t>
            </w:r>
          </w:p>
        </w:tc>
        <w:tc>
          <w:tcPr>
            <w:tcW w:w="8163" w:type="dxa"/>
          </w:tcPr>
          <w:p w:rsidR="007B3A28" w:rsidRPr="005179F6" w:rsidRDefault="007B3A28" w:rsidP="005179F6">
            <w:pPr>
              <w:rPr>
                <w:rFonts w:cstheme="minorHAnsi"/>
              </w:rPr>
            </w:pPr>
            <w:r w:rsidRPr="005179F6">
              <w:rPr>
                <w:rFonts w:cstheme="minorHAnsi"/>
              </w:rPr>
              <w:t>Body of evidence provides some support for recommendation(s) but care should be taken in its application</w:t>
            </w:r>
          </w:p>
        </w:tc>
      </w:tr>
      <w:tr w:rsidR="007B3A28" w:rsidRPr="005179F6" w:rsidTr="00E07D80">
        <w:tc>
          <w:tcPr>
            <w:tcW w:w="992" w:type="dxa"/>
          </w:tcPr>
          <w:p w:rsidR="007B3A28" w:rsidRPr="005E1050" w:rsidRDefault="007B3A28" w:rsidP="005179F6">
            <w:pPr>
              <w:rPr>
                <w:rFonts w:cstheme="minorHAnsi"/>
                <w:b/>
              </w:rPr>
            </w:pPr>
            <w:r w:rsidRPr="005E1050">
              <w:rPr>
                <w:rFonts w:cstheme="minorHAnsi"/>
                <w:b/>
              </w:rPr>
              <w:t>D</w:t>
            </w:r>
          </w:p>
        </w:tc>
        <w:tc>
          <w:tcPr>
            <w:tcW w:w="8163" w:type="dxa"/>
          </w:tcPr>
          <w:p w:rsidR="007B3A28" w:rsidRPr="005179F6" w:rsidRDefault="007B3A28" w:rsidP="005179F6">
            <w:pPr>
              <w:rPr>
                <w:rFonts w:cstheme="minorHAnsi"/>
              </w:rPr>
            </w:pPr>
            <w:r w:rsidRPr="005179F6">
              <w:rPr>
                <w:rFonts w:cstheme="minorHAnsi"/>
              </w:rPr>
              <w:t>Body of evidence is weak and recommendations must be applied with caution</w:t>
            </w:r>
          </w:p>
        </w:tc>
      </w:tr>
    </w:tbl>
    <w:p w:rsidR="000C67B6" w:rsidRDefault="000C67B6" w:rsidP="005179F6">
      <w:pPr>
        <w:rPr>
          <w:rFonts w:cstheme="minorHAnsi"/>
        </w:rPr>
        <w:sectPr w:rsidR="000C67B6" w:rsidSect="005179F6">
          <w:pgSz w:w="11906" w:h="16838"/>
          <w:pgMar w:top="1418" w:right="1134" w:bottom="1134" w:left="1134" w:header="709" w:footer="709" w:gutter="0"/>
          <w:cols w:space="708"/>
          <w:docGrid w:linePitch="360"/>
        </w:sectPr>
      </w:pPr>
    </w:p>
    <w:p w:rsidR="000D066B" w:rsidRDefault="000D066B" w:rsidP="000D066B">
      <w:pPr>
        <w:pStyle w:val="Heading2"/>
        <w:rPr>
          <w:vertAlign w:val="superscript"/>
        </w:rPr>
      </w:pPr>
      <w:bookmarkStart w:id="33" w:name="_Toc399150611"/>
      <w:bookmarkEnd w:id="1"/>
      <w:r w:rsidRPr="005179F6">
        <w:lastRenderedPageBreak/>
        <w:t>Appendix 5: European Society of Anaesthesiology (ESA) guidance regarding cessation of medications</w:t>
      </w:r>
      <w:r w:rsidR="008A7E4B">
        <w:t xml:space="preserve"> (extract</w:t>
      </w:r>
      <w:proofErr w:type="gramStart"/>
      <w:r w:rsidR="008A7E4B">
        <w:t>)</w:t>
      </w:r>
      <w:r w:rsidRPr="005E1050">
        <w:rPr>
          <w:vertAlign w:val="superscript"/>
        </w:rPr>
        <w:t>2</w:t>
      </w:r>
      <w:bookmarkEnd w:id="33"/>
      <w:proofErr w:type="gramEnd"/>
    </w:p>
    <w:p w:rsidR="008A7E4B" w:rsidRDefault="008A7E4B" w:rsidP="008A7E4B">
      <w:r>
        <w:t>Note: Whilst the ESA guidelines providence guidance regarding aspirin, warfarin, and NOAC, it is recommended that Australasian guidelines and references be consulted in the first instance.</w:t>
      </w:r>
    </w:p>
    <w:p w:rsidR="00963E3D" w:rsidRDefault="00963E3D"/>
    <w:tbl>
      <w:tblPr>
        <w:tblStyle w:val="TableGrid"/>
        <w:tblW w:w="8930" w:type="dxa"/>
        <w:tblInd w:w="250" w:type="dxa"/>
        <w:tblLook w:val="0480" w:firstRow="0" w:lastRow="0" w:firstColumn="1" w:lastColumn="0" w:noHBand="0" w:noVBand="1"/>
      </w:tblPr>
      <w:tblGrid>
        <w:gridCol w:w="2053"/>
        <w:gridCol w:w="6877"/>
      </w:tblGrid>
      <w:tr w:rsidR="00963E3D" w:rsidRPr="005179F6" w:rsidTr="00CB48EB">
        <w:tc>
          <w:tcPr>
            <w:tcW w:w="8930" w:type="dxa"/>
            <w:gridSpan w:val="2"/>
          </w:tcPr>
          <w:p w:rsidR="00963E3D" w:rsidRPr="00E07D80" w:rsidRDefault="00963E3D" w:rsidP="00CB48EB">
            <w:pPr>
              <w:spacing w:before="100" w:after="100"/>
              <w:rPr>
                <w:rFonts w:cstheme="minorHAnsi"/>
                <w:b/>
              </w:rPr>
            </w:pPr>
            <w:r w:rsidRPr="00E07D80">
              <w:rPr>
                <w:rFonts w:cstheme="minorHAnsi"/>
                <w:b/>
              </w:rPr>
              <w:t>ESA guidance regarding cessation of medications</w:t>
            </w:r>
          </w:p>
        </w:tc>
      </w:tr>
      <w:tr w:rsidR="00963E3D" w:rsidRPr="00E07D80" w:rsidTr="00CB48EB">
        <w:tc>
          <w:tcPr>
            <w:tcW w:w="2053" w:type="dxa"/>
          </w:tcPr>
          <w:p w:rsidR="00963E3D" w:rsidRPr="00E07D80" w:rsidRDefault="00963E3D" w:rsidP="00CB48EB">
            <w:pPr>
              <w:spacing w:before="100" w:after="100"/>
              <w:rPr>
                <w:rFonts w:cstheme="minorHAnsi"/>
                <w:b/>
              </w:rPr>
            </w:pPr>
            <w:r w:rsidRPr="00E07D80">
              <w:rPr>
                <w:rFonts w:cstheme="minorHAnsi"/>
                <w:b/>
              </w:rPr>
              <w:t>Medication</w:t>
            </w:r>
          </w:p>
        </w:tc>
        <w:tc>
          <w:tcPr>
            <w:tcW w:w="6877" w:type="dxa"/>
          </w:tcPr>
          <w:p w:rsidR="00963E3D" w:rsidRPr="00E07D80" w:rsidRDefault="00963E3D" w:rsidP="00CB48EB">
            <w:pPr>
              <w:spacing w:before="100" w:after="100"/>
              <w:rPr>
                <w:rFonts w:cstheme="minorHAnsi"/>
                <w:b/>
              </w:rPr>
            </w:pPr>
            <w:r w:rsidRPr="00E07D80">
              <w:rPr>
                <w:rFonts w:cstheme="minorHAnsi"/>
                <w:b/>
              </w:rPr>
              <w:t>Recommendation/suggestion</w:t>
            </w:r>
          </w:p>
        </w:tc>
      </w:tr>
      <w:tr w:rsidR="007B50BD" w:rsidRPr="005179F6" w:rsidTr="00963E3D">
        <w:tc>
          <w:tcPr>
            <w:tcW w:w="2053" w:type="dxa"/>
            <w:vMerge w:val="restart"/>
            <w:vAlign w:val="center"/>
          </w:tcPr>
          <w:p w:rsidR="007B50BD" w:rsidRPr="005179F6" w:rsidRDefault="007B50BD" w:rsidP="00963E3D">
            <w:pPr>
              <w:spacing w:before="100" w:after="100"/>
              <w:rPr>
                <w:rFonts w:cstheme="minorHAnsi"/>
              </w:rPr>
            </w:pPr>
            <w:r w:rsidRPr="005179F6">
              <w:rPr>
                <w:rFonts w:cstheme="minorHAnsi"/>
              </w:rPr>
              <w:t>Dual antiplatelet therapy</w:t>
            </w:r>
          </w:p>
        </w:tc>
        <w:tc>
          <w:tcPr>
            <w:tcW w:w="6877" w:type="dxa"/>
          </w:tcPr>
          <w:p w:rsidR="007B50BD" w:rsidRPr="005179F6" w:rsidRDefault="007B50BD" w:rsidP="00963E3D">
            <w:pPr>
              <w:spacing w:before="100" w:after="100"/>
              <w:rPr>
                <w:rFonts w:cstheme="minorHAnsi"/>
              </w:rPr>
            </w:pPr>
            <w:r w:rsidRPr="005179F6">
              <w:rPr>
                <w:rFonts w:cstheme="minorHAnsi"/>
              </w:rPr>
              <w:t>We recommend discontinuing dual antiplatelet therapy before urgent intracranial neurosurgery</w:t>
            </w:r>
            <w:r w:rsidRPr="007B50BD">
              <w:rPr>
                <w:rFonts w:cstheme="minorHAnsi"/>
              </w:rPr>
              <w:t>. A risk-benefit analysis is required for the continuation of aspirin monotherapy during neurosurgery. 1B</w:t>
            </w:r>
          </w:p>
        </w:tc>
      </w:tr>
      <w:tr w:rsidR="007B50BD" w:rsidRPr="005179F6" w:rsidTr="00963E3D">
        <w:tc>
          <w:tcPr>
            <w:tcW w:w="2053" w:type="dxa"/>
            <w:vMerge/>
            <w:vAlign w:val="center"/>
          </w:tcPr>
          <w:p w:rsidR="007B50BD" w:rsidRPr="005179F6" w:rsidRDefault="007B50BD" w:rsidP="00963E3D">
            <w:pPr>
              <w:spacing w:before="100" w:after="100"/>
              <w:rPr>
                <w:rFonts w:cstheme="minorHAnsi"/>
              </w:rPr>
            </w:pPr>
          </w:p>
        </w:tc>
        <w:tc>
          <w:tcPr>
            <w:tcW w:w="6877" w:type="dxa"/>
          </w:tcPr>
          <w:p w:rsidR="007B50BD" w:rsidRPr="005179F6" w:rsidRDefault="007B50BD" w:rsidP="00963E3D">
            <w:pPr>
              <w:spacing w:before="100" w:after="100"/>
              <w:rPr>
                <w:rFonts w:cstheme="minorHAnsi"/>
              </w:rPr>
            </w:pPr>
            <w:r w:rsidRPr="005179F6">
              <w:rPr>
                <w:rFonts w:cstheme="minorHAnsi"/>
              </w:rPr>
              <w:t>We suggest that urgent or semi-urgent surgery should be performed under aspirin/</w:t>
            </w:r>
            <w:proofErr w:type="spellStart"/>
            <w:r w:rsidRPr="005179F6">
              <w:rPr>
                <w:rFonts w:cstheme="minorHAnsi"/>
              </w:rPr>
              <w:t>clopidogrel</w:t>
            </w:r>
            <w:proofErr w:type="spellEnd"/>
            <w:r w:rsidRPr="005179F6">
              <w:rPr>
                <w:rFonts w:cstheme="minorHAnsi"/>
              </w:rPr>
              <w:t xml:space="preserve"> or aspirin/</w:t>
            </w:r>
            <w:proofErr w:type="spellStart"/>
            <w:r w:rsidRPr="005179F6">
              <w:rPr>
                <w:rFonts w:cstheme="minorHAnsi"/>
              </w:rPr>
              <w:t>prasugrel</w:t>
            </w:r>
            <w:proofErr w:type="spellEnd"/>
            <w:r w:rsidRPr="005179F6">
              <w:rPr>
                <w:rFonts w:cstheme="minorHAnsi"/>
              </w:rPr>
              <w:t xml:space="preserve"> combination therapy if </w:t>
            </w:r>
            <w:proofErr w:type="gramStart"/>
            <w:r w:rsidRPr="005179F6">
              <w:rPr>
                <w:rFonts w:cstheme="minorHAnsi"/>
              </w:rPr>
              <w:t>possible,</w:t>
            </w:r>
            <w:proofErr w:type="gramEnd"/>
            <w:r w:rsidRPr="005179F6">
              <w:rPr>
                <w:rFonts w:cstheme="minorHAnsi"/>
              </w:rPr>
              <w:t xml:space="preserve"> or at least under aspirin alone. 2C</w:t>
            </w:r>
          </w:p>
        </w:tc>
      </w:tr>
      <w:tr w:rsidR="007B50BD" w:rsidRPr="005179F6" w:rsidTr="00963E3D">
        <w:tc>
          <w:tcPr>
            <w:tcW w:w="2053" w:type="dxa"/>
            <w:vMerge w:val="restart"/>
            <w:vAlign w:val="center"/>
          </w:tcPr>
          <w:p w:rsidR="007B50BD" w:rsidRPr="005179F6" w:rsidRDefault="007B50BD" w:rsidP="00963E3D">
            <w:pPr>
              <w:spacing w:before="100" w:after="100"/>
              <w:rPr>
                <w:rFonts w:cstheme="minorHAnsi"/>
              </w:rPr>
            </w:pPr>
            <w:r w:rsidRPr="005179F6">
              <w:rPr>
                <w:rFonts w:cstheme="minorHAnsi"/>
              </w:rPr>
              <w:t>Metal or drug-eluting stent</w:t>
            </w:r>
          </w:p>
        </w:tc>
        <w:tc>
          <w:tcPr>
            <w:tcW w:w="6877" w:type="dxa"/>
          </w:tcPr>
          <w:p w:rsidR="007B50BD" w:rsidRPr="005179F6" w:rsidRDefault="007B50BD" w:rsidP="00963E3D">
            <w:pPr>
              <w:spacing w:before="100" w:after="100"/>
              <w:rPr>
                <w:rFonts w:cstheme="minorHAnsi"/>
              </w:rPr>
            </w:pPr>
            <w:r w:rsidRPr="005179F6">
              <w:rPr>
                <w:rFonts w:cstheme="minorHAnsi"/>
              </w:rPr>
              <w:t>We recommend against performing orthopaedic surgery during the first three months after bare metal stent implantation or during the first twelve months after drug-eluting stent implantation. 1C</w:t>
            </w:r>
          </w:p>
        </w:tc>
      </w:tr>
      <w:tr w:rsidR="007B50BD" w:rsidRPr="005179F6" w:rsidTr="00963E3D">
        <w:tc>
          <w:tcPr>
            <w:tcW w:w="2053" w:type="dxa"/>
            <w:vMerge/>
            <w:vAlign w:val="center"/>
          </w:tcPr>
          <w:p w:rsidR="007B50BD" w:rsidRPr="005179F6" w:rsidRDefault="007B50BD" w:rsidP="00963E3D">
            <w:pPr>
              <w:spacing w:before="100" w:after="100"/>
              <w:rPr>
                <w:rFonts w:cstheme="minorHAnsi"/>
              </w:rPr>
            </w:pPr>
          </w:p>
        </w:tc>
        <w:tc>
          <w:tcPr>
            <w:tcW w:w="6877" w:type="dxa"/>
          </w:tcPr>
          <w:p w:rsidR="007B50BD" w:rsidRPr="005179F6" w:rsidRDefault="007B50BD" w:rsidP="00963E3D">
            <w:pPr>
              <w:spacing w:before="100" w:after="100"/>
              <w:rPr>
                <w:rFonts w:cstheme="minorHAnsi"/>
              </w:rPr>
            </w:pPr>
            <w:r w:rsidRPr="005179F6">
              <w:rPr>
                <w:rFonts w:cstheme="minorHAnsi"/>
              </w:rPr>
              <w:t>We recommend postponement of elective surgery following coronary stenting (at least 6 to 12 weeks for bare metal stent and one year for drug-eluting stents). 1C</w:t>
            </w:r>
          </w:p>
        </w:tc>
      </w:tr>
      <w:tr w:rsidR="007B50BD" w:rsidRPr="005179F6" w:rsidTr="00963E3D">
        <w:tc>
          <w:tcPr>
            <w:tcW w:w="2053" w:type="dxa"/>
            <w:vAlign w:val="center"/>
          </w:tcPr>
          <w:p w:rsidR="007B50BD" w:rsidRPr="005179F6" w:rsidRDefault="005C7518" w:rsidP="00963E3D">
            <w:pPr>
              <w:spacing w:before="100" w:after="100"/>
              <w:rPr>
                <w:rFonts w:cstheme="minorHAnsi"/>
              </w:rPr>
            </w:pPr>
            <w:r>
              <w:rPr>
                <w:rFonts w:cstheme="minorHAnsi"/>
              </w:rPr>
              <w:t>S</w:t>
            </w:r>
            <w:r w:rsidRPr="005179F6">
              <w:rPr>
                <w:rFonts w:cstheme="minorHAnsi"/>
              </w:rPr>
              <w:t xml:space="preserve">elective serotonin reuptake inhibitor </w:t>
            </w:r>
            <w:r>
              <w:rPr>
                <w:rFonts w:cstheme="minorHAnsi"/>
              </w:rPr>
              <w:t>(SSRI)</w:t>
            </w:r>
          </w:p>
        </w:tc>
        <w:tc>
          <w:tcPr>
            <w:tcW w:w="6877" w:type="dxa"/>
          </w:tcPr>
          <w:p w:rsidR="007B50BD" w:rsidRPr="005179F6" w:rsidRDefault="007B50BD" w:rsidP="00963E3D">
            <w:pPr>
              <w:spacing w:before="100" w:after="100"/>
              <w:rPr>
                <w:rFonts w:cstheme="minorHAnsi"/>
              </w:rPr>
            </w:pPr>
            <w:r w:rsidRPr="005179F6">
              <w:rPr>
                <w:rFonts w:cstheme="minorHAnsi"/>
              </w:rPr>
              <w:t>We suggest that selective serotonin reuptake inhibitor (SSRI) treatment should not be routinely discontinued perioperatively. 2</w:t>
            </w:r>
            <w:r>
              <w:rPr>
                <w:rFonts w:cstheme="minorHAnsi"/>
              </w:rPr>
              <w:t>B</w:t>
            </w:r>
          </w:p>
        </w:tc>
      </w:tr>
      <w:tr w:rsidR="007B50BD" w:rsidRPr="005179F6" w:rsidTr="00963E3D">
        <w:tc>
          <w:tcPr>
            <w:tcW w:w="2053" w:type="dxa"/>
            <w:vAlign w:val="center"/>
          </w:tcPr>
          <w:p w:rsidR="007B50BD" w:rsidRPr="005179F6" w:rsidRDefault="007B50BD" w:rsidP="00963E3D">
            <w:pPr>
              <w:spacing w:before="100" w:after="100"/>
              <w:rPr>
                <w:rFonts w:cstheme="minorHAnsi"/>
              </w:rPr>
            </w:pPr>
            <w:r w:rsidRPr="005179F6">
              <w:rPr>
                <w:rFonts w:cstheme="minorHAnsi"/>
              </w:rPr>
              <w:t>Antiepileptic agents</w:t>
            </w:r>
          </w:p>
        </w:tc>
        <w:tc>
          <w:tcPr>
            <w:tcW w:w="6877" w:type="dxa"/>
          </w:tcPr>
          <w:p w:rsidR="007B50BD" w:rsidRPr="005179F6" w:rsidRDefault="007B50BD" w:rsidP="00963E3D">
            <w:pPr>
              <w:spacing w:before="100" w:after="100"/>
              <w:rPr>
                <w:rFonts w:cstheme="minorHAnsi"/>
              </w:rPr>
            </w:pPr>
            <w:r w:rsidRPr="005179F6">
              <w:rPr>
                <w:rFonts w:cstheme="minorHAnsi"/>
              </w:rPr>
              <w:t xml:space="preserve">We suggest individualised perioperative discontinuation of antiepileptic agents, such as </w:t>
            </w:r>
            <w:proofErr w:type="spellStart"/>
            <w:r w:rsidRPr="005179F6">
              <w:rPr>
                <w:rFonts w:cstheme="minorHAnsi"/>
              </w:rPr>
              <w:t>valproic</w:t>
            </w:r>
            <w:proofErr w:type="spellEnd"/>
            <w:r w:rsidRPr="005179F6">
              <w:rPr>
                <w:rFonts w:cstheme="minorHAnsi"/>
              </w:rPr>
              <w:t xml:space="preserve"> acid, which may increase bleeding. 2C</w:t>
            </w:r>
          </w:p>
        </w:tc>
      </w:tr>
      <w:tr w:rsidR="007B50BD" w:rsidRPr="005179F6" w:rsidTr="00963E3D">
        <w:tc>
          <w:tcPr>
            <w:tcW w:w="2053" w:type="dxa"/>
            <w:vAlign w:val="center"/>
          </w:tcPr>
          <w:p w:rsidR="007B50BD" w:rsidRPr="005179F6" w:rsidRDefault="007B50BD" w:rsidP="00963E3D">
            <w:pPr>
              <w:spacing w:before="100" w:after="100"/>
              <w:rPr>
                <w:rFonts w:cstheme="minorHAnsi"/>
              </w:rPr>
            </w:pPr>
            <w:r w:rsidRPr="005179F6">
              <w:rPr>
                <w:rFonts w:cstheme="minorHAnsi"/>
              </w:rPr>
              <w:t>Complementary medicines</w:t>
            </w:r>
          </w:p>
        </w:tc>
        <w:tc>
          <w:tcPr>
            <w:tcW w:w="6877" w:type="dxa"/>
          </w:tcPr>
          <w:p w:rsidR="007B50BD" w:rsidRPr="005179F6" w:rsidRDefault="007B50BD" w:rsidP="00963E3D">
            <w:pPr>
              <w:spacing w:before="100" w:after="100"/>
              <w:rPr>
                <w:rFonts w:cstheme="minorHAnsi"/>
              </w:rPr>
            </w:pPr>
            <w:r w:rsidRPr="005179F6">
              <w:rPr>
                <w:rFonts w:cstheme="minorHAnsi"/>
              </w:rPr>
              <w:t xml:space="preserve">We do not recommend discontinuation of Gingko </w:t>
            </w:r>
            <w:proofErr w:type="spellStart"/>
            <w:r w:rsidRPr="005179F6">
              <w:rPr>
                <w:rFonts w:cstheme="minorHAnsi"/>
              </w:rPr>
              <w:t>biloba</w:t>
            </w:r>
            <w:proofErr w:type="spellEnd"/>
            <w:r w:rsidRPr="005179F6">
              <w:rPr>
                <w:rFonts w:cstheme="minorHAnsi"/>
              </w:rPr>
              <w:t xml:space="preserve"> extracts. 1B</w:t>
            </w:r>
          </w:p>
        </w:tc>
      </w:tr>
    </w:tbl>
    <w:p w:rsidR="00963E3D" w:rsidRDefault="00963E3D">
      <w:pPr>
        <w:widowControl/>
        <w:spacing w:after="200" w:line="276" w:lineRule="auto"/>
        <w:rPr>
          <w:rFonts w:ascii="Arial" w:hAnsi="Arial" w:cs="Arial"/>
          <w:sz w:val="20"/>
          <w:szCs w:val="20"/>
        </w:rPr>
      </w:pPr>
    </w:p>
    <w:sectPr w:rsidR="00963E3D" w:rsidSect="000C67B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2B" w:rsidRDefault="00E92B2B" w:rsidP="00F74586">
      <w:r>
        <w:separator/>
      </w:r>
    </w:p>
  </w:endnote>
  <w:endnote w:type="continuationSeparator" w:id="0">
    <w:p w:rsidR="00E92B2B" w:rsidRDefault="00E92B2B" w:rsidP="00F7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tilliumText22L Lt">
    <w:altName w:val="TitilliumText22L Lt"/>
    <w:panose1 w:val="00000000000000000000"/>
    <w:charset w:val="00"/>
    <w:family w:val="modern"/>
    <w:notTrueType/>
    <w:pitch w:val="variable"/>
    <w:sig w:usb0="A00000EF" w:usb1="0000004B" w:usb2="00000000" w:usb3="00000000" w:csb0="00000193"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35" w:rsidRDefault="00160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668902"/>
      <w:docPartObj>
        <w:docPartGallery w:val="Page Numbers (Bottom of Page)"/>
        <w:docPartUnique/>
      </w:docPartObj>
    </w:sdtPr>
    <w:sdtEndPr>
      <w:rPr>
        <w:noProof/>
      </w:rPr>
    </w:sdtEndPr>
    <w:sdtContent>
      <w:p w:rsidR="00E92B2B" w:rsidRDefault="00E92B2B">
        <w:pPr>
          <w:pStyle w:val="Footer"/>
          <w:jc w:val="right"/>
        </w:pPr>
        <w:r>
          <w:fldChar w:fldCharType="begin"/>
        </w:r>
        <w:r>
          <w:instrText xml:space="preserve"> PAGE   \* MERGEFORMAT </w:instrText>
        </w:r>
        <w:r>
          <w:fldChar w:fldCharType="separate"/>
        </w:r>
        <w:r w:rsidR="00690965">
          <w:rPr>
            <w:noProof/>
          </w:rPr>
          <w:t>17</w:t>
        </w:r>
        <w:r>
          <w:rPr>
            <w:noProof/>
          </w:rPr>
          <w:fldChar w:fldCharType="end"/>
        </w:r>
      </w:p>
    </w:sdtContent>
  </w:sdt>
  <w:p w:rsidR="00E92B2B" w:rsidRDefault="00E92B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35" w:rsidRDefault="00160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2B" w:rsidRDefault="00E92B2B" w:rsidP="00F74586">
      <w:r>
        <w:separator/>
      </w:r>
    </w:p>
  </w:footnote>
  <w:footnote w:type="continuationSeparator" w:id="0">
    <w:p w:rsidR="00E92B2B" w:rsidRDefault="00E92B2B" w:rsidP="00F74586">
      <w:r>
        <w:continuationSeparator/>
      </w:r>
    </w:p>
  </w:footnote>
  <w:footnote w:id="1">
    <w:p w:rsidR="00E92B2B" w:rsidRPr="00A41A1A" w:rsidRDefault="00E92B2B" w:rsidP="006E60D8">
      <w:pPr>
        <w:pStyle w:val="FootnoteText"/>
        <w:rPr>
          <w:rFonts w:ascii="Arial" w:hAnsi="Arial" w:cs="Arial"/>
        </w:rPr>
      </w:pPr>
      <w:r w:rsidRPr="00A41A1A">
        <w:rPr>
          <w:rStyle w:val="FootnoteReference"/>
          <w:rFonts w:ascii="Arial" w:hAnsi="Arial" w:cs="Arial"/>
        </w:rPr>
        <w:footnoteRef/>
      </w:r>
      <w:r w:rsidRPr="00A41A1A">
        <w:rPr>
          <w:rFonts w:ascii="Arial" w:hAnsi="Arial" w:cs="Arial"/>
        </w:rPr>
        <w:t xml:space="preserve"> For classification of evidence and recommendation levels see </w:t>
      </w:r>
      <w:r>
        <w:rPr>
          <w:rFonts w:ascii="Arial" w:hAnsi="Arial" w:cs="Arial"/>
        </w:rPr>
        <w:t>A</w:t>
      </w:r>
      <w:r w:rsidRPr="00A41A1A">
        <w:rPr>
          <w:rFonts w:ascii="Arial" w:hAnsi="Arial" w:cs="Arial"/>
        </w:rPr>
        <w:t>ppendix 2.</w:t>
      </w:r>
    </w:p>
  </w:footnote>
  <w:footnote w:id="2">
    <w:p w:rsidR="00E92B2B" w:rsidRDefault="00E92B2B" w:rsidP="008A7E4B">
      <w:pPr>
        <w:pStyle w:val="FootnoteText"/>
      </w:pPr>
      <w:r>
        <w:rPr>
          <w:rStyle w:val="FootnoteReference"/>
        </w:rPr>
        <w:footnoteRef/>
      </w:r>
      <w:r>
        <w:t xml:space="preserve"> For grades of recommendation - GRADES system see Appendix 3. </w:t>
      </w:r>
    </w:p>
  </w:footnote>
  <w:footnote w:id="3">
    <w:p w:rsidR="00E92B2B" w:rsidRPr="00701B53" w:rsidRDefault="00E92B2B">
      <w:pPr>
        <w:pStyle w:val="FootnoteText"/>
        <w:rPr>
          <w:rFonts w:ascii="Arial" w:hAnsi="Arial" w:cs="Arial"/>
        </w:rPr>
      </w:pPr>
      <w:r w:rsidRPr="00701B53">
        <w:rPr>
          <w:rStyle w:val="FootnoteReference"/>
          <w:rFonts w:ascii="Arial" w:hAnsi="Arial" w:cs="Arial"/>
        </w:rPr>
        <w:footnoteRef/>
      </w:r>
      <w:r w:rsidRPr="00701B53">
        <w:rPr>
          <w:rFonts w:ascii="Arial" w:hAnsi="Arial" w:cs="Arial"/>
        </w:rPr>
        <w:t xml:space="preserve"> For explanation of terminology for Recommendation and Pra</w:t>
      </w:r>
      <w:r>
        <w:rPr>
          <w:rFonts w:ascii="Arial" w:hAnsi="Arial" w:cs="Arial"/>
        </w:rPr>
        <w:t>ctice point refer to Appendix 4</w:t>
      </w:r>
      <w:r w:rsidRPr="00701B53">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35" w:rsidRDefault="00160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409387"/>
      <w:docPartObj>
        <w:docPartGallery w:val="Watermarks"/>
        <w:docPartUnique/>
      </w:docPartObj>
    </w:sdtPr>
    <w:sdtContent>
      <w:p w:rsidR="00160635" w:rsidRDefault="0069096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35" w:rsidRDefault="00160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DEB1C8"/>
    <w:lvl w:ilvl="0">
      <w:numFmt w:val="bullet"/>
      <w:lvlText w:val="*"/>
      <w:lvlJc w:val="left"/>
    </w:lvl>
  </w:abstractNum>
  <w:abstractNum w:abstractNumId="1">
    <w:nsid w:val="00000402"/>
    <w:multiLevelType w:val="multilevel"/>
    <w:tmpl w:val="00000885"/>
    <w:lvl w:ilvl="0">
      <w:numFmt w:val="bullet"/>
      <w:lvlText w:val="•"/>
      <w:lvlJc w:val="left"/>
      <w:pPr>
        <w:ind w:hanging="334"/>
      </w:pPr>
      <w:rPr>
        <w:rFonts w:ascii="Arial" w:hAnsi="Arial" w:cs="Arial"/>
        <w:b w:val="0"/>
        <w:bCs w:val="0"/>
        <w:color w:val="2E2E2F"/>
        <w:w w:val="15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1C7016"/>
    <w:multiLevelType w:val="hybridMultilevel"/>
    <w:tmpl w:val="87F68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290A41"/>
    <w:multiLevelType w:val="hybridMultilevel"/>
    <w:tmpl w:val="0A1AE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9D183F"/>
    <w:multiLevelType w:val="hybridMultilevel"/>
    <w:tmpl w:val="B48CF56C"/>
    <w:lvl w:ilvl="0" w:tplc="D5B29992">
      <w:start w:val="1"/>
      <w:numFmt w:val="decimal"/>
      <w:lvlText w:val="%1"/>
      <w:lvlJc w:val="left"/>
      <w:pPr>
        <w:ind w:hanging="284"/>
      </w:pPr>
      <w:rPr>
        <w:rFonts w:ascii="Times New Roman" w:eastAsia="Times New Roman" w:hAnsi="Times New Roman" w:hint="default"/>
        <w:sz w:val="14"/>
        <w:szCs w:val="14"/>
      </w:rPr>
    </w:lvl>
    <w:lvl w:ilvl="1" w:tplc="13608E1C">
      <w:start w:val="1"/>
      <w:numFmt w:val="bullet"/>
      <w:lvlText w:val="•"/>
      <w:lvlJc w:val="left"/>
      <w:rPr>
        <w:rFonts w:hint="default"/>
      </w:rPr>
    </w:lvl>
    <w:lvl w:ilvl="2" w:tplc="4A6EF00C">
      <w:start w:val="1"/>
      <w:numFmt w:val="bullet"/>
      <w:lvlText w:val="•"/>
      <w:lvlJc w:val="left"/>
      <w:rPr>
        <w:rFonts w:hint="default"/>
      </w:rPr>
    </w:lvl>
    <w:lvl w:ilvl="3" w:tplc="95846362">
      <w:start w:val="1"/>
      <w:numFmt w:val="bullet"/>
      <w:lvlText w:val="•"/>
      <w:lvlJc w:val="left"/>
      <w:rPr>
        <w:rFonts w:hint="default"/>
      </w:rPr>
    </w:lvl>
    <w:lvl w:ilvl="4" w:tplc="10FAC092">
      <w:start w:val="1"/>
      <w:numFmt w:val="bullet"/>
      <w:lvlText w:val="•"/>
      <w:lvlJc w:val="left"/>
      <w:rPr>
        <w:rFonts w:hint="default"/>
      </w:rPr>
    </w:lvl>
    <w:lvl w:ilvl="5" w:tplc="2A186576">
      <w:start w:val="1"/>
      <w:numFmt w:val="bullet"/>
      <w:lvlText w:val="•"/>
      <w:lvlJc w:val="left"/>
      <w:rPr>
        <w:rFonts w:hint="default"/>
      </w:rPr>
    </w:lvl>
    <w:lvl w:ilvl="6" w:tplc="B9AEC186">
      <w:start w:val="1"/>
      <w:numFmt w:val="bullet"/>
      <w:lvlText w:val="•"/>
      <w:lvlJc w:val="left"/>
      <w:rPr>
        <w:rFonts w:hint="default"/>
      </w:rPr>
    </w:lvl>
    <w:lvl w:ilvl="7" w:tplc="EA4AAA38">
      <w:start w:val="1"/>
      <w:numFmt w:val="bullet"/>
      <w:lvlText w:val="•"/>
      <w:lvlJc w:val="left"/>
      <w:rPr>
        <w:rFonts w:hint="default"/>
      </w:rPr>
    </w:lvl>
    <w:lvl w:ilvl="8" w:tplc="90E41198">
      <w:start w:val="1"/>
      <w:numFmt w:val="bullet"/>
      <w:lvlText w:val="•"/>
      <w:lvlJc w:val="left"/>
      <w:rPr>
        <w:rFonts w:hint="default"/>
      </w:rPr>
    </w:lvl>
  </w:abstractNum>
  <w:abstractNum w:abstractNumId="5">
    <w:nsid w:val="05EF4FCF"/>
    <w:multiLevelType w:val="hybridMultilevel"/>
    <w:tmpl w:val="09705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6260A6E"/>
    <w:multiLevelType w:val="hybridMultilevel"/>
    <w:tmpl w:val="9FF066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755673D"/>
    <w:multiLevelType w:val="hybridMultilevel"/>
    <w:tmpl w:val="C870F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9330D99"/>
    <w:multiLevelType w:val="hybridMultilevel"/>
    <w:tmpl w:val="99AE2DB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0D080F25"/>
    <w:multiLevelType w:val="hybridMultilevel"/>
    <w:tmpl w:val="09705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D3A0B52"/>
    <w:multiLevelType w:val="hybridMultilevel"/>
    <w:tmpl w:val="10DC32BA"/>
    <w:lvl w:ilvl="0" w:tplc="FB860AFE">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nsid w:val="0F1845BA"/>
    <w:multiLevelType w:val="hybridMultilevel"/>
    <w:tmpl w:val="788AC222"/>
    <w:lvl w:ilvl="0" w:tplc="4DDEB1C8">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F7F1E0D"/>
    <w:multiLevelType w:val="hybridMultilevel"/>
    <w:tmpl w:val="3C6ECCAC"/>
    <w:lvl w:ilvl="0" w:tplc="C44C315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nsid w:val="11B17906"/>
    <w:multiLevelType w:val="hybridMultilevel"/>
    <w:tmpl w:val="810ADF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1DF4B64"/>
    <w:multiLevelType w:val="multilevel"/>
    <w:tmpl w:val="13C82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F570EB"/>
    <w:multiLevelType w:val="hybridMultilevel"/>
    <w:tmpl w:val="650884DA"/>
    <w:lvl w:ilvl="0" w:tplc="8CE4A03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0742E76"/>
    <w:multiLevelType w:val="hybridMultilevel"/>
    <w:tmpl w:val="FD2E5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232C7989"/>
    <w:multiLevelType w:val="hybridMultilevel"/>
    <w:tmpl w:val="89A6421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9B65466"/>
    <w:multiLevelType w:val="hybridMultilevel"/>
    <w:tmpl w:val="3AB6B7BA"/>
    <w:lvl w:ilvl="0" w:tplc="0C09000F">
      <w:start w:val="1"/>
      <w:numFmt w:val="decimal"/>
      <w:lvlText w:val="%1."/>
      <w:lvlJc w:val="left"/>
      <w:pPr>
        <w:ind w:left="360" w:hanging="360"/>
      </w:pPr>
    </w:lvl>
    <w:lvl w:ilvl="1" w:tplc="319A40AC">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2B1B5788"/>
    <w:multiLevelType w:val="hybridMultilevel"/>
    <w:tmpl w:val="420E8F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4C7DEC"/>
    <w:multiLevelType w:val="multilevel"/>
    <w:tmpl w:val="247E7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E75E4F"/>
    <w:multiLevelType w:val="multilevel"/>
    <w:tmpl w:val="7B04C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0F0B9E"/>
    <w:multiLevelType w:val="hybridMultilevel"/>
    <w:tmpl w:val="CCCE82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2CF4B23"/>
    <w:multiLevelType w:val="hybridMultilevel"/>
    <w:tmpl w:val="96EC7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606BC9"/>
    <w:multiLevelType w:val="hybridMultilevel"/>
    <w:tmpl w:val="9F76F1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65E381E"/>
    <w:multiLevelType w:val="hybridMultilevel"/>
    <w:tmpl w:val="18780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331BE7"/>
    <w:multiLevelType w:val="multilevel"/>
    <w:tmpl w:val="57D6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4659E7"/>
    <w:multiLevelType w:val="hybridMultilevel"/>
    <w:tmpl w:val="625249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736594"/>
    <w:multiLevelType w:val="hybridMultilevel"/>
    <w:tmpl w:val="3DB6C6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0286152"/>
    <w:multiLevelType w:val="hybridMultilevel"/>
    <w:tmpl w:val="04DA5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51143181"/>
    <w:multiLevelType w:val="hybridMultilevel"/>
    <w:tmpl w:val="9A72A75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2F831F0"/>
    <w:multiLevelType w:val="hybridMultilevel"/>
    <w:tmpl w:val="3DB6C6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44052FF"/>
    <w:multiLevelType w:val="hybridMultilevel"/>
    <w:tmpl w:val="A7B07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5F27623"/>
    <w:multiLevelType w:val="hybridMultilevel"/>
    <w:tmpl w:val="81841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6AA77C1"/>
    <w:multiLevelType w:val="hybridMultilevel"/>
    <w:tmpl w:val="0B0E87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9457BBC"/>
    <w:multiLevelType w:val="hybridMultilevel"/>
    <w:tmpl w:val="5C2A36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5A6A4C73"/>
    <w:multiLevelType w:val="hybridMultilevel"/>
    <w:tmpl w:val="4B5C8D7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63F5AB0"/>
    <w:multiLevelType w:val="hybridMultilevel"/>
    <w:tmpl w:val="C396054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A562160"/>
    <w:multiLevelType w:val="hybridMultilevel"/>
    <w:tmpl w:val="20747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706817C0"/>
    <w:multiLevelType w:val="hybridMultilevel"/>
    <w:tmpl w:val="968C07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1290668"/>
    <w:multiLevelType w:val="hybridMultilevel"/>
    <w:tmpl w:val="B4EC3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nsid w:val="71C84527"/>
    <w:multiLevelType w:val="hybridMultilevel"/>
    <w:tmpl w:val="505AD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6097EC6"/>
    <w:multiLevelType w:val="hybridMultilevel"/>
    <w:tmpl w:val="72907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6E040B5"/>
    <w:multiLevelType w:val="hybridMultilevel"/>
    <w:tmpl w:val="478ADB4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4">
    <w:nsid w:val="7E027683"/>
    <w:multiLevelType w:val="hybridMultilevel"/>
    <w:tmpl w:val="C0724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0"/>
    <w:lvlOverride w:ilvl="0">
      <w:lvl w:ilvl="0">
        <w:numFmt w:val="bullet"/>
        <w:lvlText w:val=""/>
        <w:legacy w:legacy="1" w:legacySpace="0" w:legacyIndent="0"/>
        <w:lvlJc w:val="left"/>
        <w:rPr>
          <w:rFonts w:ascii="Wingdings" w:hAnsi="Wingdings" w:hint="default"/>
          <w:sz w:val="24"/>
        </w:rPr>
      </w:lvl>
    </w:lvlOverride>
  </w:num>
  <w:num w:numId="4">
    <w:abstractNumId w:val="43"/>
  </w:num>
  <w:num w:numId="5">
    <w:abstractNumId w:val="11"/>
  </w:num>
  <w:num w:numId="6">
    <w:abstractNumId w:val="5"/>
  </w:num>
  <w:num w:numId="7">
    <w:abstractNumId w:val="44"/>
  </w:num>
  <w:num w:numId="8">
    <w:abstractNumId w:val="26"/>
  </w:num>
  <w:num w:numId="9">
    <w:abstractNumId w:val="20"/>
  </w:num>
  <w:num w:numId="10">
    <w:abstractNumId w:val="21"/>
  </w:num>
  <w:num w:numId="11">
    <w:abstractNumId w:val="14"/>
  </w:num>
  <w:num w:numId="12">
    <w:abstractNumId w:val="7"/>
  </w:num>
  <w:num w:numId="13">
    <w:abstractNumId w:val="24"/>
  </w:num>
  <w:num w:numId="14">
    <w:abstractNumId w:val="18"/>
  </w:num>
  <w:num w:numId="15">
    <w:abstractNumId w:val="4"/>
  </w:num>
  <w:num w:numId="16">
    <w:abstractNumId w:val="13"/>
  </w:num>
  <w:num w:numId="17">
    <w:abstractNumId w:val="29"/>
  </w:num>
  <w:num w:numId="18">
    <w:abstractNumId w:val="3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3"/>
  </w:num>
  <w:num w:numId="22">
    <w:abstractNumId w:val="41"/>
  </w:num>
  <w:num w:numId="23">
    <w:abstractNumId w:val="1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num>
  <w:num w:numId="27">
    <w:abstractNumId w:val="35"/>
  </w:num>
  <w:num w:numId="28">
    <w:abstractNumId w:val="32"/>
  </w:num>
  <w:num w:numId="29">
    <w:abstractNumId w:val="0"/>
    <w:lvlOverride w:ilvl="0">
      <w:lvl w:ilvl="0">
        <w:numFmt w:val="bullet"/>
        <w:lvlText w:val=""/>
        <w:legacy w:legacy="1" w:legacySpace="0" w:legacyIndent="0"/>
        <w:lvlJc w:val="left"/>
        <w:pPr>
          <w:ind w:left="0" w:firstLine="0"/>
        </w:pPr>
        <w:rPr>
          <w:rFonts w:ascii="Wingdings" w:hAnsi="Wingdings" w:hint="default"/>
          <w:sz w:val="20"/>
        </w:rPr>
      </w:lvl>
    </w:lvlOverride>
  </w:num>
  <w:num w:numId="30">
    <w:abstractNumId w:val="2"/>
  </w:num>
  <w:num w:numId="31">
    <w:abstractNumId w:val="36"/>
  </w:num>
  <w:num w:numId="32">
    <w:abstractNumId w:val="39"/>
  </w:num>
  <w:num w:numId="33">
    <w:abstractNumId w:val="40"/>
  </w:num>
  <w:num w:numId="34">
    <w:abstractNumId w:val="19"/>
  </w:num>
  <w:num w:numId="35">
    <w:abstractNumId w:val="1"/>
  </w:num>
  <w:num w:numId="36">
    <w:abstractNumId w:val="10"/>
  </w:num>
  <w:num w:numId="37">
    <w:abstractNumId w:val="34"/>
  </w:num>
  <w:num w:numId="38">
    <w:abstractNumId w:val="30"/>
  </w:num>
  <w:num w:numId="39">
    <w:abstractNumId w:val="8"/>
  </w:num>
  <w:num w:numId="40">
    <w:abstractNumId w:val="17"/>
  </w:num>
  <w:num w:numId="41">
    <w:abstractNumId w:val="37"/>
  </w:num>
  <w:num w:numId="42">
    <w:abstractNumId w:val="23"/>
  </w:num>
  <w:num w:numId="43">
    <w:abstractNumId w:val="25"/>
  </w:num>
  <w:num w:numId="44">
    <w:abstractNumId w:val="22"/>
  </w:num>
  <w:num w:numId="45">
    <w:abstractNumId w:val="27"/>
  </w:num>
  <w:num w:numId="46">
    <w:abstractNumId w:val="42"/>
  </w:num>
  <w:num w:numId="47">
    <w:abstractNumId w:val="28"/>
  </w:num>
  <w:num w:numId="48">
    <w:abstractNumId w:val="3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9"/>
    <o:shapelayout v:ext="edit">
      <o:idmap v:ext="edit" data="6"/>
    </o:shapelayout>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8A"/>
    <w:rsid w:val="000049C8"/>
    <w:rsid w:val="000232C9"/>
    <w:rsid w:val="0003292C"/>
    <w:rsid w:val="00043F66"/>
    <w:rsid w:val="00045D4E"/>
    <w:rsid w:val="000526CD"/>
    <w:rsid w:val="00052CA8"/>
    <w:rsid w:val="000535A3"/>
    <w:rsid w:val="000814D2"/>
    <w:rsid w:val="0009320B"/>
    <w:rsid w:val="000A2237"/>
    <w:rsid w:val="000B08F7"/>
    <w:rsid w:val="000B2EAC"/>
    <w:rsid w:val="000C29AF"/>
    <w:rsid w:val="000C497F"/>
    <w:rsid w:val="000C5A07"/>
    <w:rsid w:val="000C6541"/>
    <w:rsid w:val="000C67B6"/>
    <w:rsid w:val="000D066B"/>
    <w:rsid w:val="000D0680"/>
    <w:rsid w:val="000D2BC1"/>
    <w:rsid w:val="000D350F"/>
    <w:rsid w:val="000E2F52"/>
    <w:rsid w:val="000E7E5A"/>
    <w:rsid w:val="000F3E5A"/>
    <w:rsid w:val="000F715D"/>
    <w:rsid w:val="001058E5"/>
    <w:rsid w:val="00106036"/>
    <w:rsid w:val="00137F32"/>
    <w:rsid w:val="001447A7"/>
    <w:rsid w:val="00145F0F"/>
    <w:rsid w:val="001474DE"/>
    <w:rsid w:val="00150DF0"/>
    <w:rsid w:val="00152639"/>
    <w:rsid w:val="00160635"/>
    <w:rsid w:val="0016499F"/>
    <w:rsid w:val="00170AB8"/>
    <w:rsid w:val="00173674"/>
    <w:rsid w:val="0019753D"/>
    <w:rsid w:val="001A33D8"/>
    <w:rsid w:val="001C2D16"/>
    <w:rsid w:val="001C4454"/>
    <w:rsid w:val="001C60D5"/>
    <w:rsid w:val="001D266C"/>
    <w:rsid w:val="001D6975"/>
    <w:rsid w:val="001E4FCC"/>
    <w:rsid w:val="001F226C"/>
    <w:rsid w:val="001F4394"/>
    <w:rsid w:val="001F46FD"/>
    <w:rsid w:val="0020516C"/>
    <w:rsid w:val="00227725"/>
    <w:rsid w:val="00233584"/>
    <w:rsid w:val="00233CDB"/>
    <w:rsid w:val="00233FE1"/>
    <w:rsid w:val="002341AB"/>
    <w:rsid w:val="00250719"/>
    <w:rsid w:val="00253A05"/>
    <w:rsid w:val="00253D01"/>
    <w:rsid w:val="0025621E"/>
    <w:rsid w:val="00261CCE"/>
    <w:rsid w:val="00270052"/>
    <w:rsid w:val="002769D6"/>
    <w:rsid w:val="0028098D"/>
    <w:rsid w:val="00290710"/>
    <w:rsid w:val="00295D4F"/>
    <w:rsid w:val="002A604E"/>
    <w:rsid w:val="002A643D"/>
    <w:rsid w:val="002B17F3"/>
    <w:rsid w:val="002B2056"/>
    <w:rsid w:val="002B3356"/>
    <w:rsid w:val="002B627E"/>
    <w:rsid w:val="002B740E"/>
    <w:rsid w:val="002C22FF"/>
    <w:rsid w:val="002C6782"/>
    <w:rsid w:val="002C6ECA"/>
    <w:rsid w:val="002C7AE1"/>
    <w:rsid w:val="002E0F45"/>
    <w:rsid w:val="002E3B80"/>
    <w:rsid w:val="002F21F5"/>
    <w:rsid w:val="002F3B6F"/>
    <w:rsid w:val="00311FA4"/>
    <w:rsid w:val="00316EB0"/>
    <w:rsid w:val="003172DC"/>
    <w:rsid w:val="00326082"/>
    <w:rsid w:val="003263AD"/>
    <w:rsid w:val="0034485B"/>
    <w:rsid w:val="00350B61"/>
    <w:rsid w:val="00361646"/>
    <w:rsid w:val="00362DD1"/>
    <w:rsid w:val="00376933"/>
    <w:rsid w:val="00381710"/>
    <w:rsid w:val="00382496"/>
    <w:rsid w:val="0039076D"/>
    <w:rsid w:val="003A62B2"/>
    <w:rsid w:val="003D540D"/>
    <w:rsid w:val="003D75AE"/>
    <w:rsid w:val="003E0423"/>
    <w:rsid w:val="003E6F53"/>
    <w:rsid w:val="003F7861"/>
    <w:rsid w:val="00400C25"/>
    <w:rsid w:val="00400CAA"/>
    <w:rsid w:val="00403B70"/>
    <w:rsid w:val="00404716"/>
    <w:rsid w:val="00412160"/>
    <w:rsid w:val="00422F52"/>
    <w:rsid w:val="00425427"/>
    <w:rsid w:val="00426926"/>
    <w:rsid w:val="0042734B"/>
    <w:rsid w:val="0042789A"/>
    <w:rsid w:val="00427ABF"/>
    <w:rsid w:val="004314FC"/>
    <w:rsid w:val="004463CA"/>
    <w:rsid w:val="00446F52"/>
    <w:rsid w:val="00453174"/>
    <w:rsid w:val="00457FCD"/>
    <w:rsid w:val="00472F76"/>
    <w:rsid w:val="0048367D"/>
    <w:rsid w:val="004910B4"/>
    <w:rsid w:val="004A21A7"/>
    <w:rsid w:val="004A2435"/>
    <w:rsid w:val="004A2826"/>
    <w:rsid w:val="004A57D8"/>
    <w:rsid w:val="004C611C"/>
    <w:rsid w:val="004D0604"/>
    <w:rsid w:val="004D0C01"/>
    <w:rsid w:val="004E50A6"/>
    <w:rsid w:val="004F799C"/>
    <w:rsid w:val="005106DF"/>
    <w:rsid w:val="005161B2"/>
    <w:rsid w:val="005179F6"/>
    <w:rsid w:val="00520E3D"/>
    <w:rsid w:val="00533B57"/>
    <w:rsid w:val="005371DA"/>
    <w:rsid w:val="005422A5"/>
    <w:rsid w:val="00545056"/>
    <w:rsid w:val="0054565D"/>
    <w:rsid w:val="005525F9"/>
    <w:rsid w:val="00563D5E"/>
    <w:rsid w:val="00575D37"/>
    <w:rsid w:val="0057765C"/>
    <w:rsid w:val="00587D12"/>
    <w:rsid w:val="005972D6"/>
    <w:rsid w:val="005A7BD8"/>
    <w:rsid w:val="005B0232"/>
    <w:rsid w:val="005C6A8F"/>
    <w:rsid w:val="005C7518"/>
    <w:rsid w:val="005C7F48"/>
    <w:rsid w:val="005D1266"/>
    <w:rsid w:val="005E1050"/>
    <w:rsid w:val="005F78A9"/>
    <w:rsid w:val="00602BA8"/>
    <w:rsid w:val="006227EE"/>
    <w:rsid w:val="006257AB"/>
    <w:rsid w:val="006274B4"/>
    <w:rsid w:val="00633B70"/>
    <w:rsid w:val="00637FF4"/>
    <w:rsid w:val="00650A5F"/>
    <w:rsid w:val="00652222"/>
    <w:rsid w:val="00660A72"/>
    <w:rsid w:val="006714B8"/>
    <w:rsid w:val="006769CA"/>
    <w:rsid w:val="00682524"/>
    <w:rsid w:val="006872E5"/>
    <w:rsid w:val="00690965"/>
    <w:rsid w:val="0069673C"/>
    <w:rsid w:val="006A3969"/>
    <w:rsid w:val="006A4439"/>
    <w:rsid w:val="006B2BCD"/>
    <w:rsid w:val="006B666A"/>
    <w:rsid w:val="006C6948"/>
    <w:rsid w:val="006E4434"/>
    <w:rsid w:val="006E60D8"/>
    <w:rsid w:val="006F0C68"/>
    <w:rsid w:val="006F30CB"/>
    <w:rsid w:val="006F3E74"/>
    <w:rsid w:val="00701B53"/>
    <w:rsid w:val="00735265"/>
    <w:rsid w:val="00743240"/>
    <w:rsid w:val="0075072F"/>
    <w:rsid w:val="007507BD"/>
    <w:rsid w:val="0075281E"/>
    <w:rsid w:val="007656B8"/>
    <w:rsid w:val="00771B7F"/>
    <w:rsid w:val="00771BC5"/>
    <w:rsid w:val="0077568E"/>
    <w:rsid w:val="00796F38"/>
    <w:rsid w:val="00797560"/>
    <w:rsid w:val="007A5931"/>
    <w:rsid w:val="007B196C"/>
    <w:rsid w:val="007B3A28"/>
    <w:rsid w:val="007B50BD"/>
    <w:rsid w:val="007B597F"/>
    <w:rsid w:val="007C0A03"/>
    <w:rsid w:val="007D3585"/>
    <w:rsid w:val="007E0454"/>
    <w:rsid w:val="007F10BE"/>
    <w:rsid w:val="007F7029"/>
    <w:rsid w:val="007F7581"/>
    <w:rsid w:val="00804E24"/>
    <w:rsid w:val="0081085F"/>
    <w:rsid w:val="008151C8"/>
    <w:rsid w:val="00816069"/>
    <w:rsid w:val="00816192"/>
    <w:rsid w:val="008167E7"/>
    <w:rsid w:val="00820A60"/>
    <w:rsid w:val="008272D7"/>
    <w:rsid w:val="00846FFF"/>
    <w:rsid w:val="008539E6"/>
    <w:rsid w:val="00854E43"/>
    <w:rsid w:val="00857E54"/>
    <w:rsid w:val="00860E9F"/>
    <w:rsid w:val="00877656"/>
    <w:rsid w:val="008A7E4B"/>
    <w:rsid w:val="008B2222"/>
    <w:rsid w:val="008D2981"/>
    <w:rsid w:val="008E3C2F"/>
    <w:rsid w:val="008E5730"/>
    <w:rsid w:val="008E60FD"/>
    <w:rsid w:val="00915F94"/>
    <w:rsid w:val="009242DB"/>
    <w:rsid w:val="009271C9"/>
    <w:rsid w:val="009300D0"/>
    <w:rsid w:val="0093012B"/>
    <w:rsid w:val="00930A68"/>
    <w:rsid w:val="00935196"/>
    <w:rsid w:val="00935B70"/>
    <w:rsid w:val="009376E9"/>
    <w:rsid w:val="00954967"/>
    <w:rsid w:val="009570E6"/>
    <w:rsid w:val="00962DDF"/>
    <w:rsid w:val="00963E3D"/>
    <w:rsid w:val="00970A60"/>
    <w:rsid w:val="00972E9E"/>
    <w:rsid w:val="009769DB"/>
    <w:rsid w:val="00983613"/>
    <w:rsid w:val="009839F7"/>
    <w:rsid w:val="00983BDE"/>
    <w:rsid w:val="0098730A"/>
    <w:rsid w:val="00991110"/>
    <w:rsid w:val="00996542"/>
    <w:rsid w:val="00996670"/>
    <w:rsid w:val="009A080A"/>
    <w:rsid w:val="009A34CA"/>
    <w:rsid w:val="009A52DD"/>
    <w:rsid w:val="009A6349"/>
    <w:rsid w:val="009A7F46"/>
    <w:rsid w:val="009C0295"/>
    <w:rsid w:val="009D2111"/>
    <w:rsid w:val="009D3A5D"/>
    <w:rsid w:val="009D6141"/>
    <w:rsid w:val="009D7134"/>
    <w:rsid w:val="009D7E40"/>
    <w:rsid w:val="009E1887"/>
    <w:rsid w:val="009E4A39"/>
    <w:rsid w:val="009F088E"/>
    <w:rsid w:val="009F20B4"/>
    <w:rsid w:val="00A02CA9"/>
    <w:rsid w:val="00A104E7"/>
    <w:rsid w:val="00A40CF2"/>
    <w:rsid w:val="00A41A1A"/>
    <w:rsid w:val="00A42BC3"/>
    <w:rsid w:val="00A43290"/>
    <w:rsid w:val="00A46AE5"/>
    <w:rsid w:val="00A55EAD"/>
    <w:rsid w:val="00A671EC"/>
    <w:rsid w:val="00A84862"/>
    <w:rsid w:val="00A9748A"/>
    <w:rsid w:val="00AB1A7D"/>
    <w:rsid w:val="00AC2C92"/>
    <w:rsid w:val="00AD3599"/>
    <w:rsid w:val="00AD3728"/>
    <w:rsid w:val="00AD374A"/>
    <w:rsid w:val="00AE21DE"/>
    <w:rsid w:val="00AE4FCA"/>
    <w:rsid w:val="00B0190A"/>
    <w:rsid w:val="00B0590C"/>
    <w:rsid w:val="00B1577A"/>
    <w:rsid w:val="00B232A5"/>
    <w:rsid w:val="00B31B97"/>
    <w:rsid w:val="00B40493"/>
    <w:rsid w:val="00B43CE3"/>
    <w:rsid w:val="00B51A58"/>
    <w:rsid w:val="00B52B6B"/>
    <w:rsid w:val="00B53F29"/>
    <w:rsid w:val="00B54D45"/>
    <w:rsid w:val="00B56206"/>
    <w:rsid w:val="00B577EF"/>
    <w:rsid w:val="00B6130E"/>
    <w:rsid w:val="00B73181"/>
    <w:rsid w:val="00B75803"/>
    <w:rsid w:val="00B94DE6"/>
    <w:rsid w:val="00B972D4"/>
    <w:rsid w:val="00BA0268"/>
    <w:rsid w:val="00BA19EA"/>
    <w:rsid w:val="00BA4B53"/>
    <w:rsid w:val="00BA50B7"/>
    <w:rsid w:val="00BA6FB6"/>
    <w:rsid w:val="00BB11A5"/>
    <w:rsid w:val="00BC68CD"/>
    <w:rsid w:val="00BC6A8C"/>
    <w:rsid w:val="00BD0B19"/>
    <w:rsid w:val="00BD4DBA"/>
    <w:rsid w:val="00BE2774"/>
    <w:rsid w:val="00BF77C0"/>
    <w:rsid w:val="00C04ACA"/>
    <w:rsid w:val="00C0640D"/>
    <w:rsid w:val="00C10A75"/>
    <w:rsid w:val="00C1145A"/>
    <w:rsid w:val="00C17D18"/>
    <w:rsid w:val="00C22E73"/>
    <w:rsid w:val="00C2654E"/>
    <w:rsid w:val="00C33A69"/>
    <w:rsid w:val="00C36590"/>
    <w:rsid w:val="00C433ED"/>
    <w:rsid w:val="00C4648B"/>
    <w:rsid w:val="00C46B34"/>
    <w:rsid w:val="00C46B9D"/>
    <w:rsid w:val="00C5298E"/>
    <w:rsid w:val="00C53561"/>
    <w:rsid w:val="00C579AA"/>
    <w:rsid w:val="00C60081"/>
    <w:rsid w:val="00C6184D"/>
    <w:rsid w:val="00C751D8"/>
    <w:rsid w:val="00C85849"/>
    <w:rsid w:val="00C864D5"/>
    <w:rsid w:val="00C866BA"/>
    <w:rsid w:val="00C92AA7"/>
    <w:rsid w:val="00C9560E"/>
    <w:rsid w:val="00CA308F"/>
    <w:rsid w:val="00CB12A5"/>
    <w:rsid w:val="00CB48EB"/>
    <w:rsid w:val="00CB627C"/>
    <w:rsid w:val="00CC08B4"/>
    <w:rsid w:val="00CC641D"/>
    <w:rsid w:val="00CE0EA2"/>
    <w:rsid w:val="00CE1E46"/>
    <w:rsid w:val="00CE34E5"/>
    <w:rsid w:val="00CE45E3"/>
    <w:rsid w:val="00CE4754"/>
    <w:rsid w:val="00CE7A7A"/>
    <w:rsid w:val="00CF2B8F"/>
    <w:rsid w:val="00CF665C"/>
    <w:rsid w:val="00D00A43"/>
    <w:rsid w:val="00D046F4"/>
    <w:rsid w:val="00D06EF2"/>
    <w:rsid w:val="00D207CC"/>
    <w:rsid w:val="00D21A11"/>
    <w:rsid w:val="00D2548D"/>
    <w:rsid w:val="00D42CAD"/>
    <w:rsid w:val="00D44704"/>
    <w:rsid w:val="00D45975"/>
    <w:rsid w:val="00D53862"/>
    <w:rsid w:val="00D86695"/>
    <w:rsid w:val="00D86AAC"/>
    <w:rsid w:val="00DA1A22"/>
    <w:rsid w:val="00DD17ED"/>
    <w:rsid w:val="00DD2AF2"/>
    <w:rsid w:val="00DD2C86"/>
    <w:rsid w:val="00DD59B0"/>
    <w:rsid w:val="00DE2E2B"/>
    <w:rsid w:val="00DE3603"/>
    <w:rsid w:val="00DE57A1"/>
    <w:rsid w:val="00DF4726"/>
    <w:rsid w:val="00E07D80"/>
    <w:rsid w:val="00E10F41"/>
    <w:rsid w:val="00E12487"/>
    <w:rsid w:val="00E167EF"/>
    <w:rsid w:val="00E1766E"/>
    <w:rsid w:val="00E262C8"/>
    <w:rsid w:val="00E2676F"/>
    <w:rsid w:val="00E31C78"/>
    <w:rsid w:val="00E34A3D"/>
    <w:rsid w:val="00E412EF"/>
    <w:rsid w:val="00E476BF"/>
    <w:rsid w:val="00E60E72"/>
    <w:rsid w:val="00E61584"/>
    <w:rsid w:val="00E73EB2"/>
    <w:rsid w:val="00E76F68"/>
    <w:rsid w:val="00E8172A"/>
    <w:rsid w:val="00E92243"/>
    <w:rsid w:val="00E92B2B"/>
    <w:rsid w:val="00E935BD"/>
    <w:rsid w:val="00E9404E"/>
    <w:rsid w:val="00E94A95"/>
    <w:rsid w:val="00E95A66"/>
    <w:rsid w:val="00E96947"/>
    <w:rsid w:val="00E9789B"/>
    <w:rsid w:val="00EB15B5"/>
    <w:rsid w:val="00EB411D"/>
    <w:rsid w:val="00EB7D36"/>
    <w:rsid w:val="00EC5AD9"/>
    <w:rsid w:val="00ED1145"/>
    <w:rsid w:val="00ED451E"/>
    <w:rsid w:val="00ED5363"/>
    <w:rsid w:val="00ED5FDD"/>
    <w:rsid w:val="00EE22CC"/>
    <w:rsid w:val="00EE2ED2"/>
    <w:rsid w:val="00EE2EE0"/>
    <w:rsid w:val="00EE7EDF"/>
    <w:rsid w:val="00EF0ADB"/>
    <w:rsid w:val="00EF7B6F"/>
    <w:rsid w:val="00F00062"/>
    <w:rsid w:val="00F032D7"/>
    <w:rsid w:val="00F06480"/>
    <w:rsid w:val="00F118C7"/>
    <w:rsid w:val="00F1194E"/>
    <w:rsid w:val="00F12D9C"/>
    <w:rsid w:val="00F17AF9"/>
    <w:rsid w:val="00F22F5E"/>
    <w:rsid w:val="00F35A45"/>
    <w:rsid w:val="00F36C78"/>
    <w:rsid w:val="00F445D4"/>
    <w:rsid w:val="00F57048"/>
    <w:rsid w:val="00F61EB8"/>
    <w:rsid w:val="00F65452"/>
    <w:rsid w:val="00F74586"/>
    <w:rsid w:val="00F802E0"/>
    <w:rsid w:val="00F81AC4"/>
    <w:rsid w:val="00F8297D"/>
    <w:rsid w:val="00F85D0D"/>
    <w:rsid w:val="00F924D2"/>
    <w:rsid w:val="00F9353A"/>
    <w:rsid w:val="00FA1EB1"/>
    <w:rsid w:val="00FA2D7C"/>
    <w:rsid w:val="00FA3994"/>
    <w:rsid w:val="00FA5106"/>
    <w:rsid w:val="00FA7DC0"/>
    <w:rsid w:val="00FC0452"/>
    <w:rsid w:val="00FC3708"/>
    <w:rsid w:val="00FE124C"/>
    <w:rsid w:val="00FE1C46"/>
    <w:rsid w:val="00FF5FFB"/>
    <w:rsid w:val="00FF7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79F6"/>
    <w:pPr>
      <w:widowControl w:val="0"/>
      <w:spacing w:after="0" w:line="240" w:lineRule="auto"/>
    </w:pPr>
  </w:style>
  <w:style w:type="paragraph" w:styleId="Heading1">
    <w:name w:val="heading 1"/>
    <w:basedOn w:val="Normal"/>
    <w:next w:val="Normal"/>
    <w:link w:val="Heading1Char"/>
    <w:autoRedefine/>
    <w:uiPriority w:val="9"/>
    <w:qFormat/>
    <w:rsid w:val="009D3A5D"/>
    <w:pPr>
      <w:keepNext/>
      <w:keepLines/>
      <w:spacing w:before="120" w:after="120"/>
      <w:outlineLvl w:val="0"/>
    </w:pPr>
    <w:rPr>
      <w:rFonts w:asciiTheme="majorHAnsi" w:eastAsiaTheme="majorEastAsia" w:hAnsiTheme="majorHAnsi" w:cstheme="majorHAnsi"/>
      <w:b/>
      <w:bCs/>
      <w:sz w:val="24"/>
      <w:szCs w:val="28"/>
    </w:rPr>
  </w:style>
  <w:style w:type="paragraph" w:styleId="Heading2">
    <w:name w:val="heading 2"/>
    <w:basedOn w:val="Normal"/>
    <w:next w:val="Normal"/>
    <w:link w:val="Heading2Char1"/>
    <w:autoRedefine/>
    <w:uiPriority w:val="9"/>
    <w:unhideWhenUsed/>
    <w:qFormat/>
    <w:rsid w:val="009D3A5D"/>
    <w:pPr>
      <w:keepNext/>
      <w:keepLines/>
      <w:spacing w:before="120" w:after="120"/>
      <w:outlineLvl w:val="1"/>
    </w:pPr>
    <w:rPr>
      <w:rFonts w:asciiTheme="majorHAnsi" w:eastAsiaTheme="majorEastAsia" w:hAnsiTheme="majorHAnsi" w:cstheme="majorHAnsi"/>
      <w:b/>
      <w:bCs/>
      <w:szCs w:val="26"/>
    </w:rPr>
  </w:style>
  <w:style w:type="paragraph" w:styleId="Heading3">
    <w:name w:val="heading 3"/>
    <w:basedOn w:val="Normal"/>
    <w:next w:val="Normal"/>
    <w:link w:val="Heading3Char"/>
    <w:uiPriority w:val="9"/>
    <w:unhideWhenUsed/>
    <w:qFormat/>
    <w:rsid w:val="005179F6"/>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5179F6"/>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5179F6"/>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5179F6"/>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5179F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79F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79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A5D"/>
    <w:rPr>
      <w:rFonts w:asciiTheme="majorHAnsi" w:eastAsiaTheme="majorEastAsia" w:hAnsiTheme="majorHAnsi" w:cstheme="majorHAnsi"/>
      <w:b/>
      <w:bCs/>
      <w:sz w:val="24"/>
      <w:szCs w:val="28"/>
    </w:rPr>
  </w:style>
  <w:style w:type="character" w:customStyle="1" w:styleId="Heading2Char">
    <w:name w:val="Heading 2 Char"/>
    <w:basedOn w:val="DefaultParagraphFont"/>
    <w:uiPriority w:val="9"/>
    <w:rsid w:val="005179F6"/>
    <w:rPr>
      <w:rFonts w:asciiTheme="majorHAnsi" w:eastAsiaTheme="majorEastAsia" w:hAnsiTheme="majorHAnsi" w:cstheme="majorBidi"/>
      <w:b/>
      <w:bCs/>
      <w:sz w:val="26"/>
      <w:szCs w:val="26"/>
    </w:rPr>
  </w:style>
  <w:style w:type="paragraph" w:styleId="ListParagraph">
    <w:name w:val="List Paragraph"/>
    <w:basedOn w:val="Normal"/>
    <w:uiPriority w:val="34"/>
    <w:qFormat/>
    <w:rsid w:val="005179F6"/>
  </w:style>
  <w:style w:type="character" w:styleId="Hyperlink">
    <w:name w:val="Hyperlink"/>
    <w:basedOn w:val="DefaultParagraphFont"/>
    <w:uiPriority w:val="99"/>
    <w:unhideWhenUsed/>
    <w:rsid w:val="00A9748A"/>
    <w:rPr>
      <w:color w:val="0000FF"/>
      <w:u w:val="single"/>
    </w:rPr>
  </w:style>
  <w:style w:type="paragraph" w:customStyle="1" w:styleId="Arialheading1">
    <w:name w:val="Arial heading 1"/>
    <w:basedOn w:val="Arialheading2"/>
    <w:autoRedefine/>
    <w:uiPriority w:val="1"/>
    <w:qFormat/>
    <w:rsid w:val="005179F6"/>
    <w:pPr>
      <w:spacing w:before="120" w:after="120"/>
    </w:pPr>
    <w:rPr>
      <w:sz w:val="28"/>
      <w:szCs w:val="28"/>
      <w:lang w:val="en-GB" w:eastAsia="en-AU"/>
    </w:rPr>
  </w:style>
  <w:style w:type="paragraph" w:styleId="BodyText">
    <w:name w:val="Body Text"/>
    <w:basedOn w:val="Normal"/>
    <w:link w:val="BodyTextChar"/>
    <w:uiPriority w:val="1"/>
    <w:qFormat/>
    <w:rsid w:val="005179F6"/>
    <w:pPr>
      <w:ind w:left="680"/>
    </w:pPr>
    <w:rPr>
      <w:rFonts w:ascii="Arial" w:eastAsia="Arial" w:hAnsi="Arial"/>
      <w:sz w:val="18"/>
      <w:szCs w:val="18"/>
    </w:rPr>
  </w:style>
  <w:style w:type="character" w:customStyle="1" w:styleId="BodyTextChar">
    <w:name w:val="Body Text Char"/>
    <w:basedOn w:val="DefaultParagraphFont"/>
    <w:link w:val="BodyText"/>
    <w:uiPriority w:val="1"/>
    <w:rsid w:val="005179F6"/>
    <w:rPr>
      <w:rFonts w:ascii="Arial" w:eastAsia="Arial" w:hAnsi="Arial"/>
      <w:sz w:val="18"/>
      <w:szCs w:val="18"/>
    </w:rPr>
  </w:style>
  <w:style w:type="paragraph" w:customStyle="1" w:styleId="Body1">
    <w:name w:val="Body1"/>
    <w:basedOn w:val="Normal"/>
    <w:uiPriority w:val="99"/>
    <w:rsid w:val="00E10F41"/>
    <w:pPr>
      <w:widowControl/>
      <w:tabs>
        <w:tab w:val="left" w:pos="567"/>
        <w:tab w:val="left" w:pos="1134"/>
        <w:tab w:val="left" w:pos="1701"/>
      </w:tabs>
      <w:spacing w:before="60" w:after="120"/>
      <w:jc w:val="both"/>
    </w:pPr>
    <w:rPr>
      <w:rFonts w:ascii="Arial" w:eastAsia="Times New Roman" w:hAnsi="Arial" w:cs="Times New Roman"/>
      <w:color w:val="000000"/>
      <w:sz w:val="20"/>
      <w:szCs w:val="20"/>
      <w:lang w:val="en-GB" w:eastAsia="en-AU"/>
    </w:rPr>
  </w:style>
  <w:style w:type="paragraph" w:customStyle="1" w:styleId="DefaultIndent">
    <w:name w:val="Default Indent"/>
    <w:basedOn w:val="Normal"/>
    <w:uiPriority w:val="99"/>
    <w:rsid w:val="00E10F41"/>
    <w:pPr>
      <w:widowControl/>
      <w:tabs>
        <w:tab w:val="left" w:pos="5103"/>
      </w:tabs>
      <w:spacing w:before="60" w:after="120"/>
      <w:ind w:left="720"/>
      <w:jc w:val="both"/>
    </w:pPr>
    <w:rPr>
      <w:rFonts w:ascii="Arial" w:eastAsia="Times New Roman" w:hAnsi="Arial" w:cs="Times New Roman"/>
      <w:szCs w:val="20"/>
      <w:lang w:val="en-GB" w:eastAsia="en-AU"/>
    </w:rPr>
  </w:style>
  <w:style w:type="table" w:styleId="TableGrid">
    <w:name w:val="Table Grid"/>
    <w:basedOn w:val="TableNormal"/>
    <w:uiPriority w:val="59"/>
    <w:rsid w:val="00E1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394"/>
    <w:rPr>
      <w:rFonts w:ascii="Tahoma" w:hAnsi="Tahoma" w:cs="Tahoma"/>
      <w:sz w:val="16"/>
      <w:szCs w:val="16"/>
    </w:rPr>
  </w:style>
  <w:style w:type="character" w:customStyle="1" w:styleId="BalloonTextChar">
    <w:name w:val="Balloon Text Char"/>
    <w:basedOn w:val="DefaultParagraphFont"/>
    <w:link w:val="BalloonText"/>
    <w:uiPriority w:val="99"/>
    <w:semiHidden/>
    <w:rsid w:val="001F4394"/>
    <w:rPr>
      <w:rFonts w:ascii="Tahoma" w:hAnsi="Tahoma" w:cs="Tahoma"/>
      <w:sz w:val="16"/>
      <w:szCs w:val="16"/>
    </w:rPr>
  </w:style>
  <w:style w:type="character" w:styleId="Emphasis">
    <w:name w:val="Emphasis"/>
    <w:basedOn w:val="DefaultParagraphFont"/>
    <w:uiPriority w:val="20"/>
    <w:qFormat/>
    <w:rsid w:val="005179F6"/>
    <w:rPr>
      <w:i/>
      <w:iCs/>
    </w:rPr>
  </w:style>
  <w:style w:type="character" w:styleId="HTMLCite">
    <w:name w:val="HTML Cite"/>
    <w:basedOn w:val="DefaultParagraphFont"/>
    <w:uiPriority w:val="99"/>
    <w:semiHidden/>
    <w:unhideWhenUsed/>
    <w:rsid w:val="000B2EAC"/>
    <w:rPr>
      <w:i/>
      <w:iCs/>
    </w:rPr>
  </w:style>
  <w:style w:type="character" w:customStyle="1" w:styleId="cit-auth2">
    <w:name w:val="cit-auth2"/>
    <w:basedOn w:val="DefaultParagraphFont"/>
    <w:rsid w:val="000B2EAC"/>
  </w:style>
  <w:style w:type="character" w:customStyle="1" w:styleId="cit-name-surname">
    <w:name w:val="cit-name-surname"/>
    <w:basedOn w:val="DefaultParagraphFont"/>
    <w:rsid w:val="000B2EAC"/>
  </w:style>
  <w:style w:type="character" w:customStyle="1" w:styleId="cit-name-given-names">
    <w:name w:val="cit-name-given-names"/>
    <w:basedOn w:val="DefaultParagraphFont"/>
    <w:rsid w:val="000B2EAC"/>
  </w:style>
  <w:style w:type="character" w:customStyle="1" w:styleId="cit-etal">
    <w:name w:val="cit-etal"/>
    <w:basedOn w:val="DefaultParagraphFont"/>
    <w:rsid w:val="000B2EAC"/>
  </w:style>
  <w:style w:type="character" w:customStyle="1" w:styleId="cit-pub-date2">
    <w:name w:val="cit-pub-date2"/>
    <w:basedOn w:val="DefaultParagraphFont"/>
    <w:rsid w:val="000B2EAC"/>
  </w:style>
  <w:style w:type="character" w:customStyle="1" w:styleId="cit-article-title">
    <w:name w:val="cit-article-title"/>
    <w:basedOn w:val="DefaultParagraphFont"/>
    <w:rsid w:val="000B2EAC"/>
  </w:style>
  <w:style w:type="character" w:customStyle="1" w:styleId="cit-vol4">
    <w:name w:val="cit-vol4"/>
    <w:basedOn w:val="DefaultParagraphFont"/>
    <w:rsid w:val="000B2EAC"/>
  </w:style>
  <w:style w:type="character" w:customStyle="1" w:styleId="cit-issue">
    <w:name w:val="cit-issue"/>
    <w:basedOn w:val="DefaultParagraphFont"/>
    <w:rsid w:val="000B2EAC"/>
  </w:style>
  <w:style w:type="character" w:customStyle="1" w:styleId="cit-fpage">
    <w:name w:val="cit-fpage"/>
    <w:basedOn w:val="DefaultParagraphFont"/>
    <w:rsid w:val="000B2EAC"/>
  </w:style>
  <w:style w:type="character" w:customStyle="1" w:styleId="cit-lpage">
    <w:name w:val="cit-lpage"/>
    <w:basedOn w:val="DefaultParagraphFont"/>
    <w:rsid w:val="000B2EAC"/>
  </w:style>
  <w:style w:type="character" w:styleId="CommentReference">
    <w:name w:val="annotation reference"/>
    <w:basedOn w:val="DefaultParagraphFont"/>
    <w:uiPriority w:val="99"/>
    <w:semiHidden/>
    <w:unhideWhenUsed/>
    <w:rsid w:val="00A55EAD"/>
    <w:rPr>
      <w:sz w:val="16"/>
      <w:szCs w:val="16"/>
    </w:rPr>
  </w:style>
  <w:style w:type="paragraph" w:styleId="CommentText">
    <w:name w:val="annotation text"/>
    <w:basedOn w:val="Normal"/>
    <w:link w:val="CommentTextChar"/>
    <w:uiPriority w:val="99"/>
    <w:unhideWhenUsed/>
    <w:rsid w:val="00A55EAD"/>
    <w:rPr>
      <w:sz w:val="20"/>
      <w:szCs w:val="20"/>
    </w:rPr>
  </w:style>
  <w:style w:type="character" w:customStyle="1" w:styleId="CommentTextChar">
    <w:name w:val="Comment Text Char"/>
    <w:basedOn w:val="DefaultParagraphFont"/>
    <w:link w:val="CommentText"/>
    <w:uiPriority w:val="99"/>
    <w:rsid w:val="00A55EAD"/>
    <w:rPr>
      <w:sz w:val="20"/>
      <w:szCs w:val="20"/>
    </w:rPr>
  </w:style>
  <w:style w:type="paragraph" w:styleId="CommentSubject">
    <w:name w:val="annotation subject"/>
    <w:basedOn w:val="CommentText"/>
    <w:next w:val="CommentText"/>
    <w:link w:val="CommentSubjectChar"/>
    <w:uiPriority w:val="99"/>
    <w:semiHidden/>
    <w:unhideWhenUsed/>
    <w:rsid w:val="00A55EAD"/>
    <w:rPr>
      <w:b/>
      <w:bCs/>
    </w:rPr>
  </w:style>
  <w:style w:type="character" w:customStyle="1" w:styleId="CommentSubjectChar">
    <w:name w:val="Comment Subject Char"/>
    <w:basedOn w:val="CommentTextChar"/>
    <w:link w:val="CommentSubject"/>
    <w:uiPriority w:val="99"/>
    <w:semiHidden/>
    <w:rsid w:val="00A55EAD"/>
    <w:rPr>
      <w:b/>
      <w:bCs/>
      <w:sz w:val="20"/>
      <w:szCs w:val="20"/>
    </w:rPr>
  </w:style>
  <w:style w:type="character" w:customStyle="1" w:styleId="citation-publication-date">
    <w:name w:val="citation-publication-date"/>
    <w:basedOn w:val="DefaultParagraphFont"/>
    <w:rsid w:val="009A7F46"/>
  </w:style>
  <w:style w:type="character" w:customStyle="1" w:styleId="doi1">
    <w:name w:val="doi1"/>
    <w:basedOn w:val="DefaultParagraphFont"/>
    <w:rsid w:val="009A7F46"/>
  </w:style>
  <w:style w:type="character" w:customStyle="1" w:styleId="ref-journal">
    <w:name w:val="ref-journal"/>
    <w:basedOn w:val="DefaultParagraphFont"/>
    <w:rsid w:val="00043F66"/>
  </w:style>
  <w:style w:type="character" w:customStyle="1" w:styleId="ref-vol">
    <w:name w:val="ref-vol"/>
    <w:basedOn w:val="DefaultParagraphFont"/>
    <w:rsid w:val="00043F66"/>
  </w:style>
  <w:style w:type="paragraph" w:customStyle="1" w:styleId="TableParagraph">
    <w:name w:val="Table Paragraph"/>
    <w:basedOn w:val="Normal"/>
    <w:uiPriority w:val="1"/>
    <w:qFormat/>
    <w:rsid w:val="005179F6"/>
    <w:rPr>
      <w:lang w:val="en-US"/>
    </w:rPr>
  </w:style>
  <w:style w:type="paragraph" w:customStyle="1" w:styleId="Arialheadinglarge">
    <w:name w:val="Arial heading large"/>
    <w:basedOn w:val="Arialheading1"/>
    <w:autoRedefine/>
    <w:uiPriority w:val="1"/>
    <w:rsid w:val="00701B53"/>
    <w:rPr>
      <w:szCs w:val="24"/>
    </w:rPr>
  </w:style>
  <w:style w:type="character" w:styleId="FollowedHyperlink">
    <w:name w:val="FollowedHyperlink"/>
    <w:basedOn w:val="DefaultParagraphFont"/>
    <w:uiPriority w:val="99"/>
    <w:semiHidden/>
    <w:unhideWhenUsed/>
    <w:rsid w:val="000D350F"/>
    <w:rPr>
      <w:color w:val="919191" w:themeColor="followedHyperlink"/>
      <w:u w:val="single"/>
    </w:rPr>
  </w:style>
  <w:style w:type="character" w:customStyle="1" w:styleId="Heading3Char">
    <w:name w:val="Heading 3 Char"/>
    <w:basedOn w:val="DefaultParagraphFont"/>
    <w:link w:val="Heading3"/>
    <w:uiPriority w:val="9"/>
    <w:rsid w:val="005179F6"/>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5179F6"/>
    <w:rPr>
      <w:rFonts w:asciiTheme="majorHAnsi" w:eastAsiaTheme="majorEastAsia" w:hAnsiTheme="majorHAnsi" w:cstheme="majorBidi"/>
      <w:b/>
      <w:bCs/>
      <w:i/>
      <w:iCs/>
      <w:color w:val="DDDDDD" w:themeColor="accent1"/>
    </w:rPr>
  </w:style>
  <w:style w:type="paragraph" w:styleId="TOC1">
    <w:name w:val="toc 1"/>
    <w:basedOn w:val="Normal"/>
    <w:next w:val="Normal"/>
    <w:autoRedefine/>
    <w:uiPriority w:val="39"/>
    <w:unhideWhenUsed/>
    <w:qFormat/>
    <w:rsid w:val="00DE3603"/>
    <w:pPr>
      <w:tabs>
        <w:tab w:val="right" w:leader="dot" w:pos="9639"/>
      </w:tabs>
      <w:spacing w:after="100"/>
    </w:pPr>
  </w:style>
  <w:style w:type="paragraph" w:styleId="TOC2">
    <w:name w:val="toc 2"/>
    <w:basedOn w:val="Normal"/>
    <w:next w:val="Normal"/>
    <w:autoRedefine/>
    <w:uiPriority w:val="39"/>
    <w:unhideWhenUsed/>
    <w:qFormat/>
    <w:rsid w:val="005179F6"/>
    <w:pPr>
      <w:spacing w:after="100"/>
      <w:ind w:left="220"/>
    </w:pPr>
  </w:style>
  <w:style w:type="paragraph" w:styleId="Header">
    <w:name w:val="header"/>
    <w:basedOn w:val="Normal"/>
    <w:link w:val="HeaderChar"/>
    <w:uiPriority w:val="99"/>
    <w:unhideWhenUsed/>
    <w:rsid w:val="00F74586"/>
    <w:pPr>
      <w:tabs>
        <w:tab w:val="center" w:pos="4513"/>
        <w:tab w:val="right" w:pos="9026"/>
      </w:tabs>
    </w:pPr>
  </w:style>
  <w:style w:type="character" w:customStyle="1" w:styleId="HeaderChar">
    <w:name w:val="Header Char"/>
    <w:basedOn w:val="DefaultParagraphFont"/>
    <w:link w:val="Header"/>
    <w:uiPriority w:val="99"/>
    <w:rsid w:val="00F74586"/>
  </w:style>
  <w:style w:type="paragraph" w:styleId="Footer">
    <w:name w:val="footer"/>
    <w:basedOn w:val="Normal"/>
    <w:link w:val="FooterChar"/>
    <w:uiPriority w:val="99"/>
    <w:unhideWhenUsed/>
    <w:rsid w:val="00F74586"/>
    <w:pPr>
      <w:tabs>
        <w:tab w:val="center" w:pos="4513"/>
        <w:tab w:val="right" w:pos="9026"/>
      </w:tabs>
    </w:pPr>
  </w:style>
  <w:style w:type="character" w:customStyle="1" w:styleId="FooterChar">
    <w:name w:val="Footer Char"/>
    <w:basedOn w:val="DefaultParagraphFont"/>
    <w:link w:val="Footer"/>
    <w:uiPriority w:val="99"/>
    <w:rsid w:val="00F74586"/>
  </w:style>
  <w:style w:type="paragraph" w:customStyle="1" w:styleId="Pa26">
    <w:name w:val="Pa26"/>
    <w:basedOn w:val="Normal"/>
    <w:next w:val="Normal"/>
    <w:uiPriority w:val="99"/>
    <w:rsid w:val="00C866BA"/>
    <w:pPr>
      <w:widowControl/>
      <w:autoSpaceDE w:val="0"/>
      <w:autoSpaceDN w:val="0"/>
      <w:adjustRightInd w:val="0"/>
      <w:spacing w:line="181" w:lineRule="atLeast"/>
    </w:pPr>
    <w:rPr>
      <w:rFonts w:ascii="TitilliumText22L Lt" w:hAnsi="TitilliumText22L Lt"/>
      <w:sz w:val="24"/>
      <w:szCs w:val="24"/>
    </w:rPr>
  </w:style>
  <w:style w:type="paragraph" w:styleId="EndnoteText">
    <w:name w:val="endnote text"/>
    <w:basedOn w:val="Normal"/>
    <w:link w:val="EndnoteTextChar"/>
    <w:uiPriority w:val="99"/>
    <w:semiHidden/>
    <w:unhideWhenUsed/>
    <w:rsid w:val="009D7E40"/>
    <w:rPr>
      <w:sz w:val="20"/>
      <w:szCs w:val="20"/>
    </w:rPr>
  </w:style>
  <w:style w:type="character" w:customStyle="1" w:styleId="EndnoteTextChar">
    <w:name w:val="Endnote Text Char"/>
    <w:basedOn w:val="DefaultParagraphFont"/>
    <w:link w:val="EndnoteText"/>
    <w:uiPriority w:val="99"/>
    <w:semiHidden/>
    <w:rsid w:val="009D7E40"/>
    <w:rPr>
      <w:sz w:val="20"/>
      <w:szCs w:val="20"/>
    </w:rPr>
  </w:style>
  <w:style w:type="character" w:styleId="EndnoteReference">
    <w:name w:val="endnote reference"/>
    <w:basedOn w:val="DefaultParagraphFont"/>
    <w:uiPriority w:val="99"/>
    <w:semiHidden/>
    <w:unhideWhenUsed/>
    <w:rsid w:val="009D7E40"/>
    <w:rPr>
      <w:vertAlign w:val="superscript"/>
    </w:rPr>
  </w:style>
  <w:style w:type="paragraph" w:styleId="FootnoteText">
    <w:name w:val="footnote text"/>
    <w:basedOn w:val="Normal"/>
    <w:link w:val="FootnoteTextChar"/>
    <w:uiPriority w:val="99"/>
    <w:semiHidden/>
    <w:unhideWhenUsed/>
    <w:rsid w:val="009D7E40"/>
    <w:rPr>
      <w:sz w:val="20"/>
      <w:szCs w:val="20"/>
    </w:rPr>
  </w:style>
  <w:style w:type="character" w:customStyle="1" w:styleId="FootnoteTextChar">
    <w:name w:val="Footnote Text Char"/>
    <w:basedOn w:val="DefaultParagraphFont"/>
    <w:link w:val="FootnoteText"/>
    <w:uiPriority w:val="99"/>
    <w:semiHidden/>
    <w:rsid w:val="009D7E40"/>
    <w:rPr>
      <w:sz w:val="20"/>
      <w:szCs w:val="20"/>
    </w:rPr>
  </w:style>
  <w:style w:type="character" w:styleId="FootnoteReference">
    <w:name w:val="footnote reference"/>
    <w:basedOn w:val="DefaultParagraphFont"/>
    <w:uiPriority w:val="99"/>
    <w:semiHidden/>
    <w:unhideWhenUsed/>
    <w:rsid w:val="009D7E40"/>
    <w:rPr>
      <w:vertAlign w:val="superscript"/>
    </w:rPr>
  </w:style>
  <w:style w:type="table" w:styleId="LightShading">
    <w:name w:val="Light Shading"/>
    <w:basedOn w:val="TableNormal"/>
    <w:uiPriority w:val="60"/>
    <w:rsid w:val="00BD0B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9C0295"/>
    <w:pPr>
      <w:spacing w:after="0" w:line="240" w:lineRule="auto"/>
    </w:pPr>
    <w:tblPr/>
  </w:style>
  <w:style w:type="character" w:customStyle="1" w:styleId="Heading5Char">
    <w:name w:val="Heading 5 Char"/>
    <w:basedOn w:val="DefaultParagraphFont"/>
    <w:link w:val="Heading5"/>
    <w:uiPriority w:val="9"/>
    <w:semiHidden/>
    <w:rsid w:val="005179F6"/>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5179F6"/>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5179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79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79F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179F6"/>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179F6"/>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5179F6"/>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5179F6"/>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22"/>
    <w:qFormat/>
    <w:rsid w:val="005179F6"/>
    <w:rPr>
      <w:b/>
      <w:bCs/>
    </w:rPr>
  </w:style>
  <w:style w:type="paragraph" w:styleId="NoSpacing">
    <w:name w:val="No Spacing"/>
    <w:basedOn w:val="Normal"/>
    <w:uiPriority w:val="1"/>
    <w:qFormat/>
    <w:rsid w:val="005179F6"/>
  </w:style>
  <w:style w:type="paragraph" w:styleId="Quote">
    <w:name w:val="Quote"/>
    <w:basedOn w:val="Normal"/>
    <w:next w:val="Normal"/>
    <w:link w:val="QuoteChar"/>
    <w:uiPriority w:val="29"/>
    <w:qFormat/>
    <w:rsid w:val="005179F6"/>
    <w:rPr>
      <w:i/>
      <w:iCs/>
      <w:color w:val="000000" w:themeColor="text1"/>
    </w:rPr>
  </w:style>
  <w:style w:type="character" w:customStyle="1" w:styleId="QuoteChar">
    <w:name w:val="Quote Char"/>
    <w:basedOn w:val="DefaultParagraphFont"/>
    <w:link w:val="Quote"/>
    <w:uiPriority w:val="29"/>
    <w:rsid w:val="005179F6"/>
    <w:rPr>
      <w:i/>
      <w:iCs/>
      <w:color w:val="000000" w:themeColor="text1"/>
    </w:rPr>
  </w:style>
  <w:style w:type="paragraph" w:styleId="IntenseQuote">
    <w:name w:val="Intense Quote"/>
    <w:basedOn w:val="Normal"/>
    <w:next w:val="Normal"/>
    <w:link w:val="IntenseQuoteChar"/>
    <w:uiPriority w:val="30"/>
    <w:qFormat/>
    <w:rsid w:val="005179F6"/>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5179F6"/>
    <w:rPr>
      <w:b/>
      <w:bCs/>
      <w:i/>
      <w:iCs/>
      <w:color w:val="DDDDDD" w:themeColor="accent1"/>
    </w:rPr>
  </w:style>
  <w:style w:type="character" w:styleId="SubtleEmphasis">
    <w:name w:val="Subtle Emphasis"/>
    <w:uiPriority w:val="19"/>
    <w:qFormat/>
    <w:rsid w:val="005179F6"/>
    <w:rPr>
      <w:i/>
      <w:iCs/>
      <w:color w:val="808080" w:themeColor="text1" w:themeTint="7F"/>
    </w:rPr>
  </w:style>
  <w:style w:type="character" w:styleId="IntenseEmphasis">
    <w:name w:val="Intense Emphasis"/>
    <w:uiPriority w:val="21"/>
    <w:qFormat/>
    <w:rsid w:val="005179F6"/>
    <w:rPr>
      <w:b/>
      <w:bCs/>
      <w:i/>
      <w:iCs/>
      <w:color w:val="DDDDDD" w:themeColor="accent1"/>
    </w:rPr>
  </w:style>
  <w:style w:type="character" w:styleId="SubtleReference">
    <w:name w:val="Subtle Reference"/>
    <w:uiPriority w:val="31"/>
    <w:qFormat/>
    <w:rsid w:val="005179F6"/>
    <w:rPr>
      <w:smallCaps/>
      <w:color w:val="B2B2B2" w:themeColor="accent2"/>
      <w:u w:val="single"/>
    </w:rPr>
  </w:style>
  <w:style w:type="character" w:styleId="IntenseReference">
    <w:name w:val="Intense Reference"/>
    <w:uiPriority w:val="32"/>
    <w:qFormat/>
    <w:rsid w:val="005179F6"/>
    <w:rPr>
      <w:b/>
      <w:bCs/>
      <w:smallCaps/>
      <w:color w:val="B2B2B2" w:themeColor="accent2"/>
      <w:spacing w:val="5"/>
      <w:u w:val="single"/>
    </w:rPr>
  </w:style>
  <w:style w:type="character" w:styleId="BookTitle">
    <w:name w:val="Book Title"/>
    <w:uiPriority w:val="33"/>
    <w:qFormat/>
    <w:rsid w:val="005179F6"/>
    <w:rPr>
      <w:b/>
      <w:bCs/>
      <w:smallCaps/>
      <w:spacing w:val="5"/>
    </w:rPr>
  </w:style>
  <w:style w:type="paragraph" w:styleId="TOCHeading">
    <w:name w:val="TOC Heading"/>
    <w:basedOn w:val="Heading1"/>
    <w:next w:val="Normal"/>
    <w:uiPriority w:val="39"/>
    <w:unhideWhenUsed/>
    <w:qFormat/>
    <w:rsid w:val="005179F6"/>
    <w:pPr>
      <w:widowControl/>
      <w:spacing w:line="276" w:lineRule="auto"/>
      <w:outlineLvl w:val="9"/>
    </w:pPr>
    <w:rPr>
      <w:lang w:val="en-US" w:eastAsia="ja-JP"/>
    </w:rPr>
  </w:style>
  <w:style w:type="paragraph" w:styleId="Caption">
    <w:name w:val="caption"/>
    <w:basedOn w:val="Normal"/>
    <w:next w:val="Normal"/>
    <w:uiPriority w:val="35"/>
    <w:semiHidden/>
    <w:unhideWhenUsed/>
    <w:qFormat/>
    <w:rsid w:val="005179F6"/>
    <w:pPr>
      <w:spacing w:after="200"/>
    </w:pPr>
    <w:rPr>
      <w:b/>
      <w:bCs/>
      <w:color w:val="DDDDDD" w:themeColor="accent1"/>
      <w:sz w:val="18"/>
      <w:szCs w:val="18"/>
    </w:rPr>
  </w:style>
  <w:style w:type="paragraph" w:customStyle="1" w:styleId="Arialheading2">
    <w:name w:val="Arial heading 2"/>
    <w:basedOn w:val="Normal"/>
    <w:uiPriority w:val="1"/>
    <w:qFormat/>
    <w:rsid w:val="005179F6"/>
    <w:rPr>
      <w:rFonts w:ascii="Arial" w:hAnsi="Arial" w:cs="Arial"/>
      <w:b/>
      <w:sz w:val="24"/>
    </w:rPr>
  </w:style>
  <w:style w:type="character" w:customStyle="1" w:styleId="Heading2Char1">
    <w:name w:val="Heading 2 Char1"/>
    <w:basedOn w:val="DefaultParagraphFont"/>
    <w:link w:val="Heading2"/>
    <w:uiPriority w:val="9"/>
    <w:rsid w:val="009D3A5D"/>
    <w:rPr>
      <w:rFonts w:asciiTheme="majorHAnsi" w:eastAsiaTheme="majorEastAsia" w:hAnsiTheme="majorHAnsi" w:cstheme="majorHAnsi"/>
      <w:b/>
      <w:bCs/>
      <w:szCs w:val="26"/>
    </w:rPr>
  </w:style>
  <w:style w:type="paragraph" w:styleId="TOC3">
    <w:name w:val="toc 3"/>
    <w:basedOn w:val="Normal"/>
    <w:next w:val="Normal"/>
    <w:autoRedefine/>
    <w:uiPriority w:val="39"/>
    <w:unhideWhenUsed/>
    <w:qFormat/>
    <w:rsid w:val="005179F6"/>
    <w:pPr>
      <w:spacing w:after="100"/>
      <w:ind w:left="440"/>
    </w:pPr>
  </w:style>
  <w:style w:type="table" w:customStyle="1" w:styleId="TableGrid1">
    <w:name w:val="Table Grid1"/>
    <w:basedOn w:val="TableNormal"/>
    <w:next w:val="TableGrid"/>
    <w:uiPriority w:val="59"/>
    <w:rsid w:val="006E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D5363"/>
    <w:pPr>
      <w:widowControl/>
    </w:pPr>
    <w:rPr>
      <w:rFonts w:ascii="Consolas" w:hAnsi="Consolas" w:cs="Consolas"/>
      <w:sz w:val="21"/>
      <w:szCs w:val="21"/>
      <w:lang w:eastAsia="en-AU"/>
    </w:rPr>
  </w:style>
  <w:style w:type="character" w:customStyle="1" w:styleId="PlainTextChar">
    <w:name w:val="Plain Text Char"/>
    <w:basedOn w:val="DefaultParagraphFont"/>
    <w:link w:val="PlainText"/>
    <w:uiPriority w:val="99"/>
    <w:rsid w:val="00ED5363"/>
    <w:rPr>
      <w:rFonts w:ascii="Consolas" w:hAnsi="Consolas" w:cs="Consolas"/>
      <w:sz w:val="21"/>
      <w:szCs w:val="21"/>
      <w:lang w:eastAsia="en-AU"/>
    </w:rPr>
  </w:style>
  <w:style w:type="paragraph" w:styleId="Revision">
    <w:name w:val="Revision"/>
    <w:hidden/>
    <w:uiPriority w:val="99"/>
    <w:semiHidden/>
    <w:rsid w:val="008539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79F6"/>
    <w:pPr>
      <w:widowControl w:val="0"/>
      <w:spacing w:after="0" w:line="240" w:lineRule="auto"/>
    </w:pPr>
  </w:style>
  <w:style w:type="paragraph" w:styleId="Heading1">
    <w:name w:val="heading 1"/>
    <w:basedOn w:val="Normal"/>
    <w:next w:val="Normal"/>
    <w:link w:val="Heading1Char"/>
    <w:autoRedefine/>
    <w:uiPriority w:val="9"/>
    <w:qFormat/>
    <w:rsid w:val="009D3A5D"/>
    <w:pPr>
      <w:keepNext/>
      <w:keepLines/>
      <w:spacing w:before="120" w:after="120"/>
      <w:outlineLvl w:val="0"/>
    </w:pPr>
    <w:rPr>
      <w:rFonts w:asciiTheme="majorHAnsi" w:eastAsiaTheme="majorEastAsia" w:hAnsiTheme="majorHAnsi" w:cstheme="majorHAnsi"/>
      <w:b/>
      <w:bCs/>
      <w:sz w:val="24"/>
      <w:szCs w:val="28"/>
    </w:rPr>
  </w:style>
  <w:style w:type="paragraph" w:styleId="Heading2">
    <w:name w:val="heading 2"/>
    <w:basedOn w:val="Normal"/>
    <w:next w:val="Normal"/>
    <w:link w:val="Heading2Char1"/>
    <w:autoRedefine/>
    <w:uiPriority w:val="9"/>
    <w:unhideWhenUsed/>
    <w:qFormat/>
    <w:rsid w:val="009D3A5D"/>
    <w:pPr>
      <w:keepNext/>
      <w:keepLines/>
      <w:spacing w:before="120" w:after="120"/>
      <w:outlineLvl w:val="1"/>
    </w:pPr>
    <w:rPr>
      <w:rFonts w:asciiTheme="majorHAnsi" w:eastAsiaTheme="majorEastAsia" w:hAnsiTheme="majorHAnsi" w:cstheme="majorHAnsi"/>
      <w:b/>
      <w:bCs/>
      <w:szCs w:val="26"/>
    </w:rPr>
  </w:style>
  <w:style w:type="paragraph" w:styleId="Heading3">
    <w:name w:val="heading 3"/>
    <w:basedOn w:val="Normal"/>
    <w:next w:val="Normal"/>
    <w:link w:val="Heading3Char"/>
    <w:uiPriority w:val="9"/>
    <w:unhideWhenUsed/>
    <w:qFormat/>
    <w:rsid w:val="005179F6"/>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5179F6"/>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5179F6"/>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5179F6"/>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5179F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79F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79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A5D"/>
    <w:rPr>
      <w:rFonts w:asciiTheme="majorHAnsi" w:eastAsiaTheme="majorEastAsia" w:hAnsiTheme="majorHAnsi" w:cstheme="majorHAnsi"/>
      <w:b/>
      <w:bCs/>
      <w:sz w:val="24"/>
      <w:szCs w:val="28"/>
    </w:rPr>
  </w:style>
  <w:style w:type="character" w:customStyle="1" w:styleId="Heading2Char">
    <w:name w:val="Heading 2 Char"/>
    <w:basedOn w:val="DefaultParagraphFont"/>
    <w:uiPriority w:val="9"/>
    <w:rsid w:val="005179F6"/>
    <w:rPr>
      <w:rFonts w:asciiTheme="majorHAnsi" w:eastAsiaTheme="majorEastAsia" w:hAnsiTheme="majorHAnsi" w:cstheme="majorBidi"/>
      <w:b/>
      <w:bCs/>
      <w:sz w:val="26"/>
      <w:szCs w:val="26"/>
    </w:rPr>
  </w:style>
  <w:style w:type="paragraph" w:styleId="ListParagraph">
    <w:name w:val="List Paragraph"/>
    <w:basedOn w:val="Normal"/>
    <w:uiPriority w:val="34"/>
    <w:qFormat/>
    <w:rsid w:val="005179F6"/>
  </w:style>
  <w:style w:type="character" w:styleId="Hyperlink">
    <w:name w:val="Hyperlink"/>
    <w:basedOn w:val="DefaultParagraphFont"/>
    <w:uiPriority w:val="99"/>
    <w:unhideWhenUsed/>
    <w:rsid w:val="00A9748A"/>
    <w:rPr>
      <w:color w:val="0000FF"/>
      <w:u w:val="single"/>
    </w:rPr>
  </w:style>
  <w:style w:type="paragraph" w:customStyle="1" w:styleId="Arialheading1">
    <w:name w:val="Arial heading 1"/>
    <w:basedOn w:val="Arialheading2"/>
    <w:autoRedefine/>
    <w:uiPriority w:val="1"/>
    <w:qFormat/>
    <w:rsid w:val="005179F6"/>
    <w:pPr>
      <w:spacing w:before="120" w:after="120"/>
    </w:pPr>
    <w:rPr>
      <w:sz w:val="28"/>
      <w:szCs w:val="28"/>
      <w:lang w:val="en-GB" w:eastAsia="en-AU"/>
    </w:rPr>
  </w:style>
  <w:style w:type="paragraph" w:styleId="BodyText">
    <w:name w:val="Body Text"/>
    <w:basedOn w:val="Normal"/>
    <w:link w:val="BodyTextChar"/>
    <w:uiPriority w:val="1"/>
    <w:qFormat/>
    <w:rsid w:val="005179F6"/>
    <w:pPr>
      <w:ind w:left="680"/>
    </w:pPr>
    <w:rPr>
      <w:rFonts w:ascii="Arial" w:eastAsia="Arial" w:hAnsi="Arial"/>
      <w:sz w:val="18"/>
      <w:szCs w:val="18"/>
    </w:rPr>
  </w:style>
  <w:style w:type="character" w:customStyle="1" w:styleId="BodyTextChar">
    <w:name w:val="Body Text Char"/>
    <w:basedOn w:val="DefaultParagraphFont"/>
    <w:link w:val="BodyText"/>
    <w:uiPriority w:val="1"/>
    <w:rsid w:val="005179F6"/>
    <w:rPr>
      <w:rFonts w:ascii="Arial" w:eastAsia="Arial" w:hAnsi="Arial"/>
      <w:sz w:val="18"/>
      <w:szCs w:val="18"/>
    </w:rPr>
  </w:style>
  <w:style w:type="paragraph" w:customStyle="1" w:styleId="Body1">
    <w:name w:val="Body1"/>
    <w:basedOn w:val="Normal"/>
    <w:uiPriority w:val="99"/>
    <w:rsid w:val="00E10F41"/>
    <w:pPr>
      <w:widowControl/>
      <w:tabs>
        <w:tab w:val="left" w:pos="567"/>
        <w:tab w:val="left" w:pos="1134"/>
        <w:tab w:val="left" w:pos="1701"/>
      </w:tabs>
      <w:spacing w:before="60" w:after="120"/>
      <w:jc w:val="both"/>
    </w:pPr>
    <w:rPr>
      <w:rFonts w:ascii="Arial" w:eastAsia="Times New Roman" w:hAnsi="Arial" w:cs="Times New Roman"/>
      <w:color w:val="000000"/>
      <w:sz w:val="20"/>
      <w:szCs w:val="20"/>
      <w:lang w:val="en-GB" w:eastAsia="en-AU"/>
    </w:rPr>
  </w:style>
  <w:style w:type="paragraph" w:customStyle="1" w:styleId="DefaultIndent">
    <w:name w:val="Default Indent"/>
    <w:basedOn w:val="Normal"/>
    <w:uiPriority w:val="99"/>
    <w:rsid w:val="00E10F41"/>
    <w:pPr>
      <w:widowControl/>
      <w:tabs>
        <w:tab w:val="left" w:pos="5103"/>
      </w:tabs>
      <w:spacing w:before="60" w:after="120"/>
      <w:ind w:left="720"/>
      <w:jc w:val="both"/>
    </w:pPr>
    <w:rPr>
      <w:rFonts w:ascii="Arial" w:eastAsia="Times New Roman" w:hAnsi="Arial" w:cs="Times New Roman"/>
      <w:szCs w:val="20"/>
      <w:lang w:val="en-GB" w:eastAsia="en-AU"/>
    </w:rPr>
  </w:style>
  <w:style w:type="table" w:styleId="TableGrid">
    <w:name w:val="Table Grid"/>
    <w:basedOn w:val="TableNormal"/>
    <w:uiPriority w:val="59"/>
    <w:rsid w:val="00E1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394"/>
    <w:rPr>
      <w:rFonts w:ascii="Tahoma" w:hAnsi="Tahoma" w:cs="Tahoma"/>
      <w:sz w:val="16"/>
      <w:szCs w:val="16"/>
    </w:rPr>
  </w:style>
  <w:style w:type="character" w:customStyle="1" w:styleId="BalloonTextChar">
    <w:name w:val="Balloon Text Char"/>
    <w:basedOn w:val="DefaultParagraphFont"/>
    <w:link w:val="BalloonText"/>
    <w:uiPriority w:val="99"/>
    <w:semiHidden/>
    <w:rsid w:val="001F4394"/>
    <w:rPr>
      <w:rFonts w:ascii="Tahoma" w:hAnsi="Tahoma" w:cs="Tahoma"/>
      <w:sz w:val="16"/>
      <w:szCs w:val="16"/>
    </w:rPr>
  </w:style>
  <w:style w:type="character" w:styleId="Emphasis">
    <w:name w:val="Emphasis"/>
    <w:basedOn w:val="DefaultParagraphFont"/>
    <w:uiPriority w:val="20"/>
    <w:qFormat/>
    <w:rsid w:val="005179F6"/>
    <w:rPr>
      <w:i/>
      <w:iCs/>
    </w:rPr>
  </w:style>
  <w:style w:type="character" w:styleId="HTMLCite">
    <w:name w:val="HTML Cite"/>
    <w:basedOn w:val="DefaultParagraphFont"/>
    <w:uiPriority w:val="99"/>
    <w:semiHidden/>
    <w:unhideWhenUsed/>
    <w:rsid w:val="000B2EAC"/>
    <w:rPr>
      <w:i/>
      <w:iCs/>
    </w:rPr>
  </w:style>
  <w:style w:type="character" w:customStyle="1" w:styleId="cit-auth2">
    <w:name w:val="cit-auth2"/>
    <w:basedOn w:val="DefaultParagraphFont"/>
    <w:rsid w:val="000B2EAC"/>
  </w:style>
  <w:style w:type="character" w:customStyle="1" w:styleId="cit-name-surname">
    <w:name w:val="cit-name-surname"/>
    <w:basedOn w:val="DefaultParagraphFont"/>
    <w:rsid w:val="000B2EAC"/>
  </w:style>
  <w:style w:type="character" w:customStyle="1" w:styleId="cit-name-given-names">
    <w:name w:val="cit-name-given-names"/>
    <w:basedOn w:val="DefaultParagraphFont"/>
    <w:rsid w:val="000B2EAC"/>
  </w:style>
  <w:style w:type="character" w:customStyle="1" w:styleId="cit-etal">
    <w:name w:val="cit-etal"/>
    <w:basedOn w:val="DefaultParagraphFont"/>
    <w:rsid w:val="000B2EAC"/>
  </w:style>
  <w:style w:type="character" w:customStyle="1" w:styleId="cit-pub-date2">
    <w:name w:val="cit-pub-date2"/>
    <w:basedOn w:val="DefaultParagraphFont"/>
    <w:rsid w:val="000B2EAC"/>
  </w:style>
  <w:style w:type="character" w:customStyle="1" w:styleId="cit-article-title">
    <w:name w:val="cit-article-title"/>
    <w:basedOn w:val="DefaultParagraphFont"/>
    <w:rsid w:val="000B2EAC"/>
  </w:style>
  <w:style w:type="character" w:customStyle="1" w:styleId="cit-vol4">
    <w:name w:val="cit-vol4"/>
    <w:basedOn w:val="DefaultParagraphFont"/>
    <w:rsid w:val="000B2EAC"/>
  </w:style>
  <w:style w:type="character" w:customStyle="1" w:styleId="cit-issue">
    <w:name w:val="cit-issue"/>
    <w:basedOn w:val="DefaultParagraphFont"/>
    <w:rsid w:val="000B2EAC"/>
  </w:style>
  <w:style w:type="character" w:customStyle="1" w:styleId="cit-fpage">
    <w:name w:val="cit-fpage"/>
    <w:basedOn w:val="DefaultParagraphFont"/>
    <w:rsid w:val="000B2EAC"/>
  </w:style>
  <w:style w:type="character" w:customStyle="1" w:styleId="cit-lpage">
    <w:name w:val="cit-lpage"/>
    <w:basedOn w:val="DefaultParagraphFont"/>
    <w:rsid w:val="000B2EAC"/>
  </w:style>
  <w:style w:type="character" w:styleId="CommentReference">
    <w:name w:val="annotation reference"/>
    <w:basedOn w:val="DefaultParagraphFont"/>
    <w:uiPriority w:val="99"/>
    <w:semiHidden/>
    <w:unhideWhenUsed/>
    <w:rsid w:val="00A55EAD"/>
    <w:rPr>
      <w:sz w:val="16"/>
      <w:szCs w:val="16"/>
    </w:rPr>
  </w:style>
  <w:style w:type="paragraph" w:styleId="CommentText">
    <w:name w:val="annotation text"/>
    <w:basedOn w:val="Normal"/>
    <w:link w:val="CommentTextChar"/>
    <w:uiPriority w:val="99"/>
    <w:unhideWhenUsed/>
    <w:rsid w:val="00A55EAD"/>
    <w:rPr>
      <w:sz w:val="20"/>
      <w:szCs w:val="20"/>
    </w:rPr>
  </w:style>
  <w:style w:type="character" w:customStyle="1" w:styleId="CommentTextChar">
    <w:name w:val="Comment Text Char"/>
    <w:basedOn w:val="DefaultParagraphFont"/>
    <w:link w:val="CommentText"/>
    <w:uiPriority w:val="99"/>
    <w:rsid w:val="00A55EAD"/>
    <w:rPr>
      <w:sz w:val="20"/>
      <w:szCs w:val="20"/>
    </w:rPr>
  </w:style>
  <w:style w:type="paragraph" w:styleId="CommentSubject">
    <w:name w:val="annotation subject"/>
    <w:basedOn w:val="CommentText"/>
    <w:next w:val="CommentText"/>
    <w:link w:val="CommentSubjectChar"/>
    <w:uiPriority w:val="99"/>
    <w:semiHidden/>
    <w:unhideWhenUsed/>
    <w:rsid w:val="00A55EAD"/>
    <w:rPr>
      <w:b/>
      <w:bCs/>
    </w:rPr>
  </w:style>
  <w:style w:type="character" w:customStyle="1" w:styleId="CommentSubjectChar">
    <w:name w:val="Comment Subject Char"/>
    <w:basedOn w:val="CommentTextChar"/>
    <w:link w:val="CommentSubject"/>
    <w:uiPriority w:val="99"/>
    <w:semiHidden/>
    <w:rsid w:val="00A55EAD"/>
    <w:rPr>
      <w:b/>
      <w:bCs/>
      <w:sz w:val="20"/>
      <w:szCs w:val="20"/>
    </w:rPr>
  </w:style>
  <w:style w:type="character" w:customStyle="1" w:styleId="citation-publication-date">
    <w:name w:val="citation-publication-date"/>
    <w:basedOn w:val="DefaultParagraphFont"/>
    <w:rsid w:val="009A7F46"/>
  </w:style>
  <w:style w:type="character" w:customStyle="1" w:styleId="doi1">
    <w:name w:val="doi1"/>
    <w:basedOn w:val="DefaultParagraphFont"/>
    <w:rsid w:val="009A7F46"/>
  </w:style>
  <w:style w:type="character" w:customStyle="1" w:styleId="ref-journal">
    <w:name w:val="ref-journal"/>
    <w:basedOn w:val="DefaultParagraphFont"/>
    <w:rsid w:val="00043F66"/>
  </w:style>
  <w:style w:type="character" w:customStyle="1" w:styleId="ref-vol">
    <w:name w:val="ref-vol"/>
    <w:basedOn w:val="DefaultParagraphFont"/>
    <w:rsid w:val="00043F66"/>
  </w:style>
  <w:style w:type="paragraph" w:customStyle="1" w:styleId="TableParagraph">
    <w:name w:val="Table Paragraph"/>
    <w:basedOn w:val="Normal"/>
    <w:uiPriority w:val="1"/>
    <w:qFormat/>
    <w:rsid w:val="005179F6"/>
    <w:rPr>
      <w:lang w:val="en-US"/>
    </w:rPr>
  </w:style>
  <w:style w:type="paragraph" w:customStyle="1" w:styleId="Arialheadinglarge">
    <w:name w:val="Arial heading large"/>
    <w:basedOn w:val="Arialheading1"/>
    <w:autoRedefine/>
    <w:uiPriority w:val="1"/>
    <w:rsid w:val="00701B53"/>
    <w:rPr>
      <w:szCs w:val="24"/>
    </w:rPr>
  </w:style>
  <w:style w:type="character" w:styleId="FollowedHyperlink">
    <w:name w:val="FollowedHyperlink"/>
    <w:basedOn w:val="DefaultParagraphFont"/>
    <w:uiPriority w:val="99"/>
    <w:semiHidden/>
    <w:unhideWhenUsed/>
    <w:rsid w:val="000D350F"/>
    <w:rPr>
      <w:color w:val="919191" w:themeColor="followedHyperlink"/>
      <w:u w:val="single"/>
    </w:rPr>
  </w:style>
  <w:style w:type="character" w:customStyle="1" w:styleId="Heading3Char">
    <w:name w:val="Heading 3 Char"/>
    <w:basedOn w:val="DefaultParagraphFont"/>
    <w:link w:val="Heading3"/>
    <w:uiPriority w:val="9"/>
    <w:rsid w:val="005179F6"/>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5179F6"/>
    <w:rPr>
      <w:rFonts w:asciiTheme="majorHAnsi" w:eastAsiaTheme="majorEastAsia" w:hAnsiTheme="majorHAnsi" w:cstheme="majorBidi"/>
      <w:b/>
      <w:bCs/>
      <w:i/>
      <w:iCs/>
      <w:color w:val="DDDDDD" w:themeColor="accent1"/>
    </w:rPr>
  </w:style>
  <w:style w:type="paragraph" w:styleId="TOC1">
    <w:name w:val="toc 1"/>
    <w:basedOn w:val="Normal"/>
    <w:next w:val="Normal"/>
    <w:autoRedefine/>
    <w:uiPriority w:val="39"/>
    <w:unhideWhenUsed/>
    <w:qFormat/>
    <w:rsid w:val="00DE3603"/>
    <w:pPr>
      <w:tabs>
        <w:tab w:val="right" w:leader="dot" w:pos="9639"/>
      </w:tabs>
      <w:spacing w:after="100"/>
    </w:pPr>
  </w:style>
  <w:style w:type="paragraph" w:styleId="TOC2">
    <w:name w:val="toc 2"/>
    <w:basedOn w:val="Normal"/>
    <w:next w:val="Normal"/>
    <w:autoRedefine/>
    <w:uiPriority w:val="39"/>
    <w:unhideWhenUsed/>
    <w:qFormat/>
    <w:rsid w:val="005179F6"/>
    <w:pPr>
      <w:spacing w:after="100"/>
      <w:ind w:left="220"/>
    </w:pPr>
  </w:style>
  <w:style w:type="paragraph" w:styleId="Header">
    <w:name w:val="header"/>
    <w:basedOn w:val="Normal"/>
    <w:link w:val="HeaderChar"/>
    <w:uiPriority w:val="99"/>
    <w:unhideWhenUsed/>
    <w:rsid w:val="00F74586"/>
    <w:pPr>
      <w:tabs>
        <w:tab w:val="center" w:pos="4513"/>
        <w:tab w:val="right" w:pos="9026"/>
      </w:tabs>
    </w:pPr>
  </w:style>
  <w:style w:type="character" w:customStyle="1" w:styleId="HeaderChar">
    <w:name w:val="Header Char"/>
    <w:basedOn w:val="DefaultParagraphFont"/>
    <w:link w:val="Header"/>
    <w:uiPriority w:val="99"/>
    <w:rsid w:val="00F74586"/>
  </w:style>
  <w:style w:type="paragraph" w:styleId="Footer">
    <w:name w:val="footer"/>
    <w:basedOn w:val="Normal"/>
    <w:link w:val="FooterChar"/>
    <w:uiPriority w:val="99"/>
    <w:unhideWhenUsed/>
    <w:rsid w:val="00F74586"/>
    <w:pPr>
      <w:tabs>
        <w:tab w:val="center" w:pos="4513"/>
        <w:tab w:val="right" w:pos="9026"/>
      </w:tabs>
    </w:pPr>
  </w:style>
  <w:style w:type="character" w:customStyle="1" w:styleId="FooterChar">
    <w:name w:val="Footer Char"/>
    <w:basedOn w:val="DefaultParagraphFont"/>
    <w:link w:val="Footer"/>
    <w:uiPriority w:val="99"/>
    <w:rsid w:val="00F74586"/>
  </w:style>
  <w:style w:type="paragraph" w:customStyle="1" w:styleId="Pa26">
    <w:name w:val="Pa26"/>
    <w:basedOn w:val="Normal"/>
    <w:next w:val="Normal"/>
    <w:uiPriority w:val="99"/>
    <w:rsid w:val="00C866BA"/>
    <w:pPr>
      <w:widowControl/>
      <w:autoSpaceDE w:val="0"/>
      <w:autoSpaceDN w:val="0"/>
      <w:adjustRightInd w:val="0"/>
      <w:spacing w:line="181" w:lineRule="atLeast"/>
    </w:pPr>
    <w:rPr>
      <w:rFonts w:ascii="TitilliumText22L Lt" w:hAnsi="TitilliumText22L Lt"/>
      <w:sz w:val="24"/>
      <w:szCs w:val="24"/>
    </w:rPr>
  </w:style>
  <w:style w:type="paragraph" w:styleId="EndnoteText">
    <w:name w:val="endnote text"/>
    <w:basedOn w:val="Normal"/>
    <w:link w:val="EndnoteTextChar"/>
    <w:uiPriority w:val="99"/>
    <w:semiHidden/>
    <w:unhideWhenUsed/>
    <w:rsid w:val="009D7E40"/>
    <w:rPr>
      <w:sz w:val="20"/>
      <w:szCs w:val="20"/>
    </w:rPr>
  </w:style>
  <w:style w:type="character" w:customStyle="1" w:styleId="EndnoteTextChar">
    <w:name w:val="Endnote Text Char"/>
    <w:basedOn w:val="DefaultParagraphFont"/>
    <w:link w:val="EndnoteText"/>
    <w:uiPriority w:val="99"/>
    <w:semiHidden/>
    <w:rsid w:val="009D7E40"/>
    <w:rPr>
      <w:sz w:val="20"/>
      <w:szCs w:val="20"/>
    </w:rPr>
  </w:style>
  <w:style w:type="character" w:styleId="EndnoteReference">
    <w:name w:val="endnote reference"/>
    <w:basedOn w:val="DefaultParagraphFont"/>
    <w:uiPriority w:val="99"/>
    <w:semiHidden/>
    <w:unhideWhenUsed/>
    <w:rsid w:val="009D7E40"/>
    <w:rPr>
      <w:vertAlign w:val="superscript"/>
    </w:rPr>
  </w:style>
  <w:style w:type="paragraph" w:styleId="FootnoteText">
    <w:name w:val="footnote text"/>
    <w:basedOn w:val="Normal"/>
    <w:link w:val="FootnoteTextChar"/>
    <w:uiPriority w:val="99"/>
    <w:semiHidden/>
    <w:unhideWhenUsed/>
    <w:rsid w:val="009D7E40"/>
    <w:rPr>
      <w:sz w:val="20"/>
      <w:szCs w:val="20"/>
    </w:rPr>
  </w:style>
  <w:style w:type="character" w:customStyle="1" w:styleId="FootnoteTextChar">
    <w:name w:val="Footnote Text Char"/>
    <w:basedOn w:val="DefaultParagraphFont"/>
    <w:link w:val="FootnoteText"/>
    <w:uiPriority w:val="99"/>
    <w:semiHidden/>
    <w:rsid w:val="009D7E40"/>
    <w:rPr>
      <w:sz w:val="20"/>
      <w:szCs w:val="20"/>
    </w:rPr>
  </w:style>
  <w:style w:type="character" w:styleId="FootnoteReference">
    <w:name w:val="footnote reference"/>
    <w:basedOn w:val="DefaultParagraphFont"/>
    <w:uiPriority w:val="99"/>
    <w:semiHidden/>
    <w:unhideWhenUsed/>
    <w:rsid w:val="009D7E40"/>
    <w:rPr>
      <w:vertAlign w:val="superscript"/>
    </w:rPr>
  </w:style>
  <w:style w:type="table" w:styleId="LightShading">
    <w:name w:val="Light Shading"/>
    <w:basedOn w:val="TableNormal"/>
    <w:uiPriority w:val="60"/>
    <w:rsid w:val="00BD0B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9C0295"/>
    <w:pPr>
      <w:spacing w:after="0" w:line="240" w:lineRule="auto"/>
    </w:pPr>
    <w:tblPr/>
  </w:style>
  <w:style w:type="character" w:customStyle="1" w:styleId="Heading5Char">
    <w:name w:val="Heading 5 Char"/>
    <w:basedOn w:val="DefaultParagraphFont"/>
    <w:link w:val="Heading5"/>
    <w:uiPriority w:val="9"/>
    <w:semiHidden/>
    <w:rsid w:val="005179F6"/>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5179F6"/>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5179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79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79F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179F6"/>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179F6"/>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5179F6"/>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5179F6"/>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22"/>
    <w:qFormat/>
    <w:rsid w:val="005179F6"/>
    <w:rPr>
      <w:b/>
      <w:bCs/>
    </w:rPr>
  </w:style>
  <w:style w:type="paragraph" w:styleId="NoSpacing">
    <w:name w:val="No Spacing"/>
    <w:basedOn w:val="Normal"/>
    <w:uiPriority w:val="1"/>
    <w:qFormat/>
    <w:rsid w:val="005179F6"/>
  </w:style>
  <w:style w:type="paragraph" w:styleId="Quote">
    <w:name w:val="Quote"/>
    <w:basedOn w:val="Normal"/>
    <w:next w:val="Normal"/>
    <w:link w:val="QuoteChar"/>
    <w:uiPriority w:val="29"/>
    <w:qFormat/>
    <w:rsid w:val="005179F6"/>
    <w:rPr>
      <w:i/>
      <w:iCs/>
      <w:color w:val="000000" w:themeColor="text1"/>
    </w:rPr>
  </w:style>
  <w:style w:type="character" w:customStyle="1" w:styleId="QuoteChar">
    <w:name w:val="Quote Char"/>
    <w:basedOn w:val="DefaultParagraphFont"/>
    <w:link w:val="Quote"/>
    <w:uiPriority w:val="29"/>
    <w:rsid w:val="005179F6"/>
    <w:rPr>
      <w:i/>
      <w:iCs/>
      <w:color w:val="000000" w:themeColor="text1"/>
    </w:rPr>
  </w:style>
  <w:style w:type="paragraph" w:styleId="IntenseQuote">
    <w:name w:val="Intense Quote"/>
    <w:basedOn w:val="Normal"/>
    <w:next w:val="Normal"/>
    <w:link w:val="IntenseQuoteChar"/>
    <w:uiPriority w:val="30"/>
    <w:qFormat/>
    <w:rsid w:val="005179F6"/>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5179F6"/>
    <w:rPr>
      <w:b/>
      <w:bCs/>
      <w:i/>
      <w:iCs/>
      <w:color w:val="DDDDDD" w:themeColor="accent1"/>
    </w:rPr>
  </w:style>
  <w:style w:type="character" w:styleId="SubtleEmphasis">
    <w:name w:val="Subtle Emphasis"/>
    <w:uiPriority w:val="19"/>
    <w:qFormat/>
    <w:rsid w:val="005179F6"/>
    <w:rPr>
      <w:i/>
      <w:iCs/>
      <w:color w:val="808080" w:themeColor="text1" w:themeTint="7F"/>
    </w:rPr>
  </w:style>
  <w:style w:type="character" w:styleId="IntenseEmphasis">
    <w:name w:val="Intense Emphasis"/>
    <w:uiPriority w:val="21"/>
    <w:qFormat/>
    <w:rsid w:val="005179F6"/>
    <w:rPr>
      <w:b/>
      <w:bCs/>
      <w:i/>
      <w:iCs/>
      <w:color w:val="DDDDDD" w:themeColor="accent1"/>
    </w:rPr>
  </w:style>
  <w:style w:type="character" w:styleId="SubtleReference">
    <w:name w:val="Subtle Reference"/>
    <w:uiPriority w:val="31"/>
    <w:qFormat/>
    <w:rsid w:val="005179F6"/>
    <w:rPr>
      <w:smallCaps/>
      <w:color w:val="B2B2B2" w:themeColor="accent2"/>
      <w:u w:val="single"/>
    </w:rPr>
  </w:style>
  <w:style w:type="character" w:styleId="IntenseReference">
    <w:name w:val="Intense Reference"/>
    <w:uiPriority w:val="32"/>
    <w:qFormat/>
    <w:rsid w:val="005179F6"/>
    <w:rPr>
      <w:b/>
      <w:bCs/>
      <w:smallCaps/>
      <w:color w:val="B2B2B2" w:themeColor="accent2"/>
      <w:spacing w:val="5"/>
      <w:u w:val="single"/>
    </w:rPr>
  </w:style>
  <w:style w:type="character" w:styleId="BookTitle">
    <w:name w:val="Book Title"/>
    <w:uiPriority w:val="33"/>
    <w:qFormat/>
    <w:rsid w:val="005179F6"/>
    <w:rPr>
      <w:b/>
      <w:bCs/>
      <w:smallCaps/>
      <w:spacing w:val="5"/>
    </w:rPr>
  </w:style>
  <w:style w:type="paragraph" w:styleId="TOCHeading">
    <w:name w:val="TOC Heading"/>
    <w:basedOn w:val="Heading1"/>
    <w:next w:val="Normal"/>
    <w:uiPriority w:val="39"/>
    <w:unhideWhenUsed/>
    <w:qFormat/>
    <w:rsid w:val="005179F6"/>
    <w:pPr>
      <w:widowControl/>
      <w:spacing w:line="276" w:lineRule="auto"/>
      <w:outlineLvl w:val="9"/>
    </w:pPr>
    <w:rPr>
      <w:lang w:val="en-US" w:eastAsia="ja-JP"/>
    </w:rPr>
  </w:style>
  <w:style w:type="paragraph" w:styleId="Caption">
    <w:name w:val="caption"/>
    <w:basedOn w:val="Normal"/>
    <w:next w:val="Normal"/>
    <w:uiPriority w:val="35"/>
    <w:semiHidden/>
    <w:unhideWhenUsed/>
    <w:qFormat/>
    <w:rsid w:val="005179F6"/>
    <w:pPr>
      <w:spacing w:after="200"/>
    </w:pPr>
    <w:rPr>
      <w:b/>
      <w:bCs/>
      <w:color w:val="DDDDDD" w:themeColor="accent1"/>
      <w:sz w:val="18"/>
      <w:szCs w:val="18"/>
    </w:rPr>
  </w:style>
  <w:style w:type="paragraph" w:customStyle="1" w:styleId="Arialheading2">
    <w:name w:val="Arial heading 2"/>
    <w:basedOn w:val="Normal"/>
    <w:uiPriority w:val="1"/>
    <w:qFormat/>
    <w:rsid w:val="005179F6"/>
    <w:rPr>
      <w:rFonts w:ascii="Arial" w:hAnsi="Arial" w:cs="Arial"/>
      <w:b/>
      <w:sz w:val="24"/>
    </w:rPr>
  </w:style>
  <w:style w:type="character" w:customStyle="1" w:styleId="Heading2Char1">
    <w:name w:val="Heading 2 Char1"/>
    <w:basedOn w:val="DefaultParagraphFont"/>
    <w:link w:val="Heading2"/>
    <w:uiPriority w:val="9"/>
    <w:rsid w:val="009D3A5D"/>
    <w:rPr>
      <w:rFonts w:asciiTheme="majorHAnsi" w:eastAsiaTheme="majorEastAsia" w:hAnsiTheme="majorHAnsi" w:cstheme="majorHAnsi"/>
      <w:b/>
      <w:bCs/>
      <w:szCs w:val="26"/>
    </w:rPr>
  </w:style>
  <w:style w:type="paragraph" w:styleId="TOC3">
    <w:name w:val="toc 3"/>
    <w:basedOn w:val="Normal"/>
    <w:next w:val="Normal"/>
    <w:autoRedefine/>
    <w:uiPriority w:val="39"/>
    <w:unhideWhenUsed/>
    <w:qFormat/>
    <w:rsid w:val="005179F6"/>
    <w:pPr>
      <w:spacing w:after="100"/>
      <w:ind w:left="440"/>
    </w:pPr>
  </w:style>
  <w:style w:type="table" w:customStyle="1" w:styleId="TableGrid1">
    <w:name w:val="Table Grid1"/>
    <w:basedOn w:val="TableNormal"/>
    <w:next w:val="TableGrid"/>
    <w:uiPriority w:val="59"/>
    <w:rsid w:val="006E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D5363"/>
    <w:pPr>
      <w:widowControl/>
    </w:pPr>
    <w:rPr>
      <w:rFonts w:ascii="Consolas" w:hAnsi="Consolas" w:cs="Consolas"/>
      <w:sz w:val="21"/>
      <w:szCs w:val="21"/>
      <w:lang w:eastAsia="en-AU"/>
    </w:rPr>
  </w:style>
  <w:style w:type="character" w:customStyle="1" w:styleId="PlainTextChar">
    <w:name w:val="Plain Text Char"/>
    <w:basedOn w:val="DefaultParagraphFont"/>
    <w:link w:val="PlainText"/>
    <w:uiPriority w:val="99"/>
    <w:rsid w:val="00ED5363"/>
    <w:rPr>
      <w:rFonts w:ascii="Consolas" w:hAnsi="Consolas" w:cs="Consolas"/>
      <w:sz w:val="21"/>
      <w:szCs w:val="21"/>
      <w:lang w:eastAsia="en-AU"/>
    </w:rPr>
  </w:style>
  <w:style w:type="paragraph" w:styleId="Revision">
    <w:name w:val="Revision"/>
    <w:hidden/>
    <w:uiPriority w:val="99"/>
    <w:semiHidden/>
    <w:rsid w:val="00853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4526">
      <w:bodyDiv w:val="1"/>
      <w:marLeft w:val="0"/>
      <w:marRight w:val="0"/>
      <w:marTop w:val="0"/>
      <w:marBottom w:val="0"/>
      <w:divBdr>
        <w:top w:val="none" w:sz="0" w:space="0" w:color="auto"/>
        <w:left w:val="none" w:sz="0" w:space="0" w:color="auto"/>
        <w:bottom w:val="none" w:sz="0" w:space="0" w:color="auto"/>
        <w:right w:val="none" w:sz="0" w:space="0" w:color="auto"/>
      </w:divBdr>
    </w:div>
    <w:div w:id="201788193">
      <w:bodyDiv w:val="1"/>
      <w:marLeft w:val="0"/>
      <w:marRight w:val="0"/>
      <w:marTop w:val="0"/>
      <w:marBottom w:val="0"/>
      <w:divBdr>
        <w:top w:val="none" w:sz="0" w:space="0" w:color="auto"/>
        <w:left w:val="none" w:sz="0" w:space="0" w:color="auto"/>
        <w:bottom w:val="none" w:sz="0" w:space="0" w:color="auto"/>
        <w:right w:val="none" w:sz="0" w:space="0" w:color="auto"/>
      </w:divBdr>
    </w:div>
    <w:div w:id="255022630">
      <w:bodyDiv w:val="1"/>
      <w:marLeft w:val="0"/>
      <w:marRight w:val="0"/>
      <w:marTop w:val="0"/>
      <w:marBottom w:val="0"/>
      <w:divBdr>
        <w:top w:val="none" w:sz="0" w:space="0" w:color="auto"/>
        <w:left w:val="none" w:sz="0" w:space="0" w:color="auto"/>
        <w:bottom w:val="none" w:sz="0" w:space="0" w:color="auto"/>
        <w:right w:val="none" w:sz="0" w:space="0" w:color="auto"/>
      </w:divBdr>
      <w:divsChild>
        <w:div w:id="1774545838">
          <w:marLeft w:val="0"/>
          <w:marRight w:val="0"/>
          <w:marTop w:val="0"/>
          <w:marBottom w:val="0"/>
          <w:divBdr>
            <w:top w:val="none" w:sz="0" w:space="0" w:color="auto"/>
            <w:left w:val="none" w:sz="0" w:space="0" w:color="auto"/>
            <w:bottom w:val="none" w:sz="0" w:space="0" w:color="auto"/>
            <w:right w:val="none" w:sz="0" w:space="0" w:color="auto"/>
          </w:divBdr>
          <w:divsChild>
            <w:div w:id="143357656">
              <w:marLeft w:val="0"/>
              <w:marRight w:val="0"/>
              <w:marTop w:val="0"/>
              <w:marBottom w:val="0"/>
              <w:divBdr>
                <w:top w:val="none" w:sz="0" w:space="0" w:color="auto"/>
                <w:left w:val="none" w:sz="0" w:space="0" w:color="auto"/>
                <w:bottom w:val="none" w:sz="0" w:space="0" w:color="auto"/>
                <w:right w:val="none" w:sz="0" w:space="0" w:color="auto"/>
              </w:divBdr>
              <w:divsChild>
                <w:div w:id="1825779866">
                  <w:marLeft w:val="0"/>
                  <w:marRight w:val="0"/>
                  <w:marTop w:val="0"/>
                  <w:marBottom w:val="0"/>
                  <w:divBdr>
                    <w:top w:val="none" w:sz="0" w:space="0" w:color="auto"/>
                    <w:left w:val="none" w:sz="0" w:space="0" w:color="auto"/>
                    <w:bottom w:val="none" w:sz="0" w:space="0" w:color="auto"/>
                    <w:right w:val="none" w:sz="0" w:space="0" w:color="auto"/>
                  </w:divBdr>
                  <w:divsChild>
                    <w:div w:id="710617050">
                      <w:marLeft w:val="0"/>
                      <w:marRight w:val="0"/>
                      <w:marTop w:val="0"/>
                      <w:marBottom w:val="0"/>
                      <w:divBdr>
                        <w:top w:val="none" w:sz="0" w:space="0" w:color="auto"/>
                        <w:left w:val="none" w:sz="0" w:space="0" w:color="auto"/>
                        <w:bottom w:val="none" w:sz="0" w:space="0" w:color="auto"/>
                        <w:right w:val="none" w:sz="0" w:space="0" w:color="auto"/>
                      </w:divBdr>
                      <w:divsChild>
                        <w:div w:id="1713378186">
                          <w:marLeft w:val="0"/>
                          <w:marRight w:val="0"/>
                          <w:marTop w:val="0"/>
                          <w:marBottom w:val="0"/>
                          <w:divBdr>
                            <w:top w:val="none" w:sz="0" w:space="0" w:color="auto"/>
                            <w:left w:val="none" w:sz="0" w:space="0" w:color="auto"/>
                            <w:bottom w:val="none" w:sz="0" w:space="0" w:color="auto"/>
                            <w:right w:val="none" w:sz="0" w:space="0" w:color="auto"/>
                          </w:divBdr>
                          <w:divsChild>
                            <w:div w:id="1185746067">
                              <w:marLeft w:val="0"/>
                              <w:marRight w:val="0"/>
                              <w:marTop w:val="0"/>
                              <w:marBottom w:val="0"/>
                              <w:divBdr>
                                <w:top w:val="none" w:sz="0" w:space="0" w:color="auto"/>
                                <w:left w:val="none" w:sz="0" w:space="0" w:color="auto"/>
                                <w:bottom w:val="none" w:sz="0" w:space="0" w:color="auto"/>
                                <w:right w:val="none" w:sz="0" w:space="0" w:color="auto"/>
                              </w:divBdr>
                              <w:divsChild>
                                <w:div w:id="985815925">
                                  <w:marLeft w:val="0"/>
                                  <w:marRight w:val="0"/>
                                  <w:marTop w:val="0"/>
                                  <w:marBottom w:val="0"/>
                                  <w:divBdr>
                                    <w:top w:val="none" w:sz="0" w:space="0" w:color="auto"/>
                                    <w:left w:val="none" w:sz="0" w:space="0" w:color="auto"/>
                                    <w:bottom w:val="none" w:sz="0" w:space="0" w:color="auto"/>
                                    <w:right w:val="none" w:sz="0" w:space="0" w:color="auto"/>
                                  </w:divBdr>
                                  <w:divsChild>
                                    <w:div w:id="311107471">
                                      <w:marLeft w:val="0"/>
                                      <w:marRight w:val="0"/>
                                      <w:marTop w:val="0"/>
                                      <w:marBottom w:val="0"/>
                                      <w:divBdr>
                                        <w:top w:val="none" w:sz="0" w:space="0" w:color="auto"/>
                                        <w:left w:val="none" w:sz="0" w:space="0" w:color="auto"/>
                                        <w:bottom w:val="none" w:sz="0" w:space="0" w:color="auto"/>
                                        <w:right w:val="none" w:sz="0" w:space="0" w:color="auto"/>
                                      </w:divBdr>
                                      <w:divsChild>
                                        <w:div w:id="52001648">
                                          <w:marLeft w:val="0"/>
                                          <w:marRight w:val="0"/>
                                          <w:marTop w:val="0"/>
                                          <w:marBottom w:val="0"/>
                                          <w:divBdr>
                                            <w:top w:val="none" w:sz="0" w:space="0" w:color="auto"/>
                                            <w:left w:val="none" w:sz="0" w:space="0" w:color="auto"/>
                                            <w:bottom w:val="none" w:sz="0" w:space="0" w:color="auto"/>
                                            <w:right w:val="none" w:sz="0" w:space="0" w:color="auto"/>
                                          </w:divBdr>
                                          <w:divsChild>
                                            <w:div w:id="290406887">
                                              <w:marLeft w:val="0"/>
                                              <w:marRight w:val="0"/>
                                              <w:marTop w:val="0"/>
                                              <w:marBottom w:val="0"/>
                                              <w:divBdr>
                                                <w:top w:val="none" w:sz="0" w:space="0" w:color="auto"/>
                                                <w:left w:val="none" w:sz="0" w:space="0" w:color="auto"/>
                                                <w:bottom w:val="none" w:sz="0" w:space="0" w:color="auto"/>
                                                <w:right w:val="none" w:sz="0" w:space="0" w:color="auto"/>
                                              </w:divBdr>
                                            </w:div>
                                            <w:div w:id="1748304132">
                                              <w:marLeft w:val="0"/>
                                              <w:marRight w:val="0"/>
                                              <w:marTop w:val="0"/>
                                              <w:marBottom w:val="0"/>
                                              <w:divBdr>
                                                <w:top w:val="none" w:sz="0" w:space="0" w:color="auto"/>
                                                <w:left w:val="none" w:sz="0" w:space="0" w:color="auto"/>
                                                <w:bottom w:val="none" w:sz="0" w:space="0" w:color="auto"/>
                                                <w:right w:val="none" w:sz="0" w:space="0" w:color="auto"/>
                                              </w:divBdr>
                                              <w:divsChild>
                                                <w:div w:id="1690179259">
                                                  <w:marLeft w:val="0"/>
                                                  <w:marRight w:val="0"/>
                                                  <w:marTop w:val="0"/>
                                                  <w:marBottom w:val="0"/>
                                                  <w:divBdr>
                                                    <w:top w:val="none" w:sz="0" w:space="0" w:color="auto"/>
                                                    <w:left w:val="none" w:sz="0" w:space="0" w:color="auto"/>
                                                    <w:bottom w:val="none" w:sz="0" w:space="0" w:color="auto"/>
                                                    <w:right w:val="none" w:sz="0" w:space="0" w:color="auto"/>
                                                  </w:divBdr>
                                                </w:div>
                                                <w:div w:id="4712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039446">
      <w:bodyDiv w:val="1"/>
      <w:marLeft w:val="0"/>
      <w:marRight w:val="0"/>
      <w:marTop w:val="0"/>
      <w:marBottom w:val="0"/>
      <w:divBdr>
        <w:top w:val="none" w:sz="0" w:space="0" w:color="auto"/>
        <w:left w:val="none" w:sz="0" w:space="0" w:color="auto"/>
        <w:bottom w:val="none" w:sz="0" w:space="0" w:color="auto"/>
        <w:right w:val="none" w:sz="0" w:space="0" w:color="auto"/>
      </w:divBdr>
      <w:divsChild>
        <w:div w:id="1570577942">
          <w:marLeft w:val="0"/>
          <w:marRight w:val="1"/>
          <w:marTop w:val="0"/>
          <w:marBottom w:val="0"/>
          <w:divBdr>
            <w:top w:val="none" w:sz="0" w:space="0" w:color="auto"/>
            <w:left w:val="none" w:sz="0" w:space="0" w:color="auto"/>
            <w:bottom w:val="none" w:sz="0" w:space="0" w:color="auto"/>
            <w:right w:val="none" w:sz="0" w:space="0" w:color="auto"/>
          </w:divBdr>
          <w:divsChild>
            <w:div w:id="767701061">
              <w:marLeft w:val="0"/>
              <w:marRight w:val="0"/>
              <w:marTop w:val="0"/>
              <w:marBottom w:val="0"/>
              <w:divBdr>
                <w:top w:val="none" w:sz="0" w:space="0" w:color="auto"/>
                <w:left w:val="none" w:sz="0" w:space="0" w:color="auto"/>
                <w:bottom w:val="none" w:sz="0" w:space="0" w:color="auto"/>
                <w:right w:val="none" w:sz="0" w:space="0" w:color="auto"/>
              </w:divBdr>
              <w:divsChild>
                <w:div w:id="779109165">
                  <w:marLeft w:val="0"/>
                  <w:marRight w:val="0"/>
                  <w:marTop w:val="0"/>
                  <w:marBottom w:val="0"/>
                  <w:divBdr>
                    <w:top w:val="none" w:sz="0" w:space="0" w:color="auto"/>
                    <w:left w:val="none" w:sz="0" w:space="0" w:color="auto"/>
                    <w:bottom w:val="none" w:sz="0" w:space="0" w:color="auto"/>
                    <w:right w:val="none" w:sz="0" w:space="0" w:color="auto"/>
                  </w:divBdr>
                  <w:divsChild>
                    <w:div w:id="716047188">
                      <w:marLeft w:val="0"/>
                      <w:marRight w:val="0"/>
                      <w:marTop w:val="0"/>
                      <w:marBottom w:val="0"/>
                      <w:divBdr>
                        <w:top w:val="none" w:sz="0" w:space="0" w:color="auto"/>
                        <w:left w:val="none" w:sz="0" w:space="0" w:color="auto"/>
                        <w:bottom w:val="none" w:sz="0" w:space="0" w:color="auto"/>
                        <w:right w:val="none" w:sz="0" w:space="0" w:color="auto"/>
                      </w:divBdr>
                      <w:divsChild>
                        <w:div w:id="1945721003">
                          <w:marLeft w:val="0"/>
                          <w:marRight w:val="0"/>
                          <w:marTop w:val="0"/>
                          <w:marBottom w:val="0"/>
                          <w:divBdr>
                            <w:top w:val="none" w:sz="0" w:space="0" w:color="auto"/>
                            <w:left w:val="none" w:sz="0" w:space="0" w:color="auto"/>
                            <w:bottom w:val="none" w:sz="0" w:space="0" w:color="auto"/>
                            <w:right w:val="none" w:sz="0" w:space="0" w:color="auto"/>
                          </w:divBdr>
                          <w:divsChild>
                            <w:div w:id="1244800342">
                              <w:marLeft w:val="0"/>
                              <w:marRight w:val="0"/>
                              <w:marTop w:val="0"/>
                              <w:marBottom w:val="0"/>
                              <w:divBdr>
                                <w:top w:val="none" w:sz="0" w:space="0" w:color="auto"/>
                                <w:left w:val="none" w:sz="0" w:space="0" w:color="auto"/>
                                <w:bottom w:val="none" w:sz="0" w:space="0" w:color="auto"/>
                                <w:right w:val="none" w:sz="0" w:space="0" w:color="auto"/>
                              </w:divBdr>
                              <w:divsChild>
                                <w:div w:id="2117366010">
                                  <w:marLeft w:val="0"/>
                                  <w:marRight w:val="0"/>
                                  <w:marTop w:val="185"/>
                                  <w:marBottom w:val="517"/>
                                  <w:divBdr>
                                    <w:top w:val="single" w:sz="36" w:space="6" w:color="97B0C8"/>
                                    <w:left w:val="none" w:sz="0" w:space="0" w:color="auto"/>
                                    <w:bottom w:val="none" w:sz="0" w:space="0" w:color="auto"/>
                                    <w:right w:val="none" w:sz="0" w:space="0" w:color="auto"/>
                                  </w:divBdr>
                                  <w:divsChild>
                                    <w:div w:id="1199122788">
                                      <w:marLeft w:val="0"/>
                                      <w:marRight w:val="0"/>
                                      <w:marTop w:val="0"/>
                                      <w:marBottom w:val="0"/>
                                      <w:divBdr>
                                        <w:top w:val="none" w:sz="0" w:space="0" w:color="auto"/>
                                        <w:left w:val="none" w:sz="0" w:space="0" w:color="auto"/>
                                        <w:bottom w:val="none" w:sz="0" w:space="0" w:color="auto"/>
                                        <w:right w:val="none" w:sz="0" w:space="0" w:color="auto"/>
                                      </w:divBdr>
                                      <w:divsChild>
                                        <w:div w:id="1653414282">
                                          <w:marLeft w:val="0"/>
                                          <w:marRight w:val="0"/>
                                          <w:marTop w:val="0"/>
                                          <w:marBottom w:val="0"/>
                                          <w:divBdr>
                                            <w:top w:val="none" w:sz="0" w:space="0" w:color="auto"/>
                                            <w:left w:val="none" w:sz="0" w:space="0" w:color="auto"/>
                                            <w:bottom w:val="none" w:sz="0" w:space="0" w:color="auto"/>
                                            <w:right w:val="none" w:sz="0" w:space="0" w:color="auto"/>
                                          </w:divBdr>
                                          <w:divsChild>
                                            <w:div w:id="495388605">
                                              <w:marLeft w:val="0"/>
                                              <w:marRight w:val="0"/>
                                              <w:marTop w:val="0"/>
                                              <w:marBottom w:val="0"/>
                                              <w:divBdr>
                                                <w:top w:val="none" w:sz="0" w:space="0" w:color="auto"/>
                                                <w:left w:val="none" w:sz="0" w:space="0" w:color="auto"/>
                                                <w:bottom w:val="none" w:sz="0" w:space="0" w:color="auto"/>
                                                <w:right w:val="none" w:sz="0" w:space="0" w:color="auto"/>
                                              </w:divBdr>
                                              <w:divsChild>
                                                <w:div w:id="18560236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628991">
      <w:bodyDiv w:val="1"/>
      <w:marLeft w:val="0"/>
      <w:marRight w:val="0"/>
      <w:marTop w:val="0"/>
      <w:marBottom w:val="0"/>
      <w:divBdr>
        <w:top w:val="none" w:sz="0" w:space="0" w:color="auto"/>
        <w:left w:val="none" w:sz="0" w:space="0" w:color="auto"/>
        <w:bottom w:val="none" w:sz="0" w:space="0" w:color="auto"/>
        <w:right w:val="none" w:sz="0" w:space="0" w:color="auto"/>
      </w:divBdr>
    </w:div>
    <w:div w:id="1675649023">
      <w:bodyDiv w:val="1"/>
      <w:marLeft w:val="0"/>
      <w:marRight w:val="0"/>
      <w:marTop w:val="0"/>
      <w:marBottom w:val="0"/>
      <w:divBdr>
        <w:top w:val="none" w:sz="0" w:space="0" w:color="auto"/>
        <w:left w:val="none" w:sz="0" w:space="0" w:color="auto"/>
        <w:bottom w:val="none" w:sz="0" w:space="0" w:color="auto"/>
        <w:right w:val="none" w:sz="0" w:space="0" w:color="auto"/>
      </w:divBdr>
      <w:divsChild>
        <w:div w:id="1602101409">
          <w:marLeft w:val="0"/>
          <w:marRight w:val="0"/>
          <w:marTop w:val="150"/>
          <w:marBottom w:val="0"/>
          <w:divBdr>
            <w:top w:val="none" w:sz="0" w:space="0" w:color="auto"/>
            <w:left w:val="none" w:sz="0" w:space="0" w:color="auto"/>
            <w:bottom w:val="none" w:sz="0" w:space="0" w:color="auto"/>
            <w:right w:val="none" w:sz="0" w:space="0" w:color="auto"/>
          </w:divBdr>
          <w:divsChild>
            <w:div w:id="603073598">
              <w:marLeft w:val="0"/>
              <w:marRight w:val="0"/>
              <w:marTop w:val="0"/>
              <w:marBottom w:val="0"/>
              <w:divBdr>
                <w:top w:val="none" w:sz="0" w:space="0" w:color="auto"/>
                <w:left w:val="none" w:sz="0" w:space="0" w:color="auto"/>
                <w:bottom w:val="none" w:sz="0" w:space="0" w:color="auto"/>
                <w:right w:val="none" w:sz="0" w:space="0" w:color="auto"/>
              </w:divBdr>
              <w:divsChild>
                <w:div w:id="1651326344">
                  <w:marLeft w:val="0"/>
                  <w:marRight w:val="0"/>
                  <w:marTop w:val="0"/>
                  <w:marBottom w:val="0"/>
                  <w:divBdr>
                    <w:top w:val="none" w:sz="0" w:space="0" w:color="auto"/>
                    <w:left w:val="none" w:sz="0" w:space="0" w:color="auto"/>
                    <w:bottom w:val="none" w:sz="0" w:space="0" w:color="auto"/>
                    <w:right w:val="none" w:sz="0" w:space="0" w:color="auto"/>
                  </w:divBdr>
                  <w:divsChild>
                    <w:div w:id="128058030">
                      <w:marLeft w:val="0"/>
                      <w:marRight w:val="0"/>
                      <w:marTop w:val="168"/>
                      <w:marBottom w:val="0"/>
                      <w:divBdr>
                        <w:top w:val="none" w:sz="0" w:space="0" w:color="auto"/>
                        <w:left w:val="none" w:sz="0" w:space="0" w:color="auto"/>
                        <w:bottom w:val="none" w:sz="0" w:space="0" w:color="auto"/>
                        <w:right w:val="none" w:sz="0" w:space="0" w:color="auto"/>
                      </w:divBdr>
                      <w:divsChild>
                        <w:div w:id="2729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9632">
      <w:bodyDiv w:val="1"/>
      <w:marLeft w:val="0"/>
      <w:marRight w:val="0"/>
      <w:marTop w:val="0"/>
      <w:marBottom w:val="0"/>
      <w:divBdr>
        <w:top w:val="none" w:sz="0" w:space="0" w:color="auto"/>
        <w:left w:val="none" w:sz="0" w:space="0" w:color="auto"/>
        <w:bottom w:val="none" w:sz="0" w:space="0" w:color="auto"/>
        <w:right w:val="none" w:sz="0" w:space="0" w:color="auto"/>
      </w:divBdr>
    </w:div>
    <w:div w:id="1899827989">
      <w:bodyDiv w:val="1"/>
      <w:marLeft w:val="0"/>
      <w:marRight w:val="0"/>
      <w:marTop w:val="0"/>
      <w:marBottom w:val="0"/>
      <w:divBdr>
        <w:top w:val="none" w:sz="0" w:space="0" w:color="auto"/>
        <w:left w:val="none" w:sz="0" w:space="0" w:color="auto"/>
        <w:bottom w:val="none" w:sz="0" w:space="0" w:color="auto"/>
        <w:right w:val="none" w:sz="0" w:space="0" w:color="auto"/>
      </w:divBdr>
    </w:div>
    <w:div w:id="1908110383">
      <w:bodyDiv w:val="1"/>
      <w:marLeft w:val="0"/>
      <w:marRight w:val="0"/>
      <w:marTop w:val="0"/>
      <w:marBottom w:val="0"/>
      <w:divBdr>
        <w:top w:val="none" w:sz="0" w:space="0" w:color="auto"/>
        <w:left w:val="none" w:sz="0" w:space="0" w:color="auto"/>
        <w:bottom w:val="none" w:sz="0" w:space="0" w:color="auto"/>
        <w:right w:val="none" w:sz="0" w:space="0" w:color="auto"/>
      </w:divBdr>
      <w:divsChild>
        <w:div w:id="1045063113">
          <w:marLeft w:val="0"/>
          <w:marRight w:val="0"/>
          <w:marTop w:val="150"/>
          <w:marBottom w:val="0"/>
          <w:divBdr>
            <w:top w:val="none" w:sz="0" w:space="0" w:color="auto"/>
            <w:left w:val="none" w:sz="0" w:space="0" w:color="auto"/>
            <w:bottom w:val="none" w:sz="0" w:space="0" w:color="auto"/>
            <w:right w:val="none" w:sz="0" w:space="0" w:color="auto"/>
          </w:divBdr>
          <w:divsChild>
            <w:div w:id="1546717136">
              <w:marLeft w:val="0"/>
              <w:marRight w:val="0"/>
              <w:marTop w:val="0"/>
              <w:marBottom w:val="0"/>
              <w:divBdr>
                <w:top w:val="none" w:sz="0" w:space="0" w:color="auto"/>
                <w:left w:val="none" w:sz="0" w:space="0" w:color="auto"/>
                <w:bottom w:val="none" w:sz="0" w:space="0" w:color="auto"/>
                <w:right w:val="none" w:sz="0" w:space="0" w:color="auto"/>
              </w:divBdr>
              <w:divsChild>
                <w:div w:id="524369933">
                  <w:marLeft w:val="0"/>
                  <w:marRight w:val="0"/>
                  <w:marTop w:val="0"/>
                  <w:marBottom w:val="0"/>
                  <w:divBdr>
                    <w:top w:val="none" w:sz="0" w:space="0" w:color="auto"/>
                    <w:left w:val="none" w:sz="0" w:space="0" w:color="auto"/>
                    <w:bottom w:val="none" w:sz="0" w:space="0" w:color="auto"/>
                    <w:right w:val="none" w:sz="0" w:space="0" w:color="auto"/>
                  </w:divBdr>
                  <w:divsChild>
                    <w:div w:id="922378448">
                      <w:marLeft w:val="0"/>
                      <w:marRight w:val="0"/>
                      <w:marTop w:val="168"/>
                      <w:marBottom w:val="0"/>
                      <w:divBdr>
                        <w:top w:val="none" w:sz="0" w:space="0" w:color="auto"/>
                        <w:left w:val="none" w:sz="0" w:space="0" w:color="auto"/>
                        <w:bottom w:val="none" w:sz="0" w:space="0" w:color="auto"/>
                        <w:right w:val="none" w:sz="0" w:space="0" w:color="auto"/>
                      </w:divBdr>
                      <w:divsChild>
                        <w:div w:id="9830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073">
      <w:bodyDiv w:val="1"/>
      <w:marLeft w:val="0"/>
      <w:marRight w:val="0"/>
      <w:marTop w:val="0"/>
      <w:marBottom w:val="0"/>
      <w:divBdr>
        <w:top w:val="none" w:sz="0" w:space="0" w:color="auto"/>
        <w:left w:val="none" w:sz="0" w:space="0" w:color="auto"/>
        <w:bottom w:val="none" w:sz="0" w:space="0" w:color="auto"/>
        <w:right w:val="none" w:sz="0" w:space="0" w:color="auto"/>
      </w:divBdr>
      <w:divsChild>
        <w:div w:id="685329683">
          <w:marLeft w:val="0"/>
          <w:marRight w:val="0"/>
          <w:marTop w:val="150"/>
          <w:marBottom w:val="0"/>
          <w:divBdr>
            <w:top w:val="none" w:sz="0" w:space="0" w:color="auto"/>
            <w:left w:val="none" w:sz="0" w:space="0" w:color="auto"/>
            <w:bottom w:val="none" w:sz="0" w:space="0" w:color="auto"/>
            <w:right w:val="none" w:sz="0" w:space="0" w:color="auto"/>
          </w:divBdr>
          <w:divsChild>
            <w:div w:id="1532261739">
              <w:marLeft w:val="0"/>
              <w:marRight w:val="0"/>
              <w:marTop w:val="0"/>
              <w:marBottom w:val="0"/>
              <w:divBdr>
                <w:top w:val="none" w:sz="0" w:space="0" w:color="auto"/>
                <w:left w:val="none" w:sz="0" w:space="0" w:color="auto"/>
                <w:bottom w:val="none" w:sz="0" w:space="0" w:color="auto"/>
                <w:right w:val="none" w:sz="0" w:space="0" w:color="auto"/>
              </w:divBdr>
              <w:divsChild>
                <w:div w:id="1726172515">
                  <w:marLeft w:val="0"/>
                  <w:marRight w:val="0"/>
                  <w:marTop w:val="0"/>
                  <w:marBottom w:val="0"/>
                  <w:divBdr>
                    <w:top w:val="none" w:sz="0" w:space="0" w:color="auto"/>
                    <w:left w:val="none" w:sz="0" w:space="0" w:color="auto"/>
                    <w:bottom w:val="none" w:sz="0" w:space="0" w:color="auto"/>
                    <w:right w:val="none" w:sz="0" w:space="0" w:color="auto"/>
                  </w:divBdr>
                  <w:divsChild>
                    <w:div w:id="1220288150">
                      <w:marLeft w:val="0"/>
                      <w:marRight w:val="0"/>
                      <w:marTop w:val="168"/>
                      <w:marBottom w:val="0"/>
                      <w:divBdr>
                        <w:top w:val="none" w:sz="0" w:space="0" w:color="auto"/>
                        <w:left w:val="none" w:sz="0" w:space="0" w:color="auto"/>
                        <w:bottom w:val="none" w:sz="0" w:space="0" w:color="auto"/>
                        <w:right w:val="none" w:sz="0" w:space="0" w:color="auto"/>
                      </w:divBdr>
                      <w:divsChild>
                        <w:div w:id="1148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mja.com.au/journal/2013/198/4/update-consensus-guidelines-warfarin-reversal?0=ip_login_no_cache%3D2013f6a9e18c1fc6468552d9d58caa15" TargetMode="External"/><Relationship Id="rId26" Type="http://schemas.openxmlformats.org/officeDocument/2006/relationships/hyperlink" Target="http://onlinelibrary.wiley.com/store/10.1111/j.1538-7836.2012.04923.x/asset/supinfo/JTH_4923_sm_TableS1.docx?v=1&amp;s=0b8f2c3283b6bd9cd5226e90732bfba389dc0f7c" TargetMode="External"/><Relationship Id="rId39" Type="http://schemas.openxmlformats.org/officeDocument/2006/relationships/hyperlink" Target="http://onlinelibrary.wiley.com/doi/10.1111/j.1538-7836.2005.01663.x/full" TargetMode="External"/><Relationship Id="rId21" Type="http://schemas.openxmlformats.org/officeDocument/2006/relationships/hyperlink" Target="http://www.ncbi.nlm.nih.gov/pubmed/23656742" TargetMode="External"/><Relationship Id="rId34" Type="http://schemas.openxmlformats.org/officeDocument/2006/relationships/hyperlink" Target="http://onlinelibrary.wiley.com/doi/10.1111/j.1538-7836.2008.03182.x/full" TargetMode="External"/><Relationship Id="rId42" Type="http://schemas.openxmlformats.org/officeDocument/2006/relationships/hyperlink" Target="http://www.blood.gov.au/pbm-module-2" TargetMode="External"/><Relationship Id="rId47" Type="http://schemas.openxmlformats.org/officeDocument/2006/relationships/hyperlink" Target="http://onlinelibrary.wiley.com/doi/10.1111/j.1538-7836.2012.04923.x/full" TargetMode="External"/><Relationship Id="rId50" Type="http://schemas.openxmlformats.org/officeDocument/2006/relationships/hyperlink" Target="http://www.hematology.org/Practice/Guidelines/9342.aspx" TargetMode="External"/><Relationship Id="rId55" Type="http://schemas.openxmlformats.org/officeDocument/2006/relationships/hyperlink" Target="http://onlinelibrary.wiley.com/doi/10.1111/j.1538-7836.2005.01663.x/ful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hyperlink" Target="http://onlinelibrary.wiley.com/doi/10.1111/j.1538-7836.2012.04923.x/full" TargetMode="External"/><Relationship Id="rId33" Type="http://schemas.openxmlformats.org/officeDocument/2006/relationships/hyperlink" Target="http://onlinelibrary.wiley.com/store/10.1111/j.1538-7836.2009.03499.x/asset/supinfo/JTH_3499_sm_Pediatric%20Bleeding%20Questionnaire%20and%20scoring%20key.doc?v=1&amp;s=0d50d13c7e096e6b7df6eae864810662f9b1f74a" TargetMode="External"/><Relationship Id="rId38" Type="http://schemas.openxmlformats.org/officeDocument/2006/relationships/hyperlink" Target="http://www.euvwd.group.shef.ac.uk/files/scoremarch04revision.pdf" TargetMode="External"/><Relationship Id="rId46" Type="http://schemas.openxmlformats.org/officeDocument/2006/relationships/hyperlink" Target="http://onlinelibrary.wiley.com/doi/10.1111/bjh.12107/pdf"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onlinelibrary.wiley.com/doi/10.1111/imj.12448/abstract?campaign=woletoc" TargetMode="External"/><Relationship Id="rId29" Type="http://schemas.openxmlformats.org/officeDocument/2006/relationships/hyperlink" Target="http://www.ncbi.nlm.nih.gov/pmc/articles/PMC3021395/" TargetMode="External"/><Relationship Id="rId41" Type="http://schemas.openxmlformats.org/officeDocument/2006/relationships/hyperlink" Target="http://onlinelibrary.wiley.com/doi/10.1111/j.1365-2141.2007.06968.x/full" TargetMode="External"/><Relationship Id="rId54" Type="http://schemas.openxmlformats.org/officeDocument/2006/relationships/hyperlink" Target="http://onlinelibrary.wiley.com/doi/10.1111/j.1538-7836.2006.01847.x/fu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yperlink" Target="http://onlinelibrary.wiley.com/doi/10.1111/j.1538-7836.2009.03499.x/full" TargetMode="External"/><Relationship Id="rId37" Type="http://schemas.openxmlformats.org/officeDocument/2006/relationships/hyperlink" Target="http://www.euvwd.group.shef.ac.uk/files/question.pdf" TargetMode="External"/><Relationship Id="rId40" Type="http://schemas.openxmlformats.org/officeDocument/2006/relationships/hyperlink" Target="http://c.ymcdn.com/sites/www.isth.org/resource/resmgr/ssc/bleeding_type1_vwd.pdf" TargetMode="External"/><Relationship Id="rId45" Type="http://schemas.openxmlformats.org/officeDocument/2006/relationships/hyperlink" Target="http://journal.publications.chestnet.org/article.aspx?articleid=1085932" TargetMode="External"/><Relationship Id="rId53" Type="http://schemas.openxmlformats.org/officeDocument/2006/relationships/hyperlink" Target="http://onlinelibrary.wiley.com/doi/10.1111/j.1538-7836.2008.03182.x/ful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2.PNG"/><Relationship Id="rId28" Type="http://schemas.openxmlformats.org/officeDocument/2006/relationships/hyperlink" Target="http://www.hematology.org/Practice/Guidelines/9342.aspx" TargetMode="External"/><Relationship Id="rId36" Type="http://schemas.openxmlformats.org/officeDocument/2006/relationships/hyperlink" Target="http://onlinelibrary.wiley.com/doi/10.1111/j.1538-7836.2006.01847.x/full" TargetMode="External"/><Relationship Id="rId49" Type="http://schemas.openxmlformats.org/officeDocument/2006/relationships/hyperlink" Target="http://onlinelibrary.wiley.com/doi/10.1111/j.1538-7836.2005.01245.x/full"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journal.publications.chestnet.org/article.aspx?articleid=1085932" TargetMode="External"/><Relationship Id="rId31" Type="http://schemas.openxmlformats.org/officeDocument/2006/relationships/hyperlink" Target="http://onlinelibrary.wiley.com/store/10.1111/j.1538-7836.2010.03975.x/asset/supinfo/JTH_3975_sm_suppmat.doc?v=1&amp;s=033003e7afb66e635e3d87a0d390fa78cfdd9448" TargetMode="External"/><Relationship Id="rId44" Type="http://schemas.openxmlformats.org/officeDocument/2006/relationships/hyperlink" Target="https://www.mja.com.au/journal/2013/198/4/update-consensus-guidelines-warfarin-reversal?0=ip_login_no_cache%3D2013f6a9e18c1fc6468552d9d58caa15" TargetMode="External"/><Relationship Id="rId52" Type="http://schemas.openxmlformats.org/officeDocument/2006/relationships/hyperlink" Target="http://onlinelibrary.wiley.com/doi/10.1111/j.1538-7836.2009.03499.x/ful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onlinelibrary.wiley.com/doi/10.1111/bjh.12107/pdf" TargetMode="External"/><Relationship Id="rId27" Type="http://schemas.openxmlformats.org/officeDocument/2006/relationships/hyperlink" Target="http://asheducationbook.hematologylibrary.org/content/2012/1/152.long" TargetMode="External"/><Relationship Id="rId30" Type="http://schemas.openxmlformats.org/officeDocument/2006/relationships/hyperlink" Target="http://onlinelibrary.wiley.com/doi/10.1111/j.1538-7836.2010.03975.x/full" TargetMode="External"/><Relationship Id="rId35" Type="http://schemas.openxmlformats.org/officeDocument/2006/relationships/hyperlink" Target="http://onlinelibrary.wiley.com/store/10.1111/j.1538-7836.2008.03182.x/asset/supinfo/JTH_3182_sm_SuppInfQuestionnaire%20with%20scoring%20key.doc?v=1&amp;s=2aaeb4db2139dd862e42c1c1e45cd59a98c615a2" TargetMode="External"/><Relationship Id="rId43" Type="http://schemas.openxmlformats.org/officeDocument/2006/relationships/hyperlink" Target="http://onlinelibrary.wiley.com/doi/10.1111/imj.12448/abstract?campaign=woletoc" TargetMode="External"/><Relationship Id="rId48" Type="http://schemas.openxmlformats.org/officeDocument/2006/relationships/hyperlink" Target="http://asheducationbook.hematologylibrary.org/content/2012/1/152.long" TargetMode="External"/><Relationship Id="rId56" Type="http://schemas.openxmlformats.org/officeDocument/2006/relationships/hyperlink" Target="http://www0.health.nsw.gov.au/pubs/2002/pdf/cpi_easyguide.pdf" TargetMode="External"/><Relationship Id="rId8" Type="http://schemas.openxmlformats.org/officeDocument/2006/relationships/endnotes" Target="endnotes.xml"/><Relationship Id="rId51" Type="http://schemas.openxmlformats.org/officeDocument/2006/relationships/hyperlink" Target="http://www.ncbi.nlm.nih.gov/pmc/articles/PMC302139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D889-0FAD-4D8C-8E02-69503FB8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C036BBAA.dotm</Template>
  <TotalTime>60</TotalTime>
  <Pages>18</Pages>
  <Words>6547</Words>
  <Characters>37323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Australian Red Cross Blood Service</Company>
  <LinksUpToDate>false</LinksUpToDate>
  <CharactersWithSpaces>43783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sminck</dc:creator>
  <cp:lastModifiedBy>Sandra Russell</cp:lastModifiedBy>
  <cp:revision>5</cp:revision>
  <cp:lastPrinted>2014-06-30T01:14:00Z</cp:lastPrinted>
  <dcterms:created xsi:type="dcterms:W3CDTF">2014-09-14T22:42:00Z</dcterms:created>
  <dcterms:modified xsi:type="dcterms:W3CDTF">2014-09-24T08:03:00Z</dcterms:modified>
</cp:coreProperties>
</file>