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26E" w:rsidRDefault="00B3726E" w:rsidP="001F5CA8">
      <w:bookmarkStart w:id="0" w:name="_GoBack"/>
      <w:bookmarkEnd w:id="0"/>
    </w:p>
    <w:p w:rsidR="001F5CA8" w:rsidRDefault="001F5CA8" w:rsidP="001F5CA8">
      <w:pPr>
        <w:pStyle w:val="ReportSubtitle"/>
        <w:spacing w:after="0"/>
        <w:jc w:val="left"/>
        <w:rPr>
          <w:sz w:val="72"/>
          <w:szCs w:val="72"/>
        </w:rPr>
      </w:pPr>
    </w:p>
    <w:p w:rsidR="001F5CA8" w:rsidRDefault="001F5CA8" w:rsidP="001F5CA8">
      <w:pPr>
        <w:pStyle w:val="ReportSubtitle"/>
        <w:spacing w:after="0"/>
        <w:jc w:val="left"/>
        <w:rPr>
          <w:sz w:val="72"/>
          <w:szCs w:val="72"/>
        </w:rPr>
      </w:pPr>
    </w:p>
    <w:p w:rsidR="001F5CA8" w:rsidRPr="001F5CA8" w:rsidRDefault="001F5CA8" w:rsidP="001F5CA8">
      <w:pPr>
        <w:pStyle w:val="ReportSubtitle"/>
        <w:spacing w:after="0"/>
        <w:jc w:val="left"/>
        <w:rPr>
          <w:sz w:val="84"/>
          <w:szCs w:val="84"/>
        </w:rPr>
      </w:pPr>
      <w:r w:rsidRPr="001F5CA8">
        <w:rPr>
          <w:sz w:val="84"/>
          <w:szCs w:val="84"/>
        </w:rPr>
        <w:t xml:space="preserve">Guidelines for the management of </w:t>
      </w:r>
      <w:r>
        <w:rPr>
          <w:sz w:val="84"/>
          <w:szCs w:val="84"/>
        </w:rPr>
        <w:t>h</w:t>
      </w:r>
      <w:r w:rsidRPr="001F5CA8">
        <w:rPr>
          <w:sz w:val="84"/>
          <w:szCs w:val="84"/>
        </w:rPr>
        <w:t>aemophilia in Australia</w:t>
      </w:r>
    </w:p>
    <w:p w:rsidR="001F5CA8" w:rsidRDefault="001F5CA8" w:rsidP="001F5CA8">
      <w:pPr>
        <w:pStyle w:val="ReportSubtitle"/>
        <w:spacing w:after="0"/>
        <w:jc w:val="left"/>
        <w:rPr>
          <w:sz w:val="72"/>
          <w:szCs w:val="72"/>
        </w:rPr>
      </w:pPr>
    </w:p>
    <w:p w:rsidR="001F5CA8" w:rsidRDefault="001F5CA8" w:rsidP="001F5CA8">
      <w:pPr>
        <w:pStyle w:val="ReportSubtitle"/>
        <w:spacing w:after="0"/>
        <w:jc w:val="left"/>
        <w:rPr>
          <w:sz w:val="72"/>
          <w:szCs w:val="72"/>
        </w:rPr>
      </w:pPr>
    </w:p>
    <w:p w:rsidR="001F5CA8" w:rsidRDefault="001F5CA8" w:rsidP="001F5CA8">
      <w:pPr>
        <w:spacing w:after="0"/>
        <w:ind w:left="0"/>
        <w:rPr>
          <w:i/>
        </w:rPr>
      </w:pPr>
      <w:r>
        <w:rPr>
          <w:i/>
        </w:rPr>
        <w:br w:type="page"/>
      </w:r>
    </w:p>
    <w:p w:rsidR="001F5CA8" w:rsidRDefault="001F5CA8" w:rsidP="001F5CA8">
      <w:pPr>
        <w:spacing w:after="120"/>
        <w:rPr>
          <w:rFonts w:cs="Calibri"/>
          <w:bCs/>
        </w:rPr>
      </w:pPr>
      <w:r w:rsidRPr="00840CFB">
        <w:rPr>
          <w:i/>
        </w:rPr>
        <w:lastRenderedPageBreak/>
        <w:t xml:space="preserve">© </w:t>
      </w:r>
      <w:r w:rsidR="00214A6A" w:rsidRPr="00041ED2">
        <w:rPr>
          <w:i/>
        </w:rPr>
        <w:t>Australian Haemophilia Centre Directors’ Organisation</w:t>
      </w:r>
      <w:r w:rsidRPr="00840CFB">
        <w:rPr>
          <w:i/>
        </w:rPr>
        <w:t>, 201</w:t>
      </w:r>
      <w:r w:rsidRPr="001C7CA7">
        <w:rPr>
          <w:i/>
          <w:highlight w:val="yellow"/>
        </w:rPr>
        <w:t>X</w:t>
      </w:r>
      <w:r w:rsidRPr="00840CFB">
        <w:rPr>
          <w:i/>
        </w:rPr>
        <w:t>.</w:t>
      </w:r>
      <w:r w:rsidRPr="00840CFB">
        <w:rPr>
          <w:i/>
        </w:rPr>
        <w:br/>
      </w:r>
      <w:r w:rsidRPr="00840243">
        <w:rPr>
          <w:b/>
          <w:bCs/>
          <w:noProof/>
          <w:lang w:eastAsia="zh-TW"/>
        </w:rPr>
        <w:t xml:space="preserve"> </w:t>
      </w:r>
      <w:r>
        <w:rPr>
          <w:b/>
          <w:noProof/>
        </w:rPr>
        <w:drawing>
          <wp:inline distT="0" distB="0" distL="0" distR="0" wp14:anchorId="5864B944" wp14:editId="2B243DAC">
            <wp:extent cx="856615" cy="292100"/>
            <wp:effectExtent l="0" t="0" r="635"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615" cy="292100"/>
                    </a:xfrm>
                    <a:prstGeom prst="rect">
                      <a:avLst/>
                    </a:prstGeom>
                    <a:noFill/>
                    <a:ln>
                      <a:noFill/>
                    </a:ln>
                  </pic:spPr>
                </pic:pic>
              </a:graphicData>
            </a:graphic>
          </wp:inline>
        </w:drawing>
      </w:r>
      <w:r>
        <w:rPr>
          <w:rFonts w:cs="Calibri"/>
          <w:bCs/>
        </w:rPr>
        <w:br/>
      </w:r>
    </w:p>
    <w:p w:rsidR="001F5CA8" w:rsidRPr="001F5CA8" w:rsidRDefault="001F5CA8" w:rsidP="001F5CA8">
      <w:pPr>
        <w:rPr>
          <w:rFonts w:cs="Calibri"/>
          <w:bCs/>
        </w:rPr>
      </w:pPr>
      <w:r w:rsidRPr="001F5CA8">
        <w:rPr>
          <w:rFonts w:cs="Calibri"/>
          <w:bCs/>
        </w:rPr>
        <w:t>With the exception of any logos and registered trademarks, and where otherwise noted, all material presented in this document is provided under a Creative Commons Attribution-</w:t>
      </w:r>
      <w:r w:rsidRPr="001F5CA8">
        <w:rPr>
          <w:rFonts w:cs="Calibri"/>
        </w:rPr>
        <w:t>NonCommercial-ShareAlike</w:t>
      </w:r>
      <w:r w:rsidRPr="001F5CA8">
        <w:rPr>
          <w:rFonts w:cs="Calibri"/>
          <w:bCs/>
        </w:rPr>
        <w:t xml:space="preserve"> 3.0 Australia (</w:t>
      </w:r>
      <w:hyperlink r:id="rId10" w:history="1">
        <w:r w:rsidRPr="001F5CA8">
          <w:rPr>
            <w:rStyle w:val="Hyperlink"/>
            <w:rFonts w:cs="Calibri"/>
            <w:bCs/>
          </w:rPr>
          <w:t>http://creativecommons.org/licenses/by-nc-sa/3.0/au/</w:t>
        </w:r>
      </w:hyperlink>
      <w:r w:rsidRPr="001F5CA8">
        <w:rPr>
          <w:rFonts w:cs="Calibri"/>
          <w:bCs/>
        </w:rPr>
        <w:t>) licence.</w:t>
      </w:r>
    </w:p>
    <w:p w:rsidR="001F5CA8" w:rsidRPr="001F5CA8" w:rsidRDefault="001F5CA8" w:rsidP="001F5CA8">
      <w:pPr>
        <w:rPr>
          <w:rFonts w:cs="Calibri"/>
        </w:rPr>
      </w:pPr>
      <w:r w:rsidRPr="001F5CA8">
        <w:rPr>
          <w:rFonts w:cs="Calibri"/>
        </w:rPr>
        <w:t>You are free to copy, communicate and adapt the work for non</w:t>
      </w:r>
      <w:r w:rsidR="007864FD">
        <w:rPr>
          <w:rFonts w:cs="Calibri"/>
        </w:rPr>
        <w:t>-</w:t>
      </w:r>
      <w:r w:rsidRPr="001F5CA8">
        <w:rPr>
          <w:rFonts w:cs="Calibri"/>
        </w:rPr>
        <w:t>commercial purposes, as long as you attribute the authors and distribute any derivative work (i.e. new work based on this work) only under this licence.</w:t>
      </w:r>
    </w:p>
    <w:p w:rsidR="001F5CA8" w:rsidRPr="001F5CA8" w:rsidRDefault="001F5CA8" w:rsidP="001F5CA8">
      <w:pPr>
        <w:pStyle w:val="Normalbeforebullet"/>
        <w:rPr>
          <w:szCs w:val="22"/>
        </w:rPr>
      </w:pPr>
      <w:r w:rsidRPr="001F5CA8">
        <w:rPr>
          <w:szCs w:val="22"/>
        </w:rPr>
        <w:t>If you adapt this work in any way or include it in a collection, and publish, distribute or otherwise disseminate that adaptation or collection to the public, it should be attributed in the following way:</w:t>
      </w:r>
    </w:p>
    <w:p w:rsidR="001F5CA8" w:rsidRPr="006E7030" w:rsidRDefault="001F5CA8" w:rsidP="001F5CA8">
      <w:pPr>
        <w:pStyle w:val="Quote"/>
        <w:rPr>
          <w:sz w:val="18"/>
          <w:szCs w:val="18"/>
        </w:rPr>
      </w:pPr>
      <w:r>
        <w:rPr>
          <w:rFonts w:ascii="Arial" w:hAnsi="Arial" w:cs="Arial"/>
          <w:noProof/>
          <w:lang w:val="en-AU"/>
        </w:rPr>
        <w:drawing>
          <wp:inline distT="0" distB="0" distL="0" distR="0" wp14:anchorId="285EAC67" wp14:editId="5308B8BE">
            <wp:extent cx="819150" cy="177800"/>
            <wp:effectExtent l="0" t="0" r="0" b="0"/>
            <wp:docPr id="3" name="Picture 17" descr="http://lava360.com/wp-content/uploads/2010/04/creative_commons_lice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va360.com/wp-content/uploads/2010/04/creative_commons_licenses.jpg"/>
                    <pic:cNvPicPr>
                      <a:picLocks noChangeAspect="1" noChangeArrowheads="1"/>
                    </pic:cNvPicPr>
                  </pic:nvPicPr>
                  <pic:blipFill>
                    <a:blip r:embed="rId11">
                      <a:extLst>
                        <a:ext uri="{28A0092B-C50C-407E-A947-70E740481C1C}">
                          <a14:useLocalDpi xmlns:a14="http://schemas.microsoft.com/office/drawing/2010/main" val="0"/>
                        </a:ext>
                      </a:extLst>
                    </a:blip>
                    <a:srcRect t="49654" r="49709" b="25694"/>
                    <a:stretch>
                      <a:fillRect/>
                    </a:stretch>
                  </pic:blipFill>
                  <pic:spPr bwMode="auto">
                    <a:xfrm>
                      <a:off x="0" y="0"/>
                      <a:ext cx="819150" cy="177800"/>
                    </a:xfrm>
                    <a:prstGeom prst="rect">
                      <a:avLst/>
                    </a:prstGeom>
                    <a:noFill/>
                    <a:ln>
                      <a:noFill/>
                    </a:ln>
                  </pic:spPr>
                </pic:pic>
              </a:graphicData>
            </a:graphic>
          </wp:inline>
        </w:drawing>
      </w:r>
      <w:r w:rsidRPr="00840243">
        <w:t xml:space="preserve"> </w:t>
      </w:r>
      <w:r>
        <w:br/>
      </w:r>
      <w:r w:rsidRPr="006E7030">
        <w:rPr>
          <w:sz w:val="18"/>
          <w:szCs w:val="18"/>
        </w:rPr>
        <w:t>This work is based on</w:t>
      </w:r>
      <w:r w:rsidRPr="00214A6A">
        <w:rPr>
          <w:sz w:val="18"/>
          <w:szCs w:val="18"/>
        </w:rPr>
        <w:t>/</w:t>
      </w:r>
      <w:r w:rsidRPr="00041ED2">
        <w:rPr>
          <w:sz w:val="18"/>
          <w:szCs w:val="18"/>
          <w:lang w:val="en-AU"/>
        </w:rPr>
        <w:t>includes</w:t>
      </w:r>
      <w:r w:rsidR="00041ED2">
        <w:rPr>
          <w:sz w:val="18"/>
          <w:szCs w:val="18"/>
          <w:lang w:val="en-AU"/>
        </w:rPr>
        <w:t xml:space="preserve"> the</w:t>
      </w:r>
      <w:r w:rsidRPr="00041ED2">
        <w:rPr>
          <w:i/>
          <w:sz w:val="18"/>
          <w:szCs w:val="18"/>
          <w:lang w:val="en-AU"/>
        </w:rPr>
        <w:t xml:space="preserve"> </w:t>
      </w:r>
      <w:r w:rsidR="00214A6A" w:rsidRPr="00041ED2">
        <w:rPr>
          <w:sz w:val="18"/>
          <w:szCs w:val="18"/>
          <w:lang w:val="en-AU"/>
        </w:rPr>
        <w:t>Australian Haemophilia Centre Directors’ Organisation</w:t>
      </w:r>
      <w:r w:rsidR="00041ED2">
        <w:rPr>
          <w:sz w:val="18"/>
          <w:szCs w:val="18"/>
          <w:lang w:val="en-AU"/>
        </w:rPr>
        <w:t xml:space="preserve">’s </w:t>
      </w:r>
      <w:r w:rsidR="00214A6A">
        <w:rPr>
          <w:i/>
          <w:sz w:val="18"/>
          <w:szCs w:val="18"/>
          <w:lang w:val="en-AU"/>
        </w:rPr>
        <w:t>Guidelines for the management of haemophilia in Australia</w:t>
      </w:r>
      <w:r w:rsidRPr="006E7030">
        <w:rPr>
          <w:sz w:val="18"/>
          <w:szCs w:val="18"/>
        </w:rPr>
        <w:t>, which is licensed under the Creative Commons Attribution-NonCommercial-ShareAlike 3.0 Australia licence.</w:t>
      </w:r>
    </w:p>
    <w:p w:rsidR="001F5CA8" w:rsidRPr="006E7030" w:rsidRDefault="001F5CA8" w:rsidP="001F5CA8">
      <w:pPr>
        <w:pStyle w:val="Normalbeforebullet"/>
      </w:pPr>
      <w:r w:rsidRPr="006E7030">
        <w:t>Where this work is not modified or changed, it should be attributed in the following way:</w:t>
      </w:r>
    </w:p>
    <w:p w:rsidR="001F5CA8" w:rsidRPr="00E66427" w:rsidRDefault="001F5CA8" w:rsidP="001F5CA8">
      <w:pPr>
        <w:pStyle w:val="Quote"/>
        <w:rPr>
          <w:bCs/>
          <w:lang w:val="en-AU"/>
        </w:rPr>
      </w:pPr>
      <w:r>
        <w:rPr>
          <w:rFonts w:ascii="Arial" w:hAnsi="Arial" w:cs="Arial"/>
          <w:noProof/>
          <w:lang w:val="en-AU"/>
        </w:rPr>
        <w:drawing>
          <wp:inline distT="0" distB="0" distL="0" distR="0" wp14:anchorId="119DFCB7" wp14:editId="74F4B000">
            <wp:extent cx="819785" cy="177800"/>
            <wp:effectExtent l="0" t="0" r="0" b="0"/>
            <wp:docPr id="4" name="Picture 18" descr="http://lava360.com/wp-content/uploads/2010/04/creative_commons_lice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ava360.com/wp-content/uploads/2010/04/creative_commons_licenses.jpg"/>
                    <pic:cNvPicPr>
                      <a:picLocks noChangeAspect="1" noChangeArrowheads="1"/>
                    </pic:cNvPicPr>
                  </pic:nvPicPr>
                  <pic:blipFill>
                    <a:blip r:embed="rId12">
                      <a:extLst>
                        <a:ext uri="{28A0092B-C50C-407E-A947-70E740481C1C}">
                          <a14:useLocalDpi xmlns:a14="http://schemas.microsoft.com/office/drawing/2010/main" val="0"/>
                        </a:ext>
                      </a:extLst>
                    </a:blip>
                    <a:srcRect t="49654" r="49709" b="25694"/>
                    <a:stretch>
                      <a:fillRect/>
                    </a:stretch>
                  </pic:blipFill>
                  <pic:spPr bwMode="auto">
                    <a:xfrm>
                      <a:off x="0" y="0"/>
                      <a:ext cx="819785" cy="177800"/>
                    </a:xfrm>
                    <a:prstGeom prst="rect">
                      <a:avLst/>
                    </a:prstGeom>
                    <a:noFill/>
                    <a:ln>
                      <a:noFill/>
                    </a:ln>
                  </pic:spPr>
                </pic:pic>
              </a:graphicData>
            </a:graphic>
          </wp:inline>
        </w:drawing>
      </w:r>
      <w:r>
        <w:br/>
      </w:r>
      <w:r w:rsidRPr="00840243">
        <w:t xml:space="preserve">© </w:t>
      </w:r>
      <w:r w:rsidR="00214A6A" w:rsidRPr="00041ED2">
        <w:rPr>
          <w:bCs/>
          <w:sz w:val="18"/>
          <w:szCs w:val="18"/>
        </w:rPr>
        <w:t>Australian Haemophilia Centre Directors’ Organisation</w:t>
      </w:r>
      <w:r w:rsidRPr="006E7030">
        <w:rPr>
          <w:sz w:val="18"/>
          <w:szCs w:val="18"/>
        </w:rPr>
        <w:t>, 201</w:t>
      </w:r>
      <w:r w:rsidRPr="001C7CA7">
        <w:rPr>
          <w:sz w:val="18"/>
          <w:szCs w:val="18"/>
          <w:highlight w:val="yellow"/>
          <w:lang w:val="en-US"/>
        </w:rPr>
        <w:t>X</w:t>
      </w:r>
      <w:r w:rsidRPr="006E7030">
        <w:rPr>
          <w:sz w:val="18"/>
          <w:szCs w:val="18"/>
        </w:rPr>
        <w:t>.</w:t>
      </w:r>
      <w:r w:rsidRPr="006E7030">
        <w:rPr>
          <w:sz w:val="18"/>
          <w:szCs w:val="18"/>
        </w:rPr>
        <w:br/>
      </w:r>
      <w:r w:rsidRPr="006E7030">
        <w:rPr>
          <w:bCs/>
          <w:sz w:val="18"/>
          <w:szCs w:val="18"/>
        </w:rPr>
        <w:t>ISBN</w:t>
      </w:r>
      <w:r w:rsidRPr="006E7030">
        <w:rPr>
          <w:bCs/>
          <w:sz w:val="18"/>
          <w:szCs w:val="18"/>
          <w:lang w:val="en-AU"/>
        </w:rPr>
        <w:t xml:space="preserve"> </w:t>
      </w:r>
      <w:r>
        <w:rPr>
          <w:rStyle w:val="A21"/>
          <w:sz w:val="18"/>
          <w:szCs w:val="18"/>
          <w:lang w:val="en-AU"/>
        </w:rPr>
        <w:t xml:space="preserve">XXX </w:t>
      </w:r>
      <w:r w:rsidRPr="006E7030">
        <w:rPr>
          <w:bCs/>
          <w:sz w:val="18"/>
          <w:szCs w:val="18"/>
          <w:highlight w:val="yellow"/>
          <w:lang w:val="en-AU"/>
        </w:rPr>
        <w:t>(hard copy ISBN</w:t>
      </w:r>
      <w:r w:rsidRPr="006E7030">
        <w:rPr>
          <w:bCs/>
          <w:sz w:val="18"/>
          <w:szCs w:val="18"/>
          <w:lang w:val="en-AU"/>
        </w:rPr>
        <w:t>)</w:t>
      </w:r>
    </w:p>
    <w:p w:rsidR="001F5CA8" w:rsidRDefault="001F5CA8" w:rsidP="001F5CA8">
      <w:pPr>
        <w:pStyle w:val="Normalbeforebullet"/>
      </w:pPr>
    </w:p>
    <w:p w:rsidR="001F5CA8" w:rsidRPr="001F5CA8" w:rsidRDefault="001F5CA8" w:rsidP="001F5CA8">
      <w:pPr>
        <w:pStyle w:val="Normalbeforebullet"/>
        <w:rPr>
          <w:rFonts w:asciiTheme="minorHAnsi" w:hAnsiTheme="minorHAnsi"/>
          <w:b/>
          <w:szCs w:val="22"/>
        </w:rPr>
      </w:pPr>
      <w:r w:rsidRPr="001F5CA8">
        <w:rPr>
          <w:rFonts w:asciiTheme="minorHAnsi" w:hAnsiTheme="minorHAnsi"/>
          <w:b/>
          <w:szCs w:val="22"/>
        </w:rPr>
        <w:t>For more information and to request permission to reproduce material:</w:t>
      </w:r>
    </w:p>
    <w:p w:rsidR="001F5CA8" w:rsidRPr="001F5CA8" w:rsidRDefault="001F5CA8" w:rsidP="001F5CA8">
      <w:pPr>
        <w:spacing w:after="0"/>
        <w:rPr>
          <w:rFonts w:asciiTheme="minorHAnsi" w:hAnsiTheme="minorHAnsi"/>
        </w:rPr>
      </w:pPr>
      <w:r w:rsidRPr="001F5CA8">
        <w:rPr>
          <w:rFonts w:asciiTheme="minorHAnsi" w:hAnsiTheme="minorHAnsi"/>
        </w:rPr>
        <w:t>Australian Haemophilia Centre Directors’ Organisation</w:t>
      </w:r>
    </w:p>
    <w:p w:rsidR="001F5CA8" w:rsidRPr="001F5CA8" w:rsidRDefault="001F5CA8" w:rsidP="001F5CA8">
      <w:pPr>
        <w:spacing w:after="0"/>
        <w:rPr>
          <w:rFonts w:asciiTheme="minorHAnsi" w:hAnsiTheme="minorHAnsi"/>
        </w:rPr>
      </w:pPr>
      <w:r w:rsidRPr="001F5CA8">
        <w:rPr>
          <w:rFonts w:asciiTheme="minorHAnsi" w:hAnsiTheme="minorHAnsi"/>
        </w:rPr>
        <w:t>7 Dene Avenue</w:t>
      </w:r>
    </w:p>
    <w:p w:rsidR="001F5CA8" w:rsidRPr="001F5CA8" w:rsidRDefault="001F5CA8" w:rsidP="001F5CA8">
      <w:pPr>
        <w:spacing w:after="0"/>
        <w:rPr>
          <w:rFonts w:asciiTheme="minorHAnsi" w:hAnsiTheme="minorHAnsi"/>
        </w:rPr>
      </w:pPr>
      <w:r w:rsidRPr="001F5CA8">
        <w:rPr>
          <w:rFonts w:asciiTheme="minorHAnsi" w:hAnsiTheme="minorHAnsi"/>
        </w:rPr>
        <w:t>Malvern East VIC 3145</w:t>
      </w:r>
    </w:p>
    <w:p w:rsidR="001F5CA8" w:rsidRPr="00041ED2" w:rsidRDefault="001F5CA8" w:rsidP="001F5CA8">
      <w:pPr>
        <w:spacing w:after="0"/>
        <w:rPr>
          <w:rFonts w:asciiTheme="minorHAnsi" w:hAnsiTheme="minorHAnsi"/>
          <w:color w:val="000000" w:themeColor="text1"/>
        </w:rPr>
      </w:pPr>
      <w:r w:rsidRPr="001F5CA8">
        <w:rPr>
          <w:rFonts w:asciiTheme="minorHAnsi" w:hAnsiTheme="minorHAnsi"/>
        </w:rPr>
        <w:t>Telep</w:t>
      </w:r>
      <w:r w:rsidRPr="00041ED2">
        <w:rPr>
          <w:rFonts w:asciiTheme="minorHAnsi" w:hAnsiTheme="minorHAnsi"/>
          <w:color w:val="000000" w:themeColor="text1"/>
        </w:rPr>
        <w:t>hone: +61 3 9885 1777</w:t>
      </w:r>
    </w:p>
    <w:p w:rsidR="001F5CA8" w:rsidRPr="00041ED2" w:rsidRDefault="001F5CA8" w:rsidP="001F5CA8">
      <w:pPr>
        <w:spacing w:after="0"/>
        <w:rPr>
          <w:rFonts w:asciiTheme="minorHAnsi" w:hAnsiTheme="minorHAnsi"/>
          <w:color w:val="000000" w:themeColor="text1"/>
        </w:rPr>
      </w:pPr>
      <w:r w:rsidRPr="00041ED2">
        <w:rPr>
          <w:rFonts w:asciiTheme="minorHAnsi" w:hAnsiTheme="minorHAnsi"/>
          <w:color w:val="000000" w:themeColor="text1"/>
        </w:rPr>
        <w:t xml:space="preserve">Website: </w:t>
      </w:r>
      <w:hyperlink r:id="rId13" w:history="1">
        <w:r w:rsidRPr="00041ED2">
          <w:rPr>
            <w:rStyle w:val="Hyperlink"/>
            <w:rFonts w:asciiTheme="minorHAnsi" w:hAnsiTheme="minorHAnsi"/>
            <w:color w:val="000000" w:themeColor="text1"/>
          </w:rPr>
          <w:t>www.ahcdo.org.au</w:t>
        </w:r>
      </w:hyperlink>
    </w:p>
    <w:p w:rsidR="001F5CA8" w:rsidRPr="001F5CA8" w:rsidRDefault="001F5CA8" w:rsidP="001F5CA8">
      <w:pPr>
        <w:spacing w:after="0"/>
        <w:rPr>
          <w:rFonts w:asciiTheme="minorHAnsi" w:hAnsiTheme="minorHAnsi"/>
        </w:rPr>
      </w:pPr>
    </w:p>
    <w:p w:rsidR="001F5CA8" w:rsidRPr="001F5CA8" w:rsidRDefault="001F5CA8" w:rsidP="001F5CA8">
      <w:pPr>
        <w:rPr>
          <w:rFonts w:asciiTheme="minorHAnsi" w:hAnsiTheme="minorHAnsi"/>
        </w:rPr>
      </w:pPr>
    </w:p>
    <w:p w:rsidR="001F5CA8" w:rsidRPr="001F5CA8" w:rsidRDefault="001F5CA8" w:rsidP="00EB1409">
      <w:pPr>
        <w:pStyle w:val="Heading3a"/>
        <w:rPr>
          <w:szCs w:val="22"/>
        </w:rPr>
      </w:pPr>
      <w:r w:rsidRPr="001F5CA8">
        <w:rPr>
          <w:szCs w:val="22"/>
        </w:rPr>
        <w:t>Disclaimer</w:t>
      </w:r>
    </w:p>
    <w:p w:rsidR="001F5CA8" w:rsidRPr="001F5CA8" w:rsidRDefault="001F5CA8" w:rsidP="001F5CA8">
      <w:pPr>
        <w:rPr>
          <w:rFonts w:asciiTheme="minorHAnsi" w:hAnsiTheme="minorHAnsi"/>
          <w:iCs/>
        </w:rPr>
      </w:pPr>
      <w:r w:rsidRPr="001F5CA8">
        <w:rPr>
          <w:rFonts w:asciiTheme="minorHAnsi" w:hAnsiTheme="minorHAnsi"/>
          <w:iCs/>
        </w:rPr>
        <w:t>This document is a general guide to appropriate practice, to be followed subject to the circumstances, clinician’s judgement and patient’s preferences in each individual case. It is designed to provide information to assist decision making. The relevance and appropriateness of the information and recommendations in this document depend on the individual circumstances. Moreover, the recommendations and guidelines are subject to change over time.</w:t>
      </w:r>
    </w:p>
    <w:p w:rsidR="001F5CA8" w:rsidRPr="001F5CA8" w:rsidRDefault="001F5CA8" w:rsidP="001F5CA8">
      <w:pPr>
        <w:rPr>
          <w:rFonts w:asciiTheme="minorHAnsi" w:hAnsiTheme="minorHAnsi"/>
        </w:rPr>
      </w:pPr>
      <w:r w:rsidRPr="001F5CA8">
        <w:rPr>
          <w:rFonts w:asciiTheme="minorHAnsi" w:hAnsiTheme="minorHAnsi"/>
          <w:iCs/>
        </w:rPr>
        <w:t>Each of the parties involved in developing this document expressly disclaims and accepts no responsibility for any undesirable consequences arising from relying on the information or recommendations contained herein</w:t>
      </w:r>
      <w:r w:rsidRPr="001F5CA8">
        <w:rPr>
          <w:rFonts w:asciiTheme="minorHAnsi" w:hAnsiTheme="minorHAnsi"/>
        </w:rPr>
        <w:t>.</w:t>
      </w:r>
    </w:p>
    <w:p w:rsidR="001F5CA8" w:rsidRPr="001F5CA8" w:rsidRDefault="001F5CA8" w:rsidP="001F5CA8">
      <w:pPr>
        <w:rPr>
          <w:rStyle w:val="A0"/>
          <w:rFonts w:asciiTheme="minorHAnsi" w:hAnsiTheme="minorHAnsi" w:cs="Arial"/>
          <w:b/>
          <w:sz w:val="22"/>
          <w:szCs w:val="22"/>
        </w:rPr>
      </w:pPr>
    </w:p>
    <w:p w:rsidR="001F5CA8" w:rsidRPr="001F5CA8" w:rsidRDefault="001F5CA8" w:rsidP="001F5CA8">
      <w:pPr>
        <w:rPr>
          <w:rStyle w:val="A0"/>
          <w:rFonts w:asciiTheme="minorHAnsi" w:hAnsiTheme="minorHAnsi" w:cs="Arial"/>
          <w:b/>
          <w:sz w:val="22"/>
          <w:szCs w:val="22"/>
        </w:rPr>
      </w:pPr>
    </w:p>
    <w:p w:rsidR="001F5CA8" w:rsidRDefault="001F5CA8" w:rsidP="001F5CA8">
      <w:pPr>
        <w:rPr>
          <w:rStyle w:val="A0"/>
          <w:rFonts w:ascii="Arial" w:hAnsi="Arial" w:cs="Arial"/>
          <w:b/>
          <w:sz w:val="36"/>
          <w:szCs w:val="36"/>
        </w:rPr>
      </w:pPr>
      <w:r>
        <w:rPr>
          <w:rStyle w:val="A0"/>
          <w:rFonts w:ascii="Arial" w:hAnsi="Arial" w:cs="Arial"/>
          <w:b/>
          <w:sz w:val="36"/>
          <w:szCs w:val="36"/>
        </w:rPr>
        <w:lastRenderedPageBreak/>
        <w:t xml:space="preserve">Guidelines for the management of haemophilia in Australia </w:t>
      </w:r>
    </w:p>
    <w:p w:rsidR="00CC6DA6" w:rsidRPr="001F5CA8" w:rsidRDefault="00CC6DA6" w:rsidP="00EB1409">
      <w:pPr>
        <w:pStyle w:val="Heading3a"/>
        <w:rPr>
          <w:szCs w:val="22"/>
        </w:rPr>
      </w:pPr>
      <w:r>
        <w:rPr>
          <w:szCs w:val="22"/>
          <w:lang w:val="en-AU"/>
        </w:rPr>
        <w:t>Acknowledgements</w:t>
      </w:r>
    </w:p>
    <w:p w:rsidR="00EB1409" w:rsidRDefault="00CC6DA6" w:rsidP="00CC6DA6">
      <w:pPr>
        <w:spacing w:after="0"/>
        <w:rPr>
          <w:rStyle w:val="A0"/>
        </w:rPr>
      </w:pPr>
      <w:r>
        <w:rPr>
          <w:rStyle w:val="A0"/>
        </w:rPr>
        <w:t>The Australian Haemophilia Centre Directors’ Organisation</w:t>
      </w:r>
      <w:r w:rsidR="00EB1409">
        <w:rPr>
          <w:rStyle w:val="A0"/>
        </w:rPr>
        <w:t xml:space="preserve"> (AHCDO)</w:t>
      </w:r>
      <w:r>
        <w:rPr>
          <w:rStyle w:val="A0"/>
        </w:rPr>
        <w:t xml:space="preserve"> wishes to acknowledge </w:t>
      </w:r>
      <w:r w:rsidR="00EB1409">
        <w:rPr>
          <w:rStyle w:val="A0"/>
        </w:rPr>
        <w:t xml:space="preserve">and thank the </w:t>
      </w:r>
      <w:r>
        <w:rPr>
          <w:rStyle w:val="A0"/>
        </w:rPr>
        <w:t>World Federation of Hemophila</w:t>
      </w:r>
      <w:r w:rsidR="0098742B">
        <w:rPr>
          <w:rStyle w:val="A0"/>
        </w:rPr>
        <w:t xml:space="preserve"> (WFH) </w:t>
      </w:r>
      <w:r w:rsidR="00EB1409">
        <w:rPr>
          <w:rStyle w:val="A0"/>
        </w:rPr>
        <w:t xml:space="preserve">for allowing AHCDO to review and adapt the </w:t>
      </w:r>
      <w:r w:rsidR="00EB1409" w:rsidRPr="00EB1409">
        <w:rPr>
          <w:rStyle w:val="A0"/>
          <w:i/>
        </w:rPr>
        <w:t>Guidelines for the management of hemophilia (2</w:t>
      </w:r>
      <w:r w:rsidR="00EB1409" w:rsidRPr="00EB1409">
        <w:rPr>
          <w:rStyle w:val="A0"/>
          <w:i/>
          <w:vertAlign w:val="superscript"/>
        </w:rPr>
        <w:t>nd</w:t>
      </w:r>
      <w:r w:rsidR="00EB1409" w:rsidRPr="00EB1409">
        <w:rPr>
          <w:rStyle w:val="A0"/>
          <w:i/>
        </w:rPr>
        <w:t xml:space="preserve"> edition)</w:t>
      </w:r>
      <w:r w:rsidR="00EB1409">
        <w:rPr>
          <w:rStyle w:val="A0"/>
          <w:i/>
        </w:rPr>
        <w:t xml:space="preserve"> </w:t>
      </w:r>
      <w:r w:rsidR="00EB1409">
        <w:rPr>
          <w:rStyle w:val="A0"/>
        </w:rPr>
        <w:t xml:space="preserve">for the Australian setting. </w:t>
      </w:r>
    </w:p>
    <w:p w:rsidR="00EB1409" w:rsidRDefault="00EB1409" w:rsidP="00CC6DA6">
      <w:pPr>
        <w:spacing w:after="0"/>
        <w:rPr>
          <w:rStyle w:val="A0"/>
        </w:rPr>
      </w:pPr>
    </w:p>
    <w:p w:rsidR="00CC6DA6" w:rsidRDefault="00EB1409" w:rsidP="00CC6DA6">
      <w:pPr>
        <w:spacing w:after="0"/>
        <w:rPr>
          <w:rStyle w:val="A0"/>
        </w:rPr>
      </w:pPr>
      <w:r>
        <w:rPr>
          <w:rStyle w:val="A0"/>
        </w:rPr>
        <w:t>The following clinical experts reviewed the WFH</w:t>
      </w:r>
      <w:r w:rsidR="002751B6">
        <w:rPr>
          <w:rStyle w:val="A0"/>
        </w:rPr>
        <w:t xml:space="preserve">’s </w:t>
      </w:r>
      <w:r w:rsidR="002751B6" w:rsidRPr="00EB1409">
        <w:rPr>
          <w:rStyle w:val="A0"/>
          <w:i/>
        </w:rPr>
        <w:t>Guidelines for the management of hemophilia (2</w:t>
      </w:r>
      <w:r w:rsidR="002751B6" w:rsidRPr="00EB1409">
        <w:rPr>
          <w:rStyle w:val="A0"/>
          <w:i/>
          <w:vertAlign w:val="superscript"/>
        </w:rPr>
        <w:t>nd</w:t>
      </w:r>
      <w:r w:rsidR="002751B6" w:rsidRPr="00EB1409">
        <w:rPr>
          <w:rStyle w:val="A0"/>
          <w:i/>
        </w:rPr>
        <w:t xml:space="preserve"> edition)</w:t>
      </w:r>
      <w:r w:rsidR="002751B6">
        <w:rPr>
          <w:rStyle w:val="A0"/>
          <w:i/>
        </w:rPr>
        <w:t xml:space="preserve"> </w:t>
      </w:r>
      <w:r>
        <w:rPr>
          <w:rStyle w:val="A0"/>
        </w:rPr>
        <w:t>and adapted the content for the Australian</w:t>
      </w:r>
      <w:r w:rsidR="00263F7C">
        <w:rPr>
          <w:rStyle w:val="A0"/>
        </w:rPr>
        <w:t xml:space="preserve"> setting.</w:t>
      </w:r>
    </w:p>
    <w:p w:rsidR="00EB1409" w:rsidRDefault="00EB1409" w:rsidP="00CC6DA6">
      <w:pPr>
        <w:spacing w:after="0"/>
        <w:rPr>
          <w:rStyle w:val="A0"/>
        </w:rPr>
      </w:pPr>
    </w:p>
    <w:p w:rsidR="00263F7C" w:rsidRPr="006914AF" w:rsidRDefault="00263F7C" w:rsidP="00263F7C">
      <w:pPr>
        <w:spacing w:after="0"/>
        <w:rPr>
          <w:rStyle w:val="Hyperlink"/>
          <w:rFonts w:cs="ITC Garamond Std Lt"/>
          <w:color w:val="auto"/>
          <w:sz w:val="20"/>
          <w:szCs w:val="20"/>
        </w:rPr>
      </w:pPr>
      <w:r w:rsidRPr="006914AF">
        <w:rPr>
          <w:rStyle w:val="Hyperlink"/>
          <w:rFonts w:cs="ITC Garamond Std Lt"/>
          <w:color w:val="auto"/>
          <w:sz w:val="20"/>
          <w:szCs w:val="20"/>
        </w:rPr>
        <w:t>Alfred</w:t>
      </w:r>
      <w:r>
        <w:rPr>
          <w:rStyle w:val="Hyperlink"/>
          <w:rFonts w:cs="ITC Garamond Std Lt"/>
          <w:color w:val="auto"/>
          <w:sz w:val="20"/>
          <w:szCs w:val="20"/>
        </w:rPr>
        <w:t xml:space="preserve"> Health</w:t>
      </w:r>
    </w:p>
    <w:p w:rsidR="00263F7C" w:rsidRDefault="00263F7C" w:rsidP="00263F7C">
      <w:pPr>
        <w:spacing w:after="0"/>
        <w:rPr>
          <w:rStyle w:val="A0"/>
        </w:rPr>
      </w:pPr>
      <w:r>
        <w:rPr>
          <w:rStyle w:val="A0"/>
        </w:rPr>
        <w:t>Australasian College of Phlebology</w:t>
      </w:r>
    </w:p>
    <w:p w:rsidR="00263F7C" w:rsidRDefault="00263F7C" w:rsidP="00263F7C">
      <w:pPr>
        <w:spacing w:after="0"/>
        <w:rPr>
          <w:rStyle w:val="A0"/>
        </w:rPr>
      </w:pPr>
      <w:r>
        <w:rPr>
          <w:rStyle w:val="A0"/>
        </w:rPr>
        <w:t>Australasian Society of Infectious Diseases</w:t>
      </w:r>
    </w:p>
    <w:p w:rsidR="00263F7C" w:rsidRDefault="00263F7C" w:rsidP="00263F7C">
      <w:pPr>
        <w:spacing w:after="0"/>
        <w:rPr>
          <w:rStyle w:val="A0"/>
        </w:rPr>
      </w:pPr>
      <w:r>
        <w:rPr>
          <w:rStyle w:val="A0"/>
        </w:rPr>
        <w:t>Australasian Society of Thrombosis and Haemostasis</w:t>
      </w:r>
    </w:p>
    <w:p w:rsidR="00263F7C" w:rsidRDefault="00263F7C" w:rsidP="00263F7C">
      <w:pPr>
        <w:spacing w:after="0"/>
        <w:rPr>
          <w:rStyle w:val="A0"/>
        </w:rPr>
      </w:pPr>
      <w:r>
        <w:rPr>
          <w:rStyle w:val="A0"/>
        </w:rPr>
        <w:t>Australia &amp; New Zealand College of Anaesthetists</w:t>
      </w:r>
    </w:p>
    <w:p w:rsidR="00263F7C" w:rsidRDefault="00263F7C" w:rsidP="00263F7C">
      <w:pPr>
        <w:spacing w:after="0"/>
        <w:rPr>
          <w:rStyle w:val="A0"/>
        </w:rPr>
      </w:pPr>
      <w:r>
        <w:rPr>
          <w:rStyle w:val="A0"/>
        </w:rPr>
        <w:t>Australian &amp; New Zealand Social Workers &amp; Counsellors’ Group</w:t>
      </w:r>
    </w:p>
    <w:p w:rsidR="00263F7C" w:rsidRDefault="00263F7C" w:rsidP="00263F7C">
      <w:pPr>
        <w:spacing w:after="0"/>
        <w:rPr>
          <w:rStyle w:val="A0"/>
        </w:rPr>
      </w:pPr>
      <w:r>
        <w:rPr>
          <w:rStyle w:val="A0"/>
        </w:rPr>
        <w:t>Australian &amp; New Zealand Society of Nephrology</w:t>
      </w:r>
    </w:p>
    <w:p w:rsidR="00263F7C" w:rsidRDefault="00263F7C" w:rsidP="00263F7C">
      <w:pPr>
        <w:spacing w:after="0"/>
        <w:rPr>
          <w:rStyle w:val="A0"/>
        </w:rPr>
      </w:pPr>
      <w:r>
        <w:rPr>
          <w:rStyle w:val="A0"/>
        </w:rPr>
        <w:t>Australian Haemophilia Nurses Group</w:t>
      </w:r>
    </w:p>
    <w:p w:rsidR="00263F7C" w:rsidRDefault="00263F7C" w:rsidP="00263F7C">
      <w:pPr>
        <w:spacing w:after="0"/>
        <w:rPr>
          <w:rStyle w:val="A0"/>
        </w:rPr>
      </w:pPr>
      <w:r>
        <w:rPr>
          <w:rStyle w:val="A0"/>
        </w:rPr>
        <w:t>Australian Physiotherapy Association</w:t>
      </w:r>
    </w:p>
    <w:p w:rsidR="00263F7C" w:rsidRDefault="00263F7C" w:rsidP="00263F7C">
      <w:pPr>
        <w:spacing w:after="0"/>
        <w:rPr>
          <w:rStyle w:val="A0"/>
        </w:rPr>
      </w:pPr>
      <w:r>
        <w:rPr>
          <w:rStyle w:val="A0"/>
        </w:rPr>
        <w:t>Haematology Society of Australia &amp; New Zealand – Nurses Group</w:t>
      </w:r>
    </w:p>
    <w:p w:rsidR="00263F7C" w:rsidRDefault="00263F7C" w:rsidP="00263F7C">
      <w:pPr>
        <w:spacing w:after="0"/>
        <w:rPr>
          <w:rStyle w:val="A0"/>
        </w:rPr>
      </w:pPr>
      <w:r>
        <w:rPr>
          <w:rStyle w:val="A0"/>
        </w:rPr>
        <w:t>Haemophilia Foundation Australia</w:t>
      </w:r>
    </w:p>
    <w:p w:rsidR="00263F7C" w:rsidRDefault="00263F7C" w:rsidP="00263F7C">
      <w:pPr>
        <w:spacing w:after="0"/>
        <w:rPr>
          <w:rStyle w:val="A0"/>
        </w:rPr>
      </w:pPr>
      <w:r>
        <w:rPr>
          <w:rStyle w:val="A0"/>
        </w:rPr>
        <w:t>Human Genetics Society of Australasia</w:t>
      </w:r>
    </w:p>
    <w:p w:rsidR="00263F7C" w:rsidRDefault="00263F7C" w:rsidP="00263F7C">
      <w:pPr>
        <w:spacing w:after="0"/>
        <w:rPr>
          <w:rStyle w:val="A0"/>
        </w:rPr>
      </w:pPr>
      <w:r>
        <w:rPr>
          <w:rStyle w:val="A0"/>
        </w:rPr>
        <w:t>N</w:t>
      </w:r>
      <w:r w:rsidR="00214A6A">
        <w:rPr>
          <w:rStyle w:val="A0"/>
        </w:rPr>
        <w:t xml:space="preserve">ew </w:t>
      </w:r>
      <w:r>
        <w:rPr>
          <w:rStyle w:val="A0"/>
        </w:rPr>
        <w:t>S</w:t>
      </w:r>
      <w:r w:rsidR="00214A6A">
        <w:rPr>
          <w:rStyle w:val="A0"/>
        </w:rPr>
        <w:t xml:space="preserve">outh </w:t>
      </w:r>
      <w:r>
        <w:rPr>
          <w:rStyle w:val="A0"/>
        </w:rPr>
        <w:t>W</w:t>
      </w:r>
      <w:r w:rsidR="00214A6A">
        <w:rPr>
          <w:rStyle w:val="A0"/>
        </w:rPr>
        <w:t>ales</w:t>
      </w:r>
      <w:r>
        <w:rPr>
          <w:rStyle w:val="A0"/>
        </w:rPr>
        <w:t xml:space="preserve"> Haemophilia Advisory Committee</w:t>
      </w:r>
    </w:p>
    <w:p w:rsidR="00263F7C" w:rsidRDefault="00263F7C" w:rsidP="00263F7C">
      <w:pPr>
        <w:spacing w:after="0"/>
        <w:rPr>
          <w:rStyle w:val="A0"/>
        </w:rPr>
      </w:pPr>
      <w:r>
        <w:rPr>
          <w:rStyle w:val="A0"/>
        </w:rPr>
        <w:t>Royal Australasian College of Dental Surgeons</w:t>
      </w:r>
    </w:p>
    <w:p w:rsidR="00263F7C" w:rsidRPr="00ED5FFF" w:rsidRDefault="00263F7C" w:rsidP="00263F7C">
      <w:pPr>
        <w:spacing w:after="0"/>
        <w:rPr>
          <w:rStyle w:val="A0"/>
        </w:rPr>
      </w:pPr>
      <w:r>
        <w:rPr>
          <w:rStyle w:val="A0"/>
        </w:rPr>
        <w:t>Royal Australasian College of Physicians</w:t>
      </w:r>
    </w:p>
    <w:p w:rsidR="00263F7C" w:rsidRDefault="00263F7C" w:rsidP="00263F7C">
      <w:pPr>
        <w:spacing w:after="0"/>
        <w:rPr>
          <w:rStyle w:val="A0"/>
        </w:rPr>
      </w:pPr>
      <w:r>
        <w:rPr>
          <w:rStyle w:val="A0"/>
        </w:rPr>
        <w:t>Royal Australasian College of Surgeons</w:t>
      </w:r>
    </w:p>
    <w:p w:rsidR="00263F7C" w:rsidRDefault="00263F7C" w:rsidP="00263F7C">
      <w:pPr>
        <w:spacing w:after="0"/>
        <w:rPr>
          <w:rStyle w:val="A0"/>
        </w:rPr>
      </w:pPr>
      <w:r>
        <w:rPr>
          <w:rStyle w:val="A0"/>
        </w:rPr>
        <w:t>Royal Australian &amp; New Zealand College of Obstetricians &amp; Gynaecologists</w:t>
      </w:r>
    </w:p>
    <w:p w:rsidR="00263F7C" w:rsidRDefault="00263F7C" w:rsidP="00263F7C">
      <w:pPr>
        <w:spacing w:after="0"/>
        <w:rPr>
          <w:rStyle w:val="A0"/>
        </w:rPr>
      </w:pPr>
      <w:r>
        <w:rPr>
          <w:rStyle w:val="A0"/>
        </w:rPr>
        <w:t>Royal Australian &amp; New Zealand College of Ophthalmologists</w:t>
      </w:r>
    </w:p>
    <w:p w:rsidR="00263F7C" w:rsidRDefault="00263F7C" w:rsidP="00263F7C">
      <w:pPr>
        <w:spacing w:after="0"/>
        <w:rPr>
          <w:rStyle w:val="A0"/>
        </w:rPr>
      </w:pPr>
      <w:r>
        <w:rPr>
          <w:rStyle w:val="A0"/>
        </w:rPr>
        <w:t>Royal College of Pathologists of Australasia</w:t>
      </w:r>
    </w:p>
    <w:p w:rsidR="00263F7C" w:rsidRPr="006914AF" w:rsidRDefault="00263F7C" w:rsidP="00041ED2">
      <w:pPr>
        <w:spacing w:after="0"/>
        <w:ind w:left="0" w:firstLine="720"/>
        <w:rPr>
          <w:rStyle w:val="Hyperlink"/>
          <w:rFonts w:cs="ITC Garamond Std Lt"/>
          <w:color w:val="auto"/>
          <w:sz w:val="20"/>
          <w:szCs w:val="20"/>
        </w:rPr>
      </w:pPr>
      <w:r>
        <w:rPr>
          <w:rStyle w:val="Hyperlink"/>
          <w:rFonts w:cs="ITC Garamond Std Lt"/>
          <w:color w:val="auto"/>
          <w:sz w:val="20"/>
          <w:szCs w:val="20"/>
        </w:rPr>
        <w:t>Royal Prince Alfred Hospital</w:t>
      </w:r>
    </w:p>
    <w:p w:rsidR="00263F7C" w:rsidRPr="006914AF" w:rsidRDefault="00263F7C" w:rsidP="00263F7C">
      <w:pPr>
        <w:spacing w:after="0"/>
        <w:rPr>
          <w:rStyle w:val="Hyperlink"/>
          <w:rFonts w:cs="ITC Garamond Std Lt"/>
          <w:color w:val="auto"/>
          <w:sz w:val="20"/>
          <w:szCs w:val="20"/>
        </w:rPr>
      </w:pPr>
      <w:r>
        <w:rPr>
          <w:rStyle w:val="Hyperlink"/>
          <w:rFonts w:cs="ITC Garamond Std Lt"/>
          <w:color w:val="auto"/>
          <w:sz w:val="20"/>
          <w:szCs w:val="20"/>
        </w:rPr>
        <w:t>World Federation of Hemophilia</w:t>
      </w:r>
    </w:p>
    <w:p w:rsidR="00CC6DA6" w:rsidRDefault="00CC6DA6" w:rsidP="00CC6DA6">
      <w:pPr>
        <w:spacing w:after="0"/>
        <w:rPr>
          <w:rStyle w:val="A0"/>
        </w:rPr>
      </w:pPr>
    </w:p>
    <w:p w:rsidR="001F5CA8" w:rsidRDefault="001F5CA8" w:rsidP="001F5CA8">
      <w:pPr>
        <w:spacing w:after="0"/>
        <w:rPr>
          <w:rStyle w:val="Hyperlink"/>
          <w:rFonts w:cs="ITC Garamond Std Lt"/>
          <w:sz w:val="20"/>
          <w:szCs w:val="20"/>
        </w:rPr>
      </w:pPr>
      <w:bookmarkStart w:id="1" w:name="Editing"/>
      <w:bookmarkEnd w:id="1"/>
    </w:p>
    <w:p w:rsidR="0055347B" w:rsidRDefault="0055347B" w:rsidP="001F5CA8">
      <w:pPr>
        <w:spacing w:after="0"/>
        <w:rPr>
          <w:rStyle w:val="Hyperlink"/>
          <w:rFonts w:cs="ITC Garamond Std Lt"/>
          <w:sz w:val="20"/>
          <w:szCs w:val="20"/>
        </w:rPr>
      </w:pPr>
    </w:p>
    <w:p w:rsidR="0055347B" w:rsidRDefault="0055347B" w:rsidP="001F5CA8">
      <w:pPr>
        <w:spacing w:after="0"/>
        <w:rPr>
          <w:rStyle w:val="Hyperlink"/>
          <w:rFonts w:cs="ITC Garamond Std Lt"/>
          <w:sz w:val="20"/>
          <w:szCs w:val="20"/>
        </w:rPr>
      </w:pPr>
    </w:p>
    <w:p w:rsidR="001F5CA8" w:rsidRDefault="001F5CA8" w:rsidP="001F5CA8">
      <w:pPr>
        <w:spacing w:after="0"/>
        <w:rPr>
          <w:rStyle w:val="Hyperlink"/>
          <w:rFonts w:cs="ITC Garamond Std Lt"/>
          <w:sz w:val="20"/>
          <w:szCs w:val="20"/>
        </w:rPr>
      </w:pPr>
    </w:p>
    <w:p w:rsidR="001F5CA8" w:rsidRDefault="001F5CA8" w:rsidP="001F5CA8">
      <w:pPr>
        <w:spacing w:after="0"/>
        <w:rPr>
          <w:rStyle w:val="Hyperlink"/>
          <w:rFonts w:cs="ITC Garamond Std Lt"/>
          <w:sz w:val="20"/>
          <w:szCs w:val="20"/>
        </w:rPr>
      </w:pPr>
    </w:p>
    <w:p w:rsidR="001F5CA8" w:rsidRDefault="001F5CA8" w:rsidP="001F5CA8">
      <w:pPr>
        <w:spacing w:after="0"/>
        <w:rPr>
          <w:rStyle w:val="Hyperlink"/>
          <w:rFonts w:cs="ITC Garamond Std Lt"/>
          <w:sz w:val="20"/>
          <w:szCs w:val="20"/>
        </w:rPr>
      </w:pPr>
    </w:p>
    <w:p w:rsidR="001F5CA8" w:rsidRDefault="001F5CA8" w:rsidP="001F5CA8">
      <w:pPr>
        <w:spacing w:after="0"/>
        <w:rPr>
          <w:rStyle w:val="Hyperlink"/>
          <w:rFonts w:cs="ITC Garamond Std Lt"/>
          <w:sz w:val="20"/>
          <w:szCs w:val="20"/>
        </w:rPr>
      </w:pPr>
    </w:p>
    <w:p w:rsidR="001F5CA8" w:rsidRDefault="001F5CA8" w:rsidP="001F5CA8">
      <w:pPr>
        <w:spacing w:after="0"/>
        <w:rPr>
          <w:rStyle w:val="Hyperlink"/>
          <w:rFonts w:cs="ITC Garamond Std Lt"/>
          <w:sz w:val="20"/>
          <w:szCs w:val="20"/>
        </w:rPr>
      </w:pPr>
    </w:p>
    <w:p w:rsidR="00045ACB" w:rsidRDefault="00045ACB" w:rsidP="001F5CA8">
      <w:pPr>
        <w:spacing w:after="0"/>
        <w:rPr>
          <w:rStyle w:val="Hyperlink"/>
          <w:rFonts w:cs="ITC Garamond Std Lt"/>
          <w:sz w:val="20"/>
          <w:szCs w:val="20"/>
        </w:rPr>
      </w:pPr>
    </w:p>
    <w:p w:rsidR="00F30980" w:rsidRDefault="00F30980" w:rsidP="001F5CA8">
      <w:pPr>
        <w:spacing w:after="0"/>
        <w:rPr>
          <w:rStyle w:val="Hyperlink"/>
          <w:rFonts w:cs="ITC Garamond Std Lt"/>
          <w:sz w:val="20"/>
          <w:szCs w:val="20"/>
        </w:rPr>
      </w:pPr>
    </w:p>
    <w:p w:rsidR="007610D2" w:rsidRDefault="007610D2" w:rsidP="001F5CA8">
      <w:pPr>
        <w:spacing w:after="0"/>
        <w:rPr>
          <w:rStyle w:val="Hyperlink"/>
          <w:rFonts w:cs="ITC Garamond Std Lt"/>
          <w:sz w:val="20"/>
          <w:szCs w:val="20"/>
        </w:rPr>
      </w:pPr>
      <w:r w:rsidRPr="00041ED2">
        <w:rPr>
          <w:rFonts w:cs="ITC Garamond Std Lt"/>
          <w:noProof/>
          <w:color w:val="004276"/>
          <w:sz w:val="20"/>
          <w:szCs w:val="20"/>
        </w:rPr>
        <w:drawing>
          <wp:inline distT="0" distB="0" distL="0" distR="0" wp14:anchorId="44D45D0B" wp14:editId="220251AE">
            <wp:extent cx="954156" cy="520093"/>
            <wp:effectExtent l="0" t="0" r="0" b="0"/>
            <wp:docPr id="35" name="Picture 35" descr="\\cbrintfs01.nba.local\users\79605642\Desktop\ahcd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intfs01.nba.local\users\79605642\Desktop\ahcdo-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5918" cy="521053"/>
                    </a:xfrm>
                    <a:prstGeom prst="rect">
                      <a:avLst/>
                    </a:prstGeom>
                    <a:noFill/>
                    <a:ln>
                      <a:noFill/>
                    </a:ln>
                  </pic:spPr>
                </pic:pic>
              </a:graphicData>
            </a:graphic>
          </wp:inline>
        </w:drawing>
      </w:r>
      <w:r>
        <w:rPr>
          <w:rStyle w:val="Hyperlink"/>
          <w:rFonts w:cs="ITC Garamond Std Lt"/>
          <w:sz w:val="20"/>
          <w:szCs w:val="20"/>
        </w:rPr>
        <w:t xml:space="preserve">       </w:t>
      </w:r>
      <w:r w:rsidRPr="00041ED2">
        <w:rPr>
          <w:rFonts w:cs="ITC Garamond Std Lt"/>
          <w:noProof/>
          <w:color w:val="004276"/>
          <w:sz w:val="20"/>
          <w:szCs w:val="20"/>
        </w:rPr>
        <w:drawing>
          <wp:inline distT="0" distB="0" distL="0" distR="0" wp14:anchorId="5EAECFB4" wp14:editId="736324F3">
            <wp:extent cx="1852654" cy="344346"/>
            <wp:effectExtent l="0" t="0" r="0" b="0"/>
            <wp:docPr id="36" name="Picture 36" descr="\\cbrintfs01.nba.local\users\79605642\Desktop\NBA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rintfs01.nba.local\users\79605642\Desktop\NBA Logo_CMY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2750" cy="344364"/>
                    </a:xfrm>
                    <a:prstGeom prst="rect">
                      <a:avLst/>
                    </a:prstGeom>
                    <a:noFill/>
                    <a:ln>
                      <a:noFill/>
                    </a:ln>
                  </pic:spPr>
                </pic:pic>
              </a:graphicData>
            </a:graphic>
          </wp:inline>
        </w:drawing>
      </w:r>
    </w:p>
    <w:p w:rsidR="00045ACB" w:rsidRDefault="00045ACB" w:rsidP="001F5CA8">
      <w:pPr>
        <w:spacing w:after="0"/>
        <w:rPr>
          <w:rStyle w:val="Hyperlink"/>
          <w:rFonts w:cs="ITC Garamond Std Lt"/>
          <w:sz w:val="20"/>
          <w:szCs w:val="20"/>
        </w:rPr>
      </w:pPr>
    </w:p>
    <w:p w:rsidR="001F5CA8" w:rsidRDefault="001F5CA8" w:rsidP="001F5CA8">
      <w:pPr>
        <w:spacing w:after="0"/>
        <w:rPr>
          <w:rStyle w:val="Hyperlink"/>
          <w:rFonts w:cs="ITC Garamond Std Lt"/>
          <w:sz w:val="20"/>
          <w:szCs w:val="20"/>
        </w:rPr>
      </w:pPr>
    </w:p>
    <w:p w:rsidR="001F5CA8" w:rsidRDefault="00ED3A1E" w:rsidP="001F5CA8">
      <w:pPr>
        <w:spacing w:after="0"/>
        <w:rPr>
          <w:rFonts w:cs="ITC Garamond Std Lt"/>
          <w:b/>
          <w:color w:val="221E1F"/>
        </w:rPr>
      </w:pPr>
      <w:r>
        <w:rPr>
          <w:rStyle w:val="A0"/>
        </w:rPr>
        <w:t>The development of the</w:t>
      </w:r>
      <w:r w:rsidR="00045ACB">
        <w:rPr>
          <w:rStyle w:val="A0"/>
        </w:rPr>
        <w:t xml:space="preserve"> </w:t>
      </w:r>
      <w:r w:rsidR="00045ACB" w:rsidRPr="00045ACB">
        <w:rPr>
          <w:rStyle w:val="A0"/>
          <w:rFonts w:asciiTheme="minorHAnsi" w:hAnsiTheme="minorHAnsi" w:cs="Arial"/>
          <w:i/>
        </w:rPr>
        <w:t>Guidelines for the management of haemophilia in Australia</w:t>
      </w:r>
      <w:r w:rsidR="00045ACB" w:rsidRPr="00045ACB">
        <w:rPr>
          <w:rStyle w:val="A0"/>
          <w:rFonts w:asciiTheme="minorHAnsi" w:hAnsiTheme="minorHAnsi" w:cs="Arial"/>
        </w:rPr>
        <w:t xml:space="preserve"> </w:t>
      </w:r>
      <w:r>
        <w:rPr>
          <w:rStyle w:val="A0"/>
        </w:rPr>
        <w:t xml:space="preserve">was </w:t>
      </w:r>
      <w:r w:rsidR="007864FD">
        <w:rPr>
          <w:rStyle w:val="A0"/>
        </w:rPr>
        <w:t xml:space="preserve">a </w:t>
      </w:r>
      <w:r>
        <w:rPr>
          <w:rStyle w:val="A0"/>
        </w:rPr>
        <w:t>joint project between AHCDO and the National Blood Authority, Australia</w:t>
      </w:r>
      <w:r w:rsidR="00045ACB">
        <w:rPr>
          <w:rStyle w:val="A0"/>
        </w:rPr>
        <w:t xml:space="preserve"> (NBA)</w:t>
      </w:r>
      <w:r>
        <w:rPr>
          <w:rStyle w:val="A0"/>
        </w:rPr>
        <w:t xml:space="preserve">. </w:t>
      </w:r>
      <w:r w:rsidR="00045ACB">
        <w:rPr>
          <w:rStyle w:val="A0"/>
        </w:rPr>
        <w:t>The NBA provided</w:t>
      </w:r>
      <w:r>
        <w:rPr>
          <w:rStyle w:val="A0"/>
        </w:rPr>
        <w:t xml:space="preserve"> project management</w:t>
      </w:r>
      <w:r w:rsidR="00045ACB">
        <w:rPr>
          <w:rStyle w:val="A0"/>
        </w:rPr>
        <w:t xml:space="preserve"> oversight and managed the procurement of all goods and services associated with the development of guideline. </w:t>
      </w:r>
      <w:r>
        <w:rPr>
          <w:rStyle w:val="A0"/>
        </w:rPr>
        <w:t xml:space="preserve">     </w:t>
      </w:r>
    </w:p>
    <w:p w:rsidR="001F5CA8" w:rsidRDefault="001F5CA8" w:rsidP="001F5CA8">
      <w:pPr>
        <w:spacing w:after="0"/>
        <w:rPr>
          <w:noProof/>
        </w:rPr>
        <w:sectPr w:rsidR="001F5CA8" w:rsidSect="00585265">
          <w:headerReference w:type="even" r:id="rId16"/>
          <w:headerReference w:type="default" r:id="rId17"/>
          <w:headerReference w:type="first" r:id="rId18"/>
          <w:footerReference w:type="first" r:id="rId19"/>
          <w:footnotePr>
            <w:numFmt w:val="lowerLetter"/>
          </w:footnotePr>
          <w:pgSz w:w="11906" w:h="16838" w:code="9"/>
          <w:pgMar w:top="1440" w:right="1440" w:bottom="1440" w:left="1440" w:header="578" w:footer="578" w:gutter="0"/>
          <w:pgNumType w:fmt="lowerRoman" w:start="1"/>
          <w:cols w:space="720"/>
          <w:titlePg/>
          <w:docGrid w:linePitch="360"/>
        </w:sectPr>
      </w:pPr>
    </w:p>
    <w:p w:rsidR="001F5CA8" w:rsidRDefault="00CC6DA6" w:rsidP="00041ED2">
      <w:pPr>
        <w:pStyle w:val="Heading1"/>
        <w:rPr>
          <w:rStyle w:val="A0"/>
          <w:rFonts w:cs="Arial"/>
          <w:color w:val="1E1E1E"/>
          <w:sz w:val="36"/>
          <w:szCs w:val="36"/>
        </w:rPr>
      </w:pPr>
      <w:bookmarkStart w:id="2" w:name="_Toc431473139"/>
      <w:bookmarkStart w:id="3" w:name="_Toc431484297"/>
      <w:r w:rsidRPr="00041ED2">
        <w:rPr>
          <w:rStyle w:val="A0"/>
          <w:rFonts w:cs="Arial"/>
          <w:color w:val="1E1E1E"/>
          <w:sz w:val="36"/>
          <w:szCs w:val="36"/>
        </w:rPr>
        <w:lastRenderedPageBreak/>
        <w:t>Contents</w:t>
      </w:r>
      <w:bookmarkEnd w:id="2"/>
      <w:bookmarkEnd w:id="3"/>
    </w:p>
    <w:sdt>
      <w:sdtPr>
        <w:rPr>
          <w:rFonts w:asciiTheme="minorHAnsi" w:eastAsia="Dotum" w:hAnsiTheme="minorHAnsi" w:cs="Arial"/>
          <w:b w:val="0"/>
          <w:bCs w:val="0"/>
          <w:color w:val="FF0000"/>
          <w:sz w:val="32"/>
          <w:szCs w:val="36"/>
          <w:lang w:val="en-AU" w:eastAsia="en-US"/>
        </w:rPr>
        <w:id w:val="1500390696"/>
        <w:docPartObj>
          <w:docPartGallery w:val="Table of Contents"/>
          <w:docPartUnique/>
        </w:docPartObj>
      </w:sdtPr>
      <w:sdtEndPr>
        <w:rPr>
          <w:noProof/>
        </w:rPr>
      </w:sdtEndPr>
      <w:sdtContent>
        <w:p w:rsidR="00707904" w:rsidRDefault="00707904">
          <w:pPr>
            <w:pStyle w:val="TOCHeading"/>
          </w:pPr>
        </w:p>
        <w:p w:rsidR="000B1689" w:rsidRDefault="00707904" w:rsidP="000B1689">
          <w:pPr>
            <w:pStyle w:val="TOC1"/>
            <w:rPr>
              <w:noProof/>
              <w:lang w:val="en-AU" w:eastAsia="en-AU"/>
            </w:rPr>
          </w:pPr>
          <w:r>
            <w:fldChar w:fldCharType="begin"/>
          </w:r>
          <w:r>
            <w:instrText xml:space="preserve"> TOC \o "1-3" \h \z \u </w:instrText>
          </w:r>
          <w:r>
            <w:fldChar w:fldCharType="separate"/>
          </w:r>
          <w:hyperlink w:anchor="_Toc431484297" w:history="1">
            <w:r w:rsidR="000B1689" w:rsidRPr="00AF7229">
              <w:rPr>
                <w:rStyle w:val="Hyperlink"/>
                <w:noProof/>
              </w:rPr>
              <w:t>Contents</w:t>
            </w:r>
            <w:r w:rsidR="000B1689">
              <w:rPr>
                <w:noProof/>
                <w:webHidden/>
              </w:rPr>
              <w:tab/>
            </w:r>
            <w:r w:rsidR="000B1689">
              <w:rPr>
                <w:noProof/>
                <w:webHidden/>
              </w:rPr>
              <w:fldChar w:fldCharType="begin"/>
            </w:r>
            <w:r w:rsidR="000B1689">
              <w:rPr>
                <w:noProof/>
                <w:webHidden/>
              </w:rPr>
              <w:instrText xml:space="preserve"> PAGEREF _Toc431484297 \h </w:instrText>
            </w:r>
            <w:r w:rsidR="000B1689">
              <w:rPr>
                <w:noProof/>
                <w:webHidden/>
              </w:rPr>
            </w:r>
            <w:r w:rsidR="000B1689">
              <w:rPr>
                <w:noProof/>
                <w:webHidden/>
              </w:rPr>
              <w:fldChar w:fldCharType="separate"/>
            </w:r>
            <w:r w:rsidR="000B1689">
              <w:rPr>
                <w:noProof/>
                <w:webHidden/>
              </w:rPr>
              <w:t>4</w:t>
            </w:r>
            <w:r w:rsidR="000B1689">
              <w:rPr>
                <w:noProof/>
                <w:webHidden/>
              </w:rPr>
              <w:fldChar w:fldCharType="end"/>
            </w:r>
          </w:hyperlink>
        </w:p>
        <w:p w:rsidR="000B1689" w:rsidRDefault="00D330B8" w:rsidP="000B1689">
          <w:pPr>
            <w:pStyle w:val="TOC1"/>
            <w:rPr>
              <w:noProof/>
              <w:lang w:val="en-AU" w:eastAsia="en-AU"/>
            </w:rPr>
          </w:pPr>
          <w:hyperlink w:anchor="_Toc431484298" w:history="1">
            <w:r w:rsidR="000B1689" w:rsidRPr="00AF7229">
              <w:rPr>
                <w:rStyle w:val="Hyperlink"/>
                <w:noProof/>
              </w:rPr>
              <w:t>Summary of key practice points</w:t>
            </w:r>
            <w:r w:rsidR="000B1689">
              <w:rPr>
                <w:noProof/>
                <w:webHidden/>
              </w:rPr>
              <w:tab/>
            </w:r>
            <w:r w:rsidR="000B1689">
              <w:rPr>
                <w:noProof/>
                <w:webHidden/>
              </w:rPr>
              <w:fldChar w:fldCharType="begin"/>
            </w:r>
            <w:r w:rsidR="000B1689">
              <w:rPr>
                <w:noProof/>
                <w:webHidden/>
              </w:rPr>
              <w:instrText xml:space="preserve"> PAGEREF _Toc431484298 \h </w:instrText>
            </w:r>
            <w:r w:rsidR="000B1689">
              <w:rPr>
                <w:noProof/>
                <w:webHidden/>
              </w:rPr>
            </w:r>
            <w:r w:rsidR="000B1689">
              <w:rPr>
                <w:noProof/>
                <w:webHidden/>
              </w:rPr>
              <w:fldChar w:fldCharType="separate"/>
            </w:r>
            <w:r w:rsidR="000B1689">
              <w:rPr>
                <w:noProof/>
                <w:webHidden/>
              </w:rPr>
              <w:t>6</w:t>
            </w:r>
            <w:r w:rsidR="000B1689">
              <w:rPr>
                <w:noProof/>
                <w:webHidden/>
              </w:rPr>
              <w:fldChar w:fldCharType="end"/>
            </w:r>
          </w:hyperlink>
        </w:p>
        <w:p w:rsidR="000B1689" w:rsidRDefault="00D330B8" w:rsidP="000B1689">
          <w:pPr>
            <w:pStyle w:val="TOC1"/>
            <w:rPr>
              <w:noProof/>
              <w:lang w:val="en-AU" w:eastAsia="en-AU"/>
            </w:rPr>
          </w:pPr>
          <w:hyperlink w:anchor="_Toc431484299" w:history="1">
            <w:r w:rsidR="000B1689" w:rsidRPr="00AF7229">
              <w:rPr>
                <w:rStyle w:val="Hyperlink"/>
                <w:rFonts w:eastAsia="Dotum"/>
                <w:noProof/>
              </w:rPr>
              <w:t>Introduction</w:t>
            </w:r>
            <w:r w:rsidR="000B1689">
              <w:rPr>
                <w:noProof/>
                <w:webHidden/>
              </w:rPr>
              <w:tab/>
            </w:r>
            <w:r w:rsidR="000B1689">
              <w:rPr>
                <w:noProof/>
                <w:webHidden/>
              </w:rPr>
              <w:fldChar w:fldCharType="begin"/>
            </w:r>
            <w:r w:rsidR="000B1689">
              <w:rPr>
                <w:noProof/>
                <w:webHidden/>
              </w:rPr>
              <w:instrText xml:space="preserve"> PAGEREF _Toc431484299 \h </w:instrText>
            </w:r>
            <w:r w:rsidR="000B1689">
              <w:rPr>
                <w:noProof/>
                <w:webHidden/>
              </w:rPr>
            </w:r>
            <w:r w:rsidR="000B1689">
              <w:rPr>
                <w:noProof/>
                <w:webHidden/>
              </w:rPr>
              <w:fldChar w:fldCharType="separate"/>
            </w:r>
            <w:r w:rsidR="000B1689">
              <w:rPr>
                <w:noProof/>
                <w:webHidden/>
              </w:rPr>
              <w:t>10</w:t>
            </w:r>
            <w:r w:rsidR="000B1689">
              <w:rPr>
                <w:noProof/>
                <w:webHidden/>
              </w:rPr>
              <w:fldChar w:fldCharType="end"/>
            </w:r>
          </w:hyperlink>
        </w:p>
        <w:p w:rsidR="000B1689" w:rsidRDefault="00D330B8" w:rsidP="000B1689">
          <w:pPr>
            <w:pStyle w:val="TOC2"/>
            <w:tabs>
              <w:tab w:val="left" w:pos="660"/>
              <w:tab w:val="right" w:leader="dot" w:pos="9323"/>
            </w:tabs>
            <w:ind w:left="0"/>
            <w:rPr>
              <w:rFonts w:asciiTheme="minorHAnsi" w:eastAsiaTheme="minorEastAsia" w:hAnsiTheme="minorHAnsi" w:cstheme="minorBidi"/>
              <w:noProof/>
              <w:color w:val="auto"/>
            </w:rPr>
          </w:pPr>
          <w:hyperlink w:anchor="_Toc431484300" w:history="1">
            <w:r w:rsidR="000B1689" w:rsidRPr="00AF7229">
              <w:rPr>
                <w:rStyle w:val="Hyperlink"/>
                <w:noProof/>
              </w:rPr>
              <w:t>1</w:t>
            </w:r>
            <w:r w:rsidR="000B1689">
              <w:rPr>
                <w:rFonts w:asciiTheme="minorHAnsi" w:eastAsiaTheme="minorEastAsia" w:hAnsiTheme="minorHAnsi" w:cstheme="minorBidi"/>
                <w:noProof/>
                <w:color w:val="auto"/>
              </w:rPr>
              <w:tab/>
            </w:r>
            <w:r w:rsidR="000B1689" w:rsidRPr="00AF7229">
              <w:rPr>
                <w:rStyle w:val="Hyperlink"/>
                <w:noProof/>
              </w:rPr>
              <w:t>GENERAL CARE AND MANAGEMENT OF HAEMOPHILIA</w:t>
            </w:r>
            <w:r w:rsidR="000B1689">
              <w:rPr>
                <w:noProof/>
                <w:webHidden/>
              </w:rPr>
              <w:tab/>
            </w:r>
            <w:r w:rsidR="000B1689">
              <w:rPr>
                <w:noProof/>
                <w:webHidden/>
              </w:rPr>
              <w:fldChar w:fldCharType="begin"/>
            </w:r>
            <w:r w:rsidR="000B1689">
              <w:rPr>
                <w:noProof/>
                <w:webHidden/>
              </w:rPr>
              <w:instrText xml:space="preserve"> PAGEREF _Toc431484300 \h </w:instrText>
            </w:r>
            <w:r w:rsidR="000B1689">
              <w:rPr>
                <w:noProof/>
                <w:webHidden/>
              </w:rPr>
            </w:r>
            <w:r w:rsidR="000B1689">
              <w:rPr>
                <w:noProof/>
                <w:webHidden/>
              </w:rPr>
              <w:fldChar w:fldCharType="separate"/>
            </w:r>
            <w:r w:rsidR="000B1689">
              <w:rPr>
                <w:noProof/>
                <w:webHidden/>
              </w:rPr>
              <w:t>11</w:t>
            </w:r>
            <w:r w:rsidR="000B1689">
              <w:rPr>
                <w:noProof/>
                <w:webHidden/>
              </w:rPr>
              <w:fldChar w:fldCharType="end"/>
            </w:r>
          </w:hyperlink>
        </w:p>
        <w:p w:rsidR="000B1689" w:rsidRDefault="00D330B8" w:rsidP="000B1689">
          <w:pPr>
            <w:pStyle w:val="TOC3"/>
            <w:rPr>
              <w:noProof/>
              <w:sz w:val="22"/>
              <w:szCs w:val="22"/>
              <w:lang w:val="en-AU" w:eastAsia="en-AU"/>
            </w:rPr>
          </w:pPr>
          <w:hyperlink w:anchor="_Toc431484301" w:history="1">
            <w:r w:rsidR="000B1689" w:rsidRPr="00AF7229">
              <w:rPr>
                <w:rStyle w:val="Hyperlink"/>
                <w:noProof/>
              </w:rPr>
              <w:t>1.1 What is haemophilia?</w:t>
            </w:r>
            <w:r w:rsidR="000B1689">
              <w:rPr>
                <w:noProof/>
                <w:webHidden/>
              </w:rPr>
              <w:tab/>
            </w:r>
            <w:r w:rsidR="000B1689">
              <w:rPr>
                <w:noProof/>
                <w:webHidden/>
              </w:rPr>
              <w:fldChar w:fldCharType="begin"/>
            </w:r>
            <w:r w:rsidR="000B1689">
              <w:rPr>
                <w:noProof/>
                <w:webHidden/>
              </w:rPr>
              <w:instrText xml:space="preserve"> PAGEREF _Toc431484301 \h </w:instrText>
            </w:r>
            <w:r w:rsidR="000B1689">
              <w:rPr>
                <w:noProof/>
                <w:webHidden/>
              </w:rPr>
            </w:r>
            <w:r w:rsidR="000B1689">
              <w:rPr>
                <w:noProof/>
                <w:webHidden/>
              </w:rPr>
              <w:fldChar w:fldCharType="separate"/>
            </w:r>
            <w:r w:rsidR="000B1689">
              <w:rPr>
                <w:noProof/>
                <w:webHidden/>
              </w:rPr>
              <w:t>13</w:t>
            </w:r>
            <w:r w:rsidR="000B1689">
              <w:rPr>
                <w:noProof/>
                <w:webHidden/>
              </w:rPr>
              <w:fldChar w:fldCharType="end"/>
            </w:r>
          </w:hyperlink>
        </w:p>
        <w:p w:rsidR="000B1689" w:rsidRDefault="00D330B8" w:rsidP="000B1689">
          <w:pPr>
            <w:pStyle w:val="TOC3"/>
            <w:rPr>
              <w:noProof/>
              <w:sz w:val="22"/>
              <w:szCs w:val="22"/>
              <w:lang w:val="en-AU" w:eastAsia="en-AU"/>
            </w:rPr>
          </w:pPr>
          <w:hyperlink w:anchor="_Toc431484302" w:history="1">
            <w:r w:rsidR="000B1689" w:rsidRPr="00AF7229">
              <w:rPr>
                <w:rStyle w:val="Hyperlink"/>
                <w:bCs/>
                <w:noProof/>
              </w:rPr>
              <w:t>1.2 Principles of care</w:t>
            </w:r>
            <w:r w:rsidR="000B1689">
              <w:rPr>
                <w:noProof/>
                <w:webHidden/>
              </w:rPr>
              <w:tab/>
            </w:r>
            <w:r w:rsidR="000B1689">
              <w:rPr>
                <w:noProof/>
                <w:webHidden/>
              </w:rPr>
              <w:fldChar w:fldCharType="begin"/>
            </w:r>
            <w:r w:rsidR="000B1689">
              <w:rPr>
                <w:noProof/>
                <w:webHidden/>
              </w:rPr>
              <w:instrText xml:space="preserve"> PAGEREF _Toc431484302 \h </w:instrText>
            </w:r>
            <w:r w:rsidR="000B1689">
              <w:rPr>
                <w:noProof/>
                <w:webHidden/>
              </w:rPr>
            </w:r>
            <w:r w:rsidR="000B1689">
              <w:rPr>
                <w:noProof/>
                <w:webHidden/>
              </w:rPr>
              <w:fldChar w:fldCharType="separate"/>
            </w:r>
            <w:r w:rsidR="000B1689">
              <w:rPr>
                <w:noProof/>
                <w:webHidden/>
              </w:rPr>
              <w:t>14</w:t>
            </w:r>
            <w:r w:rsidR="000B1689">
              <w:rPr>
                <w:noProof/>
                <w:webHidden/>
              </w:rPr>
              <w:fldChar w:fldCharType="end"/>
            </w:r>
          </w:hyperlink>
        </w:p>
        <w:p w:rsidR="000B1689" w:rsidRDefault="00D330B8" w:rsidP="000B1689">
          <w:pPr>
            <w:pStyle w:val="TOC3"/>
            <w:rPr>
              <w:noProof/>
              <w:sz w:val="22"/>
              <w:szCs w:val="22"/>
              <w:lang w:val="en-AU" w:eastAsia="en-AU"/>
            </w:rPr>
          </w:pPr>
          <w:hyperlink w:anchor="_Toc431484303" w:history="1">
            <w:r w:rsidR="000B1689" w:rsidRPr="00AF7229">
              <w:rPr>
                <w:rStyle w:val="Hyperlink"/>
                <w:noProof/>
              </w:rPr>
              <w:t>1.3 Comprehensive care</w:t>
            </w:r>
            <w:r w:rsidR="000B1689">
              <w:rPr>
                <w:noProof/>
                <w:webHidden/>
              </w:rPr>
              <w:tab/>
            </w:r>
            <w:r w:rsidR="000B1689">
              <w:rPr>
                <w:noProof/>
                <w:webHidden/>
              </w:rPr>
              <w:fldChar w:fldCharType="begin"/>
            </w:r>
            <w:r w:rsidR="000B1689">
              <w:rPr>
                <w:noProof/>
                <w:webHidden/>
              </w:rPr>
              <w:instrText xml:space="preserve"> PAGEREF _Toc431484303 \h </w:instrText>
            </w:r>
            <w:r w:rsidR="000B1689">
              <w:rPr>
                <w:noProof/>
                <w:webHidden/>
              </w:rPr>
            </w:r>
            <w:r w:rsidR="000B1689">
              <w:rPr>
                <w:noProof/>
                <w:webHidden/>
              </w:rPr>
              <w:fldChar w:fldCharType="separate"/>
            </w:r>
            <w:r w:rsidR="000B1689">
              <w:rPr>
                <w:noProof/>
                <w:webHidden/>
              </w:rPr>
              <w:t>16</w:t>
            </w:r>
            <w:r w:rsidR="000B1689">
              <w:rPr>
                <w:noProof/>
                <w:webHidden/>
              </w:rPr>
              <w:fldChar w:fldCharType="end"/>
            </w:r>
          </w:hyperlink>
        </w:p>
        <w:p w:rsidR="000B1689" w:rsidRDefault="00D330B8" w:rsidP="000B1689">
          <w:pPr>
            <w:pStyle w:val="TOC3"/>
            <w:rPr>
              <w:noProof/>
              <w:sz w:val="22"/>
              <w:szCs w:val="22"/>
              <w:lang w:val="en-AU" w:eastAsia="en-AU"/>
            </w:rPr>
          </w:pPr>
          <w:hyperlink w:anchor="_Toc431484304" w:history="1">
            <w:r w:rsidR="000B1689" w:rsidRPr="00AF7229">
              <w:rPr>
                <w:rStyle w:val="Hyperlink"/>
                <w:noProof/>
              </w:rPr>
              <w:t>1.4 Fitness and physical activity</w:t>
            </w:r>
            <w:r w:rsidR="000B1689">
              <w:rPr>
                <w:noProof/>
                <w:webHidden/>
              </w:rPr>
              <w:tab/>
            </w:r>
            <w:r w:rsidR="000B1689">
              <w:rPr>
                <w:noProof/>
                <w:webHidden/>
              </w:rPr>
              <w:fldChar w:fldCharType="begin"/>
            </w:r>
            <w:r w:rsidR="000B1689">
              <w:rPr>
                <w:noProof/>
                <w:webHidden/>
              </w:rPr>
              <w:instrText xml:space="preserve"> PAGEREF _Toc431484304 \h </w:instrText>
            </w:r>
            <w:r w:rsidR="000B1689">
              <w:rPr>
                <w:noProof/>
                <w:webHidden/>
              </w:rPr>
            </w:r>
            <w:r w:rsidR="000B1689">
              <w:rPr>
                <w:noProof/>
                <w:webHidden/>
              </w:rPr>
              <w:fldChar w:fldCharType="separate"/>
            </w:r>
            <w:r w:rsidR="000B1689">
              <w:rPr>
                <w:noProof/>
                <w:webHidden/>
              </w:rPr>
              <w:t>19</w:t>
            </w:r>
            <w:r w:rsidR="000B1689">
              <w:rPr>
                <w:noProof/>
                <w:webHidden/>
              </w:rPr>
              <w:fldChar w:fldCharType="end"/>
            </w:r>
          </w:hyperlink>
        </w:p>
        <w:p w:rsidR="000B1689" w:rsidRDefault="00D330B8" w:rsidP="000B1689">
          <w:pPr>
            <w:pStyle w:val="TOC3"/>
            <w:rPr>
              <w:noProof/>
              <w:sz w:val="22"/>
              <w:szCs w:val="22"/>
              <w:lang w:val="en-AU" w:eastAsia="en-AU"/>
            </w:rPr>
          </w:pPr>
          <w:hyperlink w:anchor="_Toc431484305" w:history="1">
            <w:r w:rsidR="000B1689" w:rsidRPr="00AF7229">
              <w:rPr>
                <w:rStyle w:val="Hyperlink"/>
                <w:noProof/>
              </w:rPr>
              <w:t>1.5 Adjunctive management</w:t>
            </w:r>
            <w:r w:rsidR="000B1689">
              <w:rPr>
                <w:noProof/>
                <w:webHidden/>
              </w:rPr>
              <w:tab/>
            </w:r>
            <w:r w:rsidR="000B1689">
              <w:rPr>
                <w:noProof/>
                <w:webHidden/>
              </w:rPr>
              <w:fldChar w:fldCharType="begin"/>
            </w:r>
            <w:r w:rsidR="000B1689">
              <w:rPr>
                <w:noProof/>
                <w:webHidden/>
              </w:rPr>
              <w:instrText xml:space="preserve"> PAGEREF _Toc431484305 \h </w:instrText>
            </w:r>
            <w:r w:rsidR="000B1689">
              <w:rPr>
                <w:noProof/>
                <w:webHidden/>
              </w:rPr>
            </w:r>
            <w:r w:rsidR="000B1689">
              <w:rPr>
                <w:noProof/>
                <w:webHidden/>
              </w:rPr>
              <w:fldChar w:fldCharType="separate"/>
            </w:r>
            <w:r w:rsidR="000B1689">
              <w:rPr>
                <w:noProof/>
                <w:webHidden/>
              </w:rPr>
              <w:t>20</w:t>
            </w:r>
            <w:r w:rsidR="000B1689">
              <w:rPr>
                <w:noProof/>
                <w:webHidden/>
              </w:rPr>
              <w:fldChar w:fldCharType="end"/>
            </w:r>
          </w:hyperlink>
        </w:p>
        <w:p w:rsidR="000B1689" w:rsidRDefault="00D330B8" w:rsidP="000B1689">
          <w:pPr>
            <w:pStyle w:val="TOC3"/>
            <w:rPr>
              <w:noProof/>
              <w:sz w:val="22"/>
              <w:szCs w:val="22"/>
              <w:lang w:val="en-AU" w:eastAsia="en-AU"/>
            </w:rPr>
          </w:pPr>
          <w:hyperlink w:anchor="_Toc431484306" w:history="1">
            <w:r w:rsidR="000B1689" w:rsidRPr="00AF7229">
              <w:rPr>
                <w:rStyle w:val="Hyperlink"/>
                <w:noProof/>
              </w:rPr>
              <w:t>1.6 Prophylactic factor replacement therapy</w:t>
            </w:r>
            <w:r w:rsidR="000B1689">
              <w:rPr>
                <w:noProof/>
                <w:webHidden/>
              </w:rPr>
              <w:tab/>
            </w:r>
            <w:r w:rsidR="000B1689">
              <w:rPr>
                <w:noProof/>
                <w:webHidden/>
              </w:rPr>
              <w:fldChar w:fldCharType="begin"/>
            </w:r>
            <w:r w:rsidR="000B1689">
              <w:rPr>
                <w:noProof/>
                <w:webHidden/>
              </w:rPr>
              <w:instrText xml:space="preserve"> PAGEREF _Toc431484306 \h </w:instrText>
            </w:r>
            <w:r w:rsidR="000B1689">
              <w:rPr>
                <w:noProof/>
                <w:webHidden/>
              </w:rPr>
            </w:r>
            <w:r w:rsidR="000B1689">
              <w:rPr>
                <w:noProof/>
                <w:webHidden/>
              </w:rPr>
              <w:fldChar w:fldCharType="separate"/>
            </w:r>
            <w:r w:rsidR="000B1689">
              <w:rPr>
                <w:noProof/>
                <w:webHidden/>
              </w:rPr>
              <w:t>21</w:t>
            </w:r>
            <w:r w:rsidR="000B1689">
              <w:rPr>
                <w:noProof/>
                <w:webHidden/>
              </w:rPr>
              <w:fldChar w:fldCharType="end"/>
            </w:r>
          </w:hyperlink>
        </w:p>
        <w:p w:rsidR="000B1689" w:rsidRDefault="00D330B8" w:rsidP="000B1689">
          <w:pPr>
            <w:pStyle w:val="TOC3"/>
            <w:rPr>
              <w:noProof/>
              <w:sz w:val="22"/>
              <w:szCs w:val="22"/>
              <w:lang w:val="en-AU" w:eastAsia="en-AU"/>
            </w:rPr>
          </w:pPr>
          <w:hyperlink w:anchor="_Toc431484307" w:history="1">
            <w:r w:rsidR="000B1689" w:rsidRPr="00AF7229">
              <w:rPr>
                <w:rStyle w:val="Hyperlink"/>
                <w:noProof/>
              </w:rPr>
              <w:t>1.7 Home therapy</w:t>
            </w:r>
            <w:r w:rsidR="000B1689">
              <w:rPr>
                <w:noProof/>
                <w:webHidden/>
              </w:rPr>
              <w:tab/>
            </w:r>
            <w:r w:rsidR="000B1689">
              <w:rPr>
                <w:noProof/>
                <w:webHidden/>
              </w:rPr>
              <w:fldChar w:fldCharType="begin"/>
            </w:r>
            <w:r w:rsidR="000B1689">
              <w:rPr>
                <w:noProof/>
                <w:webHidden/>
              </w:rPr>
              <w:instrText xml:space="preserve"> PAGEREF _Toc431484307 \h </w:instrText>
            </w:r>
            <w:r w:rsidR="000B1689">
              <w:rPr>
                <w:noProof/>
                <w:webHidden/>
              </w:rPr>
            </w:r>
            <w:r w:rsidR="000B1689">
              <w:rPr>
                <w:noProof/>
                <w:webHidden/>
              </w:rPr>
              <w:fldChar w:fldCharType="separate"/>
            </w:r>
            <w:r w:rsidR="000B1689">
              <w:rPr>
                <w:noProof/>
                <w:webHidden/>
              </w:rPr>
              <w:t>22</w:t>
            </w:r>
            <w:r w:rsidR="000B1689">
              <w:rPr>
                <w:noProof/>
                <w:webHidden/>
              </w:rPr>
              <w:fldChar w:fldCharType="end"/>
            </w:r>
          </w:hyperlink>
        </w:p>
        <w:p w:rsidR="000B1689" w:rsidRDefault="00D330B8" w:rsidP="000B1689">
          <w:pPr>
            <w:pStyle w:val="TOC3"/>
            <w:rPr>
              <w:noProof/>
              <w:sz w:val="22"/>
              <w:szCs w:val="22"/>
              <w:lang w:val="en-AU" w:eastAsia="en-AU"/>
            </w:rPr>
          </w:pPr>
          <w:hyperlink w:anchor="_Toc431484308" w:history="1">
            <w:r w:rsidR="000B1689" w:rsidRPr="00AF7229">
              <w:rPr>
                <w:rStyle w:val="Hyperlink"/>
                <w:noProof/>
              </w:rPr>
              <w:t>1.8 Monitoring health status and outcome</w:t>
            </w:r>
            <w:r w:rsidR="000B1689">
              <w:rPr>
                <w:noProof/>
                <w:webHidden/>
              </w:rPr>
              <w:tab/>
            </w:r>
            <w:r w:rsidR="000B1689">
              <w:rPr>
                <w:noProof/>
                <w:webHidden/>
              </w:rPr>
              <w:fldChar w:fldCharType="begin"/>
            </w:r>
            <w:r w:rsidR="000B1689">
              <w:rPr>
                <w:noProof/>
                <w:webHidden/>
              </w:rPr>
              <w:instrText xml:space="preserve"> PAGEREF _Toc431484308 \h </w:instrText>
            </w:r>
            <w:r w:rsidR="000B1689">
              <w:rPr>
                <w:noProof/>
                <w:webHidden/>
              </w:rPr>
            </w:r>
            <w:r w:rsidR="000B1689">
              <w:rPr>
                <w:noProof/>
                <w:webHidden/>
              </w:rPr>
              <w:fldChar w:fldCharType="separate"/>
            </w:r>
            <w:r w:rsidR="000B1689">
              <w:rPr>
                <w:noProof/>
                <w:webHidden/>
              </w:rPr>
              <w:t>23</w:t>
            </w:r>
            <w:r w:rsidR="000B1689">
              <w:rPr>
                <w:noProof/>
                <w:webHidden/>
              </w:rPr>
              <w:fldChar w:fldCharType="end"/>
            </w:r>
          </w:hyperlink>
        </w:p>
        <w:p w:rsidR="000B1689" w:rsidRDefault="00D330B8" w:rsidP="000B1689">
          <w:pPr>
            <w:pStyle w:val="TOC3"/>
            <w:rPr>
              <w:noProof/>
              <w:sz w:val="22"/>
              <w:szCs w:val="22"/>
              <w:lang w:val="en-AU" w:eastAsia="en-AU"/>
            </w:rPr>
          </w:pPr>
          <w:hyperlink w:anchor="_Toc431484309" w:history="1">
            <w:r w:rsidR="000B1689" w:rsidRPr="00AF7229">
              <w:rPr>
                <w:rStyle w:val="Hyperlink"/>
                <w:noProof/>
              </w:rPr>
              <w:t>1.9 Pain management</w:t>
            </w:r>
            <w:r w:rsidR="000B1689">
              <w:rPr>
                <w:noProof/>
                <w:webHidden/>
              </w:rPr>
              <w:tab/>
            </w:r>
            <w:r w:rsidR="000B1689">
              <w:rPr>
                <w:noProof/>
                <w:webHidden/>
              </w:rPr>
              <w:fldChar w:fldCharType="begin"/>
            </w:r>
            <w:r w:rsidR="000B1689">
              <w:rPr>
                <w:noProof/>
                <w:webHidden/>
              </w:rPr>
              <w:instrText xml:space="preserve"> PAGEREF _Toc431484309 \h </w:instrText>
            </w:r>
            <w:r w:rsidR="000B1689">
              <w:rPr>
                <w:noProof/>
                <w:webHidden/>
              </w:rPr>
            </w:r>
            <w:r w:rsidR="000B1689">
              <w:rPr>
                <w:noProof/>
                <w:webHidden/>
              </w:rPr>
              <w:fldChar w:fldCharType="separate"/>
            </w:r>
            <w:r w:rsidR="000B1689">
              <w:rPr>
                <w:noProof/>
                <w:webHidden/>
              </w:rPr>
              <w:t>25</w:t>
            </w:r>
            <w:r w:rsidR="000B1689">
              <w:rPr>
                <w:noProof/>
                <w:webHidden/>
              </w:rPr>
              <w:fldChar w:fldCharType="end"/>
            </w:r>
          </w:hyperlink>
        </w:p>
        <w:p w:rsidR="000B1689" w:rsidRDefault="00D330B8" w:rsidP="000B1689">
          <w:pPr>
            <w:pStyle w:val="TOC3"/>
            <w:rPr>
              <w:noProof/>
              <w:sz w:val="22"/>
              <w:szCs w:val="22"/>
              <w:lang w:val="en-AU" w:eastAsia="en-AU"/>
            </w:rPr>
          </w:pPr>
          <w:hyperlink w:anchor="_Toc431484310" w:history="1">
            <w:r w:rsidR="000B1689" w:rsidRPr="00AF7229">
              <w:rPr>
                <w:rStyle w:val="Hyperlink"/>
                <w:noProof/>
              </w:rPr>
              <w:t>1.10 Surgery and invasive procedures</w:t>
            </w:r>
            <w:r w:rsidR="000B1689">
              <w:rPr>
                <w:noProof/>
                <w:webHidden/>
              </w:rPr>
              <w:tab/>
            </w:r>
            <w:r w:rsidR="000B1689">
              <w:rPr>
                <w:noProof/>
                <w:webHidden/>
              </w:rPr>
              <w:fldChar w:fldCharType="begin"/>
            </w:r>
            <w:r w:rsidR="000B1689">
              <w:rPr>
                <w:noProof/>
                <w:webHidden/>
              </w:rPr>
              <w:instrText xml:space="preserve"> PAGEREF _Toc431484310 \h </w:instrText>
            </w:r>
            <w:r w:rsidR="000B1689">
              <w:rPr>
                <w:noProof/>
                <w:webHidden/>
              </w:rPr>
            </w:r>
            <w:r w:rsidR="000B1689">
              <w:rPr>
                <w:noProof/>
                <w:webHidden/>
              </w:rPr>
              <w:fldChar w:fldCharType="separate"/>
            </w:r>
            <w:r w:rsidR="000B1689">
              <w:rPr>
                <w:noProof/>
                <w:webHidden/>
              </w:rPr>
              <w:t>27</w:t>
            </w:r>
            <w:r w:rsidR="000B1689">
              <w:rPr>
                <w:noProof/>
                <w:webHidden/>
              </w:rPr>
              <w:fldChar w:fldCharType="end"/>
            </w:r>
          </w:hyperlink>
        </w:p>
        <w:p w:rsidR="000B1689" w:rsidRDefault="00D330B8" w:rsidP="000B1689">
          <w:pPr>
            <w:pStyle w:val="TOC3"/>
            <w:rPr>
              <w:noProof/>
              <w:sz w:val="22"/>
              <w:szCs w:val="22"/>
              <w:lang w:val="en-AU" w:eastAsia="en-AU"/>
            </w:rPr>
          </w:pPr>
          <w:hyperlink w:anchor="_Toc431484311" w:history="1">
            <w:r w:rsidR="000B1689" w:rsidRPr="00AF7229">
              <w:rPr>
                <w:rStyle w:val="Hyperlink"/>
                <w:noProof/>
              </w:rPr>
              <w:t>1.11 Dental care and management</w:t>
            </w:r>
            <w:r w:rsidR="000B1689">
              <w:rPr>
                <w:noProof/>
                <w:webHidden/>
              </w:rPr>
              <w:tab/>
            </w:r>
            <w:r w:rsidR="000B1689">
              <w:rPr>
                <w:noProof/>
                <w:webHidden/>
              </w:rPr>
              <w:fldChar w:fldCharType="begin"/>
            </w:r>
            <w:r w:rsidR="000B1689">
              <w:rPr>
                <w:noProof/>
                <w:webHidden/>
              </w:rPr>
              <w:instrText xml:space="preserve"> PAGEREF _Toc431484311 \h </w:instrText>
            </w:r>
            <w:r w:rsidR="000B1689">
              <w:rPr>
                <w:noProof/>
                <w:webHidden/>
              </w:rPr>
            </w:r>
            <w:r w:rsidR="000B1689">
              <w:rPr>
                <w:noProof/>
                <w:webHidden/>
              </w:rPr>
              <w:fldChar w:fldCharType="separate"/>
            </w:r>
            <w:r w:rsidR="000B1689">
              <w:rPr>
                <w:noProof/>
                <w:webHidden/>
              </w:rPr>
              <w:t>29</w:t>
            </w:r>
            <w:r w:rsidR="000B1689">
              <w:rPr>
                <w:noProof/>
                <w:webHidden/>
              </w:rPr>
              <w:fldChar w:fldCharType="end"/>
            </w:r>
          </w:hyperlink>
        </w:p>
        <w:p w:rsidR="000B1689" w:rsidRDefault="00D330B8" w:rsidP="000B1689">
          <w:pPr>
            <w:pStyle w:val="TOC2"/>
            <w:tabs>
              <w:tab w:val="right" w:leader="dot" w:pos="9323"/>
            </w:tabs>
            <w:ind w:left="0"/>
            <w:rPr>
              <w:rFonts w:asciiTheme="minorHAnsi" w:eastAsiaTheme="minorEastAsia" w:hAnsiTheme="minorHAnsi" w:cstheme="minorBidi"/>
              <w:noProof/>
              <w:color w:val="auto"/>
            </w:rPr>
          </w:pPr>
          <w:hyperlink w:anchor="_Toc431484312" w:history="1">
            <w:r w:rsidR="000B1689" w:rsidRPr="00AF7229">
              <w:rPr>
                <w:rStyle w:val="Hyperlink"/>
                <w:noProof/>
              </w:rPr>
              <w:t>2 SPECIAL MANAGEMENT ISSUES</w:t>
            </w:r>
            <w:r w:rsidR="000B1689">
              <w:rPr>
                <w:noProof/>
                <w:webHidden/>
              </w:rPr>
              <w:tab/>
            </w:r>
            <w:r w:rsidR="000B1689">
              <w:rPr>
                <w:noProof/>
                <w:webHidden/>
              </w:rPr>
              <w:fldChar w:fldCharType="begin"/>
            </w:r>
            <w:r w:rsidR="000B1689">
              <w:rPr>
                <w:noProof/>
                <w:webHidden/>
              </w:rPr>
              <w:instrText xml:space="preserve"> PAGEREF _Toc431484312 \h </w:instrText>
            </w:r>
            <w:r w:rsidR="000B1689">
              <w:rPr>
                <w:noProof/>
                <w:webHidden/>
              </w:rPr>
            </w:r>
            <w:r w:rsidR="000B1689">
              <w:rPr>
                <w:noProof/>
                <w:webHidden/>
              </w:rPr>
              <w:fldChar w:fldCharType="separate"/>
            </w:r>
            <w:r w:rsidR="000B1689">
              <w:rPr>
                <w:noProof/>
                <w:webHidden/>
              </w:rPr>
              <w:t>35</w:t>
            </w:r>
            <w:r w:rsidR="000B1689">
              <w:rPr>
                <w:noProof/>
                <w:webHidden/>
              </w:rPr>
              <w:fldChar w:fldCharType="end"/>
            </w:r>
          </w:hyperlink>
        </w:p>
        <w:p w:rsidR="000B1689" w:rsidRDefault="00D330B8" w:rsidP="000B1689">
          <w:pPr>
            <w:pStyle w:val="TOC3"/>
            <w:rPr>
              <w:noProof/>
              <w:sz w:val="22"/>
              <w:szCs w:val="22"/>
              <w:lang w:val="en-AU" w:eastAsia="en-AU"/>
            </w:rPr>
          </w:pPr>
          <w:hyperlink w:anchor="_Toc431484313" w:history="1">
            <w:r w:rsidR="000B1689" w:rsidRPr="00AF7229">
              <w:rPr>
                <w:rStyle w:val="Hyperlink"/>
                <w:noProof/>
              </w:rPr>
              <w:t>2.1 Carriers</w:t>
            </w:r>
            <w:r w:rsidR="000B1689">
              <w:rPr>
                <w:noProof/>
                <w:webHidden/>
              </w:rPr>
              <w:tab/>
            </w:r>
            <w:r w:rsidR="000B1689">
              <w:rPr>
                <w:noProof/>
                <w:webHidden/>
              </w:rPr>
              <w:fldChar w:fldCharType="begin"/>
            </w:r>
            <w:r w:rsidR="000B1689">
              <w:rPr>
                <w:noProof/>
                <w:webHidden/>
              </w:rPr>
              <w:instrText xml:space="preserve"> PAGEREF _Toc431484313 \h </w:instrText>
            </w:r>
            <w:r w:rsidR="000B1689">
              <w:rPr>
                <w:noProof/>
                <w:webHidden/>
              </w:rPr>
            </w:r>
            <w:r w:rsidR="000B1689">
              <w:rPr>
                <w:noProof/>
                <w:webHidden/>
              </w:rPr>
              <w:fldChar w:fldCharType="separate"/>
            </w:r>
            <w:r w:rsidR="000B1689">
              <w:rPr>
                <w:noProof/>
                <w:webHidden/>
              </w:rPr>
              <w:t>36</w:t>
            </w:r>
            <w:r w:rsidR="000B1689">
              <w:rPr>
                <w:noProof/>
                <w:webHidden/>
              </w:rPr>
              <w:fldChar w:fldCharType="end"/>
            </w:r>
          </w:hyperlink>
        </w:p>
        <w:p w:rsidR="000B1689" w:rsidRDefault="00D330B8" w:rsidP="000B1689">
          <w:pPr>
            <w:pStyle w:val="TOC3"/>
            <w:rPr>
              <w:noProof/>
              <w:sz w:val="22"/>
              <w:szCs w:val="22"/>
              <w:lang w:val="en-AU" w:eastAsia="en-AU"/>
            </w:rPr>
          </w:pPr>
          <w:hyperlink w:anchor="_Toc431484314" w:history="1">
            <w:r w:rsidR="000B1689" w:rsidRPr="00AF7229">
              <w:rPr>
                <w:rStyle w:val="Hyperlink"/>
                <w:noProof/>
              </w:rPr>
              <w:t>2.2 Genetic testing/counselling and prenatal diagnosis</w:t>
            </w:r>
            <w:r w:rsidR="000B1689">
              <w:rPr>
                <w:noProof/>
                <w:webHidden/>
              </w:rPr>
              <w:tab/>
            </w:r>
            <w:r w:rsidR="000B1689">
              <w:rPr>
                <w:noProof/>
                <w:webHidden/>
              </w:rPr>
              <w:fldChar w:fldCharType="begin"/>
            </w:r>
            <w:r w:rsidR="000B1689">
              <w:rPr>
                <w:noProof/>
                <w:webHidden/>
              </w:rPr>
              <w:instrText xml:space="preserve"> PAGEREF _Toc431484314 \h </w:instrText>
            </w:r>
            <w:r w:rsidR="000B1689">
              <w:rPr>
                <w:noProof/>
                <w:webHidden/>
              </w:rPr>
            </w:r>
            <w:r w:rsidR="000B1689">
              <w:rPr>
                <w:noProof/>
                <w:webHidden/>
              </w:rPr>
              <w:fldChar w:fldCharType="separate"/>
            </w:r>
            <w:r w:rsidR="000B1689">
              <w:rPr>
                <w:noProof/>
                <w:webHidden/>
              </w:rPr>
              <w:t>37</w:t>
            </w:r>
            <w:r w:rsidR="000B1689">
              <w:rPr>
                <w:noProof/>
                <w:webHidden/>
              </w:rPr>
              <w:fldChar w:fldCharType="end"/>
            </w:r>
          </w:hyperlink>
        </w:p>
        <w:p w:rsidR="000B1689" w:rsidRDefault="00D330B8" w:rsidP="000B1689">
          <w:pPr>
            <w:pStyle w:val="TOC3"/>
            <w:rPr>
              <w:noProof/>
              <w:sz w:val="22"/>
              <w:szCs w:val="22"/>
              <w:lang w:val="en-AU" w:eastAsia="en-AU"/>
            </w:rPr>
          </w:pPr>
          <w:hyperlink w:anchor="_Toc431484315" w:history="1">
            <w:r w:rsidR="000B1689" w:rsidRPr="00AF7229">
              <w:rPr>
                <w:rStyle w:val="Hyperlink"/>
                <w:noProof/>
              </w:rPr>
              <w:t>2.3 Delivery of infants with known or suspected haemophilia</w:t>
            </w:r>
            <w:r w:rsidR="000B1689">
              <w:rPr>
                <w:noProof/>
                <w:webHidden/>
              </w:rPr>
              <w:tab/>
            </w:r>
            <w:r w:rsidR="000B1689">
              <w:rPr>
                <w:noProof/>
                <w:webHidden/>
              </w:rPr>
              <w:fldChar w:fldCharType="begin"/>
            </w:r>
            <w:r w:rsidR="000B1689">
              <w:rPr>
                <w:noProof/>
                <w:webHidden/>
              </w:rPr>
              <w:instrText xml:space="preserve"> PAGEREF _Toc431484315 \h </w:instrText>
            </w:r>
            <w:r w:rsidR="000B1689">
              <w:rPr>
                <w:noProof/>
                <w:webHidden/>
              </w:rPr>
            </w:r>
            <w:r w:rsidR="000B1689">
              <w:rPr>
                <w:noProof/>
                <w:webHidden/>
              </w:rPr>
              <w:fldChar w:fldCharType="separate"/>
            </w:r>
            <w:r w:rsidR="000B1689">
              <w:rPr>
                <w:noProof/>
                <w:webHidden/>
              </w:rPr>
              <w:t>38</w:t>
            </w:r>
            <w:r w:rsidR="000B1689">
              <w:rPr>
                <w:noProof/>
                <w:webHidden/>
              </w:rPr>
              <w:fldChar w:fldCharType="end"/>
            </w:r>
          </w:hyperlink>
        </w:p>
        <w:p w:rsidR="000B1689" w:rsidRDefault="00D330B8" w:rsidP="000B1689">
          <w:pPr>
            <w:pStyle w:val="TOC3"/>
            <w:rPr>
              <w:noProof/>
              <w:sz w:val="22"/>
              <w:szCs w:val="22"/>
              <w:lang w:val="en-AU" w:eastAsia="en-AU"/>
            </w:rPr>
          </w:pPr>
          <w:hyperlink w:anchor="_Toc431484316" w:history="1">
            <w:r w:rsidR="000B1689" w:rsidRPr="00AF7229">
              <w:rPr>
                <w:rStyle w:val="Hyperlink"/>
                <w:noProof/>
              </w:rPr>
              <w:t>2.4 Vaccinations</w:t>
            </w:r>
            <w:r w:rsidR="000B1689">
              <w:rPr>
                <w:noProof/>
                <w:webHidden/>
              </w:rPr>
              <w:tab/>
            </w:r>
            <w:r w:rsidR="000B1689">
              <w:rPr>
                <w:noProof/>
                <w:webHidden/>
              </w:rPr>
              <w:fldChar w:fldCharType="begin"/>
            </w:r>
            <w:r w:rsidR="000B1689">
              <w:rPr>
                <w:noProof/>
                <w:webHidden/>
              </w:rPr>
              <w:instrText xml:space="preserve"> PAGEREF _Toc431484316 \h </w:instrText>
            </w:r>
            <w:r w:rsidR="000B1689">
              <w:rPr>
                <w:noProof/>
                <w:webHidden/>
              </w:rPr>
            </w:r>
            <w:r w:rsidR="000B1689">
              <w:rPr>
                <w:noProof/>
                <w:webHidden/>
              </w:rPr>
              <w:fldChar w:fldCharType="separate"/>
            </w:r>
            <w:r w:rsidR="000B1689">
              <w:rPr>
                <w:noProof/>
                <w:webHidden/>
              </w:rPr>
              <w:t>38</w:t>
            </w:r>
            <w:r w:rsidR="000B1689">
              <w:rPr>
                <w:noProof/>
                <w:webHidden/>
              </w:rPr>
              <w:fldChar w:fldCharType="end"/>
            </w:r>
          </w:hyperlink>
        </w:p>
        <w:p w:rsidR="000B1689" w:rsidRDefault="00D330B8" w:rsidP="000B1689">
          <w:pPr>
            <w:pStyle w:val="TOC3"/>
            <w:rPr>
              <w:noProof/>
              <w:sz w:val="22"/>
              <w:szCs w:val="22"/>
              <w:lang w:val="en-AU" w:eastAsia="en-AU"/>
            </w:rPr>
          </w:pPr>
          <w:hyperlink w:anchor="_Toc431484317" w:history="1">
            <w:r w:rsidR="000B1689" w:rsidRPr="00AF7229">
              <w:rPr>
                <w:rStyle w:val="Hyperlink"/>
                <w:noProof/>
              </w:rPr>
              <w:t>2.5 Psychosocial issues</w:t>
            </w:r>
            <w:r w:rsidR="000B1689">
              <w:rPr>
                <w:noProof/>
                <w:webHidden/>
              </w:rPr>
              <w:tab/>
            </w:r>
            <w:r w:rsidR="000B1689">
              <w:rPr>
                <w:noProof/>
                <w:webHidden/>
              </w:rPr>
              <w:fldChar w:fldCharType="begin"/>
            </w:r>
            <w:r w:rsidR="000B1689">
              <w:rPr>
                <w:noProof/>
                <w:webHidden/>
              </w:rPr>
              <w:instrText xml:space="preserve"> PAGEREF _Toc431484317 \h </w:instrText>
            </w:r>
            <w:r w:rsidR="000B1689">
              <w:rPr>
                <w:noProof/>
                <w:webHidden/>
              </w:rPr>
            </w:r>
            <w:r w:rsidR="000B1689">
              <w:rPr>
                <w:noProof/>
                <w:webHidden/>
              </w:rPr>
              <w:fldChar w:fldCharType="separate"/>
            </w:r>
            <w:r w:rsidR="000B1689">
              <w:rPr>
                <w:noProof/>
                <w:webHidden/>
              </w:rPr>
              <w:t>39</w:t>
            </w:r>
            <w:r w:rsidR="000B1689">
              <w:rPr>
                <w:noProof/>
                <w:webHidden/>
              </w:rPr>
              <w:fldChar w:fldCharType="end"/>
            </w:r>
          </w:hyperlink>
        </w:p>
        <w:p w:rsidR="000B1689" w:rsidRDefault="00D330B8" w:rsidP="000B1689">
          <w:pPr>
            <w:pStyle w:val="TOC3"/>
            <w:rPr>
              <w:noProof/>
              <w:sz w:val="22"/>
              <w:szCs w:val="22"/>
              <w:lang w:val="en-AU" w:eastAsia="en-AU"/>
            </w:rPr>
          </w:pPr>
          <w:hyperlink w:anchor="_Toc431484318" w:history="1">
            <w:r w:rsidR="000B1689" w:rsidRPr="00AF7229">
              <w:rPr>
                <w:rStyle w:val="Hyperlink"/>
                <w:noProof/>
              </w:rPr>
              <w:t>2.6 Sexuality</w:t>
            </w:r>
            <w:r w:rsidR="000B1689">
              <w:rPr>
                <w:noProof/>
                <w:webHidden/>
              </w:rPr>
              <w:tab/>
            </w:r>
            <w:r w:rsidR="000B1689">
              <w:rPr>
                <w:noProof/>
                <w:webHidden/>
              </w:rPr>
              <w:fldChar w:fldCharType="begin"/>
            </w:r>
            <w:r w:rsidR="000B1689">
              <w:rPr>
                <w:noProof/>
                <w:webHidden/>
              </w:rPr>
              <w:instrText xml:space="preserve"> PAGEREF _Toc431484318 \h </w:instrText>
            </w:r>
            <w:r w:rsidR="000B1689">
              <w:rPr>
                <w:noProof/>
                <w:webHidden/>
              </w:rPr>
            </w:r>
            <w:r w:rsidR="000B1689">
              <w:rPr>
                <w:noProof/>
                <w:webHidden/>
              </w:rPr>
              <w:fldChar w:fldCharType="separate"/>
            </w:r>
            <w:r w:rsidR="000B1689">
              <w:rPr>
                <w:noProof/>
                <w:webHidden/>
              </w:rPr>
              <w:t>40</w:t>
            </w:r>
            <w:r w:rsidR="000B1689">
              <w:rPr>
                <w:noProof/>
                <w:webHidden/>
              </w:rPr>
              <w:fldChar w:fldCharType="end"/>
            </w:r>
          </w:hyperlink>
        </w:p>
        <w:p w:rsidR="000B1689" w:rsidRDefault="00D330B8" w:rsidP="000B1689">
          <w:pPr>
            <w:pStyle w:val="TOC3"/>
            <w:rPr>
              <w:noProof/>
              <w:sz w:val="22"/>
              <w:szCs w:val="22"/>
              <w:lang w:val="en-AU" w:eastAsia="en-AU"/>
            </w:rPr>
          </w:pPr>
          <w:hyperlink w:anchor="_Toc431484319" w:history="1">
            <w:r w:rsidR="000B1689" w:rsidRPr="00AF7229">
              <w:rPr>
                <w:rStyle w:val="Hyperlink"/>
                <w:noProof/>
              </w:rPr>
              <w:t>2.7 Ageing haemophilia patients</w:t>
            </w:r>
            <w:r w:rsidR="000B1689">
              <w:rPr>
                <w:noProof/>
                <w:webHidden/>
              </w:rPr>
              <w:tab/>
            </w:r>
            <w:r w:rsidR="000B1689">
              <w:rPr>
                <w:noProof/>
                <w:webHidden/>
              </w:rPr>
              <w:fldChar w:fldCharType="begin"/>
            </w:r>
            <w:r w:rsidR="000B1689">
              <w:rPr>
                <w:noProof/>
                <w:webHidden/>
              </w:rPr>
              <w:instrText xml:space="preserve"> PAGEREF _Toc431484319 \h </w:instrText>
            </w:r>
            <w:r w:rsidR="000B1689">
              <w:rPr>
                <w:noProof/>
                <w:webHidden/>
              </w:rPr>
            </w:r>
            <w:r w:rsidR="000B1689">
              <w:rPr>
                <w:noProof/>
                <w:webHidden/>
              </w:rPr>
              <w:fldChar w:fldCharType="separate"/>
            </w:r>
            <w:r w:rsidR="000B1689">
              <w:rPr>
                <w:noProof/>
                <w:webHidden/>
              </w:rPr>
              <w:t>40</w:t>
            </w:r>
            <w:r w:rsidR="000B1689">
              <w:rPr>
                <w:noProof/>
                <w:webHidden/>
              </w:rPr>
              <w:fldChar w:fldCharType="end"/>
            </w:r>
          </w:hyperlink>
        </w:p>
        <w:p w:rsidR="000B1689" w:rsidRDefault="00D330B8" w:rsidP="000B1689">
          <w:pPr>
            <w:pStyle w:val="TOC3"/>
            <w:rPr>
              <w:noProof/>
              <w:sz w:val="22"/>
              <w:szCs w:val="22"/>
              <w:lang w:val="en-AU" w:eastAsia="en-AU"/>
            </w:rPr>
          </w:pPr>
          <w:hyperlink w:anchor="_Toc431484320" w:history="1">
            <w:r w:rsidR="000B1689" w:rsidRPr="00AF7229">
              <w:rPr>
                <w:rStyle w:val="Hyperlink"/>
                <w:noProof/>
              </w:rPr>
              <w:t>2.8 von Willebrand disease and rare bleeding disorders</w:t>
            </w:r>
            <w:r w:rsidR="000B1689">
              <w:rPr>
                <w:noProof/>
                <w:webHidden/>
              </w:rPr>
              <w:tab/>
            </w:r>
            <w:r w:rsidR="000B1689">
              <w:rPr>
                <w:noProof/>
                <w:webHidden/>
              </w:rPr>
              <w:fldChar w:fldCharType="begin"/>
            </w:r>
            <w:r w:rsidR="000B1689">
              <w:rPr>
                <w:noProof/>
                <w:webHidden/>
              </w:rPr>
              <w:instrText xml:space="preserve"> PAGEREF _Toc431484320 \h </w:instrText>
            </w:r>
            <w:r w:rsidR="000B1689">
              <w:rPr>
                <w:noProof/>
                <w:webHidden/>
              </w:rPr>
            </w:r>
            <w:r w:rsidR="000B1689">
              <w:rPr>
                <w:noProof/>
                <w:webHidden/>
              </w:rPr>
              <w:fldChar w:fldCharType="separate"/>
            </w:r>
            <w:r w:rsidR="000B1689">
              <w:rPr>
                <w:noProof/>
                <w:webHidden/>
              </w:rPr>
              <w:t>43</w:t>
            </w:r>
            <w:r w:rsidR="000B1689">
              <w:rPr>
                <w:noProof/>
                <w:webHidden/>
              </w:rPr>
              <w:fldChar w:fldCharType="end"/>
            </w:r>
          </w:hyperlink>
        </w:p>
        <w:p w:rsidR="000B1689" w:rsidRDefault="00D330B8" w:rsidP="000B1689">
          <w:pPr>
            <w:pStyle w:val="TOC2"/>
            <w:tabs>
              <w:tab w:val="right" w:leader="dot" w:pos="9323"/>
            </w:tabs>
            <w:ind w:left="0"/>
            <w:rPr>
              <w:rFonts w:asciiTheme="minorHAnsi" w:eastAsiaTheme="minorEastAsia" w:hAnsiTheme="minorHAnsi" w:cstheme="minorBidi"/>
              <w:noProof/>
              <w:color w:val="auto"/>
            </w:rPr>
          </w:pPr>
          <w:hyperlink w:anchor="_Toc431484321" w:history="1">
            <w:r w:rsidR="000B1689" w:rsidRPr="00AF7229">
              <w:rPr>
                <w:rStyle w:val="Hyperlink"/>
                <w:noProof/>
              </w:rPr>
              <w:t>3</w:t>
            </w:r>
            <w:r w:rsidR="000B1689" w:rsidRPr="00AF7229">
              <w:rPr>
                <w:rStyle w:val="Hyperlink"/>
                <w:rFonts w:ascii="Avenir LT Std 45 Book" w:hAnsi="Avenir LT Std 45 Book"/>
                <w:noProof/>
              </w:rPr>
              <w:t xml:space="preserve"> </w:t>
            </w:r>
            <w:r w:rsidR="000B1689" w:rsidRPr="00AF7229">
              <w:rPr>
                <w:rStyle w:val="Hyperlink"/>
                <w:noProof/>
              </w:rPr>
              <w:t>LABORATORY DIAGNOSIS</w:t>
            </w:r>
            <w:r w:rsidR="000B1689">
              <w:rPr>
                <w:noProof/>
                <w:webHidden/>
              </w:rPr>
              <w:tab/>
            </w:r>
            <w:r w:rsidR="000B1689">
              <w:rPr>
                <w:noProof/>
                <w:webHidden/>
              </w:rPr>
              <w:fldChar w:fldCharType="begin"/>
            </w:r>
            <w:r w:rsidR="000B1689">
              <w:rPr>
                <w:noProof/>
                <w:webHidden/>
              </w:rPr>
              <w:instrText xml:space="preserve"> PAGEREF _Toc431484321 \h </w:instrText>
            </w:r>
            <w:r w:rsidR="000B1689">
              <w:rPr>
                <w:noProof/>
                <w:webHidden/>
              </w:rPr>
            </w:r>
            <w:r w:rsidR="000B1689">
              <w:rPr>
                <w:noProof/>
                <w:webHidden/>
              </w:rPr>
              <w:fldChar w:fldCharType="separate"/>
            </w:r>
            <w:r w:rsidR="000B1689">
              <w:rPr>
                <w:noProof/>
                <w:webHidden/>
              </w:rPr>
              <w:t>47</w:t>
            </w:r>
            <w:r w:rsidR="000B1689">
              <w:rPr>
                <w:noProof/>
                <w:webHidden/>
              </w:rPr>
              <w:fldChar w:fldCharType="end"/>
            </w:r>
          </w:hyperlink>
        </w:p>
        <w:p w:rsidR="000B1689" w:rsidRDefault="00D330B8" w:rsidP="000B1689">
          <w:pPr>
            <w:pStyle w:val="TOC2"/>
            <w:tabs>
              <w:tab w:val="right" w:leader="dot" w:pos="9323"/>
            </w:tabs>
            <w:ind w:left="0"/>
            <w:rPr>
              <w:rFonts w:asciiTheme="minorHAnsi" w:eastAsiaTheme="minorEastAsia" w:hAnsiTheme="minorHAnsi" w:cstheme="minorBidi"/>
              <w:noProof/>
              <w:color w:val="auto"/>
            </w:rPr>
          </w:pPr>
          <w:hyperlink w:anchor="_Toc431484322" w:history="1">
            <w:r w:rsidR="000B1689" w:rsidRPr="00AF7229">
              <w:rPr>
                <w:rStyle w:val="Hyperlink"/>
                <w:noProof/>
              </w:rPr>
              <w:t>4 HAEMOSTATIC AGENTS</w:t>
            </w:r>
            <w:r w:rsidR="000B1689">
              <w:rPr>
                <w:noProof/>
                <w:webHidden/>
              </w:rPr>
              <w:tab/>
            </w:r>
            <w:r w:rsidR="000B1689">
              <w:rPr>
                <w:noProof/>
                <w:webHidden/>
              </w:rPr>
              <w:fldChar w:fldCharType="begin"/>
            </w:r>
            <w:r w:rsidR="000B1689">
              <w:rPr>
                <w:noProof/>
                <w:webHidden/>
              </w:rPr>
              <w:instrText xml:space="preserve"> PAGEREF _Toc431484322 \h </w:instrText>
            </w:r>
            <w:r w:rsidR="000B1689">
              <w:rPr>
                <w:noProof/>
                <w:webHidden/>
              </w:rPr>
            </w:r>
            <w:r w:rsidR="000B1689">
              <w:rPr>
                <w:noProof/>
                <w:webHidden/>
              </w:rPr>
              <w:fldChar w:fldCharType="separate"/>
            </w:r>
            <w:r w:rsidR="000B1689">
              <w:rPr>
                <w:noProof/>
                <w:webHidden/>
              </w:rPr>
              <w:t>49</w:t>
            </w:r>
            <w:r w:rsidR="000B1689">
              <w:rPr>
                <w:noProof/>
                <w:webHidden/>
              </w:rPr>
              <w:fldChar w:fldCharType="end"/>
            </w:r>
          </w:hyperlink>
        </w:p>
        <w:p w:rsidR="000B1689" w:rsidRDefault="00D330B8" w:rsidP="000B1689">
          <w:pPr>
            <w:pStyle w:val="TOC3"/>
            <w:rPr>
              <w:noProof/>
              <w:sz w:val="22"/>
              <w:szCs w:val="22"/>
              <w:lang w:val="en-AU" w:eastAsia="en-AU"/>
            </w:rPr>
          </w:pPr>
          <w:hyperlink w:anchor="_Toc431484323" w:history="1">
            <w:r w:rsidR="000B1689" w:rsidRPr="00AF7229">
              <w:rPr>
                <w:rStyle w:val="Hyperlink"/>
                <w:noProof/>
              </w:rPr>
              <w:t>4.1 Clotting factor concentrates</w:t>
            </w:r>
            <w:r w:rsidR="000B1689">
              <w:rPr>
                <w:noProof/>
                <w:webHidden/>
              </w:rPr>
              <w:tab/>
            </w:r>
            <w:r w:rsidR="000B1689">
              <w:rPr>
                <w:noProof/>
                <w:webHidden/>
              </w:rPr>
              <w:fldChar w:fldCharType="begin"/>
            </w:r>
            <w:r w:rsidR="000B1689">
              <w:rPr>
                <w:noProof/>
                <w:webHidden/>
              </w:rPr>
              <w:instrText xml:space="preserve"> PAGEREF _Toc431484323 \h </w:instrText>
            </w:r>
            <w:r w:rsidR="000B1689">
              <w:rPr>
                <w:noProof/>
                <w:webHidden/>
              </w:rPr>
            </w:r>
            <w:r w:rsidR="000B1689">
              <w:rPr>
                <w:noProof/>
                <w:webHidden/>
              </w:rPr>
              <w:fldChar w:fldCharType="separate"/>
            </w:r>
            <w:r w:rsidR="000B1689">
              <w:rPr>
                <w:noProof/>
                <w:webHidden/>
              </w:rPr>
              <w:t>50</w:t>
            </w:r>
            <w:r w:rsidR="000B1689">
              <w:rPr>
                <w:noProof/>
                <w:webHidden/>
              </w:rPr>
              <w:fldChar w:fldCharType="end"/>
            </w:r>
          </w:hyperlink>
        </w:p>
        <w:p w:rsidR="000B1689" w:rsidRDefault="00D330B8" w:rsidP="000B1689">
          <w:pPr>
            <w:pStyle w:val="TOC3"/>
            <w:rPr>
              <w:noProof/>
              <w:sz w:val="22"/>
              <w:szCs w:val="22"/>
              <w:lang w:val="en-AU" w:eastAsia="en-AU"/>
            </w:rPr>
          </w:pPr>
          <w:hyperlink w:anchor="_Toc431484324" w:history="1">
            <w:r w:rsidR="000B1689" w:rsidRPr="00AF7229">
              <w:rPr>
                <w:rStyle w:val="Hyperlink"/>
                <w:noProof/>
              </w:rPr>
              <w:t>4.2 Other plasma products</w:t>
            </w:r>
            <w:r w:rsidR="000B1689">
              <w:rPr>
                <w:noProof/>
                <w:webHidden/>
              </w:rPr>
              <w:tab/>
            </w:r>
            <w:r w:rsidR="000B1689">
              <w:rPr>
                <w:noProof/>
                <w:webHidden/>
              </w:rPr>
              <w:fldChar w:fldCharType="begin"/>
            </w:r>
            <w:r w:rsidR="000B1689">
              <w:rPr>
                <w:noProof/>
                <w:webHidden/>
              </w:rPr>
              <w:instrText xml:space="preserve"> PAGEREF _Toc431484324 \h </w:instrText>
            </w:r>
            <w:r w:rsidR="000B1689">
              <w:rPr>
                <w:noProof/>
                <w:webHidden/>
              </w:rPr>
            </w:r>
            <w:r w:rsidR="000B1689">
              <w:rPr>
                <w:noProof/>
                <w:webHidden/>
              </w:rPr>
              <w:fldChar w:fldCharType="separate"/>
            </w:r>
            <w:r w:rsidR="000B1689">
              <w:rPr>
                <w:noProof/>
                <w:webHidden/>
              </w:rPr>
              <w:t>54</w:t>
            </w:r>
            <w:r w:rsidR="000B1689">
              <w:rPr>
                <w:noProof/>
                <w:webHidden/>
              </w:rPr>
              <w:fldChar w:fldCharType="end"/>
            </w:r>
          </w:hyperlink>
        </w:p>
        <w:p w:rsidR="000B1689" w:rsidRDefault="00D330B8" w:rsidP="000B1689">
          <w:pPr>
            <w:pStyle w:val="TOC3"/>
            <w:rPr>
              <w:noProof/>
              <w:sz w:val="22"/>
              <w:szCs w:val="22"/>
              <w:lang w:val="en-AU" w:eastAsia="en-AU"/>
            </w:rPr>
          </w:pPr>
          <w:hyperlink w:anchor="_Toc431484325" w:history="1">
            <w:r w:rsidR="000B1689" w:rsidRPr="00AF7229">
              <w:rPr>
                <w:rStyle w:val="Hyperlink"/>
                <w:noProof/>
              </w:rPr>
              <w:t>4.3 Other pharmacological options</w:t>
            </w:r>
            <w:r w:rsidR="000B1689">
              <w:rPr>
                <w:noProof/>
                <w:webHidden/>
              </w:rPr>
              <w:tab/>
            </w:r>
            <w:r w:rsidR="000B1689">
              <w:rPr>
                <w:noProof/>
                <w:webHidden/>
              </w:rPr>
              <w:fldChar w:fldCharType="begin"/>
            </w:r>
            <w:r w:rsidR="000B1689">
              <w:rPr>
                <w:noProof/>
                <w:webHidden/>
              </w:rPr>
              <w:instrText xml:space="preserve"> PAGEREF _Toc431484325 \h </w:instrText>
            </w:r>
            <w:r w:rsidR="000B1689">
              <w:rPr>
                <w:noProof/>
                <w:webHidden/>
              </w:rPr>
            </w:r>
            <w:r w:rsidR="000B1689">
              <w:rPr>
                <w:noProof/>
                <w:webHidden/>
              </w:rPr>
              <w:fldChar w:fldCharType="separate"/>
            </w:r>
            <w:r w:rsidR="000B1689">
              <w:rPr>
                <w:noProof/>
                <w:webHidden/>
              </w:rPr>
              <w:t>55</w:t>
            </w:r>
            <w:r w:rsidR="000B1689">
              <w:rPr>
                <w:noProof/>
                <w:webHidden/>
              </w:rPr>
              <w:fldChar w:fldCharType="end"/>
            </w:r>
          </w:hyperlink>
        </w:p>
        <w:p w:rsidR="000B1689" w:rsidRDefault="00D330B8" w:rsidP="000B1689">
          <w:pPr>
            <w:pStyle w:val="TOC2"/>
            <w:tabs>
              <w:tab w:val="right" w:leader="dot" w:pos="9323"/>
            </w:tabs>
            <w:ind w:left="0"/>
            <w:rPr>
              <w:rFonts w:asciiTheme="minorHAnsi" w:eastAsiaTheme="minorEastAsia" w:hAnsiTheme="minorHAnsi" w:cstheme="minorBidi"/>
              <w:noProof/>
              <w:color w:val="auto"/>
            </w:rPr>
          </w:pPr>
          <w:hyperlink w:anchor="_Toc431484326" w:history="1">
            <w:r w:rsidR="000B1689" w:rsidRPr="00AF7229">
              <w:rPr>
                <w:rStyle w:val="Hyperlink"/>
                <w:noProof/>
              </w:rPr>
              <w:t>5 TREATMENT OF SPECIFIC HAEMORRHAGES</w:t>
            </w:r>
            <w:r w:rsidR="000B1689">
              <w:rPr>
                <w:noProof/>
                <w:webHidden/>
              </w:rPr>
              <w:tab/>
            </w:r>
            <w:r w:rsidR="000B1689">
              <w:rPr>
                <w:noProof/>
                <w:webHidden/>
              </w:rPr>
              <w:fldChar w:fldCharType="begin"/>
            </w:r>
            <w:r w:rsidR="000B1689">
              <w:rPr>
                <w:noProof/>
                <w:webHidden/>
              </w:rPr>
              <w:instrText xml:space="preserve"> PAGEREF _Toc431484326 \h </w:instrText>
            </w:r>
            <w:r w:rsidR="000B1689">
              <w:rPr>
                <w:noProof/>
                <w:webHidden/>
              </w:rPr>
            </w:r>
            <w:r w:rsidR="000B1689">
              <w:rPr>
                <w:noProof/>
                <w:webHidden/>
              </w:rPr>
              <w:fldChar w:fldCharType="separate"/>
            </w:r>
            <w:r w:rsidR="000B1689">
              <w:rPr>
                <w:noProof/>
                <w:webHidden/>
              </w:rPr>
              <w:t>62</w:t>
            </w:r>
            <w:r w:rsidR="000B1689">
              <w:rPr>
                <w:noProof/>
                <w:webHidden/>
              </w:rPr>
              <w:fldChar w:fldCharType="end"/>
            </w:r>
          </w:hyperlink>
        </w:p>
        <w:p w:rsidR="000B1689" w:rsidRDefault="00D330B8" w:rsidP="000B1689">
          <w:pPr>
            <w:pStyle w:val="TOC3"/>
            <w:rPr>
              <w:noProof/>
              <w:sz w:val="22"/>
              <w:szCs w:val="22"/>
              <w:lang w:val="en-AU" w:eastAsia="en-AU"/>
            </w:rPr>
          </w:pPr>
          <w:hyperlink w:anchor="_Toc431484327" w:history="1">
            <w:r w:rsidR="000B1689" w:rsidRPr="00AF7229">
              <w:rPr>
                <w:rStyle w:val="Hyperlink"/>
                <w:noProof/>
              </w:rPr>
              <w:t>5.1 Joint haemorrhage (haemarthrosis)</w:t>
            </w:r>
            <w:r w:rsidR="000B1689">
              <w:rPr>
                <w:noProof/>
                <w:webHidden/>
              </w:rPr>
              <w:tab/>
            </w:r>
            <w:r w:rsidR="000B1689">
              <w:rPr>
                <w:noProof/>
                <w:webHidden/>
              </w:rPr>
              <w:fldChar w:fldCharType="begin"/>
            </w:r>
            <w:r w:rsidR="000B1689">
              <w:rPr>
                <w:noProof/>
                <w:webHidden/>
              </w:rPr>
              <w:instrText xml:space="preserve"> PAGEREF _Toc431484327 \h </w:instrText>
            </w:r>
            <w:r w:rsidR="000B1689">
              <w:rPr>
                <w:noProof/>
                <w:webHidden/>
              </w:rPr>
            </w:r>
            <w:r w:rsidR="000B1689">
              <w:rPr>
                <w:noProof/>
                <w:webHidden/>
              </w:rPr>
              <w:fldChar w:fldCharType="separate"/>
            </w:r>
            <w:r w:rsidR="000B1689">
              <w:rPr>
                <w:noProof/>
                <w:webHidden/>
              </w:rPr>
              <w:t>63</w:t>
            </w:r>
            <w:r w:rsidR="000B1689">
              <w:rPr>
                <w:noProof/>
                <w:webHidden/>
              </w:rPr>
              <w:fldChar w:fldCharType="end"/>
            </w:r>
          </w:hyperlink>
        </w:p>
        <w:p w:rsidR="000B1689" w:rsidRDefault="00D330B8" w:rsidP="000B1689">
          <w:pPr>
            <w:pStyle w:val="TOC3"/>
            <w:rPr>
              <w:noProof/>
              <w:sz w:val="22"/>
              <w:szCs w:val="22"/>
              <w:lang w:val="en-AU" w:eastAsia="en-AU"/>
            </w:rPr>
          </w:pPr>
          <w:hyperlink w:anchor="_Toc431484328" w:history="1">
            <w:r w:rsidR="000B1689" w:rsidRPr="00AF7229">
              <w:rPr>
                <w:rStyle w:val="Hyperlink"/>
                <w:rFonts w:eastAsia="Calibri"/>
                <w:noProof/>
              </w:rPr>
              <w:t>5.2</w:t>
            </w:r>
            <w:r w:rsidR="000B1689" w:rsidRPr="00AF7229">
              <w:rPr>
                <w:rStyle w:val="Hyperlink"/>
                <w:rFonts w:eastAsia="Calibri"/>
                <w:b/>
                <w:noProof/>
              </w:rPr>
              <w:t xml:space="preserve"> </w:t>
            </w:r>
            <w:r w:rsidR="000B1689" w:rsidRPr="00AF7229">
              <w:rPr>
                <w:rStyle w:val="Hyperlink"/>
                <w:noProof/>
              </w:rPr>
              <w:t>Muscle haemorrhage</w:t>
            </w:r>
            <w:r w:rsidR="000B1689">
              <w:rPr>
                <w:noProof/>
                <w:webHidden/>
              </w:rPr>
              <w:tab/>
            </w:r>
            <w:r w:rsidR="000B1689">
              <w:rPr>
                <w:noProof/>
                <w:webHidden/>
              </w:rPr>
              <w:fldChar w:fldCharType="begin"/>
            </w:r>
            <w:r w:rsidR="000B1689">
              <w:rPr>
                <w:noProof/>
                <w:webHidden/>
              </w:rPr>
              <w:instrText xml:space="preserve"> PAGEREF _Toc431484328 \h </w:instrText>
            </w:r>
            <w:r w:rsidR="000B1689">
              <w:rPr>
                <w:noProof/>
                <w:webHidden/>
              </w:rPr>
            </w:r>
            <w:r w:rsidR="000B1689">
              <w:rPr>
                <w:noProof/>
                <w:webHidden/>
              </w:rPr>
              <w:fldChar w:fldCharType="separate"/>
            </w:r>
            <w:r w:rsidR="000B1689">
              <w:rPr>
                <w:noProof/>
                <w:webHidden/>
              </w:rPr>
              <w:t>66</w:t>
            </w:r>
            <w:r w:rsidR="000B1689">
              <w:rPr>
                <w:noProof/>
                <w:webHidden/>
              </w:rPr>
              <w:fldChar w:fldCharType="end"/>
            </w:r>
          </w:hyperlink>
        </w:p>
        <w:p w:rsidR="000B1689" w:rsidRDefault="00D330B8" w:rsidP="000B1689">
          <w:pPr>
            <w:pStyle w:val="TOC3"/>
            <w:rPr>
              <w:noProof/>
              <w:sz w:val="22"/>
              <w:szCs w:val="22"/>
              <w:lang w:val="en-AU" w:eastAsia="en-AU"/>
            </w:rPr>
          </w:pPr>
          <w:hyperlink w:anchor="_Toc431484329" w:history="1">
            <w:r w:rsidR="000B1689" w:rsidRPr="00AF7229">
              <w:rPr>
                <w:rStyle w:val="Hyperlink"/>
                <w:noProof/>
              </w:rPr>
              <w:t>5.3</w:t>
            </w:r>
            <w:r w:rsidR="000B1689" w:rsidRPr="00AF7229">
              <w:rPr>
                <w:rStyle w:val="Hyperlink"/>
                <w:b/>
                <w:noProof/>
              </w:rPr>
              <w:t xml:space="preserve"> </w:t>
            </w:r>
            <w:r w:rsidR="000B1689" w:rsidRPr="00AF7229">
              <w:rPr>
                <w:rStyle w:val="Hyperlink"/>
                <w:noProof/>
              </w:rPr>
              <w:t>Central nervous system haemorrhage/head trauma</w:t>
            </w:r>
            <w:r w:rsidR="000B1689">
              <w:rPr>
                <w:noProof/>
                <w:webHidden/>
              </w:rPr>
              <w:tab/>
            </w:r>
            <w:r w:rsidR="000B1689">
              <w:rPr>
                <w:noProof/>
                <w:webHidden/>
              </w:rPr>
              <w:fldChar w:fldCharType="begin"/>
            </w:r>
            <w:r w:rsidR="000B1689">
              <w:rPr>
                <w:noProof/>
                <w:webHidden/>
              </w:rPr>
              <w:instrText xml:space="preserve"> PAGEREF _Toc431484329 \h </w:instrText>
            </w:r>
            <w:r w:rsidR="000B1689">
              <w:rPr>
                <w:noProof/>
                <w:webHidden/>
              </w:rPr>
            </w:r>
            <w:r w:rsidR="000B1689">
              <w:rPr>
                <w:noProof/>
                <w:webHidden/>
              </w:rPr>
              <w:fldChar w:fldCharType="separate"/>
            </w:r>
            <w:r w:rsidR="000B1689">
              <w:rPr>
                <w:noProof/>
                <w:webHidden/>
              </w:rPr>
              <w:t>68</w:t>
            </w:r>
            <w:r w:rsidR="000B1689">
              <w:rPr>
                <w:noProof/>
                <w:webHidden/>
              </w:rPr>
              <w:fldChar w:fldCharType="end"/>
            </w:r>
          </w:hyperlink>
        </w:p>
        <w:p w:rsidR="000B1689" w:rsidRDefault="00D330B8" w:rsidP="000B1689">
          <w:pPr>
            <w:pStyle w:val="TOC3"/>
            <w:rPr>
              <w:noProof/>
              <w:sz w:val="22"/>
              <w:szCs w:val="22"/>
              <w:lang w:val="en-AU" w:eastAsia="en-AU"/>
            </w:rPr>
          </w:pPr>
          <w:hyperlink w:anchor="_Toc431484330" w:history="1">
            <w:r w:rsidR="000B1689" w:rsidRPr="00AF7229">
              <w:rPr>
                <w:rStyle w:val="Hyperlink"/>
                <w:noProof/>
              </w:rPr>
              <w:t>5.4 Throat and neck haemorrhage</w:t>
            </w:r>
            <w:r w:rsidR="000B1689">
              <w:rPr>
                <w:noProof/>
                <w:webHidden/>
              </w:rPr>
              <w:tab/>
            </w:r>
            <w:r w:rsidR="000B1689">
              <w:rPr>
                <w:noProof/>
                <w:webHidden/>
              </w:rPr>
              <w:fldChar w:fldCharType="begin"/>
            </w:r>
            <w:r w:rsidR="000B1689">
              <w:rPr>
                <w:noProof/>
                <w:webHidden/>
              </w:rPr>
              <w:instrText xml:space="preserve"> PAGEREF _Toc431484330 \h </w:instrText>
            </w:r>
            <w:r w:rsidR="000B1689">
              <w:rPr>
                <w:noProof/>
                <w:webHidden/>
              </w:rPr>
            </w:r>
            <w:r w:rsidR="000B1689">
              <w:rPr>
                <w:noProof/>
                <w:webHidden/>
              </w:rPr>
              <w:fldChar w:fldCharType="separate"/>
            </w:r>
            <w:r w:rsidR="000B1689">
              <w:rPr>
                <w:noProof/>
                <w:webHidden/>
              </w:rPr>
              <w:t>68</w:t>
            </w:r>
            <w:r w:rsidR="000B1689">
              <w:rPr>
                <w:noProof/>
                <w:webHidden/>
              </w:rPr>
              <w:fldChar w:fldCharType="end"/>
            </w:r>
          </w:hyperlink>
        </w:p>
        <w:p w:rsidR="000B1689" w:rsidRDefault="00D330B8" w:rsidP="000B1689">
          <w:pPr>
            <w:pStyle w:val="TOC3"/>
            <w:rPr>
              <w:noProof/>
              <w:sz w:val="22"/>
              <w:szCs w:val="22"/>
              <w:lang w:val="en-AU" w:eastAsia="en-AU"/>
            </w:rPr>
          </w:pPr>
          <w:hyperlink w:anchor="_Toc431484331" w:history="1">
            <w:r w:rsidR="000B1689" w:rsidRPr="00AF7229">
              <w:rPr>
                <w:rStyle w:val="Hyperlink"/>
                <w:noProof/>
              </w:rPr>
              <w:t>5.5 Acute gastrointestinal (GI) haemorrhage</w:t>
            </w:r>
            <w:r w:rsidR="000B1689">
              <w:rPr>
                <w:noProof/>
                <w:webHidden/>
              </w:rPr>
              <w:tab/>
            </w:r>
            <w:r w:rsidR="000B1689">
              <w:rPr>
                <w:noProof/>
                <w:webHidden/>
              </w:rPr>
              <w:fldChar w:fldCharType="begin"/>
            </w:r>
            <w:r w:rsidR="000B1689">
              <w:rPr>
                <w:noProof/>
                <w:webHidden/>
              </w:rPr>
              <w:instrText xml:space="preserve"> PAGEREF _Toc431484331 \h </w:instrText>
            </w:r>
            <w:r w:rsidR="000B1689">
              <w:rPr>
                <w:noProof/>
                <w:webHidden/>
              </w:rPr>
            </w:r>
            <w:r w:rsidR="000B1689">
              <w:rPr>
                <w:noProof/>
                <w:webHidden/>
              </w:rPr>
              <w:fldChar w:fldCharType="separate"/>
            </w:r>
            <w:r w:rsidR="000B1689">
              <w:rPr>
                <w:noProof/>
                <w:webHidden/>
              </w:rPr>
              <w:t>69</w:t>
            </w:r>
            <w:r w:rsidR="000B1689">
              <w:rPr>
                <w:noProof/>
                <w:webHidden/>
              </w:rPr>
              <w:fldChar w:fldCharType="end"/>
            </w:r>
          </w:hyperlink>
        </w:p>
        <w:p w:rsidR="000B1689" w:rsidRDefault="00D330B8" w:rsidP="000B1689">
          <w:pPr>
            <w:pStyle w:val="TOC3"/>
            <w:rPr>
              <w:noProof/>
              <w:sz w:val="22"/>
              <w:szCs w:val="22"/>
              <w:lang w:val="en-AU" w:eastAsia="en-AU"/>
            </w:rPr>
          </w:pPr>
          <w:hyperlink w:anchor="_Toc431484332" w:history="1">
            <w:r w:rsidR="000B1689" w:rsidRPr="00AF7229">
              <w:rPr>
                <w:rStyle w:val="Hyperlink"/>
                <w:noProof/>
              </w:rPr>
              <w:t>5.6</w:t>
            </w:r>
            <w:r w:rsidR="000B1689" w:rsidRPr="00AF7229">
              <w:rPr>
                <w:rStyle w:val="Hyperlink"/>
                <w:b/>
                <w:noProof/>
              </w:rPr>
              <w:t xml:space="preserve"> </w:t>
            </w:r>
            <w:r w:rsidR="000B1689" w:rsidRPr="00AF7229">
              <w:rPr>
                <w:rStyle w:val="Hyperlink"/>
                <w:noProof/>
              </w:rPr>
              <w:t>Acute abdominal haemorrhage</w:t>
            </w:r>
            <w:r w:rsidR="000B1689">
              <w:rPr>
                <w:noProof/>
                <w:webHidden/>
              </w:rPr>
              <w:tab/>
            </w:r>
            <w:r w:rsidR="000B1689">
              <w:rPr>
                <w:noProof/>
                <w:webHidden/>
              </w:rPr>
              <w:fldChar w:fldCharType="begin"/>
            </w:r>
            <w:r w:rsidR="000B1689">
              <w:rPr>
                <w:noProof/>
                <w:webHidden/>
              </w:rPr>
              <w:instrText xml:space="preserve"> PAGEREF _Toc431484332 \h </w:instrText>
            </w:r>
            <w:r w:rsidR="000B1689">
              <w:rPr>
                <w:noProof/>
                <w:webHidden/>
              </w:rPr>
            </w:r>
            <w:r w:rsidR="000B1689">
              <w:rPr>
                <w:noProof/>
                <w:webHidden/>
              </w:rPr>
              <w:fldChar w:fldCharType="separate"/>
            </w:r>
            <w:r w:rsidR="000B1689">
              <w:rPr>
                <w:noProof/>
                <w:webHidden/>
              </w:rPr>
              <w:t>69</w:t>
            </w:r>
            <w:r w:rsidR="000B1689">
              <w:rPr>
                <w:noProof/>
                <w:webHidden/>
              </w:rPr>
              <w:fldChar w:fldCharType="end"/>
            </w:r>
          </w:hyperlink>
        </w:p>
        <w:p w:rsidR="000B1689" w:rsidRDefault="00D330B8" w:rsidP="000B1689">
          <w:pPr>
            <w:pStyle w:val="TOC3"/>
            <w:rPr>
              <w:noProof/>
              <w:sz w:val="22"/>
              <w:szCs w:val="22"/>
              <w:lang w:val="en-AU" w:eastAsia="en-AU"/>
            </w:rPr>
          </w:pPr>
          <w:hyperlink w:anchor="_Toc431484333" w:history="1">
            <w:r w:rsidR="000B1689" w:rsidRPr="00AF7229">
              <w:rPr>
                <w:rStyle w:val="Hyperlink"/>
                <w:noProof/>
              </w:rPr>
              <w:t>5.7</w:t>
            </w:r>
            <w:r w:rsidR="000B1689" w:rsidRPr="00AF7229">
              <w:rPr>
                <w:rStyle w:val="Hyperlink"/>
                <w:b/>
                <w:noProof/>
              </w:rPr>
              <w:t xml:space="preserve"> </w:t>
            </w:r>
            <w:r w:rsidR="000B1689" w:rsidRPr="00AF7229">
              <w:rPr>
                <w:rStyle w:val="Hyperlink"/>
                <w:noProof/>
              </w:rPr>
              <w:t>Ophthalmic haemorrhage</w:t>
            </w:r>
            <w:r w:rsidR="000B1689">
              <w:rPr>
                <w:noProof/>
                <w:webHidden/>
              </w:rPr>
              <w:tab/>
            </w:r>
            <w:r w:rsidR="000B1689">
              <w:rPr>
                <w:noProof/>
                <w:webHidden/>
              </w:rPr>
              <w:fldChar w:fldCharType="begin"/>
            </w:r>
            <w:r w:rsidR="000B1689">
              <w:rPr>
                <w:noProof/>
                <w:webHidden/>
              </w:rPr>
              <w:instrText xml:space="preserve"> PAGEREF _Toc431484333 \h </w:instrText>
            </w:r>
            <w:r w:rsidR="000B1689">
              <w:rPr>
                <w:noProof/>
                <w:webHidden/>
              </w:rPr>
            </w:r>
            <w:r w:rsidR="000B1689">
              <w:rPr>
                <w:noProof/>
                <w:webHidden/>
              </w:rPr>
              <w:fldChar w:fldCharType="separate"/>
            </w:r>
            <w:r w:rsidR="000B1689">
              <w:rPr>
                <w:noProof/>
                <w:webHidden/>
              </w:rPr>
              <w:t>69</w:t>
            </w:r>
            <w:r w:rsidR="000B1689">
              <w:rPr>
                <w:noProof/>
                <w:webHidden/>
              </w:rPr>
              <w:fldChar w:fldCharType="end"/>
            </w:r>
          </w:hyperlink>
        </w:p>
        <w:p w:rsidR="000B1689" w:rsidRDefault="00D330B8" w:rsidP="000B1689">
          <w:pPr>
            <w:pStyle w:val="TOC3"/>
            <w:rPr>
              <w:noProof/>
              <w:sz w:val="22"/>
              <w:szCs w:val="22"/>
              <w:lang w:val="en-AU" w:eastAsia="en-AU"/>
            </w:rPr>
          </w:pPr>
          <w:hyperlink w:anchor="_Toc431484334" w:history="1">
            <w:r w:rsidR="000B1689" w:rsidRPr="00AF7229">
              <w:rPr>
                <w:rStyle w:val="Hyperlink"/>
                <w:noProof/>
              </w:rPr>
              <w:t>5.8 Renal haemorrhage</w:t>
            </w:r>
            <w:r w:rsidR="000B1689">
              <w:rPr>
                <w:noProof/>
                <w:webHidden/>
              </w:rPr>
              <w:tab/>
            </w:r>
            <w:r w:rsidR="000B1689">
              <w:rPr>
                <w:noProof/>
                <w:webHidden/>
              </w:rPr>
              <w:fldChar w:fldCharType="begin"/>
            </w:r>
            <w:r w:rsidR="000B1689">
              <w:rPr>
                <w:noProof/>
                <w:webHidden/>
              </w:rPr>
              <w:instrText xml:space="preserve"> PAGEREF _Toc431484334 \h </w:instrText>
            </w:r>
            <w:r w:rsidR="000B1689">
              <w:rPr>
                <w:noProof/>
                <w:webHidden/>
              </w:rPr>
            </w:r>
            <w:r w:rsidR="000B1689">
              <w:rPr>
                <w:noProof/>
                <w:webHidden/>
              </w:rPr>
              <w:fldChar w:fldCharType="separate"/>
            </w:r>
            <w:r w:rsidR="000B1689">
              <w:rPr>
                <w:noProof/>
                <w:webHidden/>
              </w:rPr>
              <w:t>69</w:t>
            </w:r>
            <w:r w:rsidR="000B1689">
              <w:rPr>
                <w:noProof/>
                <w:webHidden/>
              </w:rPr>
              <w:fldChar w:fldCharType="end"/>
            </w:r>
          </w:hyperlink>
        </w:p>
        <w:p w:rsidR="000B1689" w:rsidRDefault="00D330B8" w:rsidP="000B1689">
          <w:pPr>
            <w:pStyle w:val="TOC3"/>
            <w:rPr>
              <w:noProof/>
              <w:sz w:val="22"/>
              <w:szCs w:val="22"/>
              <w:lang w:val="en-AU" w:eastAsia="en-AU"/>
            </w:rPr>
          </w:pPr>
          <w:hyperlink w:anchor="_Toc431484335" w:history="1">
            <w:r w:rsidR="000B1689" w:rsidRPr="00AF7229">
              <w:rPr>
                <w:rStyle w:val="Hyperlink"/>
                <w:noProof/>
              </w:rPr>
              <w:t>5.9 Oral haemorrhage</w:t>
            </w:r>
            <w:r w:rsidR="000B1689">
              <w:rPr>
                <w:noProof/>
                <w:webHidden/>
              </w:rPr>
              <w:tab/>
            </w:r>
            <w:r w:rsidR="000B1689">
              <w:rPr>
                <w:noProof/>
                <w:webHidden/>
              </w:rPr>
              <w:fldChar w:fldCharType="begin"/>
            </w:r>
            <w:r w:rsidR="000B1689">
              <w:rPr>
                <w:noProof/>
                <w:webHidden/>
              </w:rPr>
              <w:instrText xml:space="preserve"> PAGEREF _Toc431484335 \h </w:instrText>
            </w:r>
            <w:r w:rsidR="000B1689">
              <w:rPr>
                <w:noProof/>
                <w:webHidden/>
              </w:rPr>
            </w:r>
            <w:r w:rsidR="000B1689">
              <w:rPr>
                <w:noProof/>
                <w:webHidden/>
              </w:rPr>
              <w:fldChar w:fldCharType="separate"/>
            </w:r>
            <w:r w:rsidR="000B1689">
              <w:rPr>
                <w:noProof/>
                <w:webHidden/>
              </w:rPr>
              <w:t>70</w:t>
            </w:r>
            <w:r w:rsidR="000B1689">
              <w:rPr>
                <w:noProof/>
                <w:webHidden/>
              </w:rPr>
              <w:fldChar w:fldCharType="end"/>
            </w:r>
          </w:hyperlink>
        </w:p>
        <w:p w:rsidR="000B1689" w:rsidRDefault="00D330B8" w:rsidP="000B1689">
          <w:pPr>
            <w:pStyle w:val="TOC3"/>
            <w:rPr>
              <w:noProof/>
              <w:sz w:val="22"/>
              <w:szCs w:val="22"/>
              <w:lang w:val="en-AU" w:eastAsia="en-AU"/>
            </w:rPr>
          </w:pPr>
          <w:hyperlink w:anchor="_Toc431484336" w:history="1">
            <w:r w:rsidR="000B1689" w:rsidRPr="00AF7229">
              <w:rPr>
                <w:rStyle w:val="Hyperlink"/>
                <w:noProof/>
              </w:rPr>
              <w:t>5.10 Epistaxis</w:t>
            </w:r>
            <w:r w:rsidR="000B1689">
              <w:rPr>
                <w:noProof/>
                <w:webHidden/>
              </w:rPr>
              <w:tab/>
            </w:r>
            <w:r w:rsidR="000B1689">
              <w:rPr>
                <w:noProof/>
                <w:webHidden/>
              </w:rPr>
              <w:fldChar w:fldCharType="begin"/>
            </w:r>
            <w:r w:rsidR="000B1689">
              <w:rPr>
                <w:noProof/>
                <w:webHidden/>
              </w:rPr>
              <w:instrText xml:space="preserve"> PAGEREF _Toc431484336 \h </w:instrText>
            </w:r>
            <w:r w:rsidR="000B1689">
              <w:rPr>
                <w:noProof/>
                <w:webHidden/>
              </w:rPr>
            </w:r>
            <w:r w:rsidR="000B1689">
              <w:rPr>
                <w:noProof/>
                <w:webHidden/>
              </w:rPr>
              <w:fldChar w:fldCharType="separate"/>
            </w:r>
            <w:r w:rsidR="000B1689">
              <w:rPr>
                <w:noProof/>
                <w:webHidden/>
              </w:rPr>
              <w:t>70</w:t>
            </w:r>
            <w:r w:rsidR="000B1689">
              <w:rPr>
                <w:noProof/>
                <w:webHidden/>
              </w:rPr>
              <w:fldChar w:fldCharType="end"/>
            </w:r>
          </w:hyperlink>
        </w:p>
        <w:p w:rsidR="000B1689" w:rsidRDefault="00D330B8" w:rsidP="000B1689">
          <w:pPr>
            <w:pStyle w:val="TOC3"/>
            <w:rPr>
              <w:noProof/>
              <w:sz w:val="22"/>
              <w:szCs w:val="22"/>
              <w:lang w:val="en-AU" w:eastAsia="en-AU"/>
            </w:rPr>
          </w:pPr>
          <w:hyperlink w:anchor="_Toc431484337" w:history="1">
            <w:r w:rsidR="000B1689" w:rsidRPr="00AF7229">
              <w:rPr>
                <w:rStyle w:val="Hyperlink"/>
                <w:noProof/>
              </w:rPr>
              <w:t>5.11 Soft tissue haemorrhage</w:t>
            </w:r>
            <w:r w:rsidR="000B1689">
              <w:rPr>
                <w:noProof/>
                <w:webHidden/>
              </w:rPr>
              <w:tab/>
            </w:r>
            <w:r w:rsidR="000B1689">
              <w:rPr>
                <w:noProof/>
                <w:webHidden/>
              </w:rPr>
              <w:fldChar w:fldCharType="begin"/>
            </w:r>
            <w:r w:rsidR="000B1689">
              <w:rPr>
                <w:noProof/>
                <w:webHidden/>
              </w:rPr>
              <w:instrText xml:space="preserve"> PAGEREF _Toc431484337 \h </w:instrText>
            </w:r>
            <w:r w:rsidR="000B1689">
              <w:rPr>
                <w:noProof/>
                <w:webHidden/>
              </w:rPr>
            </w:r>
            <w:r w:rsidR="000B1689">
              <w:rPr>
                <w:noProof/>
                <w:webHidden/>
              </w:rPr>
              <w:fldChar w:fldCharType="separate"/>
            </w:r>
            <w:r w:rsidR="000B1689">
              <w:rPr>
                <w:noProof/>
                <w:webHidden/>
              </w:rPr>
              <w:t>71</w:t>
            </w:r>
            <w:r w:rsidR="000B1689">
              <w:rPr>
                <w:noProof/>
                <w:webHidden/>
              </w:rPr>
              <w:fldChar w:fldCharType="end"/>
            </w:r>
          </w:hyperlink>
        </w:p>
        <w:p w:rsidR="000B1689" w:rsidRDefault="00D330B8" w:rsidP="000B1689">
          <w:pPr>
            <w:pStyle w:val="TOC3"/>
            <w:rPr>
              <w:noProof/>
              <w:sz w:val="22"/>
              <w:szCs w:val="22"/>
              <w:lang w:val="en-AU" w:eastAsia="en-AU"/>
            </w:rPr>
          </w:pPr>
          <w:hyperlink w:anchor="_Toc431484338" w:history="1">
            <w:r w:rsidR="000B1689" w:rsidRPr="00AF7229">
              <w:rPr>
                <w:rStyle w:val="Hyperlink"/>
                <w:noProof/>
              </w:rPr>
              <w:t>5.12 Lacerations and abrasions</w:t>
            </w:r>
            <w:r w:rsidR="000B1689">
              <w:rPr>
                <w:noProof/>
                <w:webHidden/>
              </w:rPr>
              <w:tab/>
            </w:r>
            <w:r w:rsidR="000B1689">
              <w:rPr>
                <w:noProof/>
                <w:webHidden/>
              </w:rPr>
              <w:fldChar w:fldCharType="begin"/>
            </w:r>
            <w:r w:rsidR="000B1689">
              <w:rPr>
                <w:noProof/>
                <w:webHidden/>
              </w:rPr>
              <w:instrText xml:space="preserve"> PAGEREF _Toc431484338 \h </w:instrText>
            </w:r>
            <w:r w:rsidR="000B1689">
              <w:rPr>
                <w:noProof/>
                <w:webHidden/>
              </w:rPr>
            </w:r>
            <w:r w:rsidR="000B1689">
              <w:rPr>
                <w:noProof/>
                <w:webHidden/>
              </w:rPr>
              <w:fldChar w:fldCharType="separate"/>
            </w:r>
            <w:r w:rsidR="000B1689">
              <w:rPr>
                <w:noProof/>
                <w:webHidden/>
              </w:rPr>
              <w:t>71</w:t>
            </w:r>
            <w:r w:rsidR="000B1689">
              <w:rPr>
                <w:noProof/>
                <w:webHidden/>
              </w:rPr>
              <w:fldChar w:fldCharType="end"/>
            </w:r>
          </w:hyperlink>
        </w:p>
        <w:p w:rsidR="000B1689" w:rsidRDefault="00D330B8" w:rsidP="000B1689">
          <w:pPr>
            <w:pStyle w:val="TOC2"/>
            <w:tabs>
              <w:tab w:val="right" w:leader="dot" w:pos="9323"/>
            </w:tabs>
            <w:ind w:left="0"/>
            <w:rPr>
              <w:rFonts w:asciiTheme="minorHAnsi" w:eastAsiaTheme="minorEastAsia" w:hAnsiTheme="minorHAnsi" w:cstheme="minorBidi"/>
              <w:noProof/>
              <w:color w:val="auto"/>
            </w:rPr>
          </w:pPr>
          <w:hyperlink w:anchor="_Toc431484339" w:history="1">
            <w:r w:rsidR="000B1689" w:rsidRPr="00AF7229">
              <w:rPr>
                <w:rStyle w:val="Hyperlink"/>
                <w:noProof/>
              </w:rPr>
              <w:t>6 COMPLICATIONS OF HAEMOPHILIA</w:t>
            </w:r>
            <w:r w:rsidR="000B1689">
              <w:rPr>
                <w:noProof/>
                <w:webHidden/>
              </w:rPr>
              <w:tab/>
            </w:r>
            <w:r w:rsidR="000B1689">
              <w:rPr>
                <w:noProof/>
                <w:webHidden/>
              </w:rPr>
              <w:fldChar w:fldCharType="begin"/>
            </w:r>
            <w:r w:rsidR="000B1689">
              <w:rPr>
                <w:noProof/>
                <w:webHidden/>
              </w:rPr>
              <w:instrText xml:space="preserve"> PAGEREF _Toc431484339 \h </w:instrText>
            </w:r>
            <w:r w:rsidR="000B1689">
              <w:rPr>
                <w:noProof/>
                <w:webHidden/>
              </w:rPr>
            </w:r>
            <w:r w:rsidR="000B1689">
              <w:rPr>
                <w:noProof/>
                <w:webHidden/>
              </w:rPr>
              <w:fldChar w:fldCharType="separate"/>
            </w:r>
            <w:r w:rsidR="000B1689">
              <w:rPr>
                <w:noProof/>
                <w:webHidden/>
              </w:rPr>
              <w:t>74</w:t>
            </w:r>
            <w:r w:rsidR="000B1689">
              <w:rPr>
                <w:noProof/>
                <w:webHidden/>
              </w:rPr>
              <w:fldChar w:fldCharType="end"/>
            </w:r>
          </w:hyperlink>
        </w:p>
        <w:p w:rsidR="000B1689" w:rsidRDefault="00D330B8" w:rsidP="000B1689">
          <w:pPr>
            <w:pStyle w:val="TOC3"/>
            <w:rPr>
              <w:noProof/>
              <w:sz w:val="22"/>
              <w:szCs w:val="22"/>
              <w:lang w:val="en-AU" w:eastAsia="en-AU"/>
            </w:rPr>
          </w:pPr>
          <w:hyperlink w:anchor="_Toc431484340" w:history="1">
            <w:r w:rsidR="000B1689" w:rsidRPr="00AF7229">
              <w:rPr>
                <w:rStyle w:val="Hyperlink"/>
                <w:noProof/>
              </w:rPr>
              <w:t>6.1 Musculoskeletal complications</w:t>
            </w:r>
            <w:r w:rsidR="000B1689">
              <w:rPr>
                <w:noProof/>
                <w:webHidden/>
              </w:rPr>
              <w:tab/>
            </w:r>
            <w:r w:rsidR="000B1689">
              <w:rPr>
                <w:noProof/>
                <w:webHidden/>
              </w:rPr>
              <w:fldChar w:fldCharType="begin"/>
            </w:r>
            <w:r w:rsidR="000B1689">
              <w:rPr>
                <w:noProof/>
                <w:webHidden/>
              </w:rPr>
              <w:instrText xml:space="preserve"> PAGEREF _Toc431484340 \h </w:instrText>
            </w:r>
            <w:r w:rsidR="000B1689">
              <w:rPr>
                <w:noProof/>
                <w:webHidden/>
              </w:rPr>
            </w:r>
            <w:r w:rsidR="000B1689">
              <w:rPr>
                <w:noProof/>
                <w:webHidden/>
              </w:rPr>
              <w:fldChar w:fldCharType="separate"/>
            </w:r>
            <w:r w:rsidR="000B1689">
              <w:rPr>
                <w:noProof/>
                <w:webHidden/>
              </w:rPr>
              <w:t>75</w:t>
            </w:r>
            <w:r w:rsidR="000B1689">
              <w:rPr>
                <w:noProof/>
                <w:webHidden/>
              </w:rPr>
              <w:fldChar w:fldCharType="end"/>
            </w:r>
          </w:hyperlink>
        </w:p>
        <w:p w:rsidR="000B1689" w:rsidRDefault="00D330B8" w:rsidP="000B1689">
          <w:pPr>
            <w:pStyle w:val="TOC3"/>
            <w:rPr>
              <w:noProof/>
              <w:sz w:val="22"/>
              <w:szCs w:val="22"/>
              <w:lang w:val="en-AU" w:eastAsia="en-AU"/>
            </w:rPr>
          </w:pPr>
          <w:hyperlink w:anchor="_Toc431484341" w:history="1">
            <w:r w:rsidR="000B1689" w:rsidRPr="00AF7229">
              <w:rPr>
                <w:rStyle w:val="Hyperlink"/>
                <w:noProof/>
              </w:rPr>
              <w:t>6.2 Inhibitors</w:t>
            </w:r>
            <w:r w:rsidR="000B1689">
              <w:rPr>
                <w:noProof/>
                <w:webHidden/>
              </w:rPr>
              <w:tab/>
            </w:r>
            <w:r w:rsidR="000B1689">
              <w:rPr>
                <w:noProof/>
                <w:webHidden/>
              </w:rPr>
              <w:fldChar w:fldCharType="begin"/>
            </w:r>
            <w:r w:rsidR="000B1689">
              <w:rPr>
                <w:noProof/>
                <w:webHidden/>
              </w:rPr>
              <w:instrText xml:space="preserve"> PAGEREF _Toc431484341 \h </w:instrText>
            </w:r>
            <w:r w:rsidR="000B1689">
              <w:rPr>
                <w:noProof/>
                <w:webHidden/>
              </w:rPr>
            </w:r>
            <w:r w:rsidR="000B1689">
              <w:rPr>
                <w:noProof/>
                <w:webHidden/>
              </w:rPr>
              <w:fldChar w:fldCharType="separate"/>
            </w:r>
            <w:r w:rsidR="000B1689">
              <w:rPr>
                <w:noProof/>
                <w:webHidden/>
              </w:rPr>
              <w:t>82</w:t>
            </w:r>
            <w:r w:rsidR="000B1689">
              <w:rPr>
                <w:noProof/>
                <w:webHidden/>
              </w:rPr>
              <w:fldChar w:fldCharType="end"/>
            </w:r>
          </w:hyperlink>
        </w:p>
        <w:p w:rsidR="000B1689" w:rsidRDefault="00D330B8" w:rsidP="000B1689">
          <w:pPr>
            <w:pStyle w:val="TOC3"/>
            <w:rPr>
              <w:noProof/>
              <w:sz w:val="22"/>
              <w:szCs w:val="22"/>
              <w:lang w:val="en-AU" w:eastAsia="en-AU"/>
            </w:rPr>
          </w:pPr>
          <w:hyperlink w:anchor="_Toc431484342" w:history="1">
            <w:r w:rsidR="000B1689" w:rsidRPr="00AF7229">
              <w:rPr>
                <w:rStyle w:val="Hyperlink"/>
                <w:noProof/>
              </w:rPr>
              <w:t>6.3 Transfusion-transmitted and other infection-related complications</w:t>
            </w:r>
            <w:r w:rsidR="000B1689">
              <w:rPr>
                <w:noProof/>
                <w:webHidden/>
              </w:rPr>
              <w:tab/>
            </w:r>
            <w:r w:rsidR="000B1689">
              <w:rPr>
                <w:noProof/>
                <w:webHidden/>
              </w:rPr>
              <w:fldChar w:fldCharType="begin"/>
            </w:r>
            <w:r w:rsidR="000B1689">
              <w:rPr>
                <w:noProof/>
                <w:webHidden/>
              </w:rPr>
              <w:instrText xml:space="preserve"> PAGEREF _Toc431484342 \h </w:instrText>
            </w:r>
            <w:r w:rsidR="000B1689">
              <w:rPr>
                <w:noProof/>
                <w:webHidden/>
              </w:rPr>
            </w:r>
            <w:r w:rsidR="000B1689">
              <w:rPr>
                <w:noProof/>
                <w:webHidden/>
              </w:rPr>
              <w:fldChar w:fldCharType="separate"/>
            </w:r>
            <w:r w:rsidR="000B1689">
              <w:rPr>
                <w:noProof/>
                <w:webHidden/>
              </w:rPr>
              <w:t>86</w:t>
            </w:r>
            <w:r w:rsidR="000B1689">
              <w:rPr>
                <w:noProof/>
                <w:webHidden/>
              </w:rPr>
              <w:fldChar w:fldCharType="end"/>
            </w:r>
          </w:hyperlink>
        </w:p>
        <w:p w:rsidR="000B1689" w:rsidRDefault="00D330B8" w:rsidP="000B1689">
          <w:pPr>
            <w:pStyle w:val="TOC2"/>
            <w:tabs>
              <w:tab w:val="right" w:leader="dot" w:pos="9323"/>
            </w:tabs>
            <w:ind w:left="0"/>
            <w:rPr>
              <w:rFonts w:asciiTheme="minorHAnsi" w:eastAsiaTheme="minorEastAsia" w:hAnsiTheme="minorHAnsi" w:cstheme="minorBidi"/>
              <w:noProof/>
              <w:color w:val="auto"/>
            </w:rPr>
          </w:pPr>
          <w:hyperlink w:anchor="_Toc431484343" w:history="1">
            <w:r w:rsidR="000B1689" w:rsidRPr="00AF7229">
              <w:rPr>
                <w:rStyle w:val="Hyperlink"/>
                <w:noProof/>
              </w:rPr>
              <w:t>7 PLASMA FACTOR LEVEL AND DURATION OF ADMINISTRATION</w:t>
            </w:r>
            <w:r w:rsidR="000B1689">
              <w:rPr>
                <w:noProof/>
                <w:webHidden/>
              </w:rPr>
              <w:tab/>
            </w:r>
            <w:r w:rsidR="000B1689">
              <w:rPr>
                <w:noProof/>
                <w:webHidden/>
              </w:rPr>
              <w:fldChar w:fldCharType="begin"/>
            </w:r>
            <w:r w:rsidR="000B1689">
              <w:rPr>
                <w:noProof/>
                <w:webHidden/>
              </w:rPr>
              <w:instrText xml:space="preserve"> PAGEREF _Toc431484343 \h </w:instrText>
            </w:r>
            <w:r w:rsidR="000B1689">
              <w:rPr>
                <w:noProof/>
                <w:webHidden/>
              </w:rPr>
            </w:r>
            <w:r w:rsidR="000B1689">
              <w:rPr>
                <w:noProof/>
                <w:webHidden/>
              </w:rPr>
              <w:fldChar w:fldCharType="separate"/>
            </w:r>
            <w:r w:rsidR="000B1689">
              <w:rPr>
                <w:noProof/>
                <w:webHidden/>
              </w:rPr>
              <w:t>95</w:t>
            </w:r>
            <w:r w:rsidR="000B1689">
              <w:rPr>
                <w:noProof/>
                <w:webHidden/>
              </w:rPr>
              <w:fldChar w:fldCharType="end"/>
            </w:r>
          </w:hyperlink>
        </w:p>
        <w:p w:rsidR="000B1689" w:rsidRDefault="00D330B8" w:rsidP="000B1689">
          <w:pPr>
            <w:pStyle w:val="TOC3"/>
            <w:rPr>
              <w:noProof/>
              <w:sz w:val="22"/>
              <w:szCs w:val="22"/>
              <w:lang w:val="en-AU" w:eastAsia="en-AU"/>
            </w:rPr>
          </w:pPr>
          <w:hyperlink w:anchor="_Toc431484344" w:history="1">
            <w:r w:rsidR="000B1689" w:rsidRPr="00AF7229">
              <w:rPr>
                <w:rStyle w:val="Hyperlink"/>
                <w:noProof/>
              </w:rPr>
              <w:t>7.1 Choice of factor replacement therapy protocols</w:t>
            </w:r>
            <w:r w:rsidR="000B1689">
              <w:rPr>
                <w:noProof/>
                <w:webHidden/>
              </w:rPr>
              <w:tab/>
            </w:r>
            <w:r w:rsidR="000B1689">
              <w:rPr>
                <w:noProof/>
                <w:webHidden/>
              </w:rPr>
              <w:fldChar w:fldCharType="begin"/>
            </w:r>
            <w:r w:rsidR="000B1689">
              <w:rPr>
                <w:noProof/>
                <w:webHidden/>
              </w:rPr>
              <w:instrText xml:space="preserve"> PAGEREF _Toc431484344 \h </w:instrText>
            </w:r>
            <w:r w:rsidR="000B1689">
              <w:rPr>
                <w:noProof/>
                <w:webHidden/>
              </w:rPr>
            </w:r>
            <w:r w:rsidR="000B1689">
              <w:rPr>
                <w:noProof/>
                <w:webHidden/>
              </w:rPr>
              <w:fldChar w:fldCharType="separate"/>
            </w:r>
            <w:r w:rsidR="000B1689">
              <w:rPr>
                <w:noProof/>
                <w:webHidden/>
              </w:rPr>
              <w:t>96</w:t>
            </w:r>
            <w:r w:rsidR="000B1689">
              <w:rPr>
                <w:noProof/>
                <w:webHidden/>
              </w:rPr>
              <w:fldChar w:fldCharType="end"/>
            </w:r>
          </w:hyperlink>
        </w:p>
        <w:p w:rsidR="000B1689" w:rsidRDefault="00D330B8" w:rsidP="000B1689">
          <w:pPr>
            <w:pStyle w:val="TOC2"/>
            <w:tabs>
              <w:tab w:val="right" w:leader="dot" w:pos="9323"/>
            </w:tabs>
            <w:ind w:left="0"/>
            <w:rPr>
              <w:rFonts w:asciiTheme="minorHAnsi" w:eastAsiaTheme="minorEastAsia" w:hAnsiTheme="minorHAnsi" w:cstheme="minorBidi"/>
              <w:noProof/>
              <w:color w:val="auto"/>
            </w:rPr>
          </w:pPr>
          <w:hyperlink w:anchor="_Toc431484345" w:history="1">
            <w:r w:rsidR="000B1689" w:rsidRPr="00AF7229">
              <w:rPr>
                <w:rStyle w:val="Hyperlink"/>
                <w:noProof/>
              </w:rPr>
              <w:t>8 THE FRAMEWORK FOR MANAGEMENT OF BLEEDING DISORDERS IN AUSTRALIA</w:t>
            </w:r>
            <w:r w:rsidR="000B1689">
              <w:rPr>
                <w:noProof/>
                <w:webHidden/>
              </w:rPr>
              <w:tab/>
            </w:r>
            <w:r w:rsidR="000B1689">
              <w:rPr>
                <w:noProof/>
                <w:webHidden/>
              </w:rPr>
              <w:fldChar w:fldCharType="begin"/>
            </w:r>
            <w:r w:rsidR="000B1689">
              <w:rPr>
                <w:noProof/>
                <w:webHidden/>
              </w:rPr>
              <w:instrText xml:space="preserve"> PAGEREF _Toc431484345 \h </w:instrText>
            </w:r>
            <w:r w:rsidR="000B1689">
              <w:rPr>
                <w:noProof/>
                <w:webHidden/>
              </w:rPr>
            </w:r>
            <w:r w:rsidR="000B1689">
              <w:rPr>
                <w:noProof/>
                <w:webHidden/>
              </w:rPr>
              <w:fldChar w:fldCharType="separate"/>
            </w:r>
            <w:r w:rsidR="000B1689">
              <w:rPr>
                <w:noProof/>
                <w:webHidden/>
              </w:rPr>
              <w:t>99</w:t>
            </w:r>
            <w:r w:rsidR="000B1689">
              <w:rPr>
                <w:noProof/>
                <w:webHidden/>
              </w:rPr>
              <w:fldChar w:fldCharType="end"/>
            </w:r>
          </w:hyperlink>
        </w:p>
        <w:p w:rsidR="000B1689" w:rsidRDefault="00D330B8" w:rsidP="000B1689">
          <w:pPr>
            <w:pStyle w:val="TOC3"/>
            <w:rPr>
              <w:noProof/>
              <w:sz w:val="22"/>
              <w:szCs w:val="22"/>
              <w:lang w:val="en-AU" w:eastAsia="en-AU"/>
            </w:rPr>
          </w:pPr>
          <w:hyperlink w:anchor="_Toc431484346" w:history="1">
            <w:r w:rsidR="000B1689" w:rsidRPr="00AF7229">
              <w:rPr>
                <w:rStyle w:val="Hyperlink"/>
                <w:noProof/>
              </w:rPr>
              <w:t>Introduction</w:t>
            </w:r>
            <w:r w:rsidR="000B1689">
              <w:rPr>
                <w:noProof/>
                <w:webHidden/>
              </w:rPr>
              <w:tab/>
            </w:r>
            <w:r w:rsidR="000B1689">
              <w:rPr>
                <w:noProof/>
                <w:webHidden/>
              </w:rPr>
              <w:fldChar w:fldCharType="begin"/>
            </w:r>
            <w:r w:rsidR="000B1689">
              <w:rPr>
                <w:noProof/>
                <w:webHidden/>
              </w:rPr>
              <w:instrText xml:space="preserve"> PAGEREF _Toc431484346 \h </w:instrText>
            </w:r>
            <w:r w:rsidR="000B1689">
              <w:rPr>
                <w:noProof/>
                <w:webHidden/>
              </w:rPr>
            </w:r>
            <w:r w:rsidR="000B1689">
              <w:rPr>
                <w:noProof/>
                <w:webHidden/>
              </w:rPr>
              <w:fldChar w:fldCharType="separate"/>
            </w:r>
            <w:r w:rsidR="000B1689">
              <w:rPr>
                <w:noProof/>
                <w:webHidden/>
              </w:rPr>
              <w:t>99</w:t>
            </w:r>
            <w:r w:rsidR="000B1689">
              <w:rPr>
                <w:noProof/>
                <w:webHidden/>
              </w:rPr>
              <w:fldChar w:fldCharType="end"/>
            </w:r>
          </w:hyperlink>
        </w:p>
        <w:p w:rsidR="000B1689" w:rsidRDefault="00D330B8" w:rsidP="000B1689">
          <w:pPr>
            <w:pStyle w:val="TOC3"/>
            <w:rPr>
              <w:noProof/>
              <w:sz w:val="22"/>
              <w:szCs w:val="22"/>
              <w:lang w:val="en-AU" w:eastAsia="en-AU"/>
            </w:rPr>
          </w:pPr>
          <w:hyperlink w:anchor="_Toc431484347" w:history="1">
            <w:r w:rsidR="000B1689" w:rsidRPr="00AF7229">
              <w:rPr>
                <w:rStyle w:val="Hyperlink"/>
                <w:noProof/>
              </w:rPr>
              <w:t>Comprehensive Care</w:t>
            </w:r>
            <w:r w:rsidR="000B1689">
              <w:rPr>
                <w:noProof/>
                <w:webHidden/>
              </w:rPr>
              <w:tab/>
            </w:r>
            <w:r w:rsidR="000B1689">
              <w:rPr>
                <w:noProof/>
                <w:webHidden/>
              </w:rPr>
              <w:fldChar w:fldCharType="begin"/>
            </w:r>
            <w:r w:rsidR="000B1689">
              <w:rPr>
                <w:noProof/>
                <w:webHidden/>
              </w:rPr>
              <w:instrText xml:space="preserve"> PAGEREF _Toc431484347 \h </w:instrText>
            </w:r>
            <w:r w:rsidR="000B1689">
              <w:rPr>
                <w:noProof/>
                <w:webHidden/>
              </w:rPr>
            </w:r>
            <w:r w:rsidR="000B1689">
              <w:rPr>
                <w:noProof/>
                <w:webHidden/>
              </w:rPr>
              <w:fldChar w:fldCharType="separate"/>
            </w:r>
            <w:r w:rsidR="000B1689">
              <w:rPr>
                <w:noProof/>
                <w:webHidden/>
              </w:rPr>
              <w:t>100</w:t>
            </w:r>
            <w:r w:rsidR="000B1689">
              <w:rPr>
                <w:noProof/>
                <w:webHidden/>
              </w:rPr>
              <w:fldChar w:fldCharType="end"/>
            </w:r>
          </w:hyperlink>
        </w:p>
        <w:p w:rsidR="000B1689" w:rsidRDefault="00D330B8" w:rsidP="000B1689">
          <w:pPr>
            <w:pStyle w:val="TOC3"/>
            <w:rPr>
              <w:noProof/>
              <w:sz w:val="22"/>
              <w:szCs w:val="22"/>
              <w:lang w:val="en-AU" w:eastAsia="en-AU"/>
            </w:rPr>
          </w:pPr>
          <w:hyperlink w:anchor="_Toc431484348" w:history="1">
            <w:r w:rsidR="000B1689" w:rsidRPr="00AF7229">
              <w:rPr>
                <w:rStyle w:val="Hyperlink"/>
                <w:noProof/>
              </w:rPr>
              <w:t>Supply of clotting factor products</w:t>
            </w:r>
            <w:r w:rsidR="000B1689">
              <w:rPr>
                <w:noProof/>
                <w:webHidden/>
              </w:rPr>
              <w:tab/>
            </w:r>
            <w:r w:rsidR="000B1689">
              <w:rPr>
                <w:noProof/>
                <w:webHidden/>
              </w:rPr>
              <w:fldChar w:fldCharType="begin"/>
            </w:r>
            <w:r w:rsidR="000B1689">
              <w:rPr>
                <w:noProof/>
                <w:webHidden/>
              </w:rPr>
              <w:instrText xml:space="preserve"> PAGEREF _Toc431484348 \h </w:instrText>
            </w:r>
            <w:r w:rsidR="000B1689">
              <w:rPr>
                <w:noProof/>
                <w:webHidden/>
              </w:rPr>
            </w:r>
            <w:r w:rsidR="000B1689">
              <w:rPr>
                <w:noProof/>
                <w:webHidden/>
              </w:rPr>
              <w:fldChar w:fldCharType="separate"/>
            </w:r>
            <w:r w:rsidR="000B1689">
              <w:rPr>
                <w:noProof/>
                <w:webHidden/>
              </w:rPr>
              <w:t>101</w:t>
            </w:r>
            <w:r w:rsidR="000B1689">
              <w:rPr>
                <w:noProof/>
                <w:webHidden/>
              </w:rPr>
              <w:fldChar w:fldCharType="end"/>
            </w:r>
          </w:hyperlink>
        </w:p>
        <w:p w:rsidR="000B1689" w:rsidRDefault="00D330B8" w:rsidP="000B1689">
          <w:pPr>
            <w:pStyle w:val="TOC3"/>
            <w:rPr>
              <w:noProof/>
              <w:sz w:val="22"/>
              <w:szCs w:val="22"/>
              <w:lang w:val="en-AU" w:eastAsia="en-AU"/>
            </w:rPr>
          </w:pPr>
          <w:hyperlink w:anchor="_Toc431484349" w:history="1">
            <w:r w:rsidR="000B1689" w:rsidRPr="00AF7229">
              <w:rPr>
                <w:rStyle w:val="Hyperlink"/>
                <w:noProof/>
              </w:rPr>
              <w:t>Stakeholder partnership and collaboration</w:t>
            </w:r>
            <w:r w:rsidR="000B1689">
              <w:rPr>
                <w:noProof/>
                <w:webHidden/>
              </w:rPr>
              <w:tab/>
            </w:r>
            <w:r w:rsidR="000B1689">
              <w:rPr>
                <w:noProof/>
                <w:webHidden/>
              </w:rPr>
              <w:fldChar w:fldCharType="begin"/>
            </w:r>
            <w:r w:rsidR="000B1689">
              <w:rPr>
                <w:noProof/>
                <w:webHidden/>
              </w:rPr>
              <w:instrText xml:space="preserve"> PAGEREF _Toc431484349 \h </w:instrText>
            </w:r>
            <w:r w:rsidR="000B1689">
              <w:rPr>
                <w:noProof/>
                <w:webHidden/>
              </w:rPr>
            </w:r>
            <w:r w:rsidR="000B1689">
              <w:rPr>
                <w:noProof/>
                <w:webHidden/>
              </w:rPr>
              <w:fldChar w:fldCharType="separate"/>
            </w:r>
            <w:r w:rsidR="000B1689">
              <w:rPr>
                <w:noProof/>
                <w:webHidden/>
              </w:rPr>
              <w:t>103</w:t>
            </w:r>
            <w:r w:rsidR="000B1689">
              <w:rPr>
                <w:noProof/>
                <w:webHidden/>
              </w:rPr>
              <w:fldChar w:fldCharType="end"/>
            </w:r>
          </w:hyperlink>
        </w:p>
        <w:p w:rsidR="000B1689" w:rsidRDefault="00D330B8" w:rsidP="000B1689">
          <w:pPr>
            <w:pStyle w:val="TOC3"/>
            <w:rPr>
              <w:noProof/>
              <w:sz w:val="22"/>
              <w:szCs w:val="22"/>
              <w:lang w:val="en-AU" w:eastAsia="en-AU"/>
            </w:rPr>
          </w:pPr>
          <w:hyperlink w:anchor="_Toc431484350" w:history="1">
            <w:r w:rsidR="000B1689" w:rsidRPr="00AF7229">
              <w:rPr>
                <w:rStyle w:val="Hyperlink"/>
                <w:noProof/>
              </w:rPr>
              <w:t>Information systems and data</w:t>
            </w:r>
            <w:r w:rsidR="000B1689">
              <w:rPr>
                <w:noProof/>
                <w:webHidden/>
              </w:rPr>
              <w:tab/>
            </w:r>
            <w:r w:rsidR="000B1689">
              <w:rPr>
                <w:noProof/>
                <w:webHidden/>
              </w:rPr>
              <w:fldChar w:fldCharType="begin"/>
            </w:r>
            <w:r w:rsidR="000B1689">
              <w:rPr>
                <w:noProof/>
                <w:webHidden/>
              </w:rPr>
              <w:instrText xml:space="preserve"> PAGEREF _Toc431484350 \h </w:instrText>
            </w:r>
            <w:r w:rsidR="000B1689">
              <w:rPr>
                <w:noProof/>
                <w:webHidden/>
              </w:rPr>
            </w:r>
            <w:r w:rsidR="000B1689">
              <w:rPr>
                <w:noProof/>
                <w:webHidden/>
              </w:rPr>
              <w:fldChar w:fldCharType="separate"/>
            </w:r>
            <w:r w:rsidR="000B1689">
              <w:rPr>
                <w:noProof/>
                <w:webHidden/>
              </w:rPr>
              <w:t>104</w:t>
            </w:r>
            <w:r w:rsidR="000B1689">
              <w:rPr>
                <w:noProof/>
                <w:webHidden/>
              </w:rPr>
              <w:fldChar w:fldCharType="end"/>
            </w:r>
          </w:hyperlink>
        </w:p>
        <w:p w:rsidR="000B1689" w:rsidRDefault="00D330B8" w:rsidP="000B1689">
          <w:pPr>
            <w:pStyle w:val="TOC3"/>
            <w:rPr>
              <w:noProof/>
              <w:sz w:val="22"/>
              <w:szCs w:val="22"/>
              <w:lang w:val="en-AU" w:eastAsia="en-AU"/>
            </w:rPr>
          </w:pPr>
          <w:hyperlink w:anchor="_Toc431484351" w:history="1">
            <w:r w:rsidR="000B1689" w:rsidRPr="00AF7229">
              <w:rPr>
                <w:rStyle w:val="Hyperlink"/>
                <w:noProof/>
              </w:rPr>
              <w:t>Knowledge development and practice improvement</w:t>
            </w:r>
            <w:r w:rsidR="000B1689">
              <w:rPr>
                <w:noProof/>
                <w:webHidden/>
              </w:rPr>
              <w:tab/>
            </w:r>
            <w:r w:rsidR="000B1689">
              <w:rPr>
                <w:noProof/>
                <w:webHidden/>
              </w:rPr>
              <w:fldChar w:fldCharType="begin"/>
            </w:r>
            <w:r w:rsidR="000B1689">
              <w:rPr>
                <w:noProof/>
                <w:webHidden/>
              </w:rPr>
              <w:instrText xml:space="preserve"> PAGEREF _Toc431484351 \h </w:instrText>
            </w:r>
            <w:r w:rsidR="000B1689">
              <w:rPr>
                <w:noProof/>
                <w:webHidden/>
              </w:rPr>
            </w:r>
            <w:r w:rsidR="000B1689">
              <w:rPr>
                <w:noProof/>
                <w:webHidden/>
              </w:rPr>
              <w:fldChar w:fldCharType="separate"/>
            </w:r>
            <w:r w:rsidR="000B1689">
              <w:rPr>
                <w:noProof/>
                <w:webHidden/>
              </w:rPr>
              <w:t>105</w:t>
            </w:r>
            <w:r w:rsidR="000B1689">
              <w:rPr>
                <w:noProof/>
                <w:webHidden/>
              </w:rPr>
              <w:fldChar w:fldCharType="end"/>
            </w:r>
          </w:hyperlink>
        </w:p>
        <w:p w:rsidR="000B1689" w:rsidRDefault="00D330B8" w:rsidP="000B1689">
          <w:pPr>
            <w:pStyle w:val="TOC1"/>
            <w:rPr>
              <w:noProof/>
              <w:lang w:val="en-AU" w:eastAsia="en-AU"/>
            </w:rPr>
          </w:pPr>
          <w:hyperlink w:anchor="_Toc431484352" w:history="1">
            <w:r w:rsidR="000B1689" w:rsidRPr="00AF7229">
              <w:rPr>
                <w:rStyle w:val="Hyperlink"/>
                <w:noProof/>
              </w:rPr>
              <w:t>Appendix A</w:t>
            </w:r>
            <w:r w:rsidR="000B1689">
              <w:rPr>
                <w:rStyle w:val="Hyperlink"/>
                <w:noProof/>
              </w:rPr>
              <w:t xml:space="preserve"> - </w:t>
            </w:r>
            <w:r w:rsidR="000B1689" w:rsidRPr="00AF7229">
              <w:rPr>
                <w:rStyle w:val="Hyperlink"/>
                <w:noProof/>
              </w:rPr>
              <w:t xml:space="preserve"> Acronyms and abbreviations</w:t>
            </w:r>
            <w:r w:rsidR="000B1689">
              <w:rPr>
                <w:noProof/>
                <w:webHidden/>
              </w:rPr>
              <w:tab/>
            </w:r>
            <w:r w:rsidR="000B1689">
              <w:rPr>
                <w:noProof/>
                <w:webHidden/>
              </w:rPr>
              <w:fldChar w:fldCharType="begin"/>
            </w:r>
            <w:r w:rsidR="000B1689">
              <w:rPr>
                <w:noProof/>
                <w:webHidden/>
              </w:rPr>
              <w:instrText xml:space="preserve"> PAGEREF _Toc431484352 \h </w:instrText>
            </w:r>
            <w:r w:rsidR="000B1689">
              <w:rPr>
                <w:noProof/>
                <w:webHidden/>
              </w:rPr>
            </w:r>
            <w:r w:rsidR="000B1689">
              <w:rPr>
                <w:noProof/>
                <w:webHidden/>
              </w:rPr>
              <w:fldChar w:fldCharType="separate"/>
            </w:r>
            <w:r w:rsidR="000B1689">
              <w:rPr>
                <w:noProof/>
                <w:webHidden/>
              </w:rPr>
              <w:t>107</w:t>
            </w:r>
            <w:r w:rsidR="000B1689">
              <w:rPr>
                <w:noProof/>
                <w:webHidden/>
              </w:rPr>
              <w:fldChar w:fldCharType="end"/>
            </w:r>
          </w:hyperlink>
        </w:p>
        <w:p w:rsidR="000B1689" w:rsidRDefault="00D330B8" w:rsidP="000B1689">
          <w:pPr>
            <w:pStyle w:val="TOC1"/>
            <w:rPr>
              <w:noProof/>
              <w:lang w:val="en-AU" w:eastAsia="en-AU"/>
            </w:rPr>
          </w:pPr>
          <w:hyperlink w:anchor="_Toc431484353" w:history="1">
            <w:r w:rsidR="000B1689" w:rsidRPr="00AF7229">
              <w:rPr>
                <w:rStyle w:val="Hyperlink"/>
                <w:noProof/>
              </w:rPr>
              <w:t>Appendix B</w:t>
            </w:r>
            <w:r w:rsidR="000B1689">
              <w:rPr>
                <w:rStyle w:val="Hyperlink"/>
                <w:noProof/>
              </w:rPr>
              <w:t xml:space="preserve"> - </w:t>
            </w:r>
            <w:r w:rsidR="000B1689" w:rsidRPr="00AF7229">
              <w:rPr>
                <w:rStyle w:val="Hyperlink"/>
                <w:noProof/>
              </w:rPr>
              <w:t>Development process</w:t>
            </w:r>
            <w:r w:rsidR="000B1689">
              <w:rPr>
                <w:noProof/>
                <w:webHidden/>
              </w:rPr>
              <w:tab/>
            </w:r>
            <w:r w:rsidR="000B1689">
              <w:rPr>
                <w:noProof/>
                <w:webHidden/>
              </w:rPr>
              <w:fldChar w:fldCharType="begin"/>
            </w:r>
            <w:r w:rsidR="000B1689">
              <w:rPr>
                <w:noProof/>
                <w:webHidden/>
              </w:rPr>
              <w:instrText xml:space="preserve"> PAGEREF _Toc431484353 \h </w:instrText>
            </w:r>
            <w:r w:rsidR="000B1689">
              <w:rPr>
                <w:noProof/>
                <w:webHidden/>
              </w:rPr>
            </w:r>
            <w:r w:rsidR="000B1689">
              <w:rPr>
                <w:noProof/>
                <w:webHidden/>
              </w:rPr>
              <w:fldChar w:fldCharType="separate"/>
            </w:r>
            <w:r w:rsidR="000B1689">
              <w:rPr>
                <w:noProof/>
                <w:webHidden/>
              </w:rPr>
              <w:t>109</w:t>
            </w:r>
            <w:r w:rsidR="000B1689">
              <w:rPr>
                <w:noProof/>
                <w:webHidden/>
              </w:rPr>
              <w:fldChar w:fldCharType="end"/>
            </w:r>
          </w:hyperlink>
        </w:p>
        <w:p w:rsidR="000B1689" w:rsidRDefault="00D330B8" w:rsidP="000B1689">
          <w:pPr>
            <w:pStyle w:val="TOC1"/>
            <w:rPr>
              <w:noProof/>
              <w:lang w:val="en-AU" w:eastAsia="en-AU"/>
            </w:rPr>
          </w:pPr>
          <w:hyperlink w:anchor="_Toc431484354" w:history="1">
            <w:r w:rsidR="000B1689" w:rsidRPr="00AF7229">
              <w:rPr>
                <w:rStyle w:val="Hyperlink"/>
                <w:noProof/>
              </w:rPr>
              <w:t>Appendix C</w:t>
            </w:r>
            <w:r w:rsidR="000B1689">
              <w:rPr>
                <w:rStyle w:val="Hyperlink"/>
                <w:noProof/>
              </w:rPr>
              <w:t xml:space="preserve"> - </w:t>
            </w:r>
            <w:r w:rsidR="000B1689" w:rsidRPr="00AF7229">
              <w:rPr>
                <w:rStyle w:val="Hyperlink"/>
                <w:noProof/>
              </w:rPr>
              <w:t>Systematic review methodology</w:t>
            </w:r>
            <w:r w:rsidR="000B1689">
              <w:rPr>
                <w:noProof/>
                <w:webHidden/>
              </w:rPr>
              <w:tab/>
            </w:r>
            <w:r w:rsidR="000B1689">
              <w:rPr>
                <w:noProof/>
                <w:webHidden/>
              </w:rPr>
              <w:fldChar w:fldCharType="begin"/>
            </w:r>
            <w:r w:rsidR="000B1689">
              <w:rPr>
                <w:noProof/>
                <w:webHidden/>
              </w:rPr>
              <w:instrText xml:space="preserve"> PAGEREF _Toc431484354 \h </w:instrText>
            </w:r>
            <w:r w:rsidR="000B1689">
              <w:rPr>
                <w:noProof/>
                <w:webHidden/>
              </w:rPr>
            </w:r>
            <w:r w:rsidR="000B1689">
              <w:rPr>
                <w:noProof/>
                <w:webHidden/>
              </w:rPr>
              <w:fldChar w:fldCharType="separate"/>
            </w:r>
            <w:r w:rsidR="000B1689">
              <w:rPr>
                <w:noProof/>
                <w:webHidden/>
              </w:rPr>
              <w:t>111</w:t>
            </w:r>
            <w:r w:rsidR="000B1689">
              <w:rPr>
                <w:noProof/>
                <w:webHidden/>
              </w:rPr>
              <w:fldChar w:fldCharType="end"/>
            </w:r>
          </w:hyperlink>
        </w:p>
        <w:p w:rsidR="000B1689" w:rsidRDefault="00D330B8" w:rsidP="000B1689">
          <w:pPr>
            <w:pStyle w:val="TOC1"/>
            <w:rPr>
              <w:noProof/>
              <w:lang w:val="en-AU" w:eastAsia="en-AU"/>
            </w:rPr>
          </w:pPr>
          <w:hyperlink w:anchor="_Toc431484355" w:history="1">
            <w:r w:rsidR="000B1689" w:rsidRPr="00AF7229">
              <w:rPr>
                <w:rStyle w:val="Hyperlink"/>
                <w:noProof/>
              </w:rPr>
              <w:t>Appendix D</w:t>
            </w:r>
            <w:r w:rsidR="000B1689">
              <w:rPr>
                <w:rStyle w:val="Hyperlink"/>
                <w:noProof/>
              </w:rPr>
              <w:t xml:space="preserve"> - </w:t>
            </w:r>
            <w:r w:rsidR="000B1689" w:rsidRPr="00AF7229">
              <w:rPr>
                <w:rStyle w:val="Hyperlink"/>
                <w:noProof/>
              </w:rPr>
              <w:t>Areas for further research</w:t>
            </w:r>
            <w:r w:rsidR="000B1689">
              <w:rPr>
                <w:noProof/>
                <w:webHidden/>
              </w:rPr>
              <w:tab/>
            </w:r>
            <w:r w:rsidR="000B1689">
              <w:rPr>
                <w:noProof/>
                <w:webHidden/>
              </w:rPr>
              <w:fldChar w:fldCharType="begin"/>
            </w:r>
            <w:r w:rsidR="000B1689">
              <w:rPr>
                <w:noProof/>
                <w:webHidden/>
              </w:rPr>
              <w:instrText xml:space="preserve"> PAGEREF _Toc431484355 \h </w:instrText>
            </w:r>
            <w:r w:rsidR="000B1689">
              <w:rPr>
                <w:noProof/>
                <w:webHidden/>
              </w:rPr>
            </w:r>
            <w:r w:rsidR="000B1689">
              <w:rPr>
                <w:noProof/>
                <w:webHidden/>
              </w:rPr>
              <w:fldChar w:fldCharType="separate"/>
            </w:r>
            <w:r w:rsidR="000B1689">
              <w:rPr>
                <w:noProof/>
                <w:webHidden/>
              </w:rPr>
              <w:t>113</w:t>
            </w:r>
            <w:r w:rsidR="000B1689">
              <w:rPr>
                <w:noProof/>
                <w:webHidden/>
              </w:rPr>
              <w:fldChar w:fldCharType="end"/>
            </w:r>
          </w:hyperlink>
        </w:p>
        <w:p w:rsidR="000B1689" w:rsidRDefault="00D330B8" w:rsidP="000B1689">
          <w:pPr>
            <w:pStyle w:val="TOC1"/>
            <w:rPr>
              <w:noProof/>
              <w:lang w:val="en-AU" w:eastAsia="en-AU"/>
            </w:rPr>
          </w:pPr>
          <w:hyperlink w:anchor="_Toc431484356" w:history="1">
            <w:r w:rsidR="000B1689" w:rsidRPr="00AF7229">
              <w:rPr>
                <w:rStyle w:val="Hyperlink"/>
                <w:noProof/>
              </w:rPr>
              <w:t>Appendix E</w:t>
            </w:r>
            <w:r w:rsidR="000B1689">
              <w:rPr>
                <w:rStyle w:val="Hyperlink"/>
                <w:noProof/>
              </w:rPr>
              <w:t xml:space="preserve"> - </w:t>
            </w:r>
            <w:r w:rsidR="000B1689" w:rsidRPr="00AF7229">
              <w:rPr>
                <w:rStyle w:val="Hyperlink"/>
                <w:noProof/>
              </w:rPr>
              <w:t>Patient information</w:t>
            </w:r>
            <w:r w:rsidR="000B1689">
              <w:rPr>
                <w:noProof/>
                <w:webHidden/>
              </w:rPr>
              <w:tab/>
            </w:r>
            <w:r w:rsidR="000B1689">
              <w:rPr>
                <w:noProof/>
                <w:webHidden/>
              </w:rPr>
              <w:fldChar w:fldCharType="begin"/>
            </w:r>
            <w:r w:rsidR="000B1689">
              <w:rPr>
                <w:noProof/>
                <w:webHidden/>
              </w:rPr>
              <w:instrText xml:space="preserve"> PAGEREF _Toc431484356 \h </w:instrText>
            </w:r>
            <w:r w:rsidR="000B1689">
              <w:rPr>
                <w:noProof/>
                <w:webHidden/>
              </w:rPr>
            </w:r>
            <w:r w:rsidR="000B1689">
              <w:rPr>
                <w:noProof/>
                <w:webHidden/>
              </w:rPr>
              <w:fldChar w:fldCharType="separate"/>
            </w:r>
            <w:r w:rsidR="000B1689">
              <w:rPr>
                <w:noProof/>
                <w:webHidden/>
              </w:rPr>
              <w:t>114</w:t>
            </w:r>
            <w:r w:rsidR="000B1689">
              <w:rPr>
                <w:noProof/>
                <w:webHidden/>
              </w:rPr>
              <w:fldChar w:fldCharType="end"/>
            </w:r>
          </w:hyperlink>
        </w:p>
        <w:p w:rsidR="000B1689" w:rsidRDefault="00D330B8" w:rsidP="000B1689">
          <w:pPr>
            <w:pStyle w:val="TOC1"/>
            <w:rPr>
              <w:noProof/>
              <w:lang w:val="en-AU" w:eastAsia="en-AU"/>
            </w:rPr>
          </w:pPr>
          <w:hyperlink w:anchor="_Toc431484357" w:history="1">
            <w:r w:rsidR="000B1689" w:rsidRPr="00AF7229">
              <w:rPr>
                <w:rStyle w:val="Hyperlink"/>
                <w:noProof/>
              </w:rPr>
              <w:t>Appendix F</w:t>
            </w:r>
            <w:r w:rsidR="000B1689">
              <w:rPr>
                <w:rStyle w:val="Hyperlink"/>
                <w:noProof/>
              </w:rPr>
              <w:t xml:space="preserve"> - </w:t>
            </w:r>
            <w:r w:rsidR="000B1689" w:rsidRPr="00AF7229">
              <w:rPr>
                <w:rStyle w:val="Hyperlink"/>
                <w:noProof/>
              </w:rPr>
              <w:t>Implementation and review of the Australian haemophilia guidelines</w:t>
            </w:r>
            <w:r w:rsidR="000B1689">
              <w:rPr>
                <w:noProof/>
                <w:webHidden/>
              </w:rPr>
              <w:tab/>
            </w:r>
            <w:r w:rsidR="000B1689">
              <w:rPr>
                <w:noProof/>
                <w:webHidden/>
              </w:rPr>
              <w:fldChar w:fldCharType="begin"/>
            </w:r>
            <w:r w:rsidR="000B1689">
              <w:rPr>
                <w:noProof/>
                <w:webHidden/>
              </w:rPr>
              <w:instrText xml:space="preserve"> PAGEREF _Toc431484357 \h </w:instrText>
            </w:r>
            <w:r w:rsidR="000B1689">
              <w:rPr>
                <w:noProof/>
                <w:webHidden/>
              </w:rPr>
            </w:r>
            <w:r w:rsidR="000B1689">
              <w:rPr>
                <w:noProof/>
                <w:webHidden/>
              </w:rPr>
              <w:fldChar w:fldCharType="separate"/>
            </w:r>
            <w:r w:rsidR="000B1689">
              <w:rPr>
                <w:noProof/>
                <w:webHidden/>
              </w:rPr>
              <w:t>115</w:t>
            </w:r>
            <w:r w:rsidR="000B1689">
              <w:rPr>
                <w:noProof/>
                <w:webHidden/>
              </w:rPr>
              <w:fldChar w:fldCharType="end"/>
            </w:r>
          </w:hyperlink>
        </w:p>
        <w:p w:rsidR="000B1689" w:rsidRDefault="00D330B8" w:rsidP="000B1689">
          <w:pPr>
            <w:pStyle w:val="TOC1"/>
            <w:rPr>
              <w:noProof/>
              <w:lang w:val="en-AU" w:eastAsia="en-AU"/>
            </w:rPr>
          </w:pPr>
          <w:hyperlink w:anchor="_Toc431484358" w:history="1">
            <w:r w:rsidR="000B1689" w:rsidRPr="00AF7229">
              <w:rPr>
                <w:rStyle w:val="Hyperlink"/>
                <w:noProof/>
              </w:rPr>
              <w:t>Appendix G</w:t>
            </w:r>
            <w:r w:rsidR="000B1689">
              <w:rPr>
                <w:rStyle w:val="Hyperlink"/>
                <w:noProof/>
              </w:rPr>
              <w:t xml:space="preserve"> - </w:t>
            </w:r>
            <w:r w:rsidR="000B1689" w:rsidRPr="00AF7229">
              <w:rPr>
                <w:rStyle w:val="Hyperlink"/>
                <w:noProof/>
              </w:rPr>
              <w:t>Oxford Centre for Evidence-Based Medicine - 2011 levels of evidence</w:t>
            </w:r>
            <w:r w:rsidR="000B1689">
              <w:rPr>
                <w:noProof/>
                <w:webHidden/>
              </w:rPr>
              <w:tab/>
            </w:r>
            <w:r w:rsidR="000B1689">
              <w:rPr>
                <w:noProof/>
                <w:webHidden/>
              </w:rPr>
              <w:fldChar w:fldCharType="begin"/>
            </w:r>
            <w:r w:rsidR="000B1689">
              <w:rPr>
                <w:noProof/>
                <w:webHidden/>
              </w:rPr>
              <w:instrText xml:space="preserve"> PAGEREF _Toc431484358 \h </w:instrText>
            </w:r>
            <w:r w:rsidR="000B1689">
              <w:rPr>
                <w:noProof/>
                <w:webHidden/>
              </w:rPr>
            </w:r>
            <w:r w:rsidR="000B1689">
              <w:rPr>
                <w:noProof/>
                <w:webHidden/>
              </w:rPr>
              <w:fldChar w:fldCharType="separate"/>
            </w:r>
            <w:r w:rsidR="000B1689">
              <w:rPr>
                <w:noProof/>
                <w:webHidden/>
              </w:rPr>
              <w:t>116</w:t>
            </w:r>
            <w:r w:rsidR="000B1689">
              <w:rPr>
                <w:noProof/>
                <w:webHidden/>
              </w:rPr>
              <w:fldChar w:fldCharType="end"/>
            </w:r>
          </w:hyperlink>
        </w:p>
        <w:p w:rsidR="00707904" w:rsidRDefault="00707904" w:rsidP="00041ED2">
          <w:pPr>
            <w:pStyle w:val="Heading2"/>
          </w:pPr>
          <w:r>
            <w:rPr>
              <w:noProof/>
            </w:rPr>
            <w:fldChar w:fldCharType="end"/>
          </w:r>
        </w:p>
      </w:sdtContent>
    </w:sdt>
    <w:p w:rsidR="00707904" w:rsidRPr="00041ED2" w:rsidRDefault="00707904">
      <w:pPr>
        <w:rPr>
          <w:lang w:eastAsia="en-US"/>
        </w:rPr>
      </w:pPr>
    </w:p>
    <w:p w:rsidR="00214A6A" w:rsidRDefault="00214A6A">
      <w:pPr>
        <w:spacing w:after="200" w:line="276" w:lineRule="auto"/>
        <w:ind w:left="0"/>
        <w:rPr>
          <w:rFonts w:asciiTheme="minorHAnsi" w:eastAsia="HYGothic-Extra" w:hAnsiTheme="minorHAnsi" w:cs="Arial"/>
          <w:b/>
          <w:bCs/>
          <w:color w:val="1E1E1E"/>
          <w:spacing w:val="-20"/>
          <w:sz w:val="36"/>
          <w:szCs w:val="36"/>
          <w:lang w:val="en-US" w:eastAsia="ja-JP"/>
        </w:rPr>
      </w:pPr>
      <w:r>
        <w:rPr>
          <w:lang w:val="en-US" w:eastAsia="ja-JP"/>
        </w:rPr>
        <w:br w:type="page"/>
      </w:r>
    </w:p>
    <w:p w:rsidR="00737371" w:rsidRPr="00041ED2" w:rsidRDefault="00737371" w:rsidP="00041ED2">
      <w:pPr>
        <w:pStyle w:val="Heading1"/>
        <w:rPr>
          <w:rStyle w:val="A0"/>
          <w:rFonts w:cs="Arial"/>
          <w:sz w:val="36"/>
          <w:szCs w:val="36"/>
        </w:rPr>
      </w:pPr>
      <w:bookmarkStart w:id="4" w:name="_Toc431484298"/>
      <w:r w:rsidRPr="00041ED2">
        <w:rPr>
          <w:rStyle w:val="A0"/>
          <w:rFonts w:cs="Arial"/>
          <w:sz w:val="36"/>
          <w:szCs w:val="36"/>
        </w:rPr>
        <w:lastRenderedPageBreak/>
        <w:t xml:space="preserve">Summary of </w:t>
      </w:r>
      <w:r w:rsidR="00041ED2">
        <w:rPr>
          <w:rStyle w:val="A0"/>
          <w:rFonts w:cs="Arial"/>
          <w:sz w:val="36"/>
          <w:szCs w:val="36"/>
        </w:rPr>
        <w:t xml:space="preserve">key </w:t>
      </w:r>
      <w:r w:rsidRPr="00041ED2">
        <w:rPr>
          <w:rStyle w:val="A0"/>
          <w:rFonts w:cs="Arial"/>
          <w:sz w:val="36"/>
          <w:szCs w:val="36"/>
        </w:rPr>
        <w:t>practice points</w:t>
      </w:r>
      <w:bookmarkEnd w:id="4"/>
    </w:p>
    <w:p w:rsidR="00413A54" w:rsidRPr="00041ED2" w:rsidRDefault="00413A54" w:rsidP="00041ED2">
      <w:pPr>
        <w:ind w:left="0"/>
        <w:rPr>
          <w:rStyle w:val="A8"/>
          <w:sz w:val="32"/>
          <w:szCs w:val="32"/>
        </w:rPr>
      </w:pPr>
      <w:r w:rsidRPr="00041ED2">
        <w:rPr>
          <w:rStyle w:val="A8"/>
          <w:b/>
          <w:sz w:val="32"/>
          <w:szCs w:val="32"/>
        </w:rPr>
        <w:t>GENERAL CARE AND MANAGEMENT OF HAEMOPHILIA</w:t>
      </w:r>
    </w:p>
    <w:tbl>
      <w:tblPr>
        <w:tblStyle w:val="TableGrid"/>
        <w:tblW w:w="0" w:type="auto"/>
        <w:tblInd w:w="108" w:type="dxa"/>
        <w:tblLook w:val="04A0" w:firstRow="1" w:lastRow="0" w:firstColumn="1" w:lastColumn="0" w:noHBand="0" w:noVBand="1"/>
      </w:tblPr>
      <w:tblGrid>
        <w:gridCol w:w="1575"/>
        <w:gridCol w:w="7866"/>
      </w:tblGrid>
      <w:tr w:rsidR="00413A54" w:rsidRPr="00497699" w:rsidTr="00041ED2">
        <w:tc>
          <w:tcPr>
            <w:tcW w:w="1575" w:type="dxa"/>
            <w:shd w:val="clear" w:color="auto" w:fill="DBE5F1" w:themeFill="accent1" w:themeFillTint="33"/>
          </w:tcPr>
          <w:p w:rsidR="00413A54" w:rsidRPr="00F52B33" w:rsidRDefault="00413A54" w:rsidP="00041ED2">
            <w:pPr>
              <w:spacing w:before="40" w:after="40"/>
              <w:ind w:left="34"/>
            </w:pPr>
            <w:r w:rsidRPr="00F52B33">
              <w:rPr>
                <w:rStyle w:val="A8"/>
                <w:rFonts w:eastAsia="Calibri" w:cs="Avenir LT Std 55 Roman"/>
                <w:color w:val="221E1F"/>
                <w:sz w:val="22"/>
                <w:szCs w:val="24"/>
              </w:rPr>
              <w:t>No.</w:t>
            </w:r>
          </w:p>
        </w:tc>
        <w:tc>
          <w:tcPr>
            <w:tcW w:w="7866" w:type="dxa"/>
            <w:shd w:val="clear" w:color="auto" w:fill="DBE5F1" w:themeFill="accent1" w:themeFillTint="33"/>
          </w:tcPr>
          <w:p w:rsidR="00413A54" w:rsidRPr="00497699" w:rsidRDefault="00413A54" w:rsidP="00413A54">
            <w:pPr>
              <w:ind w:left="263"/>
              <w:rPr>
                <w:b/>
              </w:rPr>
            </w:pPr>
            <w:r w:rsidRPr="00497699">
              <w:rPr>
                <w:rStyle w:val="A8"/>
                <w:rFonts w:eastAsia="Calibri" w:cs="Avenir LT Std 55 Roman"/>
                <w:b/>
                <w:color w:val="221E1F"/>
                <w:sz w:val="22"/>
                <w:szCs w:val="24"/>
              </w:rPr>
              <w:t>Key Practice Point</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1.1</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Haemophilia is an X-linked inherite</w:t>
            </w:r>
            <w:r>
              <w:rPr>
                <w:rStyle w:val="A8"/>
                <w:rFonts w:eastAsia="Calibri" w:cs="Avenir LT Std 55 Roman"/>
                <w:color w:val="221E1F"/>
                <w:sz w:val="22"/>
                <w:szCs w:val="24"/>
              </w:rPr>
              <w:t xml:space="preserve">d bleeding disorder that should be </w:t>
            </w:r>
            <w:r w:rsidRPr="00497699">
              <w:rPr>
                <w:rStyle w:val="A8"/>
                <w:rFonts w:eastAsia="Calibri" w:cs="Avenir LT Std 55 Roman"/>
                <w:color w:val="221E1F"/>
                <w:sz w:val="22"/>
                <w:szCs w:val="24"/>
              </w:rPr>
              <w:t>suspected in individuals presenting with joint or muscle bleeding.</w:t>
            </w:r>
          </w:p>
        </w:tc>
      </w:tr>
      <w:tr w:rsidR="00413A54" w:rsidRPr="00497699" w:rsidTr="00041ED2">
        <w:trPr>
          <w:trHeight w:val="212"/>
        </w:trPr>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1.2</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Laboratory testing is required to confirm the diagnosis of haemophilia.</w:t>
            </w:r>
          </w:p>
        </w:tc>
      </w:tr>
      <w:tr w:rsidR="00413A54" w:rsidRPr="00497699" w:rsidTr="00041ED2">
        <w:trPr>
          <w:trHeight w:val="242"/>
        </w:trPr>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1.3</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Prompt treatment of bleeding complications is required in patients with haemophilia.</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1.4</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Patients should carry details of their diagnosis and treatment with them to expedite prompt appropriate therapy.</w:t>
            </w:r>
          </w:p>
        </w:tc>
      </w:tr>
      <w:tr w:rsidR="00413A54" w:rsidRPr="00497699" w:rsidTr="00041ED2">
        <w:trPr>
          <w:trHeight w:val="392"/>
        </w:trPr>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1.5</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A comprehensive care model improves outcomes in patients with haemophilia.</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1.6</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 xml:space="preserve">Essential members of a comprehensive care team include a medical director, a dedicated haemophilia nursing position, musculoskeletal experts including physiotherapy, a specialised coagulation laboratory scientist and psychosocial worker. </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1.7</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Use of the Australian Bleeding Disorder Registry is a key tool for communication between team members and documenting care plans.</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1.8</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Haemophilia treatment centres</w:t>
            </w:r>
            <w:r w:rsidR="00214A6A">
              <w:rPr>
                <w:rStyle w:val="A8"/>
                <w:rFonts w:eastAsia="Calibri" w:cs="Avenir LT Std 55 Roman"/>
                <w:color w:val="221E1F"/>
                <w:sz w:val="22"/>
                <w:szCs w:val="24"/>
              </w:rPr>
              <w:t xml:space="preserve"> (HTCs)</w:t>
            </w:r>
            <w:r w:rsidRPr="00497699">
              <w:rPr>
                <w:rStyle w:val="A8"/>
                <w:rFonts w:eastAsia="Calibri" w:cs="Avenir LT Std 55 Roman"/>
                <w:color w:val="221E1F"/>
                <w:sz w:val="22"/>
                <w:szCs w:val="24"/>
              </w:rPr>
              <w:t xml:space="preserve"> should offer advice regarding physical activity to patients with bleeding disorders.</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1.9</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 xml:space="preserve">Prophylaxis is the standard of care in all children with severe haemophilia. Decisions regarding the timing of commencement, dosing </w:t>
            </w:r>
            <w:r w:rsidR="00214A6A" w:rsidRPr="00497699">
              <w:rPr>
                <w:rStyle w:val="A8"/>
                <w:rFonts w:eastAsia="Calibri" w:cs="Avenir LT Std 55 Roman"/>
                <w:color w:val="221E1F"/>
                <w:sz w:val="22"/>
                <w:szCs w:val="24"/>
              </w:rPr>
              <w:t>regimen</w:t>
            </w:r>
            <w:r w:rsidRPr="00497699">
              <w:rPr>
                <w:rStyle w:val="A8"/>
                <w:rFonts w:eastAsia="Calibri" w:cs="Avenir LT Std 55 Roman"/>
                <w:color w:val="221E1F"/>
                <w:sz w:val="22"/>
                <w:szCs w:val="24"/>
              </w:rPr>
              <w:t>, and continuation of prophylaxis into adulthood will be influenced by the bleeding phenotype of the individual patient.</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1.10</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Home therapy should be made available to all patients in whom the bleed frequency makes this desirable.</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1.11</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 xml:space="preserve">Regular review of patients with haemophilia and documentation of key clinical outcomes is essential. The frequency of review will be determined by the age of the patient and the severity of haemophilia. </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1.12</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Chronic pain is a common feature in patients with haemophilia and may require the input of a specialist pain service.</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1.13</w:t>
            </w:r>
          </w:p>
        </w:tc>
        <w:tc>
          <w:tcPr>
            <w:tcW w:w="7866" w:type="dxa"/>
          </w:tcPr>
          <w:p w:rsidR="00413A54" w:rsidRPr="00497699" w:rsidRDefault="00413A54" w:rsidP="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 xml:space="preserve">COX-2 inhibitors are the preferred agent (in preference to non-selective </w:t>
            </w:r>
            <w:r w:rsidR="00214A6A" w:rsidRPr="00452638">
              <w:rPr>
                <w:rFonts w:cs="Times New Roman"/>
              </w:rPr>
              <w:t xml:space="preserve">non-steroidal </w:t>
            </w:r>
            <w:r w:rsidR="00214A6A">
              <w:rPr>
                <w:rFonts w:cs="Times New Roman"/>
              </w:rPr>
              <w:t>anti</w:t>
            </w:r>
            <w:r w:rsidR="00214A6A" w:rsidRPr="00452638">
              <w:rPr>
                <w:rFonts w:cs="Times New Roman"/>
              </w:rPr>
              <w:t>-inflammatory drugs</w:t>
            </w:r>
            <w:r w:rsidR="00214A6A" w:rsidRPr="00497699">
              <w:rPr>
                <w:rStyle w:val="A8"/>
                <w:rFonts w:eastAsia="Calibri" w:cs="Avenir LT Std 55 Roman"/>
                <w:color w:val="221E1F"/>
                <w:sz w:val="22"/>
                <w:szCs w:val="24"/>
              </w:rPr>
              <w:t xml:space="preserve"> </w:t>
            </w:r>
            <w:r w:rsidR="00214A6A">
              <w:rPr>
                <w:rStyle w:val="A8"/>
                <w:rFonts w:eastAsia="Calibri" w:cs="Avenir LT Std 55 Roman"/>
                <w:color w:val="221E1F"/>
                <w:sz w:val="22"/>
                <w:szCs w:val="24"/>
              </w:rPr>
              <w:t>(</w:t>
            </w:r>
            <w:r w:rsidRPr="00497699">
              <w:rPr>
                <w:rStyle w:val="A8"/>
                <w:rFonts w:eastAsia="Calibri" w:cs="Avenir LT Std 55 Roman"/>
                <w:color w:val="221E1F"/>
                <w:sz w:val="22"/>
                <w:szCs w:val="24"/>
              </w:rPr>
              <w:t>NSAIDs</w:t>
            </w:r>
            <w:r w:rsidR="00214A6A">
              <w:rPr>
                <w:rStyle w:val="A8"/>
                <w:rFonts w:eastAsia="Calibri" w:cs="Avenir LT Std 55 Roman"/>
                <w:color w:val="221E1F"/>
                <w:sz w:val="22"/>
                <w:szCs w:val="24"/>
              </w:rPr>
              <w:t>)</w:t>
            </w:r>
            <w:r w:rsidRPr="00497699">
              <w:rPr>
                <w:rStyle w:val="A8"/>
                <w:rFonts w:eastAsia="Calibri" w:cs="Avenir LT Std 55 Roman"/>
                <w:color w:val="221E1F"/>
                <w:sz w:val="22"/>
                <w:szCs w:val="24"/>
              </w:rPr>
              <w:t xml:space="preserve">) if second line analgesia is required in patients with haemophilia. </w:t>
            </w:r>
          </w:p>
        </w:tc>
      </w:tr>
      <w:tr w:rsidR="00413A54" w:rsidRPr="00497699" w:rsidTr="00041ED2">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1.14</w:t>
            </w:r>
          </w:p>
        </w:tc>
        <w:tc>
          <w:tcPr>
            <w:tcW w:w="7866" w:type="dxa"/>
          </w:tcPr>
          <w:p w:rsidR="00413A54" w:rsidRPr="00497699" w:rsidRDefault="00413A54">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 xml:space="preserve">Clotting factor replacement is required to minimise the risk of peri-operative bleeding. Dosing, particularly for major surgery, should be determined and co-ordinated by a </w:t>
            </w:r>
            <w:r w:rsidR="00214A6A">
              <w:rPr>
                <w:rStyle w:val="A8"/>
                <w:rFonts w:eastAsia="Calibri" w:cs="Avenir LT Std 55 Roman"/>
                <w:color w:val="221E1F"/>
                <w:sz w:val="22"/>
                <w:szCs w:val="24"/>
              </w:rPr>
              <w:t>HTC</w:t>
            </w:r>
            <w:r w:rsidRPr="00497699">
              <w:rPr>
                <w:rStyle w:val="A8"/>
                <w:rFonts w:eastAsia="Calibri" w:cs="Avenir LT Std 55 Roman"/>
                <w:color w:val="221E1F"/>
                <w:sz w:val="22"/>
                <w:szCs w:val="24"/>
              </w:rPr>
              <w:t>.</w:t>
            </w:r>
          </w:p>
        </w:tc>
      </w:tr>
      <w:tr w:rsidR="00413A54" w:rsidRPr="00497699" w:rsidTr="00041ED2">
        <w:trPr>
          <w:trHeight w:val="336"/>
        </w:trPr>
        <w:tc>
          <w:tcPr>
            <w:tcW w:w="1575" w:type="dxa"/>
            <w:shd w:val="clear" w:color="auto" w:fill="365F91" w:themeFill="accent1" w:themeFillShade="BF"/>
          </w:tcPr>
          <w:p w:rsidR="00413A54" w:rsidRPr="003C2FBC" w:rsidRDefault="00413A54" w:rsidP="00041ED2">
            <w:pPr>
              <w:spacing w:before="40" w:after="40"/>
              <w:ind w:left="34"/>
              <w:rPr>
                <w:rStyle w:val="A8"/>
                <w:rFonts w:eastAsia="Calibri" w:cs="Avenir LT Std 55 Roman"/>
                <w:b/>
                <w:color w:val="FFFFFF" w:themeColor="background1"/>
                <w:sz w:val="22"/>
                <w:szCs w:val="24"/>
              </w:rPr>
            </w:pPr>
            <w:r w:rsidRPr="003C2FBC">
              <w:rPr>
                <w:rStyle w:val="A8"/>
                <w:rFonts w:eastAsia="Calibri" w:cs="Avenir LT Std 55 Roman"/>
                <w:b/>
                <w:color w:val="FFFFFF" w:themeColor="background1"/>
                <w:sz w:val="22"/>
                <w:szCs w:val="24"/>
              </w:rPr>
              <w:t>PP 1.15</w:t>
            </w:r>
          </w:p>
        </w:tc>
        <w:tc>
          <w:tcPr>
            <w:tcW w:w="7866" w:type="dxa"/>
          </w:tcPr>
          <w:p w:rsidR="00413A54" w:rsidRPr="00497699" w:rsidRDefault="00413A54" w:rsidP="00413A54">
            <w:pPr>
              <w:spacing w:before="40" w:after="40"/>
              <w:ind w:left="263"/>
              <w:rPr>
                <w:rFonts w:cs="Calibri"/>
              </w:rPr>
            </w:pPr>
            <w:r w:rsidRPr="00497699">
              <w:rPr>
                <w:rStyle w:val="A8"/>
                <w:rFonts w:eastAsia="Calibri" w:cs="Avenir LT Std 55 Roman"/>
                <w:color w:val="221E1F"/>
                <w:sz w:val="22"/>
                <w:szCs w:val="24"/>
              </w:rPr>
              <w:t>Regular dental assessment is an important component of care of patients with haemophilia.</w:t>
            </w:r>
            <w:r w:rsidRPr="00497699">
              <w:rPr>
                <w:rFonts w:cs="Calibri"/>
              </w:rPr>
              <w:t xml:space="preserve">    </w:t>
            </w:r>
          </w:p>
        </w:tc>
      </w:tr>
    </w:tbl>
    <w:p w:rsidR="00413A54" w:rsidRDefault="00413A54" w:rsidP="00413A54">
      <w:pPr>
        <w:rPr>
          <w:lang w:eastAsia="en-US"/>
        </w:rPr>
      </w:pPr>
    </w:p>
    <w:p w:rsidR="00214A6A" w:rsidRDefault="00214A6A" w:rsidP="00413A54">
      <w:pPr>
        <w:rPr>
          <w:lang w:eastAsia="en-US"/>
        </w:rPr>
      </w:pPr>
    </w:p>
    <w:p w:rsidR="00214A6A" w:rsidRDefault="00214A6A" w:rsidP="00413A54">
      <w:pPr>
        <w:rPr>
          <w:lang w:eastAsia="en-US"/>
        </w:rPr>
      </w:pPr>
    </w:p>
    <w:p w:rsidR="00413A54" w:rsidRDefault="00413A54" w:rsidP="00041ED2">
      <w:pPr>
        <w:ind w:left="0"/>
        <w:rPr>
          <w:rStyle w:val="A8"/>
          <w:rFonts w:asciiTheme="minorHAnsi" w:hAnsiTheme="minorHAnsi"/>
          <w:b/>
          <w:sz w:val="32"/>
          <w:szCs w:val="32"/>
        </w:rPr>
      </w:pPr>
      <w:r w:rsidRPr="001D421A">
        <w:rPr>
          <w:rStyle w:val="A8"/>
          <w:rFonts w:asciiTheme="minorHAnsi" w:hAnsiTheme="minorHAnsi"/>
          <w:b/>
          <w:sz w:val="32"/>
          <w:szCs w:val="32"/>
        </w:rPr>
        <w:lastRenderedPageBreak/>
        <w:t>SPECIAL MANAGEMENT ISSUES</w:t>
      </w:r>
    </w:p>
    <w:tbl>
      <w:tblPr>
        <w:tblStyle w:val="TableGrid"/>
        <w:tblW w:w="0" w:type="auto"/>
        <w:tblInd w:w="108" w:type="dxa"/>
        <w:tblLook w:val="04A0" w:firstRow="1" w:lastRow="0" w:firstColumn="1" w:lastColumn="0" w:noHBand="0" w:noVBand="1"/>
      </w:tblPr>
      <w:tblGrid>
        <w:gridCol w:w="1258"/>
        <w:gridCol w:w="8183"/>
      </w:tblGrid>
      <w:tr w:rsidR="00413A54" w:rsidRPr="001D421A" w:rsidTr="00041ED2">
        <w:tc>
          <w:tcPr>
            <w:tcW w:w="1258" w:type="dxa"/>
            <w:shd w:val="clear" w:color="auto" w:fill="DBE5F1" w:themeFill="accent1" w:themeFillTint="33"/>
          </w:tcPr>
          <w:p w:rsidR="00413A54" w:rsidRPr="001D421A" w:rsidRDefault="00413A54" w:rsidP="00041ED2">
            <w:pPr>
              <w:ind w:left="34"/>
              <w:rPr>
                <w:rFonts w:asciiTheme="minorHAnsi" w:hAnsiTheme="minorHAnsi"/>
                <w:b/>
              </w:rPr>
            </w:pPr>
            <w:r w:rsidRPr="001D421A">
              <w:rPr>
                <w:rStyle w:val="A8"/>
                <w:rFonts w:asciiTheme="minorHAnsi" w:eastAsia="Calibri" w:hAnsiTheme="minorHAnsi"/>
                <w:b/>
                <w:color w:val="221E1F"/>
                <w:sz w:val="22"/>
                <w:szCs w:val="24"/>
                <w:lang w:eastAsia="en-US"/>
              </w:rPr>
              <w:t>No.</w:t>
            </w:r>
          </w:p>
        </w:tc>
        <w:tc>
          <w:tcPr>
            <w:tcW w:w="8183" w:type="dxa"/>
            <w:shd w:val="clear" w:color="auto" w:fill="DBE5F1" w:themeFill="accent1" w:themeFillTint="33"/>
          </w:tcPr>
          <w:p w:rsidR="00413A54" w:rsidRPr="001D421A" w:rsidRDefault="00413A54" w:rsidP="00413A54">
            <w:pPr>
              <w:ind w:left="194"/>
              <w:rPr>
                <w:rStyle w:val="A8"/>
                <w:rFonts w:asciiTheme="minorHAnsi" w:eastAsia="Calibri" w:hAnsiTheme="minorHAnsi"/>
                <w:b/>
                <w:color w:val="221E1F"/>
                <w:sz w:val="22"/>
                <w:szCs w:val="24"/>
                <w:lang w:eastAsia="en-US"/>
              </w:rPr>
            </w:pPr>
            <w:r w:rsidRPr="001D421A">
              <w:rPr>
                <w:rStyle w:val="A8"/>
                <w:rFonts w:asciiTheme="minorHAnsi" w:eastAsia="Calibri" w:hAnsiTheme="minorHAnsi"/>
                <w:b/>
                <w:color w:val="221E1F"/>
                <w:sz w:val="22"/>
                <w:szCs w:val="24"/>
                <w:lang w:eastAsia="en-US"/>
              </w:rPr>
              <w:t>Key Practice Point</w:t>
            </w:r>
          </w:p>
          <w:p w:rsidR="00413A54" w:rsidRPr="001D421A" w:rsidRDefault="00413A54" w:rsidP="00413A54">
            <w:pPr>
              <w:ind w:left="194"/>
              <w:rPr>
                <w:rFonts w:asciiTheme="minorHAnsi" w:hAnsiTheme="minorHAnsi"/>
                <w:b/>
              </w:rPr>
            </w:pPr>
          </w:p>
        </w:tc>
      </w:tr>
      <w:tr w:rsidR="00413A54" w:rsidRPr="001D421A" w:rsidTr="00041ED2">
        <w:tc>
          <w:tcPr>
            <w:tcW w:w="1258" w:type="dxa"/>
            <w:shd w:val="clear" w:color="auto" w:fill="365F91" w:themeFill="accent1" w:themeFillShade="BF"/>
          </w:tcPr>
          <w:p w:rsidR="00413A54" w:rsidRPr="001D421A" w:rsidRDefault="00413A54" w:rsidP="00041ED2">
            <w:pPr>
              <w:spacing w:before="40" w:after="40"/>
              <w:ind w:left="34"/>
              <w:rPr>
                <w:rFonts w:asciiTheme="minorHAnsi" w:hAnsiTheme="minorHAnsi"/>
                <w:b/>
                <w:color w:val="FFFFFF" w:themeColor="background1"/>
              </w:rPr>
            </w:pPr>
            <w:r w:rsidRPr="001D421A">
              <w:rPr>
                <w:rFonts w:asciiTheme="minorHAnsi" w:hAnsiTheme="minorHAnsi"/>
                <w:b/>
                <w:color w:val="FFFFFF" w:themeColor="background1"/>
              </w:rPr>
              <w:t>PP 2.1</w:t>
            </w:r>
          </w:p>
        </w:tc>
        <w:tc>
          <w:tcPr>
            <w:tcW w:w="8183" w:type="dxa"/>
          </w:tcPr>
          <w:p w:rsidR="00413A54" w:rsidRPr="001D421A" w:rsidRDefault="00413A54" w:rsidP="00413A54">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Women who are carriers of the haemophilia gene may have reduced clotting factor levels and an increased risk of bleeding. Such women should have their clotting factor level documented.</w:t>
            </w:r>
          </w:p>
        </w:tc>
      </w:tr>
      <w:tr w:rsidR="00413A54" w:rsidRPr="001D421A" w:rsidTr="00041ED2">
        <w:tc>
          <w:tcPr>
            <w:tcW w:w="1258" w:type="dxa"/>
            <w:shd w:val="clear" w:color="auto" w:fill="365F91" w:themeFill="accent1" w:themeFillShade="BF"/>
          </w:tcPr>
          <w:p w:rsidR="00413A54" w:rsidRPr="001D421A" w:rsidRDefault="00413A54" w:rsidP="00041ED2">
            <w:pPr>
              <w:spacing w:before="40" w:after="40"/>
              <w:ind w:left="34"/>
              <w:rPr>
                <w:rFonts w:asciiTheme="minorHAnsi" w:hAnsiTheme="minorHAnsi"/>
                <w:b/>
                <w:color w:val="FFFFFF" w:themeColor="background1"/>
              </w:rPr>
            </w:pPr>
            <w:r w:rsidRPr="001D421A">
              <w:rPr>
                <w:rFonts w:asciiTheme="minorHAnsi" w:hAnsiTheme="minorHAnsi"/>
                <w:b/>
                <w:color w:val="FFFFFF" w:themeColor="background1"/>
              </w:rPr>
              <w:t>PP 2.2</w:t>
            </w:r>
          </w:p>
        </w:tc>
        <w:tc>
          <w:tcPr>
            <w:tcW w:w="8183" w:type="dxa"/>
          </w:tcPr>
          <w:p w:rsidR="00413A54" w:rsidRPr="001D421A" w:rsidRDefault="00413A54" w:rsidP="00413A54">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Active intervention may be required to reduce bleeding risk in haemophilia carriers with reduced clotting factor levels, particularly around invasive procedures.</w:t>
            </w:r>
          </w:p>
        </w:tc>
      </w:tr>
      <w:tr w:rsidR="00413A54" w:rsidRPr="001D421A" w:rsidTr="00041ED2">
        <w:tc>
          <w:tcPr>
            <w:tcW w:w="1258" w:type="dxa"/>
            <w:shd w:val="clear" w:color="auto" w:fill="365F91" w:themeFill="accent1" w:themeFillShade="BF"/>
          </w:tcPr>
          <w:p w:rsidR="00413A54" w:rsidRPr="001D421A" w:rsidRDefault="00413A54" w:rsidP="00041ED2">
            <w:pPr>
              <w:spacing w:before="40" w:after="40"/>
              <w:ind w:left="34"/>
              <w:rPr>
                <w:rFonts w:asciiTheme="minorHAnsi" w:hAnsiTheme="minorHAnsi"/>
                <w:b/>
                <w:color w:val="FFFFFF" w:themeColor="background1"/>
              </w:rPr>
            </w:pPr>
            <w:r w:rsidRPr="001D421A">
              <w:rPr>
                <w:rFonts w:asciiTheme="minorHAnsi" w:hAnsiTheme="minorHAnsi"/>
                <w:b/>
                <w:color w:val="FFFFFF" w:themeColor="background1"/>
              </w:rPr>
              <w:t>PP 2.3</w:t>
            </w:r>
          </w:p>
        </w:tc>
        <w:tc>
          <w:tcPr>
            <w:tcW w:w="8183" w:type="dxa"/>
          </w:tcPr>
          <w:p w:rsidR="00413A54" w:rsidRPr="001D421A" w:rsidRDefault="00413A54" w:rsidP="00413A54">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 xml:space="preserve">Genetic counselling should be offered to all individuals with haemophilia, carriers and their partners as part of routine care.  </w:t>
            </w:r>
          </w:p>
        </w:tc>
      </w:tr>
      <w:tr w:rsidR="00413A54" w:rsidRPr="001D421A" w:rsidTr="00041ED2">
        <w:tc>
          <w:tcPr>
            <w:tcW w:w="1258" w:type="dxa"/>
            <w:shd w:val="clear" w:color="auto" w:fill="365F91" w:themeFill="accent1" w:themeFillShade="BF"/>
          </w:tcPr>
          <w:p w:rsidR="00413A54" w:rsidRPr="001D421A" w:rsidRDefault="00413A54" w:rsidP="00041ED2">
            <w:pPr>
              <w:spacing w:before="40" w:after="40"/>
              <w:ind w:left="34"/>
              <w:rPr>
                <w:rFonts w:asciiTheme="minorHAnsi" w:hAnsiTheme="minorHAnsi"/>
                <w:b/>
                <w:color w:val="FFFFFF" w:themeColor="background1"/>
              </w:rPr>
            </w:pPr>
            <w:r w:rsidRPr="001D421A">
              <w:rPr>
                <w:rFonts w:asciiTheme="minorHAnsi" w:hAnsiTheme="minorHAnsi"/>
                <w:b/>
                <w:color w:val="FFFFFF" w:themeColor="background1"/>
              </w:rPr>
              <w:t>PP 2.4</w:t>
            </w:r>
          </w:p>
        </w:tc>
        <w:tc>
          <w:tcPr>
            <w:tcW w:w="8183" w:type="dxa"/>
          </w:tcPr>
          <w:p w:rsidR="00413A54" w:rsidRPr="001D421A" w:rsidRDefault="00413A54" w:rsidP="00413A54">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Genetic testing may also help with assessing individual risk of inhibitor development.</w:t>
            </w:r>
          </w:p>
        </w:tc>
      </w:tr>
      <w:tr w:rsidR="00413A54" w:rsidRPr="001D421A" w:rsidTr="00041ED2">
        <w:tc>
          <w:tcPr>
            <w:tcW w:w="1258" w:type="dxa"/>
            <w:shd w:val="clear" w:color="auto" w:fill="365F91" w:themeFill="accent1" w:themeFillShade="BF"/>
          </w:tcPr>
          <w:p w:rsidR="00413A54" w:rsidRPr="001D421A" w:rsidRDefault="00413A54" w:rsidP="00041ED2">
            <w:pPr>
              <w:spacing w:before="40" w:after="40"/>
              <w:ind w:left="34"/>
              <w:rPr>
                <w:rFonts w:asciiTheme="minorHAnsi" w:hAnsiTheme="minorHAnsi"/>
                <w:b/>
                <w:color w:val="FFFFFF" w:themeColor="background1"/>
              </w:rPr>
            </w:pPr>
            <w:r w:rsidRPr="001D421A">
              <w:rPr>
                <w:rFonts w:asciiTheme="minorHAnsi" w:hAnsiTheme="minorHAnsi"/>
                <w:b/>
                <w:color w:val="FFFFFF" w:themeColor="background1"/>
              </w:rPr>
              <w:t>PP 2.5</w:t>
            </w:r>
          </w:p>
        </w:tc>
        <w:tc>
          <w:tcPr>
            <w:tcW w:w="8183" w:type="dxa"/>
          </w:tcPr>
          <w:p w:rsidR="00413A54" w:rsidRPr="001D421A" w:rsidRDefault="00413A54" w:rsidP="00413A54">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 xml:space="preserve">Delivery of infants with known or suspected haemophilia should be atraumatic and forceps delivery or vacuum extraction should be avoided. Ideally delivery should occur in hospitals with a “high risk” obstetric service, in close liaison with a haemophilia treatment centre. </w:t>
            </w:r>
          </w:p>
        </w:tc>
      </w:tr>
      <w:tr w:rsidR="00413A54" w:rsidRPr="001D421A" w:rsidTr="00041ED2">
        <w:tc>
          <w:tcPr>
            <w:tcW w:w="1258" w:type="dxa"/>
            <w:shd w:val="clear" w:color="auto" w:fill="365F91" w:themeFill="accent1" w:themeFillShade="BF"/>
          </w:tcPr>
          <w:p w:rsidR="00413A54" w:rsidRPr="001D421A" w:rsidRDefault="00413A54" w:rsidP="00041ED2">
            <w:pPr>
              <w:spacing w:before="40" w:after="40"/>
              <w:ind w:left="34"/>
              <w:rPr>
                <w:rFonts w:asciiTheme="minorHAnsi" w:hAnsiTheme="minorHAnsi"/>
                <w:b/>
                <w:color w:val="FFFFFF" w:themeColor="background1"/>
              </w:rPr>
            </w:pPr>
            <w:r w:rsidRPr="001D421A">
              <w:rPr>
                <w:rFonts w:asciiTheme="minorHAnsi" w:hAnsiTheme="minorHAnsi"/>
                <w:b/>
                <w:color w:val="FFFFFF" w:themeColor="background1"/>
              </w:rPr>
              <w:t>PP 2.6</w:t>
            </w:r>
          </w:p>
        </w:tc>
        <w:tc>
          <w:tcPr>
            <w:tcW w:w="8183" w:type="dxa"/>
          </w:tcPr>
          <w:p w:rsidR="00413A54" w:rsidRPr="001D421A" w:rsidRDefault="00413A54" w:rsidP="00413A54">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Social work review is a central component of haemophilia management.</w:t>
            </w:r>
          </w:p>
        </w:tc>
      </w:tr>
      <w:tr w:rsidR="00413A54" w:rsidRPr="001D421A" w:rsidTr="00041ED2">
        <w:tc>
          <w:tcPr>
            <w:tcW w:w="1258" w:type="dxa"/>
            <w:shd w:val="clear" w:color="auto" w:fill="365F91" w:themeFill="accent1" w:themeFillShade="BF"/>
          </w:tcPr>
          <w:p w:rsidR="00413A54" w:rsidRPr="001D421A" w:rsidRDefault="00413A54" w:rsidP="00041ED2">
            <w:pPr>
              <w:spacing w:before="40" w:after="40"/>
              <w:ind w:left="34"/>
              <w:rPr>
                <w:rFonts w:asciiTheme="minorHAnsi" w:hAnsiTheme="minorHAnsi"/>
                <w:b/>
                <w:color w:val="FFFFFF" w:themeColor="background1"/>
              </w:rPr>
            </w:pPr>
            <w:r w:rsidRPr="001D421A">
              <w:rPr>
                <w:rFonts w:asciiTheme="minorHAnsi" w:hAnsiTheme="minorHAnsi"/>
                <w:b/>
                <w:color w:val="FFFFFF" w:themeColor="background1"/>
              </w:rPr>
              <w:t>PP 2.7</w:t>
            </w:r>
          </w:p>
        </w:tc>
        <w:tc>
          <w:tcPr>
            <w:tcW w:w="8183" w:type="dxa"/>
          </w:tcPr>
          <w:p w:rsidR="00413A54" w:rsidRPr="001D421A" w:rsidRDefault="00413A54" w:rsidP="00413A54">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 xml:space="preserve">Individuals with haemophilia are at risk of common age related diseases. Monitoring and appropriate treatment of these conditions in liaison with the </w:t>
            </w:r>
            <w:proofErr w:type="gramStart"/>
            <w:r w:rsidRPr="001D421A">
              <w:rPr>
                <w:rStyle w:val="A8"/>
                <w:rFonts w:asciiTheme="minorHAnsi" w:eastAsia="Calibri" w:hAnsiTheme="minorHAnsi"/>
                <w:color w:val="221E1F"/>
                <w:sz w:val="22"/>
                <w:szCs w:val="24"/>
                <w:lang w:eastAsia="en-US"/>
              </w:rPr>
              <w:t>patients</w:t>
            </w:r>
            <w:proofErr w:type="gramEnd"/>
            <w:r w:rsidRPr="001D421A">
              <w:rPr>
                <w:rStyle w:val="A8"/>
                <w:rFonts w:asciiTheme="minorHAnsi" w:eastAsia="Calibri" w:hAnsiTheme="minorHAnsi"/>
                <w:color w:val="221E1F"/>
                <w:sz w:val="22"/>
                <w:szCs w:val="24"/>
                <w:lang w:eastAsia="en-US"/>
              </w:rPr>
              <w:t xml:space="preserve"> general practitioner is an important component of clinical care.</w:t>
            </w:r>
          </w:p>
        </w:tc>
      </w:tr>
    </w:tbl>
    <w:p w:rsidR="00413A54" w:rsidRDefault="00413A54" w:rsidP="00413A54">
      <w:pPr>
        <w:rPr>
          <w:lang w:eastAsia="en-US"/>
        </w:rPr>
      </w:pPr>
    </w:p>
    <w:p w:rsidR="00413A54" w:rsidRDefault="00413A54" w:rsidP="00041ED2">
      <w:pPr>
        <w:ind w:left="0"/>
        <w:rPr>
          <w:rFonts w:asciiTheme="minorHAnsi" w:hAnsiTheme="minorHAnsi" w:cs="Avenir LT Std 55 Roman"/>
          <w:b/>
          <w:bCs/>
          <w:color w:val="E31736"/>
          <w:sz w:val="32"/>
          <w:szCs w:val="32"/>
          <w:lang w:eastAsia="en-US"/>
        </w:rPr>
      </w:pPr>
      <w:r w:rsidRPr="00575C82">
        <w:rPr>
          <w:rFonts w:asciiTheme="minorHAnsi" w:hAnsiTheme="minorHAnsi" w:cs="Avenir LT Std 55 Roman"/>
          <w:b/>
          <w:bCs/>
          <w:color w:val="E31736"/>
          <w:sz w:val="32"/>
          <w:szCs w:val="32"/>
          <w:lang w:eastAsia="en-US"/>
        </w:rPr>
        <w:t>LABORATORY DIAGNOSIS</w:t>
      </w:r>
    </w:p>
    <w:tbl>
      <w:tblPr>
        <w:tblStyle w:val="TableGrid"/>
        <w:tblW w:w="0" w:type="auto"/>
        <w:tblInd w:w="108" w:type="dxa"/>
        <w:tblLook w:val="04A0" w:firstRow="1" w:lastRow="0" w:firstColumn="1" w:lastColumn="0" w:noHBand="0" w:noVBand="1"/>
      </w:tblPr>
      <w:tblGrid>
        <w:gridCol w:w="1400"/>
        <w:gridCol w:w="8041"/>
      </w:tblGrid>
      <w:tr w:rsidR="00413A54" w:rsidRPr="00497699" w:rsidTr="00041ED2">
        <w:tc>
          <w:tcPr>
            <w:tcW w:w="1400" w:type="dxa"/>
            <w:shd w:val="clear" w:color="auto" w:fill="DBE5F1" w:themeFill="accent1" w:themeFillTint="33"/>
          </w:tcPr>
          <w:p w:rsidR="00413A54" w:rsidRPr="00497699" w:rsidRDefault="00413A54" w:rsidP="00041ED2">
            <w:pPr>
              <w:spacing w:before="40" w:after="40"/>
              <w:ind w:left="34"/>
              <w:rPr>
                <w:b/>
              </w:rPr>
            </w:pPr>
            <w:r w:rsidRPr="00497699">
              <w:rPr>
                <w:rStyle w:val="A8"/>
                <w:rFonts w:eastAsia="Calibri"/>
                <w:b/>
                <w:color w:val="221E1F"/>
                <w:sz w:val="22"/>
                <w:szCs w:val="24"/>
              </w:rPr>
              <w:t>No.</w:t>
            </w:r>
          </w:p>
        </w:tc>
        <w:tc>
          <w:tcPr>
            <w:tcW w:w="8041" w:type="dxa"/>
            <w:shd w:val="clear" w:color="auto" w:fill="DBE5F1" w:themeFill="accent1" w:themeFillTint="33"/>
          </w:tcPr>
          <w:p w:rsidR="00413A54" w:rsidRDefault="00413A54" w:rsidP="00413A54">
            <w:pPr>
              <w:ind w:left="193"/>
              <w:rPr>
                <w:rStyle w:val="A8"/>
                <w:rFonts w:eastAsia="Calibri"/>
                <w:b/>
                <w:color w:val="221E1F"/>
                <w:sz w:val="22"/>
                <w:szCs w:val="24"/>
              </w:rPr>
            </w:pPr>
            <w:r>
              <w:rPr>
                <w:rStyle w:val="A8"/>
                <w:rFonts w:eastAsia="Calibri"/>
                <w:b/>
                <w:color w:val="221E1F"/>
                <w:sz w:val="22"/>
                <w:szCs w:val="24"/>
              </w:rPr>
              <w:t>Key Practice Point</w:t>
            </w:r>
          </w:p>
          <w:p w:rsidR="00413A54" w:rsidRPr="00497699" w:rsidRDefault="00413A54" w:rsidP="00413A54">
            <w:pPr>
              <w:ind w:left="193"/>
              <w:rPr>
                <w:b/>
              </w:rPr>
            </w:pPr>
          </w:p>
        </w:tc>
      </w:tr>
      <w:tr w:rsidR="00413A54" w:rsidRPr="00497699" w:rsidTr="00041ED2">
        <w:tc>
          <w:tcPr>
            <w:tcW w:w="1400" w:type="dxa"/>
            <w:shd w:val="clear" w:color="auto" w:fill="365F91" w:themeFill="accent1" w:themeFillShade="BF"/>
          </w:tcPr>
          <w:p w:rsidR="00413A54" w:rsidRPr="00C25F2D" w:rsidRDefault="00413A54" w:rsidP="00041ED2">
            <w:pPr>
              <w:spacing w:before="40" w:after="40"/>
              <w:ind w:left="34"/>
              <w:rPr>
                <w:rStyle w:val="A8"/>
                <w:rFonts w:eastAsia="Calibri"/>
                <w:b/>
                <w:color w:val="FFFFFF" w:themeColor="background1"/>
                <w:sz w:val="22"/>
                <w:szCs w:val="24"/>
              </w:rPr>
            </w:pPr>
            <w:r>
              <w:rPr>
                <w:rStyle w:val="A8"/>
                <w:rFonts w:eastAsia="Calibri"/>
                <w:b/>
                <w:color w:val="FFFFFF" w:themeColor="background1"/>
                <w:sz w:val="22"/>
                <w:szCs w:val="24"/>
              </w:rPr>
              <w:t>PP 3</w:t>
            </w:r>
            <w:r w:rsidRPr="00C25F2D">
              <w:rPr>
                <w:rStyle w:val="A8"/>
                <w:rFonts w:eastAsia="Calibri"/>
                <w:b/>
                <w:color w:val="FFFFFF" w:themeColor="background1"/>
                <w:sz w:val="22"/>
                <w:szCs w:val="24"/>
              </w:rPr>
              <w:t>.1</w:t>
            </w:r>
          </w:p>
        </w:tc>
        <w:tc>
          <w:tcPr>
            <w:tcW w:w="8041" w:type="dxa"/>
          </w:tcPr>
          <w:p w:rsidR="00413A54" w:rsidRPr="00497699" w:rsidRDefault="00413A54" w:rsidP="00413A54">
            <w:pPr>
              <w:spacing w:before="40" w:after="40"/>
              <w:ind w:left="193"/>
              <w:rPr>
                <w:rStyle w:val="A8"/>
                <w:rFonts w:eastAsia="Calibri"/>
                <w:color w:val="221E1F"/>
                <w:sz w:val="22"/>
                <w:szCs w:val="24"/>
              </w:rPr>
            </w:pPr>
            <w:r w:rsidRPr="00575C82">
              <w:rPr>
                <w:rStyle w:val="A8"/>
                <w:rFonts w:eastAsia="Calibri"/>
                <w:color w:val="221E1F"/>
                <w:sz w:val="22"/>
                <w:szCs w:val="24"/>
              </w:rPr>
              <w:t>A correct diagnosis is essential in all patients with bleeding disorders to ensure appropriate treatment, as different bleeding disorders may have similar symptoms.</w:t>
            </w:r>
          </w:p>
        </w:tc>
      </w:tr>
      <w:tr w:rsidR="00413A54" w:rsidRPr="00497699" w:rsidTr="00041ED2">
        <w:trPr>
          <w:trHeight w:val="212"/>
        </w:trPr>
        <w:tc>
          <w:tcPr>
            <w:tcW w:w="1400" w:type="dxa"/>
            <w:shd w:val="clear" w:color="auto" w:fill="365F91" w:themeFill="accent1" w:themeFillShade="BF"/>
          </w:tcPr>
          <w:p w:rsidR="00413A54" w:rsidRPr="00C25F2D" w:rsidRDefault="00413A54" w:rsidP="00041ED2">
            <w:pPr>
              <w:spacing w:before="40" w:after="40"/>
              <w:ind w:left="34"/>
              <w:rPr>
                <w:rStyle w:val="A8"/>
                <w:rFonts w:eastAsia="Calibri"/>
                <w:b/>
                <w:color w:val="FFFFFF" w:themeColor="background1"/>
                <w:sz w:val="22"/>
                <w:szCs w:val="24"/>
              </w:rPr>
            </w:pPr>
            <w:r>
              <w:rPr>
                <w:rStyle w:val="A8"/>
                <w:rFonts w:eastAsia="Calibri"/>
                <w:b/>
                <w:color w:val="FFFFFF" w:themeColor="background1"/>
                <w:sz w:val="22"/>
                <w:szCs w:val="24"/>
              </w:rPr>
              <w:t>PP 3</w:t>
            </w:r>
            <w:r w:rsidRPr="00C25F2D">
              <w:rPr>
                <w:rStyle w:val="A8"/>
                <w:rFonts w:eastAsia="Calibri"/>
                <w:b/>
                <w:color w:val="FFFFFF" w:themeColor="background1"/>
                <w:sz w:val="22"/>
                <w:szCs w:val="24"/>
              </w:rPr>
              <w:t>.2</w:t>
            </w:r>
          </w:p>
        </w:tc>
        <w:tc>
          <w:tcPr>
            <w:tcW w:w="8041" w:type="dxa"/>
          </w:tcPr>
          <w:p w:rsidR="00413A54" w:rsidRPr="00575C82" w:rsidRDefault="00413A54" w:rsidP="00413A54">
            <w:pPr>
              <w:spacing w:before="40" w:after="40"/>
              <w:ind w:left="193"/>
              <w:rPr>
                <w:rStyle w:val="A8"/>
                <w:rFonts w:eastAsia="Calibri"/>
                <w:color w:val="221E1F"/>
                <w:sz w:val="22"/>
                <w:szCs w:val="24"/>
              </w:rPr>
            </w:pPr>
            <w:r w:rsidRPr="00575C82">
              <w:rPr>
                <w:rStyle w:val="A8"/>
                <w:rFonts w:eastAsia="Calibri"/>
                <w:color w:val="221E1F"/>
                <w:sz w:val="22"/>
                <w:szCs w:val="24"/>
              </w:rPr>
              <w:t xml:space="preserve">Accurate diagnosis can only be made with the support of a comprehensive and accurate laboratory service. This is dependent on the laboratory following strict protocols and procedures, which require: </w:t>
            </w:r>
          </w:p>
          <w:p w:rsidR="00413A54" w:rsidRPr="00575C82" w:rsidRDefault="00413A54" w:rsidP="00413A54">
            <w:pPr>
              <w:spacing w:before="40" w:after="40"/>
              <w:ind w:left="193"/>
              <w:rPr>
                <w:rStyle w:val="A8"/>
                <w:rFonts w:eastAsia="Calibri"/>
                <w:color w:val="221E1F"/>
                <w:sz w:val="22"/>
                <w:szCs w:val="24"/>
              </w:rPr>
            </w:pPr>
            <w:r>
              <w:rPr>
                <w:rStyle w:val="A8"/>
                <w:rFonts w:eastAsia="Calibri"/>
                <w:color w:val="221E1F"/>
                <w:sz w:val="22"/>
                <w:szCs w:val="24"/>
              </w:rPr>
              <w:sym w:font="Wingdings" w:char="F09F"/>
            </w:r>
            <w:r>
              <w:rPr>
                <w:rStyle w:val="A8"/>
                <w:rFonts w:eastAsia="Calibri"/>
                <w:color w:val="221E1F"/>
                <w:sz w:val="22"/>
                <w:szCs w:val="24"/>
              </w:rPr>
              <w:t xml:space="preserve"> </w:t>
            </w:r>
            <w:r w:rsidRPr="00575C82">
              <w:rPr>
                <w:rStyle w:val="A8"/>
                <w:rFonts w:eastAsia="Calibri"/>
                <w:color w:val="221E1F"/>
                <w:sz w:val="22"/>
                <w:szCs w:val="24"/>
              </w:rPr>
              <w:t xml:space="preserve">knowledge and expertise in coagulation laboratory testing </w:t>
            </w:r>
          </w:p>
          <w:p w:rsidR="00413A54" w:rsidRPr="00575C82" w:rsidRDefault="00413A54" w:rsidP="00413A54">
            <w:pPr>
              <w:spacing w:before="40" w:after="40"/>
              <w:ind w:left="193"/>
              <w:rPr>
                <w:rStyle w:val="A8"/>
                <w:rFonts w:eastAsia="Calibri"/>
                <w:color w:val="221E1F"/>
                <w:sz w:val="22"/>
                <w:szCs w:val="24"/>
              </w:rPr>
            </w:pPr>
            <w:r>
              <w:rPr>
                <w:rStyle w:val="A8"/>
                <w:rFonts w:eastAsia="Calibri"/>
                <w:color w:val="221E1F"/>
                <w:sz w:val="22"/>
                <w:szCs w:val="24"/>
              </w:rPr>
              <w:sym w:font="Wingdings" w:char="F09F"/>
            </w:r>
            <w:r>
              <w:rPr>
                <w:rStyle w:val="A8"/>
                <w:rFonts w:eastAsia="Calibri"/>
                <w:color w:val="221E1F"/>
                <w:sz w:val="22"/>
                <w:szCs w:val="24"/>
              </w:rPr>
              <w:t xml:space="preserve"> </w:t>
            </w:r>
            <w:r w:rsidRPr="00575C82">
              <w:rPr>
                <w:rStyle w:val="A8"/>
                <w:rFonts w:eastAsia="Calibri"/>
                <w:color w:val="221E1F"/>
                <w:sz w:val="22"/>
                <w:szCs w:val="24"/>
              </w:rPr>
              <w:t xml:space="preserve">use of the correct equipment and reagents </w:t>
            </w:r>
          </w:p>
          <w:p w:rsidR="00413A54" w:rsidRPr="00497699" w:rsidRDefault="00413A54" w:rsidP="00413A54">
            <w:pPr>
              <w:spacing w:before="40" w:after="40"/>
              <w:ind w:left="193"/>
              <w:rPr>
                <w:rStyle w:val="A8"/>
                <w:rFonts w:eastAsia="Calibri"/>
                <w:color w:val="221E1F"/>
                <w:sz w:val="22"/>
                <w:szCs w:val="24"/>
              </w:rPr>
            </w:pPr>
            <w:r>
              <w:rPr>
                <w:rStyle w:val="A8"/>
                <w:rFonts w:eastAsia="Calibri"/>
                <w:color w:val="221E1F"/>
                <w:sz w:val="22"/>
                <w:szCs w:val="24"/>
              </w:rPr>
              <w:sym w:font="Wingdings" w:char="F09F"/>
            </w:r>
            <w:r>
              <w:rPr>
                <w:rStyle w:val="A8"/>
                <w:rFonts w:eastAsia="Calibri"/>
                <w:color w:val="221E1F"/>
                <w:sz w:val="22"/>
                <w:szCs w:val="24"/>
              </w:rPr>
              <w:t xml:space="preserve"> </w:t>
            </w:r>
            <w:r w:rsidRPr="00575C82">
              <w:rPr>
                <w:rStyle w:val="A8"/>
                <w:rFonts w:eastAsia="Calibri"/>
                <w:color w:val="221E1F"/>
                <w:sz w:val="22"/>
                <w:szCs w:val="24"/>
              </w:rPr>
              <w:t>quality assurance</w:t>
            </w:r>
          </w:p>
        </w:tc>
      </w:tr>
      <w:tr w:rsidR="00413A54" w:rsidRPr="00497699" w:rsidTr="00041ED2">
        <w:trPr>
          <w:trHeight w:val="242"/>
        </w:trPr>
        <w:tc>
          <w:tcPr>
            <w:tcW w:w="1400" w:type="dxa"/>
            <w:shd w:val="clear" w:color="auto" w:fill="365F91" w:themeFill="accent1" w:themeFillShade="BF"/>
          </w:tcPr>
          <w:p w:rsidR="00413A54" w:rsidRPr="00C25F2D" w:rsidRDefault="00413A54" w:rsidP="00041ED2">
            <w:pPr>
              <w:spacing w:before="40" w:after="40"/>
              <w:ind w:left="34"/>
              <w:rPr>
                <w:rStyle w:val="A8"/>
                <w:rFonts w:eastAsia="Calibri"/>
                <w:b/>
                <w:color w:val="FFFFFF" w:themeColor="background1"/>
                <w:sz w:val="22"/>
                <w:szCs w:val="24"/>
              </w:rPr>
            </w:pPr>
            <w:r>
              <w:rPr>
                <w:rStyle w:val="A8"/>
                <w:rFonts w:eastAsia="Calibri"/>
                <w:b/>
                <w:color w:val="FFFFFF" w:themeColor="background1"/>
                <w:sz w:val="22"/>
                <w:szCs w:val="24"/>
              </w:rPr>
              <w:t>PP 3</w:t>
            </w:r>
            <w:r w:rsidRPr="00C25F2D">
              <w:rPr>
                <w:rStyle w:val="A8"/>
                <w:rFonts w:eastAsia="Calibri"/>
                <w:b/>
                <w:color w:val="FFFFFF" w:themeColor="background1"/>
                <w:sz w:val="22"/>
                <w:szCs w:val="24"/>
              </w:rPr>
              <w:t>.3</w:t>
            </w:r>
          </w:p>
        </w:tc>
        <w:tc>
          <w:tcPr>
            <w:tcW w:w="8041" w:type="dxa"/>
          </w:tcPr>
          <w:p w:rsidR="00413A54" w:rsidRPr="00497699" w:rsidRDefault="00413A54" w:rsidP="00413A54">
            <w:pPr>
              <w:spacing w:before="40" w:after="40"/>
              <w:ind w:left="193"/>
              <w:rPr>
                <w:rStyle w:val="A8"/>
                <w:rFonts w:eastAsia="Calibri"/>
                <w:color w:val="221E1F"/>
                <w:sz w:val="22"/>
                <w:szCs w:val="24"/>
              </w:rPr>
            </w:pPr>
            <w:r w:rsidRPr="00575C82">
              <w:rPr>
                <w:rStyle w:val="A8"/>
                <w:rFonts w:eastAsia="Calibri"/>
                <w:color w:val="221E1F"/>
                <w:sz w:val="22"/>
                <w:szCs w:val="24"/>
              </w:rPr>
              <w:t xml:space="preserve">Laboratories are strongly advised to participate in an external quality assessment scheme (EQAS) to audit the effectiveness of the </w:t>
            </w:r>
            <w:r w:rsidR="00173B0C" w:rsidRPr="00452638">
              <w:rPr>
                <w:rFonts w:cs="Times New Roman"/>
              </w:rPr>
              <w:t>internal quality control</w:t>
            </w:r>
            <w:r w:rsidR="00173B0C" w:rsidRPr="00575C82">
              <w:rPr>
                <w:rStyle w:val="A8"/>
                <w:rFonts w:eastAsia="Calibri"/>
                <w:color w:val="221E1F"/>
                <w:sz w:val="22"/>
                <w:szCs w:val="24"/>
              </w:rPr>
              <w:t xml:space="preserve"> </w:t>
            </w:r>
            <w:r w:rsidR="00173B0C">
              <w:rPr>
                <w:rStyle w:val="A8"/>
                <w:rFonts w:eastAsia="Calibri"/>
                <w:color w:val="221E1F"/>
                <w:sz w:val="22"/>
                <w:szCs w:val="24"/>
              </w:rPr>
              <w:t>(</w:t>
            </w:r>
            <w:r w:rsidR="00173B0C" w:rsidRPr="00575C82">
              <w:rPr>
                <w:rStyle w:val="A8"/>
                <w:rFonts w:eastAsia="Calibri"/>
                <w:color w:val="221E1F"/>
                <w:sz w:val="22"/>
                <w:szCs w:val="24"/>
              </w:rPr>
              <w:t>IQC</w:t>
            </w:r>
            <w:r w:rsidR="00173B0C">
              <w:rPr>
                <w:rStyle w:val="A8"/>
                <w:rFonts w:eastAsia="Calibri"/>
                <w:color w:val="221E1F"/>
                <w:sz w:val="22"/>
                <w:szCs w:val="24"/>
              </w:rPr>
              <w:t>)</w:t>
            </w:r>
            <w:r w:rsidRPr="00575C82">
              <w:rPr>
                <w:rStyle w:val="A8"/>
                <w:rFonts w:eastAsia="Calibri"/>
                <w:color w:val="221E1F"/>
                <w:sz w:val="22"/>
                <w:szCs w:val="24"/>
              </w:rPr>
              <w:t xml:space="preserve"> systems in place.  The minimum National Association of Testing Authorities (NATA) requirement is 1 EQAS.</w:t>
            </w:r>
          </w:p>
        </w:tc>
      </w:tr>
      <w:tr w:rsidR="00413A54" w:rsidRPr="00497699" w:rsidTr="00041ED2">
        <w:tc>
          <w:tcPr>
            <w:tcW w:w="1400" w:type="dxa"/>
            <w:shd w:val="clear" w:color="auto" w:fill="365F91" w:themeFill="accent1" w:themeFillShade="BF"/>
          </w:tcPr>
          <w:p w:rsidR="00413A54" w:rsidRPr="00C25F2D" w:rsidRDefault="00413A54" w:rsidP="00041ED2">
            <w:pPr>
              <w:spacing w:before="40" w:after="40"/>
              <w:ind w:left="34"/>
              <w:rPr>
                <w:rStyle w:val="A8"/>
                <w:rFonts w:eastAsia="Calibri"/>
                <w:b/>
                <w:color w:val="FFFFFF" w:themeColor="background1"/>
                <w:sz w:val="22"/>
                <w:szCs w:val="24"/>
              </w:rPr>
            </w:pPr>
            <w:r>
              <w:rPr>
                <w:rStyle w:val="A8"/>
                <w:rFonts w:eastAsia="Calibri"/>
                <w:b/>
                <w:color w:val="FFFFFF" w:themeColor="background1"/>
                <w:sz w:val="22"/>
                <w:szCs w:val="24"/>
              </w:rPr>
              <w:t>PP 3</w:t>
            </w:r>
            <w:r w:rsidRPr="00C25F2D">
              <w:rPr>
                <w:rStyle w:val="A8"/>
                <w:rFonts w:eastAsia="Calibri"/>
                <w:b/>
                <w:color w:val="FFFFFF" w:themeColor="background1"/>
                <w:sz w:val="22"/>
                <w:szCs w:val="24"/>
              </w:rPr>
              <w:t>.4</w:t>
            </w:r>
          </w:p>
        </w:tc>
        <w:tc>
          <w:tcPr>
            <w:tcW w:w="8041" w:type="dxa"/>
          </w:tcPr>
          <w:p w:rsidR="00413A54" w:rsidRPr="00497699" w:rsidRDefault="00413A54" w:rsidP="00413A54">
            <w:pPr>
              <w:spacing w:before="40" w:after="40"/>
              <w:ind w:left="193"/>
              <w:rPr>
                <w:rStyle w:val="A8"/>
                <w:rFonts w:eastAsia="Calibri"/>
                <w:color w:val="221E1F"/>
                <w:sz w:val="22"/>
                <w:szCs w:val="24"/>
              </w:rPr>
            </w:pPr>
            <w:r w:rsidRPr="00575C82">
              <w:rPr>
                <w:rStyle w:val="A8"/>
                <w:rFonts w:eastAsia="Calibri"/>
                <w:color w:val="221E1F"/>
                <w:sz w:val="22"/>
                <w:szCs w:val="24"/>
              </w:rPr>
              <w:t>The Royal College of Pathologists of Australia (RCPA) runs a comprehensive program for haemophilia, Von Willebrands disease and other haemostatic disorders in which all laboratories involved in the diagnosis of bleeding disorders should participate.</w:t>
            </w:r>
          </w:p>
        </w:tc>
      </w:tr>
      <w:tr w:rsidR="00413A54" w:rsidRPr="00497699" w:rsidTr="00041ED2">
        <w:trPr>
          <w:trHeight w:val="392"/>
        </w:trPr>
        <w:tc>
          <w:tcPr>
            <w:tcW w:w="1400" w:type="dxa"/>
            <w:shd w:val="clear" w:color="auto" w:fill="365F91" w:themeFill="accent1" w:themeFillShade="BF"/>
          </w:tcPr>
          <w:p w:rsidR="00413A54" w:rsidRPr="00C25F2D" w:rsidRDefault="00413A54" w:rsidP="00041ED2">
            <w:pPr>
              <w:spacing w:before="40" w:after="40"/>
              <w:ind w:left="34"/>
              <w:rPr>
                <w:rStyle w:val="A8"/>
                <w:rFonts w:eastAsia="Calibri"/>
                <w:b/>
                <w:color w:val="FFFFFF" w:themeColor="background1"/>
                <w:sz w:val="22"/>
                <w:szCs w:val="24"/>
              </w:rPr>
            </w:pPr>
            <w:r>
              <w:rPr>
                <w:rStyle w:val="A8"/>
                <w:rFonts w:eastAsia="Calibri"/>
                <w:b/>
                <w:color w:val="FFFFFF" w:themeColor="background1"/>
                <w:sz w:val="22"/>
                <w:szCs w:val="24"/>
              </w:rPr>
              <w:lastRenderedPageBreak/>
              <w:t>PP 3</w:t>
            </w:r>
            <w:r w:rsidRPr="00C25F2D">
              <w:rPr>
                <w:rStyle w:val="A8"/>
                <w:rFonts w:eastAsia="Calibri"/>
                <w:b/>
                <w:color w:val="FFFFFF" w:themeColor="background1"/>
                <w:sz w:val="22"/>
                <w:szCs w:val="24"/>
              </w:rPr>
              <w:t>.5</w:t>
            </w:r>
          </w:p>
        </w:tc>
        <w:tc>
          <w:tcPr>
            <w:tcW w:w="8041" w:type="dxa"/>
          </w:tcPr>
          <w:p w:rsidR="00413A54" w:rsidRPr="00497699" w:rsidRDefault="00413A54" w:rsidP="00413A54">
            <w:pPr>
              <w:spacing w:before="40" w:after="40"/>
              <w:ind w:left="193"/>
              <w:rPr>
                <w:rStyle w:val="A8"/>
                <w:rFonts w:eastAsia="Calibri"/>
                <w:color w:val="221E1F"/>
                <w:sz w:val="22"/>
                <w:szCs w:val="24"/>
              </w:rPr>
            </w:pPr>
            <w:r w:rsidRPr="00575C82">
              <w:rPr>
                <w:rStyle w:val="A8"/>
                <w:rFonts w:eastAsia="Calibri"/>
                <w:color w:val="221E1F"/>
                <w:sz w:val="22"/>
                <w:szCs w:val="24"/>
              </w:rPr>
              <w:t>Other national and international quality assess</w:t>
            </w:r>
            <w:r w:rsidRPr="00575C82">
              <w:rPr>
                <w:rStyle w:val="A8"/>
                <w:rFonts w:eastAsia="Calibri"/>
                <w:color w:val="221E1F"/>
                <w:sz w:val="22"/>
                <w:szCs w:val="24"/>
              </w:rPr>
              <w:softHyphen/>
              <w:t>ment schemes are also available.eg. External quality Control of diagnostic Assays and Tests Foundation (ECAT), the National External Quality Assessment Service (NEQAS).</w:t>
            </w:r>
            <w:r>
              <w:rPr>
                <w:rStyle w:val="A8"/>
                <w:rFonts w:eastAsia="Calibri"/>
                <w:color w:val="221E1F"/>
                <w:sz w:val="22"/>
                <w:szCs w:val="24"/>
              </w:rPr>
              <w:t xml:space="preserve"> </w:t>
            </w:r>
            <w:r w:rsidRPr="00575C82">
              <w:rPr>
                <w:rStyle w:val="A8"/>
                <w:rFonts w:eastAsia="Calibri"/>
                <w:color w:val="221E1F"/>
                <w:sz w:val="22"/>
                <w:szCs w:val="24"/>
              </w:rPr>
              <w:t>Most laboratories associated with HTCs should participate in an international EQAS.</w:t>
            </w:r>
          </w:p>
        </w:tc>
      </w:tr>
      <w:tr w:rsidR="00413A54" w:rsidRPr="00497699" w:rsidTr="00041ED2">
        <w:trPr>
          <w:trHeight w:val="392"/>
        </w:trPr>
        <w:tc>
          <w:tcPr>
            <w:tcW w:w="1400" w:type="dxa"/>
            <w:shd w:val="clear" w:color="auto" w:fill="365F91" w:themeFill="accent1" w:themeFillShade="BF"/>
          </w:tcPr>
          <w:p w:rsidR="00413A54" w:rsidRDefault="00413A54" w:rsidP="00041ED2">
            <w:pPr>
              <w:spacing w:before="40" w:after="40"/>
              <w:ind w:left="34"/>
              <w:rPr>
                <w:rStyle w:val="A8"/>
                <w:rFonts w:eastAsia="Calibri"/>
                <w:b/>
                <w:color w:val="FFFFFF" w:themeColor="background1"/>
                <w:sz w:val="22"/>
                <w:szCs w:val="24"/>
              </w:rPr>
            </w:pPr>
            <w:r>
              <w:rPr>
                <w:rStyle w:val="A8"/>
                <w:rFonts w:eastAsia="Calibri"/>
                <w:b/>
                <w:color w:val="FFFFFF" w:themeColor="background1"/>
                <w:sz w:val="22"/>
                <w:szCs w:val="24"/>
              </w:rPr>
              <w:t>PP 3.6</w:t>
            </w:r>
          </w:p>
        </w:tc>
        <w:tc>
          <w:tcPr>
            <w:tcW w:w="8041" w:type="dxa"/>
          </w:tcPr>
          <w:p w:rsidR="00413A54" w:rsidRPr="00575C82" w:rsidRDefault="00413A54" w:rsidP="00413A54">
            <w:pPr>
              <w:spacing w:after="66"/>
              <w:ind w:left="193"/>
              <w:rPr>
                <w:rStyle w:val="A8"/>
                <w:rFonts w:eastAsia="Dotum"/>
                <w:color w:val="221E1F"/>
                <w:sz w:val="22"/>
                <w:lang w:eastAsia="en-US"/>
              </w:rPr>
            </w:pPr>
            <w:r w:rsidRPr="00575C82">
              <w:rPr>
                <w:rStyle w:val="A8"/>
                <w:rFonts w:eastAsia="Calibri"/>
                <w:color w:val="221E1F"/>
                <w:sz w:val="22"/>
                <w:szCs w:val="24"/>
              </w:rPr>
              <w:t>It is suggested that a chromogenic FVIII assay be performed on diagnostic samples where a diagnosis of mild haemophilia is suspected.</w:t>
            </w:r>
            <w:r w:rsidRPr="00AD41FD">
              <w:rPr>
                <w:rFonts w:ascii="Arial" w:hAnsi="Arial" w:cs="Arial"/>
                <w:color w:val="221E1F"/>
                <w:lang w:eastAsia="en-US"/>
              </w:rPr>
              <w:t xml:space="preserve"> </w:t>
            </w:r>
          </w:p>
        </w:tc>
      </w:tr>
      <w:tr w:rsidR="00413A54" w:rsidRPr="00497699" w:rsidTr="00041ED2">
        <w:trPr>
          <w:trHeight w:val="392"/>
        </w:trPr>
        <w:tc>
          <w:tcPr>
            <w:tcW w:w="1400" w:type="dxa"/>
            <w:shd w:val="clear" w:color="auto" w:fill="365F91" w:themeFill="accent1" w:themeFillShade="BF"/>
          </w:tcPr>
          <w:p w:rsidR="00413A54" w:rsidRDefault="00413A54" w:rsidP="00041ED2">
            <w:pPr>
              <w:spacing w:before="40" w:after="40"/>
              <w:ind w:left="34"/>
              <w:rPr>
                <w:rStyle w:val="A8"/>
                <w:rFonts w:eastAsia="Calibri"/>
                <w:b/>
                <w:color w:val="FFFFFF" w:themeColor="background1"/>
                <w:sz w:val="22"/>
                <w:szCs w:val="24"/>
              </w:rPr>
            </w:pPr>
            <w:r>
              <w:rPr>
                <w:rStyle w:val="A8"/>
                <w:rFonts w:eastAsia="Calibri"/>
                <w:b/>
                <w:color w:val="FFFFFF" w:themeColor="background1"/>
                <w:sz w:val="22"/>
                <w:szCs w:val="24"/>
              </w:rPr>
              <w:t>PP 3.7</w:t>
            </w:r>
          </w:p>
        </w:tc>
        <w:tc>
          <w:tcPr>
            <w:tcW w:w="8041" w:type="dxa"/>
          </w:tcPr>
          <w:p w:rsidR="00413A54" w:rsidRPr="00575C82" w:rsidRDefault="00413A54" w:rsidP="00413A54">
            <w:pPr>
              <w:spacing w:after="66"/>
              <w:ind w:left="193"/>
              <w:rPr>
                <w:rStyle w:val="A8"/>
                <w:rFonts w:eastAsia="Dotum"/>
                <w:color w:val="221E1F"/>
                <w:sz w:val="22"/>
                <w:lang w:eastAsia="en-US"/>
              </w:rPr>
            </w:pPr>
            <w:r w:rsidRPr="00575C82">
              <w:rPr>
                <w:rStyle w:val="A8"/>
                <w:rFonts w:eastAsia="Calibri"/>
                <w:color w:val="221E1F"/>
                <w:sz w:val="22"/>
                <w:szCs w:val="24"/>
              </w:rPr>
              <w:t>The Nijmegen modification of the FVIII inhib</w:t>
            </w:r>
            <w:r w:rsidRPr="00575C82">
              <w:rPr>
                <w:rStyle w:val="A8"/>
                <w:rFonts w:eastAsia="Calibri"/>
                <w:color w:val="221E1F"/>
                <w:sz w:val="22"/>
                <w:szCs w:val="24"/>
              </w:rPr>
              <w:softHyphen/>
              <w:t>itor assay offers improved specificity and sensitivity over the original Bethesda assay.</w:t>
            </w:r>
            <w:r w:rsidRPr="00AD41FD">
              <w:rPr>
                <w:rFonts w:ascii="Arial" w:hAnsi="Arial" w:cs="Arial"/>
                <w:bCs/>
                <w:color w:val="221E1F"/>
                <w:lang w:eastAsia="en-US"/>
              </w:rPr>
              <w:t xml:space="preserve"> </w:t>
            </w:r>
          </w:p>
        </w:tc>
      </w:tr>
      <w:tr w:rsidR="00413A54" w:rsidRPr="00497699" w:rsidTr="00041ED2">
        <w:trPr>
          <w:trHeight w:val="392"/>
        </w:trPr>
        <w:tc>
          <w:tcPr>
            <w:tcW w:w="1400" w:type="dxa"/>
            <w:shd w:val="clear" w:color="auto" w:fill="365F91" w:themeFill="accent1" w:themeFillShade="BF"/>
          </w:tcPr>
          <w:p w:rsidR="00413A54" w:rsidRDefault="00413A54" w:rsidP="00041ED2">
            <w:pPr>
              <w:spacing w:before="40" w:after="40"/>
              <w:ind w:left="34"/>
              <w:rPr>
                <w:rStyle w:val="A8"/>
                <w:rFonts w:eastAsia="Calibri"/>
                <w:b/>
                <w:color w:val="FFFFFF" w:themeColor="background1"/>
                <w:sz w:val="22"/>
                <w:szCs w:val="24"/>
              </w:rPr>
            </w:pPr>
            <w:r>
              <w:rPr>
                <w:rStyle w:val="A8"/>
                <w:rFonts w:eastAsia="Calibri"/>
                <w:b/>
                <w:color w:val="FFFFFF" w:themeColor="background1"/>
                <w:sz w:val="22"/>
                <w:szCs w:val="24"/>
              </w:rPr>
              <w:t>PP 3.8</w:t>
            </w:r>
          </w:p>
        </w:tc>
        <w:tc>
          <w:tcPr>
            <w:tcW w:w="8041" w:type="dxa"/>
          </w:tcPr>
          <w:p w:rsidR="00413A54" w:rsidRPr="00575C82" w:rsidRDefault="00413A54" w:rsidP="00413A54">
            <w:pPr>
              <w:spacing w:after="66"/>
              <w:ind w:left="193"/>
              <w:rPr>
                <w:rStyle w:val="A8"/>
                <w:rFonts w:eastAsia="Dotum"/>
                <w:i/>
                <w:iCs/>
                <w:color w:val="221E1F"/>
                <w:sz w:val="22"/>
                <w:lang w:eastAsia="en-US"/>
              </w:rPr>
            </w:pPr>
            <w:r w:rsidRPr="00575C82">
              <w:rPr>
                <w:rStyle w:val="A8"/>
                <w:rFonts w:eastAsia="Calibri"/>
                <w:color w:val="221E1F"/>
                <w:sz w:val="22"/>
                <w:szCs w:val="24"/>
              </w:rPr>
              <w:t xml:space="preserve">Detailed information on technical aspects and specific instructions on screening tests and factor assays, please consult the WFH’s Diagnosis of Hemophilia and Other Bleeding Disorders: A Laboratory Manual, Second edition </w:t>
            </w:r>
            <w:r w:rsidRPr="006244AD">
              <w:rPr>
                <w:rStyle w:val="A8"/>
                <w:rFonts w:eastAsia="Calibri"/>
                <w:color w:val="221E1F"/>
                <w:sz w:val="22"/>
                <w:szCs w:val="24"/>
                <w:vertAlign w:val="superscript"/>
              </w:rPr>
              <w:t>[1]</w:t>
            </w:r>
            <w:r w:rsidRPr="00575C82">
              <w:rPr>
                <w:rStyle w:val="A8"/>
                <w:rFonts w:eastAsia="Calibri"/>
                <w:color w:val="221E1F"/>
                <w:sz w:val="22"/>
                <w:szCs w:val="24"/>
              </w:rPr>
              <w:t xml:space="preserve"> and other refe</w:t>
            </w:r>
            <w:r>
              <w:rPr>
                <w:rStyle w:val="A8"/>
                <w:rFonts w:eastAsia="Calibri"/>
                <w:color w:val="221E1F"/>
                <w:sz w:val="22"/>
                <w:szCs w:val="24"/>
              </w:rPr>
              <w:t xml:space="preserve">rence documents. </w:t>
            </w:r>
            <w:r w:rsidRPr="006244AD">
              <w:rPr>
                <w:rStyle w:val="A8"/>
                <w:rFonts w:eastAsia="Calibri"/>
                <w:color w:val="221E1F"/>
                <w:sz w:val="22"/>
                <w:szCs w:val="24"/>
                <w:vertAlign w:val="superscript"/>
              </w:rPr>
              <w:t>[2,3]</w:t>
            </w:r>
            <w:r w:rsidRPr="00855AA9">
              <w:rPr>
                <w:rFonts w:ascii="Arial" w:hAnsi="Arial" w:cs="Arial"/>
                <w:i/>
                <w:iCs/>
                <w:color w:val="221E1F"/>
                <w:lang w:eastAsia="en-US"/>
              </w:rPr>
              <w:t xml:space="preserve"> </w:t>
            </w:r>
          </w:p>
        </w:tc>
      </w:tr>
    </w:tbl>
    <w:p w:rsidR="00413A54" w:rsidRDefault="00413A54" w:rsidP="00413A54">
      <w:pPr>
        <w:rPr>
          <w:lang w:eastAsia="en-US"/>
        </w:rPr>
      </w:pPr>
    </w:p>
    <w:p w:rsidR="00413A54" w:rsidRDefault="00413A54" w:rsidP="00041ED2">
      <w:pPr>
        <w:ind w:left="0"/>
        <w:rPr>
          <w:rFonts w:asciiTheme="minorHAnsi" w:hAnsiTheme="minorHAnsi" w:cs="Avenir LT Std 55 Roman"/>
          <w:b/>
          <w:bCs/>
          <w:color w:val="E31736"/>
          <w:sz w:val="32"/>
          <w:szCs w:val="32"/>
          <w:lang w:eastAsia="en-US"/>
        </w:rPr>
      </w:pPr>
      <w:r w:rsidRPr="00C5365F">
        <w:rPr>
          <w:rFonts w:asciiTheme="minorHAnsi" w:hAnsiTheme="minorHAnsi" w:cs="Avenir LT Std 55 Roman"/>
          <w:b/>
          <w:bCs/>
          <w:color w:val="E31736"/>
          <w:sz w:val="32"/>
          <w:szCs w:val="32"/>
          <w:lang w:eastAsia="en-US"/>
        </w:rPr>
        <w:t>HAEMOSTATIC AGENTS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8041"/>
      </w:tblGrid>
      <w:tr w:rsidR="00413A54" w:rsidRPr="00F52B33" w:rsidTr="00041ED2">
        <w:tc>
          <w:tcPr>
            <w:tcW w:w="1400" w:type="dxa"/>
            <w:shd w:val="clear" w:color="auto" w:fill="DBE5F1" w:themeFill="accent1" w:themeFillTint="33"/>
          </w:tcPr>
          <w:p w:rsidR="00413A54" w:rsidRPr="00F52B33" w:rsidRDefault="00413A54" w:rsidP="00041ED2">
            <w:pPr>
              <w:spacing w:before="40" w:after="40"/>
              <w:ind w:left="0"/>
              <w:rPr>
                <w:b/>
              </w:rPr>
            </w:pPr>
            <w:r w:rsidRPr="00F52B33">
              <w:rPr>
                <w:rFonts w:eastAsia="Calibri" w:cs="Avenir LT Std 55 Roman"/>
                <w:b/>
                <w:color w:val="221E1F"/>
                <w:szCs w:val="24"/>
              </w:rPr>
              <w:t>No.</w:t>
            </w:r>
          </w:p>
        </w:tc>
        <w:tc>
          <w:tcPr>
            <w:tcW w:w="8041" w:type="dxa"/>
            <w:shd w:val="clear" w:color="auto" w:fill="DBE5F1" w:themeFill="accent1" w:themeFillTint="33"/>
          </w:tcPr>
          <w:p w:rsidR="00413A54" w:rsidRPr="00F52B33" w:rsidRDefault="00413A54" w:rsidP="00413A54">
            <w:pPr>
              <w:ind w:left="193"/>
              <w:rPr>
                <w:b/>
              </w:rPr>
            </w:pPr>
            <w:r w:rsidRPr="00F52B33">
              <w:rPr>
                <w:rFonts w:eastAsia="Calibri" w:cs="Avenir LT Std 55 Roman"/>
                <w:b/>
                <w:color w:val="221E1F"/>
                <w:szCs w:val="24"/>
              </w:rPr>
              <w:t>Key Practice Point</w:t>
            </w:r>
          </w:p>
        </w:tc>
      </w:tr>
      <w:tr w:rsidR="00413A54" w:rsidRPr="00F52B33" w:rsidTr="00041ED2">
        <w:tc>
          <w:tcPr>
            <w:tcW w:w="1400" w:type="dxa"/>
            <w:shd w:val="clear" w:color="auto" w:fill="365F91" w:themeFill="accent1" w:themeFillShade="BF"/>
          </w:tcPr>
          <w:p w:rsidR="00413A54" w:rsidRPr="00F52B33" w:rsidRDefault="00413A54" w:rsidP="00041ED2">
            <w:pPr>
              <w:spacing w:before="40" w:after="40"/>
              <w:ind w:left="0"/>
              <w:rPr>
                <w:rFonts w:eastAsia="Calibri" w:cs="Avenir LT Std 55 Roman"/>
                <w:b/>
                <w:color w:val="FFFFFF" w:themeColor="background1"/>
                <w:szCs w:val="24"/>
              </w:rPr>
            </w:pPr>
            <w:r w:rsidRPr="00F52B33">
              <w:rPr>
                <w:rFonts w:eastAsia="Calibri" w:cs="Avenir LT Std 55 Roman"/>
                <w:b/>
                <w:color w:val="FFFFFF" w:themeColor="background1"/>
                <w:szCs w:val="24"/>
              </w:rPr>
              <w:t>PP 4.1</w:t>
            </w:r>
          </w:p>
        </w:tc>
        <w:tc>
          <w:tcPr>
            <w:tcW w:w="8041" w:type="dxa"/>
          </w:tcPr>
          <w:p w:rsidR="00413A54" w:rsidRPr="00F52B33" w:rsidRDefault="00413A54">
            <w:pPr>
              <w:spacing w:before="40" w:after="40"/>
              <w:ind w:left="193"/>
              <w:rPr>
                <w:rFonts w:eastAsia="Dotum" w:cs="Avenir LT Std 55 Roman"/>
                <w:color w:val="E31736"/>
                <w:sz w:val="24"/>
                <w:szCs w:val="24"/>
              </w:rPr>
            </w:pPr>
            <w:r w:rsidRPr="00F52B33">
              <w:rPr>
                <w:rFonts w:eastAsia="Dotum"/>
                <w:color w:val="221E1F"/>
              </w:rPr>
              <w:t>Recombinant clotting factor concentrates where available should be used in preference to plasma derived products.</w:t>
            </w:r>
          </w:p>
        </w:tc>
      </w:tr>
      <w:tr w:rsidR="00413A54" w:rsidRPr="00F52B33" w:rsidTr="00041ED2">
        <w:trPr>
          <w:trHeight w:val="212"/>
        </w:trPr>
        <w:tc>
          <w:tcPr>
            <w:tcW w:w="1400" w:type="dxa"/>
            <w:shd w:val="clear" w:color="auto" w:fill="365F91" w:themeFill="accent1" w:themeFillShade="BF"/>
          </w:tcPr>
          <w:p w:rsidR="00413A54" w:rsidRPr="00F52B33" w:rsidRDefault="00413A54" w:rsidP="00041ED2">
            <w:pPr>
              <w:spacing w:before="40" w:after="40"/>
              <w:ind w:left="0"/>
              <w:rPr>
                <w:rFonts w:eastAsia="Calibri" w:cs="Avenir LT Std 55 Roman"/>
                <w:b/>
                <w:color w:val="FFFFFF" w:themeColor="background1"/>
                <w:szCs w:val="24"/>
              </w:rPr>
            </w:pPr>
            <w:r w:rsidRPr="00F52B33">
              <w:rPr>
                <w:rFonts w:eastAsia="Calibri" w:cs="Avenir LT Std 55 Roman"/>
                <w:b/>
                <w:color w:val="FFFFFF" w:themeColor="background1"/>
                <w:szCs w:val="24"/>
              </w:rPr>
              <w:t>PP 4.2</w:t>
            </w:r>
          </w:p>
        </w:tc>
        <w:tc>
          <w:tcPr>
            <w:tcW w:w="8041" w:type="dxa"/>
          </w:tcPr>
          <w:p w:rsidR="00413A54" w:rsidRPr="00F52B33" w:rsidRDefault="00413A54">
            <w:pPr>
              <w:spacing w:before="40" w:after="40"/>
              <w:ind w:left="193"/>
              <w:rPr>
                <w:rFonts w:eastAsia="Dotum" w:cs="Avenir LT Std 55 Roman"/>
                <w:color w:val="E31736"/>
                <w:sz w:val="24"/>
                <w:szCs w:val="24"/>
              </w:rPr>
            </w:pPr>
            <w:r w:rsidRPr="00F52B33">
              <w:rPr>
                <w:rFonts w:eastAsia="Dotum"/>
                <w:color w:val="221E1F"/>
              </w:rPr>
              <w:t xml:space="preserve">In Australia recombinant clotting factor concentrates are available for the treatment of </w:t>
            </w:r>
            <w:r w:rsidR="0024116D">
              <w:rPr>
                <w:rFonts w:eastAsia="Dotum"/>
                <w:color w:val="221E1F"/>
              </w:rPr>
              <w:t>haemophilia A</w:t>
            </w:r>
            <w:r w:rsidRPr="00F52B33">
              <w:rPr>
                <w:rFonts w:eastAsia="Dotum"/>
                <w:color w:val="221E1F"/>
              </w:rPr>
              <w:t xml:space="preserve"> and </w:t>
            </w:r>
            <w:r w:rsidR="0024116D">
              <w:rPr>
                <w:rFonts w:eastAsia="Dotum"/>
                <w:color w:val="221E1F"/>
              </w:rPr>
              <w:t>h</w:t>
            </w:r>
            <w:r w:rsidRPr="00F52B33">
              <w:rPr>
                <w:rFonts w:eastAsia="Dotum"/>
                <w:color w:val="221E1F"/>
              </w:rPr>
              <w:t>aemophilia B. Plasma derived products should only be used in these patient groups for urgent treatment where recombinant products are not available. Plasma derived FVIII may be occasionally indicated for use in patients with factor VIII inhibitors undergoing tolerisation – the management of such patients should be discussed with the tolerisation advisory committee (TAC).</w:t>
            </w:r>
          </w:p>
        </w:tc>
      </w:tr>
      <w:tr w:rsidR="00413A54" w:rsidRPr="00F52B33" w:rsidTr="00041ED2">
        <w:trPr>
          <w:trHeight w:val="242"/>
        </w:trPr>
        <w:tc>
          <w:tcPr>
            <w:tcW w:w="1400" w:type="dxa"/>
            <w:shd w:val="clear" w:color="auto" w:fill="365F91" w:themeFill="accent1" w:themeFillShade="BF"/>
          </w:tcPr>
          <w:p w:rsidR="00413A54" w:rsidRPr="00F52B33" w:rsidRDefault="00413A54" w:rsidP="00041ED2">
            <w:pPr>
              <w:spacing w:before="40" w:after="40"/>
              <w:ind w:left="0"/>
              <w:rPr>
                <w:rFonts w:eastAsia="Calibri" w:cs="Avenir LT Std 55 Roman"/>
                <w:b/>
                <w:color w:val="FFFFFF" w:themeColor="background1"/>
                <w:szCs w:val="24"/>
              </w:rPr>
            </w:pPr>
            <w:r w:rsidRPr="00F52B33">
              <w:rPr>
                <w:rFonts w:eastAsia="Calibri" w:cs="Avenir LT Std 55 Roman"/>
                <w:b/>
                <w:color w:val="FFFFFF" w:themeColor="background1"/>
                <w:szCs w:val="24"/>
              </w:rPr>
              <w:t>PP 4.3</w:t>
            </w:r>
          </w:p>
        </w:tc>
        <w:tc>
          <w:tcPr>
            <w:tcW w:w="8041" w:type="dxa"/>
          </w:tcPr>
          <w:p w:rsidR="00413A54" w:rsidRPr="00F52B33" w:rsidRDefault="00413A54" w:rsidP="00413A54">
            <w:pPr>
              <w:spacing w:before="40" w:after="40"/>
              <w:ind w:left="193"/>
              <w:rPr>
                <w:rFonts w:eastAsia="Dotum" w:cs="Avenir LT Std 55 Roman"/>
                <w:color w:val="E31736"/>
                <w:sz w:val="24"/>
                <w:szCs w:val="24"/>
              </w:rPr>
            </w:pPr>
            <w:r w:rsidRPr="00F52B33">
              <w:rPr>
                <w:rFonts w:eastAsia="Dotum"/>
                <w:color w:val="221E1F"/>
              </w:rPr>
              <w:t>The use of adjuvant therapy such as DDAVP and tranexamic acid should always be considered in responsive patients. DDAVP should be considered as first line therapy in patients with mild haemophilia provided the individual response has been demonstrated to be adequate to cover the haemostatic challenge being treated.</w:t>
            </w:r>
            <w:r w:rsidRPr="00F52B33">
              <w:rPr>
                <w:rFonts w:cs="Avenir LT Std 55 Roman"/>
                <w:sz w:val="24"/>
                <w:szCs w:val="24"/>
              </w:rPr>
              <w:t xml:space="preserve"> </w:t>
            </w:r>
          </w:p>
        </w:tc>
      </w:tr>
    </w:tbl>
    <w:p w:rsidR="00413A54" w:rsidRDefault="00413A54" w:rsidP="00413A54">
      <w:pPr>
        <w:rPr>
          <w:lang w:eastAsia="en-US"/>
        </w:rPr>
      </w:pPr>
    </w:p>
    <w:p w:rsidR="00413A54" w:rsidRDefault="00413A54" w:rsidP="00041ED2">
      <w:pPr>
        <w:ind w:left="0"/>
        <w:rPr>
          <w:rFonts w:asciiTheme="minorHAnsi" w:hAnsiTheme="minorHAnsi" w:cs="Avenir LT Std 55 Roman"/>
          <w:b/>
          <w:bCs/>
          <w:color w:val="E31736"/>
          <w:sz w:val="32"/>
          <w:szCs w:val="32"/>
          <w:lang w:eastAsia="en-US"/>
        </w:rPr>
      </w:pPr>
      <w:r w:rsidRPr="004B228A">
        <w:rPr>
          <w:rFonts w:asciiTheme="minorHAnsi" w:hAnsiTheme="minorHAnsi" w:cs="Avenir LT Std 55 Roman"/>
          <w:b/>
          <w:bCs/>
          <w:color w:val="E31736"/>
          <w:sz w:val="32"/>
          <w:szCs w:val="32"/>
          <w:lang w:eastAsia="en-US"/>
        </w:rPr>
        <w:t>TREATMENT OF SPECIFIC HAEMORRHAGES</w:t>
      </w:r>
    </w:p>
    <w:tbl>
      <w:tblPr>
        <w:tblStyle w:val="TableGrid"/>
        <w:tblW w:w="0" w:type="auto"/>
        <w:tblInd w:w="108" w:type="dxa"/>
        <w:tblLook w:val="04A0" w:firstRow="1" w:lastRow="0" w:firstColumn="1" w:lastColumn="0" w:noHBand="0" w:noVBand="1"/>
      </w:tblPr>
      <w:tblGrid>
        <w:gridCol w:w="1400"/>
        <w:gridCol w:w="8041"/>
      </w:tblGrid>
      <w:tr w:rsidR="00413A54" w:rsidRPr="00F52B33" w:rsidTr="00041ED2">
        <w:tc>
          <w:tcPr>
            <w:tcW w:w="1400" w:type="dxa"/>
            <w:shd w:val="clear" w:color="auto" w:fill="DBE5F1" w:themeFill="accent1" w:themeFillTint="33"/>
          </w:tcPr>
          <w:p w:rsidR="00413A54" w:rsidRPr="00F52B33" w:rsidRDefault="00413A54" w:rsidP="00041ED2">
            <w:pPr>
              <w:spacing w:before="40" w:after="40"/>
              <w:ind w:left="34"/>
              <w:rPr>
                <w:b/>
              </w:rPr>
            </w:pPr>
            <w:r w:rsidRPr="00F52B33">
              <w:rPr>
                <w:rFonts w:eastAsia="Calibri"/>
                <w:b/>
                <w:color w:val="221E1F"/>
                <w:szCs w:val="24"/>
              </w:rPr>
              <w:t>No.</w:t>
            </w:r>
          </w:p>
        </w:tc>
        <w:tc>
          <w:tcPr>
            <w:tcW w:w="8041" w:type="dxa"/>
            <w:shd w:val="clear" w:color="auto" w:fill="DBE5F1" w:themeFill="accent1" w:themeFillTint="33"/>
          </w:tcPr>
          <w:p w:rsidR="00413A54" w:rsidRPr="00F52B33" w:rsidRDefault="00413A54" w:rsidP="00413A54">
            <w:pPr>
              <w:ind w:left="193"/>
              <w:rPr>
                <w:rFonts w:eastAsia="Calibri"/>
                <w:b/>
                <w:color w:val="221E1F"/>
                <w:szCs w:val="24"/>
              </w:rPr>
            </w:pPr>
            <w:r w:rsidRPr="00F52B33">
              <w:rPr>
                <w:rFonts w:eastAsia="Calibri"/>
                <w:b/>
                <w:color w:val="221E1F"/>
                <w:szCs w:val="24"/>
              </w:rPr>
              <w:t>Key Practice Point</w:t>
            </w:r>
          </w:p>
          <w:p w:rsidR="00413A54" w:rsidRPr="00F52B33" w:rsidRDefault="00413A54" w:rsidP="00413A54">
            <w:pPr>
              <w:ind w:left="193"/>
              <w:rPr>
                <w:b/>
              </w:rPr>
            </w:pPr>
          </w:p>
        </w:tc>
      </w:tr>
      <w:tr w:rsidR="00413A54" w:rsidRPr="00F52B33" w:rsidTr="00041ED2">
        <w:tc>
          <w:tcPr>
            <w:tcW w:w="1400" w:type="dxa"/>
            <w:shd w:val="clear" w:color="auto" w:fill="365F91" w:themeFill="accent1" w:themeFillShade="BF"/>
          </w:tcPr>
          <w:p w:rsidR="00413A54" w:rsidRPr="00F52B33" w:rsidRDefault="00413A54" w:rsidP="00041ED2">
            <w:pPr>
              <w:spacing w:before="40" w:after="40"/>
              <w:ind w:left="34"/>
              <w:rPr>
                <w:rFonts w:eastAsia="Calibri"/>
                <w:b/>
                <w:color w:val="FFFFFF" w:themeColor="background1"/>
                <w:szCs w:val="24"/>
              </w:rPr>
            </w:pPr>
            <w:r w:rsidRPr="00F52B33">
              <w:rPr>
                <w:rFonts w:eastAsia="Calibri"/>
                <w:b/>
                <w:color w:val="FFFFFF" w:themeColor="background1"/>
                <w:szCs w:val="24"/>
              </w:rPr>
              <w:t>PP 5.1</w:t>
            </w:r>
          </w:p>
        </w:tc>
        <w:tc>
          <w:tcPr>
            <w:tcW w:w="8041" w:type="dxa"/>
          </w:tcPr>
          <w:p w:rsidR="00413A54" w:rsidRPr="00F52B33" w:rsidRDefault="00413A54" w:rsidP="00413A54">
            <w:pPr>
              <w:spacing w:before="40" w:after="40"/>
              <w:ind w:left="193"/>
              <w:rPr>
                <w:rFonts w:eastAsia="Calibri"/>
                <w:color w:val="221E1F"/>
                <w:szCs w:val="24"/>
              </w:rPr>
            </w:pPr>
            <w:r w:rsidRPr="00F52B33">
              <w:rPr>
                <w:rFonts w:eastAsia="Calibri"/>
                <w:color w:val="221E1F"/>
                <w:szCs w:val="24"/>
              </w:rPr>
              <w:t xml:space="preserve">Bleeding in patients with haemophilia can occur at different sites each of which </w:t>
            </w:r>
            <w:proofErr w:type="gramStart"/>
            <w:r w:rsidRPr="00F52B33">
              <w:rPr>
                <w:rFonts w:eastAsia="Calibri"/>
                <w:color w:val="221E1F"/>
                <w:szCs w:val="24"/>
              </w:rPr>
              <w:t>require</w:t>
            </w:r>
            <w:proofErr w:type="gramEnd"/>
            <w:r w:rsidRPr="00F52B33">
              <w:rPr>
                <w:rFonts w:eastAsia="Calibri"/>
                <w:color w:val="221E1F"/>
                <w:szCs w:val="24"/>
              </w:rPr>
              <w:t xml:space="preserve"> specific management.</w:t>
            </w:r>
          </w:p>
        </w:tc>
      </w:tr>
      <w:tr w:rsidR="00413A54" w:rsidRPr="00F52B33" w:rsidTr="00041ED2">
        <w:trPr>
          <w:trHeight w:val="212"/>
        </w:trPr>
        <w:tc>
          <w:tcPr>
            <w:tcW w:w="1400" w:type="dxa"/>
            <w:shd w:val="clear" w:color="auto" w:fill="365F91" w:themeFill="accent1" w:themeFillShade="BF"/>
          </w:tcPr>
          <w:p w:rsidR="00413A54" w:rsidRPr="00F52B33" w:rsidRDefault="00413A54" w:rsidP="00041ED2">
            <w:pPr>
              <w:spacing w:before="40" w:after="40"/>
              <w:ind w:left="34"/>
              <w:rPr>
                <w:rFonts w:eastAsia="Calibri"/>
                <w:b/>
                <w:color w:val="FFFFFF" w:themeColor="background1"/>
                <w:szCs w:val="24"/>
              </w:rPr>
            </w:pPr>
            <w:r w:rsidRPr="00F52B33">
              <w:rPr>
                <w:rFonts w:eastAsia="Calibri"/>
                <w:b/>
                <w:color w:val="FFFFFF" w:themeColor="background1"/>
                <w:szCs w:val="24"/>
              </w:rPr>
              <w:t>PP 5.2</w:t>
            </w:r>
          </w:p>
        </w:tc>
        <w:tc>
          <w:tcPr>
            <w:tcW w:w="8041" w:type="dxa"/>
          </w:tcPr>
          <w:p w:rsidR="00413A54" w:rsidRPr="00F52B33" w:rsidRDefault="00413A54" w:rsidP="00413A54">
            <w:pPr>
              <w:spacing w:before="40" w:after="40"/>
              <w:ind w:left="193"/>
              <w:rPr>
                <w:rFonts w:eastAsia="Calibri"/>
                <w:color w:val="221E1F"/>
                <w:szCs w:val="24"/>
              </w:rPr>
            </w:pPr>
            <w:r w:rsidRPr="00F52B33">
              <w:rPr>
                <w:rFonts w:eastAsia="Calibri"/>
                <w:color w:val="221E1F"/>
                <w:szCs w:val="24"/>
              </w:rPr>
              <w:t>It is important that individuals with bleeding disorders and their families be educated about the symptoms and signs of bleeding disorders and understand the benefit of prompt treatment.</w:t>
            </w:r>
          </w:p>
        </w:tc>
      </w:tr>
      <w:tr w:rsidR="00413A54" w:rsidRPr="00F52B33" w:rsidTr="00041ED2">
        <w:trPr>
          <w:trHeight w:val="242"/>
        </w:trPr>
        <w:tc>
          <w:tcPr>
            <w:tcW w:w="1400" w:type="dxa"/>
            <w:shd w:val="clear" w:color="auto" w:fill="365F91" w:themeFill="accent1" w:themeFillShade="BF"/>
          </w:tcPr>
          <w:p w:rsidR="00413A54" w:rsidRPr="00F52B33" w:rsidRDefault="00413A54" w:rsidP="00041ED2">
            <w:pPr>
              <w:spacing w:before="40" w:after="40"/>
              <w:ind w:left="34"/>
              <w:rPr>
                <w:rFonts w:eastAsia="Calibri"/>
                <w:b/>
                <w:color w:val="FFFFFF" w:themeColor="background1"/>
                <w:szCs w:val="24"/>
              </w:rPr>
            </w:pPr>
            <w:r w:rsidRPr="00F52B33">
              <w:rPr>
                <w:rFonts w:eastAsia="Calibri"/>
                <w:b/>
                <w:color w:val="FFFFFF" w:themeColor="background1"/>
                <w:szCs w:val="24"/>
              </w:rPr>
              <w:t>PP 5.3</w:t>
            </w:r>
          </w:p>
        </w:tc>
        <w:tc>
          <w:tcPr>
            <w:tcW w:w="8041" w:type="dxa"/>
          </w:tcPr>
          <w:p w:rsidR="00413A54" w:rsidRPr="00F52B33" w:rsidRDefault="00413A54" w:rsidP="00413A54">
            <w:pPr>
              <w:spacing w:before="40" w:after="40"/>
              <w:ind w:left="193"/>
              <w:rPr>
                <w:rFonts w:eastAsia="Calibri"/>
                <w:color w:val="221E1F"/>
                <w:szCs w:val="24"/>
              </w:rPr>
            </w:pPr>
            <w:r w:rsidRPr="00F52B33">
              <w:rPr>
                <w:rFonts w:eastAsia="Calibri"/>
                <w:color w:val="221E1F"/>
                <w:szCs w:val="24"/>
              </w:rPr>
              <w:t>All patients with bleeding disorders should have a management plan documented to be followed in the event of bleeding. This should ideally be documented on a treatment card generated from the ABDR (see ‘’Principles of Care’, Section 1.2).</w:t>
            </w:r>
          </w:p>
        </w:tc>
      </w:tr>
      <w:tr w:rsidR="00413A54" w:rsidRPr="00F52B33" w:rsidTr="00041ED2">
        <w:tc>
          <w:tcPr>
            <w:tcW w:w="1400" w:type="dxa"/>
            <w:shd w:val="clear" w:color="auto" w:fill="365F91" w:themeFill="accent1" w:themeFillShade="BF"/>
          </w:tcPr>
          <w:p w:rsidR="00413A54" w:rsidRPr="00F52B33" w:rsidRDefault="00413A54" w:rsidP="00041ED2">
            <w:pPr>
              <w:spacing w:before="40" w:after="40"/>
              <w:ind w:left="34"/>
              <w:rPr>
                <w:rFonts w:eastAsia="Calibri"/>
                <w:b/>
                <w:color w:val="FFFFFF" w:themeColor="background1"/>
                <w:szCs w:val="24"/>
              </w:rPr>
            </w:pPr>
            <w:r w:rsidRPr="00F52B33">
              <w:rPr>
                <w:rFonts w:eastAsia="Calibri"/>
                <w:b/>
                <w:color w:val="FFFFFF" w:themeColor="background1"/>
                <w:szCs w:val="24"/>
              </w:rPr>
              <w:t>PP 5.4</w:t>
            </w:r>
          </w:p>
        </w:tc>
        <w:tc>
          <w:tcPr>
            <w:tcW w:w="8041" w:type="dxa"/>
          </w:tcPr>
          <w:p w:rsidR="00413A54" w:rsidRPr="00F52B33" w:rsidRDefault="00413A54" w:rsidP="00413A54">
            <w:pPr>
              <w:spacing w:before="40" w:after="40"/>
              <w:ind w:left="193"/>
              <w:rPr>
                <w:rFonts w:eastAsia="Calibri"/>
                <w:color w:val="221E1F"/>
                <w:szCs w:val="24"/>
              </w:rPr>
            </w:pPr>
            <w:r w:rsidRPr="00F52B33">
              <w:rPr>
                <w:rFonts w:eastAsia="Calibri"/>
                <w:color w:val="221E1F"/>
                <w:szCs w:val="24"/>
              </w:rPr>
              <w:t xml:space="preserve">As a general principle in case of large internal haemorrhage or repeated intermittent bleeding, haemoglobin should be checked and corrected while other measures are being planned. Measures of haemodynamic stability, such as pulse and blood </w:t>
            </w:r>
            <w:r w:rsidRPr="00F52B33">
              <w:rPr>
                <w:rFonts w:eastAsia="Calibri"/>
                <w:color w:val="221E1F"/>
                <w:szCs w:val="24"/>
              </w:rPr>
              <w:lastRenderedPageBreak/>
              <w:t>pressure, should be moni</w:t>
            </w:r>
            <w:r w:rsidRPr="00F52B33">
              <w:rPr>
                <w:rFonts w:eastAsia="Calibri"/>
                <w:color w:val="221E1F"/>
                <w:szCs w:val="24"/>
              </w:rPr>
              <w:softHyphen/>
              <w:t xml:space="preserve">tored as indicated. </w:t>
            </w:r>
          </w:p>
        </w:tc>
      </w:tr>
      <w:tr w:rsidR="00413A54" w:rsidRPr="00F52B33" w:rsidTr="00041ED2">
        <w:trPr>
          <w:trHeight w:val="392"/>
        </w:trPr>
        <w:tc>
          <w:tcPr>
            <w:tcW w:w="1400" w:type="dxa"/>
            <w:shd w:val="clear" w:color="auto" w:fill="365F91" w:themeFill="accent1" w:themeFillShade="BF"/>
          </w:tcPr>
          <w:p w:rsidR="00413A54" w:rsidRPr="00F52B33" w:rsidRDefault="00413A54" w:rsidP="00041ED2">
            <w:pPr>
              <w:spacing w:before="40" w:after="40"/>
              <w:ind w:left="34"/>
              <w:rPr>
                <w:rFonts w:eastAsia="Calibri"/>
                <w:b/>
                <w:color w:val="FFFFFF" w:themeColor="background1"/>
                <w:szCs w:val="24"/>
              </w:rPr>
            </w:pPr>
            <w:r w:rsidRPr="00F52B33">
              <w:rPr>
                <w:rFonts w:eastAsia="Calibri"/>
                <w:b/>
                <w:color w:val="FFFFFF" w:themeColor="background1"/>
                <w:szCs w:val="24"/>
              </w:rPr>
              <w:lastRenderedPageBreak/>
              <w:t>PP 5.5</w:t>
            </w:r>
          </w:p>
        </w:tc>
        <w:tc>
          <w:tcPr>
            <w:tcW w:w="8041" w:type="dxa"/>
          </w:tcPr>
          <w:p w:rsidR="00413A54" w:rsidRPr="00F52B33" w:rsidRDefault="00413A54" w:rsidP="00413A54">
            <w:pPr>
              <w:spacing w:before="40" w:after="40"/>
              <w:ind w:left="193"/>
              <w:rPr>
                <w:rFonts w:eastAsia="Calibri"/>
                <w:color w:val="221E1F"/>
                <w:szCs w:val="24"/>
              </w:rPr>
            </w:pPr>
            <w:r w:rsidRPr="00F52B33">
              <w:rPr>
                <w:rFonts w:eastAsia="Calibri"/>
                <w:color w:val="221E1F"/>
                <w:szCs w:val="24"/>
              </w:rPr>
              <w:t>Appropriate rehabilitation is an important component of care following joint and muscle haemorrhage and ideally should be guided by a physiotherapist familiar with the management of bleeding disorder patients.</w:t>
            </w:r>
          </w:p>
        </w:tc>
      </w:tr>
    </w:tbl>
    <w:p w:rsidR="00413A54" w:rsidRDefault="00413A54" w:rsidP="00413A54">
      <w:pPr>
        <w:rPr>
          <w:lang w:eastAsia="en-US"/>
        </w:rPr>
      </w:pPr>
    </w:p>
    <w:p w:rsidR="00413A54" w:rsidRDefault="00413A54" w:rsidP="00041ED2">
      <w:pPr>
        <w:ind w:left="0"/>
        <w:rPr>
          <w:rStyle w:val="A8"/>
          <w:rFonts w:asciiTheme="minorHAnsi" w:eastAsia="Calibri" w:hAnsiTheme="minorHAnsi"/>
          <w:b/>
          <w:sz w:val="32"/>
          <w:szCs w:val="32"/>
        </w:rPr>
      </w:pPr>
      <w:r w:rsidRPr="001E7B3E">
        <w:rPr>
          <w:rStyle w:val="A8"/>
          <w:rFonts w:asciiTheme="minorHAnsi" w:eastAsia="Calibri" w:hAnsiTheme="minorHAnsi"/>
          <w:b/>
          <w:sz w:val="32"/>
          <w:szCs w:val="32"/>
        </w:rPr>
        <w:t>COMPLICATIONS OF HAEMOPHILIA</w:t>
      </w:r>
    </w:p>
    <w:tbl>
      <w:tblPr>
        <w:tblStyle w:val="TableGrid"/>
        <w:tblW w:w="0" w:type="auto"/>
        <w:tblInd w:w="108" w:type="dxa"/>
        <w:tblLook w:val="04A0" w:firstRow="1" w:lastRow="0" w:firstColumn="1" w:lastColumn="0" w:noHBand="0" w:noVBand="1"/>
      </w:tblPr>
      <w:tblGrid>
        <w:gridCol w:w="1258"/>
        <w:gridCol w:w="8183"/>
      </w:tblGrid>
      <w:tr w:rsidR="00413A54" w:rsidRPr="001E7B3E" w:rsidTr="00041ED2">
        <w:tc>
          <w:tcPr>
            <w:tcW w:w="1258" w:type="dxa"/>
            <w:shd w:val="clear" w:color="auto" w:fill="DBE5F1" w:themeFill="accent1" w:themeFillTint="33"/>
          </w:tcPr>
          <w:p w:rsidR="00413A54" w:rsidRPr="001E7B3E" w:rsidRDefault="00413A54" w:rsidP="00041ED2">
            <w:pPr>
              <w:spacing w:before="40"/>
              <w:ind w:left="34"/>
              <w:rPr>
                <w:rFonts w:asciiTheme="minorHAnsi" w:hAnsiTheme="minorHAnsi"/>
                <w:b/>
              </w:rPr>
            </w:pPr>
            <w:r w:rsidRPr="001E7B3E">
              <w:rPr>
                <w:rFonts w:asciiTheme="minorHAnsi" w:hAnsiTheme="minorHAnsi"/>
                <w:b/>
              </w:rPr>
              <w:t>No.</w:t>
            </w:r>
          </w:p>
        </w:tc>
        <w:tc>
          <w:tcPr>
            <w:tcW w:w="8183" w:type="dxa"/>
            <w:shd w:val="clear" w:color="auto" w:fill="DBE5F1" w:themeFill="accent1" w:themeFillTint="33"/>
          </w:tcPr>
          <w:p w:rsidR="00413A54" w:rsidRPr="001E7B3E" w:rsidRDefault="00413A54" w:rsidP="00413A54">
            <w:pPr>
              <w:spacing w:before="40"/>
              <w:ind w:left="52"/>
              <w:rPr>
                <w:rFonts w:asciiTheme="minorHAnsi" w:hAnsiTheme="minorHAnsi"/>
                <w:b/>
              </w:rPr>
            </w:pPr>
            <w:r w:rsidRPr="001E7B3E">
              <w:rPr>
                <w:rFonts w:asciiTheme="minorHAnsi" w:hAnsiTheme="minorHAnsi"/>
                <w:b/>
              </w:rPr>
              <w:t>Key Practice Point</w:t>
            </w:r>
          </w:p>
          <w:p w:rsidR="00413A54" w:rsidRPr="001E7B3E" w:rsidRDefault="00413A54" w:rsidP="00413A54">
            <w:pPr>
              <w:spacing w:before="40"/>
              <w:ind w:left="52"/>
              <w:rPr>
                <w:rFonts w:asciiTheme="minorHAnsi" w:hAnsiTheme="minorHAnsi"/>
                <w:b/>
              </w:rPr>
            </w:pPr>
          </w:p>
        </w:tc>
      </w:tr>
      <w:tr w:rsidR="00413A54" w:rsidRPr="001E7B3E" w:rsidTr="00041ED2">
        <w:tc>
          <w:tcPr>
            <w:tcW w:w="1258" w:type="dxa"/>
            <w:shd w:val="clear" w:color="auto" w:fill="365F91" w:themeFill="accent1" w:themeFillShade="BF"/>
          </w:tcPr>
          <w:p w:rsidR="00413A54" w:rsidRPr="001E7B3E" w:rsidRDefault="00413A54" w:rsidP="00041ED2">
            <w:pPr>
              <w:spacing w:before="40" w:after="40"/>
              <w:ind w:left="34"/>
              <w:rPr>
                <w:rFonts w:asciiTheme="minorHAnsi" w:hAnsiTheme="minorHAnsi"/>
                <w:b/>
                <w:color w:val="FFFFFF" w:themeColor="background1"/>
              </w:rPr>
            </w:pPr>
            <w:r w:rsidRPr="001E7B3E">
              <w:rPr>
                <w:rFonts w:asciiTheme="minorHAnsi" w:hAnsiTheme="minorHAnsi"/>
                <w:b/>
                <w:color w:val="FFFFFF" w:themeColor="background1"/>
              </w:rPr>
              <w:t>PP 6.1</w:t>
            </w:r>
          </w:p>
        </w:tc>
        <w:tc>
          <w:tcPr>
            <w:tcW w:w="8183" w:type="dxa"/>
          </w:tcPr>
          <w:p w:rsidR="00413A54" w:rsidRPr="001E7B3E" w:rsidRDefault="00413A54" w:rsidP="00413A54">
            <w:pPr>
              <w:spacing w:before="40" w:after="40" w:line="276" w:lineRule="auto"/>
              <w:ind w:left="52"/>
              <w:rPr>
                <w:rStyle w:val="A8"/>
                <w:rFonts w:asciiTheme="minorHAnsi" w:eastAsia="Calibri" w:hAnsiTheme="minorHAnsi"/>
                <w:color w:val="221E1F"/>
                <w:sz w:val="22"/>
                <w:lang w:eastAsia="en-US"/>
              </w:rPr>
            </w:pPr>
            <w:r w:rsidRPr="001E7B3E">
              <w:rPr>
                <w:rStyle w:val="A8"/>
                <w:rFonts w:asciiTheme="minorHAnsi" w:eastAsia="Calibri" w:hAnsiTheme="minorHAnsi"/>
                <w:color w:val="221E1F"/>
                <w:sz w:val="22"/>
                <w:lang w:eastAsia="en-US"/>
              </w:rPr>
              <w:t xml:space="preserve">Musculoskeletal complications are common in patients with haemophilia, and are best </w:t>
            </w:r>
            <w:r>
              <w:rPr>
                <w:rStyle w:val="A8"/>
                <w:rFonts w:asciiTheme="minorHAnsi" w:eastAsia="Calibri" w:hAnsiTheme="minorHAnsi"/>
                <w:color w:val="221E1F"/>
                <w:sz w:val="22"/>
                <w:lang w:eastAsia="en-US"/>
              </w:rPr>
              <w:t xml:space="preserve">managed </w:t>
            </w:r>
            <w:r w:rsidRPr="001E7B3E">
              <w:rPr>
                <w:rStyle w:val="A8"/>
                <w:rFonts w:asciiTheme="minorHAnsi" w:eastAsia="Calibri" w:hAnsiTheme="minorHAnsi"/>
                <w:color w:val="221E1F"/>
                <w:sz w:val="22"/>
                <w:lang w:eastAsia="en-US"/>
              </w:rPr>
              <w:t>through a multidisciplinary approach that includes input from physiotherapy and musculoskeletal experts (including rheumatology and/or orthopaedics specialists).</w:t>
            </w:r>
          </w:p>
        </w:tc>
      </w:tr>
      <w:tr w:rsidR="00413A54" w:rsidRPr="001E7B3E" w:rsidTr="00041ED2">
        <w:tc>
          <w:tcPr>
            <w:tcW w:w="1258" w:type="dxa"/>
            <w:shd w:val="clear" w:color="auto" w:fill="365F91" w:themeFill="accent1" w:themeFillShade="BF"/>
          </w:tcPr>
          <w:p w:rsidR="00413A54" w:rsidRPr="001E7B3E" w:rsidRDefault="00413A54" w:rsidP="00041ED2">
            <w:pPr>
              <w:spacing w:before="40" w:after="40"/>
              <w:ind w:left="34"/>
              <w:rPr>
                <w:rFonts w:asciiTheme="minorHAnsi" w:hAnsiTheme="minorHAnsi"/>
                <w:b/>
                <w:color w:val="FFFFFF" w:themeColor="background1"/>
              </w:rPr>
            </w:pPr>
            <w:r w:rsidRPr="001E7B3E">
              <w:rPr>
                <w:rFonts w:asciiTheme="minorHAnsi" w:hAnsiTheme="minorHAnsi"/>
                <w:b/>
                <w:color w:val="FFFFFF" w:themeColor="background1"/>
              </w:rPr>
              <w:t>PP 6.2</w:t>
            </w:r>
          </w:p>
        </w:tc>
        <w:tc>
          <w:tcPr>
            <w:tcW w:w="8183" w:type="dxa"/>
          </w:tcPr>
          <w:p w:rsidR="00413A54" w:rsidRPr="001E7B3E" w:rsidRDefault="00413A54" w:rsidP="00413A54">
            <w:pPr>
              <w:spacing w:before="40" w:after="40" w:line="276" w:lineRule="auto"/>
              <w:ind w:left="52"/>
              <w:rPr>
                <w:rStyle w:val="A8"/>
                <w:rFonts w:asciiTheme="minorHAnsi" w:eastAsia="Calibri" w:hAnsiTheme="minorHAnsi"/>
                <w:color w:val="221E1F"/>
                <w:sz w:val="22"/>
                <w:lang w:eastAsia="en-US"/>
              </w:rPr>
            </w:pPr>
            <w:r w:rsidRPr="001E7B3E">
              <w:rPr>
                <w:rStyle w:val="A8"/>
                <w:rFonts w:asciiTheme="minorHAnsi" w:eastAsia="Calibri" w:hAnsiTheme="minorHAnsi"/>
                <w:color w:val="221E1F"/>
                <w:sz w:val="22"/>
                <w:lang w:eastAsia="en-US"/>
              </w:rPr>
              <w:t xml:space="preserve">Acute synovitis should be managed aggressively to reduce the risk of the development of chronic complication. Adequate factor replacement, pain control and physiotherapy input are important. Other interventions require further investigation. </w:t>
            </w:r>
          </w:p>
        </w:tc>
      </w:tr>
      <w:tr w:rsidR="00413A54" w:rsidRPr="001E7B3E" w:rsidTr="00041ED2">
        <w:tc>
          <w:tcPr>
            <w:tcW w:w="1258" w:type="dxa"/>
            <w:shd w:val="clear" w:color="auto" w:fill="365F91" w:themeFill="accent1" w:themeFillShade="BF"/>
          </w:tcPr>
          <w:p w:rsidR="00413A54" w:rsidRPr="001E7B3E" w:rsidRDefault="00413A54" w:rsidP="00041ED2">
            <w:pPr>
              <w:spacing w:before="40" w:after="40"/>
              <w:ind w:left="34"/>
              <w:rPr>
                <w:rFonts w:asciiTheme="minorHAnsi" w:hAnsiTheme="minorHAnsi"/>
                <w:b/>
                <w:color w:val="FFFFFF" w:themeColor="background1"/>
              </w:rPr>
            </w:pPr>
            <w:r w:rsidRPr="001E7B3E">
              <w:rPr>
                <w:rFonts w:asciiTheme="minorHAnsi" w:hAnsiTheme="minorHAnsi"/>
                <w:b/>
                <w:color w:val="FFFFFF" w:themeColor="background1"/>
              </w:rPr>
              <w:t>PP 6.3</w:t>
            </w:r>
          </w:p>
        </w:tc>
        <w:tc>
          <w:tcPr>
            <w:tcW w:w="8183" w:type="dxa"/>
          </w:tcPr>
          <w:p w:rsidR="00413A54" w:rsidRPr="001E7B3E" w:rsidRDefault="00413A54" w:rsidP="00413A54">
            <w:pPr>
              <w:spacing w:before="40" w:after="40" w:line="276" w:lineRule="auto"/>
              <w:ind w:left="52"/>
              <w:rPr>
                <w:rStyle w:val="A8"/>
                <w:rFonts w:asciiTheme="minorHAnsi" w:eastAsia="Calibri" w:hAnsiTheme="minorHAnsi"/>
                <w:color w:val="221E1F"/>
                <w:sz w:val="22"/>
                <w:lang w:eastAsia="en-US"/>
              </w:rPr>
            </w:pPr>
            <w:r w:rsidRPr="001E7B3E">
              <w:rPr>
                <w:rStyle w:val="A8"/>
                <w:rFonts w:asciiTheme="minorHAnsi" w:eastAsia="Calibri" w:hAnsiTheme="minorHAnsi"/>
                <w:color w:val="221E1F"/>
                <w:sz w:val="22"/>
                <w:lang w:eastAsia="en-US"/>
              </w:rPr>
              <w:t>Chronic arthropathy management requires a multi-modal approach. Strategies to delay the time to joint replacement are important.</w:t>
            </w:r>
          </w:p>
        </w:tc>
      </w:tr>
      <w:tr w:rsidR="00413A54" w:rsidRPr="001E7B3E" w:rsidTr="00041ED2">
        <w:tc>
          <w:tcPr>
            <w:tcW w:w="1258" w:type="dxa"/>
            <w:shd w:val="clear" w:color="auto" w:fill="365F91" w:themeFill="accent1" w:themeFillShade="BF"/>
          </w:tcPr>
          <w:p w:rsidR="00413A54" w:rsidRPr="001E7B3E" w:rsidRDefault="00413A54" w:rsidP="00041ED2">
            <w:pPr>
              <w:spacing w:before="40" w:after="40"/>
              <w:ind w:left="34"/>
              <w:rPr>
                <w:rFonts w:asciiTheme="minorHAnsi" w:hAnsiTheme="minorHAnsi"/>
                <w:b/>
                <w:color w:val="FFFFFF" w:themeColor="background1"/>
              </w:rPr>
            </w:pPr>
            <w:r w:rsidRPr="001E7B3E">
              <w:rPr>
                <w:rFonts w:asciiTheme="minorHAnsi" w:hAnsiTheme="minorHAnsi"/>
                <w:b/>
                <w:color w:val="FFFFFF" w:themeColor="background1"/>
              </w:rPr>
              <w:t>PP 6.4</w:t>
            </w:r>
          </w:p>
        </w:tc>
        <w:tc>
          <w:tcPr>
            <w:tcW w:w="8183" w:type="dxa"/>
          </w:tcPr>
          <w:p w:rsidR="00413A54" w:rsidRPr="001E7B3E" w:rsidRDefault="00413A54" w:rsidP="00413A54">
            <w:pPr>
              <w:spacing w:before="40" w:after="40" w:line="276" w:lineRule="auto"/>
              <w:ind w:left="52"/>
              <w:rPr>
                <w:rStyle w:val="A8"/>
                <w:rFonts w:asciiTheme="minorHAnsi" w:eastAsia="Calibri" w:hAnsiTheme="minorHAnsi"/>
                <w:color w:val="221E1F"/>
                <w:sz w:val="22"/>
                <w:lang w:eastAsia="en-US"/>
              </w:rPr>
            </w:pPr>
            <w:r w:rsidRPr="001E7B3E">
              <w:rPr>
                <w:rStyle w:val="A8"/>
                <w:rFonts w:asciiTheme="minorHAnsi" w:eastAsia="Calibri" w:hAnsiTheme="minorHAnsi"/>
                <w:color w:val="221E1F"/>
                <w:sz w:val="22"/>
                <w:lang w:eastAsia="en-US"/>
              </w:rPr>
              <w:t>Inhibitor management is often complex. Management of new patients with inhibitors, including tolerisation, should be referred to the AHCDO Tolerisation Advisory Committee (TAC) for discussion.</w:t>
            </w:r>
          </w:p>
        </w:tc>
      </w:tr>
      <w:tr w:rsidR="00413A54" w:rsidRPr="001E7B3E" w:rsidTr="00041ED2">
        <w:tc>
          <w:tcPr>
            <w:tcW w:w="1258" w:type="dxa"/>
            <w:shd w:val="clear" w:color="auto" w:fill="365F91" w:themeFill="accent1" w:themeFillShade="BF"/>
          </w:tcPr>
          <w:p w:rsidR="00413A54" w:rsidRPr="001E7B3E" w:rsidRDefault="00413A54" w:rsidP="00041ED2">
            <w:pPr>
              <w:spacing w:before="40" w:after="40"/>
              <w:ind w:left="34"/>
              <w:rPr>
                <w:rFonts w:asciiTheme="minorHAnsi" w:hAnsiTheme="minorHAnsi"/>
                <w:b/>
                <w:color w:val="FFFFFF" w:themeColor="background1"/>
              </w:rPr>
            </w:pPr>
            <w:r w:rsidRPr="001E7B3E">
              <w:rPr>
                <w:rFonts w:asciiTheme="minorHAnsi" w:hAnsiTheme="minorHAnsi"/>
                <w:b/>
                <w:color w:val="FFFFFF" w:themeColor="background1"/>
              </w:rPr>
              <w:t>PP 6.5</w:t>
            </w:r>
          </w:p>
        </w:tc>
        <w:tc>
          <w:tcPr>
            <w:tcW w:w="8183" w:type="dxa"/>
          </w:tcPr>
          <w:p w:rsidR="00413A54" w:rsidRPr="001E7B3E" w:rsidRDefault="00413A54" w:rsidP="00413A54">
            <w:pPr>
              <w:spacing w:before="40" w:after="40" w:line="276" w:lineRule="auto"/>
              <w:ind w:left="52"/>
              <w:rPr>
                <w:rStyle w:val="A8"/>
                <w:rFonts w:asciiTheme="minorHAnsi" w:eastAsia="Calibri" w:hAnsiTheme="minorHAnsi"/>
                <w:color w:val="221E1F"/>
                <w:sz w:val="22"/>
                <w:lang w:eastAsia="en-US"/>
              </w:rPr>
            </w:pPr>
            <w:r w:rsidRPr="001E7B3E">
              <w:rPr>
                <w:rStyle w:val="A8"/>
                <w:rFonts w:asciiTheme="minorHAnsi" w:eastAsia="Calibri" w:hAnsiTheme="minorHAnsi"/>
                <w:color w:val="221E1F"/>
                <w:sz w:val="22"/>
                <w:lang w:eastAsia="en-US"/>
              </w:rPr>
              <w:t>Transfusion related infection with HIV and the hepatitis viruses has been an important cause of morbidity and mortality in the haemophilia community. The ongoing treatment and monitoring for complications of these conditions in liaison with other speciality teams (including infectious disease and hepatology) is an important role of HTCs.</w:t>
            </w:r>
          </w:p>
        </w:tc>
      </w:tr>
    </w:tbl>
    <w:p w:rsidR="00413A54" w:rsidRDefault="00413A54" w:rsidP="00413A54">
      <w:pPr>
        <w:rPr>
          <w:lang w:eastAsia="en-US"/>
        </w:rPr>
      </w:pPr>
    </w:p>
    <w:p w:rsidR="00413A54" w:rsidRDefault="00413A54" w:rsidP="00041ED2">
      <w:pPr>
        <w:ind w:left="0"/>
        <w:rPr>
          <w:lang w:eastAsia="en-US"/>
        </w:rPr>
      </w:pPr>
      <w:r w:rsidRPr="007544F0">
        <w:rPr>
          <w:rStyle w:val="A8"/>
          <w:rFonts w:asciiTheme="minorHAnsi" w:eastAsia="Dotum" w:hAnsiTheme="minorHAnsi"/>
          <w:b/>
          <w:sz w:val="32"/>
          <w:szCs w:val="32"/>
          <w:lang w:eastAsia="en-US"/>
        </w:rPr>
        <w:t>PLASMA FACTOR LEVEL AND DURATION OF ADMINISTRATION</w:t>
      </w:r>
    </w:p>
    <w:tbl>
      <w:tblPr>
        <w:tblStyle w:val="TableGrid"/>
        <w:tblW w:w="0" w:type="auto"/>
        <w:tblInd w:w="108" w:type="dxa"/>
        <w:tblLook w:val="04A0" w:firstRow="1" w:lastRow="0" w:firstColumn="1" w:lastColumn="0" w:noHBand="0" w:noVBand="1"/>
      </w:tblPr>
      <w:tblGrid>
        <w:gridCol w:w="1258"/>
        <w:gridCol w:w="8183"/>
      </w:tblGrid>
      <w:tr w:rsidR="00413A54" w:rsidRPr="007544F0" w:rsidTr="00041ED2">
        <w:tc>
          <w:tcPr>
            <w:tcW w:w="1258" w:type="dxa"/>
            <w:shd w:val="clear" w:color="auto" w:fill="DBE5F1" w:themeFill="accent1" w:themeFillTint="33"/>
          </w:tcPr>
          <w:p w:rsidR="00413A54" w:rsidRPr="007544F0" w:rsidRDefault="00413A54" w:rsidP="00041ED2">
            <w:pPr>
              <w:ind w:left="34"/>
              <w:rPr>
                <w:b/>
              </w:rPr>
            </w:pPr>
            <w:r w:rsidRPr="007544F0">
              <w:rPr>
                <w:b/>
              </w:rPr>
              <w:t>No.</w:t>
            </w:r>
          </w:p>
        </w:tc>
        <w:tc>
          <w:tcPr>
            <w:tcW w:w="8183" w:type="dxa"/>
            <w:shd w:val="clear" w:color="auto" w:fill="DBE5F1" w:themeFill="accent1" w:themeFillTint="33"/>
          </w:tcPr>
          <w:p w:rsidR="00413A54" w:rsidRPr="007544F0" w:rsidRDefault="00413A54" w:rsidP="00413A54">
            <w:pPr>
              <w:ind w:left="194"/>
              <w:rPr>
                <w:b/>
              </w:rPr>
            </w:pPr>
            <w:r w:rsidRPr="007544F0">
              <w:rPr>
                <w:b/>
              </w:rPr>
              <w:t>Key Practice Point</w:t>
            </w:r>
          </w:p>
        </w:tc>
      </w:tr>
      <w:tr w:rsidR="00413A54" w:rsidRPr="007544F0" w:rsidTr="00041ED2">
        <w:tc>
          <w:tcPr>
            <w:tcW w:w="1258" w:type="dxa"/>
            <w:shd w:val="clear" w:color="auto" w:fill="365F91" w:themeFill="accent1" w:themeFillShade="BF"/>
          </w:tcPr>
          <w:p w:rsidR="00413A54" w:rsidRPr="007544F0" w:rsidRDefault="00413A54" w:rsidP="00041ED2">
            <w:pPr>
              <w:spacing w:before="40" w:after="40"/>
              <w:ind w:left="34"/>
              <w:rPr>
                <w:b/>
                <w:color w:val="FFFFFF" w:themeColor="background1"/>
              </w:rPr>
            </w:pPr>
            <w:r w:rsidRPr="007544F0">
              <w:rPr>
                <w:b/>
                <w:color w:val="FFFFFF" w:themeColor="background1"/>
              </w:rPr>
              <w:t>PP 7.1</w:t>
            </w:r>
          </w:p>
        </w:tc>
        <w:tc>
          <w:tcPr>
            <w:tcW w:w="8183" w:type="dxa"/>
          </w:tcPr>
          <w:p w:rsidR="00413A54" w:rsidRPr="007544F0" w:rsidRDefault="00413A54" w:rsidP="00413A54">
            <w:pPr>
              <w:spacing w:before="40" w:after="40"/>
              <w:ind w:left="194"/>
            </w:pPr>
            <w:r w:rsidRPr="007544F0">
              <w:rPr>
                <w:rFonts w:cs="Calibri"/>
              </w:rPr>
              <w:t>Factor replacement may be episodic for the management of acute bleeding or surgery, or prophylactic to limit or prevent haemophilic arthropathy.</w:t>
            </w:r>
          </w:p>
        </w:tc>
      </w:tr>
      <w:tr w:rsidR="00413A54" w:rsidRPr="007544F0" w:rsidTr="00041ED2">
        <w:tc>
          <w:tcPr>
            <w:tcW w:w="1258" w:type="dxa"/>
            <w:shd w:val="clear" w:color="auto" w:fill="365F91" w:themeFill="accent1" w:themeFillShade="BF"/>
          </w:tcPr>
          <w:p w:rsidR="00413A54" w:rsidRPr="007544F0" w:rsidRDefault="00413A54" w:rsidP="00041ED2">
            <w:pPr>
              <w:spacing w:before="40" w:after="40"/>
              <w:ind w:left="34"/>
              <w:rPr>
                <w:b/>
                <w:color w:val="FFFFFF" w:themeColor="background1"/>
              </w:rPr>
            </w:pPr>
            <w:r w:rsidRPr="007544F0">
              <w:rPr>
                <w:b/>
                <w:color w:val="FFFFFF" w:themeColor="background1"/>
              </w:rPr>
              <w:t>PP 7.2</w:t>
            </w:r>
          </w:p>
        </w:tc>
        <w:tc>
          <w:tcPr>
            <w:tcW w:w="8183" w:type="dxa"/>
          </w:tcPr>
          <w:p w:rsidR="00413A54" w:rsidRPr="007544F0" w:rsidRDefault="00413A54">
            <w:pPr>
              <w:spacing w:before="40" w:after="40"/>
              <w:ind w:left="194"/>
            </w:pPr>
            <w:r w:rsidRPr="007544F0">
              <w:rPr>
                <w:rFonts w:cs="Calibri"/>
              </w:rPr>
              <w:t xml:space="preserve">Standard doses for prophylaxis in the Australian setting range from 25 to 40 </w:t>
            </w:r>
            <w:r w:rsidR="000A1EF2">
              <w:rPr>
                <w:rFonts w:cs="Calibri"/>
              </w:rPr>
              <w:t>IU</w:t>
            </w:r>
            <w:r w:rsidRPr="007544F0">
              <w:rPr>
                <w:rFonts w:cs="Calibri"/>
              </w:rPr>
              <w:t>/kg three weekly or alternate daily.</w:t>
            </w:r>
          </w:p>
        </w:tc>
      </w:tr>
      <w:tr w:rsidR="00413A54" w:rsidRPr="007544F0" w:rsidTr="00041ED2">
        <w:tc>
          <w:tcPr>
            <w:tcW w:w="1258" w:type="dxa"/>
            <w:shd w:val="clear" w:color="auto" w:fill="365F91" w:themeFill="accent1" w:themeFillShade="BF"/>
          </w:tcPr>
          <w:p w:rsidR="00413A54" w:rsidRPr="007544F0" w:rsidRDefault="00413A54" w:rsidP="00041ED2">
            <w:pPr>
              <w:spacing w:before="40" w:after="40"/>
              <w:ind w:left="34"/>
              <w:rPr>
                <w:b/>
                <w:color w:val="FFFFFF" w:themeColor="background1"/>
              </w:rPr>
            </w:pPr>
            <w:r w:rsidRPr="007544F0">
              <w:rPr>
                <w:b/>
                <w:color w:val="FFFFFF" w:themeColor="background1"/>
              </w:rPr>
              <w:t>PP 7.3</w:t>
            </w:r>
          </w:p>
        </w:tc>
        <w:tc>
          <w:tcPr>
            <w:tcW w:w="8183" w:type="dxa"/>
          </w:tcPr>
          <w:p w:rsidR="00413A54" w:rsidRPr="007544F0" w:rsidRDefault="00413A54" w:rsidP="00413A54">
            <w:pPr>
              <w:spacing w:before="40" w:after="40"/>
              <w:ind w:left="194"/>
            </w:pPr>
            <w:r w:rsidRPr="007544F0">
              <w:rPr>
                <w:rFonts w:cs="Calibri"/>
              </w:rPr>
              <w:t xml:space="preserve">Further research is required to define the optimal prophylaxis </w:t>
            </w:r>
            <w:r w:rsidR="0024116D">
              <w:rPr>
                <w:rFonts w:cs="Calibri"/>
              </w:rPr>
              <w:t>regimen</w:t>
            </w:r>
            <w:r w:rsidRPr="007544F0">
              <w:rPr>
                <w:rFonts w:cs="Calibri"/>
              </w:rPr>
              <w:t xml:space="preserve"> and the long-term effectiveness of current dosing regimens.</w:t>
            </w:r>
          </w:p>
        </w:tc>
      </w:tr>
      <w:tr w:rsidR="00413A54" w:rsidRPr="007544F0" w:rsidTr="00041ED2">
        <w:tc>
          <w:tcPr>
            <w:tcW w:w="1258" w:type="dxa"/>
            <w:shd w:val="clear" w:color="auto" w:fill="365F91" w:themeFill="accent1" w:themeFillShade="BF"/>
          </w:tcPr>
          <w:p w:rsidR="00413A54" w:rsidRPr="007544F0" w:rsidRDefault="00413A54" w:rsidP="00041ED2">
            <w:pPr>
              <w:spacing w:before="40" w:after="40"/>
              <w:ind w:left="34"/>
              <w:rPr>
                <w:b/>
                <w:color w:val="FFFFFF" w:themeColor="background1"/>
              </w:rPr>
            </w:pPr>
            <w:r w:rsidRPr="007544F0">
              <w:rPr>
                <w:b/>
                <w:color w:val="FFFFFF" w:themeColor="background1"/>
              </w:rPr>
              <w:t>PP 7.4</w:t>
            </w:r>
          </w:p>
        </w:tc>
        <w:tc>
          <w:tcPr>
            <w:tcW w:w="8183" w:type="dxa"/>
          </w:tcPr>
          <w:p w:rsidR="00413A54" w:rsidRPr="007544F0" w:rsidRDefault="00413A54" w:rsidP="00413A54">
            <w:pPr>
              <w:spacing w:before="40" w:after="40"/>
              <w:ind w:left="194"/>
            </w:pPr>
            <w:r w:rsidRPr="007544F0">
              <w:rPr>
                <w:rFonts w:cs="Calibri"/>
              </w:rPr>
              <w:t xml:space="preserve">The duration and dosing of episodic therapy will depend on the severity of the haemophilia and the nature of the bleed or surgical procedure being managed. </w:t>
            </w:r>
          </w:p>
        </w:tc>
      </w:tr>
      <w:tr w:rsidR="00413A54" w:rsidRPr="007544F0" w:rsidTr="00041ED2">
        <w:tc>
          <w:tcPr>
            <w:tcW w:w="1258" w:type="dxa"/>
            <w:shd w:val="clear" w:color="auto" w:fill="365F91" w:themeFill="accent1" w:themeFillShade="BF"/>
          </w:tcPr>
          <w:p w:rsidR="00413A54" w:rsidRPr="007544F0" w:rsidRDefault="00413A54" w:rsidP="00041ED2">
            <w:pPr>
              <w:spacing w:before="40" w:after="40"/>
              <w:ind w:left="34"/>
              <w:rPr>
                <w:b/>
                <w:color w:val="FFFFFF" w:themeColor="background1"/>
              </w:rPr>
            </w:pPr>
            <w:r w:rsidRPr="007544F0">
              <w:rPr>
                <w:b/>
                <w:color w:val="FFFFFF" w:themeColor="background1"/>
              </w:rPr>
              <w:t>PP 7.5</w:t>
            </w:r>
          </w:p>
        </w:tc>
        <w:tc>
          <w:tcPr>
            <w:tcW w:w="8183" w:type="dxa"/>
          </w:tcPr>
          <w:p w:rsidR="00413A54" w:rsidRPr="007544F0" w:rsidRDefault="00413A54" w:rsidP="00413A54">
            <w:pPr>
              <w:spacing w:before="40" w:after="40"/>
              <w:ind w:left="194"/>
              <w:rPr>
                <w:rFonts w:cs="Calibri"/>
              </w:rPr>
            </w:pPr>
            <w:r w:rsidRPr="007544F0">
              <w:rPr>
                <w:rFonts w:cs="Calibri"/>
              </w:rPr>
              <w:t>Dosing according to individual pharmacokinetic profile should be considered, particularly in patients undergoing major surgery.</w:t>
            </w:r>
          </w:p>
        </w:tc>
      </w:tr>
      <w:tr w:rsidR="00413A54" w:rsidRPr="007544F0" w:rsidTr="00041ED2">
        <w:tc>
          <w:tcPr>
            <w:tcW w:w="1258" w:type="dxa"/>
            <w:shd w:val="clear" w:color="auto" w:fill="365F91" w:themeFill="accent1" w:themeFillShade="BF"/>
          </w:tcPr>
          <w:p w:rsidR="00413A54" w:rsidRPr="007544F0" w:rsidRDefault="00413A54" w:rsidP="00041ED2">
            <w:pPr>
              <w:spacing w:before="40" w:after="40"/>
              <w:ind w:left="34"/>
              <w:rPr>
                <w:b/>
                <w:color w:val="FFFFFF" w:themeColor="background1"/>
              </w:rPr>
            </w:pPr>
            <w:r w:rsidRPr="007544F0">
              <w:rPr>
                <w:b/>
                <w:color w:val="FFFFFF" w:themeColor="background1"/>
              </w:rPr>
              <w:t>PP 7.6</w:t>
            </w:r>
          </w:p>
        </w:tc>
        <w:tc>
          <w:tcPr>
            <w:tcW w:w="8183" w:type="dxa"/>
          </w:tcPr>
          <w:p w:rsidR="00413A54" w:rsidRPr="007544F0" w:rsidRDefault="00413A54" w:rsidP="00413A54">
            <w:pPr>
              <w:spacing w:before="40" w:after="40"/>
              <w:ind w:left="194"/>
            </w:pPr>
            <w:r w:rsidRPr="007544F0">
              <w:rPr>
                <w:rFonts w:cs="Calibri"/>
              </w:rPr>
              <w:t xml:space="preserve">The presence of an inhibitor should be excluded in patients undergoing surgery. Follow up inhibitor testing is also recommended 6 to 8 weeks following intense factor VIII exposure in patients with mild or moderate haemophilia A. </w:t>
            </w:r>
          </w:p>
        </w:tc>
      </w:tr>
    </w:tbl>
    <w:p w:rsidR="00CC6DA6" w:rsidRPr="00E005C6" w:rsidRDefault="00CC6DA6" w:rsidP="00041ED2">
      <w:pPr>
        <w:pStyle w:val="Heading1"/>
        <w:rPr>
          <w:rStyle w:val="A8"/>
          <w:rFonts w:eastAsia="Dotum"/>
          <w:b w:val="0"/>
          <w:bCs w:val="0"/>
          <w:color w:val="FF0000"/>
          <w:spacing w:val="0"/>
          <w:sz w:val="32"/>
        </w:rPr>
      </w:pPr>
      <w:bookmarkStart w:id="5" w:name="_Toc431484299"/>
      <w:r w:rsidRPr="00E005C6">
        <w:rPr>
          <w:rStyle w:val="A8"/>
          <w:rFonts w:eastAsia="Dotum"/>
          <w:b w:val="0"/>
          <w:bCs w:val="0"/>
          <w:color w:val="FF0000"/>
          <w:spacing w:val="0"/>
          <w:sz w:val="32"/>
        </w:rPr>
        <w:lastRenderedPageBreak/>
        <w:t>Introduction</w:t>
      </w:r>
      <w:bookmarkEnd w:id="5"/>
    </w:p>
    <w:p w:rsidR="00585265" w:rsidRPr="00041ED2" w:rsidRDefault="00585265" w:rsidP="00CC6DA6">
      <w:pPr>
        <w:spacing w:after="120"/>
        <w:ind w:left="0"/>
      </w:pPr>
      <w:r w:rsidRPr="00041ED2">
        <w:t>Haemophilia is a sex-linked inherited bleeding disorder that is characterised by a deficiency of either factor VIII (</w:t>
      </w:r>
      <w:r w:rsidR="0024116D">
        <w:t>haemophilia A</w:t>
      </w:r>
      <w:r w:rsidRPr="00041ED2">
        <w:t>) or factor IX (</w:t>
      </w:r>
      <w:r w:rsidR="0024116D">
        <w:t>h</w:t>
      </w:r>
      <w:r w:rsidRPr="00041ED2">
        <w:t>aemophilia B). While predominantly affecting males, women carrying a haemophilia mutation can also have a clinically significant bleeding disorder. Re</w:t>
      </w:r>
      <w:r w:rsidR="00F01F81" w:rsidRPr="00041ED2">
        <w:t>cent data suggests that there are</w:t>
      </w:r>
      <w:r w:rsidRPr="00041ED2">
        <w:t xml:space="preserve"> approximately 2200 individuals with haemophilia living in Australia of who approximately 25% have severe disease with residual clotting factor activity of &lt; 1% of normal.</w:t>
      </w:r>
    </w:p>
    <w:p w:rsidR="004825E0" w:rsidRPr="00041ED2" w:rsidRDefault="00585265" w:rsidP="00CC6DA6">
      <w:pPr>
        <w:spacing w:after="120"/>
        <w:ind w:left="0"/>
      </w:pPr>
      <w:r w:rsidRPr="00041ED2">
        <w:t xml:space="preserve">It is recognised that the best outcomes for patients with haemophilia are achieved via a comprehensive care model, within which a dedicated team manage not only the direct bleeding complications of haemophilia but also other aspects of care including complications that may have arisen from treatment. Collaboration </w:t>
      </w:r>
      <w:r w:rsidR="00F01F81" w:rsidRPr="00041ED2">
        <w:t xml:space="preserve">among </w:t>
      </w:r>
      <w:r w:rsidRPr="00041ED2">
        <w:t xml:space="preserve">all clinical team members, the patient population, and the funders </w:t>
      </w:r>
      <w:r w:rsidR="00F01F81" w:rsidRPr="00041ED2">
        <w:t>of haemophilia care is central to good clinical management and efficient use of resources. Guidelines offer an important framework to guide both clinical decision making and also policy rega</w:t>
      </w:r>
      <w:r w:rsidR="00E005C6">
        <w:t>r</w:t>
      </w:r>
      <w:r w:rsidR="00F01F81" w:rsidRPr="00041ED2">
        <w:t xml:space="preserve">ding resource allocation.  </w:t>
      </w:r>
    </w:p>
    <w:p w:rsidR="00CC6DA6" w:rsidRPr="00E005C6" w:rsidRDefault="0098742B" w:rsidP="00CC6DA6">
      <w:pPr>
        <w:spacing w:after="120"/>
        <w:ind w:left="0"/>
      </w:pPr>
      <w:r w:rsidRPr="00E005C6">
        <w:t xml:space="preserve">Guidance for the management of haemophilia in </w:t>
      </w:r>
      <w:r w:rsidR="00CC6DA6" w:rsidRPr="00E005C6">
        <w:t>Australia</w:t>
      </w:r>
      <w:r w:rsidRPr="00E005C6">
        <w:t xml:space="preserve"> has been developed for the following reasons:</w:t>
      </w:r>
    </w:p>
    <w:p w:rsidR="00CC6DA6" w:rsidRPr="00E005C6" w:rsidRDefault="0098742B" w:rsidP="0098742B">
      <w:pPr>
        <w:pStyle w:val="ListParagraph"/>
        <w:numPr>
          <w:ilvl w:val="0"/>
          <w:numId w:val="6"/>
        </w:numPr>
        <w:spacing w:after="0"/>
        <w:contextualSpacing w:val="0"/>
      </w:pPr>
      <w:r w:rsidRPr="00E005C6">
        <w:t>G</w:t>
      </w:r>
      <w:r w:rsidR="00CC6DA6" w:rsidRPr="00E005C6">
        <w:t>uidelines that provide multidisciplinary guidance on the management of the patients with haemophilia relevant to the Australian setting are not currently available</w:t>
      </w:r>
    </w:p>
    <w:p w:rsidR="00CC6DA6" w:rsidRPr="00E005C6" w:rsidRDefault="00585265" w:rsidP="0098742B">
      <w:pPr>
        <w:pStyle w:val="ListParagraph"/>
        <w:numPr>
          <w:ilvl w:val="0"/>
          <w:numId w:val="6"/>
        </w:numPr>
        <w:spacing w:before="120" w:after="0"/>
        <w:ind w:left="357" w:hanging="357"/>
        <w:contextualSpacing w:val="0"/>
      </w:pPr>
      <w:r w:rsidRPr="00E005C6">
        <w:t>To help standardise management of haemophilia in treatment centres throughout Australia</w:t>
      </w:r>
    </w:p>
    <w:p w:rsidR="002D5D58" w:rsidRPr="00E005C6" w:rsidRDefault="002D5D58" w:rsidP="002D5D58">
      <w:pPr>
        <w:pStyle w:val="ListParagraph"/>
        <w:numPr>
          <w:ilvl w:val="0"/>
          <w:numId w:val="6"/>
        </w:numPr>
        <w:spacing w:before="120" w:after="0"/>
        <w:ind w:left="357" w:hanging="357"/>
        <w:contextualSpacing w:val="0"/>
      </w:pPr>
      <w:r w:rsidRPr="00E005C6">
        <w:t>The Australian Evidence-based clinical practice guidelines for the use of recombinant and plasma-derived FVIII and FIX products are due for revision</w:t>
      </w:r>
    </w:p>
    <w:p w:rsidR="00CC6DA6" w:rsidRPr="00E005C6" w:rsidRDefault="0098742B" w:rsidP="0098742B">
      <w:pPr>
        <w:pStyle w:val="ListParagraph"/>
        <w:numPr>
          <w:ilvl w:val="0"/>
          <w:numId w:val="6"/>
        </w:numPr>
        <w:spacing w:before="120" w:after="0"/>
        <w:ind w:left="357" w:hanging="357"/>
        <w:contextualSpacing w:val="0"/>
      </w:pPr>
      <w:r w:rsidRPr="00E005C6">
        <w:t>T</w:t>
      </w:r>
      <w:r w:rsidR="00CC6DA6" w:rsidRPr="00E005C6">
        <w:t>he World Federation of Hemophilia</w:t>
      </w:r>
      <w:r w:rsidRPr="00E005C6">
        <w:t>’s</w:t>
      </w:r>
      <w:r w:rsidR="00CC6DA6" w:rsidRPr="00E005C6">
        <w:t xml:space="preserve"> (WFH) </w:t>
      </w:r>
      <w:r w:rsidR="00B52C4E" w:rsidRPr="00E005C6">
        <w:t>G</w:t>
      </w:r>
      <w:r w:rsidR="00CC6DA6" w:rsidRPr="00E005C6">
        <w:t>uidelines</w:t>
      </w:r>
      <w:r w:rsidR="00B52C4E" w:rsidRPr="00E005C6">
        <w:t xml:space="preserve"> for the management of hemophilia (2</w:t>
      </w:r>
      <w:r w:rsidR="00B52C4E" w:rsidRPr="00E005C6">
        <w:rPr>
          <w:vertAlign w:val="superscript"/>
        </w:rPr>
        <w:t>nd</w:t>
      </w:r>
      <w:r w:rsidR="00B52C4E" w:rsidRPr="00E005C6">
        <w:t xml:space="preserve"> edition)</w:t>
      </w:r>
      <w:r w:rsidR="00CC6DA6" w:rsidRPr="00E005C6">
        <w:t xml:space="preserve"> provide a good basis upon which to develop Australian guidance</w:t>
      </w:r>
    </w:p>
    <w:p w:rsidR="00CC6DA6" w:rsidRPr="00E005C6" w:rsidRDefault="00B52C4E" w:rsidP="0098742B">
      <w:pPr>
        <w:pStyle w:val="ListParagraph"/>
        <w:numPr>
          <w:ilvl w:val="0"/>
          <w:numId w:val="6"/>
        </w:numPr>
        <w:spacing w:before="120" w:after="0"/>
        <w:ind w:left="357" w:hanging="357"/>
        <w:contextualSpacing w:val="0"/>
      </w:pPr>
      <w:r w:rsidRPr="00E005C6">
        <w:t xml:space="preserve">The </w:t>
      </w:r>
      <w:r w:rsidR="00CC6DA6" w:rsidRPr="00E005C6">
        <w:t>National Safety and Quality Health Service Standard</w:t>
      </w:r>
      <w:r w:rsidRPr="00E005C6">
        <w:t>s</w:t>
      </w:r>
      <w:r w:rsidR="00CC6DA6" w:rsidRPr="00E005C6">
        <w:t xml:space="preserve"> requires that blood product policies, procedures and/or protocols are consistent with national evidence based guidelines for pre-transfusion practices, prescribing and clinical use </w:t>
      </w:r>
    </w:p>
    <w:p w:rsidR="00B52C4E" w:rsidRDefault="00B52C4E" w:rsidP="00B52C4E">
      <w:pPr>
        <w:spacing w:after="0"/>
        <w:ind w:left="0"/>
      </w:pPr>
    </w:p>
    <w:p w:rsidR="00B96221" w:rsidRDefault="00B52C4E" w:rsidP="00B96221">
      <w:pPr>
        <w:spacing w:after="0"/>
        <w:ind w:left="0"/>
      </w:pPr>
      <w:r>
        <w:t xml:space="preserve">This guideline is based on the WFH’s </w:t>
      </w:r>
      <w:r w:rsidRPr="00B52C4E">
        <w:rPr>
          <w:i/>
        </w:rPr>
        <w:t>Guidelines for the management of hemophilia (2</w:t>
      </w:r>
      <w:r w:rsidRPr="00B52C4E">
        <w:rPr>
          <w:i/>
          <w:vertAlign w:val="superscript"/>
        </w:rPr>
        <w:t>nd</w:t>
      </w:r>
      <w:r w:rsidRPr="00B52C4E">
        <w:rPr>
          <w:i/>
        </w:rPr>
        <w:t xml:space="preserve"> edition)</w:t>
      </w:r>
      <w:r>
        <w:rPr>
          <w:i/>
        </w:rPr>
        <w:t xml:space="preserve"> </w:t>
      </w:r>
      <w:r w:rsidRPr="00B52C4E">
        <w:t>but has</w:t>
      </w:r>
      <w:r>
        <w:t xml:space="preserve"> been a</w:t>
      </w:r>
      <w:r w:rsidR="008265B2">
        <w:t xml:space="preserve">dapted for </w:t>
      </w:r>
      <w:r>
        <w:t>the Australian setting. Al</w:t>
      </w:r>
      <w:r w:rsidR="00C8545A">
        <w:t xml:space="preserve">l significant changes are listed at the beginning of each chapter. Further details describing the </w:t>
      </w:r>
      <w:r w:rsidR="00124262">
        <w:t xml:space="preserve">adaptation of the </w:t>
      </w:r>
      <w:r w:rsidR="00C8545A">
        <w:t>WFH guidelines</w:t>
      </w:r>
      <w:r w:rsidR="00124262">
        <w:t xml:space="preserve"> for the Australian setting</w:t>
      </w:r>
      <w:r w:rsidR="00C8545A">
        <w:t xml:space="preserve"> can be found at Appendix </w:t>
      </w:r>
      <w:r w:rsidR="00B434B8">
        <w:t>B</w:t>
      </w:r>
      <w:r w:rsidR="00124262">
        <w:t xml:space="preserve"> (D</w:t>
      </w:r>
      <w:r w:rsidR="00C8545A">
        <w:t>evelop</w:t>
      </w:r>
      <w:r w:rsidR="00124262">
        <w:t>ment process).</w:t>
      </w:r>
      <w:r w:rsidR="00C8545A">
        <w:t xml:space="preserve"> </w:t>
      </w:r>
      <w:r w:rsidR="00B96221">
        <w:t>An additional chapter has been included in the guideline to describe</w:t>
      </w:r>
      <w:r w:rsidR="002D14D9">
        <w:t xml:space="preserve"> the supply of clotting factor products and the management of information systems and data in Australia</w:t>
      </w:r>
      <w:r w:rsidR="003B7A86">
        <w:t xml:space="preserve"> (</w:t>
      </w:r>
      <w:r w:rsidR="00F76883">
        <w:t xml:space="preserve">Chapter 8 </w:t>
      </w:r>
      <w:r w:rsidR="00F76883">
        <w:rPr>
          <w:i/>
        </w:rPr>
        <w:t>Framework for the management of bleeding disorders in Australia</w:t>
      </w:r>
      <w:r w:rsidR="004825E0">
        <w:t>)</w:t>
      </w:r>
      <w:r w:rsidR="00F76883">
        <w:rPr>
          <w:i/>
        </w:rPr>
        <w:t xml:space="preserve">. </w:t>
      </w:r>
    </w:p>
    <w:p w:rsidR="00C8545A" w:rsidRDefault="00C8545A" w:rsidP="00B52C4E">
      <w:pPr>
        <w:spacing w:after="0"/>
        <w:ind w:left="0"/>
      </w:pPr>
    </w:p>
    <w:p w:rsidR="003D730D" w:rsidRPr="00AB2670" w:rsidRDefault="003D730D" w:rsidP="007F2B4B">
      <w:pPr>
        <w:spacing w:after="0"/>
        <w:ind w:left="0"/>
        <w:rPr>
          <w:rFonts w:cs="Minion Pro"/>
          <w:color w:val="221E1F"/>
        </w:rPr>
      </w:pPr>
      <w:r w:rsidRPr="007F2B4B">
        <w:rPr>
          <w:rFonts w:cs="Minion Pro"/>
          <w:color w:val="221E1F"/>
        </w:rPr>
        <w:t xml:space="preserve">In line with the WFH guidelines, the Australian guideline contains several </w:t>
      </w:r>
      <w:r w:rsidR="00B65965">
        <w:rPr>
          <w:rFonts w:cs="Minion Pro"/>
          <w:color w:val="221E1F"/>
        </w:rPr>
        <w:t>practice statement</w:t>
      </w:r>
      <w:r w:rsidRPr="007F2B4B">
        <w:rPr>
          <w:rFonts w:cs="Minion Pro"/>
          <w:color w:val="221E1F"/>
        </w:rPr>
        <w:t>s regarding the clinical management of people with h</w:t>
      </w:r>
      <w:r w:rsidR="00B65965">
        <w:rPr>
          <w:rFonts w:cs="Minion Pro"/>
          <w:color w:val="221E1F"/>
        </w:rPr>
        <w:t>a</w:t>
      </w:r>
      <w:r w:rsidRPr="007F2B4B">
        <w:rPr>
          <w:rFonts w:cs="Minion Pro"/>
          <w:color w:val="221E1F"/>
        </w:rPr>
        <w:t xml:space="preserve">emophilia. </w:t>
      </w:r>
      <w:r w:rsidR="004469F9" w:rsidRPr="007F2B4B">
        <w:rPr>
          <w:rFonts w:cs="Minion Pro"/>
          <w:color w:val="221E1F"/>
        </w:rPr>
        <w:t>All statement</w:t>
      </w:r>
      <w:r w:rsidR="00B65965">
        <w:rPr>
          <w:rFonts w:cs="Minion Pro"/>
          <w:color w:val="221E1F"/>
        </w:rPr>
        <w:t>s</w:t>
      </w:r>
      <w:r w:rsidR="004469F9" w:rsidRPr="007F2B4B">
        <w:rPr>
          <w:rFonts w:cs="Minion Pro"/>
          <w:color w:val="221E1F"/>
        </w:rPr>
        <w:t xml:space="preserve"> </w:t>
      </w:r>
      <w:r w:rsidRPr="007F2B4B">
        <w:rPr>
          <w:rFonts w:cs="Minion Pro"/>
          <w:color w:val="221E1F"/>
        </w:rPr>
        <w:t xml:space="preserve">highlighted in bold font </w:t>
      </w:r>
      <w:r w:rsidR="007F2B4B" w:rsidRPr="007F2B4B">
        <w:rPr>
          <w:rFonts w:cs="Minion Pro"/>
          <w:color w:val="221E1F"/>
        </w:rPr>
        <w:t>are evidence-based. For further detail</w:t>
      </w:r>
      <w:r w:rsidR="00B65965">
        <w:rPr>
          <w:rFonts w:cs="Minion Pro"/>
          <w:color w:val="221E1F"/>
        </w:rPr>
        <w:t>s</w:t>
      </w:r>
      <w:r w:rsidR="00B23558">
        <w:rPr>
          <w:rFonts w:cs="Minion Pro"/>
          <w:color w:val="221E1F"/>
        </w:rPr>
        <w:t xml:space="preserve"> on the </w:t>
      </w:r>
      <w:r w:rsidR="007B6FF4">
        <w:rPr>
          <w:rFonts w:cs="Minion Pro"/>
          <w:color w:val="221E1F"/>
        </w:rPr>
        <w:t xml:space="preserve">systematic review </w:t>
      </w:r>
      <w:r w:rsidR="00B23558">
        <w:rPr>
          <w:rFonts w:cs="Minion Pro"/>
          <w:color w:val="221E1F"/>
        </w:rPr>
        <w:t>methodology</w:t>
      </w:r>
      <w:r w:rsidR="007F2B4B" w:rsidRPr="007F2B4B">
        <w:rPr>
          <w:rFonts w:cs="Minion Pro"/>
          <w:color w:val="221E1F"/>
        </w:rPr>
        <w:t xml:space="preserve">, please refer to Appendix </w:t>
      </w:r>
      <w:r w:rsidR="007B6FF4">
        <w:rPr>
          <w:rFonts w:cs="Minion Pro"/>
          <w:color w:val="221E1F"/>
        </w:rPr>
        <w:t>C</w:t>
      </w:r>
      <w:r w:rsidR="007F2B4B" w:rsidRPr="007F2B4B">
        <w:rPr>
          <w:rFonts w:cs="Minion Pro"/>
          <w:color w:val="221E1F"/>
        </w:rPr>
        <w:t xml:space="preserve"> (</w:t>
      </w:r>
      <w:r w:rsidR="007B6FF4">
        <w:rPr>
          <w:rFonts w:cs="Minion Pro"/>
          <w:color w:val="221E1F"/>
        </w:rPr>
        <w:t>Systematic review methodology</w:t>
      </w:r>
      <w:r w:rsidR="007F2B4B" w:rsidRPr="007F2B4B">
        <w:rPr>
          <w:rFonts w:cs="Minion Pro"/>
          <w:color w:val="221E1F"/>
        </w:rPr>
        <w:t xml:space="preserve">). </w:t>
      </w:r>
      <w:r w:rsidRPr="007F2B4B">
        <w:rPr>
          <w:rFonts w:cs="Minion Pro"/>
          <w:color w:val="221E1F"/>
        </w:rPr>
        <w:t>Where possible, references for recommendations that fell outside the selection for practice statements were also included. These refer</w:t>
      </w:r>
      <w:r w:rsidRPr="007F2B4B">
        <w:rPr>
          <w:rFonts w:cs="Minion Pro"/>
          <w:color w:val="221E1F"/>
        </w:rPr>
        <w:softHyphen/>
        <w:t>ences have not been graded.</w:t>
      </w:r>
    </w:p>
    <w:p w:rsidR="003D730D" w:rsidRDefault="003D730D" w:rsidP="007F2B4B">
      <w:pPr>
        <w:spacing w:after="0"/>
        <w:ind w:left="0"/>
        <w:rPr>
          <w:rFonts w:cs="Minion Pro"/>
          <w:color w:val="221E1F"/>
          <w:highlight w:val="yellow"/>
        </w:rPr>
      </w:pPr>
    </w:p>
    <w:p w:rsidR="00C21039" w:rsidRPr="007F2B4B" w:rsidRDefault="00B52C4E" w:rsidP="007F2B4B">
      <w:pPr>
        <w:spacing w:after="0"/>
        <w:ind w:left="0"/>
        <w:rPr>
          <w:rFonts w:cs="Minion Pro"/>
          <w:color w:val="221E1F"/>
        </w:rPr>
      </w:pPr>
      <w:r w:rsidRPr="007F2B4B">
        <w:rPr>
          <w:rFonts w:cs="Minion Pro"/>
          <w:color w:val="221E1F"/>
        </w:rPr>
        <w:t>This guideline i</w:t>
      </w:r>
      <w:r w:rsidR="00A61BC9">
        <w:rPr>
          <w:rFonts w:cs="Minion Pro"/>
          <w:color w:val="221E1F"/>
        </w:rPr>
        <w:t>s</w:t>
      </w:r>
      <w:r w:rsidRPr="007F2B4B">
        <w:rPr>
          <w:rFonts w:cs="Minion Pro"/>
          <w:color w:val="221E1F"/>
        </w:rPr>
        <w:t xml:space="preserve"> intended to</w:t>
      </w:r>
      <w:r w:rsidR="00C21039" w:rsidRPr="007F2B4B">
        <w:rPr>
          <w:rFonts w:cs="Minion Pro"/>
          <w:color w:val="221E1F"/>
        </w:rPr>
        <w:t xml:space="preserve"> offer practical </w:t>
      </w:r>
      <w:r w:rsidR="007F2B4B" w:rsidRPr="007F2B4B">
        <w:rPr>
          <w:rFonts w:cs="Minion Pro"/>
          <w:color w:val="221E1F"/>
        </w:rPr>
        <w:t xml:space="preserve">advice </w:t>
      </w:r>
      <w:r w:rsidR="00C21039" w:rsidRPr="007F2B4B">
        <w:rPr>
          <w:rFonts w:cs="Minion Pro"/>
          <w:color w:val="221E1F"/>
        </w:rPr>
        <w:t>on the diagnosis and general management of h</w:t>
      </w:r>
      <w:r w:rsidR="007F2B4B" w:rsidRPr="007F2B4B">
        <w:rPr>
          <w:rFonts w:cs="Minion Pro"/>
          <w:color w:val="221E1F"/>
        </w:rPr>
        <w:t>a</w:t>
      </w:r>
      <w:r w:rsidR="00C21039" w:rsidRPr="007F2B4B">
        <w:rPr>
          <w:rFonts w:cs="Minion Pro"/>
          <w:color w:val="221E1F"/>
        </w:rPr>
        <w:t xml:space="preserve">emophilia, as well as the management of complications including musculoskeletal issues, inhibitors, and transfusion-transmitted infections. By </w:t>
      </w:r>
      <w:r w:rsidR="007F2B4B" w:rsidRPr="007F2B4B">
        <w:rPr>
          <w:rFonts w:cs="Minion Pro"/>
          <w:color w:val="221E1F"/>
        </w:rPr>
        <w:t xml:space="preserve">adapting the WFH guidelines for the Australian setting, AHCDO </w:t>
      </w:r>
      <w:r w:rsidR="00C21039" w:rsidRPr="007F2B4B">
        <w:rPr>
          <w:rFonts w:cs="Minion Pro"/>
          <w:color w:val="221E1F"/>
        </w:rPr>
        <w:t>aims to assist healthcare providers seeking to initiate and/or maintain h</w:t>
      </w:r>
      <w:r w:rsidR="007F2B4B" w:rsidRPr="007F2B4B">
        <w:rPr>
          <w:rFonts w:cs="Minion Pro"/>
          <w:color w:val="221E1F"/>
        </w:rPr>
        <w:t>a</w:t>
      </w:r>
      <w:r w:rsidR="00C21039" w:rsidRPr="007F2B4B">
        <w:rPr>
          <w:rFonts w:cs="Minion Pro"/>
          <w:color w:val="221E1F"/>
        </w:rPr>
        <w:t>emophilia care programs, encourage practice harmoni</w:t>
      </w:r>
      <w:r w:rsidR="007F2B4B" w:rsidRPr="007F2B4B">
        <w:rPr>
          <w:rFonts w:cs="Minion Pro"/>
          <w:color w:val="221E1F"/>
        </w:rPr>
        <w:t>s</w:t>
      </w:r>
      <w:r w:rsidR="00C21039" w:rsidRPr="007F2B4B">
        <w:rPr>
          <w:rFonts w:cs="Minion Pro"/>
          <w:color w:val="221E1F"/>
        </w:rPr>
        <w:t>ation and, where recommendations lack adequate evidence, stimulate appropriate studies.</w:t>
      </w:r>
    </w:p>
    <w:p w:rsidR="009456E6" w:rsidRDefault="009456E6" w:rsidP="007F2B4B">
      <w:pPr>
        <w:spacing w:after="0"/>
        <w:ind w:left="0"/>
      </w:pPr>
    </w:p>
    <w:p w:rsidR="004825E0" w:rsidRDefault="004825E0" w:rsidP="007F2B4B">
      <w:pPr>
        <w:spacing w:after="0"/>
        <w:ind w:left="0"/>
      </w:pPr>
    </w:p>
    <w:p w:rsidR="00E928C0" w:rsidRPr="00041ED2" w:rsidRDefault="00E928C0" w:rsidP="00041ED2">
      <w:pPr>
        <w:pStyle w:val="Heading2"/>
      </w:pPr>
      <w:bookmarkStart w:id="6" w:name="_Toc431484300"/>
      <w:r w:rsidRPr="00214A6A">
        <w:rPr>
          <w:sz w:val="108"/>
          <w:szCs w:val="108"/>
        </w:rPr>
        <w:lastRenderedPageBreak/>
        <w:t>1</w:t>
      </w:r>
      <w:r w:rsidR="00A26E94">
        <w:tab/>
      </w:r>
      <w:r w:rsidRPr="00041ED2">
        <w:rPr>
          <w:rStyle w:val="A8"/>
          <w:color w:val="FF0000"/>
          <w:sz w:val="32"/>
        </w:rPr>
        <w:t>GENERAL CARE AND MANAGEMENT OF HAEMOPHILIA</w:t>
      </w:r>
      <w:bookmarkEnd w:id="6"/>
    </w:p>
    <w:p w:rsidR="00E928C0" w:rsidRPr="00497699" w:rsidRDefault="00E928C0" w:rsidP="00E928C0">
      <w:pPr>
        <w:pStyle w:val="Default"/>
        <w:spacing w:after="222"/>
        <w:ind w:left="57" w:right="557"/>
        <w:rPr>
          <w:rFonts w:asciiTheme="minorHAnsi" w:hAnsiTheme="minorHAnsi"/>
          <w:b/>
          <w:bCs/>
          <w:color w:val="000000" w:themeColor="text1"/>
          <w:sz w:val="32"/>
          <w:szCs w:val="32"/>
        </w:rPr>
      </w:pPr>
      <w:r>
        <w:rPr>
          <w:b/>
          <w:bCs/>
          <w:color w:val="000000" w:themeColor="text1"/>
          <w:sz w:val="32"/>
          <w:szCs w:val="32"/>
        </w:rPr>
        <w:t xml:space="preserve"> </w:t>
      </w:r>
      <w:r w:rsidRPr="00497699">
        <w:rPr>
          <w:rFonts w:asciiTheme="minorHAnsi" w:hAnsiTheme="minorHAnsi"/>
          <w:b/>
          <w:bCs/>
          <w:color w:val="000000" w:themeColor="text1"/>
          <w:sz w:val="32"/>
          <w:szCs w:val="32"/>
        </w:rPr>
        <w:t>Key practice points</w:t>
      </w:r>
    </w:p>
    <w:tbl>
      <w:tblPr>
        <w:tblStyle w:val="TableGrid"/>
        <w:tblW w:w="0" w:type="auto"/>
        <w:tblInd w:w="108" w:type="dxa"/>
        <w:tblLook w:val="04A0" w:firstRow="1" w:lastRow="0" w:firstColumn="1" w:lastColumn="0" w:noHBand="0" w:noVBand="1"/>
      </w:tblPr>
      <w:tblGrid>
        <w:gridCol w:w="1575"/>
        <w:gridCol w:w="7866"/>
      </w:tblGrid>
      <w:tr w:rsidR="00A33356" w:rsidRPr="00497699" w:rsidTr="000B0ED6">
        <w:tc>
          <w:tcPr>
            <w:tcW w:w="1575" w:type="dxa"/>
            <w:shd w:val="clear" w:color="auto" w:fill="DBE5F1" w:themeFill="accent1" w:themeFillTint="33"/>
          </w:tcPr>
          <w:p w:rsidR="00A33356" w:rsidRPr="00F52B33" w:rsidRDefault="00A33356" w:rsidP="000B0ED6">
            <w:pPr>
              <w:spacing w:before="40" w:after="40"/>
              <w:ind w:left="34"/>
            </w:pPr>
            <w:r w:rsidRPr="00F52B33">
              <w:rPr>
                <w:rStyle w:val="A8"/>
                <w:rFonts w:eastAsia="Calibri" w:cs="Avenir LT Std 55 Roman"/>
                <w:color w:val="221E1F"/>
                <w:sz w:val="22"/>
                <w:szCs w:val="24"/>
              </w:rPr>
              <w:t>No.</w:t>
            </w:r>
          </w:p>
        </w:tc>
        <w:tc>
          <w:tcPr>
            <w:tcW w:w="7866" w:type="dxa"/>
            <w:shd w:val="clear" w:color="auto" w:fill="DBE5F1" w:themeFill="accent1" w:themeFillTint="33"/>
          </w:tcPr>
          <w:p w:rsidR="00A33356" w:rsidRPr="00497699" w:rsidRDefault="00A33356" w:rsidP="000B0ED6">
            <w:pPr>
              <w:ind w:left="263"/>
              <w:rPr>
                <w:b/>
              </w:rPr>
            </w:pPr>
            <w:r w:rsidRPr="00497699">
              <w:rPr>
                <w:rStyle w:val="A8"/>
                <w:rFonts w:eastAsia="Calibri" w:cs="Avenir LT Std 55 Roman"/>
                <w:b/>
                <w:color w:val="221E1F"/>
                <w:sz w:val="22"/>
                <w:szCs w:val="24"/>
              </w:rPr>
              <w:t>Key Practice Point</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1.1</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Haemophilia is an X-linked inherite</w:t>
            </w:r>
            <w:r>
              <w:rPr>
                <w:rStyle w:val="A8"/>
                <w:rFonts w:eastAsia="Calibri" w:cs="Avenir LT Std 55 Roman"/>
                <w:color w:val="221E1F"/>
                <w:sz w:val="22"/>
                <w:szCs w:val="24"/>
              </w:rPr>
              <w:t xml:space="preserve">d bleeding disorder that should be </w:t>
            </w:r>
            <w:r w:rsidRPr="00497699">
              <w:rPr>
                <w:rStyle w:val="A8"/>
                <w:rFonts w:eastAsia="Calibri" w:cs="Avenir LT Std 55 Roman"/>
                <w:color w:val="221E1F"/>
                <w:sz w:val="22"/>
                <w:szCs w:val="24"/>
              </w:rPr>
              <w:t>suspected in individuals presenting with joint or muscle bleeding.</w:t>
            </w:r>
          </w:p>
        </w:tc>
      </w:tr>
      <w:tr w:rsidR="00A33356" w:rsidRPr="00497699" w:rsidTr="000B0ED6">
        <w:trPr>
          <w:trHeight w:val="212"/>
        </w:trPr>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1.2</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Laboratory testing is required to confirm the diagnosis of haemophilia.</w:t>
            </w:r>
          </w:p>
        </w:tc>
      </w:tr>
      <w:tr w:rsidR="00A33356" w:rsidRPr="00497699" w:rsidTr="000B0ED6">
        <w:trPr>
          <w:trHeight w:val="242"/>
        </w:trPr>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1.3</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Prompt treatment of bleeding complications is required in patients with haemophilia.</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1.4</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Patients should carry details of their diagnosis and treatment with them to expedite prompt appropriate therapy.</w:t>
            </w:r>
          </w:p>
        </w:tc>
      </w:tr>
      <w:tr w:rsidR="00A33356" w:rsidRPr="00497699" w:rsidTr="000B0ED6">
        <w:trPr>
          <w:trHeight w:val="392"/>
        </w:trPr>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1.5</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A comprehensive care model improves outcomes in patients with haemophilia.</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1.6</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 xml:space="preserve">Essential members of a comprehensive care team include a medical director, a dedicated haemophilia nursing position, musculoskeletal experts including physiotherapy, a specialised coagulation laboratory scientist and psychosocial worker. </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1.7</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Use of the Australian Bleeding Disorder Registry is a key tool for communication between team members and documenting care plans.</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1.8</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Haemophilia treatment centres</w:t>
            </w:r>
            <w:r>
              <w:rPr>
                <w:rStyle w:val="A8"/>
                <w:rFonts w:eastAsia="Calibri" w:cs="Avenir LT Std 55 Roman"/>
                <w:color w:val="221E1F"/>
                <w:sz w:val="22"/>
                <w:szCs w:val="24"/>
              </w:rPr>
              <w:t xml:space="preserve"> (HTCs)</w:t>
            </w:r>
            <w:r w:rsidRPr="00497699">
              <w:rPr>
                <w:rStyle w:val="A8"/>
                <w:rFonts w:eastAsia="Calibri" w:cs="Avenir LT Std 55 Roman"/>
                <w:color w:val="221E1F"/>
                <w:sz w:val="22"/>
                <w:szCs w:val="24"/>
              </w:rPr>
              <w:t xml:space="preserve"> should offer advice regarding physical activity to patients with bleeding disorders.</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1.9</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Prophylaxis is the standard of care in all children with severe haemophilia. Decisions regarding the timing of commencement, dosing regimen, and continuation of prophylaxis into adulthood will be influenced by the bleeding phenotype of the individual patient.</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1.10</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Home therapy should be made available to all patients in whom the bleed frequency makes this desirable.</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1.11</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 xml:space="preserve">Regular review of patients with haemophilia and documentation of key clinical outcomes is essential. The frequency of review will be determined by the age of the patient and the severity of haemophilia. </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1.12</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Chronic pain is a common feature in patients with haemophilia and may require the input of a specialist pain service.</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1.13</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 xml:space="preserve">COX-2 inhibitors are the preferred agent (in preference to non-selective </w:t>
            </w:r>
            <w:r w:rsidRPr="00452638">
              <w:rPr>
                <w:rFonts w:cs="Times New Roman"/>
              </w:rPr>
              <w:t xml:space="preserve">non-steroidal </w:t>
            </w:r>
            <w:r>
              <w:rPr>
                <w:rFonts w:cs="Times New Roman"/>
              </w:rPr>
              <w:t>anti</w:t>
            </w:r>
            <w:r w:rsidRPr="00452638">
              <w:rPr>
                <w:rFonts w:cs="Times New Roman"/>
              </w:rPr>
              <w:t>-inflammatory drugs</w:t>
            </w:r>
            <w:r w:rsidRPr="00497699">
              <w:rPr>
                <w:rStyle w:val="A8"/>
                <w:rFonts w:eastAsia="Calibri" w:cs="Avenir LT Std 55 Roman"/>
                <w:color w:val="221E1F"/>
                <w:sz w:val="22"/>
                <w:szCs w:val="24"/>
              </w:rPr>
              <w:t xml:space="preserve"> </w:t>
            </w:r>
            <w:r>
              <w:rPr>
                <w:rStyle w:val="A8"/>
                <w:rFonts w:eastAsia="Calibri" w:cs="Avenir LT Std 55 Roman"/>
                <w:color w:val="221E1F"/>
                <w:sz w:val="22"/>
                <w:szCs w:val="24"/>
              </w:rPr>
              <w:t>(</w:t>
            </w:r>
            <w:r w:rsidRPr="00497699">
              <w:rPr>
                <w:rStyle w:val="A8"/>
                <w:rFonts w:eastAsia="Calibri" w:cs="Avenir LT Std 55 Roman"/>
                <w:color w:val="221E1F"/>
                <w:sz w:val="22"/>
                <w:szCs w:val="24"/>
              </w:rPr>
              <w:t>NSAIDs</w:t>
            </w:r>
            <w:r>
              <w:rPr>
                <w:rStyle w:val="A8"/>
                <w:rFonts w:eastAsia="Calibri" w:cs="Avenir LT Std 55 Roman"/>
                <w:color w:val="221E1F"/>
                <w:sz w:val="22"/>
                <w:szCs w:val="24"/>
              </w:rPr>
              <w:t>)</w:t>
            </w:r>
            <w:r w:rsidRPr="00497699">
              <w:rPr>
                <w:rStyle w:val="A8"/>
                <w:rFonts w:eastAsia="Calibri" w:cs="Avenir LT Std 55 Roman"/>
                <w:color w:val="221E1F"/>
                <w:sz w:val="22"/>
                <w:szCs w:val="24"/>
              </w:rPr>
              <w:t xml:space="preserve">) if second line analgesia is required in patients with haemophilia. </w:t>
            </w:r>
          </w:p>
        </w:tc>
      </w:tr>
      <w:tr w:rsidR="00A33356" w:rsidRPr="00497699" w:rsidTr="000B0ED6">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1.14</w:t>
            </w:r>
          </w:p>
        </w:tc>
        <w:tc>
          <w:tcPr>
            <w:tcW w:w="7866" w:type="dxa"/>
          </w:tcPr>
          <w:p w:rsidR="00A33356" w:rsidRPr="00497699" w:rsidRDefault="00A33356" w:rsidP="000B0ED6">
            <w:pPr>
              <w:spacing w:before="40" w:after="40"/>
              <w:ind w:left="263"/>
              <w:rPr>
                <w:rStyle w:val="A8"/>
                <w:rFonts w:eastAsia="Calibri" w:cs="Avenir LT Std 55 Roman"/>
                <w:color w:val="221E1F"/>
                <w:sz w:val="22"/>
                <w:szCs w:val="24"/>
              </w:rPr>
            </w:pPr>
            <w:r w:rsidRPr="00497699">
              <w:rPr>
                <w:rStyle w:val="A8"/>
                <w:rFonts w:eastAsia="Calibri" w:cs="Avenir LT Std 55 Roman"/>
                <w:color w:val="221E1F"/>
                <w:sz w:val="22"/>
                <w:szCs w:val="24"/>
              </w:rPr>
              <w:t xml:space="preserve">Clotting factor replacement is required to minimise the risk of peri-operative bleeding. Dosing, particularly for major surgery, should be determined and co-ordinated by a </w:t>
            </w:r>
            <w:r>
              <w:rPr>
                <w:rStyle w:val="A8"/>
                <w:rFonts w:eastAsia="Calibri" w:cs="Avenir LT Std 55 Roman"/>
                <w:color w:val="221E1F"/>
                <w:sz w:val="22"/>
                <w:szCs w:val="24"/>
              </w:rPr>
              <w:t>HTC</w:t>
            </w:r>
            <w:r w:rsidRPr="00497699">
              <w:rPr>
                <w:rStyle w:val="A8"/>
                <w:rFonts w:eastAsia="Calibri" w:cs="Avenir LT Std 55 Roman"/>
                <w:color w:val="221E1F"/>
                <w:sz w:val="22"/>
                <w:szCs w:val="24"/>
              </w:rPr>
              <w:t>.</w:t>
            </w:r>
          </w:p>
        </w:tc>
      </w:tr>
      <w:tr w:rsidR="00A33356" w:rsidRPr="00497699" w:rsidTr="000B0ED6">
        <w:trPr>
          <w:trHeight w:val="336"/>
        </w:trPr>
        <w:tc>
          <w:tcPr>
            <w:tcW w:w="1575" w:type="dxa"/>
            <w:shd w:val="clear" w:color="auto" w:fill="365F91" w:themeFill="accent1" w:themeFillShade="BF"/>
          </w:tcPr>
          <w:p w:rsidR="00A33356" w:rsidRPr="00A33356" w:rsidRDefault="00A33356" w:rsidP="000B0ED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1.15</w:t>
            </w:r>
          </w:p>
        </w:tc>
        <w:tc>
          <w:tcPr>
            <w:tcW w:w="7866" w:type="dxa"/>
          </w:tcPr>
          <w:p w:rsidR="00A33356" w:rsidRPr="00497699" w:rsidRDefault="00A33356" w:rsidP="000B0ED6">
            <w:pPr>
              <w:spacing w:before="40" w:after="40"/>
              <w:ind w:left="263"/>
              <w:rPr>
                <w:rFonts w:cs="Calibri"/>
              </w:rPr>
            </w:pPr>
            <w:r w:rsidRPr="00497699">
              <w:rPr>
                <w:rStyle w:val="A8"/>
                <w:rFonts w:eastAsia="Calibri" w:cs="Avenir LT Std 55 Roman"/>
                <w:color w:val="221E1F"/>
                <w:sz w:val="22"/>
                <w:szCs w:val="24"/>
              </w:rPr>
              <w:t>Regular dental assessment is an important component of care of patients with haemophilia.</w:t>
            </w:r>
            <w:r w:rsidRPr="00497699">
              <w:rPr>
                <w:rFonts w:cs="Calibri"/>
              </w:rPr>
              <w:t xml:space="preserve">    </w:t>
            </w:r>
          </w:p>
        </w:tc>
      </w:tr>
    </w:tbl>
    <w:p w:rsidR="00BB12A1" w:rsidRDefault="00BB12A1" w:rsidP="00E928C0">
      <w:pPr>
        <w:pStyle w:val="Default"/>
        <w:spacing w:after="222"/>
        <w:ind w:left="113" w:right="557"/>
        <w:rPr>
          <w:rStyle w:val="A8"/>
          <w:rFonts w:asciiTheme="minorHAnsi" w:hAnsiTheme="minorHAnsi"/>
          <w:b/>
          <w:bCs/>
          <w:color w:val="000000" w:themeColor="text1"/>
          <w:szCs w:val="28"/>
        </w:rPr>
      </w:pPr>
    </w:p>
    <w:p w:rsidR="00E928C0" w:rsidRPr="00041ED2" w:rsidRDefault="00BB12A1" w:rsidP="00041ED2">
      <w:pPr>
        <w:spacing w:after="200" w:line="276" w:lineRule="auto"/>
        <w:ind w:left="0"/>
        <w:rPr>
          <w:rStyle w:val="A8"/>
          <w:rFonts w:asciiTheme="minorHAnsi" w:hAnsiTheme="minorHAnsi" w:cs="Avenir LT Std 55 Roman"/>
          <w:b/>
          <w:bCs/>
          <w:color w:val="000000" w:themeColor="text1"/>
          <w:szCs w:val="28"/>
          <w:lang w:eastAsia="en-US"/>
        </w:rPr>
      </w:pPr>
      <w:r>
        <w:rPr>
          <w:rStyle w:val="A8"/>
          <w:rFonts w:asciiTheme="minorHAnsi" w:hAnsiTheme="minorHAnsi"/>
          <w:b/>
          <w:bCs/>
          <w:color w:val="000000" w:themeColor="text1"/>
          <w:szCs w:val="28"/>
        </w:rPr>
        <w:br w:type="page"/>
      </w:r>
      <w:r w:rsidR="00E928C0" w:rsidRPr="002C1CD8">
        <w:rPr>
          <w:rStyle w:val="A8"/>
          <w:rFonts w:asciiTheme="minorHAnsi" w:hAnsiTheme="minorHAnsi"/>
          <w:b/>
          <w:bCs/>
          <w:color w:val="000000" w:themeColor="text1"/>
          <w:szCs w:val="28"/>
        </w:rPr>
        <w:lastRenderedPageBreak/>
        <w:t xml:space="preserve">Significant changes from the original WFH Guidelines </w:t>
      </w:r>
    </w:p>
    <w:p w:rsidR="00E928C0" w:rsidRPr="002C1CD8" w:rsidRDefault="00E928C0" w:rsidP="00E928C0">
      <w:pPr>
        <w:pStyle w:val="Default"/>
        <w:numPr>
          <w:ilvl w:val="0"/>
          <w:numId w:val="42"/>
        </w:numPr>
        <w:spacing w:after="222"/>
        <w:ind w:right="557"/>
        <w:rPr>
          <w:rStyle w:val="A8"/>
          <w:rFonts w:asciiTheme="minorHAnsi" w:hAnsiTheme="minorHAnsi"/>
          <w:bCs/>
          <w:color w:val="000000" w:themeColor="text1"/>
          <w:sz w:val="24"/>
        </w:rPr>
      </w:pPr>
      <w:r w:rsidRPr="002C1CD8">
        <w:rPr>
          <w:rStyle w:val="A8"/>
          <w:rFonts w:asciiTheme="minorHAnsi" w:hAnsiTheme="minorHAnsi"/>
          <w:bCs/>
          <w:color w:val="000000" w:themeColor="text1"/>
          <w:sz w:val="24"/>
        </w:rPr>
        <w:t xml:space="preserve">The Australian Bleeding Disorder Registry (ABDR) is highlighted as the central </w:t>
      </w:r>
      <w:r w:rsidR="00BB12A1">
        <w:rPr>
          <w:rStyle w:val="A8"/>
          <w:rFonts w:asciiTheme="minorHAnsi" w:hAnsiTheme="minorHAnsi"/>
          <w:bCs/>
          <w:color w:val="000000" w:themeColor="text1"/>
          <w:sz w:val="24"/>
        </w:rPr>
        <w:t xml:space="preserve">point </w:t>
      </w:r>
      <w:r w:rsidRPr="002C1CD8">
        <w:rPr>
          <w:rStyle w:val="A8"/>
          <w:rFonts w:asciiTheme="minorHAnsi" w:hAnsiTheme="minorHAnsi"/>
          <w:bCs/>
          <w:color w:val="000000" w:themeColor="text1"/>
          <w:sz w:val="24"/>
        </w:rPr>
        <w:t xml:space="preserve">for the recording of treatment administered, outcome measures, and the documenting of treatment plans. Essential and desirable data to be recorded in the ABDR are documented. </w:t>
      </w:r>
    </w:p>
    <w:p w:rsidR="00E928C0" w:rsidRPr="002C1CD8" w:rsidRDefault="00E928C0" w:rsidP="00E928C0">
      <w:pPr>
        <w:pStyle w:val="Default"/>
        <w:numPr>
          <w:ilvl w:val="0"/>
          <w:numId w:val="42"/>
        </w:numPr>
        <w:spacing w:after="222"/>
        <w:ind w:right="557"/>
        <w:rPr>
          <w:rStyle w:val="A8"/>
          <w:rFonts w:asciiTheme="minorHAnsi" w:hAnsiTheme="minorHAnsi"/>
          <w:bCs/>
          <w:color w:val="000000" w:themeColor="text1"/>
          <w:sz w:val="24"/>
        </w:rPr>
      </w:pPr>
      <w:r w:rsidRPr="002C1CD8">
        <w:rPr>
          <w:rStyle w:val="A8"/>
          <w:rFonts w:asciiTheme="minorHAnsi" w:hAnsiTheme="minorHAnsi"/>
          <w:bCs/>
          <w:color w:val="000000" w:themeColor="text1"/>
          <w:sz w:val="24"/>
        </w:rPr>
        <w:t>Primary prophylaxis is the standard of care in patients with severe haemophilia in Australia.</w:t>
      </w:r>
    </w:p>
    <w:p w:rsidR="00E928C0" w:rsidRPr="002C1CD8" w:rsidRDefault="00E928C0" w:rsidP="00E928C0">
      <w:pPr>
        <w:pStyle w:val="Default"/>
        <w:numPr>
          <w:ilvl w:val="0"/>
          <w:numId w:val="42"/>
        </w:numPr>
        <w:spacing w:after="222"/>
        <w:ind w:right="557"/>
        <w:rPr>
          <w:rStyle w:val="A8"/>
          <w:rFonts w:asciiTheme="minorHAnsi" w:hAnsiTheme="minorHAnsi"/>
          <w:bCs/>
          <w:color w:val="000000" w:themeColor="text1"/>
          <w:sz w:val="24"/>
        </w:rPr>
      </w:pPr>
      <w:r w:rsidRPr="002C1CD8">
        <w:rPr>
          <w:rStyle w:val="A8"/>
          <w:rFonts w:asciiTheme="minorHAnsi" w:hAnsiTheme="minorHAnsi"/>
          <w:bCs/>
          <w:color w:val="000000" w:themeColor="text1"/>
          <w:sz w:val="24"/>
        </w:rPr>
        <w:t>It is recognised that long-acting clotting factor concentrates appear to be as efficacious as shorter half-life concentrates.</w:t>
      </w:r>
    </w:p>
    <w:p w:rsidR="00E928C0" w:rsidRDefault="00E928C0" w:rsidP="00E928C0">
      <w:pPr>
        <w:pStyle w:val="Default"/>
        <w:numPr>
          <w:ilvl w:val="0"/>
          <w:numId w:val="42"/>
        </w:numPr>
        <w:spacing w:after="222"/>
        <w:ind w:right="557"/>
        <w:rPr>
          <w:rStyle w:val="A8"/>
          <w:rFonts w:asciiTheme="minorHAnsi" w:hAnsiTheme="minorHAnsi"/>
          <w:bCs/>
          <w:color w:val="000000" w:themeColor="text1"/>
          <w:sz w:val="24"/>
        </w:rPr>
      </w:pPr>
      <w:r w:rsidRPr="002C1CD8">
        <w:rPr>
          <w:rStyle w:val="A8"/>
          <w:rFonts w:asciiTheme="minorHAnsi" w:hAnsiTheme="minorHAnsi"/>
          <w:bCs/>
          <w:color w:val="000000" w:themeColor="text1"/>
          <w:sz w:val="24"/>
        </w:rPr>
        <w:t>The results of a systematic review regarding the efficacy and safety of selective and non-selective non-steroidal anti-inflammatory drugs are summarised</w:t>
      </w:r>
    </w:p>
    <w:p w:rsidR="00E928C0" w:rsidRPr="002C1CD8" w:rsidRDefault="00E928C0" w:rsidP="00E928C0">
      <w:pPr>
        <w:pStyle w:val="Default"/>
        <w:numPr>
          <w:ilvl w:val="0"/>
          <w:numId w:val="42"/>
        </w:numPr>
        <w:spacing w:after="222"/>
        <w:ind w:right="557"/>
        <w:rPr>
          <w:rStyle w:val="A8"/>
          <w:rFonts w:asciiTheme="minorHAnsi" w:hAnsiTheme="minorHAnsi"/>
          <w:bCs/>
          <w:color w:val="000000" w:themeColor="text1"/>
          <w:sz w:val="24"/>
        </w:rPr>
      </w:pPr>
      <w:r>
        <w:rPr>
          <w:rStyle w:val="A8"/>
          <w:rFonts w:asciiTheme="minorHAnsi" w:hAnsiTheme="minorHAnsi"/>
          <w:bCs/>
          <w:color w:val="000000" w:themeColor="text1"/>
          <w:sz w:val="24"/>
        </w:rPr>
        <w:t xml:space="preserve">Changes are made to recommendations regarding analgesia selection based on local guidelines. </w:t>
      </w:r>
    </w:p>
    <w:p w:rsidR="00E928C0" w:rsidRPr="002C1CD8" w:rsidRDefault="00E928C0" w:rsidP="00E928C0">
      <w:pPr>
        <w:pStyle w:val="Default"/>
        <w:numPr>
          <w:ilvl w:val="0"/>
          <w:numId w:val="42"/>
        </w:numPr>
        <w:spacing w:after="222"/>
        <w:ind w:right="557"/>
        <w:rPr>
          <w:rStyle w:val="A8"/>
          <w:rFonts w:asciiTheme="minorHAnsi" w:hAnsiTheme="minorHAnsi"/>
          <w:bCs/>
          <w:color w:val="000000" w:themeColor="text1"/>
          <w:sz w:val="24"/>
        </w:rPr>
      </w:pPr>
      <w:r w:rsidRPr="002C1CD8">
        <w:rPr>
          <w:rStyle w:val="A8"/>
          <w:rFonts w:asciiTheme="minorHAnsi" w:hAnsiTheme="minorHAnsi"/>
          <w:bCs/>
          <w:color w:val="000000" w:themeColor="text1"/>
          <w:sz w:val="24"/>
        </w:rPr>
        <w:t xml:space="preserve">The important role of mutation testing in assessing inhibitor risk in patients with mild and moderate haemophilia A is emphasised.  </w:t>
      </w:r>
    </w:p>
    <w:p w:rsidR="004B5AE5" w:rsidRDefault="004B5AE5">
      <w:pPr>
        <w:spacing w:after="200" w:line="276" w:lineRule="auto"/>
        <w:ind w:left="0"/>
        <w:rPr>
          <w:rStyle w:val="A8"/>
          <w:rFonts w:asciiTheme="minorHAnsi" w:eastAsia="Calibri" w:hAnsiTheme="minorHAnsi" w:cs="Avenir LT Std 55 Roman"/>
          <w:bCs/>
          <w:szCs w:val="28"/>
          <w:lang w:eastAsia="en-US"/>
        </w:rPr>
      </w:pPr>
      <w:r>
        <w:rPr>
          <w:rStyle w:val="A8"/>
          <w:rFonts w:asciiTheme="minorHAnsi" w:hAnsiTheme="minorHAnsi"/>
          <w:bCs/>
          <w:szCs w:val="28"/>
        </w:rPr>
        <w:br w:type="page"/>
      </w:r>
    </w:p>
    <w:p w:rsidR="00E928C0" w:rsidRPr="00041ED2" w:rsidRDefault="00E928C0" w:rsidP="00041ED2">
      <w:pPr>
        <w:pStyle w:val="Heading3"/>
      </w:pPr>
      <w:bookmarkStart w:id="7" w:name="_Toc431484301"/>
      <w:r w:rsidRPr="00041ED2">
        <w:rPr>
          <w:rStyle w:val="A8"/>
          <w:color w:val="FF0000"/>
        </w:rPr>
        <w:lastRenderedPageBreak/>
        <w:t xml:space="preserve">1.1 </w:t>
      </w:r>
      <w:r w:rsidRPr="00214A6A">
        <w:t>What is haemophilia?</w:t>
      </w:r>
      <w:bookmarkEnd w:id="7"/>
    </w:p>
    <w:p w:rsidR="00E928C0" w:rsidRPr="00497699" w:rsidRDefault="00E928C0" w:rsidP="00041ED2">
      <w:pPr>
        <w:pStyle w:val="Default"/>
        <w:spacing w:after="222" w:line="276" w:lineRule="auto"/>
        <w:ind w:left="1383" w:hanging="138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w:t>
      </w:r>
      <w:r w:rsidRPr="00497699">
        <w:rPr>
          <w:rStyle w:val="A8"/>
          <w:rFonts w:asciiTheme="minorHAnsi" w:hAnsiTheme="minorHAnsi"/>
          <w:color w:val="221E1F"/>
          <w:sz w:val="22"/>
          <w:szCs w:val="22"/>
        </w:rPr>
        <w:tab/>
      </w:r>
      <w:r w:rsidRPr="00497699">
        <w:rPr>
          <w:rStyle w:val="A8"/>
          <w:rFonts w:asciiTheme="minorHAnsi" w:hAnsiTheme="minorHAnsi"/>
          <w:color w:val="221E1F"/>
          <w:sz w:val="22"/>
        </w:rPr>
        <w:t xml:space="preserve">Haemophilia is an X-linked congenital bleeding disorder caused by a deficiency of coagulation factor VIII (FVIII) (in haemophilia A) or factor IX (FIX) (in haemophilia B). The deficiency is the result of mutations of the respective clotting factor genes. </w:t>
      </w:r>
    </w:p>
    <w:p w:rsidR="00E928C0" w:rsidRPr="00497699" w:rsidRDefault="00E928C0" w:rsidP="00041ED2">
      <w:pPr>
        <w:pStyle w:val="Default"/>
        <w:spacing w:after="222" w:line="276" w:lineRule="auto"/>
        <w:ind w:left="1418" w:hanging="1418"/>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1.1.2</w:t>
      </w:r>
      <w:r w:rsidRPr="00497699">
        <w:rPr>
          <w:rStyle w:val="A8"/>
          <w:rFonts w:asciiTheme="minorHAnsi" w:hAnsiTheme="minorHAnsi"/>
          <w:color w:val="221E1F"/>
          <w:sz w:val="22"/>
        </w:rPr>
        <w:tab/>
      </w:r>
      <w:r w:rsidRPr="00497699">
        <w:rPr>
          <w:rStyle w:val="A8"/>
          <w:rFonts w:asciiTheme="minorHAnsi" w:hAnsiTheme="minorHAnsi"/>
          <w:color w:val="221E1F"/>
          <w:sz w:val="22"/>
        </w:rPr>
        <w:tab/>
      </w:r>
      <w:r>
        <w:rPr>
          <w:rStyle w:val="A8"/>
          <w:rFonts w:asciiTheme="minorHAnsi" w:hAnsiTheme="minorHAnsi"/>
          <w:color w:val="221E1F"/>
          <w:sz w:val="22"/>
        </w:rPr>
        <w:t xml:space="preserve">The reported incidence of </w:t>
      </w:r>
      <w:r w:rsidR="0024116D">
        <w:rPr>
          <w:rStyle w:val="A8"/>
          <w:rFonts w:asciiTheme="minorHAnsi" w:hAnsiTheme="minorHAnsi"/>
          <w:color w:val="221E1F"/>
          <w:sz w:val="22"/>
        </w:rPr>
        <w:t>h</w:t>
      </w:r>
      <w:r w:rsidRPr="00497699">
        <w:rPr>
          <w:rStyle w:val="A8"/>
          <w:rFonts w:asciiTheme="minorHAnsi" w:hAnsiTheme="minorHAnsi"/>
          <w:color w:val="221E1F"/>
          <w:sz w:val="22"/>
        </w:rPr>
        <w:t xml:space="preserve">aemophilia </w:t>
      </w:r>
      <w:proofErr w:type="gramStart"/>
      <w:r w:rsidR="00BB12A1">
        <w:rPr>
          <w:rStyle w:val="A8"/>
          <w:rFonts w:asciiTheme="minorHAnsi" w:hAnsiTheme="minorHAnsi"/>
          <w:color w:val="221E1F"/>
          <w:sz w:val="22"/>
        </w:rPr>
        <w:t>A</w:t>
      </w:r>
      <w:proofErr w:type="gramEnd"/>
      <w:r w:rsidR="00BB12A1">
        <w:rPr>
          <w:rStyle w:val="A8"/>
          <w:rFonts w:asciiTheme="minorHAnsi" w:hAnsiTheme="minorHAnsi"/>
          <w:color w:val="221E1F"/>
          <w:sz w:val="22"/>
        </w:rPr>
        <w:t xml:space="preserve"> ranges from 6.6</w:t>
      </w:r>
      <w:r>
        <w:rPr>
          <w:rStyle w:val="A8"/>
          <w:rFonts w:asciiTheme="minorHAnsi" w:hAnsiTheme="minorHAnsi"/>
          <w:color w:val="221E1F"/>
          <w:sz w:val="22"/>
        </w:rPr>
        <w:t xml:space="preserve"> to 12.8 per 100,000 males, and for haemophilia B ranges from 1.2 to 2.7 per 100,000 males. The reported incidence is higher in developed countries.     </w:t>
      </w:r>
    </w:p>
    <w:p w:rsidR="00E928C0" w:rsidRPr="00497699" w:rsidRDefault="00E928C0" w:rsidP="00041ED2">
      <w:pPr>
        <w:pStyle w:val="Default"/>
        <w:spacing w:after="222" w:line="276" w:lineRule="auto"/>
        <w:ind w:left="1383" w:hanging="138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1.1.3</w:t>
      </w:r>
      <w:r w:rsidRPr="00497699">
        <w:rPr>
          <w:rStyle w:val="A8"/>
          <w:rFonts w:asciiTheme="minorHAnsi" w:hAnsiTheme="minorHAnsi"/>
          <w:color w:val="221E1F"/>
          <w:sz w:val="22"/>
        </w:rPr>
        <w:tab/>
        <w:t xml:space="preserve">Estimations based on the WFH’s annual global surveys indicate that the number of people with haemophilia in the world is approximately 400,000. </w:t>
      </w:r>
      <w:r w:rsidRPr="00A03C2A">
        <w:rPr>
          <w:rStyle w:val="A8"/>
          <w:rFonts w:asciiTheme="minorHAnsi" w:hAnsiTheme="minorHAnsi"/>
          <w:color w:val="221E1F"/>
          <w:sz w:val="22"/>
          <w:vertAlign w:val="superscript"/>
        </w:rPr>
        <w:t>[1]</w:t>
      </w:r>
      <w:r w:rsidRPr="00497699">
        <w:rPr>
          <w:rStyle w:val="A8"/>
          <w:rFonts w:asciiTheme="minorHAnsi" w:hAnsiTheme="minorHAnsi"/>
          <w:color w:val="221E1F"/>
          <w:sz w:val="22"/>
        </w:rPr>
        <w:t xml:space="preserve"> The prevalence of haemophilia A and B combined in Australia is approximate</w:t>
      </w:r>
      <w:r w:rsidR="00112035">
        <w:rPr>
          <w:rStyle w:val="A8"/>
          <w:rFonts w:asciiTheme="minorHAnsi" w:hAnsiTheme="minorHAnsi"/>
          <w:color w:val="221E1F"/>
          <w:sz w:val="22"/>
        </w:rPr>
        <w:t xml:space="preserve">ly 13 per 100,000 individuals. </w:t>
      </w:r>
      <w:r w:rsidRPr="00A03C2A">
        <w:rPr>
          <w:rStyle w:val="A8"/>
          <w:rFonts w:asciiTheme="minorHAnsi" w:hAnsiTheme="minorHAnsi"/>
          <w:color w:val="221E1F"/>
          <w:sz w:val="22"/>
          <w:vertAlign w:val="superscript"/>
        </w:rPr>
        <w:t>[65]</w:t>
      </w:r>
      <w:r w:rsidRPr="00497699">
        <w:rPr>
          <w:rStyle w:val="A8"/>
          <w:rFonts w:asciiTheme="minorHAnsi" w:hAnsiTheme="minorHAnsi"/>
          <w:color w:val="221E1F"/>
          <w:sz w:val="22"/>
        </w:rPr>
        <w:t xml:space="preserve"> </w:t>
      </w:r>
    </w:p>
    <w:p w:rsidR="00E928C0" w:rsidRPr="00497699" w:rsidRDefault="00E928C0" w:rsidP="00041ED2">
      <w:pPr>
        <w:pStyle w:val="Default"/>
        <w:spacing w:after="222" w:line="276" w:lineRule="auto"/>
        <w:ind w:left="1383" w:hanging="138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1.1.4</w:t>
      </w:r>
      <w:r w:rsidRPr="00497699">
        <w:rPr>
          <w:rStyle w:val="A8"/>
          <w:rFonts w:asciiTheme="minorHAnsi" w:hAnsiTheme="minorHAnsi"/>
          <w:color w:val="221E1F"/>
          <w:sz w:val="22"/>
        </w:rPr>
        <w:tab/>
        <w:t xml:space="preserve">Haemophilia A is more common than haemophilia B, representing 80-85% of the total haemophilia population. </w:t>
      </w:r>
    </w:p>
    <w:p w:rsidR="00E928C0" w:rsidRPr="00497699" w:rsidRDefault="00E928C0" w:rsidP="00041ED2">
      <w:pPr>
        <w:pStyle w:val="Default"/>
        <w:spacing w:after="222" w:line="276" w:lineRule="auto"/>
        <w:ind w:left="1383" w:hanging="138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1.1.5</w:t>
      </w:r>
      <w:r w:rsidRPr="00497699">
        <w:rPr>
          <w:rStyle w:val="A8"/>
          <w:rFonts w:asciiTheme="minorHAnsi" w:hAnsiTheme="minorHAnsi"/>
          <w:color w:val="221E1F"/>
          <w:sz w:val="22"/>
        </w:rPr>
        <w:tab/>
        <w:t xml:space="preserve">Haemophilia generally affects males on the maternal </w:t>
      </w:r>
      <w:proofErr w:type="gramStart"/>
      <w:r w:rsidRPr="00497699">
        <w:rPr>
          <w:rStyle w:val="A8"/>
          <w:rFonts w:asciiTheme="minorHAnsi" w:hAnsiTheme="minorHAnsi"/>
          <w:color w:val="221E1F"/>
          <w:sz w:val="22"/>
        </w:rPr>
        <w:t>side</w:t>
      </w:r>
      <w:r>
        <w:rPr>
          <w:rStyle w:val="A8"/>
          <w:rFonts w:asciiTheme="minorHAnsi" w:hAnsiTheme="minorHAnsi"/>
          <w:color w:val="221E1F"/>
          <w:sz w:val="22"/>
        </w:rPr>
        <w:t>,</w:t>
      </w:r>
      <w:proofErr w:type="gramEnd"/>
      <w:r>
        <w:rPr>
          <w:rStyle w:val="A8"/>
          <w:rFonts w:asciiTheme="minorHAnsi" w:hAnsiTheme="minorHAnsi"/>
          <w:color w:val="221E1F"/>
          <w:sz w:val="22"/>
        </w:rPr>
        <w:t xml:space="preserve"> however women who carry a F8 gene mutation may also have reduced FVIII levels and may therefore be classified as having haemophilia</w:t>
      </w:r>
      <w:r w:rsidRPr="00497699">
        <w:rPr>
          <w:rStyle w:val="A8"/>
          <w:rFonts w:asciiTheme="minorHAnsi" w:hAnsiTheme="minorHAnsi"/>
          <w:color w:val="221E1F"/>
          <w:sz w:val="22"/>
        </w:rPr>
        <w:t xml:space="preserve">. </w:t>
      </w:r>
      <w:r>
        <w:rPr>
          <w:rStyle w:val="A8"/>
          <w:rFonts w:asciiTheme="minorHAnsi" w:hAnsiTheme="minorHAnsi"/>
          <w:color w:val="221E1F"/>
          <w:sz w:val="22"/>
        </w:rPr>
        <w:t>B</w:t>
      </w:r>
      <w:r w:rsidRPr="00497699">
        <w:rPr>
          <w:rStyle w:val="A8"/>
          <w:rFonts w:asciiTheme="minorHAnsi" w:hAnsiTheme="minorHAnsi"/>
          <w:color w:val="221E1F"/>
          <w:sz w:val="22"/>
        </w:rPr>
        <w:t>oth F8 and F9 genes are prone to new mutations, and as many as 1/3 of all cases are the result of spontaneous muta</w:t>
      </w:r>
      <w:r w:rsidRPr="00497699">
        <w:rPr>
          <w:rStyle w:val="A8"/>
          <w:rFonts w:asciiTheme="minorHAnsi" w:hAnsiTheme="minorHAnsi"/>
          <w:color w:val="221E1F"/>
          <w:sz w:val="22"/>
        </w:rPr>
        <w:softHyphen/>
        <w:t xml:space="preserve">tion where there is no prior family history. </w:t>
      </w:r>
    </w:p>
    <w:p w:rsidR="00E928C0" w:rsidRPr="00497699" w:rsidRDefault="00E928C0" w:rsidP="00041ED2">
      <w:pPr>
        <w:pStyle w:val="Default"/>
        <w:spacing w:after="222" w:line="276" w:lineRule="auto"/>
        <w:ind w:left="1383" w:hanging="138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1.1.6</w:t>
      </w:r>
      <w:r w:rsidRPr="00497699">
        <w:rPr>
          <w:rStyle w:val="A8"/>
          <w:rFonts w:asciiTheme="minorHAnsi" w:hAnsiTheme="minorHAnsi"/>
          <w:color w:val="221E1F"/>
          <w:sz w:val="22"/>
        </w:rPr>
        <w:tab/>
        <w:t xml:space="preserve">Accurate diagnosis of haemophilia is essential to inform appropriate management. Haemophilia should be suspected in patients presenting with a history of: </w:t>
      </w:r>
    </w:p>
    <w:p w:rsidR="00E928C0" w:rsidRPr="00497699" w:rsidRDefault="00E928C0" w:rsidP="00E928C0">
      <w:pPr>
        <w:pStyle w:val="Default"/>
        <w:numPr>
          <w:ilvl w:val="0"/>
          <w:numId w:val="19"/>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easy bruising in early childhood</w:t>
      </w:r>
    </w:p>
    <w:p w:rsidR="00E928C0" w:rsidRPr="00497699" w:rsidRDefault="00E928C0" w:rsidP="00E928C0">
      <w:pPr>
        <w:pStyle w:val="Default"/>
        <w:numPr>
          <w:ilvl w:val="0"/>
          <w:numId w:val="19"/>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w:t>
      </w:r>
      <w:proofErr w:type="gramStart"/>
      <w:r w:rsidRPr="00497699">
        <w:rPr>
          <w:rStyle w:val="A8"/>
          <w:rFonts w:asciiTheme="minorHAnsi" w:hAnsiTheme="minorHAnsi"/>
          <w:color w:val="221E1F"/>
          <w:sz w:val="22"/>
        </w:rPr>
        <w:t>spontaneous</w:t>
      </w:r>
      <w:proofErr w:type="gramEnd"/>
      <w:r w:rsidRPr="00497699">
        <w:rPr>
          <w:rStyle w:val="A8"/>
          <w:rFonts w:asciiTheme="minorHAnsi" w:hAnsiTheme="minorHAnsi"/>
          <w:color w:val="221E1F"/>
          <w:sz w:val="22"/>
        </w:rPr>
        <w:t>” bleeding (bleeding for no apparent/known reason</w:t>
      </w:r>
      <w:r>
        <w:rPr>
          <w:rStyle w:val="A8"/>
          <w:rFonts w:asciiTheme="minorHAnsi" w:hAnsiTheme="minorHAnsi"/>
          <w:color w:val="221E1F"/>
          <w:sz w:val="22"/>
        </w:rPr>
        <w:t xml:space="preserve"> or to minor trauma not identified by the patient</w:t>
      </w:r>
      <w:r w:rsidRPr="00497699">
        <w:rPr>
          <w:rStyle w:val="A8"/>
          <w:rFonts w:asciiTheme="minorHAnsi" w:hAnsiTheme="minorHAnsi"/>
          <w:color w:val="221E1F"/>
          <w:sz w:val="22"/>
        </w:rPr>
        <w:t>), particularly into the joints, muscles, and soft tissues</w:t>
      </w:r>
      <w:r>
        <w:rPr>
          <w:rStyle w:val="A8"/>
          <w:rFonts w:asciiTheme="minorHAnsi" w:hAnsiTheme="minorHAnsi"/>
          <w:color w:val="221E1F"/>
          <w:sz w:val="22"/>
        </w:rPr>
        <w:t xml:space="preserve">. </w:t>
      </w:r>
    </w:p>
    <w:p w:rsidR="00E928C0" w:rsidRDefault="00E928C0" w:rsidP="00E928C0">
      <w:pPr>
        <w:pStyle w:val="Default"/>
        <w:numPr>
          <w:ilvl w:val="0"/>
          <w:numId w:val="19"/>
        </w:numPr>
        <w:spacing w:line="276" w:lineRule="auto"/>
        <w:ind w:left="1701" w:hanging="283"/>
        <w:rPr>
          <w:rStyle w:val="A8"/>
          <w:rFonts w:asciiTheme="minorHAnsi" w:hAnsiTheme="minorHAnsi"/>
          <w:color w:val="221E1F"/>
          <w:sz w:val="22"/>
        </w:rPr>
      </w:pPr>
      <w:proofErr w:type="gramStart"/>
      <w:r w:rsidRPr="00497699">
        <w:rPr>
          <w:rStyle w:val="A8"/>
          <w:rFonts w:asciiTheme="minorHAnsi" w:hAnsiTheme="minorHAnsi"/>
          <w:color w:val="221E1F"/>
          <w:sz w:val="22"/>
        </w:rPr>
        <w:t>excessive</w:t>
      </w:r>
      <w:proofErr w:type="gramEnd"/>
      <w:r w:rsidRPr="00497699">
        <w:rPr>
          <w:rStyle w:val="A8"/>
          <w:rFonts w:asciiTheme="minorHAnsi" w:hAnsiTheme="minorHAnsi"/>
          <w:color w:val="221E1F"/>
          <w:sz w:val="22"/>
        </w:rPr>
        <w:t xml:space="preserve"> bleeding following trauma or surgery</w:t>
      </w:r>
      <w:r>
        <w:rPr>
          <w:rStyle w:val="A8"/>
          <w:rFonts w:asciiTheme="minorHAnsi" w:hAnsiTheme="minorHAnsi"/>
          <w:color w:val="221E1F"/>
          <w:sz w:val="22"/>
        </w:rPr>
        <w:t>.</w:t>
      </w:r>
    </w:p>
    <w:p w:rsidR="00E928C0" w:rsidRPr="00497699" w:rsidRDefault="00E928C0" w:rsidP="00E928C0">
      <w:pPr>
        <w:pStyle w:val="Default"/>
        <w:numPr>
          <w:ilvl w:val="0"/>
          <w:numId w:val="19"/>
        </w:numPr>
        <w:spacing w:line="276" w:lineRule="auto"/>
        <w:ind w:left="1701" w:hanging="283"/>
        <w:rPr>
          <w:rStyle w:val="A8"/>
          <w:rFonts w:asciiTheme="minorHAnsi" w:hAnsiTheme="minorHAnsi"/>
          <w:color w:val="221E1F"/>
          <w:sz w:val="22"/>
        </w:rPr>
      </w:pPr>
      <w:r>
        <w:rPr>
          <w:rStyle w:val="A8"/>
          <w:rFonts w:asciiTheme="minorHAnsi" w:hAnsiTheme="minorHAnsi"/>
          <w:color w:val="221E1F"/>
          <w:sz w:val="22"/>
        </w:rPr>
        <w:t>in affected females primary menorrhagia and post-partum bleeding</w:t>
      </w:r>
    </w:p>
    <w:p w:rsidR="00E928C0" w:rsidRPr="00497699" w:rsidRDefault="00E928C0" w:rsidP="00E928C0">
      <w:pPr>
        <w:pStyle w:val="Default"/>
        <w:spacing w:line="276" w:lineRule="auto"/>
        <w:ind w:left="170"/>
        <w:rPr>
          <w:rStyle w:val="A8"/>
          <w:rFonts w:asciiTheme="minorHAnsi" w:hAnsiTheme="minorHAnsi"/>
          <w:color w:val="221E1F"/>
          <w:sz w:val="22"/>
        </w:rPr>
      </w:pPr>
    </w:p>
    <w:p w:rsidR="00E928C0" w:rsidRPr="00497699" w:rsidRDefault="00E928C0" w:rsidP="00041ED2">
      <w:pPr>
        <w:pStyle w:val="Default"/>
        <w:spacing w:line="276" w:lineRule="auto"/>
        <w:ind w:left="113" w:hanging="11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1.1.7 </w:t>
      </w:r>
      <w:r w:rsidRPr="00497699">
        <w:rPr>
          <w:rStyle w:val="A8"/>
          <w:rFonts w:asciiTheme="minorHAnsi" w:hAnsiTheme="minorHAnsi"/>
          <w:color w:val="221E1F"/>
          <w:sz w:val="22"/>
        </w:rPr>
        <w:tab/>
      </w:r>
      <w:r w:rsidRPr="00497699">
        <w:rPr>
          <w:rStyle w:val="A8"/>
          <w:rFonts w:asciiTheme="minorHAnsi" w:hAnsiTheme="minorHAnsi"/>
          <w:color w:val="221E1F"/>
          <w:sz w:val="22"/>
        </w:rPr>
        <w:tab/>
        <w:t xml:space="preserve">A family history of bleeding is </w:t>
      </w:r>
      <w:r>
        <w:rPr>
          <w:rStyle w:val="A8"/>
          <w:rFonts w:asciiTheme="minorHAnsi" w:hAnsiTheme="minorHAnsi"/>
          <w:color w:val="221E1F"/>
          <w:sz w:val="22"/>
        </w:rPr>
        <w:t>present</w:t>
      </w:r>
      <w:r w:rsidRPr="00497699">
        <w:rPr>
          <w:rStyle w:val="A8"/>
          <w:rFonts w:asciiTheme="minorHAnsi" w:hAnsiTheme="minorHAnsi"/>
          <w:color w:val="221E1F"/>
          <w:sz w:val="22"/>
        </w:rPr>
        <w:t xml:space="preserve"> in about two-thirds of all patients.</w:t>
      </w:r>
    </w:p>
    <w:p w:rsidR="00E928C0" w:rsidRPr="00497699" w:rsidRDefault="00E928C0" w:rsidP="00E928C0">
      <w:pPr>
        <w:pStyle w:val="Default"/>
        <w:spacing w:line="276" w:lineRule="auto"/>
        <w:ind w:left="170"/>
        <w:rPr>
          <w:rStyle w:val="A8"/>
          <w:rFonts w:asciiTheme="minorHAnsi" w:hAnsiTheme="minorHAnsi"/>
          <w:color w:val="221E1F"/>
          <w:sz w:val="22"/>
        </w:rPr>
      </w:pPr>
    </w:p>
    <w:p w:rsidR="00E928C0" w:rsidRPr="00497699" w:rsidRDefault="00E928C0" w:rsidP="00041ED2">
      <w:pPr>
        <w:pStyle w:val="Default"/>
        <w:spacing w:line="276" w:lineRule="auto"/>
        <w:ind w:left="113" w:hanging="11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1.1.8 </w:t>
      </w:r>
      <w:r w:rsidRPr="00497699">
        <w:rPr>
          <w:rStyle w:val="A8"/>
          <w:rFonts w:asciiTheme="minorHAnsi" w:hAnsiTheme="minorHAnsi"/>
          <w:color w:val="221E1F"/>
          <w:sz w:val="22"/>
        </w:rPr>
        <w:tab/>
      </w:r>
      <w:r w:rsidRPr="00497699">
        <w:rPr>
          <w:rStyle w:val="A8"/>
          <w:rFonts w:asciiTheme="minorHAnsi" w:hAnsiTheme="minorHAnsi"/>
          <w:color w:val="221E1F"/>
          <w:sz w:val="22"/>
        </w:rPr>
        <w:tab/>
        <w:t>A definitive diagnosis depends on factor assay to demonstrate deficiency of FVIII or FIX.</w:t>
      </w:r>
    </w:p>
    <w:p w:rsidR="00E928C0" w:rsidRPr="00041ED2" w:rsidRDefault="00E928C0" w:rsidP="00041ED2">
      <w:pPr>
        <w:pStyle w:val="Heading4"/>
        <w:rPr>
          <w:rStyle w:val="A8"/>
          <w:rFonts w:ascii="Arial" w:hAnsi="Arial"/>
          <w:color w:val="000000"/>
          <w:sz w:val="22"/>
        </w:rPr>
      </w:pPr>
      <w:r w:rsidRPr="00041ED2">
        <w:rPr>
          <w:rStyle w:val="A8"/>
          <w:color w:val="000000"/>
          <w:sz w:val="22"/>
        </w:rPr>
        <w:t>Bleeding manifestations</w:t>
      </w:r>
    </w:p>
    <w:p w:rsidR="00E928C0" w:rsidRPr="00497699" w:rsidRDefault="00E928C0" w:rsidP="00041ED2">
      <w:pPr>
        <w:pStyle w:val="Default"/>
        <w:spacing w:line="276" w:lineRule="auto"/>
        <w:ind w:left="113" w:hanging="11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1.1.9</w:t>
      </w:r>
      <w:r w:rsidRPr="00497699">
        <w:rPr>
          <w:rStyle w:val="A8"/>
          <w:rFonts w:asciiTheme="minorHAnsi" w:hAnsiTheme="minorHAnsi"/>
          <w:color w:val="221E1F"/>
          <w:sz w:val="22"/>
        </w:rPr>
        <w:tab/>
      </w:r>
      <w:r w:rsidRPr="00497699">
        <w:rPr>
          <w:rStyle w:val="A8"/>
          <w:rFonts w:asciiTheme="minorHAnsi" w:hAnsiTheme="minorHAnsi"/>
          <w:color w:val="221E1F"/>
          <w:sz w:val="22"/>
        </w:rPr>
        <w:tab/>
        <w:t>The characteristic phenotype in haemophilia is the bleeding tendency.</w:t>
      </w:r>
    </w:p>
    <w:p w:rsidR="00E928C0" w:rsidRPr="00497699" w:rsidRDefault="00E928C0" w:rsidP="00E928C0">
      <w:pPr>
        <w:pStyle w:val="Default"/>
        <w:spacing w:line="276" w:lineRule="auto"/>
        <w:ind w:left="113"/>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1.1.10</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While</w:t>
      </w:r>
      <w:proofErr w:type="gramEnd"/>
      <w:r w:rsidRPr="00497699">
        <w:rPr>
          <w:rStyle w:val="A8"/>
          <w:rFonts w:asciiTheme="minorHAnsi" w:hAnsiTheme="minorHAnsi"/>
          <w:color w:val="221E1F"/>
          <w:sz w:val="22"/>
        </w:rPr>
        <w:t xml:space="preserve"> the history of bleeding is usually life-long, some children with severe haemophilia may not have bleeding symptoms until later when they begin walking or running.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1.1.11</w:t>
      </w:r>
      <w:r w:rsidRPr="00497699">
        <w:rPr>
          <w:rStyle w:val="A8"/>
          <w:rFonts w:asciiTheme="minorHAnsi" w:hAnsiTheme="minorHAnsi"/>
          <w:color w:val="221E1F"/>
          <w:sz w:val="22"/>
        </w:rPr>
        <w:tab/>
        <w:t>Patients with mild haemophilia may not bleed excessively until they experience trauma or surgery.</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lastRenderedPageBreak/>
        <w:t>1.1.12</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The</w:t>
      </w:r>
      <w:proofErr w:type="gramEnd"/>
      <w:r w:rsidRPr="00497699">
        <w:rPr>
          <w:rStyle w:val="A8"/>
          <w:rFonts w:asciiTheme="minorHAnsi" w:hAnsiTheme="minorHAnsi"/>
          <w:color w:val="221E1F"/>
          <w:sz w:val="22"/>
        </w:rPr>
        <w:t xml:space="preserve"> severity of bleeding in haemophilia is gener</w:t>
      </w:r>
      <w:r w:rsidRPr="00497699">
        <w:rPr>
          <w:rStyle w:val="A8"/>
          <w:rFonts w:asciiTheme="minorHAnsi" w:hAnsiTheme="minorHAnsi"/>
          <w:color w:val="221E1F"/>
          <w:sz w:val="22"/>
        </w:rPr>
        <w:softHyphen/>
        <w:t xml:space="preserve">ally correlated with the clotting factor level, as shown in Table 1-1.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13" w:hanging="11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1.1.13</w:t>
      </w:r>
      <w:r w:rsidRPr="00497699">
        <w:rPr>
          <w:rStyle w:val="A8"/>
          <w:rFonts w:asciiTheme="minorHAnsi" w:hAnsiTheme="minorHAnsi"/>
          <w:color w:val="221E1F"/>
          <w:sz w:val="22"/>
        </w:rPr>
        <w:tab/>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Most</w:t>
      </w:r>
      <w:proofErr w:type="gramEnd"/>
      <w:r w:rsidRPr="00497699">
        <w:rPr>
          <w:rStyle w:val="A8"/>
          <w:rFonts w:asciiTheme="minorHAnsi" w:hAnsiTheme="minorHAnsi"/>
          <w:color w:val="221E1F"/>
          <w:sz w:val="22"/>
        </w:rPr>
        <w:t xml:space="preserve"> bleeding occurs internally, into the joints or muscles (see Table 1-2 and Table 1-3). </w:t>
      </w:r>
    </w:p>
    <w:p w:rsidR="00E928C0" w:rsidRDefault="00E928C0" w:rsidP="00E928C0">
      <w:pPr>
        <w:pStyle w:val="Default"/>
        <w:spacing w:line="276" w:lineRule="auto"/>
        <w:ind w:left="113"/>
        <w:rPr>
          <w:rStyle w:val="A8"/>
          <w:rFonts w:asciiTheme="minorHAnsi" w:hAnsiTheme="minorHAnsi"/>
          <w:color w:val="221E1F"/>
          <w:sz w:val="22"/>
        </w:rPr>
      </w:pPr>
    </w:p>
    <w:p w:rsidR="00E928C0" w:rsidRPr="00497699" w:rsidRDefault="00E928C0" w:rsidP="00041ED2">
      <w:pPr>
        <w:pStyle w:val="Default"/>
        <w:spacing w:line="276" w:lineRule="auto"/>
        <w:ind w:left="113" w:hanging="113"/>
        <w:rPr>
          <w:rFonts w:asciiTheme="minorHAnsi" w:hAnsiTheme="minorHAnsi" w:cs="Arial"/>
          <w:color w:val="221E1F"/>
          <w:sz w:val="22"/>
          <w:szCs w:val="22"/>
        </w:rPr>
      </w:pPr>
      <w:r w:rsidRPr="00497699">
        <w:rPr>
          <w:rStyle w:val="A8"/>
          <w:rFonts w:asciiTheme="minorHAnsi" w:hAnsiTheme="minorHAnsi"/>
          <w:color w:val="221E1F"/>
          <w:sz w:val="22"/>
        </w:rPr>
        <w:t>1.1.14</w:t>
      </w:r>
      <w:r w:rsidRPr="00497699">
        <w:rPr>
          <w:rStyle w:val="A8"/>
          <w:rFonts w:asciiTheme="minorHAnsi" w:hAnsiTheme="minorHAnsi"/>
          <w:color w:val="221E1F"/>
          <w:sz w:val="22"/>
        </w:rPr>
        <w:tab/>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Some</w:t>
      </w:r>
      <w:proofErr w:type="gramEnd"/>
      <w:r w:rsidRPr="00497699">
        <w:rPr>
          <w:rStyle w:val="A8"/>
          <w:rFonts w:asciiTheme="minorHAnsi" w:hAnsiTheme="minorHAnsi"/>
          <w:color w:val="221E1F"/>
          <w:sz w:val="22"/>
        </w:rPr>
        <w:t xml:space="preserve"> bleeds can be life-threatening and require immediate treatment (see Section 5).</w:t>
      </w:r>
    </w:p>
    <w:p w:rsidR="00E928C0" w:rsidRPr="00497699" w:rsidRDefault="00E928C0" w:rsidP="00E928C0">
      <w:pPr>
        <w:pStyle w:val="Default"/>
        <w:spacing w:after="222" w:line="276" w:lineRule="auto"/>
        <w:ind w:left="530"/>
        <w:rPr>
          <w:rFonts w:asciiTheme="minorHAnsi" w:hAnsiTheme="minorHAnsi" w:cs="Arial"/>
          <w:color w:val="221E1F"/>
          <w:sz w:val="22"/>
          <w:szCs w:val="22"/>
        </w:rPr>
      </w:pPr>
    </w:p>
    <w:p w:rsidR="00E928C0" w:rsidRPr="006F6C5E" w:rsidRDefault="00E928C0" w:rsidP="00041ED2">
      <w:pPr>
        <w:spacing w:before="36" w:after="0" w:line="184" w:lineRule="exact"/>
        <w:ind w:left="0" w:right="-20"/>
        <w:rPr>
          <w:rFonts w:asciiTheme="minorHAnsi" w:eastAsia="Arial" w:hAnsiTheme="minorHAnsi" w:cs="Arial"/>
          <w:color w:val="231F20"/>
          <w:spacing w:val="-13"/>
          <w:sz w:val="16"/>
          <w:szCs w:val="16"/>
        </w:rPr>
      </w:pPr>
      <w:r w:rsidRPr="00497699">
        <w:rPr>
          <w:rStyle w:val="A8"/>
          <w:rFonts w:asciiTheme="minorHAnsi" w:eastAsia="Dotum" w:hAnsiTheme="minorHAnsi" w:cs="Avenir LT Std 55 Roman"/>
          <w:b/>
          <w:color w:val="221E1F"/>
          <w:sz w:val="22"/>
          <w:szCs w:val="24"/>
          <w:lang w:eastAsia="en-US"/>
        </w:rPr>
        <w:t xml:space="preserve">TABLE 1-1: RELATIONSHIP OF BLEEDING SEVERITY TO CLOTTING FACTOR LEVEL </w:t>
      </w:r>
      <w:r w:rsidRPr="00497699">
        <w:rPr>
          <w:rStyle w:val="A8"/>
          <w:rFonts w:asciiTheme="minorHAnsi" w:eastAsia="Dotum" w:hAnsiTheme="minorHAnsi" w:cs="Avenir LT Std 55 Roman"/>
          <w:b/>
          <w:color w:val="221E1F"/>
          <w:sz w:val="22"/>
          <w:szCs w:val="24"/>
          <w:vertAlign w:val="superscript"/>
          <w:lang w:eastAsia="en-US"/>
        </w:rPr>
        <w:t>[62]</w:t>
      </w:r>
    </w:p>
    <w:p w:rsidR="00E928C0" w:rsidRPr="00497699" w:rsidRDefault="00E928C0" w:rsidP="00E928C0">
      <w:pPr>
        <w:pStyle w:val="ListParagraph"/>
        <w:tabs>
          <w:tab w:val="left" w:pos="2500"/>
          <w:tab w:val="left" w:pos="6000"/>
        </w:tabs>
        <w:spacing w:after="0" w:line="161" w:lineRule="exact"/>
        <w:ind w:left="530" w:right="-20"/>
        <w:rPr>
          <w:rFonts w:asciiTheme="minorHAnsi" w:eastAsia="Arial" w:hAnsiTheme="minorHAnsi" w:cs="Arial"/>
          <w:sz w:val="18"/>
          <w:szCs w:val="18"/>
        </w:rPr>
      </w:pPr>
    </w:p>
    <w:tbl>
      <w:tblPr>
        <w:tblW w:w="9639" w:type="dxa"/>
        <w:tblLayout w:type="fixed"/>
        <w:tblCellMar>
          <w:left w:w="0" w:type="dxa"/>
          <w:right w:w="0" w:type="dxa"/>
        </w:tblCellMar>
        <w:tblLook w:val="01E0" w:firstRow="1" w:lastRow="1" w:firstColumn="1" w:lastColumn="1" w:noHBand="0" w:noVBand="0"/>
      </w:tblPr>
      <w:tblGrid>
        <w:gridCol w:w="2343"/>
        <w:gridCol w:w="3500"/>
        <w:gridCol w:w="3796"/>
      </w:tblGrid>
      <w:tr w:rsidR="00E928C0" w:rsidRPr="00497699" w:rsidTr="00041ED2">
        <w:trPr>
          <w:trHeight w:hRule="exact" w:val="676"/>
        </w:trPr>
        <w:tc>
          <w:tcPr>
            <w:tcW w:w="2343"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w w:val="105"/>
                <w:sz w:val="18"/>
                <w:szCs w:val="18"/>
              </w:rPr>
            </w:pPr>
            <w:r w:rsidRPr="00497699">
              <w:rPr>
                <w:rFonts w:asciiTheme="minorHAnsi" w:eastAsia="Arial" w:hAnsiTheme="minorHAnsi" w:cs="Arial"/>
                <w:color w:val="231F20"/>
                <w:w w:val="105"/>
                <w:sz w:val="18"/>
                <w:szCs w:val="18"/>
              </w:rPr>
              <w:t>SEVERITY</w:t>
            </w:r>
          </w:p>
        </w:tc>
        <w:tc>
          <w:tcPr>
            <w:tcW w:w="3500"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CLOTTING FACTOR LEVEL</w:t>
            </w:r>
          </w:p>
        </w:tc>
        <w:tc>
          <w:tcPr>
            <w:tcW w:w="3796"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line="255" w:lineRule="auto"/>
              <w:ind w:left="80" w:right="203"/>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 xml:space="preserve">BLEEDING EPISODES </w:t>
            </w:r>
          </w:p>
        </w:tc>
      </w:tr>
      <w:tr w:rsidR="00E928C0" w:rsidRPr="00497699" w:rsidTr="00041ED2">
        <w:trPr>
          <w:trHeight w:hRule="exact" w:val="960"/>
        </w:trPr>
        <w:tc>
          <w:tcPr>
            <w:tcW w:w="2343"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w w:val="105"/>
                <w:sz w:val="18"/>
                <w:szCs w:val="18"/>
              </w:rPr>
            </w:pPr>
            <w:r w:rsidRPr="00497699">
              <w:rPr>
                <w:rFonts w:asciiTheme="minorHAnsi" w:eastAsia="Arial" w:hAnsiTheme="minorHAnsi" w:cs="Arial"/>
                <w:color w:val="231F20"/>
                <w:w w:val="105"/>
                <w:sz w:val="18"/>
                <w:szCs w:val="18"/>
              </w:rPr>
              <w:t>Sever</w:t>
            </w:r>
            <w:r>
              <w:rPr>
                <w:rFonts w:asciiTheme="minorHAnsi" w:eastAsia="Arial" w:hAnsiTheme="minorHAnsi" w:cs="Arial"/>
                <w:color w:val="231F20"/>
                <w:w w:val="105"/>
                <w:sz w:val="18"/>
                <w:szCs w:val="18"/>
              </w:rPr>
              <w:t>e</w:t>
            </w:r>
          </w:p>
        </w:tc>
        <w:tc>
          <w:tcPr>
            <w:tcW w:w="3500"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&lt; 1 IU/dl (&lt; 0.01 IU/ml) or</w:t>
            </w:r>
          </w:p>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&lt; 1 % of normal</w:t>
            </w:r>
          </w:p>
        </w:tc>
        <w:tc>
          <w:tcPr>
            <w:tcW w:w="3796"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line="255" w:lineRule="auto"/>
              <w:ind w:left="80" w:right="203"/>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Spontaneous</w:t>
            </w:r>
            <w:r w:rsidRPr="00497699">
              <w:rPr>
                <w:rFonts w:asciiTheme="minorHAnsi" w:eastAsia="Arial" w:hAnsiTheme="minorHAnsi" w:cs="Arial"/>
                <w:color w:val="231F20"/>
                <w:spacing w:val="-6"/>
                <w:sz w:val="18"/>
                <w:szCs w:val="18"/>
              </w:rPr>
              <w:t xml:space="preserve"> </w:t>
            </w:r>
            <w:r w:rsidRPr="00497699">
              <w:rPr>
                <w:rFonts w:asciiTheme="minorHAnsi" w:eastAsia="Arial" w:hAnsiTheme="minorHAnsi" w:cs="Arial"/>
                <w:color w:val="231F20"/>
                <w:sz w:val="18"/>
                <w:szCs w:val="18"/>
              </w:rPr>
              <w:t>bleeding</w:t>
            </w:r>
            <w:r w:rsidRPr="00497699">
              <w:rPr>
                <w:rFonts w:asciiTheme="minorHAnsi" w:eastAsia="Arial" w:hAnsiTheme="minorHAnsi" w:cs="Arial"/>
                <w:color w:val="231F20"/>
                <w:spacing w:val="39"/>
                <w:sz w:val="18"/>
                <w:szCs w:val="18"/>
              </w:rPr>
              <w:t xml:space="preserve"> </w:t>
            </w:r>
            <w:r w:rsidRPr="00497699">
              <w:rPr>
                <w:rFonts w:asciiTheme="minorHAnsi" w:eastAsia="Arial" w:hAnsiTheme="minorHAnsi" w:cs="Arial"/>
                <w:color w:val="231F20"/>
                <w:sz w:val="18"/>
                <w:szCs w:val="18"/>
              </w:rPr>
              <w:t>into</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sz w:val="18"/>
                <w:szCs w:val="18"/>
              </w:rPr>
              <w:t>joints</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or</w:t>
            </w:r>
            <w:r w:rsidRPr="00497699">
              <w:rPr>
                <w:rFonts w:asciiTheme="minorHAnsi" w:eastAsia="Arial" w:hAnsiTheme="minorHAnsi" w:cs="Arial"/>
                <w:color w:val="231F20"/>
                <w:spacing w:val="15"/>
                <w:sz w:val="18"/>
                <w:szCs w:val="18"/>
              </w:rPr>
              <w:t xml:space="preserve"> </w:t>
            </w:r>
            <w:r w:rsidRPr="00497699">
              <w:rPr>
                <w:rFonts w:asciiTheme="minorHAnsi" w:eastAsia="Arial" w:hAnsiTheme="minorHAnsi" w:cs="Arial"/>
                <w:color w:val="231F20"/>
                <w:sz w:val="18"/>
                <w:szCs w:val="18"/>
              </w:rPr>
              <w:t>muscles, p</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edominantly</w:t>
            </w:r>
            <w:r w:rsidRPr="00497699">
              <w:rPr>
                <w:rFonts w:asciiTheme="minorHAnsi" w:eastAsia="Arial" w:hAnsiTheme="minorHAnsi" w:cs="Arial"/>
                <w:color w:val="231F20"/>
                <w:spacing w:val="47"/>
                <w:sz w:val="18"/>
                <w:szCs w:val="18"/>
              </w:rPr>
              <w:t xml:space="preserve"> </w:t>
            </w:r>
            <w:r w:rsidRPr="00497699">
              <w:rPr>
                <w:rFonts w:asciiTheme="minorHAnsi" w:eastAsia="Arial" w:hAnsiTheme="minorHAnsi" w:cs="Arial"/>
                <w:color w:val="231F20"/>
                <w:sz w:val="18"/>
                <w:szCs w:val="18"/>
              </w:rPr>
              <w:t>in</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absence</w:t>
            </w:r>
            <w:r w:rsidRPr="00497699">
              <w:rPr>
                <w:rFonts w:asciiTheme="minorHAnsi" w:eastAsia="Arial" w:hAnsiTheme="minorHAnsi" w:cs="Arial"/>
                <w:color w:val="231F20"/>
                <w:spacing w:val="-9"/>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sz w:val="18"/>
                <w:szCs w:val="18"/>
              </w:rPr>
              <w:t>identifiable</w:t>
            </w:r>
            <w:r w:rsidRPr="00497699">
              <w:rPr>
                <w:rFonts w:asciiTheme="minorHAnsi" w:eastAsia="Arial" w:hAnsiTheme="minorHAnsi" w:cs="Arial"/>
                <w:color w:val="231F20"/>
                <w:spacing w:val="39"/>
                <w:sz w:val="18"/>
                <w:szCs w:val="18"/>
              </w:rPr>
              <w:t xml:space="preserve"> </w:t>
            </w:r>
            <w:r w:rsidRPr="00497699">
              <w:rPr>
                <w:rFonts w:asciiTheme="minorHAnsi" w:eastAsia="Arial" w:hAnsiTheme="minorHAnsi" w:cs="Arial"/>
                <w:color w:val="231F20"/>
                <w:w w:val="101"/>
                <w:sz w:val="18"/>
                <w:szCs w:val="18"/>
              </w:rPr>
              <w:t xml:space="preserve">haemostatic </w:t>
            </w:r>
            <w:r w:rsidRPr="00497699">
              <w:rPr>
                <w:rFonts w:asciiTheme="minorHAnsi" w:eastAsia="Arial" w:hAnsiTheme="minorHAnsi" w:cs="Arial"/>
                <w:color w:val="231F20"/>
                <w:sz w:val="18"/>
                <w:szCs w:val="18"/>
              </w:rPr>
              <w:t>challenge</w:t>
            </w:r>
          </w:p>
        </w:tc>
      </w:tr>
      <w:tr w:rsidR="00E928C0" w:rsidRPr="00497699" w:rsidTr="00041ED2">
        <w:trPr>
          <w:trHeight w:hRule="exact" w:val="808"/>
        </w:trPr>
        <w:tc>
          <w:tcPr>
            <w:tcW w:w="2343"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sz w:val="18"/>
                <w:szCs w:val="18"/>
              </w:rPr>
            </w:pPr>
            <w:r w:rsidRPr="00497699">
              <w:rPr>
                <w:rFonts w:asciiTheme="minorHAnsi" w:eastAsia="Arial" w:hAnsiTheme="minorHAnsi" w:cs="Arial"/>
                <w:color w:val="231F20"/>
                <w:w w:val="105"/>
                <w:sz w:val="18"/>
                <w:szCs w:val="18"/>
              </w:rPr>
              <w:t>Moderate</w:t>
            </w:r>
          </w:p>
        </w:tc>
        <w:tc>
          <w:tcPr>
            <w:tcW w:w="3500"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sz w:val="18"/>
                <w:szCs w:val="18"/>
              </w:rPr>
            </w:pPr>
            <w:r w:rsidRPr="00497699">
              <w:rPr>
                <w:rFonts w:asciiTheme="minorHAnsi" w:eastAsia="Arial" w:hAnsiTheme="minorHAnsi" w:cs="Arial"/>
                <w:color w:val="231F20"/>
                <w:sz w:val="18"/>
                <w:szCs w:val="18"/>
              </w:rPr>
              <w:t>1-5</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IU/dl</w:t>
            </w:r>
            <w:r w:rsidRPr="00497699">
              <w:rPr>
                <w:rFonts w:asciiTheme="minorHAnsi" w:eastAsia="Arial" w:hAnsiTheme="minorHAnsi" w:cs="Arial"/>
                <w:color w:val="231F20"/>
                <w:spacing w:val="27"/>
                <w:sz w:val="18"/>
                <w:szCs w:val="18"/>
              </w:rPr>
              <w:t xml:space="preserve"> </w:t>
            </w:r>
            <w:r w:rsidRPr="00497699">
              <w:rPr>
                <w:rFonts w:asciiTheme="minorHAnsi" w:eastAsia="Arial" w:hAnsiTheme="minorHAnsi" w:cs="Arial"/>
                <w:color w:val="231F20"/>
                <w:sz w:val="18"/>
                <w:szCs w:val="18"/>
              </w:rPr>
              <w:t>(0.01-0.05</w:t>
            </w:r>
            <w:r w:rsidRPr="00497699">
              <w:rPr>
                <w:rFonts w:asciiTheme="minorHAnsi" w:eastAsia="Arial" w:hAnsiTheme="minorHAnsi" w:cs="Arial"/>
                <w:color w:val="231F20"/>
                <w:spacing w:val="-11"/>
                <w:sz w:val="18"/>
                <w:szCs w:val="18"/>
              </w:rPr>
              <w:t xml:space="preserve"> </w:t>
            </w:r>
            <w:r w:rsidRPr="00497699">
              <w:rPr>
                <w:rFonts w:asciiTheme="minorHAnsi" w:eastAsia="Arial" w:hAnsiTheme="minorHAnsi" w:cs="Arial"/>
                <w:color w:val="231F20"/>
                <w:sz w:val="18"/>
                <w:szCs w:val="18"/>
              </w:rPr>
              <w:t>IU/ml)</w:t>
            </w:r>
            <w:r w:rsidRPr="00497699">
              <w:rPr>
                <w:rFonts w:asciiTheme="minorHAnsi" w:eastAsia="Arial" w:hAnsiTheme="minorHAnsi" w:cs="Arial"/>
                <w:color w:val="231F20"/>
                <w:spacing w:val="10"/>
                <w:sz w:val="18"/>
                <w:szCs w:val="18"/>
              </w:rPr>
              <w:t xml:space="preserve"> </w:t>
            </w:r>
            <w:r w:rsidRPr="00497699">
              <w:rPr>
                <w:rFonts w:asciiTheme="minorHAnsi" w:eastAsia="Arial" w:hAnsiTheme="minorHAnsi" w:cs="Arial"/>
                <w:color w:val="231F20"/>
                <w:w w:val="106"/>
                <w:sz w:val="18"/>
                <w:szCs w:val="18"/>
              </w:rPr>
              <w:t>or</w:t>
            </w:r>
          </w:p>
          <w:p w:rsidR="00E928C0" w:rsidRPr="00497699" w:rsidRDefault="00E928C0" w:rsidP="002A1763">
            <w:pPr>
              <w:spacing w:before="13" w:after="0"/>
              <w:ind w:left="80" w:right="-20"/>
              <w:rPr>
                <w:rFonts w:asciiTheme="minorHAnsi" w:eastAsia="Arial" w:hAnsiTheme="minorHAnsi" w:cs="Arial"/>
                <w:sz w:val="18"/>
                <w:szCs w:val="18"/>
              </w:rPr>
            </w:pPr>
            <w:r w:rsidRPr="00497699">
              <w:rPr>
                <w:rFonts w:asciiTheme="minorHAnsi" w:eastAsia="Arial" w:hAnsiTheme="minorHAnsi" w:cs="Arial"/>
                <w:color w:val="231F20"/>
                <w:sz w:val="18"/>
                <w:szCs w:val="18"/>
              </w:rPr>
              <w:t>1-5%</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w w:val="101"/>
                <w:sz w:val="18"/>
                <w:szCs w:val="18"/>
              </w:rPr>
              <w:t>normal</w:t>
            </w:r>
          </w:p>
        </w:tc>
        <w:tc>
          <w:tcPr>
            <w:tcW w:w="3796"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line="255" w:lineRule="auto"/>
              <w:ind w:left="80" w:right="203"/>
              <w:rPr>
                <w:rFonts w:asciiTheme="minorHAnsi" w:eastAsia="Arial" w:hAnsiTheme="minorHAnsi" w:cs="Arial"/>
                <w:sz w:val="18"/>
                <w:szCs w:val="18"/>
              </w:rPr>
            </w:pPr>
            <w:r w:rsidRPr="00497699">
              <w:rPr>
                <w:rFonts w:asciiTheme="minorHAnsi" w:eastAsia="Arial" w:hAnsiTheme="minorHAnsi" w:cs="Arial"/>
                <w:color w:val="231F20"/>
                <w:sz w:val="18"/>
                <w:szCs w:val="18"/>
              </w:rPr>
              <w:t>Occasional</w:t>
            </w:r>
            <w:r w:rsidRPr="00497699">
              <w:rPr>
                <w:rFonts w:asciiTheme="minorHAnsi" w:eastAsia="Arial" w:hAnsiTheme="minorHAnsi" w:cs="Arial"/>
                <w:color w:val="231F20"/>
                <w:spacing w:val="-13"/>
                <w:sz w:val="18"/>
                <w:szCs w:val="18"/>
              </w:rPr>
              <w:t xml:space="preserve"> </w:t>
            </w:r>
            <w:r w:rsidRPr="00497699">
              <w:rPr>
                <w:rFonts w:asciiTheme="minorHAnsi" w:eastAsia="Arial" w:hAnsiTheme="minorHAnsi" w:cs="Arial"/>
                <w:color w:val="231F20"/>
                <w:sz w:val="18"/>
                <w:szCs w:val="18"/>
              </w:rPr>
              <w:t>spontaneous</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bleeding;</w:t>
            </w:r>
            <w:r w:rsidRPr="00497699">
              <w:rPr>
                <w:rFonts w:asciiTheme="minorHAnsi" w:eastAsia="Arial" w:hAnsiTheme="minorHAnsi" w:cs="Arial"/>
                <w:color w:val="231F20"/>
                <w:spacing w:val="34"/>
                <w:sz w:val="18"/>
                <w:szCs w:val="18"/>
              </w:rPr>
              <w:t xml:space="preserve"> </w:t>
            </w:r>
            <w:r w:rsidRPr="00497699">
              <w:rPr>
                <w:rFonts w:asciiTheme="minorHAnsi" w:eastAsia="Arial" w:hAnsiTheme="minorHAnsi" w:cs="Arial"/>
                <w:color w:val="231F20"/>
                <w:sz w:val="18"/>
                <w:szCs w:val="18"/>
              </w:rPr>
              <w:t>p</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olonged</w:t>
            </w:r>
            <w:r w:rsidRPr="00497699">
              <w:rPr>
                <w:rFonts w:asciiTheme="minorHAnsi" w:eastAsia="Arial" w:hAnsiTheme="minorHAnsi" w:cs="Arial"/>
                <w:color w:val="231F20"/>
                <w:spacing w:val="50"/>
                <w:sz w:val="18"/>
                <w:szCs w:val="18"/>
              </w:rPr>
              <w:t xml:space="preserve"> </w:t>
            </w:r>
            <w:r w:rsidRPr="00497699">
              <w:rPr>
                <w:rFonts w:asciiTheme="minorHAnsi" w:eastAsia="Arial" w:hAnsiTheme="minorHAnsi" w:cs="Arial"/>
                <w:color w:val="231F20"/>
                <w:w w:val="105"/>
                <w:sz w:val="18"/>
                <w:szCs w:val="18"/>
              </w:rPr>
              <w:t xml:space="preserve">bleeding </w:t>
            </w:r>
            <w:r w:rsidRPr="00497699">
              <w:rPr>
                <w:rFonts w:asciiTheme="minorHAnsi" w:eastAsia="Arial" w:hAnsiTheme="minorHAnsi" w:cs="Arial"/>
                <w:color w:val="231F20"/>
                <w:sz w:val="18"/>
                <w:szCs w:val="18"/>
              </w:rPr>
              <w:t>with</w:t>
            </w:r>
            <w:r w:rsidRPr="00497699">
              <w:rPr>
                <w:rFonts w:asciiTheme="minorHAnsi" w:eastAsia="Arial" w:hAnsiTheme="minorHAnsi" w:cs="Arial"/>
                <w:color w:val="231F20"/>
                <w:spacing w:val="24"/>
                <w:sz w:val="18"/>
                <w:szCs w:val="18"/>
              </w:rPr>
              <w:t xml:space="preserve"> </w:t>
            </w:r>
            <w:r w:rsidRPr="00497699">
              <w:rPr>
                <w:rFonts w:asciiTheme="minorHAnsi" w:eastAsia="Arial" w:hAnsiTheme="minorHAnsi" w:cs="Arial"/>
                <w:color w:val="231F20"/>
                <w:sz w:val="18"/>
                <w:szCs w:val="18"/>
              </w:rPr>
              <w:t>minor</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trauma</w:t>
            </w:r>
            <w:r w:rsidRPr="00497699">
              <w:rPr>
                <w:rFonts w:asciiTheme="minorHAnsi" w:eastAsia="Arial" w:hAnsiTheme="minorHAnsi" w:cs="Arial"/>
                <w:color w:val="231F20"/>
                <w:spacing w:val="11"/>
                <w:sz w:val="18"/>
                <w:szCs w:val="18"/>
              </w:rPr>
              <w:t xml:space="preserve"> </w:t>
            </w:r>
            <w:r w:rsidRPr="00497699">
              <w:rPr>
                <w:rFonts w:asciiTheme="minorHAnsi" w:eastAsia="Arial" w:hAnsiTheme="minorHAnsi" w:cs="Arial"/>
                <w:color w:val="231F20"/>
                <w:sz w:val="18"/>
                <w:szCs w:val="18"/>
              </w:rPr>
              <w:t>or</w:t>
            </w:r>
            <w:r w:rsidRPr="00497699">
              <w:rPr>
                <w:rFonts w:asciiTheme="minorHAnsi" w:eastAsia="Arial" w:hAnsiTheme="minorHAnsi" w:cs="Arial"/>
                <w:color w:val="231F20"/>
                <w:spacing w:val="15"/>
                <w:sz w:val="18"/>
                <w:szCs w:val="18"/>
              </w:rPr>
              <w:t xml:space="preserve"> </w:t>
            </w:r>
            <w:r w:rsidRPr="00497699">
              <w:rPr>
                <w:rFonts w:asciiTheme="minorHAnsi" w:eastAsia="Arial" w:hAnsiTheme="minorHAnsi" w:cs="Arial"/>
                <w:color w:val="231F20"/>
                <w:sz w:val="18"/>
                <w:szCs w:val="18"/>
              </w:rPr>
              <w:t>su</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gery</w:t>
            </w:r>
          </w:p>
        </w:tc>
      </w:tr>
      <w:tr w:rsidR="00E928C0" w:rsidRPr="00497699" w:rsidTr="00041ED2">
        <w:trPr>
          <w:trHeight w:hRule="exact" w:val="988"/>
        </w:trPr>
        <w:tc>
          <w:tcPr>
            <w:tcW w:w="2343"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sz w:val="18"/>
                <w:szCs w:val="18"/>
              </w:rPr>
            </w:pPr>
            <w:r w:rsidRPr="00497699">
              <w:rPr>
                <w:rFonts w:asciiTheme="minorHAnsi" w:eastAsia="Arial" w:hAnsiTheme="minorHAnsi" w:cs="Arial"/>
                <w:color w:val="231F20"/>
                <w:w w:val="109"/>
                <w:sz w:val="18"/>
                <w:szCs w:val="18"/>
              </w:rPr>
              <w:t>Mild</w:t>
            </w:r>
          </w:p>
        </w:tc>
        <w:tc>
          <w:tcPr>
            <w:tcW w:w="3500"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sz w:val="18"/>
                <w:szCs w:val="18"/>
              </w:rPr>
            </w:pPr>
            <w:r w:rsidRPr="00497699">
              <w:rPr>
                <w:rFonts w:asciiTheme="minorHAnsi" w:eastAsia="Arial" w:hAnsiTheme="minorHAnsi" w:cs="Arial"/>
                <w:color w:val="231F20"/>
                <w:sz w:val="18"/>
                <w:szCs w:val="18"/>
              </w:rPr>
              <w:t>5-40</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IU/dl</w:t>
            </w:r>
            <w:r w:rsidRPr="00497699">
              <w:rPr>
                <w:rFonts w:asciiTheme="minorHAnsi" w:eastAsia="Arial" w:hAnsiTheme="minorHAnsi" w:cs="Arial"/>
                <w:color w:val="231F20"/>
                <w:spacing w:val="27"/>
                <w:sz w:val="18"/>
                <w:szCs w:val="18"/>
              </w:rPr>
              <w:t xml:space="preserve"> </w:t>
            </w:r>
            <w:r w:rsidRPr="00497699">
              <w:rPr>
                <w:rFonts w:asciiTheme="minorHAnsi" w:eastAsia="Arial" w:hAnsiTheme="minorHAnsi" w:cs="Arial"/>
                <w:color w:val="231F20"/>
                <w:sz w:val="18"/>
                <w:szCs w:val="18"/>
              </w:rPr>
              <w:t>(0.05-0.40</w:t>
            </w:r>
            <w:r w:rsidRPr="00497699">
              <w:rPr>
                <w:rFonts w:asciiTheme="minorHAnsi" w:eastAsia="Arial" w:hAnsiTheme="minorHAnsi" w:cs="Arial"/>
                <w:color w:val="231F20"/>
                <w:spacing w:val="-11"/>
                <w:sz w:val="18"/>
                <w:szCs w:val="18"/>
              </w:rPr>
              <w:t xml:space="preserve"> </w:t>
            </w:r>
            <w:r w:rsidRPr="00497699">
              <w:rPr>
                <w:rFonts w:asciiTheme="minorHAnsi" w:eastAsia="Arial" w:hAnsiTheme="minorHAnsi" w:cs="Arial"/>
                <w:color w:val="231F20"/>
                <w:sz w:val="18"/>
                <w:szCs w:val="18"/>
              </w:rPr>
              <w:t>IU/ml)</w:t>
            </w:r>
            <w:r w:rsidRPr="00497699">
              <w:rPr>
                <w:rFonts w:asciiTheme="minorHAnsi" w:eastAsia="Arial" w:hAnsiTheme="minorHAnsi" w:cs="Arial"/>
                <w:color w:val="231F20"/>
                <w:spacing w:val="10"/>
                <w:sz w:val="18"/>
                <w:szCs w:val="18"/>
              </w:rPr>
              <w:t xml:space="preserve"> </w:t>
            </w:r>
            <w:r w:rsidRPr="00497699">
              <w:rPr>
                <w:rFonts w:asciiTheme="minorHAnsi" w:eastAsia="Arial" w:hAnsiTheme="minorHAnsi" w:cs="Arial"/>
                <w:color w:val="231F20"/>
                <w:w w:val="106"/>
                <w:sz w:val="18"/>
                <w:szCs w:val="18"/>
              </w:rPr>
              <w:t>or</w:t>
            </w:r>
          </w:p>
          <w:p w:rsidR="00E928C0" w:rsidRPr="00497699" w:rsidRDefault="00E928C0" w:rsidP="002A1763">
            <w:pPr>
              <w:spacing w:before="13" w:after="0"/>
              <w:ind w:left="80" w:right="-20"/>
              <w:rPr>
                <w:rFonts w:asciiTheme="minorHAnsi" w:eastAsia="Arial" w:hAnsiTheme="minorHAnsi" w:cs="Arial"/>
                <w:sz w:val="18"/>
                <w:szCs w:val="18"/>
              </w:rPr>
            </w:pPr>
            <w:r w:rsidRPr="00497699">
              <w:rPr>
                <w:rFonts w:asciiTheme="minorHAnsi" w:eastAsia="Arial" w:hAnsiTheme="minorHAnsi" w:cs="Arial"/>
                <w:color w:val="231F20"/>
                <w:sz w:val="18"/>
                <w:szCs w:val="18"/>
              </w:rPr>
              <w:t>5-&lt;40%</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w w:val="101"/>
                <w:sz w:val="18"/>
                <w:szCs w:val="18"/>
              </w:rPr>
              <w:t>normal</w:t>
            </w:r>
          </w:p>
        </w:tc>
        <w:tc>
          <w:tcPr>
            <w:tcW w:w="3796"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line="255" w:lineRule="auto"/>
              <w:ind w:left="80" w:right="903"/>
              <w:rPr>
                <w:rFonts w:asciiTheme="minorHAnsi" w:eastAsia="Arial" w:hAnsiTheme="minorHAnsi" w:cs="Arial"/>
                <w:sz w:val="18"/>
                <w:szCs w:val="18"/>
              </w:rPr>
            </w:pPr>
            <w:r w:rsidRPr="00497699">
              <w:rPr>
                <w:rFonts w:asciiTheme="minorHAnsi" w:eastAsia="Arial" w:hAnsiTheme="minorHAnsi" w:cs="Arial"/>
                <w:color w:val="231F20"/>
                <w:sz w:val="18"/>
                <w:szCs w:val="18"/>
              </w:rPr>
              <w:t>Seve</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bleeding</w:t>
            </w:r>
            <w:r w:rsidRPr="00497699">
              <w:rPr>
                <w:rFonts w:asciiTheme="minorHAnsi" w:eastAsia="Arial" w:hAnsiTheme="minorHAnsi" w:cs="Arial"/>
                <w:color w:val="231F20"/>
                <w:spacing w:val="39"/>
                <w:sz w:val="18"/>
                <w:szCs w:val="18"/>
              </w:rPr>
              <w:t xml:space="preserve"> </w:t>
            </w:r>
            <w:r w:rsidRPr="00497699">
              <w:rPr>
                <w:rFonts w:asciiTheme="minorHAnsi" w:eastAsia="Arial" w:hAnsiTheme="minorHAnsi" w:cs="Arial"/>
                <w:color w:val="231F20"/>
                <w:sz w:val="18"/>
                <w:szCs w:val="18"/>
              </w:rPr>
              <w:t>with</w:t>
            </w:r>
            <w:r w:rsidRPr="00497699">
              <w:rPr>
                <w:rFonts w:asciiTheme="minorHAnsi" w:eastAsia="Arial" w:hAnsiTheme="minorHAnsi" w:cs="Arial"/>
                <w:color w:val="231F20"/>
                <w:spacing w:val="24"/>
                <w:sz w:val="18"/>
                <w:szCs w:val="18"/>
              </w:rPr>
              <w:t xml:space="preserve"> </w:t>
            </w:r>
            <w:r w:rsidRPr="00497699">
              <w:rPr>
                <w:rFonts w:asciiTheme="minorHAnsi" w:eastAsia="Arial" w:hAnsiTheme="minorHAnsi" w:cs="Arial"/>
                <w:color w:val="231F20"/>
                <w:sz w:val="18"/>
                <w:szCs w:val="18"/>
              </w:rPr>
              <w:t>major</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z w:val="18"/>
                <w:szCs w:val="18"/>
              </w:rPr>
              <w:t>trauma</w:t>
            </w:r>
            <w:r w:rsidRPr="00497699">
              <w:rPr>
                <w:rFonts w:asciiTheme="minorHAnsi" w:eastAsia="Arial" w:hAnsiTheme="minorHAnsi" w:cs="Arial"/>
                <w:color w:val="231F20"/>
                <w:spacing w:val="11"/>
                <w:sz w:val="18"/>
                <w:szCs w:val="18"/>
              </w:rPr>
              <w:t xml:space="preserve"> </w:t>
            </w:r>
            <w:r w:rsidRPr="00497699">
              <w:rPr>
                <w:rFonts w:asciiTheme="minorHAnsi" w:eastAsia="Arial" w:hAnsiTheme="minorHAnsi" w:cs="Arial"/>
                <w:color w:val="231F20"/>
                <w:sz w:val="18"/>
                <w:szCs w:val="18"/>
              </w:rPr>
              <w:t>or</w:t>
            </w:r>
            <w:r w:rsidRPr="00497699">
              <w:rPr>
                <w:rFonts w:asciiTheme="minorHAnsi" w:eastAsia="Arial" w:hAnsiTheme="minorHAnsi" w:cs="Arial"/>
                <w:color w:val="231F20"/>
                <w:spacing w:val="15"/>
                <w:sz w:val="18"/>
                <w:szCs w:val="18"/>
              </w:rPr>
              <w:t xml:space="preserve"> </w:t>
            </w:r>
            <w:r w:rsidRPr="00497699">
              <w:rPr>
                <w:rFonts w:asciiTheme="minorHAnsi" w:eastAsia="Arial" w:hAnsiTheme="minorHAnsi" w:cs="Arial"/>
                <w:color w:val="231F20"/>
                <w:sz w:val="18"/>
                <w:szCs w:val="18"/>
              </w:rPr>
              <w:t>su</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ger</w:t>
            </w:r>
            <w:r w:rsidRPr="00497699">
              <w:rPr>
                <w:rFonts w:asciiTheme="minorHAnsi" w:eastAsia="Arial" w:hAnsiTheme="minorHAnsi" w:cs="Arial"/>
                <w:color w:val="231F20"/>
                <w:spacing w:val="-13"/>
                <w:sz w:val="18"/>
                <w:szCs w:val="18"/>
              </w:rPr>
              <w:t>y</w:t>
            </w:r>
            <w:r w:rsidRPr="00497699">
              <w:rPr>
                <w:rFonts w:asciiTheme="minorHAnsi" w:eastAsia="Arial" w:hAnsiTheme="minorHAnsi" w:cs="Arial"/>
                <w:color w:val="231F20"/>
                <w:sz w:val="18"/>
                <w:szCs w:val="18"/>
              </w:rPr>
              <w:t>. Spontaneous</w:t>
            </w:r>
            <w:r w:rsidRPr="00497699">
              <w:rPr>
                <w:rFonts w:asciiTheme="minorHAnsi" w:eastAsia="Arial" w:hAnsiTheme="minorHAnsi" w:cs="Arial"/>
                <w:color w:val="231F20"/>
                <w:spacing w:val="-6"/>
                <w:sz w:val="18"/>
                <w:szCs w:val="18"/>
              </w:rPr>
              <w:t xml:space="preserve"> </w:t>
            </w:r>
            <w:r w:rsidRPr="00497699">
              <w:rPr>
                <w:rFonts w:asciiTheme="minorHAnsi" w:eastAsia="Arial" w:hAnsiTheme="minorHAnsi" w:cs="Arial"/>
                <w:color w:val="231F20"/>
                <w:sz w:val="18"/>
                <w:szCs w:val="18"/>
              </w:rPr>
              <w:t>bleeding</w:t>
            </w:r>
            <w:r w:rsidRPr="00497699">
              <w:rPr>
                <w:rFonts w:asciiTheme="minorHAnsi" w:eastAsia="Arial" w:hAnsiTheme="minorHAnsi" w:cs="Arial"/>
                <w:color w:val="231F20"/>
                <w:spacing w:val="39"/>
                <w:sz w:val="18"/>
                <w:szCs w:val="18"/>
              </w:rPr>
              <w:t xml:space="preserve"> </w:t>
            </w:r>
            <w:r w:rsidRPr="00497699">
              <w:rPr>
                <w:rFonts w:asciiTheme="minorHAnsi" w:eastAsia="Arial" w:hAnsiTheme="minorHAnsi" w:cs="Arial"/>
                <w:color w:val="231F20"/>
                <w:sz w:val="18"/>
                <w:szCs w:val="18"/>
              </w:rPr>
              <w:t>is</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ra</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w:t>
            </w:r>
          </w:p>
        </w:tc>
      </w:tr>
    </w:tbl>
    <w:p w:rsidR="00E928C0" w:rsidRPr="00497699" w:rsidRDefault="00E928C0" w:rsidP="00E928C0">
      <w:pPr>
        <w:spacing w:before="42" w:after="0" w:line="180" w:lineRule="exact"/>
        <w:ind w:left="5760" w:right="508" w:hanging="5040"/>
        <w:rPr>
          <w:rFonts w:asciiTheme="minorHAnsi" w:eastAsia="Arial" w:hAnsiTheme="minorHAnsi" w:cs="Arial"/>
          <w:color w:val="231F20"/>
          <w:spacing w:val="-13"/>
          <w:sz w:val="16"/>
          <w:szCs w:val="16"/>
        </w:rPr>
      </w:pPr>
    </w:p>
    <w:p w:rsidR="00E928C0" w:rsidRPr="00497699" w:rsidRDefault="005E01A8" w:rsidP="00041ED2">
      <w:pPr>
        <w:tabs>
          <w:tab w:val="left" w:pos="4820"/>
        </w:tabs>
        <w:spacing w:before="42" w:after="0" w:line="180" w:lineRule="exact"/>
        <w:ind w:left="0" w:right="508"/>
        <w:rPr>
          <w:rStyle w:val="A8"/>
          <w:rFonts w:asciiTheme="minorHAnsi" w:eastAsia="Dotum" w:hAnsiTheme="minorHAnsi" w:cs="Avenir LT Std 55 Roman"/>
          <w:b/>
          <w:color w:val="221E1F"/>
          <w:sz w:val="22"/>
          <w:szCs w:val="24"/>
          <w:lang w:eastAsia="en-US"/>
        </w:rPr>
      </w:pPr>
      <w:r>
        <w:rPr>
          <w:rStyle w:val="A8"/>
          <w:rFonts w:asciiTheme="minorHAnsi" w:eastAsia="Dotum" w:hAnsiTheme="minorHAnsi" w:cs="Avenir LT Std 55 Roman"/>
          <w:b/>
          <w:color w:val="221E1F"/>
          <w:sz w:val="22"/>
          <w:szCs w:val="24"/>
          <w:lang w:eastAsia="en-US"/>
        </w:rPr>
        <w:t xml:space="preserve">TABLE 1-2: </w:t>
      </w:r>
      <w:r>
        <w:rPr>
          <w:rStyle w:val="A8"/>
          <w:rFonts w:asciiTheme="minorHAnsi" w:eastAsia="Dotum" w:hAnsiTheme="minorHAnsi" w:cs="Avenir LT Std 55 Roman"/>
          <w:b/>
          <w:color w:val="221E1F"/>
          <w:sz w:val="22"/>
          <w:szCs w:val="24"/>
          <w:lang w:eastAsia="en-US"/>
        </w:rPr>
        <w:tab/>
      </w:r>
      <w:r w:rsidR="00E928C0" w:rsidRPr="00497699">
        <w:rPr>
          <w:rStyle w:val="A8"/>
          <w:rFonts w:asciiTheme="minorHAnsi" w:eastAsia="Dotum" w:hAnsiTheme="minorHAnsi" w:cs="Avenir LT Std 55 Roman"/>
          <w:b/>
          <w:color w:val="221E1F"/>
          <w:sz w:val="22"/>
          <w:szCs w:val="24"/>
          <w:lang w:eastAsia="en-US"/>
        </w:rPr>
        <w:t>TABLE 1-3:</w:t>
      </w:r>
    </w:p>
    <w:p w:rsidR="00E928C0" w:rsidRPr="00497699" w:rsidRDefault="00E928C0" w:rsidP="00041ED2">
      <w:pPr>
        <w:tabs>
          <w:tab w:val="left" w:pos="4820"/>
        </w:tabs>
        <w:spacing w:before="42" w:after="0" w:line="180" w:lineRule="exact"/>
        <w:ind w:left="0" w:right="508"/>
        <w:rPr>
          <w:rFonts w:asciiTheme="minorHAnsi" w:hAnsiTheme="minorHAnsi" w:cs="Avenir LT Std 55 Roman"/>
          <w:b/>
          <w:color w:val="221E1F"/>
          <w:szCs w:val="24"/>
          <w:lang w:eastAsia="en-US"/>
        </w:rPr>
      </w:pPr>
      <w:r w:rsidRPr="00497699">
        <w:rPr>
          <w:rStyle w:val="A8"/>
          <w:rFonts w:asciiTheme="minorHAnsi" w:eastAsia="Dotum" w:hAnsiTheme="minorHAnsi" w:cs="Avenir LT Std 55 Roman"/>
          <w:b/>
          <w:color w:val="221E1F"/>
          <w:sz w:val="22"/>
          <w:szCs w:val="24"/>
          <w:lang w:eastAsia="en-US"/>
        </w:rPr>
        <w:t xml:space="preserve">SITES OF BLEEDING IN HAEMOPHILIA </w:t>
      </w:r>
      <w:r w:rsidRPr="00497699">
        <w:rPr>
          <w:rStyle w:val="A8"/>
          <w:rFonts w:asciiTheme="minorHAnsi" w:eastAsia="Dotum" w:hAnsiTheme="minorHAnsi" w:cs="Avenir LT Std 55 Roman"/>
          <w:b/>
          <w:color w:val="221E1F"/>
          <w:sz w:val="22"/>
          <w:szCs w:val="24"/>
          <w:vertAlign w:val="superscript"/>
          <w:lang w:eastAsia="en-US"/>
        </w:rPr>
        <w:t>[63]</w:t>
      </w:r>
      <w:r w:rsidRPr="00497699">
        <w:rPr>
          <w:rFonts w:asciiTheme="minorHAnsi" w:eastAsia="Arial" w:hAnsiTheme="minorHAnsi" w:cs="Arial"/>
          <w:b/>
          <w:color w:val="231F20"/>
          <w:spacing w:val="-13"/>
          <w:sz w:val="18"/>
          <w:szCs w:val="18"/>
        </w:rPr>
        <w:t xml:space="preserve">    </w:t>
      </w:r>
      <w:r w:rsidR="005E01A8">
        <w:rPr>
          <w:rStyle w:val="A8"/>
          <w:rFonts w:asciiTheme="minorHAnsi" w:eastAsia="Dotum" w:hAnsiTheme="minorHAnsi" w:cs="Avenir LT Std 55 Roman"/>
          <w:b/>
          <w:color w:val="221E1F"/>
          <w:sz w:val="22"/>
          <w:szCs w:val="24"/>
          <w:lang w:eastAsia="en-US"/>
        </w:rPr>
        <w:tab/>
      </w:r>
      <w:r w:rsidRPr="00497699">
        <w:rPr>
          <w:rStyle w:val="A8"/>
          <w:rFonts w:asciiTheme="minorHAnsi" w:eastAsia="Dotum" w:hAnsiTheme="minorHAnsi" w:cs="Avenir LT Std 55 Roman"/>
          <w:b/>
          <w:color w:val="221E1F"/>
          <w:sz w:val="22"/>
          <w:szCs w:val="24"/>
          <w:lang w:eastAsia="en-US"/>
        </w:rPr>
        <w:t>APPROXIMATE FREQUENC</w:t>
      </w:r>
      <w:r w:rsidR="005E01A8">
        <w:rPr>
          <w:rStyle w:val="A8"/>
          <w:rFonts w:asciiTheme="minorHAnsi" w:eastAsia="Dotum" w:hAnsiTheme="minorHAnsi" w:cs="Avenir LT Std 55 Roman"/>
          <w:b/>
          <w:color w:val="221E1F"/>
          <w:sz w:val="22"/>
          <w:szCs w:val="24"/>
          <w:lang w:eastAsia="en-US"/>
        </w:rPr>
        <w:t>Y IN</w:t>
      </w:r>
      <w:r w:rsidR="005E01A8">
        <w:rPr>
          <w:rStyle w:val="A8"/>
          <w:rFonts w:asciiTheme="minorHAnsi" w:eastAsia="Dotum" w:hAnsiTheme="minorHAnsi" w:cs="Avenir LT Std 55 Roman"/>
          <w:b/>
          <w:color w:val="221E1F"/>
          <w:sz w:val="22"/>
          <w:szCs w:val="24"/>
          <w:lang w:eastAsia="en-US"/>
        </w:rPr>
        <w:tab/>
      </w:r>
      <w:r w:rsidRPr="00497699">
        <w:rPr>
          <w:rStyle w:val="A8"/>
          <w:rFonts w:asciiTheme="minorHAnsi" w:eastAsia="Dotum" w:hAnsiTheme="minorHAnsi" w:cs="Avenir LT Std 55 Roman"/>
          <w:b/>
          <w:color w:val="221E1F"/>
          <w:sz w:val="22"/>
          <w:szCs w:val="24"/>
          <w:lang w:eastAsia="en-US"/>
        </w:rPr>
        <w:t xml:space="preserve">BLEEDING AT DIFFERENT </w:t>
      </w:r>
      <w:r w:rsidR="002A1763">
        <w:rPr>
          <w:rStyle w:val="A8"/>
          <w:rFonts w:asciiTheme="minorHAnsi" w:eastAsia="Dotum" w:hAnsiTheme="minorHAnsi" w:cs="Avenir LT Std 55 Roman"/>
          <w:b/>
          <w:color w:val="221E1F"/>
          <w:sz w:val="22"/>
          <w:szCs w:val="24"/>
          <w:lang w:eastAsia="en-US"/>
        </w:rPr>
        <w:t>S</w:t>
      </w:r>
      <w:r w:rsidR="005E01A8">
        <w:rPr>
          <w:rStyle w:val="A8"/>
          <w:rFonts w:asciiTheme="minorHAnsi" w:eastAsia="Dotum" w:hAnsiTheme="minorHAnsi" w:cs="Avenir LT Std 55 Roman"/>
          <w:b/>
          <w:color w:val="221E1F"/>
          <w:sz w:val="22"/>
          <w:szCs w:val="24"/>
          <w:lang w:eastAsia="en-US"/>
        </w:rPr>
        <w:t>ITES</w:t>
      </w:r>
    </w:p>
    <w:tbl>
      <w:tblPr>
        <w:tblpPr w:leftFromText="180" w:rightFromText="180" w:vertAnchor="text" w:horzAnchor="margin" w:tblpXSpec="right" w:tblpY="70"/>
        <w:tblW w:w="0" w:type="auto"/>
        <w:tblLayout w:type="fixed"/>
        <w:tblCellMar>
          <w:left w:w="0" w:type="dxa"/>
          <w:right w:w="0" w:type="dxa"/>
        </w:tblCellMar>
        <w:tblLook w:val="01E0" w:firstRow="1" w:lastRow="1" w:firstColumn="1" w:lastColumn="1" w:noHBand="0" w:noVBand="0"/>
      </w:tblPr>
      <w:tblGrid>
        <w:gridCol w:w="3119"/>
        <w:gridCol w:w="1489"/>
      </w:tblGrid>
      <w:tr w:rsidR="00E928C0" w:rsidRPr="00497699" w:rsidTr="00041ED2">
        <w:trPr>
          <w:trHeight w:hRule="exact" w:val="785"/>
        </w:trPr>
        <w:tc>
          <w:tcPr>
            <w:tcW w:w="3119"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SITE OF BLEEDING</w:t>
            </w:r>
          </w:p>
        </w:tc>
        <w:tc>
          <w:tcPr>
            <w:tcW w:w="1489"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APPROXIMATE</w:t>
            </w:r>
          </w:p>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FREQUENCY</w:t>
            </w:r>
          </w:p>
        </w:tc>
      </w:tr>
      <w:tr w:rsidR="00E928C0" w:rsidRPr="00497699" w:rsidTr="00041ED2">
        <w:trPr>
          <w:trHeight w:hRule="exact" w:val="1692"/>
        </w:trPr>
        <w:tc>
          <w:tcPr>
            <w:tcW w:w="3119"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Haemarthrosis</w:t>
            </w:r>
          </w:p>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Arial" w:eastAsia="Arial" w:hAnsi="Arial" w:cs="Arial"/>
                <w:color w:val="231F20"/>
                <w:sz w:val="18"/>
                <w:szCs w:val="18"/>
              </w:rPr>
              <w:t>■</w:t>
            </w:r>
            <w:r w:rsidRPr="00497699">
              <w:rPr>
                <w:rFonts w:asciiTheme="minorHAnsi" w:eastAsia="Arial" w:hAnsiTheme="minorHAnsi" w:cs="Arial"/>
                <w:color w:val="231F20"/>
                <w:sz w:val="18"/>
                <w:szCs w:val="18"/>
              </w:rPr>
              <w:t xml:space="preserve">  more common into hinged joints:</w:t>
            </w:r>
          </w:p>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ankles, knees, and elbows</w:t>
            </w:r>
          </w:p>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Arial" w:eastAsia="Arial" w:hAnsi="Arial" w:cs="Arial"/>
                <w:color w:val="231F20"/>
                <w:sz w:val="18"/>
                <w:szCs w:val="18"/>
              </w:rPr>
              <w:t>■</w:t>
            </w:r>
            <w:r w:rsidRPr="00497699">
              <w:rPr>
                <w:rFonts w:asciiTheme="minorHAnsi" w:eastAsia="Arial" w:hAnsiTheme="minorHAnsi" w:cs="Arial"/>
                <w:color w:val="231F20"/>
                <w:sz w:val="18"/>
                <w:szCs w:val="18"/>
              </w:rPr>
              <w:t xml:space="preserve">  less  common into multi-axial joints:</w:t>
            </w:r>
          </w:p>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shoulders, wrists, hips</w:t>
            </w:r>
          </w:p>
        </w:tc>
        <w:tc>
          <w:tcPr>
            <w:tcW w:w="1489"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70%-80%</w:t>
            </w:r>
          </w:p>
        </w:tc>
      </w:tr>
      <w:tr w:rsidR="00E928C0" w:rsidRPr="00497699" w:rsidTr="00041ED2">
        <w:trPr>
          <w:trHeight w:hRule="exact" w:val="456"/>
        </w:trPr>
        <w:tc>
          <w:tcPr>
            <w:tcW w:w="3119"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sz w:val="18"/>
                <w:szCs w:val="18"/>
              </w:rPr>
            </w:pPr>
            <w:r w:rsidRPr="00497699">
              <w:rPr>
                <w:rFonts w:asciiTheme="minorHAnsi" w:eastAsia="Arial" w:hAnsiTheme="minorHAnsi" w:cs="Arial"/>
                <w:color w:val="231F20"/>
                <w:sz w:val="18"/>
                <w:szCs w:val="18"/>
              </w:rPr>
              <w:t>Muscle</w:t>
            </w:r>
          </w:p>
        </w:tc>
        <w:tc>
          <w:tcPr>
            <w:tcW w:w="1489"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sz w:val="18"/>
                <w:szCs w:val="18"/>
              </w:rPr>
            </w:pPr>
            <w:r w:rsidRPr="00497699">
              <w:rPr>
                <w:rFonts w:asciiTheme="minorHAnsi" w:eastAsia="Arial" w:hAnsiTheme="minorHAnsi" w:cs="Arial"/>
                <w:color w:val="231F20"/>
                <w:sz w:val="18"/>
                <w:szCs w:val="18"/>
              </w:rPr>
              <w:t>10%–20%</w:t>
            </w:r>
          </w:p>
        </w:tc>
      </w:tr>
      <w:tr w:rsidR="00E928C0" w:rsidRPr="00497699" w:rsidTr="00041ED2">
        <w:trPr>
          <w:trHeight w:hRule="exact" w:val="456"/>
        </w:trPr>
        <w:tc>
          <w:tcPr>
            <w:tcW w:w="3119"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sz w:val="18"/>
                <w:szCs w:val="18"/>
              </w:rPr>
            </w:pPr>
            <w:r w:rsidRPr="00497699">
              <w:rPr>
                <w:rFonts w:asciiTheme="minorHAnsi" w:eastAsia="Arial" w:hAnsiTheme="minorHAnsi" w:cs="Arial"/>
                <w:color w:val="231F20"/>
                <w:sz w:val="18"/>
                <w:szCs w:val="18"/>
              </w:rPr>
              <w:t>Other</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sz w:val="18"/>
                <w:szCs w:val="18"/>
              </w:rPr>
              <w:t>major</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w w:val="101"/>
                <w:sz w:val="18"/>
                <w:szCs w:val="18"/>
              </w:rPr>
              <w:t>bleeds</w:t>
            </w:r>
          </w:p>
        </w:tc>
        <w:tc>
          <w:tcPr>
            <w:tcW w:w="1489"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sz w:val="18"/>
                <w:szCs w:val="18"/>
              </w:rPr>
            </w:pPr>
            <w:r w:rsidRPr="00497699">
              <w:rPr>
                <w:rFonts w:asciiTheme="minorHAnsi" w:eastAsia="Arial" w:hAnsiTheme="minorHAnsi" w:cs="Arial"/>
                <w:color w:val="231F20"/>
                <w:sz w:val="18"/>
                <w:szCs w:val="18"/>
              </w:rPr>
              <w:t>5%–10%</w:t>
            </w:r>
          </w:p>
        </w:tc>
      </w:tr>
      <w:tr w:rsidR="00E928C0" w:rsidRPr="00497699" w:rsidTr="00041ED2">
        <w:trPr>
          <w:trHeight w:hRule="exact" w:val="456"/>
        </w:trPr>
        <w:tc>
          <w:tcPr>
            <w:tcW w:w="3119"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Central nervous system (CNS)</w:t>
            </w:r>
          </w:p>
        </w:tc>
        <w:tc>
          <w:tcPr>
            <w:tcW w:w="1489" w:type="dxa"/>
            <w:tcBorders>
              <w:top w:val="single" w:sz="32" w:space="0" w:color="FFFFFF"/>
              <w:left w:val="single" w:sz="32" w:space="0" w:color="FFFFFF"/>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5%</w:t>
            </w:r>
          </w:p>
        </w:tc>
      </w:tr>
    </w:tbl>
    <w:tbl>
      <w:tblPr>
        <w:tblpPr w:leftFromText="180" w:rightFromText="180" w:vertAnchor="text" w:horzAnchor="margin" w:tblpY="101"/>
        <w:tblW w:w="0" w:type="auto"/>
        <w:tblLayout w:type="fixed"/>
        <w:tblCellMar>
          <w:left w:w="0" w:type="dxa"/>
          <w:right w:w="0" w:type="dxa"/>
        </w:tblCellMar>
        <w:tblLook w:val="01E0" w:firstRow="1" w:lastRow="1" w:firstColumn="1" w:lastColumn="1" w:noHBand="0" w:noVBand="0"/>
      </w:tblPr>
      <w:tblGrid>
        <w:gridCol w:w="1134"/>
        <w:gridCol w:w="3402"/>
      </w:tblGrid>
      <w:tr w:rsidR="00E928C0" w:rsidRPr="00497699" w:rsidTr="00041ED2">
        <w:trPr>
          <w:trHeight w:hRule="exact" w:val="456"/>
        </w:trPr>
        <w:tc>
          <w:tcPr>
            <w:tcW w:w="1134" w:type="dxa"/>
            <w:vMerge w:val="restart"/>
            <w:tcBorders>
              <w:top w:val="single" w:sz="32" w:space="0" w:color="FFFFFF"/>
              <w:left w:val="nil"/>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Serious</w:t>
            </w:r>
          </w:p>
        </w:tc>
        <w:tc>
          <w:tcPr>
            <w:tcW w:w="3402"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sz w:val="18"/>
                <w:szCs w:val="18"/>
              </w:rPr>
            </w:pPr>
            <w:r w:rsidRPr="00497699">
              <w:rPr>
                <w:rFonts w:asciiTheme="minorHAnsi" w:eastAsia="Arial" w:hAnsiTheme="minorHAnsi" w:cs="Arial"/>
                <w:color w:val="231F20"/>
                <w:sz w:val="18"/>
                <w:szCs w:val="18"/>
              </w:rPr>
              <w:t>Joints (haemarthrosis)</w:t>
            </w:r>
          </w:p>
          <w:p w:rsidR="00E928C0" w:rsidRPr="00497699" w:rsidRDefault="00E928C0" w:rsidP="002A1763">
            <w:pPr>
              <w:spacing w:before="87" w:after="0"/>
              <w:ind w:left="80" w:right="-20"/>
              <w:rPr>
                <w:rFonts w:asciiTheme="minorHAnsi" w:eastAsia="Arial" w:hAnsiTheme="minorHAnsi" w:cs="Arial"/>
                <w:sz w:val="18"/>
                <w:szCs w:val="18"/>
              </w:rPr>
            </w:pPr>
            <w:r w:rsidRPr="00497699">
              <w:rPr>
                <w:rFonts w:asciiTheme="minorHAnsi" w:eastAsia="Arial" w:hAnsiTheme="minorHAnsi" w:cs="Arial"/>
                <w:color w:val="231F20"/>
                <w:sz w:val="18"/>
                <w:szCs w:val="18"/>
              </w:rPr>
              <w:t>10%–20%</w:t>
            </w:r>
          </w:p>
        </w:tc>
      </w:tr>
      <w:tr w:rsidR="00E928C0" w:rsidRPr="00497699" w:rsidTr="00041ED2">
        <w:trPr>
          <w:trHeight w:hRule="exact" w:val="764"/>
        </w:trPr>
        <w:tc>
          <w:tcPr>
            <w:tcW w:w="1134" w:type="dxa"/>
            <w:vMerge/>
            <w:tcBorders>
              <w:left w:val="nil"/>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p>
        </w:tc>
        <w:tc>
          <w:tcPr>
            <w:tcW w:w="3402"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Muscles, especially deep compartments (iliopsoas, calf, and forearm)</w:t>
            </w:r>
          </w:p>
        </w:tc>
      </w:tr>
      <w:tr w:rsidR="00E928C0" w:rsidRPr="00497699" w:rsidTr="00041ED2">
        <w:trPr>
          <w:trHeight w:hRule="exact" w:val="703"/>
        </w:trPr>
        <w:tc>
          <w:tcPr>
            <w:tcW w:w="1134" w:type="dxa"/>
            <w:vMerge/>
            <w:tcBorders>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p>
        </w:tc>
        <w:tc>
          <w:tcPr>
            <w:tcW w:w="3402"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Mucous membranes in the mouth, gums, nose, and genitourinary tract</w:t>
            </w:r>
          </w:p>
        </w:tc>
      </w:tr>
      <w:tr w:rsidR="00E928C0" w:rsidRPr="00497699" w:rsidTr="00041ED2">
        <w:trPr>
          <w:trHeight w:hRule="exact" w:val="456"/>
        </w:trPr>
        <w:tc>
          <w:tcPr>
            <w:tcW w:w="1134" w:type="dxa"/>
            <w:vMerge w:val="restart"/>
            <w:tcBorders>
              <w:top w:val="single" w:sz="32" w:space="0" w:color="FFFFFF"/>
              <w:left w:val="nil"/>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Life-</w:t>
            </w:r>
          </w:p>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Threatening</w:t>
            </w:r>
          </w:p>
        </w:tc>
        <w:tc>
          <w:tcPr>
            <w:tcW w:w="3402"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 xml:space="preserve">Intracranial </w:t>
            </w:r>
          </w:p>
        </w:tc>
      </w:tr>
      <w:tr w:rsidR="00E928C0" w:rsidRPr="00497699" w:rsidTr="00041ED2">
        <w:trPr>
          <w:trHeight w:hRule="exact" w:val="456"/>
        </w:trPr>
        <w:tc>
          <w:tcPr>
            <w:tcW w:w="1134" w:type="dxa"/>
            <w:vMerge/>
            <w:tcBorders>
              <w:left w:val="nil"/>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p>
        </w:tc>
        <w:tc>
          <w:tcPr>
            <w:tcW w:w="3402"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Neck/throat</w:t>
            </w:r>
          </w:p>
        </w:tc>
      </w:tr>
      <w:tr w:rsidR="00E928C0" w:rsidRPr="00497699" w:rsidTr="00041ED2">
        <w:trPr>
          <w:trHeight w:hRule="exact" w:val="456"/>
        </w:trPr>
        <w:tc>
          <w:tcPr>
            <w:tcW w:w="1134" w:type="dxa"/>
            <w:vMerge/>
            <w:tcBorders>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p>
        </w:tc>
        <w:tc>
          <w:tcPr>
            <w:tcW w:w="3402"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8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Gastrointestinal</w:t>
            </w:r>
          </w:p>
        </w:tc>
      </w:tr>
    </w:tbl>
    <w:p w:rsidR="00E928C0" w:rsidRPr="00497699" w:rsidRDefault="00E928C0" w:rsidP="00E928C0">
      <w:pPr>
        <w:spacing w:before="40" w:after="0"/>
        <w:ind w:right="-64"/>
        <w:rPr>
          <w:rFonts w:asciiTheme="minorHAnsi" w:eastAsia="Arial" w:hAnsiTheme="minorHAnsi" w:cs="Arial"/>
          <w:sz w:val="16"/>
          <w:szCs w:val="16"/>
        </w:rPr>
      </w:pPr>
      <w:r w:rsidRPr="00497699">
        <w:rPr>
          <w:rFonts w:asciiTheme="minorHAnsi" w:eastAsia="Arial" w:hAnsiTheme="minorHAnsi" w:cs="Arial"/>
          <w:sz w:val="16"/>
          <w:szCs w:val="16"/>
        </w:rPr>
        <w:t xml:space="preserve">   </w:t>
      </w:r>
    </w:p>
    <w:p w:rsidR="00E928C0" w:rsidRPr="00497699" w:rsidRDefault="00E928C0" w:rsidP="00E928C0">
      <w:pPr>
        <w:spacing w:before="40" w:after="0"/>
        <w:ind w:right="-64"/>
        <w:rPr>
          <w:rFonts w:asciiTheme="minorHAnsi" w:eastAsia="Arial" w:hAnsiTheme="minorHAnsi" w:cs="Arial"/>
          <w:sz w:val="16"/>
          <w:szCs w:val="16"/>
        </w:rPr>
      </w:pPr>
    </w:p>
    <w:p w:rsidR="00E928C0" w:rsidRPr="00041ED2" w:rsidRDefault="00E928C0" w:rsidP="00041ED2">
      <w:pPr>
        <w:pStyle w:val="Heading3"/>
        <w:rPr>
          <w:rStyle w:val="A8"/>
          <w:bCs/>
        </w:rPr>
      </w:pPr>
      <w:bookmarkStart w:id="8" w:name="_Toc431484302"/>
      <w:r w:rsidRPr="00041ED2">
        <w:rPr>
          <w:rStyle w:val="A8"/>
          <w:bCs/>
        </w:rPr>
        <w:t>1.2 Principles of care</w:t>
      </w:r>
      <w:bookmarkEnd w:id="8"/>
      <w:r w:rsidRPr="00041ED2">
        <w:rPr>
          <w:rStyle w:val="A8"/>
          <w:bCs/>
        </w:rPr>
        <w:t xml:space="preserve"> </w:t>
      </w:r>
    </w:p>
    <w:p w:rsidR="00E928C0" w:rsidRPr="00497699" w:rsidRDefault="00E928C0" w:rsidP="00041ED2">
      <w:pPr>
        <w:pStyle w:val="Default"/>
        <w:spacing w:line="276" w:lineRule="auto"/>
        <w:ind w:left="1418" w:hanging="1418"/>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1.2.1 </w:t>
      </w:r>
      <w:r w:rsidRPr="00497699">
        <w:rPr>
          <w:rStyle w:val="A8"/>
          <w:rFonts w:asciiTheme="minorHAnsi" w:hAnsiTheme="minorHAnsi"/>
          <w:color w:val="221E1F"/>
          <w:sz w:val="22"/>
        </w:rPr>
        <w:tab/>
      </w:r>
      <w:r w:rsidRPr="00497699">
        <w:rPr>
          <w:rStyle w:val="A8"/>
          <w:rFonts w:asciiTheme="minorHAnsi" w:hAnsiTheme="minorHAnsi"/>
          <w:color w:val="221E1F"/>
          <w:sz w:val="22"/>
        </w:rPr>
        <w:tab/>
        <w:t xml:space="preserve">The primary aim of care is to prevent and treat bleeding with the deficient clotting factor. </w:t>
      </w:r>
    </w:p>
    <w:p w:rsidR="00E928C0" w:rsidRPr="00497699" w:rsidRDefault="00E928C0" w:rsidP="00E928C0">
      <w:pPr>
        <w:pStyle w:val="Default"/>
        <w:spacing w:line="276" w:lineRule="auto"/>
        <w:ind w:left="113"/>
        <w:rPr>
          <w:rStyle w:val="A8"/>
          <w:rFonts w:asciiTheme="minorHAnsi" w:hAnsiTheme="minorHAnsi"/>
          <w:color w:val="221E1F"/>
          <w:sz w:val="22"/>
        </w:rPr>
      </w:pPr>
    </w:p>
    <w:p w:rsidR="00E928C0"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1.2.2 </w:t>
      </w:r>
      <w:r w:rsidRPr="00497699">
        <w:rPr>
          <w:rStyle w:val="A8"/>
          <w:rFonts w:asciiTheme="minorHAnsi" w:hAnsiTheme="minorHAnsi"/>
          <w:color w:val="221E1F"/>
          <w:sz w:val="22"/>
        </w:rPr>
        <w:tab/>
      </w:r>
      <w:r w:rsidRPr="00497699">
        <w:rPr>
          <w:rStyle w:val="A8"/>
          <w:rFonts w:asciiTheme="minorHAnsi" w:hAnsiTheme="minorHAnsi"/>
          <w:color w:val="221E1F"/>
          <w:sz w:val="22"/>
        </w:rPr>
        <w:tab/>
        <w:t>Whenever possible, specific factor deficiency should be treated wit</w:t>
      </w:r>
      <w:r w:rsidR="00BB12A1">
        <w:rPr>
          <w:rStyle w:val="A8"/>
          <w:rFonts w:asciiTheme="minorHAnsi" w:hAnsiTheme="minorHAnsi"/>
          <w:color w:val="221E1F"/>
          <w:sz w:val="22"/>
        </w:rPr>
        <w:t>h specific factor concentrate.</w:t>
      </w:r>
    </w:p>
    <w:p w:rsidR="00BB12A1" w:rsidRPr="00497699" w:rsidRDefault="00BB12A1" w:rsidP="00041ED2">
      <w:pPr>
        <w:pStyle w:val="Default"/>
        <w:spacing w:line="276" w:lineRule="auto"/>
        <w:ind w:left="1433" w:hanging="1433"/>
        <w:rPr>
          <w:rStyle w:val="A8"/>
          <w:rFonts w:asciiTheme="minorHAnsi" w:hAnsiTheme="minorHAnsi" w:cs="Arial"/>
          <w:color w:val="221E1F"/>
          <w:sz w:val="22"/>
          <w:szCs w:val="28"/>
          <w:lang w:eastAsia="en-AU"/>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1.2.3 </w:t>
      </w:r>
      <w:r w:rsidRPr="00497699">
        <w:rPr>
          <w:rStyle w:val="A8"/>
          <w:rFonts w:asciiTheme="minorHAnsi" w:hAnsiTheme="minorHAnsi"/>
          <w:color w:val="221E1F"/>
          <w:sz w:val="22"/>
        </w:rPr>
        <w:tab/>
      </w:r>
      <w:r w:rsidRPr="00497699">
        <w:rPr>
          <w:rStyle w:val="A8"/>
          <w:rFonts w:asciiTheme="minorHAnsi" w:hAnsiTheme="minorHAnsi"/>
          <w:color w:val="221E1F"/>
          <w:sz w:val="22"/>
        </w:rPr>
        <w:tab/>
        <w:t xml:space="preserve">People with haemophilia are best managed in a comprehensive care setting (see ‘Comprehensive care’, section 1.3 and chapter 8).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color w:val="221E1F"/>
          <w:sz w:val="22"/>
          <w:szCs w:val="28"/>
          <w:lang w:eastAsia="en-AU"/>
        </w:rPr>
      </w:pPr>
      <w:r w:rsidRPr="00497699">
        <w:rPr>
          <w:rStyle w:val="A8"/>
          <w:rFonts w:asciiTheme="minorHAnsi" w:hAnsiTheme="minorHAnsi"/>
          <w:color w:val="221E1F"/>
          <w:sz w:val="22"/>
        </w:rPr>
        <w:t>1.2.4</w:t>
      </w:r>
      <w:r w:rsidRPr="00497699">
        <w:rPr>
          <w:rStyle w:val="A8"/>
          <w:rFonts w:asciiTheme="minorHAnsi" w:hAnsiTheme="minorHAnsi"/>
          <w:b/>
          <w:color w:val="221E1F"/>
          <w:sz w:val="22"/>
        </w:rPr>
        <w:t xml:space="preserve"> </w:t>
      </w:r>
      <w:r w:rsidRPr="00497699">
        <w:rPr>
          <w:rStyle w:val="A8"/>
          <w:rFonts w:asciiTheme="minorHAnsi" w:hAnsiTheme="minorHAnsi"/>
          <w:b/>
          <w:color w:val="221E1F"/>
          <w:sz w:val="22"/>
        </w:rPr>
        <w:tab/>
      </w:r>
      <w:r w:rsidRPr="00497699">
        <w:rPr>
          <w:rStyle w:val="A8"/>
          <w:rFonts w:asciiTheme="minorHAnsi" w:hAnsiTheme="minorHAnsi"/>
          <w:b/>
          <w:color w:val="221E1F"/>
          <w:sz w:val="22"/>
        </w:rPr>
        <w:tab/>
        <w:t>Acute bleeds should be treated as quickly as possible, either at home or in the hospital, preferably within two hours</w:t>
      </w:r>
      <w:r>
        <w:rPr>
          <w:rStyle w:val="A8"/>
          <w:rFonts w:asciiTheme="minorHAnsi" w:hAnsiTheme="minorHAnsi"/>
          <w:b/>
          <w:color w:val="221E1F"/>
          <w:sz w:val="22"/>
        </w:rPr>
        <w:t>, and should be not delayed by the performance of diagnostic investigations</w:t>
      </w:r>
      <w:r w:rsidRPr="00497699">
        <w:rPr>
          <w:rStyle w:val="A8"/>
          <w:rFonts w:asciiTheme="minorHAnsi" w:hAnsiTheme="minorHAnsi"/>
          <w:b/>
          <w:color w:val="221E1F"/>
          <w:sz w:val="22"/>
        </w:rPr>
        <w:t xml:space="preserve">. If in doubt, treat. </w:t>
      </w:r>
      <w:r w:rsidRPr="00497699">
        <w:rPr>
          <w:rStyle w:val="A8"/>
          <w:rFonts w:asciiTheme="minorHAnsi" w:hAnsiTheme="minorHAnsi"/>
          <w:b/>
          <w:color w:val="221E1F"/>
          <w:sz w:val="22"/>
          <w:vertAlign w:val="superscript"/>
        </w:rPr>
        <w:t>[2]</w:t>
      </w:r>
      <w:r w:rsidRPr="00497699">
        <w:rPr>
          <w:rStyle w:val="A8"/>
          <w:rFonts w:asciiTheme="minorHAnsi" w:hAnsiTheme="minorHAnsi"/>
          <w:b/>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1.2.5 </w:t>
      </w:r>
      <w:r w:rsidRPr="00497699">
        <w:rPr>
          <w:rStyle w:val="A8"/>
          <w:rFonts w:asciiTheme="minorHAnsi" w:hAnsiTheme="minorHAnsi"/>
          <w:color w:val="221E1F"/>
          <w:sz w:val="22"/>
        </w:rPr>
        <w:tab/>
      </w:r>
      <w:r w:rsidRPr="00497699">
        <w:rPr>
          <w:rStyle w:val="A8"/>
          <w:rFonts w:asciiTheme="minorHAnsi" w:hAnsiTheme="minorHAnsi"/>
          <w:color w:val="221E1F"/>
          <w:sz w:val="22"/>
        </w:rPr>
        <w:tab/>
        <w:t>Patients usually recognise early symptoms of bleeding even before the manifestation of phys</w:t>
      </w:r>
      <w:r w:rsidRPr="00497699">
        <w:rPr>
          <w:rStyle w:val="A8"/>
          <w:rFonts w:asciiTheme="minorHAnsi" w:hAnsiTheme="minorHAnsi"/>
          <w:color w:val="221E1F"/>
          <w:sz w:val="22"/>
        </w:rPr>
        <w:softHyphen/>
        <w:t xml:space="preserve">ical signs. This is often described as a tingling sensation or “aura”.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1.2.6 </w:t>
      </w:r>
      <w:r w:rsidRPr="00497699">
        <w:rPr>
          <w:rStyle w:val="A8"/>
          <w:rFonts w:asciiTheme="minorHAnsi" w:hAnsiTheme="minorHAnsi"/>
          <w:color w:val="221E1F"/>
          <w:sz w:val="22"/>
        </w:rPr>
        <w:tab/>
      </w:r>
      <w:r w:rsidRPr="00497699">
        <w:rPr>
          <w:rStyle w:val="A8"/>
          <w:rFonts w:asciiTheme="minorHAnsi" w:hAnsiTheme="minorHAnsi"/>
          <w:color w:val="221E1F"/>
          <w:sz w:val="22"/>
        </w:rPr>
        <w:tab/>
        <w:t>During an episode of acute bleeding, an assess</w:t>
      </w:r>
      <w:r w:rsidRPr="00497699">
        <w:rPr>
          <w:rStyle w:val="A8"/>
          <w:rFonts w:asciiTheme="minorHAnsi" w:hAnsiTheme="minorHAnsi"/>
          <w:color w:val="221E1F"/>
          <w:sz w:val="22"/>
        </w:rPr>
        <w:softHyphen/>
        <w:t>ment should be performed to identify the site of bleeding (if not clinically obvious) and appro</w:t>
      </w:r>
      <w:r w:rsidRPr="00497699">
        <w:rPr>
          <w:rStyle w:val="A8"/>
          <w:rFonts w:asciiTheme="minorHAnsi" w:hAnsiTheme="minorHAnsi"/>
          <w:color w:val="221E1F"/>
          <w:sz w:val="22"/>
        </w:rPr>
        <w:softHyphen/>
        <w:t xml:space="preserve">priate clotting factor should be administered. </w:t>
      </w:r>
    </w:p>
    <w:p w:rsidR="00E928C0" w:rsidRPr="00497699" w:rsidRDefault="00E928C0" w:rsidP="00E928C0">
      <w:pPr>
        <w:pStyle w:val="Default"/>
        <w:spacing w:line="276" w:lineRule="auto"/>
        <w:ind w:left="1433" w:hanging="1320"/>
        <w:jc w:val="both"/>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1.2.7 </w:t>
      </w:r>
      <w:r w:rsidRPr="00497699">
        <w:rPr>
          <w:rStyle w:val="A8"/>
          <w:rFonts w:asciiTheme="minorHAnsi" w:hAnsiTheme="minorHAnsi"/>
          <w:color w:val="221E1F"/>
          <w:sz w:val="22"/>
        </w:rPr>
        <w:tab/>
      </w:r>
      <w:r w:rsidRPr="00497699">
        <w:rPr>
          <w:rStyle w:val="A8"/>
          <w:rFonts w:asciiTheme="minorHAnsi" w:hAnsiTheme="minorHAnsi"/>
          <w:color w:val="221E1F"/>
          <w:sz w:val="22"/>
        </w:rPr>
        <w:tab/>
        <w:t xml:space="preserve">In severe bleeding episodes that are potentially life-threatening, especially in the head, neck, chest, and gastrointestinal tract, treatment with factor should be initiated immediately, even before diagnostic assessment is completed.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1.2.8 </w:t>
      </w:r>
      <w:r w:rsidRPr="00497699">
        <w:rPr>
          <w:rStyle w:val="A8"/>
          <w:rFonts w:asciiTheme="minorHAnsi" w:hAnsiTheme="minorHAnsi"/>
          <w:color w:val="221E1F"/>
          <w:sz w:val="22"/>
        </w:rPr>
        <w:tab/>
      </w:r>
      <w:r w:rsidRPr="00497699">
        <w:rPr>
          <w:rStyle w:val="A8"/>
          <w:rFonts w:asciiTheme="minorHAnsi" w:hAnsiTheme="minorHAnsi"/>
          <w:b/>
          <w:color w:val="221E1F"/>
          <w:sz w:val="22"/>
        </w:rPr>
        <w:tab/>
        <w:t>To facilitate appropriate management in emer</w:t>
      </w:r>
      <w:r w:rsidRPr="00497699">
        <w:rPr>
          <w:rStyle w:val="A8"/>
          <w:rFonts w:asciiTheme="minorHAnsi" w:hAnsiTheme="minorHAnsi"/>
          <w:b/>
          <w:color w:val="221E1F"/>
          <w:sz w:val="22"/>
        </w:rPr>
        <w:softHyphen/>
        <w:t xml:space="preserve">gency situations, all patients should carry easily accessible identification indicating the diagnosis, severity of the bleeding disorder, inhibitor status, type of treatment product used, initial dosage for treatment of both severe traumatic or spontaneous bleeds and minor bleeding events, and contact information of the treating physician/clinic. </w:t>
      </w:r>
      <w:r w:rsidRPr="00497699">
        <w:rPr>
          <w:rStyle w:val="A8"/>
          <w:rFonts w:asciiTheme="minorHAnsi" w:hAnsiTheme="minorHAnsi"/>
          <w:b/>
          <w:color w:val="221E1F"/>
          <w:sz w:val="22"/>
          <w:vertAlign w:val="superscript"/>
        </w:rPr>
        <w:t>[3]</w:t>
      </w:r>
      <w:r w:rsidRPr="00497699">
        <w:rPr>
          <w:rStyle w:val="A8"/>
          <w:rFonts w:asciiTheme="minorHAnsi" w:hAnsiTheme="minorHAnsi"/>
          <w:b/>
          <w:color w:val="221E1F"/>
          <w:sz w:val="22"/>
        </w:rPr>
        <w:t xml:space="preserve"> Hard plastic Emergency Treatment Cards (also known as Patient Cards) which contain this information are available to all patients registered on the Australian Bleeding Disorders Registry (ABDR).</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1.2.9 </w:t>
      </w:r>
      <w:r w:rsidRPr="00497699">
        <w:rPr>
          <w:rStyle w:val="A8"/>
          <w:rFonts w:asciiTheme="minorHAnsi" w:hAnsiTheme="minorHAnsi"/>
          <w:color w:val="221E1F"/>
          <w:sz w:val="22"/>
        </w:rPr>
        <w:tab/>
      </w:r>
      <w:r w:rsidRPr="00497699">
        <w:rPr>
          <w:rStyle w:val="A8"/>
          <w:rFonts w:asciiTheme="minorHAnsi" w:hAnsiTheme="minorHAnsi"/>
          <w:b/>
          <w:color w:val="221E1F"/>
          <w:sz w:val="22"/>
        </w:rPr>
        <w:tab/>
        <w:t xml:space="preserve">Administration of desmopressin (DDAVP) can raise FVIII level adequately (three to six times baseline levels) to control bleeding in patients with mild, and possibly moderate, haemophilia A. Testing for DDAVP response in individual patients is appropriate. </w:t>
      </w:r>
      <w:r w:rsidRPr="00497699">
        <w:rPr>
          <w:rStyle w:val="A8"/>
          <w:rFonts w:asciiTheme="minorHAnsi" w:hAnsiTheme="minorHAnsi"/>
          <w:b/>
          <w:color w:val="221E1F"/>
          <w:sz w:val="22"/>
          <w:vertAlign w:val="superscript"/>
        </w:rPr>
        <w:t>[4-6]</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13"/>
        <w:rPr>
          <w:rStyle w:val="A8"/>
          <w:rFonts w:asciiTheme="minorHAnsi" w:hAnsiTheme="minorHAnsi"/>
          <w:color w:val="221E1F"/>
          <w:sz w:val="22"/>
        </w:rPr>
      </w:pPr>
    </w:p>
    <w:p w:rsidR="00E928C0" w:rsidRPr="00497699" w:rsidRDefault="00E928C0" w:rsidP="00041ED2">
      <w:pPr>
        <w:pStyle w:val="Default"/>
        <w:spacing w:line="276" w:lineRule="auto"/>
        <w:ind w:left="113" w:hanging="11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1.2.10 </w:t>
      </w:r>
      <w:r w:rsidRPr="00497699">
        <w:rPr>
          <w:rStyle w:val="A8"/>
          <w:rFonts w:asciiTheme="minorHAnsi" w:hAnsiTheme="minorHAnsi"/>
          <w:color w:val="221E1F"/>
          <w:sz w:val="22"/>
        </w:rPr>
        <w:tab/>
      </w:r>
      <w:r>
        <w:rPr>
          <w:rStyle w:val="A8"/>
          <w:rFonts w:asciiTheme="minorHAnsi" w:hAnsiTheme="minorHAnsi"/>
          <w:color w:val="221E1F"/>
          <w:sz w:val="22"/>
        </w:rPr>
        <w:tab/>
      </w:r>
      <w:r w:rsidRPr="00497699">
        <w:rPr>
          <w:rStyle w:val="A8"/>
          <w:rFonts w:asciiTheme="minorHAnsi" w:hAnsiTheme="minorHAnsi"/>
          <w:color w:val="221E1F"/>
          <w:sz w:val="22"/>
        </w:rPr>
        <w:t>Veins must be treated with care. They are the lifelines for a person with haemophilia.</w:t>
      </w:r>
    </w:p>
    <w:p w:rsidR="00E928C0" w:rsidRPr="00497699" w:rsidRDefault="00E928C0" w:rsidP="00E928C0">
      <w:pPr>
        <w:pStyle w:val="Default"/>
        <w:spacing w:line="276" w:lineRule="auto"/>
        <w:ind w:left="113"/>
        <w:rPr>
          <w:rStyle w:val="A8"/>
          <w:rFonts w:asciiTheme="minorHAnsi" w:hAnsiTheme="minorHAnsi"/>
          <w:color w:val="221E1F"/>
          <w:sz w:val="22"/>
        </w:rPr>
      </w:pPr>
    </w:p>
    <w:p w:rsidR="00E928C0" w:rsidRPr="00497699" w:rsidRDefault="00E928C0" w:rsidP="00E928C0">
      <w:pPr>
        <w:pStyle w:val="Default"/>
        <w:numPr>
          <w:ilvl w:val="0"/>
          <w:numId w:val="20"/>
        </w:numPr>
        <w:spacing w:line="276" w:lineRule="auto"/>
        <w:ind w:left="1700" w:hanging="283"/>
        <w:rPr>
          <w:rStyle w:val="A8"/>
          <w:rFonts w:asciiTheme="minorHAnsi" w:hAnsiTheme="minorHAnsi"/>
          <w:color w:val="221E1F"/>
          <w:sz w:val="22"/>
        </w:rPr>
      </w:pPr>
      <w:r w:rsidRPr="00497699">
        <w:rPr>
          <w:rStyle w:val="A8"/>
          <w:rFonts w:asciiTheme="minorHAnsi" w:hAnsiTheme="minorHAnsi"/>
          <w:color w:val="221E1F"/>
          <w:sz w:val="22"/>
        </w:rPr>
        <w:t>23- or 25-gauge butterfly needles are recommended</w:t>
      </w:r>
    </w:p>
    <w:p w:rsidR="00E928C0" w:rsidRPr="00497699" w:rsidRDefault="00E928C0" w:rsidP="00E928C0">
      <w:pPr>
        <w:pStyle w:val="Default"/>
        <w:numPr>
          <w:ilvl w:val="0"/>
          <w:numId w:val="20"/>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Never cut down into a vein, except in an emergency</w:t>
      </w:r>
    </w:p>
    <w:p w:rsidR="00E928C0" w:rsidRPr="00497699" w:rsidRDefault="00E928C0" w:rsidP="00E928C0">
      <w:pPr>
        <w:pStyle w:val="Default"/>
        <w:numPr>
          <w:ilvl w:val="0"/>
          <w:numId w:val="20"/>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Apply pressure for three to five minutes after venipuncture</w:t>
      </w:r>
    </w:p>
    <w:p w:rsidR="00E928C0" w:rsidRPr="00497699" w:rsidRDefault="00E928C0" w:rsidP="00E928C0">
      <w:pPr>
        <w:pStyle w:val="Default"/>
        <w:numPr>
          <w:ilvl w:val="0"/>
          <w:numId w:val="20"/>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Venous access devices should be avoided whenever possible but may be required in some children.</w:t>
      </w:r>
    </w:p>
    <w:p w:rsidR="00E928C0" w:rsidRPr="00497699" w:rsidRDefault="00E928C0" w:rsidP="00E928C0">
      <w:pPr>
        <w:pStyle w:val="Default"/>
        <w:ind w:left="2160" w:hanging="360"/>
        <w:jc w:val="both"/>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1.2.11 </w:t>
      </w:r>
      <w:r w:rsidRPr="00497699">
        <w:rPr>
          <w:rStyle w:val="A8"/>
          <w:rFonts w:asciiTheme="minorHAnsi" w:hAnsiTheme="minorHAnsi"/>
          <w:color w:val="221E1F"/>
          <w:sz w:val="22"/>
        </w:rPr>
        <w:tab/>
        <w:t>Adjunctive therapies can be used to control bleeding, particularly in the absence of clotting factor concentrates, and may decrease the need for them (see ‘Adjunctive management’</w:t>
      </w:r>
      <w:r>
        <w:rPr>
          <w:rStyle w:val="A8"/>
          <w:rFonts w:asciiTheme="minorHAnsi" w:hAnsiTheme="minorHAnsi"/>
          <w:color w:val="221E1F"/>
          <w:sz w:val="22"/>
        </w:rPr>
        <w:t>, section 1.5</w:t>
      </w:r>
      <w:r w:rsidRPr="00A4079A">
        <w:rPr>
          <w:rStyle w:val="A8"/>
          <w:rFonts w:asciiTheme="minorHAnsi" w:hAnsiTheme="minorHAnsi"/>
          <w:color w:val="221E1F"/>
          <w:sz w:val="22"/>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1.2.12</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If</w:t>
      </w:r>
      <w:proofErr w:type="gramEnd"/>
      <w:r w:rsidRPr="00497699">
        <w:rPr>
          <w:rStyle w:val="A8"/>
          <w:rFonts w:asciiTheme="minorHAnsi" w:hAnsiTheme="minorHAnsi"/>
          <w:color w:val="221E1F"/>
          <w:sz w:val="22"/>
        </w:rPr>
        <w:t xml:space="preserve"> bleeding does not resolve despite adequate treatment, clotting factor levels should be measured. Inhibitor testing should be performed if the factor level is unexpectedly low </w:t>
      </w:r>
      <w:r>
        <w:rPr>
          <w:rStyle w:val="A8"/>
          <w:rFonts w:asciiTheme="minorHAnsi" w:hAnsiTheme="minorHAnsi"/>
          <w:color w:val="221E1F"/>
          <w:sz w:val="22"/>
        </w:rPr>
        <w:t xml:space="preserve">or if the clinical response to replacement therapy is inadequate </w:t>
      </w:r>
      <w:r w:rsidRPr="00497699">
        <w:rPr>
          <w:rStyle w:val="A8"/>
          <w:rFonts w:asciiTheme="minorHAnsi" w:hAnsiTheme="minorHAnsi"/>
          <w:color w:val="221E1F"/>
          <w:sz w:val="22"/>
        </w:rPr>
        <w:t>(see</w:t>
      </w:r>
      <w:r>
        <w:rPr>
          <w:rStyle w:val="A8"/>
          <w:rFonts w:asciiTheme="minorHAnsi" w:hAnsiTheme="minorHAnsi"/>
          <w:color w:val="221E1F"/>
          <w:sz w:val="22"/>
        </w:rPr>
        <w:t xml:space="preserve"> </w:t>
      </w:r>
      <w:r w:rsidRPr="00497699">
        <w:rPr>
          <w:rStyle w:val="A8"/>
          <w:rFonts w:asciiTheme="minorHAnsi" w:hAnsiTheme="minorHAnsi"/>
          <w:color w:val="221E1F"/>
          <w:sz w:val="22"/>
        </w:rPr>
        <w:t>‘Inhibitors’,</w:t>
      </w:r>
      <w:r>
        <w:rPr>
          <w:rStyle w:val="A8"/>
          <w:rFonts w:asciiTheme="minorHAnsi" w:hAnsiTheme="minorHAnsi"/>
          <w:color w:val="221E1F"/>
          <w:sz w:val="22"/>
        </w:rPr>
        <w:t xml:space="preserve"> section 6.2</w:t>
      </w:r>
      <w:r w:rsidRPr="00497699">
        <w:rPr>
          <w:rStyle w:val="A8"/>
          <w:rFonts w:asciiTheme="minorHAnsi" w:hAnsiTheme="minorHAnsi"/>
          <w:color w:val="221E1F"/>
          <w:sz w:val="22"/>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1.2.13 </w:t>
      </w:r>
      <w:r w:rsidRPr="00497699">
        <w:rPr>
          <w:rStyle w:val="A8"/>
          <w:rFonts w:asciiTheme="minorHAnsi" w:hAnsiTheme="minorHAnsi"/>
          <w:color w:val="221E1F"/>
          <w:sz w:val="22"/>
        </w:rPr>
        <w:tab/>
        <w:t xml:space="preserve">Prevention of bleeding can be achieved by prophylactic factor replacement (see ‘Prophylactic factor replacement therapy’, </w:t>
      </w:r>
      <w:r>
        <w:rPr>
          <w:rStyle w:val="A8"/>
          <w:rFonts w:asciiTheme="minorHAnsi" w:hAnsiTheme="minorHAnsi"/>
          <w:color w:val="221E1F"/>
          <w:sz w:val="22"/>
        </w:rPr>
        <w:t>section 1.6</w:t>
      </w:r>
      <w:r w:rsidRPr="00497699">
        <w:rPr>
          <w:rStyle w:val="A8"/>
          <w:rFonts w:asciiTheme="minorHAnsi" w:hAnsiTheme="minorHAnsi"/>
          <w:color w:val="221E1F"/>
          <w:sz w:val="22"/>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1.2.14 </w:t>
      </w:r>
      <w:r w:rsidRPr="00497699">
        <w:rPr>
          <w:rStyle w:val="A8"/>
          <w:rFonts w:asciiTheme="minorHAnsi" w:hAnsiTheme="minorHAnsi"/>
          <w:color w:val="221E1F"/>
          <w:sz w:val="22"/>
        </w:rPr>
        <w:tab/>
        <w:t>Home therapy can be used to manage mild/moderate bleeding episodes (see ‘Home therapy’,</w:t>
      </w:r>
      <w:r>
        <w:rPr>
          <w:rStyle w:val="A8"/>
          <w:rFonts w:asciiTheme="minorHAnsi" w:hAnsiTheme="minorHAnsi"/>
          <w:color w:val="221E1F"/>
          <w:sz w:val="22"/>
        </w:rPr>
        <w:t xml:space="preserve"> section 1.7</w:t>
      </w:r>
      <w:r w:rsidRPr="00497699">
        <w:rPr>
          <w:rStyle w:val="A8"/>
          <w:rFonts w:asciiTheme="minorHAnsi" w:hAnsiTheme="minorHAnsi"/>
          <w:color w:val="221E1F"/>
          <w:sz w:val="22"/>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1.2.15</w:t>
      </w:r>
      <w:r w:rsidRPr="00497699">
        <w:rPr>
          <w:rStyle w:val="A8"/>
          <w:rFonts w:asciiTheme="minorHAnsi" w:hAnsiTheme="minorHAnsi"/>
          <w:color w:val="221E1F"/>
          <w:sz w:val="22"/>
        </w:rPr>
        <w:tab/>
        <w:t xml:space="preserve">Regular exercise and other measures to stimulate normal psychomotor development should be encouraged to promote strong muscles, develop balance and coordination, and improve fitness (see ‘Fitness and physical activity’, </w:t>
      </w:r>
      <w:r>
        <w:rPr>
          <w:rStyle w:val="A8"/>
          <w:rFonts w:asciiTheme="minorHAnsi" w:hAnsiTheme="minorHAnsi"/>
          <w:color w:val="221E1F"/>
          <w:sz w:val="22"/>
        </w:rPr>
        <w:t>section 1.4</w:t>
      </w:r>
      <w:r w:rsidRPr="00497699">
        <w:rPr>
          <w:rStyle w:val="A8"/>
          <w:rFonts w:asciiTheme="minorHAnsi" w:hAnsiTheme="minorHAnsi"/>
          <w:color w:val="221E1F"/>
          <w:sz w:val="22"/>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1.2.16</w:t>
      </w:r>
      <w:r w:rsidRPr="00497699">
        <w:rPr>
          <w:rStyle w:val="A8"/>
          <w:rFonts w:asciiTheme="minorHAnsi" w:hAnsiTheme="minorHAnsi"/>
          <w:color w:val="221E1F"/>
          <w:sz w:val="22"/>
        </w:rPr>
        <w:tab/>
        <w:t xml:space="preserve">Patients should avoid activities likely to cause trauma (see ‘Fitness and physical activity’, </w:t>
      </w:r>
      <w:r>
        <w:rPr>
          <w:rStyle w:val="A8"/>
          <w:rFonts w:asciiTheme="minorHAnsi" w:hAnsiTheme="minorHAnsi"/>
          <w:color w:val="221E1F"/>
          <w:sz w:val="22"/>
        </w:rPr>
        <w:t>section 1.4</w:t>
      </w:r>
      <w:r w:rsidRPr="00497699">
        <w:rPr>
          <w:rStyle w:val="A8"/>
          <w:rFonts w:asciiTheme="minorHAnsi" w:hAnsiTheme="minorHAnsi"/>
          <w:color w:val="221E1F"/>
          <w:sz w:val="22"/>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1.2.17 </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Regular</w:t>
      </w:r>
      <w:proofErr w:type="gramEnd"/>
      <w:r w:rsidRPr="00497699">
        <w:rPr>
          <w:rStyle w:val="A8"/>
          <w:rFonts w:asciiTheme="minorHAnsi" w:hAnsiTheme="minorHAnsi"/>
          <w:color w:val="221E1F"/>
          <w:sz w:val="22"/>
        </w:rPr>
        <w:t xml:space="preserve"> monitoring of health status and assessment of outcomes are key components of care (see ‘Monitoring health status and outcome’, </w:t>
      </w:r>
      <w:r>
        <w:rPr>
          <w:rStyle w:val="A8"/>
          <w:rFonts w:asciiTheme="minorHAnsi" w:hAnsiTheme="minorHAnsi"/>
          <w:color w:val="221E1F"/>
          <w:sz w:val="22"/>
        </w:rPr>
        <w:t>section 1.8</w:t>
      </w:r>
      <w:r w:rsidRPr="00497699">
        <w:rPr>
          <w:rStyle w:val="A8"/>
          <w:rFonts w:asciiTheme="minorHAnsi" w:hAnsiTheme="minorHAnsi"/>
          <w:color w:val="221E1F"/>
          <w:sz w:val="22"/>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1.2.18 </w:t>
      </w:r>
      <w:r w:rsidRPr="00497699">
        <w:rPr>
          <w:rStyle w:val="A8"/>
          <w:rFonts w:asciiTheme="minorHAnsi" w:hAnsiTheme="minorHAnsi"/>
          <w:color w:val="221E1F"/>
          <w:sz w:val="22"/>
        </w:rPr>
        <w:tab/>
        <w:t xml:space="preserve">Drugs that affect platelet function, particularly acetylsalicylic acid (ASA) and non-steroidal anti-inflammatory drugs (NSAIDs), except certain COX-2 inhibitors, should be avoided. Paracetamol/acetaminophen is a safe alternative for analgesia (see ‘Pain management’, </w:t>
      </w:r>
      <w:r>
        <w:rPr>
          <w:rStyle w:val="A8"/>
          <w:rFonts w:asciiTheme="minorHAnsi" w:hAnsiTheme="minorHAnsi"/>
          <w:color w:val="221E1F"/>
          <w:sz w:val="22"/>
        </w:rPr>
        <w:t>section 1.9</w:t>
      </w:r>
      <w:r w:rsidRPr="00497699">
        <w:rPr>
          <w:rStyle w:val="A8"/>
          <w:rFonts w:asciiTheme="minorHAnsi" w:hAnsiTheme="minorHAnsi"/>
          <w:color w:val="221E1F"/>
          <w:sz w:val="22"/>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1.2.19 </w:t>
      </w:r>
      <w:r w:rsidRPr="00497699">
        <w:rPr>
          <w:rStyle w:val="A8"/>
          <w:rFonts w:asciiTheme="minorHAnsi" w:hAnsiTheme="minorHAnsi"/>
          <w:color w:val="221E1F"/>
          <w:sz w:val="22"/>
        </w:rPr>
        <w:tab/>
        <w:t xml:space="preserve">Factor levels should be raised to appropriate levels prior to any invasive procedure (see ‘Surgery and invasive procedures’, </w:t>
      </w:r>
      <w:r>
        <w:rPr>
          <w:rStyle w:val="A8"/>
          <w:rFonts w:asciiTheme="minorHAnsi" w:hAnsiTheme="minorHAnsi"/>
          <w:color w:val="221E1F"/>
          <w:sz w:val="22"/>
        </w:rPr>
        <w:t>section 1.10</w:t>
      </w:r>
      <w:r w:rsidRPr="00497699">
        <w:rPr>
          <w:rStyle w:val="A8"/>
          <w:rFonts w:asciiTheme="minorHAnsi" w:hAnsiTheme="minorHAnsi"/>
          <w:color w:val="221E1F"/>
          <w:sz w:val="22"/>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1.2.20</w:t>
      </w:r>
      <w:r w:rsidRPr="00497699">
        <w:rPr>
          <w:rStyle w:val="A8"/>
          <w:rFonts w:asciiTheme="minorHAnsi" w:hAnsiTheme="minorHAnsi"/>
          <w:color w:val="221E1F"/>
          <w:sz w:val="22"/>
        </w:rPr>
        <w:tab/>
        <w:t>Good oral hygiene is essential to prevent periodontal disease and dental caries, which predispose to gum bleeding (see ‘Dental care and management’</w:t>
      </w:r>
      <w:r>
        <w:rPr>
          <w:rStyle w:val="A8"/>
          <w:rFonts w:asciiTheme="minorHAnsi" w:hAnsiTheme="minorHAnsi"/>
          <w:color w:val="221E1F"/>
          <w:sz w:val="22"/>
        </w:rPr>
        <w:t>, section 1.11</w:t>
      </w:r>
      <w:r w:rsidRPr="00497699">
        <w:rPr>
          <w:rStyle w:val="A8"/>
          <w:rFonts w:asciiTheme="minorHAnsi" w:hAnsiTheme="minorHAnsi"/>
          <w:color w:val="221E1F"/>
          <w:sz w:val="22"/>
        </w:rPr>
        <w:t>).</w:t>
      </w:r>
    </w:p>
    <w:p w:rsidR="00E928C0" w:rsidRPr="00497699" w:rsidRDefault="00E928C0" w:rsidP="00E928C0">
      <w:pPr>
        <w:pStyle w:val="Default"/>
        <w:spacing w:line="276" w:lineRule="auto"/>
        <w:ind w:left="113"/>
        <w:jc w:val="both"/>
        <w:rPr>
          <w:rStyle w:val="A8"/>
          <w:rFonts w:asciiTheme="minorHAnsi" w:hAnsiTheme="minorHAnsi"/>
          <w:color w:val="221E1F"/>
          <w:sz w:val="22"/>
        </w:rPr>
      </w:pPr>
    </w:p>
    <w:p w:rsidR="00E928C0" w:rsidRPr="00041ED2" w:rsidRDefault="00E928C0" w:rsidP="00041ED2">
      <w:pPr>
        <w:pStyle w:val="Heading3"/>
        <w:rPr>
          <w:rStyle w:val="A8"/>
          <w:color w:val="FF0000"/>
        </w:rPr>
      </w:pPr>
      <w:bookmarkStart w:id="9" w:name="_Toc431484303"/>
      <w:r w:rsidRPr="00041ED2">
        <w:rPr>
          <w:rStyle w:val="A8"/>
          <w:color w:val="FF0000"/>
        </w:rPr>
        <w:t>1.3 Comprehensive care</w:t>
      </w:r>
      <w:bookmarkEnd w:id="9"/>
      <w:r w:rsidRPr="00041ED2">
        <w:rPr>
          <w:rStyle w:val="A8"/>
          <w:color w:val="FF0000"/>
        </w:rPr>
        <w:t xml:space="preserve"> </w:t>
      </w: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1.3.1 </w:t>
      </w:r>
      <w:r w:rsidRPr="00497699">
        <w:rPr>
          <w:rStyle w:val="A8"/>
          <w:rFonts w:asciiTheme="minorHAnsi" w:hAnsiTheme="minorHAnsi"/>
          <w:color w:val="221E1F"/>
          <w:sz w:val="22"/>
        </w:rPr>
        <w:tab/>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Comprehensive care promotes physical and psychosocial health and quality of life while decreasing morbidity and mortality. </w:t>
      </w:r>
      <w:r w:rsidRPr="00497699">
        <w:rPr>
          <w:rStyle w:val="A8"/>
          <w:rFonts w:asciiTheme="minorHAnsi" w:hAnsiTheme="minorHAnsi"/>
          <w:b/>
          <w:color w:val="221E1F"/>
          <w:sz w:val="22"/>
          <w:vertAlign w:val="superscript"/>
        </w:rPr>
        <w:t>[7-9]</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1.3.2 </w:t>
      </w:r>
      <w:r w:rsidRPr="00497699">
        <w:rPr>
          <w:rStyle w:val="A8"/>
          <w:rFonts w:asciiTheme="minorHAnsi" w:hAnsiTheme="minorHAnsi"/>
          <w:color w:val="221E1F"/>
          <w:sz w:val="22"/>
        </w:rPr>
        <w:tab/>
      </w:r>
      <w:r w:rsidRPr="00497699">
        <w:rPr>
          <w:rStyle w:val="A8"/>
          <w:rFonts w:asciiTheme="minorHAnsi" w:hAnsiTheme="minorHAnsi"/>
          <w:color w:val="221E1F"/>
          <w:sz w:val="22"/>
        </w:rPr>
        <w:tab/>
        <w:t xml:space="preserve">Haemophilia is a rare disorder that is complex to diagnose and to manage. Optimal care of these patients, especially those with severe forms of the disease, requires more than the treatment of acute bleeding.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1.3.3 </w:t>
      </w:r>
      <w:r w:rsidRPr="00497699">
        <w:rPr>
          <w:rStyle w:val="A8"/>
          <w:rFonts w:asciiTheme="minorHAnsi" w:hAnsiTheme="minorHAnsi"/>
          <w:color w:val="221E1F"/>
          <w:sz w:val="22"/>
        </w:rPr>
        <w:tab/>
      </w:r>
      <w:r w:rsidRPr="00497699">
        <w:rPr>
          <w:rStyle w:val="A8"/>
          <w:rFonts w:asciiTheme="minorHAnsi" w:hAnsiTheme="minorHAnsi"/>
          <w:color w:val="221E1F"/>
          <w:sz w:val="22"/>
        </w:rPr>
        <w:tab/>
        <w:t>Priorities in the improvement of health and quality of life of people with haemophilia include:</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E928C0">
      <w:pPr>
        <w:pStyle w:val="Default"/>
        <w:numPr>
          <w:ilvl w:val="0"/>
          <w:numId w:val="21"/>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prevention of bleeding and joint damage</w:t>
      </w:r>
    </w:p>
    <w:p w:rsidR="00E928C0" w:rsidRPr="00497699" w:rsidRDefault="00E928C0" w:rsidP="00E928C0">
      <w:pPr>
        <w:pStyle w:val="Default"/>
        <w:numPr>
          <w:ilvl w:val="0"/>
          <w:numId w:val="21"/>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prompt management of bleeding</w:t>
      </w:r>
    </w:p>
    <w:p w:rsidR="00E928C0" w:rsidRPr="00497699" w:rsidRDefault="00E928C0" w:rsidP="00E928C0">
      <w:pPr>
        <w:pStyle w:val="Default"/>
        <w:numPr>
          <w:ilvl w:val="0"/>
          <w:numId w:val="21"/>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management of complications including:</w:t>
      </w:r>
    </w:p>
    <w:p w:rsidR="00E928C0" w:rsidRPr="00497699" w:rsidRDefault="00E928C0" w:rsidP="00E928C0">
      <w:pPr>
        <w:pStyle w:val="Default"/>
        <w:numPr>
          <w:ilvl w:val="0"/>
          <w:numId w:val="23"/>
        </w:numPr>
        <w:spacing w:line="276" w:lineRule="auto"/>
        <w:ind w:left="1985" w:hanging="284"/>
        <w:rPr>
          <w:rStyle w:val="A8"/>
          <w:rFonts w:asciiTheme="minorHAnsi" w:hAnsiTheme="minorHAnsi"/>
          <w:color w:val="221E1F"/>
          <w:sz w:val="22"/>
        </w:rPr>
      </w:pPr>
      <w:r w:rsidRPr="00497699">
        <w:rPr>
          <w:rStyle w:val="A8"/>
          <w:rFonts w:asciiTheme="minorHAnsi" w:hAnsiTheme="minorHAnsi"/>
          <w:color w:val="221E1F"/>
          <w:sz w:val="22"/>
        </w:rPr>
        <w:t>joint and muscle damage and other sequelae of bleeding</w:t>
      </w:r>
    </w:p>
    <w:p w:rsidR="00E928C0" w:rsidRPr="00497699" w:rsidRDefault="00E928C0" w:rsidP="00E928C0">
      <w:pPr>
        <w:pStyle w:val="Default"/>
        <w:numPr>
          <w:ilvl w:val="0"/>
          <w:numId w:val="23"/>
        </w:numPr>
        <w:spacing w:line="276" w:lineRule="auto"/>
        <w:ind w:left="1985" w:hanging="284"/>
        <w:rPr>
          <w:rStyle w:val="A8"/>
          <w:rFonts w:asciiTheme="minorHAnsi" w:hAnsiTheme="minorHAnsi"/>
          <w:color w:val="221E1F"/>
          <w:sz w:val="22"/>
        </w:rPr>
      </w:pPr>
      <w:r w:rsidRPr="00497699">
        <w:rPr>
          <w:rStyle w:val="A8"/>
          <w:rFonts w:asciiTheme="minorHAnsi" w:hAnsiTheme="minorHAnsi"/>
          <w:color w:val="221E1F"/>
          <w:sz w:val="22"/>
        </w:rPr>
        <w:t xml:space="preserve">inhibitor development </w:t>
      </w:r>
    </w:p>
    <w:p w:rsidR="00E928C0" w:rsidRPr="00497699" w:rsidRDefault="00E928C0" w:rsidP="00E928C0">
      <w:pPr>
        <w:pStyle w:val="Default"/>
        <w:numPr>
          <w:ilvl w:val="0"/>
          <w:numId w:val="22"/>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viral infection(s) transmitted through blood products </w:t>
      </w:r>
    </w:p>
    <w:p w:rsidR="00E928C0" w:rsidRPr="00497699" w:rsidRDefault="00E928C0" w:rsidP="00E928C0">
      <w:pPr>
        <w:pStyle w:val="Default"/>
        <w:numPr>
          <w:ilvl w:val="0"/>
          <w:numId w:val="22"/>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lastRenderedPageBreak/>
        <w:t>attention to psychosocial health</w:t>
      </w:r>
    </w:p>
    <w:p w:rsidR="00E928C0" w:rsidRPr="00497699" w:rsidRDefault="00E928C0" w:rsidP="00E928C0">
      <w:pPr>
        <w:pStyle w:val="Default"/>
        <w:spacing w:line="276" w:lineRule="auto"/>
        <w:ind w:left="833" w:firstLine="607"/>
        <w:jc w:val="both"/>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1.3.4 </w:t>
      </w:r>
      <w:r w:rsidRPr="00497699">
        <w:rPr>
          <w:rStyle w:val="A8"/>
          <w:rFonts w:asciiTheme="minorHAnsi" w:hAnsiTheme="minorHAnsi"/>
          <w:color w:val="221E1F"/>
          <w:sz w:val="22"/>
        </w:rPr>
        <w:tab/>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Benchmarking</w:t>
      </w:r>
      <w:proofErr w:type="gramEnd"/>
      <w:r w:rsidRPr="00497699">
        <w:rPr>
          <w:rStyle w:val="A8"/>
          <w:rFonts w:asciiTheme="minorHAnsi" w:hAnsiTheme="minorHAnsi"/>
          <w:color w:val="221E1F"/>
          <w:sz w:val="22"/>
        </w:rPr>
        <w:t xml:space="preserve"> of practice and available resources across </w:t>
      </w:r>
      <w:r w:rsidR="00201683">
        <w:rPr>
          <w:rStyle w:val="A8"/>
          <w:rFonts w:asciiTheme="minorHAnsi" w:hAnsiTheme="minorHAnsi"/>
          <w:color w:val="221E1F"/>
          <w:sz w:val="22"/>
        </w:rPr>
        <w:t>HTC</w:t>
      </w:r>
      <w:r w:rsidRPr="00497699">
        <w:rPr>
          <w:rStyle w:val="A8"/>
          <w:rFonts w:asciiTheme="minorHAnsi" w:hAnsiTheme="minorHAnsi"/>
          <w:color w:val="221E1F"/>
          <w:sz w:val="22"/>
        </w:rPr>
        <w:t>s is an important tool to help standardise and improve care (see Chapter 8).</w:t>
      </w:r>
    </w:p>
    <w:p w:rsidR="00E928C0" w:rsidRPr="00041ED2" w:rsidRDefault="00E928C0" w:rsidP="00041ED2">
      <w:pPr>
        <w:pStyle w:val="Heading4"/>
        <w:rPr>
          <w:rStyle w:val="A8"/>
          <w:b w:val="0"/>
          <w:i w:val="0"/>
          <w:color w:val="000000"/>
          <w:sz w:val="22"/>
        </w:rPr>
      </w:pPr>
      <w:r w:rsidRPr="00041ED2">
        <w:rPr>
          <w:rStyle w:val="A8"/>
          <w:color w:val="000000"/>
          <w:sz w:val="22"/>
        </w:rPr>
        <w:t>Comprehensive care team</w:t>
      </w: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1.3.5</w:t>
      </w:r>
      <w:r w:rsidRPr="00497699">
        <w:rPr>
          <w:rStyle w:val="A8"/>
          <w:rFonts w:asciiTheme="minorHAnsi" w:hAnsiTheme="minorHAnsi"/>
          <w:color w:val="221E1F"/>
          <w:sz w:val="22"/>
        </w:rPr>
        <w:tab/>
      </w:r>
      <w:r w:rsidRPr="00497699">
        <w:rPr>
          <w:rStyle w:val="A8"/>
          <w:rFonts w:asciiTheme="minorHAnsi" w:hAnsiTheme="minorHAnsi"/>
          <w:b/>
          <w:color w:val="221E1F"/>
          <w:sz w:val="22"/>
        </w:rPr>
        <w:t>The wide-ranging needs of people with haemophilia and their families are best met through the coordinated delivery of comprehensive care by a multidisciplinary team of health</w:t>
      </w:r>
      <w:r w:rsidRPr="00497699">
        <w:rPr>
          <w:rStyle w:val="A8"/>
          <w:rFonts w:asciiTheme="minorHAnsi" w:hAnsiTheme="minorHAnsi"/>
          <w:b/>
          <w:color w:val="221E1F"/>
          <w:sz w:val="22"/>
        </w:rPr>
        <w:softHyphen/>
        <w:t>care professionals, in accordance with accepted protocols that are practical and national treat</w:t>
      </w:r>
      <w:r w:rsidRPr="00497699">
        <w:rPr>
          <w:rStyle w:val="A8"/>
          <w:rFonts w:asciiTheme="minorHAnsi" w:hAnsiTheme="minorHAnsi"/>
          <w:b/>
          <w:color w:val="221E1F"/>
          <w:sz w:val="22"/>
        </w:rPr>
        <w:softHyphen/>
        <w:t xml:space="preserve">ment guidelines, if available. </w:t>
      </w:r>
      <w:r w:rsidRPr="00497699">
        <w:rPr>
          <w:rStyle w:val="A8"/>
          <w:rFonts w:asciiTheme="minorHAnsi" w:hAnsiTheme="minorHAnsi"/>
          <w:b/>
          <w:color w:val="221E1F"/>
          <w:sz w:val="22"/>
          <w:vertAlign w:val="superscript"/>
        </w:rPr>
        <w:t>[10-12]</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1.3.6</w:t>
      </w:r>
      <w:r w:rsidRPr="00497699">
        <w:rPr>
          <w:rStyle w:val="A8"/>
          <w:rFonts w:asciiTheme="minorHAnsi" w:hAnsiTheme="minorHAnsi"/>
          <w:color w:val="221E1F"/>
          <w:sz w:val="22"/>
        </w:rPr>
        <w:tab/>
        <w:t>The comprehensive care team should be multidis</w:t>
      </w:r>
      <w:r w:rsidRPr="00497699">
        <w:rPr>
          <w:rStyle w:val="A8"/>
          <w:rFonts w:asciiTheme="minorHAnsi" w:hAnsiTheme="minorHAnsi"/>
          <w:color w:val="221E1F"/>
          <w:sz w:val="22"/>
        </w:rPr>
        <w:softHyphen/>
        <w:t xml:space="preserve">ciplinary in nature, with expertise and experience to attend to the physical and psychosocial health of patients and their families.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1.3.7</w:t>
      </w:r>
      <w:r w:rsidRPr="00497699">
        <w:rPr>
          <w:rStyle w:val="A8"/>
          <w:rFonts w:asciiTheme="minorHAnsi" w:hAnsiTheme="minorHAnsi"/>
          <w:color w:val="221E1F"/>
          <w:sz w:val="22"/>
        </w:rPr>
        <w:tab/>
        <w:t>The core team should consist of the following essential members:</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E928C0">
      <w:pPr>
        <w:pStyle w:val="Default"/>
        <w:numPr>
          <w:ilvl w:val="0"/>
          <w:numId w:val="24"/>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a medical director (preferably a paediatric and/ or adult haematologist, or a physician with interest and expertise in haemostasis) </w:t>
      </w:r>
    </w:p>
    <w:p w:rsidR="00E928C0" w:rsidRPr="00497699" w:rsidRDefault="00E928C0" w:rsidP="00E928C0">
      <w:pPr>
        <w:pStyle w:val="Default"/>
        <w:numPr>
          <w:ilvl w:val="0"/>
          <w:numId w:val="24"/>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a nurse coordinator who </w:t>
      </w:r>
    </w:p>
    <w:p w:rsidR="00E928C0" w:rsidRPr="00497699" w:rsidRDefault="00E928C0" w:rsidP="00E928C0">
      <w:pPr>
        <w:pStyle w:val="Default"/>
        <w:numPr>
          <w:ilvl w:val="0"/>
          <w:numId w:val="26"/>
        </w:numPr>
        <w:spacing w:line="276" w:lineRule="auto"/>
        <w:ind w:left="2061"/>
        <w:rPr>
          <w:rStyle w:val="A8"/>
          <w:rFonts w:asciiTheme="minorHAnsi" w:hAnsiTheme="minorHAnsi"/>
          <w:color w:val="221E1F"/>
          <w:sz w:val="22"/>
        </w:rPr>
      </w:pPr>
      <w:r w:rsidRPr="00497699">
        <w:rPr>
          <w:rStyle w:val="A8"/>
          <w:rFonts w:asciiTheme="minorHAnsi" w:hAnsiTheme="minorHAnsi"/>
          <w:color w:val="221E1F"/>
          <w:sz w:val="22"/>
        </w:rPr>
        <w:t xml:space="preserve">coordinates the provision of care </w:t>
      </w:r>
    </w:p>
    <w:p w:rsidR="00E928C0" w:rsidRPr="00497699" w:rsidRDefault="00E928C0" w:rsidP="00E928C0">
      <w:pPr>
        <w:pStyle w:val="Default"/>
        <w:numPr>
          <w:ilvl w:val="0"/>
          <w:numId w:val="26"/>
        </w:numPr>
        <w:spacing w:line="276" w:lineRule="auto"/>
        <w:ind w:left="2061"/>
        <w:rPr>
          <w:rStyle w:val="A8"/>
          <w:rFonts w:asciiTheme="minorHAnsi" w:hAnsiTheme="minorHAnsi"/>
          <w:color w:val="221E1F"/>
          <w:sz w:val="22"/>
        </w:rPr>
      </w:pPr>
      <w:r w:rsidRPr="00497699">
        <w:rPr>
          <w:rStyle w:val="A8"/>
          <w:rFonts w:asciiTheme="minorHAnsi" w:hAnsiTheme="minorHAnsi"/>
          <w:color w:val="221E1F"/>
          <w:sz w:val="22"/>
        </w:rPr>
        <w:t xml:space="preserve">educates patients and their families </w:t>
      </w:r>
    </w:p>
    <w:p w:rsidR="00E928C0" w:rsidRPr="00497699" w:rsidRDefault="00E928C0" w:rsidP="00E928C0">
      <w:pPr>
        <w:pStyle w:val="Default"/>
        <w:numPr>
          <w:ilvl w:val="0"/>
          <w:numId w:val="26"/>
        </w:numPr>
        <w:spacing w:line="276" w:lineRule="auto"/>
        <w:ind w:left="2061"/>
        <w:rPr>
          <w:rStyle w:val="A8"/>
          <w:rFonts w:asciiTheme="minorHAnsi" w:hAnsiTheme="minorHAnsi"/>
          <w:color w:val="221E1F"/>
          <w:sz w:val="22"/>
        </w:rPr>
      </w:pPr>
      <w:r w:rsidRPr="00497699">
        <w:rPr>
          <w:rStyle w:val="A8"/>
          <w:rFonts w:asciiTheme="minorHAnsi" w:hAnsiTheme="minorHAnsi"/>
          <w:color w:val="221E1F"/>
          <w:sz w:val="22"/>
        </w:rPr>
        <w:t xml:space="preserve">acts as the first contact for patients with an acute problem or who require follow-up </w:t>
      </w:r>
    </w:p>
    <w:p w:rsidR="00E928C0" w:rsidRPr="00497699" w:rsidRDefault="00E928C0" w:rsidP="00E928C0">
      <w:pPr>
        <w:pStyle w:val="Default"/>
        <w:numPr>
          <w:ilvl w:val="0"/>
          <w:numId w:val="26"/>
        </w:numPr>
        <w:spacing w:line="276" w:lineRule="auto"/>
        <w:ind w:left="2061"/>
        <w:rPr>
          <w:rStyle w:val="A8"/>
          <w:rFonts w:asciiTheme="minorHAnsi" w:hAnsiTheme="minorHAnsi"/>
          <w:color w:val="221E1F"/>
          <w:sz w:val="22"/>
        </w:rPr>
      </w:pPr>
      <w:r w:rsidRPr="00497699">
        <w:rPr>
          <w:rStyle w:val="A8"/>
          <w:rFonts w:asciiTheme="minorHAnsi" w:hAnsiTheme="minorHAnsi"/>
          <w:color w:val="221E1F"/>
          <w:sz w:val="22"/>
        </w:rPr>
        <w:t xml:space="preserve">is able to assess patients and institute initial care where appropriate </w:t>
      </w:r>
    </w:p>
    <w:p w:rsidR="00E928C0" w:rsidRPr="00497699" w:rsidRDefault="00E928C0" w:rsidP="00E928C0">
      <w:pPr>
        <w:pStyle w:val="Default"/>
        <w:numPr>
          <w:ilvl w:val="0"/>
          <w:numId w:val="25"/>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musculoskeletal experts (including physiotherapist, orthopaedic specialist or                   rheumatologist) who can address prevention as well as treatment</w:t>
      </w:r>
    </w:p>
    <w:p w:rsidR="00E928C0" w:rsidRPr="00497699" w:rsidRDefault="00E928C0" w:rsidP="00E928C0">
      <w:pPr>
        <w:pStyle w:val="Default"/>
        <w:numPr>
          <w:ilvl w:val="0"/>
          <w:numId w:val="25"/>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a specialist coagulation medical scientist</w:t>
      </w:r>
    </w:p>
    <w:p w:rsidR="00E928C0" w:rsidRPr="00497699" w:rsidRDefault="00E928C0" w:rsidP="00E928C0">
      <w:pPr>
        <w:pStyle w:val="Default"/>
        <w:numPr>
          <w:ilvl w:val="0"/>
          <w:numId w:val="25"/>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a psychosocial expert (preferably a social worker, or a psychologist) familiar with              available community resources</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1.3.8</w:t>
      </w:r>
      <w:r w:rsidRPr="00497699">
        <w:rPr>
          <w:rStyle w:val="A8"/>
          <w:rFonts w:asciiTheme="minorHAnsi" w:hAnsiTheme="minorHAnsi"/>
          <w:color w:val="221E1F"/>
          <w:sz w:val="22"/>
        </w:rPr>
        <w:tab/>
        <w:t xml:space="preserve">The roles assumed by core team members may differ, depending on the availability and expertise of trained staff and the organisation of services within the centre.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1.3.9</w:t>
      </w:r>
      <w:r w:rsidRPr="00497699">
        <w:rPr>
          <w:rStyle w:val="A8"/>
          <w:rFonts w:asciiTheme="minorHAnsi" w:hAnsiTheme="minorHAnsi"/>
          <w:color w:val="221E1F"/>
          <w:sz w:val="22"/>
        </w:rPr>
        <w:tab/>
        <w:t>All members of the core team should have exper</w:t>
      </w:r>
      <w:r w:rsidRPr="00497699">
        <w:rPr>
          <w:rStyle w:val="A8"/>
          <w:rFonts w:asciiTheme="minorHAnsi" w:hAnsiTheme="minorHAnsi"/>
          <w:color w:val="221E1F"/>
          <w:sz w:val="22"/>
        </w:rPr>
        <w:softHyphen/>
        <w:t xml:space="preserve">tise and experience in treating bleeding disorders and should be accessible to patients in a timely and convenient manner. Adequate emergency care should be available at all times.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1.3.10</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The</w:t>
      </w:r>
      <w:proofErr w:type="gramEnd"/>
      <w:r w:rsidRPr="00497699">
        <w:rPr>
          <w:rStyle w:val="A8"/>
          <w:rFonts w:asciiTheme="minorHAnsi" w:hAnsiTheme="minorHAnsi"/>
          <w:color w:val="221E1F"/>
          <w:sz w:val="22"/>
        </w:rPr>
        <w:t xml:space="preserve"> following support resources are necessary:</w:t>
      </w:r>
    </w:p>
    <w:p w:rsidR="00E928C0" w:rsidRPr="00497699" w:rsidRDefault="00E928C0" w:rsidP="00E928C0">
      <w:pPr>
        <w:pStyle w:val="Default"/>
        <w:spacing w:line="276" w:lineRule="auto"/>
        <w:ind w:left="1433" w:hanging="1320"/>
        <w:rPr>
          <w:rStyle w:val="A8"/>
          <w:rFonts w:asciiTheme="minorHAnsi" w:hAnsiTheme="minorHAnsi"/>
          <w:color w:val="221E1F"/>
          <w:sz w:val="22"/>
        </w:rPr>
      </w:pPr>
      <w:r w:rsidRPr="00497699">
        <w:rPr>
          <w:rStyle w:val="A8"/>
          <w:rFonts w:asciiTheme="minorHAnsi" w:hAnsiTheme="minorHAnsi"/>
          <w:color w:val="221E1F"/>
          <w:sz w:val="22"/>
        </w:rPr>
        <w:tab/>
      </w:r>
    </w:p>
    <w:p w:rsidR="00E928C0" w:rsidRPr="00497699" w:rsidRDefault="00E928C0" w:rsidP="00E928C0">
      <w:pPr>
        <w:pStyle w:val="Default"/>
        <w:numPr>
          <w:ilvl w:val="0"/>
          <w:numId w:val="29"/>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access to a coagulation laboratory capable of performing accurate and precise clotting factor assays and inhibitor testing</w:t>
      </w:r>
    </w:p>
    <w:p w:rsidR="00E928C0" w:rsidRPr="00497699" w:rsidRDefault="00E928C0" w:rsidP="00E928C0">
      <w:pPr>
        <w:pStyle w:val="Default"/>
        <w:numPr>
          <w:ilvl w:val="0"/>
          <w:numId w:val="29"/>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provision of appropriate clotting factor concentrates, either plasma-derived or recombinant, as well as other adjunct haemostatic agents such as desmopressin (DDAVP) and tranexamic acid where possible</w:t>
      </w:r>
    </w:p>
    <w:p w:rsidR="00E928C0" w:rsidRPr="00497699" w:rsidRDefault="00E928C0" w:rsidP="00E928C0">
      <w:pPr>
        <w:pStyle w:val="Default"/>
        <w:numPr>
          <w:ilvl w:val="0"/>
          <w:numId w:val="29"/>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lastRenderedPageBreak/>
        <w:t>access to casting and/or splinting for immobilization and mobility/support aids, as needed</w:t>
      </w:r>
    </w:p>
    <w:p w:rsidR="00E928C0" w:rsidRPr="00497699" w:rsidRDefault="00E928C0" w:rsidP="00E928C0">
      <w:pPr>
        <w:pStyle w:val="Default"/>
        <w:spacing w:line="276" w:lineRule="auto"/>
        <w:ind w:left="1433" w:hanging="1320"/>
        <w:jc w:val="both"/>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1.3.11</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The</w:t>
      </w:r>
      <w:proofErr w:type="gramEnd"/>
      <w:r w:rsidRPr="00497699">
        <w:rPr>
          <w:rStyle w:val="A8"/>
          <w:rFonts w:asciiTheme="minorHAnsi" w:hAnsiTheme="minorHAnsi"/>
          <w:color w:val="221E1F"/>
          <w:sz w:val="22"/>
        </w:rPr>
        <w:t xml:space="preserve"> comprehensive care team should also include or have access to, among others: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E928C0">
      <w:pPr>
        <w:pStyle w:val="Default"/>
        <w:numPr>
          <w:ilvl w:val="0"/>
          <w:numId w:val="30"/>
        </w:numPr>
        <w:spacing w:line="276" w:lineRule="auto"/>
        <w:ind w:left="1701" w:hanging="284"/>
        <w:rPr>
          <w:rStyle w:val="A8"/>
          <w:rFonts w:asciiTheme="minorHAnsi" w:hAnsiTheme="minorHAnsi"/>
          <w:color w:val="221E1F"/>
          <w:sz w:val="22"/>
        </w:rPr>
      </w:pPr>
      <w:r>
        <w:rPr>
          <w:rStyle w:val="A8"/>
          <w:rFonts w:asciiTheme="minorHAnsi" w:hAnsiTheme="minorHAnsi"/>
          <w:color w:val="221E1F"/>
          <w:sz w:val="22"/>
        </w:rPr>
        <w:t xml:space="preserve">a pain specialist with expertise in the management of both acute and </w:t>
      </w:r>
      <w:r w:rsidRPr="00497699">
        <w:rPr>
          <w:rStyle w:val="A8"/>
          <w:rFonts w:asciiTheme="minorHAnsi" w:hAnsiTheme="minorHAnsi"/>
          <w:color w:val="221E1F"/>
          <w:sz w:val="22"/>
        </w:rPr>
        <w:t xml:space="preserve">chronic pain </w:t>
      </w:r>
    </w:p>
    <w:p w:rsidR="00E928C0" w:rsidRPr="00497699" w:rsidRDefault="00E928C0" w:rsidP="00E928C0">
      <w:pPr>
        <w:pStyle w:val="Default"/>
        <w:numPr>
          <w:ilvl w:val="0"/>
          <w:numId w:val="30"/>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dentist </w:t>
      </w:r>
    </w:p>
    <w:p w:rsidR="00E928C0" w:rsidRPr="00497699" w:rsidRDefault="00E928C0" w:rsidP="00E928C0">
      <w:pPr>
        <w:pStyle w:val="Default"/>
        <w:numPr>
          <w:ilvl w:val="0"/>
          <w:numId w:val="30"/>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geneticist / genetic counsellor</w:t>
      </w:r>
    </w:p>
    <w:p w:rsidR="00E928C0" w:rsidRPr="00497699" w:rsidRDefault="00E928C0" w:rsidP="00E928C0">
      <w:pPr>
        <w:pStyle w:val="Default"/>
        <w:numPr>
          <w:ilvl w:val="0"/>
          <w:numId w:val="30"/>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hepatologist </w:t>
      </w:r>
    </w:p>
    <w:p w:rsidR="00E928C0" w:rsidRPr="00497699" w:rsidRDefault="00E928C0" w:rsidP="00E928C0">
      <w:pPr>
        <w:pStyle w:val="Default"/>
        <w:numPr>
          <w:ilvl w:val="0"/>
          <w:numId w:val="30"/>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infectious disease specialist </w:t>
      </w:r>
    </w:p>
    <w:p w:rsidR="00E928C0" w:rsidRPr="00497699" w:rsidRDefault="00E928C0" w:rsidP="00E928C0">
      <w:pPr>
        <w:pStyle w:val="Default"/>
        <w:numPr>
          <w:ilvl w:val="0"/>
          <w:numId w:val="30"/>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immunologist </w:t>
      </w:r>
    </w:p>
    <w:p w:rsidR="00E928C0" w:rsidRPr="00497699" w:rsidRDefault="00E928C0" w:rsidP="00E928C0">
      <w:pPr>
        <w:pStyle w:val="Default"/>
        <w:numPr>
          <w:ilvl w:val="0"/>
          <w:numId w:val="30"/>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gynaecologist/obstetrician </w:t>
      </w:r>
    </w:p>
    <w:p w:rsidR="00E928C0" w:rsidRPr="00497699" w:rsidRDefault="00E928C0" w:rsidP="00E928C0">
      <w:pPr>
        <w:pStyle w:val="Default"/>
        <w:numPr>
          <w:ilvl w:val="0"/>
          <w:numId w:val="30"/>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vocational counsellor </w:t>
      </w:r>
    </w:p>
    <w:p w:rsidR="00E928C0" w:rsidRPr="00497699" w:rsidRDefault="00E928C0" w:rsidP="00E928C0">
      <w:pPr>
        <w:pStyle w:val="Default"/>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1.3.12</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Written</w:t>
      </w:r>
      <w:proofErr w:type="gramEnd"/>
      <w:r w:rsidRPr="00497699">
        <w:rPr>
          <w:rStyle w:val="A8"/>
          <w:rFonts w:asciiTheme="minorHAnsi" w:hAnsiTheme="minorHAnsi"/>
          <w:color w:val="221E1F"/>
          <w:sz w:val="22"/>
        </w:rPr>
        <w:t xml:space="preserve"> management protocols are required to ensure continuity of care despite changes in clinic personnel.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1.3.13</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The</w:t>
      </w:r>
      <w:proofErr w:type="gramEnd"/>
      <w:r w:rsidRPr="00497699">
        <w:rPr>
          <w:rStyle w:val="A8"/>
          <w:rFonts w:asciiTheme="minorHAnsi" w:hAnsiTheme="minorHAnsi"/>
          <w:color w:val="221E1F"/>
          <w:sz w:val="22"/>
        </w:rPr>
        <w:t xml:space="preserve"> comprehensive care team should have the resources to support family members. This may include identifying resources and strategies to help cope with: </w:t>
      </w:r>
    </w:p>
    <w:p w:rsidR="00E928C0" w:rsidRPr="00497699" w:rsidRDefault="00E928C0" w:rsidP="00E928C0">
      <w:pPr>
        <w:pStyle w:val="Default"/>
        <w:spacing w:line="276" w:lineRule="auto"/>
        <w:ind w:left="1433" w:hanging="1320"/>
        <w:rPr>
          <w:rStyle w:val="A8"/>
          <w:rFonts w:asciiTheme="minorHAnsi" w:hAnsiTheme="minorHAnsi"/>
          <w:color w:val="221E1F"/>
          <w:sz w:val="22"/>
        </w:rPr>
      </w:pPr>
      <w:r w:rsidRPr="00497699">
        <w:rPr>
          <w:rStyle w:val="A8"/>
          <w:rFonts w:asciiTheme="minorHAnsi" w:hAnsiTheme="minorHAnsi"/>
          <w:color w:val="221E1F"/>
          <w:sz w:val="22"/>
        </w:rPr>
        <w:tab/>
      </w:r>
    </w:p>
    <w:p w:rsidR="00E928C0" w:rsidRPr="00497699" w:rsidRDefault="00E928C0" w:rsidP="00E928C0">
      <w:pPr>
        <w:pStyle w:val="Default"/>
        <w:numPr>
          <w:ilvl w:val="0"/>
          <w:numId w:val="31"/>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risks and problems of everyday living, particularly with management of bleeding</w:t>
      </w:r>
    </w:p>
    <w:p w:rsidR="00E928C0" w:rsidRPr="00497699" w:rsidRDefault="00E928C0" w:rsidP="00E928C0">
      <w:pPr>
        <w:pStyle w:val="Default"/>
        <w:numPr>
          <w:ilvl w:val="0"/>
          <w:numId w:val="31"/>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changes associated with different stages of the patient’s growth and development       (especially adolescence and aging)</w:t>
      </w:r>
    </w:p>
    <w:p w:rsidR="00E928C0" w:rsidRPr="00497699" w:rsidRDefault="00E928C0" w:rsidP="00E928C0">
      <w:pPr>
        <w:pStyle w:val="Default"/>
        <w:numPr>
          <w:ilvl w:val="0"/>
          <w:numId w:val="31"/>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issues regarding schooling and employment</w:t>
      </w:r>
    </w:p>
    <w:p w:rsidR="00E928C0" w:rsidRDefault="00E928C0" w:rsidP="00E928C0">
      <w:pPr>
        <w:pStyle w:val="Default"/>
        <w:numPr>
          <w:ilvl w:val="0"/>
          <w:numId w:val="31"/>
        </w:numPr>
        <w:spacing w:line="276" w:lineRule="auto"/>
        <w:ind w:left="1701" w:hanging="284"/>
        <w:rPr>
          <w:rStyle w:val="A8"/>
          <w:rFonts w:asciiTheme="minorHAnsi" w:hAnsiTheme="minorHAnsi"/>
          <w:color w:val="221E1F"/>
          <w:sz w:val="22"/>
        </w:rPr>
      </w:pPr>
      <w:proofErr w:type="gramStart"/>
      <w:r w:rsidRPr="00497699">
        <w:rPr>
          <w:rStyle w:val="A8"/>
          <w:rFonts w:asciiTheme="minorHAnsi" w:hAnsiTheme="minorHAnsi"/>
          <w:color w:val="221E1F"/>
          <w:sz w:val="22"/>
        </w:rPr>
        <w:t>risk</w:t>
      </w:r>
      <w:proofErr w:type="gramEnd"/>
      <w:r w:rsidRPr="00497699">
        <w:rPr>
          <w:rStyle w:val="A8"/>
          <w:rFonts w:asciiTheme="minorHAnsi" w:hAnsiTheme="minorHAnsi"/>
          <w:color w:val="221E1F"/>
          <w:sz w:val="22"/>
        </w:rPr>
        <w:t xml:space="preserve"> of having another affected child and the options available.</w:t>
      </w:r>
    </w:p>
    <w:p w:rsidR="00BB12A1" w:rsidRPr="00FE45E4" w:rsidRDefault="00BB12A1" w:rsidP="00041ED2">
      <w:pPr>
        <w:pStyle w:val="Default"/>
        <w:spacing w:line="276" w:lineRule="auto"/>
        <w:ind w:left="1701"/>
        <w:rPr>
          <w:rStyle w:val="A8"/>
          <w:rFonts w:asciiTheme="minorHAnsi" w:hAnsiTheme="minorHAnsi" w:cs="Arial"/>
          <w:b/>
          <w:i/>
          <w:color w:val="221E1F"/>
          <w:sz w:val="22"/>
          <w:szCs w:val="22"/>
          <w:lang w:eastAsia="en-AU"/>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1.3.14</w:t>
      </w:r>
      <w:r w:rsidRPr="00497699">
        <w:rPr>
          <w:rStyle w:val="A8"/>
          <w:rFonts w:asciiTheme="minorHAnsi" w:hAnsiTheme="minorHAnsi"/>
          <w:color w:val="221E1F"/>
          <w:sz w:val="22"/>
        </w:rPr>
        <w:tab/>
      </w:r>
      <w:r w:rsidRPr="00497699">
        <w:rPr>
          <w:rStyle w:val="A8"/>
          <w:rFonts w:asciiTheme="minorHAnsi" w:hAnsiTheme="minorHAnsi"/>
          <w:color w:val="221E1F"/>
          <w:sz w:val="22"/>
        </w:rPr>
        <w:tab/>
        <w:t xml:space="preserve">Establishing a long-term relationship between patients/families and members of the comprehensive care team promotes compliance. </w:t>
      </w:r>
    </w:p>
    <w:p w:rsidR="00E928C0" w:rsidRPr="00041ED2" w:rsidRDefault="00E928C0" w:rsidP="00041ED2">
      <w:pPr>
        <w:pStyle w:val="Heading4"/>
        <w:rPr>
          <w:rStyle w:val="A8"/>
          <w:b w:val="0"/>
          <w:i w:val="0"/>
          <w:color w:val="000000"/>
          <w:sz w:val="22"/>
        </w:rPr>
      </w:pPr>
      <w:r w:rsidRPr="00041ED2">
        <w:rPr>
          <w:rStyle w:val="A8"/>
          <w:color w:val="000000"/>
          <w:sz w:val="22"/>
        </w:rPr>
        <w:t xml:space="preserve">Functions of a comprehensive care program </w:t>
      </w: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1.3.15</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To</w:t>
      </w:r>
      <w:proofErr w:type="gramEnd"/>
      <w:r w:rsidRPr="00497699">
        <w:rPr>
          <w:rStyle w:val="A8"/>
          <w:rFonts w:asciiTheme="minorHAnsi" w:hAnsiTheme="minorHAnsi"/>
          <w:color w:val="221E1F"/>
          <w:sz w:val="22"/>
        </w:rPr>
        <w:t xml:space="preserve"> provide or coordinate inpatient (i.e. during hospital stays) and outpatient (clinic and other visits) care and services to patients and their family.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E928C0">
      <w:pPr>
        <w:pStyle w:val="Default"/>
        <w:spacing w:line="276" w:lineRule="auto"/>
        <w:ind w:left="1433"/>
        <w:rPr>
          <w:rStyle w:val="A8"/>
          <w:rFonts w:asciiTheme="minorHAnsi" w:hAnsiTheme="minorHAnsi"/>
          <w:b/>
          <w:color w:val="221E1F"/>
          <w:sz w:val="22"/>
        </w:rPr>
      </w:pPr>
      <w:r w:rsidRPr="00497699">
        <w:rPr>
          <w:rStyle w:val="A8"/>
          <w:rFonts w:asciiTheme="minorHAnsi" w:hAnsiTheme="minorHAnsi"/>
          <w:b/>
          <w:color w:val="221E1F"/>
          <w:sz w:val="22"/>
        </w:rPr>
        <w:t xml:space="preserve">Patients should be seen by all core team members at least yearly (children, and patients with severe bleeding disorders every six months) for clinical review, and to develop, audit, and refine an individual’s comprehensive management plan. It is suggested that a comprehensive musculoskeletal and psychosocial assessment be performed annually. Referrals for other services can also be given during these visits. </w:t>
      </w:r>
      <w:r w:rsidRPr="00497699">
        <w:rPr>
          <w:rStyle w:val="A8"/>
          <w:rFonts w:asciiTheme="minorHAnsi" w:hAnsiTheme="minorHAnsi"/>
          <w:b/>
          <w:color w:val="221E1F"/>
          <w:sz w:val="22"/>
          <w:vertAlign w:val="superscript"/>
        </w:rPr>
        <w:t>[13</w:t>
      </w:r>
      <w:proofErr w:type="gramStart"/>
      <w:r w:rsidRPr="00497699">
        <w:rPr>
          <w:rStyle w:val="A8"/>
          <w:rFonts w:asciiTheme="minorHAnsi" w:hAnsiTheme="minorHAnsi"/>
          <w:b/>
          <w:color w:val="221E1F"/>
          <w:sz w:val="22"/>
          <w:vertAlign w:val="superscript"/>
        </w:rPr>
        <w:t>,14</w:t>
      </w:r>
      <w:proofErr w:type="gramEnd"/>
      <w:r w:rsidRPr="00497699">
        <w:rPr>
          <w:rStyle w:val="A8"/>
          <w:rFonts w:asciiTheme="minorHAnsi" w:hAnsiTheme="minorHAnsi"/>
          <w:b/>
          <w:color w:val="221E1F"/>
          <w:sz w:val="22"/>
          <w:vertAlign w:val="superscript"/>
        </w:rPr>
        <w:t>]</w:t>
      </w:r>
    </w:p>
    <w:p w:rsidR="00E928C0" w:rsidRPr="00497699" w:rsidRDefault="00E928C0" w:rsidP="00E928C0">
      <w:pPr>
        <w:pStyle w:val="Default"/>
        <w:spacing w:line="276" w:lineRule="auto"/>
        <w:ind w:left="1433" w:hanging="1320"/>
        <w:jc w:val="both"/>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1.3.16</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The</w:t>
      </w:r>
      <w:proofErr w:type="gramEnd"/>
      <w:r w:rsidRPr="00497699">
        <w:rPr>
          <w:rStyle w:val="A8"/>
          <w:rFonts w:asciiTheme="minorHAnsi" w:hAnsiTheme="minorHAnsi"/>
          <w:color w:val="221E1F"/>
          <w:sz w:val="22"/>
        </w:rPr>
        <w:t xml:space="preserve"> management plan should be developed with the patient and communicated to all treaters and care facilities. All changes in treatment plan should be recorded on the ABDR.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lastRenderedPageBreak/>
        <w:t>1.3.17</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Smaller</w:t>
      </w:r>
      <w:proofErr w:type="gramEnd"/>
      <w:r w:rsidRPr="00497699">
        <w:rPr>
          <w:rStyle w:val="A8"/>
          <w:rFonts w:asciiTheme="minorHAnsi" w:hAnsiTheme="minorHAnsi"/>
          <w:color w:val="221E1F"/>
          <w:sz w:val="22"/>
        </w:rPr>
        <w:t xml:space="preserve"> centres and personal physicians can provide primary care and management of some complications, in frequent consultation with the comprehensive care centre (particularly for patients who live a long distance from the nearest </w:t>
      </w:r>
      <w:r w:rsidR="00201683">
        <w:rPr>
          <w:rStyle w:val="A8"/>
          <w:rFonts w:asciiTheme="minorHAnsi" w:hAnsiTheme="minorHAnsi"/>
          <w:color w:val="221E1F"/>
          <w:sz w:val="22"/>
        </w:rPr>
        <w:t>HTC</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1.3.18</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To</w:t>
      </w:r>
      <w:proofErr w:type="gramEnd"/>
      <w:r w:rsidRPr="00497699">
        <w:rPr>
          <w:rStyle w:val="A8"/>
          <w:rFonts w:asciiTheme="minorHAnsi" w:hAnsiTheme="minorHAnsi"/>
          <w:color w:val="221E1F"/>
          <w:sz w:val="22"/>
        </w:rPr>
        <w:t xml:space="preserve"> initiate, provide training for, and supervise home therapy with clotting factor concentrates where available.</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1.3.19</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To</w:t>
      </w:r>
      <w:proofErr w:type="gramEnd"/>
      <w:r w:rsidRPr="00497699">
        <w:rPr>
          <w:rStyle w:val="A8"/>
          <w:rFonts w:asciiTheme="minorHAnsi" w:hAnsiTheme="minorHAnsi"/>
          <w:color w:val="221E1F"/>
          <w:sz w:val="22"/>
        </w:rPr>
        <w:t xml:space="preserve"> educate patients, family members and other caregivers to ensure that the needs of the patient are met.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1.3.20</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To</w:t>
      </w:r>
      <w:proofErr w:type="gramEnd"/>
      <w:r w:rsidRPr="00497699">
        <w:rPr>
          <w:rStyle w:val="A8"/>
          <w:rFonts w:asciiTheme="minorHAnsi" w:hAnsiTheme="minorHAnsi"/>
          <w:color w:val="221E1F"/>
          <w:sz w:val="22"/>
        </w:rPr>
        <w:t xml:space="preserve"> collect data on sites of bleeds, types and doses of treatment given, assessment of long-term outcomes (particularly with reference to musculo</w:t>
      </w:r>
      <w:r w:rsidRPr="00497699">
        <w:rPr>
          <w:rStyle w:val="A8"/>
          <w:rFonts w:asciiTheme="minorHAnsi" w:hAnsiTheme="minorHAnsi"/>
          <w:color w:val="221E1F"/>
          <w:sz w:val="22"/>
        </w:rPr>
        <w:softHyphen/>
        <w:t xml:space="preserve">skeletal function), complications from treatment, and surgical procedures. This information is best recorded on the ABDR and should be updated regularly by an ABDR data manager or other designated person and maintained in accordance with confidentiality laws and other national regulations. Particular emphasis should be placed on recording of all bleeding events (both </w:t>
      </w:r>
      <w:r w:rsidR="00BB12A1">
        <w:rPr>
          <w:rStyle w:val="A8"/>
          <w:rFonts w:asciiTheme="minorHAnsi" w:hAnsiTheme="minorHAnsi"/>
          <w:color w:val="221E1F"/>
          <w:sz w:val="22"/>
        </w:rPr>
        <w:t>b</w:t>
      </w:r>
      <w:r w:rsidRPr="00497699">
        <w:rPr>
          <w:rStyle w:val="A8"/>
          <w:rFonts w:asciiTheme="minorHAnsi" w:hAnsiTheme="minorHAnsi"/>
          <w:color w:val="221E1F"/>
          <w:sz w:val="22"/>
        </w:rPr>
        <w:t xml:space="preserve">y HTC staff and by patients through </w:t>
      </w:r>
      <w:r w:rsidR="00BB12A1">
        <w:rPr>
          <w:rStyle w:val="A8"/>
          <w:rFonts w:asciiTheme="minorHAnsi" w:hAnsiTheme="minorHAnsi"/>
          <w:color w:val="221E1F"/>
          <w:sz w:val="22"/>
        </w:rPr>
        <w:t>ABDR and MyABDR</w:t>
      </w:r>
      <w:r w:rsidRPr="00497699">
        <w:rPr>
          <w:rStyle w:val="A8"/>
          <w:rFonts w:asciiTheme="minorHAnsi" w:hAnsiTheme="minorHAnsi"/>
          <w:color w:val="221E1F"/>
          <w:sz w:val="22"/>
        </w:rPr>
        <w:t xml:space="preserve">), clotting factor administration (again both through the ABDR and </w:t>
      </w:r>
      <w:r w:rsidR="00BB12A1">
        <w:rPr>
          <w:rStyle w:val="A8"/>
          <w:rFonts w:asciiTheme="minorHAnsi" w:hAnsiTheme="minorHAnsi"/>
          <w:color w:val="221E1F"/>
          <w:sz w:val="22"/>
        </w:rPr>
        <w:t>MyABDR</w:t>
      </w:r>
      <w:r w:rsidRPr="00497699">
        <w:rPr>
          <w:rStyle w:val="A8"/>
          <w:rFonts w:asciiTheme="minorHAnsi" w:hAnsiTheme="minorHAnsi"/>
          <w:color w:val="221E1F"/>
          <w:sz w:val="22"/>
        </w:rPr>
        <w:t>), joint outcome using the Haemophilia Joint Health Score, and an appropriate quality of life measure.</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E928C0">
      <w:pPr>
        <w:pStyle w:val="Default"/>
        <w:spacing w:line="276" w:lineRule="auto"/>
        <w:ind w:left="1433"/>
        <w:rPr>
          <w:rStyle w:val="A8"/>
          <w:rFonts w:asciiTheme="minorHAnsi" w:hAnsiTheme="minorHAnsi"/>
          <w:color w:val="221E1F"/>
          <w:sz w:val="22"/>
        </w:rPr>
      </w:pPr>
      <w:r w:rsidRPr="00497699">
        <w:rPr>
          <w:rStyle w:val="A8"/>
          <w:rFonts w:asciiTheme="minorHAnsi" w:hAnsiTheme="minorHAnsi"/>
          <w:color w:val="221E1F"/>
          <w:sz w:val="22"/>
        </w:rPr>
        <w:t xml:space="preserve">Systematic data collection will: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E928C0">
      <w:pPr>
        <w:pStyle w:val="Default"/>
        <w:numPr>
          <w:ilvl w:val="0"/>
          <w:numId w:val="32"/>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facilitate the auditing of services provided by the </w:t>
      </w:r>
      <w:r w:rsidR="00201683">
        <w:rPr>
          <w:rStyle w:val="A8"/>
          <w:rFonts w:asciiTheme="minorHAnsi" w:hAnsiTheme="minorHAnsi"/>
          <w:color w:val="221E1F"/>
          <w:sz w:val="22"/>
        </w:rPr>
        <w:t>HTC</w:t>
      </w:r>
      <w:r w:rsidRPr="00497699">
        <w:rPr>
          <w:rStyle w:val="A8"/>
          <w:rFonts w:asciiTheme="minorHAnsi" w:hAnsiTheme="minorHAnsi"/>
          <w:color w:val="221E1F"/>
          <w:sz w:val="22"/>
        </w:rPr>
        <w:t xml:space="preserve"> and support improvements to care delivery</w:t>
      </w:r>
    </w:p>
    <w:p w:rsidR="00E928C0" w:rsidRPr="00497699" w:rsidRDefault="00E928C0" w:rsidP="00E928C0">
      <w:pPr>
        <w:pStyle w:val="Default"/>
        <w:numPr>
          <w:ilvl w:val="0"/>
          <w:numId w:val="32"/>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help inform allocation of resources</w:t>
      </w:r>
    </w:p>
    <w:p w:rsidR="00E928C0" w:rsidRPr="00497699" w:rsidRDefault="00E928C0" w:rsidP="00E928C0">
      <w:pPr>
        <w:pStyle w:val="Default"/>
        <w:numPr>
          <w:ilvl w:val="0"/>
          <w:numId w:val="32"/>
        </w:numPr>
        <w:spacing w:line="276" w:lineRule="auto"/>
        <w:ind w:left="1701" w:hanging="284"/>
        <w:rPr>
          <w:rStyle w:val="A8"/>
          <w:rFonts w:asciiTheme="minorHAnsi" w:hAnsiTheme="minorHAnsi"/>
          <w:color w:val="221E1F"/>
          <w:sz w:val="22"/>
        </w:rPr>
      </w:pPr>
      <w:proofErr w:type="gramStart"/>
      <w:r w:rsidRPr="00497699">
        <w:rPr>
          <w:rStyle w:val="A8"/>
          <w:rFonts w:asciiTheme="minorHAnsi" w:hAnsiTheme="minorHAnsi"/>
          <w:color w:val="221E1F"/>
          <w:sz w:val="22"/>
        </w:rPr>
        <w:t>promote</w:t>
      </w:r>
      <w:proofErr w:type="gramEnd"/>
      <w:r w:rsidRPr="00497699">
        <w:rPr>
          <w:rStyle w:val="A8"/>
          <w:rFonts w:asciiTheme="minorHAnsi" w:hAnsiTheme="minorHAnsi"/>
          <w:color w:val="221E1F"/>
          <w:sz w:val="22"/>
        </w:rPr>
        <w:t xml:space="preserve"> collaboration between centres in sharing and publishing data.</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proofErr w:type="gramStart"/>
      <w:r w:rsidRPr="00497699">
        <w:rPr>
          <w:rStyle w:val="A8"/>
          <w:rFonts w:asciiTheme="minorHAnsi" w:hAnsiTheme="minorHAnsi"/>
          <w:color w:val="221E1F"/>
          <w:sz w:val="22"/>
        </w:rPr>
        <w:t>1.3.21</w:t>
      </w:r>
      <w:r w:rsidRPr="00497699">
        <w:rPr>
          <w:rStyle w:val="A8"/>
          <w:rFonts w:asciiTheme="minorHAnsi" w:hAnsiTheme="minorHAnsi"/>
          <w:color w:val="221E1F"/>
          <w:sz w:val="22"/>
        </w:rPr>
        <w:tab/>
        <w:t>Where possible, to conduct basic and clinical research.</w:t>
      </w:r>
      <w:proofErr w:type="gramEnd"/>
      <w:r w:rsidRPr="00497699">
        <w:rPr>
          <w:rStyle w:val="A8"/>
          <w:rFonts w:asciiTheme="minorHAnsi" w:hAnsiTheme="minorHAnsi"/>
          <w:color w:val="221E1F"/>
          <w:sz w:val="22"/>
        </w:rPr>
        <w:t xml:space="preserve"> Since the number of patients in each centre may be limited, clinical research is best conducted in collaboration with other haemophilia centres.</w:t>
      </w:r>
    </w:p>
    <w:p w:rsidR="00E928C0" w:rsidRDefault="00E928C0" w:rsidP="00E928C0">
      <w:pPr>
        <w:autoSpaceDE w:val="0"/>
        <w:autoSpaceDN w:val="0"/>
        <w:adjustRightInd w:val="0"/>
        <w:spacing w:after="0"/>
        <w:ind w:right="557"/>
        <w:rPr>
          <w:rFonts w:asciiTheme="minorHAnsi" w:hAnsiTheme="minorHAnsi" w:cs="Avenir LT Std 55 Roman"/>
          <w:b/>
          <w:bCs/>
          <w:color w:val="E31736"/>
          <w:sz w:val="28"/>
          <w:lang w:eastAsia="en-US"/>
        </w:rPr>
      </w:pPr>
    </w:p>
    <w:p w:rsidR="00E928C0" w:rsidRPr="00041ED2" w:rsidRDefault="00E928C0" w:rsidP="00041ED2">
      <w:pPr>
        <w:pStyle w:val="Heading3"/>
        <w:rPr>
          <w:rStyle w:val="A8"/>
          <w:b/>
          <w:bCs/>
        </w:rPr>
      </w:pPr>
      <w:bookmarkStart w:id="10" w:name="_Toc431484304"/>
      <w:r w:rsidRPr="00041ED2">
        <w:rPr>
          <w:rStyle w:val="A8"/>
        </w:rPr>
        <w:t>1.4 Fitness and physical activity</w:t>
      </w:r>
      <w:bookmarkEnd w:id="10"/>
    </w:p>
    <w:p w:rsidR="00E928C0" w:rsidRPr="00497699" w:rsidRDefault="00E928C0" w:rsidP="00041ED2">
      <w:pPr>
        <w:pStyle w:val="Default"/>
        <w:spacing w:line="276" w:lineRule="auto"/>
        <w:ind w:left="1433" w:hanging="1433"/>
        <w:rPr>
          <w:rStyle w:val="A8"/>
          <w:rFonts w:asciiTheme="minorHAnsi" w:hAnsiTheme="minorHAnsi" w:cs="Arial"/>
          <w:b/>
          <w:color w:val="221E1F"/>
          <w:sz w:val="22"/>
          <w:szCs w:val="28"/>
          <w:lang w:eastAsia="en-AU"/>
        </w:rPr>
      </w:pPr>
      <w:r w:rsidRPr="00497699">
        <w:rPr>
          <w:rStyle w:val="A8"/>
          <w:rFonts w:asciiTheme="minorHAnsi" w:hAnsiTheme="minorHAnsi"/>
          <w:color w:val="221E1F"/>
          <w:sz w:val="22"/>
        </w:rPr>
        <w:t>1.4.1</w:t>
      </w:r>
      <w:r w:rsidRPr="00497699">
        <w:rPr>
          <w:rStyle w:val="A8"/>
          <w:rFonts w:asciiTheme="minorHAnsi" w:hAnsiTheme="minorHAnsi"/>
          <w:color w:val="221E1F"/>
          <w:sz w:val="22"/>
        </w:rPr>
        <w:tab/>
      </w:r>
      <w:r w:rsidRPr="00497699">
        <w:rPr>
          <w:rStyle w:val="A8"/>
          <w:rFonts w:asciiTheme="minorHAnsi" w:hAnsiTheme="minorHAnsi"/>
          <w:b/>
          <w:color w:val="221E1F"/>
          <w:sz w:val="22"/>
        </w:rPr>
        <w:t>Physical activity should be encouraged to promote physical fitness and normal neuro</w:t>
      </w:r>
      <w:r w:rsidRPr="00497699">
        <w:rPr>
          <w:rStyle w:val="A8"/>
          <w:rFonts w:asciiTheme="minorHAnsi" w:hAnsiTheme="minorHAnsi"/>
          <w:b/>
          <w:color w:val="221E1F"/>
          <w:sz w:val="22"/>
        </w:rPr>
        <w:softHyphen/>
        <w:t xml:space="preserve">muscular development, with attention paid to muscle strengthening, coordination, general fitness, physical functioning, healthy body weight, and self-esteem.  </w:t>
      </w:r>
      <w:r w:rsidRPr="00497699">
        <w:rPr>
          <w:rStyle w:val="A8"/>
          <w:rFonts w:asciiTheme="minorHAnsi" w:hAnsiTheme="minorHAnsi"/>
          <w:b/>
          <w:color w:val="221E1F"/>
          <w:sz w:val="22"/>
          <w:vertAlign w:val="superscript"/>
        </w:rPr>
        <w:t>[15]</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1.4.2</w:t>
      </w:r>
      <w:r w:rsidRPr="00497699">
        <w:rPr>
          <w:rStyle w:val="A8"/>
          <w:rFonts w:asciiTheme="minorHAnsi" w:hAnsiTheme="minorHAnsi"/>
          <w:color w:val="221E1F"/>
          <w:sz w:val="22"/>
        </w:rPr>
        <w:tab/>
        <w:t xml:space="preserve">Bone density may be decreased in people with haemophilia. </w:t>
      </w:r>
      <w:r w:rsidRPr="00497699">
        <w:rPr>
          <w:rStyle w:val="A8"/>
          <w:rFonts w:asciiTheme="minorHAnsi" w:hAnsiTheme="minorHAnsi"/>
          <w:color w:val="221E1F"/>
          <w:sz w:val="22"/>
          <w:vertAlign w:val="superscript"/>
        </w:rPr>
        <w:t>[16, 17]</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color w:val="221E1F"/>
          <w:sz w:val="22"/>
          <w:szCs w:val="28"/>
          <w:lang w:eastAsia="en-AU"/>
        </w:rPr>
      </w:pPr>
      <w:r w:rsidRPr="00497699">
        <w:rPr>
          <w:rStyle w:val="A8"/>
          <w:rFonts w:asciiTheme="minorHAnsi" w:hAnsiTheme="minorHAnsi"/>
          <w:color w:val="221E1F"/>
          <w:sz w:val="22"/>
        </w:rPr>
        <w:t>1.4.3</w:t>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For patients with significant musculoskeletal dysfunction, weight-bearing activities that promote development and maintenance of good bone density should be encouraged, to the extent their joint health permits. </w:t>
      </w:r>
      <w:r w:rsidRPr="00497699">
        <w:rPr>
          <w:rStyle w:val="A8"/>
          <w:rFonts w:asciiTheme="minorHAnsi" w:hAnsiTheme="minorHAnsi"/>
          <w:b/>
          <w:color w:val="221E1F"/>
          <w:sz w:val="22"/>
          <w:vertAlign w:val="superscript"/>
        </w:rPr>
        <w:t>[16]</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1.4.4</w:t>
      </w:r>
      <w:r w:rsidRPr="00497699">
        <w:rPr>
          <w:rStyle w:val="A8"/>
          <w:rFonts w:asciiTheme="minorHAnsi" w:hAnsiTheme="minorHAnsi"/>
          <w:color w:val="221E1F"/>
          <w:sz w:val="22"/>
        </w:rPr>
        <w:tab/>
        <w:t>The choice of activities should reflect an indi</w:t>
      </w:r>
      <w:r w:rsidRPr="00497699">
        <w:rPr>
          <w:rStyle w:val="A8"/>
          <w:rFonts w:asciiTheme="minorHAnsi" w:hAnsiTheme="minorHAnsi"/>
          <w:color w:val="221E1F"/>
          <w:sz w:val="22"/>
        </w:rPr>
        <w:softHyphen/>
        <w:t>vidual’s preference/interests, ability, physical condition, local customs, and resources.</w:t>
      </w:r>
    </w:p>
    <w:p w:rsidR="00E928C0" w:rsidRPr="00497699" w:rsidRDefault="00E928C0" w:rsidP="00E928C0">
      <w:pPr>
        <w:pStyle w:val="Default"/>
        <w:spacing w:line="276" w:lineRule="auto"/>
        <w:ind w:left="1433" w:hanging="1320"/>
        <w:jc w:val="both"/>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lastRenderedPageBreak/>
        <w:t>1.4.5</w:t>
      </w:r>
      <w:r w:rsidRPr="00497699">
        <w:rPr>
          <w:rStyle w:val="A8"/>
          <w:rFonts w:asciiTheme="minorHAnsi" w:hAnsiTheme="minorHAnsi"/>
          <w:color w:val="221E1F"/>
          <w:sz w:val="22"/>
        </w:rPr>
        <w:tab/>
        <w:t xml:space="preserve">Non-contact sports such as swimming, walking, golf, badminton, archery, cycling, rowing, sailing, and table tennis should be encouraged.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1.4.6</w:t>
      </w:r>
      <w:r w:rsidRPr="00497699">
        <w:rPr>
          <w:rStyle w:val="A8"/>
          <w:rFonts w:asciiTheme="minorHAnsi" w:hAnsiTheme="minorHAnsi"/>
          <w:color w:val="221E1F"/>
          <w:sz w:val="22"/>
        </w:rPr>
        <w:tab/>
        <w:t xml:space="preserve">Decisions to participation in high contact and collision sports such as soccer, AFL, hockey, rugby, boxing, and wrestling, as well as high-velocity activities such as motocross racing and skiing, are best made after discussion with the HTC team and should take in to consideration the age of the individual, and the severity and type of their bleeding disorder.  Because of the potential for life-threatening injuries any individual who decides to participate in such activities should have adequate prophylaxis cover.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1.4.7</w:t>
      </w:r>
      <w:r w:rsidRPr="00497699">
        <w:rPr>
          <w:rStyle w:val="A8"/>
          <w:rFonts w:asciiTheme="minorHAnsi" w:hAnsiTheme="minorHAnsi"/>
          <w:color w:val="221E1F"/>
          <w:sz w:val="22"/>
        </w:rPr>
        <w:tab/>
      </w:r>
      <w:r>
        <w:rPr>
          <w:rStyle w:val="A8"/>
          <w:rFonts w:asciiTheme="minorHAnsi" w:hAnsiTheme="minorHAnsi"/>
          <w:color w:val="221E1F"/>
          <w:sz w:val="22"/>
        </w:rPr>
        <w:t>Organis</w:t>
      </w:r>
      <w:r w:rsidRPr="00497699">
        <w:rPr>
          <w:rStyle w:val="A8"/>
          <w:rFonts w:asciiTheme="minorHAnsi" w:hAnsiTheme="minorHAnsi"/>
          <w:color w:val="221E1F"/>
          <w:sz w:val="22"/>
        </w:rPr>
        <w:t>ed sports programs should be encour</w:t>
      </w:r>
      <w:r w:rsidRPr="00497699">
        <w:rPr>
          <w:rStyle w:val="A8"/>
          <w:rFonts w:asciiTheme="minorHAnsi" w:hAnsiTheme="minorHAnsi"/>
          <w:color w:val="221E1F"/>
          <w:sz w:val="22"/>
        </w:rPr>
        <w:softHyphen/>
        <w:t xml:space="preserve">aged as opposed to unstructured activities, where protective equipment and supervision may be lacking.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1.4.8</w:t>
      </w:r>
      <w:r w:rsidRPr="00497699">
        <w:rPr>
          <w:rStyle w:val="A8"/>
          <w:rFonts w:asciiTheme="minorHAnsi" w:hAnsiTheme="minorHAnsi"/>
          <w:color w:val="221E1F"/>
          <w:sz w:val="22"/>
        </w:rPr>
        <w:tab/>
        <w:t>The patient should consult with a musculoskeletal professional before engaging in physical activi</w:t>
      </w:r>
      <w:r w:rsidRPr="00497699">
        <w:rPr>
          <w:rStyle w:val="A8"/>
          <w:rFonts w:asciiTheme="minorHAnsi" w:hAnsiTheme="minorHAnsi"/>
          <w:color w:val="221E1F"/>
          <w:sz w:val="22"/>
        </w:rPr>
        <w:softHyphen/>
        <w:t xml:space="preserve">ties to discuss their appropriateness, protective gear, prophylaxis (factor and other measures), and physical skills required prior to beginning the activity. This is particularly important if the patient has any problem/target joints. </w:t>
      </w:r>
      <w:r w:rsidRPr="00497699">
        <w:rPr>
          <w:rStyle w:val="A8"/>
          <w:rFonts w:asciiTheme="minorHAnsi" w:hAnsiTheme="minorHAnsi"/>
          <w:color w:val="221E1F"/>
          <w:sz w:val="22"/>
          <w:vertAlign w:val="superscript"/>
        </w:rPr>
        <w:t>[18]</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1.4.9</w:t>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Target joints can be protected with braces or splints during activity. </w:t>
      </w:r>
      <w:r w:rsidRPr="00497699">
        <w:rPr>
          <w:rStyle w:val="A8"/>
          <w:rFonts w:asciiTheme="minorHAnsi" w:hAnsiTheme="minorHAnsi"/>
          <w:b/>
          <w:color w:val="221E1F"/>
          <w:sz w:val="22"/>
          <w:vertAlign w:val="superscript"/>
        </w:rPr>
        <w:t>[19</w:t>
      </w:r>
      <w:proofErr w:type="gramStart"/>
      <w:r w:rsidRPr="00497699">
        <w:rPr>
          <w:rStyle w:val="A8"/>
          <w:rFonts w:asciiTheme="minorHAnsi" w:hAnsiTheme="minorHAnsi"/>
          <w:b/>
          <w:color w:val="221E1F"/>
          <w:sz w:val="22"/>
          <w:vertAlign w:val="superscript"/>
        </w:rPr>
        <w:t>,20</w:t>
      </w:r>
      <w:proofErr w:type="gramEnd"/>
      <w:r w:rsidRPr="00497699">
        <w:rPr>
          <w:rStyle w:val="A8"/>
          <w:rFonts w:asciiTheme="minorHAnsi" w:hAnsiTheme="minorHAnsi"/>
          <w:b/>
          <w:color w:val="221E1F"/>
          <w:sz w:val="22"/>
          <w:vertAlign w:val="superscript"/>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1.4.10</w:t>
      </w:r>
      <w:r w:rsidRPr="00497699">
        <w:rPr>
          <w:rStyle w:val="A8"/>
          <w:rFonts w:asciiTheme="minorHAnsi" w:hAnsiTheme="minorHAnsi"/>
          <w:color w:val="221E1F"/>
          <w:sz w:val="22"/>
        </w:rPr>
        <w:tab/>
        <w:t xml:space="preserve">Activities should be re-initiated gradually after a bleed to minimise the chance of a re-bleed. </w:t>
      </w:r>
    </w:p>
    <w:p w:rsidR="00E928C0" w:rsidRPr="00497699" w:rsidRDefault="00E928C0" w:rsidP="00E928C0">
      <w:pPr>
        <w:pStyle w:val="Default"/>
        <w:numPr>
          <w:ilvl w:val="0"/>
          <w:numId w:val="16"/>
        </w:numPr>
        <w:spacing w:line="276" w:lineRule="auto"/>
        <w:ind w:left="567" w:right="557"/>
        <w:rPr>
          <w:rFonts w:asciiTheme="minorHAnsi" w:hAnsiTheme="minorHAnsi"/>
        </w:rPr>
      </w:pPr>
    </w:p>
    <w:p w:rsidR="00E928C0" w:rsidRPr="00041ED2" w:rsidRDefault="00E928C0" w:rsidP="00041ED2">
      <w:pPr>
        <w:pStyle w:val="Heading3"/>
      </w:pPr>
      <w:bookmarkStart w:id="11" w:name="_Toc431484305"/>
      <w:r w:rsidRPr="00041ED2">
        <w:rPr>
          <w:rStyle w:val="A8"/>
          <w:color w:val="FF0000"/>
        </w:rPr>
        <w:t xml:space="preserve">1.5 </w:t>
      </w:r>
      <w:r w:rsidRPr="00214A6A">
        <w:t>Adjunctive</w:t>
      </w:r>
      <w:r w:rsidRPr="00041ED2">
        <w:t xml:space="preserve"> management</w:t>
      </w:r>
      <w:bookmarkEnd w:id="11"/>
      <w:r w:rsidRPr="00041ED2">
        <w:t xml:space="preserve"> </w:t>
      </w: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1.5.1</w:t>
      </w:r>
      <w:r w:rsidRPr="00497699">
        <w:rPr>
          <w:rStyle w:val="A8"/>
          <w:rFonts w:asciiTheme="minorHAnsi" w:hAnsiTheme="minorHAnsi"/>
          <w:color w:val="221E1F"/>
          <w:sz w:val="22"/>
        </w:rPr>
        <w:tab/>
        <w:t>Adjunctive therapies are important, particularly where clotting factor concentrates are limited or not available, and may lessen the amount of treat</w:t>
      </w:r>
      <w:r w:rsidRPr="00497699">
        <w:rPr>
          <w:rStyle w:val="A8"/>
          <w:rFonts w:asciiTheme="minorHAnsi" w:hAnsiTheme="minorHAnsi"/>
          <w:color w:val="221E1F"/>
          <w:sz w:val="22"/>
        </w:rPr>
        <w:softHyphen/>
        <w:t xml:space="preserve">ment product required.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1.5.2</w:t>
      </w:r>
      <w:r w:rsidRPr="00497699">
        <w:rPr>
          <w:rStyle w:val="A8"/>
          <w:rFonts w:asciiTheme="minorHAnsi" w:hAnsiTheme="minorHAnsi"/>
          <w:color w:val="221E1F"/>
          <w:sz w:val="22"/>
        </w:rPr>
        <w:tab/>
        <w:t>First aid measures: In addition to increasing factor level with clotting factor concentrates (or desmo</w:t>
      </w:r>
      <w:r w:rsidRPr="00497699">
        <w:rPr>
          <w:rStyle w:val="A8"/>
          <w:rFonts w:asciiTheme="minorHAnsi" w:hAnsiTheme="minorHAnsi"/>
          <w:color w:val="221E1F"/>
          <w:sz w:val="22"/>
        </w:rPr>
        <w:softHyphen/>
        <w:t xml:space="preserve">pressin in mild haemophilia A), protection (splint), rest, ice, compression, and elevation (PRICE) may be used as adjunctive management for bleeding in muscles and joints.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1.5.3</w:t>
      </w:r>
      <w:r w:rsidRPr="00497699">
        <w:rPr>
          <w:rStyle w:val="A8"/>
          <w:rFonts w:asciiTheme="minorHAnsi" w:hAnsiTheme="minorHAnsi"/>
          <w:color w:val="221E1F"/>
          <w:sz w:val="22"/>
        </w:rPr>
        <w:tab/>
        <w:t xml:space="preserve">Physiotherapy/rehabilitation is particularly important for functional improvement and </w:t>
      </w:r>
      <w:proofErr w:type="gramStart"/>
      <w:r w:rsidRPr="00497699">
        <w:rPr>
          <w:rStyle w:val="A8"/>
          <w:rFonts w:asciiTheme="minorHAnsi" w:hAnsiTheme="minorHAnsi"/>
          <w:color w:val="221E1F"/>
          <w:sz w:val="22"/>
        </w:rPr>
        <w:t>recovery after musculoskeletal bleeds and for those with established haemophilic arthropathy (see</w:t>
      </w:r>
      <w:proofErr w:type="gramEnd"/>
      <w:r w:rsidRPr="00497699">
        <w:rPr>
          <w:rStyle w:val="A8"/>
          <w:rFonts w:asciiTheme="minorHAnsi" w:hAnsiTheme="minorHAnsi"/>
          <w:color w:val="221E1F"/>
          <w:sz w:val="22"/>
        </w:rPr>
        <w:t xml:space="preserve"> ‘Princ</w:t>
      </w:r>
      <w:r>
        <w:rPr>
          <w:rStyle w:val="A8"/>
          <w:rFonts w:asciiTheme="minorHAnsi" w:hAnsiTheme="minorHAnsi"/>
          <w:color w:val="221E1F"/>
          <w:sz w:val="22"/>
        </w:rPr>
        <w:t xml:space="preserve">iples of physiotherapy/Physical </w:t>
      </w:r>
      <w:r w:rsidRPr="00497699">
        <w:rPr>
          <w:rStyle w:val="A8"/>
          <w:rFonts w:asciiTheme="minorHAnsi" w:hAnsiTheme="minorHAnsi"/>
          <w:color w:val="221E1F"/>
          <w:sz w:val="22"/>
        </w:rPr>
        <w:t xml:space="preserve">medicine in haemophilia’, </w:t>
      </w:r>
      <w:r>
        <w:rPr>
          <w:rStyle w:val="A8"/>
          <w:rFonts w:asciiTheme="minorHAnsi" w:hAnsiTheme="minorHAnsi"/>
          <w:color w:val="221E1F"/>
          <w:sz w:val="22"/>
        </w:rPr>
        <w:t>see section 6.1</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1.5.4</w:t>
      </w:r>
      <w:r w:rsidRPr="00497699">
        <w:rPr>
          <w:rStyle w:val="A8"/>
          <w:rFonts w:asciiTheme="minorHAnsi" w:hAnsiTheme="minorHAnsi"/>
          <w:color w:val="221E1F"/>
          <w:sz w:val="22"/>
        </w:rPr>
        <w:tab/>
        <w:t>Antifibrinolytic drugs (e.g. tranexamic acid) are effective as adjunctive treatment for mucosal bleeds and dental extractions (see ‘Tranexamic acid’</w:t>
      </w:r>
      <w:r>
        <w:rPr>
          <w:rStyle w:val="A8"/>
          <w:rFonts w:asciiTheme="minorHAnsi" w:hAnsiTheme="minorHAnsi"/>
          <w:color w:val="221E1F"/>
          <w:sz w:val="22"/>
        </w:rPr>
        <w:t xml:space="preserve">, </w:t>
      </w:r>
      <w:r w:rsidRPr="004B5C33">
        <w:rPr>
          <w:rStyle w:val="A8"/>
          <w:rFonts w:asciiTheme="minorHAnsi" w:hAnsiTheme="minorHAnsi"/>
          <w:color w:val="221E1F"/>
          <w:sz w:val="22"/>
        </w:rPr>
        <w:t>section</w:t>
      </w:r>
      <w:r>
        <w:rPr>
          <w:rStyle w:val="A8"/>
          <w:rFonts w:asciiTheme="minorHAnsi" w:hAnsiTheme="minorHAnsi"/>
          <w:color w:val="221E1F"/>
          <w:sz w:val="22"/>
        </w:rPr>
        <w:t xml:space="preserve"> 4.3</w:t>
      </w:r>
      <w:r w:rsidRPr="00497699">
        <w:rPr>
          <w:rStyle w:val="A8"/>
          <w:rFonts w:asciiTheme="minorHAnsi" w:hAnsiTheme="minorHAnsi"/>
          <w:color w:val="221E1F"/>
          <w:sz w:val="22"/>
        </w:rPr>
        <w:t xml:space="preserve"> and ‘‘Epsilon aminocaproic acid’, </w:t>
      </w:r>
      <w:r>
        <w:rPr>
          <w:rStyle w:val="A8"/>
          <w:rFonts w:asciiTheme="minorHAnsi" w:hAnsiTheme="minorHAnsi"/>
          <w:color w:val="221E1F"/>
          <w:sz w:val="22"/>
        </w:rPr>
        <w:t>section 4.3</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1.5.5</w:t>
      </w:r>
      <w:r w:rsidRPr="00497699">
        <w:rPr>
          <w:rStyle w:val="A8"/>
          <w:rFonts w:asciiTheme="minorHAnsi" w:hAnsiTheme="minorHAnsi"/>
          <w:color w:val="221E1F"/>
          <w:sz w:val="22"/>
        </w:rPr>
        <w:tab/>
        <w:t xml:space="preserve">Certain COX-2 inhibitors may be used judiciously for joint inflammation after an acute bleed and in chronic arthritis (see ‘Pain management’, </w:t>
      </w:r>
      <w:r>
        <w:rPr>
          <w:rStyle w:val="A8"/>
          <w:rFonts w:asciiTheme="minorHAnsi" w:hAnsiTheme="minorHAnsi"/>
          <w:color w:val="221E1F"/>
          <w:sz w:val="22"/>
        </w:rPr>
        <w:t>section 1.9</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Fonts w:asciiTheme="minorHAnsi" w:hAnsiTheme="minorHAnsi"/>
          <w:b/>
          <w:bCs/>
          <w:color w:val="E31736"/>
          <w:sz w:val="28"/>
          <w:szCs w:val="28"/>
        </w:rPr>
      </w:pPr>
    </w:p>
    <w:p w:rsidR="00E928C0" w:rsidRPr="00041ED2" w:rsidRDefault="00E928C0" w:rsidP="00041ED2">
      <w:pPr>
        <w:pStyle w:val="Heading3"/>
        <w:rPr>
          <w:rStyle w:val="A8"/>
          <w:color w:val="FF0000"/>
        </w:rPr>
      </w:pPr>
      <w:bookmarkStart w:id="12" w:name="_Toc431484306"/>
      <w:r w:rsidRPr="00041ED2">
        <w:rPr>
          <w:rStyle w:val="A8"/>
          <w:color w:val="FF0000"/>
        </w:rPr>
        <w:lastRenderedPageBreak/>
        <w:t>1.6 Prophylac</w:t>
      </w:r>
      <w:r w:rsidR="005E01A8" w:rsidRPr="00041ED2">
        <w:rPr>
          <w:rStyle w:val="A8"/>
          <w:color w:val="FF0000"/>
        </w:rPr>
        <w:t>tic factor replacement therapy</w:t>
      </w:r>
      <w:bookmarkEnd w:id="12"/>
      <w:r w:rsidR="005E01A8" w:rsidRPr="00041ED2">
        <w:rPr>
          <w:rStyle w:val="A8"/>
          <w:color w:val="FF0000"/>
        </w:rPr>
        <w:t xml:space="preserve"> </w:t>
      </w: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1.6.1</w:t>
      </w:r>
      <w:r w:rsidRPr="00497699">
        <w:rPr>
          <w:rStyle w:val="A8"/>
          <w:rFonts w:asciiTheme="minorHAnsi" w:hAnsiTheme="minorHAnsi"/>
          <w:color w:val="221E1F"/>
          <w:sz w:val="22"/>
        </w:rPr>
        <w:tab/>
        <w:t>Prophylaxis is the treatment by intravenous injec</w:t>
      </w:r>
      <w:r w:rsidRPr="00497699">
        <w:rPr>
          <w:rStyle w:val="A8"/>
          <w:rFonts w:asciiTheme="minorHAnsi" w:hAnsiTheme="minorHAnsi"/>
          <w:color w:val="221E1F"/>
          <w:sz w:val="22"/>
        </w:rPr>
        <w:softHyphen/>
        <w:t xml:space="preserve">tion of factor concentrate in order to prevent anticipated bleeding (see Table 1-4).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1.6.2</w:t>
      </w:r>
      <w:r w:rsidRPr="00497699">
        <w:rPr>
          <w:rStyle w:val="A8"/>
          <w:rFonts w:asciiTheme="minorHAnsi" w:hAnsiTheme="minorHAnsi"/>
          <w:color w:val="221E1F"/>
          <w:sz w:val="22"/>
        </w:rPr>
        <w:tab/>
        <w:t>Prophylaxis was conceived from the observation that moderate haemophilia patients with clotting factor level &gt;1 IU/dl seldom experience sponta</w:t>
      </w:r>
      <w:r w:rsidRPr="00497699">
        <w:rPr>
          <w:rStyle w:val="A8"/>
          <w:rFonts w:asciiTheme="minorHAnsi" w:hAnsiTheme="minorHAnsi"/>
          <w:color w:val="221E1F"/>
          <w:sz w:val="22"/>
        </w:rPr>
        <w:softHyphen/>
        <w:t xml:space="preserve">neous bleeding and have much better preservation of joint function. </w:t>
      </w:r>
      <w:r w:rsidRPr="00497699">
        <w:rPr>
          <w:rStyle w:val="A8"/>
          <w:rFonts w:asciiTheme="minorHAnsi" w:hAnsiTheme="minorHAnsi"/>
          <w:color w:val="221E1F"/>
          <w:sz w:val="22"/>
          <w:vertAlign w:val="superscript"/>
        </w:rPr>
        <w:t>[21-24]</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color w:val="221E1F"/>
          <w:sz w:val="22"/>
          <w:szCs w:val="28"/>
          <w:lang w:eastAsia="en-AU"/>
        </w:rPr>
      </w:pPr>
      <w:r w:rsidRPr="00497699">
        <w:rPr>
          <w:rStyle w:val="A8"/>
          <w:rFonts w:asciiTheme="minorHAnsi" w:hAnsiTheme="minorHAnsi"/>
          <w:color w:val="221E1F"/>
          <w:sz w:val="22"/>
        </w:rPr>
        <w:t>1.6.3</w:t>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Prophylaxis prevents bleeding and joint destruction and should be the goal of therapy to preserve normal musculoskeletal function. </w:t>
      </w:r>
      <w:r w:rsidRPr="00497699">
        <w:rPr>
          <w:rStyle w:val="A8"/>
          <w:rFonts w:asciiTheme="minorHAnsi" w:hAnsiTheme="minorHAnsi"/>
          <w:b/>
          <w:color w:val="221E1F"/>
          <w:sz w:val="22"/>
          <w:vertAlign w:val="superscript"/>
        </w:rPr>
        <w:t>[24-29]</w:t>
      </w:r>
      <w:r w:rsidRPr="00497699">
        <w:rPr>
          <w:rStyle w:val="A8"/>
          <w:rFonts w:asciiTheme="minorHAnsi" w:hAnsiTheme="minorHAnsi"/>
          <w:b/>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1.6.4</w:t>
      </w:r>
      <w:r w:rsidRPr="00497699">
        <w:rPr>
          <w:rStyle w:val="A8"/>
          <w:rFonts w:asciiTheme="minorHAnsi" w:hAnsiTheme="minorHAnsi"/>
          <w:color w:val="221E1F"/>
          <w:sz w:val="22"/>
        </w:rPr>
        <w:tab/>
        <w:t xml:space="preserve">Prophylactic replacement of clotting factor has been shown to be useful even when factor levels are not maintained above 1 IU/dl at all times. </w:t>
      </w:r>
      <w:r w:rsidRPr="00497699">
        <w:rPr>
          <w:rStyle w:val="A8"/>
          <w:rFonts w:asciiTheme="minorHAnsi" w:hAnsiTheme="minorHAnsi"/>
          <w:color w:val="221E1F"/>
          <w:sz w:val="22"/>
          <w:vertAlign w:val="superscript"/>
        </w:rPr>
        <w:t>[26</w:t>
      </w:r>
      <w:proofErr w:type="gramStart"/>
      <w:r w:rsidRPr="00497699">
        <w:rPr>
          <w:rStyle w:val="A8"/>
          <w:rFonts w:asciiTheme="minorHAnsi" w:hAnsiTheme="minorHAnsi"/>
          <w:color w:val="221E1F"/>
          <w:sz w:val="22"/>
          <w:vertAlign w:val="superscript"/>
        </w:rPr>
        <w:t>,29,30</w:t>
      </w:r>
      <w:proofErr w:type="gramEnd"/>
      <w:r w:rsidRPr="00497699">
        <w:rPr>
          <w:rStyle w:val="A8"/>
          <w:rFonts w:asciiTheme="minorHAnsi" w:hAnsiTheme="minorHAnsi"/>
          <w:color w:val="221E1F"/>
          <w:sz w:val="22"/>
          <w:vertAlign w:val="superscript"/>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1.6.5</w:t>
      </w:r>
      <w:r w:rsidRPr="00497699">
        <w:rPr>
          <w:rStyle w:val="A8"/>
          <w:rFonts w:asciiTheme="minorHAnsi" w:hAnsiTheme="minorHAnsi"/>
          <w:color w:val="221E1F"/>
          <w:sz w:val="22"/>
        </w:rPr>
        <w:tab/>
        <w:t xml:space="preserve">It is unclear whether all patients should remain on prophylaxis indefinitely as they transition into adulthood. Although some data suggest that a proportion of young adults can do well off prophylaxis </w:t>
      </w:r>
      <w:r w:rsidRPr="00497699">
        <w:rPr>
          <w:rStyle w:val="A8"/>
          <w:rFonts w:asciiTheme="minorHAnsi" w:hAnsiTheme="minorHAnsi"/>
          <w:color w:val="221E1F"/>
          <w:sz w:val="22"/>
          <w:vertAlign w:val="superscript"/>
        </w:rPr>
        <w:t>[31]</w:t>
      </w:r>
      <w:r w:rsidRPr="00497699">
        <w:rPr>
          <w:rStyle w:val="A8"/>
          <w:rFonts w:asciiTheme="minorHAnsi" w:hAnsiTheme="minorHAnsi"/>
          <w:color w:val="221E1F"/>
          <w:sz w:val="22"/>
        </w:rPr>
        <w:t xml:space="preserve"> more studies are needed before a clear recommendation can be made. </w:t>
      </w:r>
      <w:r w:rsidRPr="00497699">
        <w:rPr>
          <w:rStyle w:val="A8"/>
          <w:rFonts w:asciiTheme="minorHAnsi" w:hAnsiTheme="minorHAnsi"/>
          <w:color w:val="221E1F"/>
          <w:sz w:val="22"/>
          <w:vertAlign w:val="superscript"/>
        </w:rPr>
        <w:t>[32]</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color w:val="221E1F"/>
          <w:sz w:val="22"/>
          <w:szCs w:val="28"/>
          <w:lang w:eastAsia="en-AU"/>
        </w:rPr>
      </w:pPr>
      <w:r w:rsidRPr="00497699">
        <w:rPr>
          <w:rStyle w:val="A8"/>
          <w:rFonts w:asciiTheme="minorHAnsi" w:hAnsiTheme="minorHAnsi"/>
          <w:color w:val="221E1F"/>
          <w:sz w:val="22"/>
        </w:rPr>
        <w:t>1.6.6</w:t>
      </w:r>
      <w:r w:rsidRPr="00497699">
        <w:rPr>
          <w:rStyle w:val="A8"/>
          <w:rFonts w:asciiTheme="minorHAnsi" w:hAnsiTheme="minorHAnsi"/>
          <w:color w:val="221E1F"/>
          <w:sz w:val="22"/>
        </w:rPr>
        <w:tab/>
      </w:r>
      <w:r w:rsidRPr="00497699">
        <w:rPr>
          <w:rStyle w:val="A8"/>
          <w:rFonts w:asciiTheme="minorHAnsi" w:hAnsiTheme="minorHAnsi"/>
          <w:b/>
          <w:color w:val="221E1F"/>
          <w:sz w:val="22"/>
        </w:rPr>
        <w:t>In patients with repeated bleeding, particu</w:t>
      </w:r>
      <w:r w:rsidRPr="00497699">
        <w:rPr>
          <w:rStyle w:val="A8"/>
          <w:rFonts w:asciiTheme="minorHAnsi" w:hAnsiTheme="minorHAnsi"/>
          <w:b/>
          <w:color w:val="221E1F"/>
          <w:sz w:val="22"/>
        </w:rPr>
        <w:softHyphen/>
        <w:t>larly into target joints, short-term prophylaxis for four to eight weeks can be used to inter</w:t>
      </w:r>
      <w:r w:rsidRPr="00497699">
        <w:rPr>
          <w:rStyle w:val="A8"/>
          <w:rFonts w:asciiTheme="minorHAnsi" w:hAnsiTheme="minorHAnsi"/>
          <w:b/>
          <w:color w:val="221E1F"/>
          <w:sz w:val="22"/>
        </w:rPr>
        <w:softHyphen/>
        <w:t xml:space="preserve">rupt the bleeding cycle. This may be combined with intensive physiotherapy or synoviorthesis. </w:t>
      </w:r>
      <w:r w:rsidRPr="00497699">
        <w:rPr>
          <w:rStyle w:val="A8"/>
          <w:rFonts w:asciiTheme="minorHAnsi" w:hAnsiTheme="minorHAnsi"/>
          <w:b/>
          <w:color w:val="221E1F"/>
          <w:sz w:val="22"/>
          <w:vertAlign w:val="superscript"/>
        </w:rPr>
        <w:t>[33</w:t>
      </w:r>
      <w:proofErr w:type="gramStart"/>
      <w:r w:rsidRPr="00497699">
        <w:rPr>
          <w:rStyle w:val="A8"/>
          <w:rFonts w:asciiTheme="minorHAnsi" w:hAnsiTheme="minorHAnsi"/>
          <w:b/>
          <w:color w:val="221E1F"/>
          <w:sz w:val="22"/>
          <w:vertAlign w:val="superscript"/>
        </w:rPr>
        <w:t>,34</w:t>
      </w:r>
      <w:proofErr w:type="gramEnd"/>
      <w:r w:rsidRPr="00497699">
        <w:rPr>
          <w:rStyle w:val="A8"/>
          <w:rFonts w:asciiTheme="minorHAnsi" w:hAnsiTheme="minorHAnsi"/>
          <w:b/>
          <w:color w:val="221E1F"/>
          <w:sz w:val="22"/>
          <w:vertAlign w:val="superscript"/>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1.6.7</w:t>
      </w:r>
      <w:r w:rsidRPr="00497699">
        <w:rPr>
          <w:rStyle w:val="A8"/>
          <w:rFonts w:asciiTheme="minorHAnsi" w:hAnsiTheme="minorHAnsi"/>
          <w:color w:val="221E1F"/>
          <w:sz w:val="22"/>
        </w:rPr>
        <w:tab/>
        <w:t>Prophylaxis does not reverse established joint damage; however, it decreases frequency of bleeding and may slow progression of joint disease and improve quality of life.</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Default="00E928C0" w:rsidP="00041ED2">
      <w:pPr>
        <w:pStyle w:val="Default"/>
        <w:spacing w:line="276" w:lineRule="auto"/>
        <w:ind w:left="1433" w:hanging="1433"/>
        <w:rPr>
          <w:rStyle w:val="A8"/>
          <w:rFonts w:asciiTheme="minorHAnsi" w:hAnsiTheme="minorHAnsi"/>
          <w:color w:val="221E1F"/>
          <w:sz w:val="22"/>
        </w:rPr>
      </w:pPr>
      <w:r w:rsidRPr="00497699">
        <w:rPr>
          <w:rStyle w:val="A8"/>
          <w:rFonts w:asciiTheme="minorHAnsi" w:hAnsiTheme="minorHAnsi"/>
          <w:color w:val="221E1F"/>
          <w:sz w:val="22"/>
        </w:rPr>
        <w:t>1.6.8</w:t>
      </w:r>
      <w:r w:rsidRPr="00497699">
        <w:rPr>
          <w:rStyle w:val="A8"/>
          <w:rFonts w:asciiTheme="minorHAnsi" w:hAnsiTheme="minorHAnsi"/>
          <w:color w:val="221E1F"/>
          <w:sz w:val="22"/>
        </w:rPr>
        <w:tab/>
        <w:t xml:space="preserve">Cost-efficacy studies designed to identify minimum dosage are necessary to allow access to prophylaxis in more </w:t>
      </w:r>
      <w:r>
        <w:rPr>
          <w:rStyle w:val="A8"/>
          <w:rFonts w:asciiTheme="minorHAnsi" w:hAnsiTheme="minorHAnsi"/>
          <w:color w:val="221E1F"/>
          <w:sz w:val="22"/>
        </w:rPr>
        <w:t xml:space="preserve">areas </w:t>
      </w:r>
      <w:r w:rsidRPr="00497699">
        <w:rPr>
          <w:rStyle w:val="A8"/>
          <w:rFonts w:asciiTheme="minorHAnsi" w:hAnsiTheme="minorHAnsi"/>
          <w:color w:val="221E1F"/>
          <w:sz w:val="22"/>
        </w:rPr>
        <w:t>of the world.</w:t>
      </w:r>
    </w:p>
    <w:p w:rsidR="00E928C0" w:rsidRDefault="00E928C0" w:rsidP="00E928C0">
      <w:pPr>
        <w:spacing w:before="36" w:after="0" w:line="184" w:lineRule="exact"/>
        <w:ind w:right="-20"/>
        <w:rPr>
          <w:rFonts w:asciiTheme="minorHAnsi" w:eastAsia="Arial" w:hAnsiTheme="minorHAnsi" w:cs="Arial"/>
          <w:b/>
          <w:color w:val="231F20"/>
          <w:spacing w:val="-13"/>
          <w:sz w:val="16"/>
          <w:szCs w:val="16"/>
        </w:rPr>
      </w:pPr>
      <w:r w:rsidRPr="00497699">
        <w:rPr>
          <w:rFonts w:asciiTheme="minorHAnsi" w:eastAsia="Arial" w:hAnsiTheme="minorHAnsi" w:cs="Arial"/>
          <w:color w:val="231F20"/>
          <w:spacing w:val="-13"/>
          <w:sz w:val="16"/>
          <w:szCs w:val="16"/>
        </w:rPr>
        <w:t xml:space="preserve">  </w:t>
      </w:r>
      <w:r w:rsidRPr="00497699">
        <w:rPr>
          <w:rFonts w:asciiTheme="minorHAnsi" w:eastAsia="Arial" w:hAnsiTheme="minorHAnsi" w:cs="Arial"/>
          <w:b/>
          <w:color w:val="231F20"/>
          <w:spacing w:val="-13"/>
          <w:sz w:val="16"/>
          <w:szCs w:val="16"/>
        </w:rPr>
        <w:t xml:space="preserve"> </w:t>
      </w:r>
    </w:p>
    <w:p w:rsidR="00E928C0" w:rsidRPr="006F6C5E" w:rsidRDefault="00E928C0" w:rsidP="00041ED2">
      <w:pPr>
        <w:spacing w:before="36" w:after="0" w:line="184" w:lineRule="exact"/>
        <w:ind w:left="0" w:right="-20"/>
        <w:rPr>
          <w:rStyle w:val="A8"/>
          <w:rFonts w:asciiTheme="minorHAnsi" w:eastAsia="Arial" w:hAnsiTheme="minorHAnsi" w:cs="Avenir LT Std 55 Roman"/>
          <w:b/>
          <w:color w:val="231F20"/>
          <w:spacing w:val="-13"/>
          <w:sz w:val="16"/>
          <w:szCs w:val="16"/>
          <w:lang w:eastAsia="en-US"/>
        </w:rPr>
      </w:pPr>
      <w:r w:rsidRPr="00497699">
        <w:rPr>
          <w:rStyle w:val="A8"/>
          <w:rFonts w:asciiTheme="minorHAnsi" w:eastAsia="Dotum" w:hAnsiTheme="minorHAnsi" w:cs="Avenir LT Std 55 Roman"/>
          <w:b/>
          <w:color w:val="221E1F"/>
          <w:sz w:val="22"/>
          <w:szCs w:val="24"/>
          <w:lang w:eastAsia="en-US"/>
        </w:rPr>
        <w:t xml:space="preserve">TABLE 1-4: DEFINITIONS OF FACTOR REPLACEMENT THERAPY PROTOCOLS </w:t>
      </w:r>
      <w:r w:rsidRPr="00497699">
        <w:rPr>
          <w:rStyle w:val="A8"/>
          <w:rFonts w:asciiTheme="minorHAnsi" w:eastAsia="Dotum" w:hAnsiTheme="minorHAnsi" w:cs="Avenir LT Std 55 Roman"/>
          <w:b/>
          <w:color w:val="221E1F"/>
          <w:sz w:val="22"/>
          <w:szCs w:val="24"/>
          <w:vertAlign w:val="superscript"/>
          <w:lang w:eastAsia="en-US"/>
        </w:rPr>
        <w:t>[64]</w:t>
      </w:r>
    </w:p>
    <w:p w:rsidR="00E928C0" w:rsidRPr="00497699" w:rsidRDefault="00E928C0" w:rsidP="00E928C0">
      <w:pPr>
        <w:spacing w:before="36" w:after="0" w:line="184" w:lineRule="exact"/>
        <w:ind w:right="-20"/>
        <w:rPr>
          <w:rFonts w:asciiTheme="minorHAnsi" w:eastAsia="Arial" w:hAnsiTheme="minorHAnsi" w:cs="Arial"/>
          <w:sz w:val="16"/>
          <w:szCs w:val="16"/>
        </w:rPr>
      </w:pPr>
      <w:r w:rsidRPr="00497699">
        <w:rPr>
          <w:rFonts w:asciiTheme="minorHAnsi" w:eastAsia="Arial" w:hAnsiTheme="minorHAnsi" w:cs="Arial"/>
          <w:sz w:val="16"/>
          <w:szCs w:val="16"/>
        </w:rPr>
        <w:t xml:space="preserve">   </w:t>
      </w:r>
    </w:p>
    <w:tbl>
      <w:tblPr>
        <w:tblW w:w="10065" w:type="dxa"/>
        <w:tblLayout w:type="fixed"/>
        <w:tblCellMar>
          <w:left w:w="0" w:type="dxa"/>
          <w:right w:w="0" w:type="dxa"/>
        </w:tblCellMar>
        <w:tblLook w:val="01E0" w:firstRow="1" w:lastRow="1" w:firstColumn="1" w:lastColumn="1" w:noHBand="0" w:noVBand="0"/>
      </w:tblPr>
      <w:tblGrid>
        <w:gridCol w:w="3119"/>
        <w:gridCol w:w="6946"/>
      </w:tblGrid>
      <w:tr w:rsidR="005E01A8" w:rsidRPr="00497699" w:rsidTr="00AF50AF">
        <w:trPr>
          <w:trHeight w:hRule="exact" w:val="456"/>
        </w:trPr>
        <w:tc>
          <w:tcPr>
            <w:tcW w:w="3119" w:type="dxa"/>
            <w:tcBorders>
              <w:top w:val="nil"/>
              <w:left w:val="nil"/>
              <w:bottom w:val="single" w:sz="32" w:space="0" w:color="FFFFFF"/>
              <w:right w:val="single" w:sz="32" w:space="0" w:color="FFFFFF"/>
            </w:tcBorders>
            <w:shd w:val="clear" w:color="auto" w:fill="E6E7E8"/>
            <w:vAlign w:val="center"/>
          </w:tcPr>
          <w:p w:rsidR="005E01A8" w:rsidRPr="00497699" w:rsidRDefault="005E01A8" w:rsidP="00041ED2">
            <w:pPr>
              <w:spacing w:after="0"/>
              <w:rPr>
                <w:rFonts w:asciiTheme="minorHAnsi" w:hAnsiTheme="minorHAnsi"/>
                <w:sz w:val="18"/>
                <w:szCs w:val="18"/>
              </w:rPr>
            </w:pPr>
            <w:r w:rsidRPr="00497699">
              <w:rPr>
                <w:rFonts w:asciiTheme="minorHAnsi" w:hAnsiTheme="minorHAnsi"/>
                <w:sz w:val="18"/>
                <w:szCs w:val="18"/>
              </w:rPr>
              <w:t xml:space="preserve">   </w:t>
            </w:r>
          </w:p>
          <w:p w:rsidR="005E01A8" w:rsidRPr="00497699" w:rsidRDefault="005E01A8" w:rsidP="00041ED2">
            <w:pPr>
              <w:spacing w:after="0"/>
              <w:ind w:left="142"/>
              <w:rPr>
                <w:rFonts w:asciiTheme="minorHAnsi" w:hAnsiTheme="minorHAnsi"/>
                <w:sz w:val="18"/>
                <w:szCs w:val="18"/>
              </w:rPr>
            </w:pPr>
            <w:r w:rsidRPr="00497699">
              <w:rPr>
                <w:rFonts w:asciiTheme="minorHAnsi" w:hAnsiTheme="minorHAnsi"/>
                <w:sz w:val="18"/>
                <w:szCs w:val="18"/>
              </w:rPr>
              <w:t>PROTOCOL</w:t>
            </w:r>
          </w:p>
        </w:tc>
        <w:tc>
          <w:tcPr>
            <w:tcW w:w="6946" w:type="dxa"/>
            <w:tcBorders>
              <w:top w:val="nil"/>
              <w:left w:val="single" w:sz="32" w:space="0" w:color="FFFFFF"/>
              <w:bottom w:val="single" w:sz="32" w:space="0" w:color="FFFFFF"/>
              <w:right w:val="nil"/>
            </w:tcBorders>
            <w:shd w:val="clear" w:color="auto" w:fill="E6E7E8"/>
            <w:vAlign w:val="center"/>
          </w:tcPr>
          <w:p w:rsidR="005E01A8" w:rsidRPr="00497699" w:rsidRDefault="005E01A8" w:rsidP="00041ED2">
            <w:pPr>
              <w:spacing w:after="0"/>
              <w:rPr>
                <w:rFonts w:asciiTheme="minorHAnsi" w:hAnsiTheme="minorHAnsi"/>
                <w:sz w:val="18"/>
                <w:szCs w:val="18"/>
              </w:rPr>
            </w:pPr>
          </w:p>
          <w:p w:rsidR="005E01A8" w:rsidRPr="00497699" w:rsidRDefault="005E01A8" w:rsidP="00041ED2">
            <w:pPr>
              <w:spacing w:after="0"/>
              <w:ind w:left="9"/>
              <w:rPr>
                <w:rFonts w:asciiTheme="minorHAnsi" w:hAnsiTheme="minorHAnsi"/>
                <w:sz w:val="18"/>
                <w:szCs w:val="18"/>
              </w:rPr>
            </w:pPr>
            <w:r w:rsidRPr="00497699">
              <w:rPr>
                <w:rFonts w:asciiTheme="minorHAnsi" w:hAnsiTheme="minorHAnsi"/>
                <w:sz w:val="18"/>
                <w:szCs w:val="18"/>
              </w:rPr>
              <w:t>DEFINITION</w:t>
            </w:r>
          </w:p>
        </w:tc>
      </w:tr>
      <w:tr w:rsidR="005E01A8" w:rsidRPr="00497699" w:rsidTr="00AF50AF">
        <w:trPr>
          <w:trHeight w:hRule="exact" w:val="456"/>
        </w:trPr>
        <w:tc>
          <w:tcPr>
            <w:tcW w:w="3119" w:type="dxa"/>
            <w:tcBorders>
              <w:top w:val="nil"/>
              <w:left w:val="nil"/>
              <w:bottom w:val="single" w:sz="32" w:space="0" w:color="FFFFFF"/>
              <w:right w:val="single" w:sz="32" w:space="0" w:color="FFFFFF"/>
            </w:tcBorders>
            <w:shd w:val="clear" w:color="auto" w:fill="E6E7E8"/>
          </w:tcPr>
          <w:p w:rsidR="005E01A8" w:rsidRPr="00497699" w:rsidRDefault="005E01A8" w:rsidP="004B5AE5">
            <w:pPr>
              <w:spacing w:before="7" w:after="0" w:line="120" w:lineRule="exact"/>
              <w:rPr>
                <w:rFonts w:asciiTheme="minorHAnsi" w:hAnsiTheme="minorHAnsi"/>
                <w:sz w:val="12"/>
                <w:szCs w:val="12"/>
              </w:rPr>
            </w:pPr>
          </w:p>
          <w:p w:rsidR="005E01A8" w:rsidRPr="00497699" w:rsidRDefault="005E01A8" w:rsidP="004B5AE5">
            <w:pPr>
              <w:spacing w:after="0"/>
              <w:ind w:left="120" w:right="-20"/>
              <w:rPr>
                <w:rFonts w:asciiTheme="minorHAnsi" w:eastAsia="Arial" w:hAnsiTheme="minorHAnsi" w:cs="Arial"/>
                <w:sz w:val="18"/>
                <w:szCs w:val="18"/>
              </w:rPr>
            </w:pPr>
            <w:r w:rsidRPr="00497699">
              <w:rPr>
                <w:rFonts w:asciiTheme="minorHAnsi" w:eastAsia="Arial" w:hAnsiTheme="minorHAnsi" w:cs="Arial"/>
                <w:color w:val="231F20"/>
                <w:sz w:val="18"/>
                <w:szCs w:val="18"/>
              </w:rPr>
              <w:t>Episodic</w:t>
            </w:r>
            <w:r w:rsidRPr="00497699">
              <w:rPr>
                <w:rFonts w:asciiTheme="minorHAnsi" w:eastAsia="Arial" w:hAnsiTheme="minorHAnsi" w:cs="Arial"/>
                <w:color w:val="231F20"/>
                <w:spacing w:val="25"/>
                <w:sz w:val="18"/>
                <w:szCs w:val="18"/>
              </w:rPr>
              <w:t xml:space="preserve"> </w:t>
            </w:r>
            <w:r w:rsidRPr="00497699">
              <w:rPr>
                <w:rFonts w:asciiTheme="minorHAnsi" w:eastAsia="Arial" w:hAnsiTheme="minorHAnsi" w:cs="Arial"/>
                <w:color w:val="231F20"/>
                <w:sz w:val="18"/>
                <w:szCs w:val="18"/>
              </w:rPr>
              <w:t>(“on</w:t>
            </w:r>
            <w:r w:rsidRPr="00497699">
              <w:rPr>
                <w:rFonts w:asciiTheme="minorHAnsi" w:eastAsia="Arial" w:hAnsiTheme="minorHAnsi" w:cs="Arial"/>
                <w:color w:val="231F20"/>
                <w:spacing w:val="34"/>
                <w:sz w:val="18"/>
                <w:szCs w:val="18"/>
              </w:rPr>
              <w:t xml:space="preserve"> </w:t>
            </w:r>
            <w:r w:rsidRPr="00497699">
              <w:rPr>
                <w:rFonts w:asciiTheme="minorHAnsi" w:eastAsia="Arial" w:hAnsiTheme="minorHAnsi" w:cs="Arial"/>
                <w:color w:val="231F20"/>
                <w:sz w:val="18"/>
                <w:szCs w:val="18"/>
              </w:rPr>
              <w:t>demand”)</w:t>
            </w:r>
            <w:r w:rsidRPr="00497699">
              <w:rPr>
                <w:rFonts w:asciiTheme="minorHAnsi" w:eastAsia="Arial" w:hAnsiTheme="minorHAnsi" w:cs="Arial"/>
                <w:color w:val="231F20"/>
                <w:spacing w:val="43"/>
                <w:sz w:val="18"/>
                <w:szCs w:val="18"/>
              </w:rPr>
              <w:t xml:space="preserve"> </w:t>
            </w:r>
            <w:r w:rsidRPr="00497699">
              <w:rPr>
                <w:rFonts w:asciiTheme="minorHAnsi" w:eastAsia="Arial" w:hAnsiTheme="minorHAnsi" w:cs="Arial"/>
                <w:color w:val="231F20"/>
                <w:w w:val="127"/>
                <w:sz w:val="18"/>
                <w:szCs w:val="18"/>
              </w:rPr>
              <w:t>t</w:t>
            </w:r>
            <w:r w:rsidRPr="00497699">
              <w:rPr>
                <w:rFonts w:asciiTheme="minorHAnsi" w:eastAsia="Arial" w:hAnsiTheme="minorHAnsi" w:cs="Arial"/>
                <w:color w:val="231F20"/>
                <w:spacing w:val="-3"/>
                <w:w w:val="127"/>
                <w:sz w:val="18"/>
                <w:szCs w:val="18"/>
              </w:rPr>
              <w:t>r</w:t>
            </w:r>
            <w:r w:rsidRPr="00497699">
              <w:rPr>
                <w:rFonts w:asciiTheme="minorHAnsi" w:eastAsia="Arial" w:hAnsiTheme="minorHAnsi" w:cs="Arial"/>
                <w:color w:val="231F20"/>
                <w:w w:val="108"/>
                <w:sz w:val="18"/>
                <w:szCs w:val="18"/>
              </w:rPr>
              <w:t>eatment</w:t>
            </w:r>
          </w:p>
        </w:tc>
        <w:tc>
          <w:tcPr>
            <w:tcW w:w="6946" w:type="dxa"/>
            <w:tcBorders>
              <w:top w:val="nil"/>
              <w:left w:val="single" w:sz="32" w:space="0" w:color="FFFFFF"/>
              <w:bottom w:val="single" w:sz="32" w:space="0" w:color="FFFFFF"/>
              <w:right w:val="nil"/>
            </w:tcBorders>
            <w:shd w:val="clear" w:color="auto" w:fill="E6E7E8"/>
          </w:tcPr>
          <w:p w:rsidR="005E01A8" w:rsidRPr="00497699" w:rsidRDefault="005E01A8" w:rsidP="004B5AE5">
            <w:pPr>
              <w:spacing w:before="7" w:after="0" w:line="120" w:lineRule="exact"/>
              <w:rPr>
                <w:rFonts w:asciiTheme="minorHAnsi" w:hAnsiTheme="minorHAnsi"/>
                <w:sz w:val="12"/>
                <w:szCs w:val="12"/>
              </w:rPr>
            </w:pPr>
          </w:p>
          <w:p w:rsidR="005E01A8" w:rsidRPr="00497699" w:rsidRDefault="005E01A8" w:rsidP="004B5AE5">
            <w:pPr>
              <w:spacing w:after="0"/>
              <w:ind w:left="80" w:right="-20"/>
              <w:rPr>
                <w:rFonts w:asciiTheme="minorHAnsi" w:eastAsia="Arial" w:hAnsiTheme="minorHAnsi" w:cs="Arial"/>
                <w:sz w:val="18"/>
                <w:szCs w:val="18"/>
              </w:rPr>
            </w:pPr>
            <w:r w:rsidRPr="00497699">
              <w:rPr>
                <w:rFonts w:asciiTheme="minorHAnsi" w:eastAsia="Arial" w:hAnsiTheme="minorHAnsi" w:cs="Arial"/>
                <w:color w:val="231F20"/>
                <w:spacing w:val="-17"/>
                <w:sz w:val="18"/>
                <w:szCs w:val="18"/>
              </w:rPr>
              <w:t>T</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eatment</w:t>
            </w:r>
            <w:r w:rsidRPr="00497699">
              <w:rPr>
                <w:rFonts w:asciiTheme="minorHAnsi" w:eastAsia="Arial" w:hAnsiTheme="minorHAnsi" w:cs="Arial"/>
                <w:color w:val="231F20"/>
                <w:spacing w:val="20"/>
                <w:sz w:val="18"/>
                <w:szCs w:val="18"/>
              </w:rPr>
              <w:t xml:space="preserve"> </w:t>
            </w:r>
            <w:r w:rsidRPr="00497699">
              <w:rPr>
                <w:rFonts w:asciiTheme="minorHAnsi" w:eastAsia="Arial" w:hAnsiTheme="minorHAnsi" w:cs="Arial"/>
                <w:color w:val="231F20"/>
                <w:sz w:val="18"/>
                <w:szCs w:val="18"/>
              </w:rPr>
              <w:t>given</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z w:val="18"/>
                <w:szCs w:val="18"/>
              </w:rPr>
              <w:t>at</w:t>
            </w:r>
            <w:r w:rsidRPr="00497699">
              <w:rPr>
                <w:rFonts w:asciiTheme="minorHAnsi" w:eastAsia="Arial" w:hAnsiTheme="minorHAnsi" w:cs="Arial"/>
                <w:color w:val="231F20"/>
                <w:spacing w:val="11"/>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time</w:t>
            </w:r>
            <w:r w:rsidRPr="00497699">
              <w:rPr>
                <w:rFonts w:asciiTheme="minorHAnsi" w:eastAsia="Arial" w:hAnsiTheme="minorHAnsi" w:cs="Arial"/>
                <w:color w:val="231F20"/>
                <w:spacing w:val="22"/>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sz w:val="18"/>
                <w:szCs w:val="18"/>
              </w:rPr>
              <w:t>clinically</w:t>
            </w:r>
            <w:r w:rsidRPr="00497699">
              <w:rPr>
                <w:rFonts w:asciiTheme="minorHAnsi" w:eastAsia="Arial" w:hAnsiTheme="minorHAnsi" w:cs="Arial"/>
                <w:color w:val="231F20"/>
                <w:spacing w:val="-2"/>
                <w:sz w:val="18"/>
                <w:szCs w:val="18"/>
              </w:rPr>
              <w:t xml:space="preserve"> </w:t>
            </w:r>
            <w:r w:rsidRPr="00497699">
              <w:rPr>
                <w:rFonts w:asciiTheme="minorHAnsi" w:eastAsia="Arial" w:hAnsiTheme="minorHAnsi" w:cs="Arial"/>
                <w:color w:val="231F20"/>
                <w:sz w:val="18"/>
                <w:szCs w:val="18"/>
              </w:rPr>
              <w:t>evident</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w w:val="105"/>
                <w:sz w:val="18"/>
                <w:szCs w:val="18"/>
              </w:rPr>
              <w:t>bleeding</w:t>
            </w:r>
          </w:p>
        </w:tc>
      </w:tr>
      <w:tr w:rsidR="005E01A8" w:rsidRPr="00497699" w:rsidTr="00AF50AF">
        <w:trPr>
          <w:trHeight w:hRule="exact" w:val="884"/>
        </w:trPr>
        <w:tc>
          <w:tcPr>
            <w:tcW w:w="3119" w:type="dxa"/>
            <w:tcBorders>
              <w:top w:val="single" w:sz="32" w:space="0" w:color="FFFFFF"/>
              <w:left w:val="nil"/>
              <w:bottom w:val="single" w:sz="32" w:space="0" w:color="FFFFFF"/>
              <w:right w:val="single" w:sz="32" w:space="0" w:color="FFFFFF"/>
            </w:tcBorders>
            <w:shd w:val="clear" w:color="auto" w:fill="E6E7E8"/>
          </w:tcPr>
          <w:p w:rsidR="005E01A8" w:rsidRPr="00497699" w:rsidRDefault="005E01A8" w:rsidP="004B5AE5">
            <w:pPr>
              <w:spacing w:before="87" w:after="0"/>
              <w:ind w:left="120" w:right="-20"/>
              <w:rPr>
                <w:rFonts w:asciiTheme="minorHAnsi" w:eastAsia="Arial" w:hAnsiTheme="minorHAnsi" w:cs="Arial"/>
                <w:sz w:val="18"/>
                <w:szCs w:val="18"/>
              </w:rPr>
            </w:pPr>
            <w:r w:rsidRPr="00497699">
              <w:rPr>
                <w:rFonts w:asciiTheme="minorHAnsi" w:eastAsia="Arial" w:hAnsiTheme="minorHAnsi" w:cs="Arial"/>
                <w:color w:val="231F20"/>
                <w:sz w:val="18"/>
                <w:szCs w:val="18"/>
              </w:rPr>
              <w:t>Continuous</w:t>
            </w:r>
            <w:r w:rsidRPr="00497699">
              <w:rPr>
                <w:rFonts w:asciiTheme="minorHAnsi" w:eastAsia="Arial" w:hAnsiTheme="minorHAnsi" w:cs="Arial"/>
                <w:color w:val="231F20"/>
                <w:spacing w:val="44"/>
                <w:sz w:val="18"/>
                <w:szCs w:val="18"/>
              </w:rPr>
              <w:t xml:space="preserve"> </w:t>
            </w:r>
            <w:r w:rsidRPr="00497699">
              <w:rPr>
                <w:rFonts w:asciiTheme="minorHAnsi" w:eastAsia="Arial" w:hAnsiTheme="minorHAnsi" w:cs="Arial"/>
                <w:color w:val="231F20"/>
                <w:w w:val="114"/>
                <w:sz w:val="18"/>
                <w:szCs w:val="18"/>
              </w:rPr>
              <w:t>p</w:t>
            </w:r>
            <w:r w:rsidRPr="00497699">
              <w:rPr>
                <w:rFonts w:asciiTheme="minorHAnsi" w:eastAsia="Arial" w:hAnsiTheme="minorHAnsi" w:cs="Arial"/>
                <w:color w:val="231F20"/>
                <w:spacing w:val="-3"/>
                <w:w w:val="114"/>
                <w:sz w:val="18"/>
                <w:szCs w:val="18"/>
              </w:rPr>
              <w:t>r</w:t>
            </w:r>
            <w:r w:rsidRPr="00497699">
              <w:rPr>
                <w:rFonts w:asciiTheme="minorHAnsi" w:eastAsia="Arial" w:hAnsiTheme="minorHAnsi" w:cs="Arial"/>
                <w:color w:val="231F20"/>
                <w:w w:val="104"/>
                <w:sz w:val="18"/>
                <w:szCs w:val="18"/>
              </w:rPr>
              <w:t>ophylaxis</w:t>
            </w:r>
          </w:p>
          <w:p w:rsidR="005E01A8" w:rsidRPr="00497699" w:rsidRDefault="005E01A8" w:rsidP="004B5AE5">
            <w:pPr>
              <w:spacing w:before="53" w:after="0"/>
              <w:ind w:left="120" w:right="-20"/>
              <w:rPr>
                <w:rFonts w:asciiTheme="minorHAnsi" w:eastAsia="Arial" w:hAnsiTheme="minorHAnsi" w:cs="Arial"/>
                <w:sz w:val="18"/>
                <w:szCs w:val="18"/>
              </w:rPr>
            </w:pPr>
            <w:r w:rsidRPr="00497699">
              <w:rPr>
                <w:rFonts w:asciiTheme="minorHAnsi" w:eastAsia="Arial" w:hAnsiTheme="minorHAnsi" w:cs="Arial"/>
                <w:color w:val="231F20"/>
                <w:sz w:val="18"/>
                <w:szCs w:val="18"/>
              </w:rPr>
              <w:t>Primary</w:t>
            </w:r>
            <w:r w:rsidRPr="00497699">
              <w:rPr>
                <w:rFonts w:asciiTheme="minorHAnsi" w:eastAsia="Arial" w:hAnsiTheme="minorHAnsi" w:cs="Arial"/>
                <w:color w:val="231F20"/>
                <w:spacing w:val="-7"/>
                <w:sz w:val="18"/>
                <w:szCs w:val="18"/>
              </w:rPr>
              <w:t xml:space="preserve"> </w:t>
            </w:r>
            <w:r w:rsidRPr="00497699">
              <w:rPr>
                <w:rFonts w:asciiTheme="minorHAnsi" w:eastAsia="Arial" w:hAnsiTheme="minorHAnsi" w:cs="Arial"/>
                <w:color w:val="231F20"/>
                <w:w w:val="108"/>
                <w:sz w:val="18"/>
                <w:szCs w:val="18"/>
              </w:rPr>
              <w:t>p</w:t>
            </w:r>
            <w:r w:rsidRPr="00497699">
              <w:rPr>
                <w:rFonts w:asciiTheme="minorHAnsi" w:eastAsia="Arial" w:hAnsiTheme="minorHAnsi" w:cs="Arial"/>
                <w:color w:val="231F20"/>
                <w:spacing w:val="-3"/>
                <w:w w:val="108"/>
                <w:sz w:val="18"/>
                <w:szCs w:val="18"/>
              </w:rPr>
              <w:t>r</w:t>
            </w:r>
            <w:r w:rsidRPr="00497699">
              <w:rPr>
                <w:rFonts w:asciiTheme="minorHAnsi" w:eastAsia="Arial" w:hAnsiTheme="minorHAnsi" w:cs="Arial"/>
                <w:color w:val="231F20"/>
                <w:sz w:val="18"/>
                <w:szCs w:val="18"/>
              </w:rPr>
              <w:t>ophylaxis</w:t>
            </w:r>
          </w:p>
        </w:tc>
        <w:tc>
          <w:tcPr>
            <w:tcW w:w="6946" w:type="dxa"/>
            <w:tcBorders>
              <w:top w:val="single" w:sz="32" w:space="0" w:color="FFFFFF"/>
              <w:left w:val="single" w:sz="32" w:space="0" w:color="FFFFFF"/>
              <w:bottom w:val="single" w:sz="32" w:space="0" w:color="FFFFFF"/>
              <w:right w:val="nil"/>
            </w:tcBorders>
            <w:shd w:val="clear" w:color="auto" w:fill="E6E7E8"/>
          </w:tcPr>
          <w:p w:rsidR="005E01A8" w:rsidRPr="00497699" w:rsidRDefault="005E01A8" w:rsidP="004B5AE5">
            <w:pPr>
              <w:spacing w:before="7" w:after="0" w:line="140" w:lineRule="exact"/>
              <w:rPr>
                <w:rFonts w:asciiTheme="minorHAnsi" w:hAnsiTheme="minorHAnsi"/>
                <w:sz w:val="14"/>
                <w:szCs w:val="14"/>
              </w:rPr>
            </w:pPr>
          </w:p>
          <w:p w:rsidR="005E01A8" w:rsidRPr="00497699" w:rsidRDefault="005E01A8" w:rsidP="004B5AE5">
            <w:pPr>
              <w:spacing w:after="0" w:line="255" w:lineRule="auto"/>
              <w:ind w:left="80" w:right="69"/>
              <w:rPr>
                <w:rFonts w:asciiTheme="minorHAnsi" w:eastAsia="Arial" w:hAnsiTheme="minorHAnsi" w:cs="Arial"/>
                <w:sz w:val="18"/>
                <w:szCs w:val="18"/>
              </w:rPr>
            </w:pPr>
            <w:r w:rsidRPr="00497699">
              <w:rPr>
                <w:rFonts w:asciiTheme="minorHAnsi" w:eastAsia="Arial" w:hAnsiTheme="minorHAnsi" w:cs="Arial"/>
                <w:color w:val="231F20"/>
                <w:sz w:val="18"/>
                <w:szCs w:val="18"/>
              </w:rPr>
              <w:t>Regular</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continuous*</w:t>
            </w:r>
            <w:r w:rsidRPr="00497699">
              <w:rPr>
                <w:rFonts w:asciiTheme="minorHAnsi" w:eastAsia="Arial" w:hAnsiTheme="minorHAnsi" w:cs="Arial"/>
                <w:color w:val="231F20"/>
                <w:spacing w:val="24"/>
                <w:sz w:val="18"/>
                <w:szCs w:val="18"/>
              </w:rPr>
              <w:t xml:space="preserve"> </w:t>
            </w:r>
            <w:r w:rsidRPr="00497699">
              <w:rPr>
                <w:rFonts w:asciiTheme="minorHAnsi" w:eastAsia="Arial" w:hAnsiTheme="minorHAnsi" w:cs="Arial"/>
                <w:color w:val="231F20"/>
                <w:sz w:val="18"/>
                <w:szCs w:val="18"/>
              </w:rPr>
              <w:t>t</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eatment</w:t>
            </w:r>
            <w:r w:rsidRPr="00497699">
              <w:rPr>
                <w:rFonts w:asciiTheme="minorHAnsi" w:eastAsia="Arial" w:hAnsiTheme="minorHAnsi" w:cs="Arial"/>
                <w:color w:val="231F20"/>
                <w:spacing w:val="41"/>
                <w:sz w:val="18"/>
                <w:szCs w:val="18"/>
              </w:rPr>
              <w:t xml:space="preserve"> </w:t>
            </w:r>
            <w:r w:rsidRPr="00497699">
              <w:rPr>
                <w:rFonts w:asciiTheme="minorHAnsi" w:eastAsia="Arial" w:hAnsiTheme="minorHAnsi" w:cs="Arial"/>
                <w:color w:val="231F20"/>
                <w:sz w:val="18"/>
                <w:szCs w:val="18"/>
              </w:rPr>
              <w:t>initiated</w:t>
            </w:r>
            <w:r w:rsidRPr="00497699">
              <w:rPr>
                <w:rFonts w:asciiTheme="minorHAnsi" w:eastAsia="Arial" w:hAnsiTheme="minorHAnsi" w:cs="Arial"/>
                <w:color w:val="231F20"/>
                <w:spacing w:val="42"/>
                <w:sz w:val="18"/>
                <w:szCs w:val="18"/>
              </w:rPr>
              <w:t xml:space="preserve"> </w:t>
            </w:r>
            <w:r w:rsidRPr="00497699">
              <w:rPr>
                <w:rFonts w:asciiTheme="minorHAnsi" w:eastAsia="Arial" w:hAnsiTheme="minorHAnsi" w:cs="Arial"/>
                <w:color w:val="231F20"/>
                <w:sz w:val="18"/>
                <w:szCs w:val="18"/>
              </w:rPr>
              <w:t>in</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absence</w:t>
            </w:r>
            <w:r w:rsidRPr="00497699">
              <w:rPr>
                <w:rFonts w:asciiTheme="minorHAnsi" w:eastAsia="Arial" w:hAnsiTheme="minorHAnsi" w:cs="Arial"/>
                <w:color w:val="231F20"/>
                <w:spacing w:val="-9"/>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w w:val="104"/>
                <w:sz w:val="18"/>
                <w:szCs w:val="18"/>
              </w:rPr>
              <w:t xml:space="preserve">documented </w:t>
            </w:r>
            <w:r w:rsidRPr="00497699">
              <w:rPr>
                <w:rFonts w:asciiTheme="minorHAnsi" w:eastAsia="Arial" w:hAnsiTheme="minorHAnsi" w:cs="Arial"/>
                <w:color w:val="231F20"/>
                <w:sz w:val="18"/>
                <w:szCs w:val="18"/>
              </w:rPr>
              <w:t>osteochondral</w:t>
            </w:r>
            <w:r w:rsidRPr="00497699">
              <w:rPr>
                <w:rFonts w:asciiTheme="minorHAnsi" w:eastAsia="Arial" w:hAnsiTheme="minorHAnsi" w:cs="Arial"/>
                <w:color w:val="231F20"/>
                <w:spacing w:val="27"/>
                <w:sz w:val="18"/>
                <w:szCs w:val="18"/>
              </w:rPr>
              <w:t xml:space="preserve"> </w:t>
            </w:r>
            <w:r w:rsidRPr="00497699">
              <w:rPr>
                <w:rFonts w:asciiTheme="minorHAnsi" w:eastAsia="Arial" w:hAnsiTheme="minorHAnsi" w:cs="Arial"/>
                <w:color w:val="231F20"/>
                <w:sz w:val="18"/>
                <w:szCs w:val="18"/>
              </w:rPr>
              <w:t>joint</w:t>
            </w:r>
            <w:r w:rsidRPr="00497699">
              <w:rPr>
                <w:rFonts w:asciiTheme="minorHAnsi" w:eastAsia="Arial" w:hAnsiTheme="minorHAnsi" w:cs="Arial"/>
                <w:color w:val="231F20"/>
                <w:spacing w:val="30"/>
                <w:sz w:val="18"/>
                <w:szCs w:val="18"/>
              </w:rPr>
              <w:t xml:space="preserve"> </w:t>
            </w:r>
            <w:r w:rsidRPr="00497699">
              <w:rPr>
                <w:rFonts w:asciiTheme="minorHAnsi" w:eastAsia="Arial" w:hAnsiTheme="minorHAnsi" w:cs="Arial"/>
                <w:color w:val="231F20"/>
                <w:w w:val="96"/>
                <w:sz w:val="18"/>
                <w:szCs w:val="18"/>
              </w:rPr>
              <w:t>disease,</w:t>
            </w:r>
            <w:r w:rsidRPr="00497699">
              <w:rPr>
                <w:rFonts w:asciiTheme="minorHAnsi" w:eastAsia="Arial" w:hAnsiTheme="minorHAnsi" w:cs="Arial"/>
                <w:color w:val="231F20"/>
                <w:spacing w:val="6"/>
                <w:w w:val="96"/>
                <w:sz w:val="18"/>
                <w:szCs w:val="18"/>
              </w:rPr>
              <w:t xml:space="preserve"> </w:t>
            </w:r>
            <w:r w:rsidRPr="00497699">
              <w:rPr>
                <w:rFonts w:asciiTheme="minorHAnsi" w:eastAsia="Arial" w:hAnsiTheme="minorHAnsi" w:cs="Arial"/>
                <w:color w:val="231F20"/>
                <w:sz w:val="18"/>
                <w:szCs w:val="18"/>
              </w:rPr>
              <w:t>determined</w:t>
            </w:r>
            <w:r w:rsidRPr="00497699">
              <w:rPr>
                <w:rFonts w:asciiTheme="minorHAnsi" w:eastAsia="Arial" w:hAnsiTheme="minorHAnsi" w:cs="Arial"/>
                <w:color w:val="231F20"/>
                <w:spacing w:val="40"/>
                <w:sz w:val="18"/>
                <w:szCs w:val="18"/>
              </w:rPr>
              <w:t xml:space="preserve"> </w:t>
            </w:r>
            <w:r w:rsidRPr="00497699">
              <w:rPr>
                <w:rFonts w:asciiTheme="minorHAnsi" w:eastAsia="Arial" w:hAnsiTheme="minorHAnsi" w:cs="Arial"/>
                <w:color w:val="231F20"/>
                <w:sz w:val="18"/>
                <w:szCs w:val="18"/>
              </w:rPr>
              <w:t>by</w:t>
            </w:r>
            <w:r w:rsidRPr="00497699">
              <w:rPr>
                <w:rFonts w:asciiTheme="minorHAnsi" w:eastAsia="Arial" w:hAnsiTheme="minorHAnsi" w:cs="Arial"/>
                <w:color w:val="231F20"/>
                <w:spacing w:val="10"/>
                <w:sz w:val="18"/>
                <w:szCs w:val="18"/>
              </w:rPr>
              <w:t xml:space="preserve"> </w:t>
            </w:r>
            <w:r w:rsidRPr="00497699">
              <w:rPr>
                <w:rFonts w:asciiTheme="minorHAnsi" w:eastAsia="Arial" w:hAnsiTheme="minorHAnsi" w:cs="Arial"/>
                <w:color w:val="231F20"/>
                <w:sz w:val="18"/>
                <w:szCs w:val="18"/>
              </w:rPr>
              <w:t>physical</w:t>
            </w:r>
            <w:r w:rsidRPr="00497699">
              <w:rPr>
                <w:rFonts w:asciiTheme="minorHAnsi" w:eastAsia="Arial" w:hAnsiTheme="minorHAnsi" w:cs="Arial"/>
                <w:color w:val="231F20"/>
                <w:spacing w:val="-9"/>
                <w:sz w:val="18"/>
                <w:szCs w:val="18"/>
              </w:rPr>
              <w:t xml:space="preserve"> </w:t>
            </w:r>
            <w:r w:rsidRPr="00497699">
              <w:rPr>
                <w:rFonts w:asciiTheme="minorHAnsi" w:eastAsia="Arial" w:hAnsiTheme="minorHAnsi" w:cs="Arial"/>
                <w:color w:val="231F20"/>
                <w:sz w:val="18"/>
                <w:szCs w:val="18"/>
              </w:rPr>
              <w:t>examination</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z w:val="18"/>
                <w:szCs w:val="18"/>
              </w:rPr>
              <w:t>and/or</w:t>
            </w:r>
            <w:r w:rsidRPr="00497699">
              <w:rPr>
                <w:rFonts w:asciiTheme="minorHAnsi" w:eastAsia="Arial" w:hAnsiTheme="minorHAnsi" w:cs="Arial"/>
                <w:color w:val="231F20"/>
                <w:spacing w:val="29"/>
                <w:sz w:val="18"/>
                <w:szCs w:val="18"/>
              </w:rPr>
              <w:t xml:space="preserve"> </w:t>
            </w:r>
            <w:r w:rsidRPr="00497699">
              <w:rPr>
                <w:rFonts w:asciiTheme="minorHAnsi" w:eastAsia="Arial" w:hAnsiTheme="minorHAnsi" w:cs="Arial"/>
                <w:color w:val="231F20"/>
                <w:w w:val="103"/>
                <w:sz w:val="18"/>
                <w:szCs w:val="18"/>
              </w:rPr>
              <w:t xml:space="preserve">imaging </w:t>
            </w:r>
            <w:r w:rsidRPr="00497699">
              <w:rPr>
                <w:rFonts w:asciiTheme="minorHAnsi" w:eastAsia="Arial" w:hAnsiTheme="minorHAnsi" w:cs="Arial"/>
                <w:color w:val="231F20"/>
                <w:sz w:val="18"/>
                <w:szCs w:val="18"/>
              </w:rPr>
              <w:t>studies,</w:t>
            </w:r>
            <w:r w:rsidRPr="00497699">
              <w:rPr>
                <w:rFonts w:asciiTheme="minorHAnsi" w:eastAsia="Arial" w:hAnsiTheme="minorHAnsi" w:cs="Arial"/>
                <w:color w:val="231F20"/>
                <w:spacing w:val="-1"/>
                <w:sz w:val="18"/>
                <w:szCs w:val="18"/>
              </w:rPr>
              <w:t xml:space="preserve"> </w:t>
            </w:r>
            <w:r w:rsidRPr="00497699">
              <w:rPr>
                <w:rFonts w:asciiTheme="minorHAnsi" w:eastAsia="Arial" w:hAnsiTheme="minorHAnsi" w:cs="Arial"/>
                <w:color w:val="231F20"/>
                <w:sz w:val="18"/>
                <w:szCs w:val="18"/>
              </w:rPr>
              <w:t>and</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started</w:t>
            </w:r>
            <w:r w:rsidRPr="00497699">
              <w:rPr>
                <w:rFonts w:asciiTheme="minorHAnsi" w:eastAsia="Arial" w:hAnsiTheme="minorHAnsi" w:cs="Arial"/>
                <w:color w:val="231F20"/>
                <w:spacing w:val="22"/>
                <w:sz w:val="18"/>
                <w:szCs w:val="18"/>
              </w:rPr>
              <w:t xml:space="preserve"> </w:t>
            </w:r>
            <w:r w:rsidRPr="00497699">
              <w:rPr>
                <w:rFonts w:asciiTheme="minorHAnsi" w:eastAsia="Arial" w:hAnsiTheme="minorHAnsi" w:cs="Arial"/>
                <w:color w:val="231F20"/>
                <w:sz w:val="18"/>
                <w:szCs w:val="18"/>
              </w:rPr>
              <w:t>befo</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w:t>
            </w:r>
            <w:r w:rsidRPr="00497699">
              <w:rPr>
                <w:rFonts w:asciiTheme="minorHAnsi" w:eastAsia="Arial" w:hAnsiTheme="minorHAnsi" w:cs="Arial"/>
                <w:color w:val="231F20"/>
                <w:spacing w:val="30"/>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second</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clinically</w:t>
            </w:r>
            <w:r w:rsidRPr="00497699">
              <w:rPr>
                <w:rFonts w:asciiTheme="minorHAnsi" w:eastAsia="Arial" w:hAnsiTheme="minorHAnsi" w:cs="Arial"/>
                <w:color w:val="231F20"/>
                <w:spacing w:val="-2"/>
                <w:sz w:val="18"/>
                <w:szCs w:val="18"/>
              </w:rPr>
              <w:t xml:space="preserve"> </w:t>
            </w:r>
            <w:r w:rsidRPr="00497699">
              <w:rPr>
                <w:rFonts w:asciiTheme="minorHAnsi" w:eastAsia="Arial" w:hAnsiTheme="minorHAnsi" w:cs="Arial"/>
                <w:color w:val="231F20"/>
                <w:sz w:val="18"/>
                <w:szCs w:val="18"/>
              </w:rPr>
              <w:t>evident</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sz w:val="18"/>
                <w:szCs w:val="18"/>
              </w:rPr>
              <w:t>la</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ge</w:t>
            </w:r>
            <w:r w:rsidRPr="00497699">
              <w:rPr>
                <w:rFonts w:asciiTheme="minorHAnsi" w:eastAsia="Arial" w:hAnsiTheme="minorHAnsi" w:cs="Arial"/>
                <w:color w:val="231F20"/>
                <w:spacing w:val="13"/>
                <w:sz w:val="18"/>
                <w:szCs w:val="18"/>
              </w:rPr>
              <w:t xml:space="preserve"> </w:t>
            </w:r>
            <w:r w:rsidRPr="00497699">
              <w:rPr>
                <w:rFonts w:asciiTheme="minorHAnsi" w:eastAsia="Arial" w:hAnsiTheme="minorHAnsi" w:cs="Arial"/>
                <w:color w:val="231F20"/>
                <w:sz w:val="18"/>
                <w:szCs w:val="18"/>
              </w:rPr>
              <w:t>joint</w:t>
            </w:r>
            <w:r w:rsidRPr="00497699">
              <w:rPr>
                <w:rFonts w:asciiTheme="minorHAnsi" w:eastAsia="Arial" w:hAnsiTheme="minorHAnsi" w:cs="Arial"/>
                <w:color w:val="231F20"/>
                <w:spacing w:val="31"/>
                <w:sz w:val="18"/>
                <w:szCs w:val="18"/>
              </w:rPr>
              <w:t xml:space="preserve"> </w:t>
            </w:r>
            <w:r w:rsidRPr="00497699">
              <w:rPr>
                <w:rFonts w:asciiTheme="minorHAnsi" w:eastAsia="Arial" w:hAnsiTheme="minorHAnsi" w:cs="Arial"/>
                <w:color w:val="231F20"/>
                <w:sz w:val="18"/>
                <w:szCs w:val="18"/>
              </w:rPr>
              <w:t>bleed</w:t>
            </w:r>
            <w:r w:rsidRPr="00497699">
              <w:rPr>
                <w:rFonts w:asciiTheme="minorHAnsi" w:eastAsia="Arial" w:hAnsiTheme="minorHAnsi" w:cs="Arial"/>
                <w:color w:val="231F20"/>
                <w:spacing w:val="27"/>
                <w:sz w:val="18"/>
                <w:szCs w:val="18"/>
              </w:rPr>
              <w:t xml:space="preserve"> </w:t>
            </w:r>
            <w:r w:rsidRPr="00497699">
              <w:rPr>
                <w:rFonts w:asciiTheme="minorHAnsi" w:eastAsia="Arial" w:hAnsiTheme="minorHAnsi" w:cs="Arial"/>
                <w:color w:val="231F20"/>
                <w:w w:val="101"/>
                <w:sz w:val="18"/>
                <w:szCs w:val="18"/>
              </w:rPr>
              <w:t>and</w:t>
            </w:r>
            <w:r w:rsidRPr="00497699">
              <w:rPr>
                <w:rFonts w:asciiTheme="minorHAnsi" w:eastAsia="Arial" w:hAnsiTheme="minorHAnsi" w:cs="Arial"/>
                <w:sz w:val="18"/>
                <w:szCs w:val="18"/>
              </w:rPr>
              <w:t xml:space="preserve"> </w:t>
            </w:r>
            <w:r w:rsidRPr="00497699">
              <w:rPr>
                <w:rFonts w:asciiTheme="minorHAnsi" w:eastAsia="Arial" w:hAnsiTheme="minorHAnsi" w:cs="Arial"/>
                <w:color w:val="231F20"/>
                <w:sz w:val="18"/>
                <w:szCs w:val="18"/>
              </w:rPr>
              <w:t>age</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3</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years**</w:t>
            </w:r>
          </w:p>
        </w:tc>
      </w:tr>
      <w:tr w:rsidR="005E01A8" w:rsidRPr="00497699" w:rsidTr="00AF50AF">
        <w:trPr>
          <w:trHeight w:hRule="exact" w:val="896"/>
        </w:trPr>
        <w:tc>
          <w:tcPr>
            <w:tcW w:w="3119" w:type="dxa"/>
            <w:tcBorders>
              <w:top w:val="single" w:sz="32" w:space="0" w:color="FFFFFF"/>
              <w:left w:val="nil"/>
              <w:bottom w:val="single" w:sz="32" w:space="0" w:color="FFFFFF"/>
              <w:right w:val="single" w:sz="32" w:space="0" w:color="FFFFFF"/>
            </w:tcBorders>
            <w:shd w:val="clear" w:color="auto" w:fill="E6E7E8"/>
          </w:tcPr>
          <w:p w:rsidR="005E01A8" w:rsidRPr="00497699" w:rsidRDefault="005E01A8" w:rsidP="004B5AE5">
            <w:pPr>
              <w:spacing w:before="87" w:after="0"/>
              <w:ind w:left="120" w:right="-20"/>
              <w:rPr>
                <w:rFonts w:asciiTheme="minorHAnsi" w:eastAsia="Arial" w:hAnsiTheme="minorHAnsi" w:cs="Arial"/>
                <w:sz w:val="18"/>
                <w:szCs w:val="18"/>
              </w:rPr>
            </w:pPr>
            <w:r w:rsidRPr="00497699">
              <w:rPr>
                <w:rFonts w:asciiTheme="minorHAnsi" w:eastAsia="Arial" w:hAnsiTheme="minorHAnsi" w:cs="Arial"/>
                <w:color w:val="231F20"/>
                <w:sz w:val="18"/>
                <w:szCs w:val="18"/>
              </w:rPr>
              <w:t>Secondary</w:t>
            </w:r>
            <w:r w:rsidRPr="00497699">
              <w:rPr>
                <w:rFonts w:asciiTheme="minorHAnsi" w:eastAsia="Arial" w:hAnsiTheme="minorHAnsi" w:cs="Arial"/>
                <w:color w:val="231F20"/>
                <w:spacing w:val="-12"/>
                <w:sz w:val="18"/>
                <w:szCs w:val="18"/>
              </w:rPr>
              <w:t xml:space="preserve"> </w:t>
            </w:r>
            <w:r w:rsidRPr="00497699">
              <w:rPr>
                <w:rFonts w:asciiTheme="minorHAnsi" w:eastAsia="Arial" w:hAnsiTheme="minorHAnsi" w:cs="Arial"/>
                <w:color w:val="231F20"/>
                <w:w w:val="108"/>
                <w:sz w:val="18"/>
                <w:szCs w:val="18"/>
              </w:rPr>
              <w:t>p</w:t>
            </w:r>
            <w:r w:rsidRPr="00497699">
              <w:rPr>
                <w:rFonts w:asciiTheme="minorHAnsi" w:eastAsia="Arial" w:hAnsiTheme="minorHAnsi" w:cs="Arial"/>
                <w:color w:val="231F20"/>
                <w:spacing w:val="-3"/>
                <w:w w:val="108"/>
                <w:sz w:val="18"/>
                <w:szCs w:val="18"/>
              </w:rPr>
              <w:t>r</w:t>
            </w:r>
            <w:r w:rsidRPr="00497699">
              <w:rPr>
                <w:rFonts w:asciiTheme="minorHAnsi" w:eastAsia="Arial" w:hAnsiTheme="minorHAnsi" w:cs="Arial"/>
                <w:color w:val="231F20"/>
                <w:sz w:val="18"/>
                <w:szCs w:val="18"/>
              </w:rPr>
              <w:t>ophylaxis</w:t>
            </w:r>
          </w:p>
        </w:tc>
        <w:tc>
          <w:tcPr>
            <w:tcW w:w="6946" w:type="dxa"/>
            <w:tcBorders>
              <w:top w:val="single" w:sz="32" w:space="0" w:color="FFFFFF"/>
              <w:left w:val="single" w:sz="32" w:space="0" w:color="FFFFFF"/>
              <w:bottom w:val="single" w:sz="32" w:space="0" w:color="FFFFFF"/>
              <w:right w:val="nil"/>
            </w:tcBorders>
            <w:shd w:val="clear" w:color="auto" w:fill="E6E7E8"/>
          </w:tcPr>
          <w:p w:rsidR="005E01A8" w:rsidRPr="00497699" w:rsidRDefault="005E01A8" w:rsidP="004B5AE5">
            <w:pPr>
              <w:spacing w:before="87" w:after="0" w:line="255" w:lineRule="auto"/>
              <w:ind w:left="80" w:right="151"/>
              <w:jc w:val="both"/>
              <w:rPr>
                <w:rFonts w:asciiTheme="minorHAnsi" w:eastAsia="Arial" w:hAnsiTheme="minorHAnsi" w:cs="Arial"/>
                <w:sz w:val="18"/>
                <w:szCs w:val="18"/>
              </w:rPr>
            </w:pPr>
            <w:r w:rsidRPr="00497699">
              <w:rPr>
                <w:rFonts w:asciiTheme="minorHAnsi" w:eastAsia="Arial" w:hAnsiTheme="minorHAnsi" w:cs="Arial"/>
                <w:color w:val="231F20"/>
                <w:sz w:val="18"/>
                <w:szCs w:val="18"/>
              </w:rPr>
              <w:t>Regular</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continuous*</w:t>
            </w:r>
            <w:r w:rsidRPr="00497699">
              <w:rPr>
                <w:rFonts w:asciiTheme="minorHAnsi" w:eastAsia="Arial" w:hAnsiTheme="minorHAnsi" w:cs="Arial"/>
                <w:color w:val="231F20"/>
                <w:spacing w:val="24"/>
                <w:sz w:val="18"/>
                <w:szCs w:val="18"/>
              </w:rPr>
              <w:t xml:space="preserve"> </w:t>
            </w:r>
            <w:r w:rsidRPr="00497699">
              <w:rPr>
                <w:rFonts w:asciiTheme="minorHAnsi" w:eastAsia="Arial" w:hAnsiTheme="minorHAnsi" w:cs="Arial"/>
                <w:color w:val="231F20"/>
                <w:sz w:val="18"/>
                <w:szCs w:val="18"/>
              </w:rPr>
              <w:t>t</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eatment</w:t>
            </w:r>
            <w:r w:rsidRPr="00497699">
              <w:rPr>
                <w:rFonts w:asciiTheme="minorHAnsi" w:eastAsia="Arial" w:hAnsiTheme="minorHAnsi" w:cs="Arial"/>
                <w:color w:val="231F20"/>
                <w:spacing w:val="41"/>
                <w:sz w:val="18"/>
                <w:szCs w:val="18"/>
              </w:rPr>
              <w:t xml:space="preserve"> </w:t>
            </w:r>
            <w:r w:rsidRPr="00497699">
              <w:rPr>
                <w:rFonts w:asciiTheme="minorHAnsi" w:eastAsia="Arial" w:hAnsiTheme="minorHAnsi" w:cs="Arial"/>
                <w:color w:val="231F20"/>
                <w:sz w:val="18"/>
                <w:szCs w:val="18"/>
              </w:rPr>
              <w:t>started</w:t>
            </w:r>
            <w:r w:rsidRPr="00497699">
              <w:rPr>
                <w:rFonts w:asciiTheme="minorHAnsi" w:eastAsia="Arial" w:hAnsiTheme="minorHAnsi" w:cs="Arial"/>
                <w:color w:val="231F20"/>
                <w:spacing w:val="22"/>
                <w:sz w:val="18"/>
                <w:szCs w:val="18"/>
              </w:rPr>
              <w:t xml:space="preserve"> </w:t>
            </w:r>
            <w:r w:rsidRPr="00497699">
              <w:rPr>
                <w:rFonts w:asciiTheme="minorHAnsi" w:eastAsia="Arial" w:hAnsiTheme="minorHAnsi" w:cs="Arial"/>
                <w:color w:val="231F20"/>
                <w:sz w:val="18"/>
                <w:szCs w:val="18"/>
              </w:rPr>
              <w:t>after</w:t>
            </w:r>
            <w:r w:rsidRPr="00497699">
              <w:rPr>
                <w:rFonts w:asciiTheme="minorHAnsi" w:eastAsia="Arial" w:hAnsiTheme="minorHAnsi" w:cs="Arial"/>
                <w:color w:val="231F20"/>
                <w:spacing w:val="19"/>
                <w:sz w:val="18"/>
                <w:szCs w:val="18"/>
              </w:rPr>
              <w:t xml:space="preserve"> </w:t>
            </w:r>
            <w:r w:rsidRPr="00497699">
              <w:rPr>
                <w:rFonts w:asciiTheme="minorHAnsi" w:eastAsia="Arial" w:hAnsiTheme="minorHAnsi" w:cs="Arial"/>
                <w:color w:val="231F20"/>
                <w:sz w:val="18"/>
                <w:szCs w:val="18"/>
              </w:rPr>
              <w:t>2</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or</w:t>
            </w:r>
            <w:r w:rsidRPr="00497699">
              <w:rPr>
                <w:rFonts w:asciiTheme="minorHAnsi" w:eastAsia="Arial" w:hAnsiTheme="minorHAnsi" w:cs="Arial"/>
                <w:color w:val="231F20"/>
                <w:spacing w:val="15"/>
                <w:sz w:val="18"/>
                <w:szCs w:val="18"/>
              </w:rPr>
              <w:t xml:space="preserve"> </w:t>
            </w:r>
            <w:r w:rsidRPr="00497699">
              <w:rPr>
                <w:rFonts w:asciiTheme="minorHAnsi" w:eastAsia="Arial" w:hAnsiTheme="minorHAnsi" w:cs="Arial"/>
                <w:color w:val="231F20"/>
                <w:sz w:val="18"/>
                <w:szCs w:val="18"/>
              </w:rPr>
              <w:t>mo</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sz w:val="18"/>
                <w:szCs w:val="18"/>
              </w:rPr>
              <w:t>bleeds</w:t>
            </w:r>
            <w:r w:rsidRPr="00497699">
              <w:rPr>
                <w:rFonts w:asciiTheme="minorHAnsi" w:eastAsia="Arial" w:hAnsiTheme="minorHAnsi" w:cs="Arial"/>
                <w:color w:val="231F20"/>
                <w:spacing w:val="10"/>
                <w:sz w:val="18"/>
                <w:szCs w:val="18"/>
              </w:rPr>
              <w:t xml:space="preserve"> </w:t>
            </w:r>
            <w:r w:rsidRPr="00497699">
              <w:rPr>
                <w:rFonts w:asciiTheme="minorHAnsi" w:eastAsia="Arial" w:hAnsiTheme="minorHAnsi" w:cs="Arial"/>
                <w:color w:val="231F20"/>
                <w:sz w:val="18"/>
                <w:szCs w:val="18"/>
              </w:rPr>
              <w:t>into</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sz w:val="18"/>
                <w:szCs w:val="18"/>
              </w:rPr>
              <w:t>la</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ge</w:t>
            </w:r>
            <w:r w:rsidRPr="00497699">
              <w:rPr>
                <w:rFonts w:asciiTheme="minorHAnsi" w:eastAsia="Arial" w:hAnsiTheme="minorHAnsi" w:cs="Arial"/>
                <w:color w:val="231F20"/>
                <w:spacing w:val="13"/>
                <w:sz w:val="18"/>
                <w:szCs w:val="18"/>
              </w:rPr>
              <w:t xml:space="preserve"> </w:t>
            </w:r>
            <w:r w:rsidRPr="00497699">
              <w:rPr>
                <w:rFonts w:asciiTheme="minorHAnsi" w:eastAsia="Arial" w:hAnsiTheme="minorHAnsi" w:cs="Arial"/>
                <w:color w:val="231F20"/>
                <w:w w:val="105"/>
                <w:sz w:val="18"/>
                <w:szCs w:val="18"/>
              </w:rPr>
              <w:t xml:space="preserve">joints** </w:t>
            </w:r>
            <w:r w:rsidRPr="00497699">
              <w:rPr>
                <w:rFonts w:asciiTheme="minorHAnsi" w:eastAsia="Arial" w:hAnsiTheme="minorHAnsi" w:cs="Arial"/>
                <w:color w:val="231F20"/>
                <w:sz w:val="18"/>
                <w:szCs w:val="18"/>
              </w:rPr>
              <w:t>and</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befo</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w:t>
            </w:r>
            <w:r w:rsidRPr="00497699">
              <w:rPr>
                <w:rFonts w:asciiTheme="minorHAnsi" w:eastAsia="Arial" w:hAnsiTheme="minorHAnsi" w:cs="Arial"/>
                <w:color w:val="231F20"/>
                <w:spacing w:val="30"/>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onset</w:t>
            </w:r>
            <w:r w:rsidRPr="00497699">
              <w:rPr>
                <w:rFonts w:asciiTheme="minorHAnsi" w:eastAsia="Arial" w:hAnsiTheme="minorHAnsi" w:cs="Arial"/>
                <w:color w:val="231F20"/>
                <w:spacing w:val="9"/>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sz w:val="18"/>
                <w:szCs w:val="18"/>
              </w:rPr>
              <w:t>joint</w:t>
            </w:r>
            <w:r w:rsidRPr="00497699">
              <w:rPr>
                <w:rFonts w:asciiTheme="minorHAnsi" w:eastAsia="Arial" w:hAnsiTheme="minorHAnsi" w:cs="Arial"/>
                <w:color w:val="231F20"/>
                <w:spacing w:val="31"/>
                <w:sz w:val="18"/>
                <w:szCs w:val="18"/>
              </w:rPr>
              <w:t xml:space="preserve"> </w:t>
            </w:r>
            <w:r w:rsidRPr="00497699">
              <w:rPr>
                <w:rFonts w:asciiTheme="minorHAnsi" w:eastAsia="Arial" w:hAnsiTheme="minorHAnsi" w:cs="Arial"/>
                <w:color w:val="231F20"/>
                <w:sz w:val="18"/>
                <w:szCs w:val="18"/>
              </w:rPr>
              <w:t>disease</w:t>
            </w:r>
            <w:r w:rsidRPr="00497699">
              <w:rPr>
                <w:rFonts w:asciiTheme="minorHAnsi" w:eastAsia="Arial" w:hAnsiTheme="minorHAnsi" w:cs="Arial"/>
                <w:color w:val="231F20"/>
                <w:spacing w:val="-20"/>
                <w:sz w:val="18"/>
                <w:szCs w:val="18"/>
              </w:rPr>
              <w:t xml:space="preserve"> </w:t>
            </w:r>
            <w:r w:rsidRPr="00497699">
              <w:rPr>
                <w:rFonts w:asciiTheme="minorHAnsi" w:eastAsia="Arial" w:hAnsiTheme="minorHAnsi" w:cs="Arial"/>
                <w:color w:val="231F20"/>
                <w:sz w:val="18"/>
                <w:szCs w:val="18"/>
              </w:rPr>
              <w:t>documented</w:t>
            </w:r>
            <w:r w:rsidRPr="00497699">
              <w:rPr>
                <w:rFonts w:asciiTheme="minorHAnsi" w:eastAsia="Arial" w:hAnsiTheme="minorHAnsi" w:cs="Arial"/>
                <w:color w:val="231F20"/>
                <w:spacing w:val="45"/>
                <w:sz w:val="18"/>
                <w:szCs w:val="18"/>
              </w:rPr>
              <w:t xml:space="preserve"> </w:t>
            </w:r>
            <w:r w:rsidRPr="00497699">
              <w:rPr>
                <w:rFonts w:asciiTheme="minorHAnsi" w:eastAsia="Arial" w:hAnsiTheme="minorHAnsi" w:cs="Arial"/>
                <w:color w:val="231F20"/>
                <w:sz w:val="18"/>
                <w:szCs w:val="18"/>
              </w:rPr>
              <w:t>by</w:t>
            </w:r>
            <w:r w:rsidRPr="00497699">
              <w:rPr>
                <w:rFonts w:asciiTheme="minorHAnsi" w:eastAsia="Arial" w:hAnsiTheme="minorHAnsi" w:cs="Arial"/>
                <w:color w:val="231F20"/>
                <w:spacing w:val="11"/>
                <w:sz w:val="18"/>
                <w:szCs w:val="18"/>
              </w:rPr>
              <w:t xml:space="preserve"> </w:t>
            </w:r>
            <w:r w:rsidRPr="00497699">
              <w:rPr>
                <w:rFonts w:asciiTheme="minorHAnsi" w:eastAsia="Arial" w:hAnsiTheme="minorHAnsi" w:cs="Arial"/>
                <w:color w:val="231F20"/>
                <w:sz w:val="18"/>
                <w:szCs w:val="18"/>
              </w:rPr>
              <w:t>physical</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examination</w:t>
            </w:r>
            <w:r w:rsidRPr="00497699">
              <w:rPr>
                <w:rFonts w:asciiTheme="minorHAnsi" w:eastAsia="Arial" w:hAnsiTheme="minorHAnsi" w:cs="Arial"/>
                <w:color w:val="231F20"/>
                <w:spacing w:val="15"/>
                <w:sz w:val="18"/>
                <w:szCs w:val="18"/>
              </w:rPr>
              <w:t xml:space="preserve"> </w:t>
            </w:r>
            <w:r w:rsidRPr="00497699">
              <w:rPr>
                <w:rFonts w:asciiTheme="minorHAnsi" w:eastAsia="Arial" w:hAnsiTheme="minorHAnsi" w:cs="Arial"/>
                <w:color w:val="231F20"/>
                <w:w w:val="101"/>
                <w:sz w:val="18"/>
                <w:szCs w:val="18"/>
              </w:rPr>
              <w:t xml:space="preserve">and </w:t>
            </w:r>
            <w:r w:rsidRPr="00497699">
              <w:rPr>
                <w:rFonts w:asciiTheme="minorHAnsi" w:eastAsia="Arial" w:hAnsiTheme="minorHAnsi" w:cs="Arial"/>
                <w:color w:val="231F20"/>
                <w:sz w:val="18"/>
                <w:szCs w:val="18"/>
              </w:rPr>
              <w:t>imaging</w:t>
            </w:r>
            <w:r w:rsidRPr="00497699">
              <w:rPr>
                <w:rFonts w:asciiTheme="minorHAnsi" w:eastAsia="Arial" w:hAnsiTheme="minorHAnsi" w:cs="Arial"/>
                <w:color w:val="231F20"/>
                <w:spacing w:val="24"/>
                <w:sz w:val="18"/>
                <w:szCs w:val="18"/>
              </w:rPr>
              <w:t xml:space="preserve"> </w:t>
            </w:r>
            <w:r w:rsidRPr="00497699">
              <w:rPr>
                <w:rFonts w:asciiTheme="minorHAnsi" w:eastAsia="Arial" w:hAnsiTheme="minorHAnsi" w:cs="Arial"/>
                <w:color w:val="231F20"/>
                <w:sz w:val="18"/>
                <w:szCs w:val="18"/>
              </w:rPr>
              <w:t>studies</w:t>
            </w:r>
          </w:p>
        </w:tc>
      </w:tr>
      <w:tr w:rsidR="005E01A8" w:rsidRPr="00497699" w:rsidTr="00AF50AF">
        <w:trPr>
          <w:trHeight w:hRule="exact" w:val="896"/>
        </w:trPr>
        <w:tc>
          <w:tcPr>
            <w:tcW w:w="3119" w:type="dxa"/>
            <w:tcBorders>
              <w:top w:val="single" w:sz="32" w:space="0" w:color="FFFFFF"/>
              <w:left w:val="nil"/>
              <w:bottom w:val="single" w:sz="32" w:space="0" w:color="FFFFFF"/>
              <w:right w:val="single" w:sz="32" w:space="0" w:color="FFFFFF"/>
            </w:tcBorders>
            <w:shd w:val="clear" w:color="auto" w:fill="E6E7E8"/>
          </w:tcPr>
          <w:p w:rsidR="005E01A8" w:rsidRPr="00497699" w:rsidRDefault="005E01A8" w:rsidP="004B5AE5">
            <w:pPr>
              <w:spacing w:before="87" w:after="0"/>
              <w:ind w:left="120" w:right="-20"/>
              <w:rPr>
                <w:rFonts w:asciiTheme="minorHAnsi" w:eastAsia="Arial" w:hAnsiTheme="minorHAnsi" w:cs="Arial"/>
                <w:sz w:val="18"/>
                <w:szCs w:val="18"/>
              </w:rPr>
            </w:pPr>
            <w:r w:rsidRPr="00497699">
              <w:rPr>
                <w:rFonts w:asciiTheme="minorHAnsi" w:eastAsia="Arial" w:hAnsiTheme="minorHAnsi" w:cs="Arial"/>
                <w:color w:val="231F20"/>
                <w:spacing w:val="-20"/>
                <w:sz w:val="18"/>
                <w:szCs w:val="18"/>
              </w:rPr>
              <w:t>T</w:t>
            </w:r>
            <w:r w:rsidRPr="00497699">
              <w:rPr>
                <w:rFonts w:asciiTheme="minorHAnsi" w:eastAsia="Arial" w:hAnsiTheme="minorHAnsi" w:cs="Arial"/>
                <w:color w:val="231F20"/>
                <w:sz w:val="18"/>
                <w:szCs w:val="18"/>
              </w:rPr>
              <w:t>ertiary</w:t>
            </w:r>
            <w:r w:rsidRPr="00497699">
              <w:rPr>
                <w:rFonts w:asciiTheme="minorHAnsi" w:eastAsia="Arial" w:hAnsiTheme="minorHAnsi" w:cs="Arial"/>
                <w:color w:val="231F20"/>
                <w:spacing w:val="7"/>
                <w:sz w:val="18"/>
                <w:szCs w:val="18"/>
              </w:rPr>
              <w:t xml:space="preserve"> </w:t>
            </w:r>
            <w:r w:rsidRPr="00497699">
              <w:rPr>
                <w:rFonts w:asciiTheme="minorHAnsi" w:eastAsia="Arial" w:hAnsiTheme="minorHAnsi" w:cs="Arial"/>
                <w:color w:val="231F20"/>
                <w:w w:val="108"/>
                <w:sz w:val="18"/>
                <w:szCs w:val="18"/>
              </w:rPr>
              <w:t>p</w:t>
            </w:r>
            <w:r w:rsidRPr="00497699">
              <w:rPr>
                <w:rFonts w:asciiTheme="minorHAnsi" w:eastAsia="Arial" w:hAnsiTheme="minorHAnsi" w:cs="Arial"/>
                <w:color w:val="231F20"/>
                <w:spacing w:val="-3"/>
                <w:w w:val="108"/>
                <w:sz w:val="18"/>
                <w:szCs w:val="18"/>
              </w:rPr>
              <w:t>r</w:t>
            </w:r>
            <w:r w:rsidRPr="00497699">
              <w:rPr>
                <w:rFonts w:asciiTheme="minorHAnsi" w:eastAsia="Arial" w:hAnsiTheme="minorHAnsi" w:cs="Arial"/>
                <w:color w:val="231F20"/>
                <w:sz w:val="18"/>
                <w:szCs w:val="18"/>
              </w:rPr>
              <w:t>ophylaxis</w:t>
            </w:r>
          </w:p>
        </w:tc>
        <w:tc>
          <w:tcPr>
            <w:tcW w:w="6946" w:type="dxa"/>
            <w:tcBorders>
              <w:top w:val="single" w:sz="32" w:space="0" w:color="FFFFFF"/>
              <w:left w:val="single" w:sz="32" w:space="0" w:color="FFFFFF"/>
              <w:bottom w:val="single" w:sz="32" w:space="0" w:color="FFFFFF"/>
              <w:right w:val="nil"/>
            </w:tcBorders>
            <w:shd w:val="clear" w:color="auto" w:fill="E6E7E8"/>
          </w:tcPr>
          <w:p w:rsidR="005E01A8" w:rsidRPr="00497699" w:rsidRDefault="005E01A8" w:rsidP="004B5AE5">
            <w:pPr>
              <w:spacing w:before="87" w:after="0" w:line="255" w:lineRule="auto"/>
              <w:ind w:left="80" w:right="525"/>
              <w:rPr>
                <w:rFonts w:asciiTheme="minorHAnsi" w:eastAsia="Arial" w:hAnsiTheme="minorHAnsi" w:cs="Arial"/>
                <w:sz w:val="18"/>
                <w:szCs w:val="18"/>
              </w:rPr>
            </w:pPr>
            <w:r w:rsidRPr="00497699">
              <w:rPr>
                <w:rFonts w:asciiTheme="minorHAnsi" w:eastAsia="Arial" w:hAnsiTheme="minorHAnsi" w:cs="Arial"/>
                <w:color w:val="231F20"/>
                <w:sz w:val="18"/>
                <w:szCs w:val="18"/>
              </w:rPr>
              <w:t>Regular</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continuous*</w:t>
            </w:r>
            <w:r w:rsidRPr="00497699">
              <w:rPr>
                <w:rFonts w:asciiTheme="minorHAnsi" w:eastAsia="Arial" w:hAnsiTheme="minorHAnsi" w:cs="Arial"/>
                <w:color w:val="231F20"/>
                <w:spacing w:val="24"/>
                <w:sz w:val="18"/>
                <w:szCs w:val="18"/>
              </w:rPr>
              <w:t xml:space="preserve"> </w:t>
            </w:r>
            <w:r w:rsidRPr="00497699">
              <w:rPr>
                <w:rFonts w:asciiTheme="minorHAnsi" w:eastAsia="Arial" w:hAnsiTheme="minorHAnsi" w:cs="Arial"/>
                <w:color w:val="231F20"/>
                <w:sz w:val="18"/>
                <w:szCs w:val="18"/>
              </w:rPr>
              <w:t>t</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eatment</w:t>
            </w:r>
            <w:r w:rsidRPr="00497699">
              <w:rPr>
                <w:rFonts w:asciiTheme="minorHAnsi" w:eastAsia="Arial" w:hAnsiTheme="minorHAnsi" w:cs="Arial"/>
                <w:color w:val="231F20"/>
                <w:spacing w:val="41"/>
                <w:sz w:val="18"/>
                <w:szCs w:val="18"/>
              </w:rPr>
              <w:t xml:space="preserve"> </w:t>
            </w:r>
            <w:r w:rsidRPr="00497699">
              <w:rPr>
                <w:rFonts w:asciiTheme="minorHAnsi" w:eastAsia="Arial" w:hAnsiTheme="minorHAnsi" w:cs="Arial"/>
                <w:color w:val="231F20"/>
                <w:sz w:val="18"/>
                <w:szCs w:val="18"/>
              </w:rPr>
              <w:t>started</w:t>
            </w:r>
            <w:r w:rsidRPr="00497699">
              <w:rPr>
                <w:rFonts w:asciiTheme="minorHAnsi" w:eastAsia="Arial" w:hAnsiTheme="minorHAnsi" w:cs="Arial"/>
                <w:color w:val="231F20"/>
                <w:spacing w:val="22"/>
                <w:sz w:val="18"/>
                <w:szCs w:val="18"/>
              </w:rPr>
              <w:t xml:space="preserve"> </w:t>
            </w:r>
            <w:r w:rsidRPr="00497699">
              <w:rPr>
                <w:rFonts w:asciiTheme="minorHAnsi" w:eastAsia="Arial" w:hAnsiTheme="minorHAnsi" w:cs="Arial"/>
                <w:color w:val="231F20"/>
                <w:sz w:val="18"/>
                <w:szCs w:val="18"/>
              </w:rPr>
              <w:t>after</w:t>
            </w:r>
            <w:r w:rsidRPr="00497699">
              <w:rPr>
                <w:rFonts w:asciiTheme="minorHAnsi" w:eastAsia="Arial" w:hAnsiTheme="minorHAnsi" w:cs="Arial"/>
                <w:color w:val="231F20"/>
                <w:spacing w:val="19"/>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onset</w:t>
            </w:r>
            <w:r w:rsidRPr="00497699">
              <w:rPr>
                <w:rFonts w:asciiTheme="minorHAnsi" w:eastAsia="Arial" w:hAnsiTheme="minorHAnsi" w:cs="Arial"/>
                <w:color w:val="231F20"/>
                <w:spacing w:val="9"/>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sz w:val="18"/>
                <w:szCs w:val="18"/>
              </w:rPr>
              <w:t>joint</w:t>
            </w:r>
            <w:r w:rsidRPr="00497699">
              <w:rPr>
                <w:rFonts w:asciiTheme="minorHAnsi" w:eastAsia="Arial" w:hAnsiTheme="minorHAnsi" w:cs="Arial"/>
                <w:color w:val="231F20"/>
                <w:spacing w:val="31"/>
                <w:sz w:val="18"/>
                <w:szCs w:val="18"/>
              </w:rPr>
              <w:t xml:space="preserve"> </w:t>
            </w:r>
            <w:r w:rsidRPr="00497699">
              <w:rPr>
                <w:rFonts w:asciiTheme="minorHAnsi" w:eastAsia="Arial" w:hAnsiTheme="minorHAnsi" w:cs="Arial"/>
                <w:color w:val="231F20"/>
                <w:sz w:val="18"/>
                <w:szCs w:val="18"/>
              </w:rPr>
              <w:t>disease documented</w:t>
            </w:r>
            <w:r w:rsidRPr="00497699">
              <w:rPr>
                <w:rFonts w:asciiTheme="minorHAnsi" w:eastAsia="Arial" w:hAnsiTheme="minorHAnsi" w:cs="Arial"/>
                <w:color w:val="231F20"/>
                <w:spacing w:val="45"/>
                <w:sz w:val="18"/>
                <w:szCs w:val="18"/>
              </w:rPr>
              <w:t xml:space="preserve"> </w:t>
            </w:r>
            <w:r w:rsidRPr="00497699">
              <w:rPr>
                <w:rFonts w:asciiTheme="minorHAnsi" w:eastAsia="Arial" w:hAnsiTheme="minorHAnsi" w:cs="Arial"/>
                <w:color w:val="231F20"/>
                <w:sz w:val="18"/>
                <w:szCs w:val="18"/>
              </w:rPr>
              <w:t>by</w:t>
            </w:r>
            <w:r w:rsidRPr="00497699">
              <w:rPr>
                <w:rFonts w:asciiTheme="minorHAnsi" w:eastAsia="Arial" w:hAnsiTheme="minorHAnsi" w:cs="Arial"/>
                <w:color w:val="231F20"/>
                <w:spacing w:val="11"/>
                <w:sz w:val="18"/>
                <w:szCs w:val="18"/>
              </w:rPr>
              <w:t xml:space="preserve"> </w:t>
            </w:r>
            <w:r w:rsidRPr="00497699">
              <w:rPr>
                <w:rFonts w:asciiTheme="minorHAnsi" w:eastAsia="Arial" w:hAnsiTheme="minorHAnsi" w:cs="Arial"/>
                <w:color w:val="231F20"/>
                <w:sz w:val="18"/>
                <w:szCs w:val="18"/>
              </w:rPr>
              <w:t>physical</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examination</w:t>
            </w:r>
            <w:r w:rsidRPr="00497699">
              <w:rPr>
                <w:rFonts w:asciiTheme="minorHAnsi" w:eastAsia="Arial" w:hAnsiTheme="minorHAnsi" w:cs="Arial"/>
                <w:color w:val="231F20"/>
                <w:spacing w:val="15"/>
                <w:sz w:val="18"/>
                <w:szCs w:val="18"/>
              </w:rPr>
              <w:t xml:space="preserve"> </w:t>
            </w:r>
            <w:r w:rsidRPr="00497699">
              <w:rPr>
                <w:rFonts w:asciiTheme="minorHAnsi" w:eastAsia="Arial" w:hAnsiTheme="minorHAnsi" w:cs="Arial"/>
                <w:color w:val="231F20"/>
                <w:sz w:val="18"/>
                <w:szCs w:val="18"/>
              </w:rPr>
              <w:t>and</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plain</w:t>
            </w:r>
            <w:r w:rsidRPr="00497699">
              <w:rPr>
                <w:rFonts w:asciiTheme="minorHAnsi" w:eastAsia="Arial" w:hAnsiTheme="minorHAnsi" w:cs="Arial"/>
                <w:color w:val="231F20"/>
                <w:spacing w:val="13"/>
                <w:sz w:val="18"/>
                <w:szCs w:val="18"/>
              </w:rPr>
              <w:t xml:space="preserve"> </w:t>
            </w:r>
            <w:r w:rsidRPr="00497699">
              <w:rPr>
                <w:rFonts w:asciiTheme="minorHAnsi" w:eastAsia="Arial" w:hAnsiTheme="minorHAnsi" w:cs="Arial"/>
                <w:color w:val="231F20"/>
                <w:sz w:val="18"/>
                <w:szCs w:val="18"/>
              </w:rPr>
              <w:t>radiographs</w:t>
            </w:r>
            <w:r w:rsidRPr="00497699">
              <w:rPr>
                <w:rFonts w:asciiTheme="minorHAnsi" w:eastAsia="Arial" w:hAnsiTheme="minorHAnsi" w:cs="Arial"/>
                <w:color w:val="231F20"/>
                <w:spacing w:val="24"/>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a</w:t>
            </w:r>
            <w:r w:rsidRPr="00497699">
              <w:rPr>
                <w:rFonts w:asciiTheme="minorHAnsi" w:eastAsia="Arial" w:hAnsiTheme="minorHAnsi" w:cs="Arial"/>
                <w:color w:val="231F20"/>
                <w:spacing w:val="-3"/>
                <w:sz w:val="18"/>
                <w:szCs w:val="18"/>
              </w:rPr>
              <w:t>f</w:t>
            </w:r>
            <w:r w:rsidRPr="00497699">
              <w:rPr>
                <w:rFonts w:asciiTheme="minorHAnsi" w:eastAsia="Arial" w:hAnsiTheme="minorHAnsi" w:cs="Arial"/>
                <w:color w:val="231F20"/>
                <w:w w:val="105"/>
                <w:sz w:val="18"/>
                <w:szCs w:val="18"/>
              </w:rPr>
              <w:t xml:space="preserve">fected </w:t>
            </w:r>
            <w:r w:rsidRPr="00497699">
              <w:rPr>
                <w:rFonts w:asciiTheme="minorHAnsi" w:eastAsia="Arial" w:hAnsiTheme="minorHAnsi" w:cs="Arial"/>
                <w:color w:val="231F20"/>
                <w:w w:val="103"/>
                <w:sz w:val="18"/>
                <w:szCs w:val="18"/>
              </w:rPr>
              <w:t>joints</w:t>
            </w:r>
          </w:p>
        </w:tc>
      </w:tr>
      <w:tr w:rsidR="005E01A8" w:rsidRPr="00497699" w:rsidTr="00AF50AF">
        <w:trPr>
          <w:trHeight w:hRule="exact" w:val="471"/>
        </w:trPr>
        <w:tc>
          <w:tcPr>
            <w:tcW w:w="3119" w:type="dxa"/>
            <w:tcBorders>
              <w:top w:val="single" w:sz="32" w:space="0" w:color="FFFFFF"/>
              <w:left w:val="nil"/>
              <w:bottom w:val="single" w:sz="32" w:space="0" w:color="FFFFFF"/>
              <w:right w:val="single" w:sz="32" w:space="0" w:color="FFFFFF"/>
            </w:tcBorders>
            <w:shd w:val="clear" w:color="auto" w:fill="E6E7E8"/>
          </w:tcPr>
          <w:p w:rsidR="005E01A8" w:rsidRPr="00497699" w:rsidRDefault="005E01A8" w:rsidP="004B5AE5">
            <w:pPr>
              <w:spacing w:before="87" w:after="0"/>
              <w:ind w:left="120" w:right="-20"/>
              <w:rPr>
                <w:rFonts w:asciiTheme="minorHAnsi" w:eastAsia="Arial" w:hAnsiTheme="minorHAnsi" w:cs="Arial"/>
                <w:sz w:val="18"/>
                <w:szCs w:val="18"/>
              </w:rPr>
            </w:pPr>
            <w:r w:rsidRPr="00497699">
              <w:rPr>
                <w:rFonts w:asciiTheme="minorHAnsi" w:eastAsia="Arial" w:hAnsiTheme="minorHAnsi" w:cs="Arial"/>
                <w:color w:val="231F20"/>
                <w:sz w:val="18"/>
                <w:szCs w:val="18"/>
              </w:rPr>
              <w:t xml:space="preserve">Intermittent </w:t>
            </w:r>
            <w:r w:rsidRPr="00497699">
              <w:rPr>
                <w:rFonts w:asciiTheme="minorHAnsi" w:eastAsia="Arial" w:hAnsiTheme="minorHAnsi" w:cs="Arial"/>
                <w:color w:val="231F20"/>
                <w:spacing w:val="9"/>
                <w:sz w:val="18"/>
                <w:szCs w:val="18"/>
              </w:rPr>
              <w:t xml:space="preserve"> </w:t>
            </w:r>
            <w:r w:rsidRPr="00497699">
              <w:rPr>
                <w:rFonts w:asciiTheme="minorHAnsi" w:eastAsia="Arial" w:hAnsiTheme="minorHAnsi" w:cs="Arial"/>
                <w:color w:val="231F20"/>
                <w:w w:val="109"/>
                <w:sz w:val="18"/>
                <w:szCs w:val="18"/>
              </w:rPr>
              <w:t xml:space="preserve">(“periodic”) </w:t>
            </w:r>
            <w:r w:rsidRPr="00497699">
              <w:rPr>
                <w:rFonts w:asciiTheme="minorHAnsi" w:eastAsia="Arial" w:hAnsiTheme="minorHAnsi" w:cs="Arial"/>
                <w:color w:val="231F20"/>
                <w:w w:val="108"/>
                <w:sz w:val="18"/>
                <w:szCs w:val="18"/>
              </w:rPr>
              <w:t>p</w:t>
            </w:r>
            <w:r w:rsidRPr="00497699">
              <w:rPr>
                <w:rFonts w:asciiTheme="minorHAnsi" w:eastAsia="Arial" w:hAnsiTheme="minorHAnsi" w:cs="Arial"/>
                <w:color w:val="231F20"/>
                <w:spacing w:val="-3"/>
                <w:w w:val="108"/>
                <w:sz w:val="18"/>
                <w:szCs w:val="18"/>
              </w:rPr>
              <w:t>r</w:t>
            </w:r>
            <w:r w:rsidRPr="00497699">
              <w:rPr>
                <w:rFonts w:asciiTheme="minorHAnsi" w:eastAsia="Arial" w:hAnsiTheme="minorHAnsi" w:cs="Arial"/>
                <w:color w:val="231F20"/>
                <w:sz w:val="18"/>
                <w:szCs w:val="18"/>
              </w:rPr>
              <w:t>ophylaxis</w:t>
            </w:r>
          </w:p>
        </w:tc>
        <w:tc>
          <w:tcPr>
            <w:tcW w:w="6946" w:type="dxa"/>
            <w:tcBorders>
              <w:top w:val="single" w:sz="32" w:space="0" w:color="FFFFFF"/>
              <w:left w:val="single" w:sz="32" w:space="0" w:color="FFFFFF"/>
              <w:bottom w:val="single" w:sz="32" w:space="0" w:color="FFFFFF"/>
              <w:right w:val="nil"/>
            </w:tcBorders>
            <w:shd w:val="clear" w:color="auto" w:fill="E6E7E8"/>
          </w:tcPr>
          <w:p w:rsidR="005E01A8" w:rsidRPr="00497699" w:rsidRDefault="005E01A8" w:rsidP="004B5AE5">
            <w:pPr>
              <w:spacing w:before="87" w:after="0"/>
              <w:ind w:left="80" w:right="-20"/>
              <w:rPr>
                <w:rFonts w:asciiTheme="minorHAnsi" w:eastAsia="Arial" w:hAnsiTheme="minorHAnsi" w:cs="Arial"/>
                <w:sz w:val="18"/>
                <w:szCs w:val="18"/>
              </w:rPr>
            </w:pPr>
            <w:r w:rsidRPr="00497699">
              <w:rPr>
                <w:rFonts w:asciiTheme="minorHAnsi" w:eastAsia="Arial" w:hAnsiTheme="minorHAnsi" w:cs="Arial"/>
                <w:color w:val="231F20"/>
                <w:spacing w:val="-19"/>
                <w:sz w:val="18"/>
                <w:szCs w:val="18"/>
              </w:rPr>
              <w:t>T</w:t>
            </w:r>
            <w:r w:rsidRPr="00497699">
              <w:rPr>
                <w:rFonts w:asciiTheme="minorHAnsi" w:eastAsia="Arial" w:hAnsiTheme="minorHAnsi" w:cs="Arial"/>
                <w:color w:val="231F20"/>
                <w:spacing w:val="-6"/>
                <w:sz w:val="18"/>
                <w:szCs w:val="18"/>
              </w:rPr>
              <w:t>r</w:t>
            </w:r>
            <w:r w:rsidRPr="00497699">
              <w:rPr>
                <w:rFonts w:asciiTheme="minorHAnsi" w:eastAsia="Arial" w:hAnsiTheme="minorHAnsi" w:cs="Arial"/>
                <w:color w:val="231F20"/>
                <w:spacing w:val="-3"/>
                <w:sz w:val="18"/>
                <w:szCs w:val="18"/>
              </w:rPr>
              <w:t>eatmen</w:t>
            </w:r>
            <w:r w:rsidRPr="00497699">
              <w:rPr>
                <w:rFonts w:asciiTheme="minorHAnsi" w:eastAsia="Arial" w:hAnsiTheme="minorHAnsi" w:cs="Arial"/>
                <w:color w:val="231F20"/>
                <w:sz w:val="18"/>
                <w:szCs w:val="18"/>
              </w:rPr>
              <w:t>t</w:t>
            </w:r>
            <w:r w:rsidRPr="00497699">
              <w:rPr>
                <w:rFonts w:asciiTheme="minorHAnsi" w:eastAsia="Arial" w:hAnsiTheme="minorHAnsi" w:cs="Arial"/>
                <w:color w:val="231F20"/>
                <w:spacing w:val="15"/>
                <w:sz w:val="18"/>
                <w:szCs w:val="18"/>
              </w:rPr>
              <w:t xml:space="preserve"> </w:t>
            </w:r>
            <w:r w:rsidRPr="00497699">
              <w:rPr>
                <w:rFonts w:asciiTheme="minorHAnsi" w:eastAsia="Arial" w:hAnsiTheme="minorHAnsi" w:cs="Arial"/>
                <w:color w:val="231F20"/>
                <w:spacing w:val="-3"/>
                <w:sz w:val="18"/>
                <w:szCs w:val="18"/>
              </w:rPr>
              <w:t>give</w:t>
            </w:r>
            <w:r w:rsidRPr="00497699">
              <w:rPr>
                <w:rFonts w:asciiTheme="minorHAnsi" w:eastAsia="Arial" w:hAnsiTheme="minorHAnsi" w:cs="Arial"/>
                <w:color w:val="231F20"/>
                <w:sz w:val="18"/>
                <w:szCs w:val="18"/>
              </w:rPr>
              <w:t>n</w:t>
            </w:r>
            <w:r w:rsidRPr="00497699">
              <w:rPr>
                <w:rFonts w:asciiTheme="minorHAnsi" w:eastAsia="Arial" w:hAnsiTheme="minorHAnsi" w:cs="Arial"/>
                <w:color w:val="231F20"/>
                <w:spacing w:val="9"/>
                <w:sz w:val="18"/>
                <w:szCs w:val="18"/>
              </w:rPr>
              <w:t xml:space="preserve"> </w:t>
            </w:r>
            <w:r w:rsidRPr="00497699">
              <w:rPr>
                <w:rFonts w:asciiTheme="minorHAnsi" w:eastAsia="Arial" w:hAnsiTheme="minorHAnsi" w:cs="Arial"/>
                <w:color w:val="231F20"/>
                <w:spacing w:val="-3"/>
                <w:sz w:val="18"/>
                <w:szCs w:val="18"/>
              </w:rPr>
              <w:t>t</w:t>
            </w:r>
            <w:r w:rsidRPr="00497699">
              <w:rPr>
                <w:rFonts w:asciiTheme="minorHAnsi" w:eastAsia="Arial" w:hAnsiTheme="minorHAnsi" w:cs="Arial"/>
                <w:color w:val="231F20"/>
                <w:sz w:val="18"/>
                <w:szCs w:val="18"/>
              </w:rPr>
              <w:t>o</w:t>
            </w:r>
            <w:r w:rsidRPr="00497699">
              <w:rPr>
                <w:rFonts w:asciiTheme="minorHAnsi" w:eastAsia="Arial" w:hAnsiTheme="minorHAnsi" w:cs="Arial"/>
                <w:color w:val="231F20"/>
                <w:spacing w:val="20"/>
                <w:sz w:val="18"/>
                <w:szCs w:val="18"/>
              </w:rPr>
              <w:t xml:space="preserve"> </w:t>
            </w:r>
            <w:r w:rsidRPr="00497699">
              <w:rPr>
                <w:rFonts w:asciiTheme="minorHAnsi" w:eastAsia="Arial" w:hAnsiTheme="minorHAnsi" w:cs="Arial"/>
                <w:color w:val="231F20"/>
                <w:spacing w:val="-3"/>
                <w:sz w:val="18"/>
                <w:szCs w:val="18"/>
              </w:rPr>
              <w:t>p</w:t>
            </w:r>
            <w:r w:rsidRPr="00497699">
              <w:rPr>
                <w:rFonts w:asciiTheme="minorHAnsi" w:eastAsia="Arial" w:hAnsiTheme="minorHAnsi" w:cs="Arial"/>
                <w:color w:val="231F20"/>
                <w:spacing w:val="-6"/>
                <w:sz w:val="18"/>
                <w:szCs w:val="18"/>
              </w:rPr>
              <w:t>r</w:t>
            </w:r>
            <w:r w:rsidRPr="00497699">
              <w:rPr>
                <w:rFonts w:asciiTheme="minorHAnsi" w:eastAsia="Arial" w:hAnsiTheme="minorHAnsi" w:cs="Arial"/>
                <w:color w:val="231F20"/>
                <w:spacing w:val="-3"/>
                <w:sz w:val="18"/>
                <w:szCs w:val="18"/>
              </w:rPr>
              <w:t>even</w:t>
            </w:r>
            <w:r w:rsidRPr="00497699">
              <w:rPr>
                <w:rFonts w:asciiTheme="minorHAnsi" w:eastAsia="Arial" w:hAnsiTheme="minorHAnsi" w:cs="Arial"/>
                <w:color w:val="231F20"/>
                <w:sz w:val="18"/>
                <w:szCs w:val="18"/>
              </w:rPr>
              <w:t>t</w:t>
            </w:r>
            <w:r w:rsidRPr="00497699">
              <w:rPr>
                <w:rFonts w:asciiTheme="minorHAnsi" w:eastAsia="Arial" w:hAnsiTheme="minorHAnsi" w:cs="Arial"/>
                <w:color w:val="231F20"/>
                <w:spacing w:val="22"/>
                <w:sz w:val="18"/>
                <w:szCs w:val="18"/>
              </w:rPr>
              <w:t xml:space="preserve"> </w:t>
            </w:r>
            <w:r w:rsidRPr="00497699">
              <w:rPr>
                <w:rFonts w:asciiTheme="minorHAnsi" w:eastAsia="Arial" w:hAnsiTheme="minorHAnsi" w:cs="Arial"/>
                <w:color w:val="231F20"/>
                <w:spacing w:val="-3"/>
                <w:sz w:val="18"/>
                <w:szCs w:val="18"/>
              </w:rPr>
              <w:t>bleedin</w:t>
            </w:r>
            <w:r w:rsidRPr="00497699">
              <w:rPr>
                <w:rFonts w:asciiTheme="minorHAnsi" w:eastAsia="Arial" w:hAnsiTheme="minorHAnsi" w:cs="Arial"/>
                <w:color w:val="231F20"/>
                <w:sz w:val="18"/>
                <w:szCs w:val="18"/>
              </w:rPr>
              <w:t>g</w:t>
            </w:r>
            <w:r w:rsidRPr="00497699">
              <w:rPr>
                <w:rFonts w:asciiTheme="minorHAnsi" w:eastAsia="Arial" w:hAnsiTheme="minorHAnsi" w:cs="Arial"/>
                <w:color w:val="231F20"/>
                <w:spacing w:val="34"/>
                <w:sz w:val="18"/>
                <w:szCs w:val="18"/>
              </w:rPr>
              <w:t xml:space="preserve"> </w:t>
            </w:r>
            <w:r w:rsidRPr="00497699">
              <w:rPr>
                <w:rFonts w:asciiTheme="minorHAnsi" w:eastAsia="Arial" w:hAnsiTheme="minorHAnsi" w:cs="Arial"/>
                <w:color w:val="231F20"/>
                <w:spacing w:val="-3"/>
                <w:sz w:val="18"/>
                <w:szCs w:val="18"/>
              </w:rPr>
              <w:t>fo</w:t>
            </w:r>
            <w:r w:rsidRPr="00497699">
              <w:rPr>
                <w:rFonts w:asciiTheme="minorHAnsi" w:eastAsia="Arial" w:hAnsiTheme="minorHAnsi" w:cs="Arial"/>
                <w:color w:val="231F20"/>
                <w:sz w:val="18"/>
                <w:szCs w:val="18"/>
              </w:rPr>
              <w:t>r</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spacing w:val="-3"/>
                <w:sz w:val="18"/>
                <w:szCs w:val="18"/>
              </w:rPr>
              <w:t>period</w:t>
            </w:r>
            <w:r w:rsidRPr="00497699">
              <w:rPr>
                <w:rFonts w:asciiTheme="minorHAnsi" w:eastAsia="Arial" w:hAnsiTheme="minorHAnsi" w:cs="Arial"/>
                <w:color w:val="231F20"/>
                <w:sz w:val="18"/>
                <w:szCs w:val="18"/>
              </w:rPr>
              <w:t>s</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pacing w:val="-3"/>
                <w:sz w:val="18"/>
                <w:szCs w:val="18"/>
              </w:rPr>
              <w:t>no</w:t>
            </w:r>
            <w:r w:rsidRPr="00497699">
              <w:rPr>
                <w:rFonts w:asciiTheme="minorHAnsi" w:eastAsia="Arial" w:hAnsiTheme="minorHAnsi" w:cs="Arial"/>
                <w:color w:val="231F20"/>
                <w:sz w:val="18"/>
                <w:szCs w:val="18"/>
              </w:rPr>
              <w:t>t</w:t>
            </w:r>
            <w:r w:rsidRPr="00497699">
              <w:rPr>
                <w:rFonts w:asciiTheme="minorHAnsi" w:eastAsia="Arial" w:hAnsiTheme="minorHAnsi" w:cs="Arial"/>
                <w:color w:val="231F20"/>
                <w:spacing w:val="20"/>
                <w:sz w:val="18"/>
                <w:szCs w:val="18"/>
              </w:rPr>
              <w:t xml:space="preserve"> </w:t>
            </w:r>
            <w:r w:rsidRPr="00497699">
              <w:rPr>
                <w:rFonts w:asciiTheme="minorHAnsi" w:eastAsia="Arial" w:hAnsiTheme="minorHAnsi" w:cs="Arial"/>
                <w:color w:val="231F20"/>
                <w:spacing w:val="-3"/>
                <w:sz w:val="18"/>
                <w:szCs w:val="18"/>
              </w:rPr>
              <w:t>exceedin</w:t>
            </w:r>
            <w:r w:rsidRPr="00497699">
              <w:rPr>
                <w:rFonts w:asciiTheme="minorHAnsi" w:eastAsia="Arial" w:hAnsiTheme="minorHAnsi" w:cs="Arial"/>
                <w:color w:val="231F20"/>
                <w:sz w:val="18"/>
                <w:szCs w:val="18"/>
              </w:rPr>
              <w:t>g</w:t>
            </w:r>
            <w:r w:rsidRPr="00497699">
              <w:rPr>
                <w:rFonts w:asciiTheme="minorHAnsi" w:eastAsia="Arial" w:hAnsiTheme="minorHAnsi" w:cs="Arial"/>
                <w:color w:val="231F20"/>
                <w:spacing w:val="16"/>
                <w:sz w:val="18"/>
                <w:szCs w:val="18"/>
              </w:rPr>
              <w:t xml:space="preserve"> </w:t>
            </w:r>
            <w:r w:rsidRPr="00497699">
              <w:rPr>
                <w:rFonts w:asciiTheme="minorHAnsi" w:eastAsia="Arial" w:hAnsiTheme="minorHAnsi" w:cs="Arial"/>
                <w:color w:val="231F20"/>
                <w:spacing w:val="-3"/>
                <w:sz w:val="18"/>
                <w:szCs w:val="18"/>
              </w:rPr>
              <w:t>4</w:t>
            </w:r>
            <w:r w:rsidRPr="00497699">
              <w:rPr>
                <w:rFonts w:asciiTheme="minorHAnsi" w:eastAsia="Arial" w:hAnsiTheme="minorHAnsi" w:cs="Arial"/>
                <w:color w:val="231F20"/>
                <w:sz w:val="18"/>
                <w:szCs w:val="18"/>
              </w:rPr>
              <w:t xml:space="preserve">5 </w:t>
            </w:r>
            <w:r w:rsidRPr="00497699">
              <w:rPr>
                <w:rFonts w:asciiTheme="minorHAnsi" w:eastAsia="Arial" w:hAnsiTheme="minorHAnsi" w:cs="Arial"/>
                <w:color w:val="231F20"/>
                <w:spacing w:val="-3"/>
                <w:sz w:val="18"/>
                <w:szCs w:val="18"/>
              </w:rPr>
              <w:t>week</w:t>
            </w:r>
            <w:r w:rsidRPr="00497699">
              <w:rPr>
                <w:rFonts w:asciiTheme="minorHAnsi" w:eastAsia="Arial" w:hAnsiTheme="minorHAnsi" w:cs="Arial"/>
                <w:color w:val="231F20"/>
                <w:sz w:val="18"/>
                <w:szCs w:val="18"/>
              </w:rPr>
              <w:t>s</w:t>
            </w:r>
            <w:r w:rsidRPr="00497699">
              <w:rPr>
                <w:rFonts w:asciiTheme="minorHAnsi" w:eastAsia="Arial" w:hAnsiTheme="minorHAnsi" w:cs="Arial"/>
                <w:color w:val="231F20"/>
                <w:spacing w:val="-10"/>
                <w:sz w:val="18"/>
                <w:szCs w:val="18"/>
              </w:rPr>
              <w:t xml:space="preserve"> </w:t>
            </w:r>
            <w:r w:rsidRPr="00497699">
              <w:rPr>
                <w:rFonts w:asciiTheme="minorHAnsi" w:eastAsia="Arial" w:hAnsiTheme="minorHAnsi" w:cs="Arial"/>
                <w:color w:val="231F20"/>
                <w:spacing w:val="-3"/>
                <w:sz w:val="18"/>
                <w:szCs w:val="18"/>
              </w:rPr>
              <w:t>i</w:t>
            </w:r>
            <w:r w:rsidRPr="00497699">
              <w:rPr>
                <w:rFonts w:asciiTheme="minorHAnsi" w:eastAsia="Arial" w:hAnsiTheme="minorHAnsi" w:cs="Arial"/>
                <w:color w:val="231F20"/>
                <w:sz w:val="18"/>
                <w:szCs w:val="18"/>
              </w:rPr>
              <w:t>n</w:t>
            </w:r>
            <w:r w:rsidRPr="00497699">
              <w:rPr>
                <w:rFonts w:asciiTheme="minorHAnsi" w:eastAsia="Arial" w:hAnsiTheme="minorHAnsi" w:cs="Arial"/>
                <w:color w:val="231F20"/>
                <w:spacing w:val="3"/>
                <w:sz w:val="18"/>
                <w:szCs w:val="18"/>
              </w:rPr>
              <w:t xml:space="preserve"> </w:t>
            </w:r>
            <w:r w:rsidRPr="00497699">
              <w:rPr>
                <w:rFonts w:asciiTheme="minorHAnsi" w:eastAsia="Arial" w:hAnsiTheme="minorHAnsi" w:cs="Arial"/>
                <w:color w:val="231F20"/>
                <w:sz w:val="18"/>
                <w:szCs w:val="18"/>
              </w:rPr>
              <w:t>a</w:t>
            </w:r>
            <w:r w:rsidRPr="00497699">
              <w:rPr>
                <w:rFonts w:asciiTheme="minorHAnsi" w:eastAsia="Arial" w:hAnsiTheme="minorHAnsi" w:cs="Arial"/>
                <w:color w:val="231F20"/>
                <w:spacing w:val="-7"/>
                <w:sz w:val="18"/>
                <w:szCs w:val="18"/>
              </w:rPr>
              <w:t xml:space="preserve"> </w:t>
            </w:r>
            <w:r w:rsidRPr="00497699">
              <w:rPr>
                <w:rFonts w:asciiTheme="minorHAnsi" w:eastAsia="Arial" w:hAnsiTheme="minorHAnsi" w:cs="Arial"/>
                <w:color w:val="231F20"/>
                <w:spacing w:val="-3"/>
                <w:sz w:val="18"/>
                <w:szCs w:val="18"/>
              </w:rPr>
              <w:t>year</w:t>
            </w:r>
          </w:p>
        </w:tc>
      </w:tr>
    </w:tbl>
    <w:p w:rsidR="00E928C0" w:rsidRPr="00497699" w:rsidRDefault="00E928C0" w:rsidP="00E928C0">
      <w:pPr>
        <w:tabs>
          <w:tab w:val="left" w:pos="4120"/>
        </w:tabs>
        <w:spacing w:before="39" w:after="0" w:line="161" w:lineRule="exact"/>
        <w:ind w:left="284" w:right="-20" w:hanging="142"/>
        <w:rPr>
          <w:rStyle w:val="A8"/>
          <w:rFonts w:asciiTheme="minorHAnsi" w:eastAsia="Dotum" w:hAnsiTheme="minorHAnsi" w:cs="Avenir LT Std 55 Roman"/>
          <w:color w:val="221E1F"/>
          <w:sz w:val="16"/>
          <w:szCs w:val="16"/>
          <w:lang w:eastAsia="en-US"/>
        </w:rPr>
      </w:pPr>
      <w:r w:rsidRPr="00497699">
        <w:rPr>
          <w:rStyle w:val="A8"/>
          <w:rFonts w:asciiTheme="minorHAnsi" w:eastAsia="Dotum" w:hAnsiTheme="minorHAnsi" w:cs="Avenir LT Std 55 Roman"/>
          <w:color w:val="221E1F"/>
          <w:sz w:val="16"/>
          <w:szCs w:val="16"/>
          <w:lang w:eastAsia="en-US"/>
        </w:rPr>
        <w:t>* continuous is defined as the intent of treating for 52 weeks/year and receiving a minimum of an a priori defined frequency of                                              infusions for at least 45 weeks (85%) of the year under consideration.</w:t>
      </w:r>
    </w:p>
    <w:p w:rsidR="00E928C0" w:rsidRPr="00497699" w:rsidRDefault="00E928C0" w:rsidP="00E928C0">
      <w:pPr>
        <w:tabs>
          <w:tab w:val="left" w:pos="4120"/>
        </w:tabs>
        <w:spacing w:before="39" w:after="0" w:line="161" w:lineRule="exact"/>
        <w:ind w:left="142" w:right="-20"/>
        <w:rPr>
          <w:rStyle w:val="A8"/>
          <w:rFonts w:asciiTheme="minorHAnsi" w:eastAsia="Dotum" w:hAnsiTheme="minorHAnsi" w:cs="Avenir LT Std 55 Roman"/>
          <w:color w:val="221E1F"/>
          <w:sz w:val="16"/>
          <w:szCs w:val="16"/>
          <w:lang w:eastAsia="en-US"/>
        </w:rPr>
      </w:pPr>
      <w:r w:rsidRPr="00497699">
        <w:rPr>
          <w:rStyle w:val="A8"/>
          <w:rFonts w:asciiTheme="minorHAnsi" w:eastAsia="Dotum" w:hAnsiTheme="minorHAnsi" w:cs="Avenir LT Std 55 Roman"/>
          <w:color w:val="221E1F"/>
          <w:sz w:val="16"/>
          <w:szCs w:val="16"/>
          <w:lang w:eastAsia="en-US"/>
        </w:rPr>
        <w:t>**large joints = ankles, knees, hips, elbows and shoulders</w:t>
      </w:r>
    </w:p>
    <w:p w:rsidR="00E928C0" w:rsidRPr="00497699" w:rsidRDefault="00E928C0" w:rsidP="00E928C0">
      <w:pPr>
        <w:tabs>
          <w:tab w:val="left" w:pos="4120"/>
        </w:tabs>
        <w:spacing w:before="39" w:after="0" w:line="161" w:lineRule="exact"/>
        <w:ind w:left="142" w:right="-20"/>
        <w:rPr>
          <w:rStyle w:val="A8"/>
          <w:rFonts w:asciiTheme="minorHAnsi" w:eastAsia="Dotum" w:hAnsiTheme="minorHAnsi" w:cs="Avenir LT Std 55 Roman"/>
          <w:color w:val="221E1F"/>
          <w:sz w:val="16"/>
          <w:szCs w:val="16"/>
          <w:lang w:eastAsia="en-US"/>
        </w:rPr>
      </w:pPr>
    </w:p>
    <w:p w:rsidR="00E928C0" w:rsidRPr="00041ED2" w:rsidRDefault="00E928C0" w:rsidP="00041ED2">
      <w:pPr>
        <w:pStyle w:val="Heading4"/>
        <w:rPr>
          <w:rStyle w:val="A8"/>
          <w:rFonts w:eastAsia="Dotum"/>
          <w:color w:val="000000"/>
          <w:sz w:val="22"/>
        </w:rPr>
      </w:pPr>
      <w:r w:rsidRPr="00041ED2">
        <w:rPr>
          <w:rStyle w:val="A8"/>
          <w:rFonts w:eastAsia="Dotum"/>
          <w:color w:val="000000"/>
          <w:sz w:val="22"/>
        </w:rPr>
        <w:t>Administration and dosing schedules</w:t>
      </w: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1.6.9</w:t>
      </w:r>
      <w:r w:rsidRPr="00497699">
        <w:rPr>
          <w:rStyle w:val="A8"/>
          <w:rFonts w:asciiTheme="minorHAnsi" w:hAnsiTheme="minorHAnsi"/>
          <w:color w:val="221E1F"/>
          <w:sz w:val="22"/>
        </w:rPr>
        <w:tab/>
        <w:t xml:space="preserve">There are two prophylaxis protocols currently in use for which there is long-term data: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E928C0">
      <w:pPr>
        <w:pStyle w:val="Default"/>
        <w:numPr>
          <w:ilvl w:val="0"/>
          <w:numId w:val="33"/>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The Malmö protocol: 25-40 IU/kg per dose administered three times a week for those with haemophilia A, and twice a week for those with haemophilia B. </w:t>
      </w:r>
    </w:p>
    <w:p w:rsidR="00E928C0" w:rsidRPr="00497699" w:rsidRDefault="00E928C0" w:rsidP="00E928C0">
      <w:pPr>
        <w:pStyle w:val="Default"/>
        <w:numPr>
          <w:ilvl w:val="0"/>
          <w:numId w:val="33"/>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 xml:space="preserve">The Utrecht protocol: 15-30 IU/kg per dose administered three times a week for those with haemophilia A, and twice a week for those with haemophilia B.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1.6.10</w:t>
      </w:r>
      <w:r w:rsidRPr="00497699">
        <w:rPr>
          <w:rStyle w:val="A8"/>
          <w:rFonts w:asciiTheme="minorHAnsi" w:hAnsiTheme="minorHAnsi"/>
          <w:color w:val="221E1F"/>
          <w:sz w:val="22"/>
        </w:rPr>
        <w:tab/>
        <w:t xml:space="preserve">However, many different protocols are followed for prophylaxis, even within the same country, and the optimal regimen remains to be defined.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1.6.11</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New</w:t>
      </w:r>
      <w:proofErr w:type="gramEnd"/>
      <w:r w:rsidRPr="00497699">
        <w:rPr>
          <w:rStyle w:val="A8"/>
          <w:rFonts w:asciiTheme="minorHAnsi" w:hAnsiTheme="minorHAnsi"/>
          <w:color w:val="221E1F"/>
          <w:sz w:val="22"/>
        </w:rPr>
        <w:t xml:space="preserve"> long acting factor concentrates are likely to become available during the lifetime of this guideline. Available data suggest that prophylactic treatment with these agents, using a reduced frequency of administration, results in a similar reduction in annual bleeding rates as conventional prophylactic </w:t>
      </w:r>
      <w:r w:rsidR="0024116D">
        <w:rPr>
          <w:rStyle w:val="A8"/>
          <w:rFonts w:asciiTheme="minorHAnsi" w:hAnsiTheme="minorHAnsi"/>
          <w:color w:val="221E1F"/>
          <w:sz w:val="22"/>
        </w:rPr>
        <w:t>regimen</w:t>
      </w:r>
      <w:r w:rsidRPr="00497699">
        <w:rPr>
          <w:rStyle w:val="A8"/>
          <w:rFonts w:asciiTheme="minorHAnsi" w:hAnsiTheme="minorHAnsi"/>
          <w:color w:val="221E1F"/>
          <w:sz w:val="22"/>
        </w:rPr>
        <w:t>s with normal half-life factor concentrates.</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 xml:space="preserve">1.6.12 </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The</w:t>
      </w:r>
      <w:proofErr w:type="gramEnd"/>
      <w:r w:rsidRPr="00497699">
        <w:rPr>
          <w:rStyle w:val="A8"/>
          <w:rFonts w:asciiTheme="minorHAnsi" w:hAnsiTheme="minorHAnsi"/>
          <w:color w:val="221E1F"/>
          <w:sz w:val="22"/>
        </w:rPr>
        <w:t xml:space="preserve"> protocol should be individualised as much as possible, based on age, venous access, bleeding phenotype, pharmacokinetics, activity, and availability of clotting factor concentrates.</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1.6.13</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One</w:t>
      </w:r>
      <w:proofErr w:type="gramEnd"/>
      <w:r w:rsidRPr="00497699">
        <w:rPr>
          <w:rStyle w:val="A8"/>
          <w:rFonts w:asciiTheme="minorHAnsi" w:hAnsiTheme="minorHAnsi"/>
          <w:color w:val="221E1F"/>
          <w:sz w:val="22"/>
        </w:rPr>
        <w:t xml:space="preserve"> alternative option for the treatment of very young children is to start prophylaxis once a week and escalate depending on bleeding and venous access.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1.6.14</w:t>
      </w:r>
      <w:r w:rsidRPr="00497699">
        <w:rPr>
          <w:rStyle w:val="A8"/>
          <w:rFonts w:asciiTheme="minorHAnsi" w:hAnsiTheme="minorHAnsi"/>
          <w:color w:val="221E1F"/>
          <w:sz w:val="22"/>
        </w:rPr>
        <w:tab/>
        <w:t xml:space="preserve">Prophylaxis is best given in the morning to cover periods of activity.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1.6.15</w:t>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Prophylactic administration of clotting factor concentrates is advisable prior to engaging in activities with higher risk of injury. </w:t>
      </w:r>
      <w:r w:rsidRPr="00497699">
        <w:rPr>
          <w:rStyle w:val="A8"/>
          <w:rFonts w:asciiTheme="minorHAnsi" w:hAnsiTheme="minorHAnsi"/>
          <w:b/>
          <w:color w:val="221E1F"/>
          <w:sz w:val="22"/>
          <w:vertAlign w:val="superscript"/>
        </w:rPr>
        <w:t>[18</w:t>
      </w:r>
      <w:proofErr w:type="gramStart"/>
      <w:r w:rsidRPr="00497699">
        <w:rPr>
          <w:rStyle w:val="A8"/>
          <w:rFonts w:asciiTheme="minorHAnsi" w:hAnsiTheme="minorHAnsi"/>
          <w:b/>
          <w:color w:val="221E1F"/>
          <w:sz w:val="22"/>
          <w:vertAlign w:val="superscript"/>
        </w:rPr>
        <w:t>,34,35</w:t>
      </w:r>
      <w:proofErr w:type="gramEnd"/>
      <w:r w:rsidRPr="00497699">
        <w:rPr>
          <w:rStyle w:val="A8"/>
          <w:rFonts w:asciiTheme="minorHAnsi" w:hAnsiTheme="minorHAnsi"/>
          <w:b/>
          <w:color w:val="221E1F"/>
          <w:sz w:val="22"/>
          <w:vertAlign w:val="superscript"/>
        </w:rPr>
        <w:t>]</w:t>
      </w:r>
    </w:p>
    <w:p w:rsidR="00E928C0" w:rsidRPr="00497699" w:rsidRDefault="00E928C0" w:rsidP="00E928C0">
      <w:pPr>
        <w:autoSpaceDE w:val="0"/>
        <w:autoSpaceDN w:val="0"/>
        <w:adjustRightInd w:val="0"/>
        <w:spacing w:after="0"/>
        <w:ind w:right="557"/>
        <w:rPr>
          <w:rFonts w:asciiTheme="minorHAnsi" w:hAnsiTheme="minorHAnsi" w:cs="Arial"/>
          <w:color w:val="221E1F"/>
          <w:lang w:eastAsia="en-US"/>
        </w:rPr>
      </w:pPr>
    </w:p>
    <w:p w:rsidR="00E928C0" w:rsidRPr="00041ED2" w:rsidRDefault="00E928C0" w:rsidP="00041ED2">
      <w:pPr>
        <w:pStyle w:val="Heading3"/>
      </w:pPr>
      <w:bookmarkStart w:id="13" w:name="_Toc431484307"/>
      <w:r w:rsidRPr="00041ED2">
        <w:t>1.7 Home therapy</w:t>
      </w:r>
      <w:bookmarkEnd w:id="13"/>
      <w:r w:rsidRPr="00041ED2">
        <w:t xml:space="preserve"> </w:t>
      </w: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1.7.1</w:t>
      </w:r>
      <w:r w:rsidRPr="00497699">
        <w:rPr>
          <w:rStyle w:val="A8"/>
          <w:rFonts w:asciiTheme="minorHAnsi" w:hAnsiTheme="minorHAnsi"/>
          <w:color w:val="221E1F"/>
          <w:sz w:val="22"/>
        </w:rPr>
        <w:tab/>
        <w:t>Where appropriate and possible, persons with haemophilia should be managed in a home therapy setting. The decision to provide product for home therapy should take into account the likely frequency of administration of clotting factor and the likelihood of product expiry.</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1.7.2</w:t>
      </w:r>
      <w:r w:rsidRPr="00497699">
        <w:rPr>
          <w:rStyle w:val="A8"/>
          <w:rFonts w:asciiTheme="minorHAnsi" w:hAnsiTheme="minorHAnsi"/>
          <w:color w:val="221E1F"/>
          <w:sz w:val="22"/>
        </w:rPr>
        <w:tab/>
      </w:r>
      <w:r w:rsidRPr="00497699">
        <w:rPr>
          <w:rStyle w:val="A8"/>
          <w:rFonts w:asciiTheme="minorHAnsi" w:hAnsiTheme="minorHAnsi"/>
          <w:b/>
          <w:color w:val="221E1F"/>
          <w:sz w:val="22"/>
        </w:rPr>
        <w:t>Home therapy allows immediate access to clot</w:t>
      </w:r>
      <w:r w:rsidRPr="00497699">
        <w:rPr>
          <w:rStyle w:val="A8"/>
          <w:rFonts w:asciiTheme="minorHAnsi" w:hAnsiTheme="minorHAnsi"/>
          <w:b/>
          <w:color w:val="221E1F"/>
          <w:sz w:val="22"/>
        </w:rPr>
        <w:softHyphen/>
        <w:t xml:space="preserve">ting factor and hence optimal early treatment, resulting in decreased pain, dysfunction, and long-term disability and significantly decreased hospital admissions for complications. </w:t>
      </w:r>
      <w:r w:rsidRPr="00497699">
        <w:rPr>
          <w:rStyle w:val="A8"/>
          <w:rFonts w:asciiTheme="minorHAnsi" w:hAnsiTheme="minorHAnsi"/>
          <w:b/>
          <w:color w:val="221E1F"/>
          <w:sz w:val="22"/>
          <w:vertAlign w:val="superscript"/>
        </w:rPr>
        <w:t>[36</w:t>
      </w:r>
      <w:proofErr w:type="gramStart"/>
      <w:r w:rsidRPr="00497699">
        <w:rPr>
          <w:rStyle w:val="A8"/>
          <w:rFonts w:asciiTheme="minorHAnsi" w:hAnsiTheme="minorHAnsi"/>
          <w:b/>
          <w:color w:val="221E1F"/>
          <w:sz w:val="22"/>
          <w:vertAlign w:val="superscript"/>
        </w:rPr>
        <w:t>,37</w:t>
      </w:r>
      <w:proofErr w:type="gramEnd"/>
      <w:r w:rsidRPr="00497699">
        <w:rPr>
          <w:rStyle w:val="A8"/>
          <w:rFonts w:asciiTheme="minorHAnsi" w:hAnsiTheme="minorHAnsi"/>
          <w:b/>
          <w:color w:val="221E1F"/>
          <w:sz w:val="22"/>
          <w:vertAlign w:val="superscript"/>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1.7.3</w:t>
      </w:r>
      <w:r w:rsidRPr="00497699">
        <w:rPr>
          <w:rStyle w:val="A8"/>
          <w:rFonts w:asciiTheme="minorHAnsi" w:hAnsiTheme="minorHAnsi"/>
          <w:color w:val="221E1F"/>
          <w:sz w:val="22"/>
        </w:rPr>
        <w:tab/>
        <w:t xml:space="preserve">Further improvements in quality of life include greater freedom to travel and participate in physical activities, less absenteeism, and greater employment stability. </w:t>
      </w:r>
      <w:r w:rsidRPr="00497699">
        <w:rPr>
          <w:rStyle w:val="A8"/>
          <w:rFonts w:asciiTheme="minorHAnsi" w:hAnsiTheme="minorHAnsi"/>
          <w:color w:val="221E1F"/>
          <w:sz w:val="22"/>
          <w:vertAlign w:val="superscript"/>
        </w:rPr>
        <w:t>[38]</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lastRenderedPageBreak/>
        <w:t>1.7.4</w:t>
      </w:r>
      <w:r w:rsidRPr="00497699">
        <w:rPr>
          <w:rStyle w:val="A8"/>
          <w:rFonts w:asciiTheme="minorHAnsi" w:hAnsiTheme="minorHAnsi"/>
          <w:color w:val="221E1F"/>
          <w:sz w:val="22"/>
        </w:rPr>
        <w:tab/>
        <w:t xml:space="preserve">Home therapy is ideally achieved with clotting factor concentrates or other lyophilized products that are safe, can be stored in a domestic fridge, and are reconstituted easily.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1.7.5</w:t>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Home treatment must be supervised closely by the comprehensive care team and should only be initiated after adequate education and training. </w:t>
      </w:r>
      <w:r w:rsidRPr="00497699">
        <w:rPr>
          <w:rStyle w:val="A8"/>
          <w:rFonts w:asciiTheme="minorHAnsi" w:hAnsiTheme="minorHAnsi"/>
          <w:b/>
          <w:color w:val="221E1F"/>
          <w:sz w:val="22"/>
          <w:vertAlign w:val="superscript"/>
        </w:rPr>
        <w:t>[36</w:t>
      </w:r>
      <w:proofErr w:type="gramStart"/>
      <w:r w:rsidRPr="00497699">
        <w:rPr>
          <w:rStyle w:val="A8"/>
          <w:rFonts w:asciiTheme="minorHAnsi" w:hAnsiTheme="minorHAnsi"/>
          <w:b/>
          <w:color w:val="221E1F"/>
          <w:sz w:val="22"/>
          <w:vertAlign w:val="superscript"/>
        </w:rPr>
        <w:t>,37</w:t>
      </w:r>
      <w:proofErr w:type="gramEnd"/>
      <w:r w:rsidRPr="00497699">
        <w:rPr>
          <w:rStyle w:val="A8"/>
          <w:rFonts w:asciiTheme="minorHAnsi" w:hAnsiTheme="minorHAnsi"/>
          <w:b/>
          <w:color w:val="221E1F"/>
          <w:sz w:val="22"/>
          <w:vertAlign w:val="superscript"/>
        </w:rPr>
        <w:t>]</w:t>
      </w:r>
      <w:r w:rsidRPr="00497699">
        <w:rPr>
          <w:rStyle w:val="A8"/>
          <w:rFonts w:asciiTheme="minorHAnsi" w:hAnsiTheme="minorHAnsi"/>
          <w:color w:val="221E1F"/>
          <w:sz w:val="22"/>
          <w:vertAlign w:val="superscript"/>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1.7.6</w:t>
      </w:r>
      <w:r w:rsidRPr="00497699">
        <w:rPr>
          <w:rStyle w:val="A8"/>
          <w:rFonts w:asciiTheme="minorHAnsi" w:hAnsiTheme="minorHAnsi"/>
          <w:color w:val="221E1F"/>
          <w:sz w:val="22"/>
        </w:rPr>
        <w:tab/>
        <w:t>Teaching should focus on general knowledge of haemophilia; recognition of bleeds and common complications; first aid measures; dosage calcula</w:t>
      </w:r>
      <w:r w:rsidRPr="00497699">
        <w:rPr>
          <w:rStyle w:val="A8"/>
          <w:rFonts w:asciiTheme="minorHAnsi" w:hAnsiTheme="minorHAnsi"/>
          <w:color w:val="221E1F"/>
          <w:sz w:val="22"/>
        </w:rPr>
        <w:softHyphen/>
        <w:t xml:space="preserve">tion; preparation, storage, and administration of clotting factor concentrates; aseptic techniques; performing venipuncture (or access of central venous catheter); record keeping; proper storage and disposal of needles/sharps; and handling of blood spills. A certification program is helpful. </w:t>
      </w:r>
    </w:p>
    <w:p w:rsidR="00E928C0" w:rsidRPr="00497699" w:rsidRDefault="00E928C0" w:rsidP="00E928C0">
      <w:pPr>
        <w:pStyle w:val="Default"/>
        <w:spacing w:line="276" w:lineRule="auto"/>
        <w:ind w:left="1433" w:hanging="1320"/>
        <w:jc w:val="both"/>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1.7.7</w:t>
      </w:r>
      <w:r w:rsidRPr="00497699">
        <w:rPr>
          <w:rStyle w:val="A8"/>
          <w:rFonts w:asciiTheme="minorHAnsi" w:hAnsiTheme="minorHAnsi"/>
          <w:color w:val="221E1F"/>
          <w:sz w:val="22"/>
        </w:rPr>
        <w:tab/>
        <w:t xml:space="preserve">Patients or parents should keep bleed records using </w:t>
      </w:r>
      <w:r w:rsidR="00BB12A1">
        <w:rPr>
          <w:rStyle w:val="A8"/>
          <w:rFonts w:asciiTheme="minorHAnsi" w:hAnsiTheme="minorHAnsi"/>
          <w:color w:val="221E1F"/>
          <w:sz w:val="22"/>
        </w:rPr>
        <w:t>MyABDR</w:t>
      </w:r>
      <w:r w:rsidRPr="00497699">
        <w:rPr>
          <w:rStyle w:val="A8"/>
          <w:rFonts w:asciiTheme="minorHAnsi" w:hAnsiTheme="minorHAnsi"/>
          <w:color w:val="221E1F"/>
          <w:sz w:val="22"/>
        </w:rPr>
        <w:t xml:space="preserve"> that include date and site of bleeding, dosage and lot number of product used, and adverse effects.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1.7.8</w:t>
      </w:r>
      <w:r w:rsidRPr="00497699">
        <w:rPr>
          <w:rStyle w:val="A8"/>
          <w:rFonts w:asciiTheme="minorHAnsi" w:hAnsiTheme="minorHAnsi"/>
          <w:color w:val="221E1F"/>
          <w:sz w:val="22"/>
        </w:rPr>
        <w:tab/>
        <w:t xml:space="preserve">Infusion technique and bleed records should be reviewed and monitored at follow-up visits.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1.7.9</w:t>
      </w:r>
      <w:r w:rsidRPr="00497699">
        <w:rPr>
          <w:rStyle w:val="A8"/>
          <w:rFonts w:asciiTheme="minorHAnsi" w:hAnsiTheme="minorHAnsi"/>
          <w:color w:val="221E1F"/>
          <w:sz w:val="22"/>
        </w:rPr>
        <w:tab/>
        <w:t>Home care can be started with young children with adequate venous access and motivated family members who have undergone adequate training. Older children and teenagers can learn self-infu</w:t>
      </w:r>
      <w:r w:rsidRPr="00497699">
        <w:rPr>
          <w:rStyle w:val="A8"/>
          <w:rFonts w:asciiTheme="minorHAnsi" w:hAnsiTheme="minorHAnsi"/>
          <w:color w:val="221E1F"/>
          <w:sz w:val="22"/>
        </w:rPr>
        <w:softHyphen/>
        <w:t xml:space="preserve">sion with family support.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1.7.10</w:t>
      </w:r>
      <w:r w:rsidRPr="00497699">
        <w:rPr>
          <w:rStyle w:val="A8"/>
          <w:rFonts w:asciiTheme="minorHAnsi" w:hAnsiTheme="minorHAnsi"/>
          <w:color w:val="221E1F"/>
          <w:sz w:val="22"/>
        </w:rPr>
        <w:tab/>
      </w:r>
      <w:proofErr w:type="gramStart"/>
      <w:r w:rsidRPr="00497699">
        <w:rPr>
          <w:rStyle w:val="A8"/>
          <w:rFonts w:asciiTheme="minorHAnsi" w:hAnsiTheme="minorHAnsi"/>
          <w:b/>
          <w:color w:val="221E1F"/>
          <w:sz w:val="22"/>
        </w:rPr>
        <w:t>An</w:t>
      </w:r>
      <w:proofErr w:type="gramEnd"/>
      <w:r w:rsidRPr="00497699">
        <w:rPr>
          <w:rStyle w:val="A8"/>
          <w:rFonts w:asciiTheme="minorHAnsi" w:hAnsiTheme="minorHAnsi"/>
          <w:b/>
          <w:color w:val="221E1F"/>
          <w:sz w:val="22"/>
        </w:rPr>
        <w:t xml:space="preserve"> implanted venous access device (Port-A-Cath) can make injections much easier and may be required for administering prophylaxis in younger children.  </w:t>
      </w:r>
      <w:r w:rsidRPr="00497699">
        <w:rPr>
          <w:rStyle w:val="A8"/>
          <w:rFonts w:asciiTheme="minorHAnsi" w:hAnsiTheme="minorHAnsi"/>
          <w:b/>
          <w:color w:val="221E1F"/>
          <w:sz w:val="22"/>
          <w:vertAlign w:val="superscript"/>
        </w:rPr>
        <w:t>[39</w:t>
      </w:r>
      <w:proofErr w:type="gramStart"/>
      <w:r w:rsidRPr="00497699">
        <w:rPr>
          <w:rStyle w:val="A8"/>
          <w:rFonts w:asciiTheme="minorHAnsi" w:hAnsiTheme="minorHAnsi"/>
          <w:b/>
          <w:color w:val="221E1F"/>
          <w:sz w:val="22"/>
          <w:vertAlign w:val="superscript"/>
        </w:rPr>
        <w:t>,40</w:t>
      </w:r>
      <w:proofErr w:type="gramEnd"/>
      <w:r w:rsidRPr="00497699">
        <w:rPr>
          <w:rStyle w:val="A8"/>
          <w:rFonts w:asciiTheme="minorHAnsi" w:hAnsiTheme="minorHAnsi"/>
          <w:b/>
          <w:color w:val="221E1F"/>
          <w:sz w:val="22"/>
          <w:vertAlign w:val="superscript"/>
        </w:rPr>
        <w:t>]</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color w:val="221E1F"/>
          <w:sz w:val="22"/>
          <w:szCs w:val="28"/>
          <w:lang w:eastAsia="en-AU"/>
        </w:rPr>
      </w:pPr>
      <w:r w:rsidRPr="00497699">
        <w:rPr>
          <w:rStyle w:val="A8"/>
          <w:rFonts w:asciiTheme="minorHAnsi" w:hAnsiTheme="minorHAnsi"/>
          <w:color w:val="221E1F"/>
          <w:sz w:val="22"/>
        </w:rPr>
        <w:t>1.7.11</w:t>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However, the risks of surgery, local infection, and thrombosis associated with such devices need to be weighed against the advantages of starting intensive prophylaxis early.  </w:t>
      </w:r>
      <w:r w:rsidRPr="00497699">
        <w:rPr>
          <w:rStyle w:val="A8"/>
          <w:rFonts w:asciiTheme="minorHAnsi" w:hAnsiTheme="minorHAnsi"/>
          <w:b/>
          <w:color w:val="221E1F"/>
          <w:sz w:val="22"/>
          <w:vertAlign w:val="superscript"/>
        </w:rPr>
        <w:t>[41</w:t>
      </w:r>
      <w:proofErr w:type="gramStart"/>
      <w:r w:rsidRPr="00497699">
        <w:rPr>
          <w:rStyle w:val="A8"/>
          <w:rFonts w:asciiTheme="minorHAnsi" w:hAnsiTheme="minorHAnsi"/>
          <w:b/>
          <w:color w:val="221E1F"/>
          <w:sz w:val="22"/>
          <w:vertAlign w:val="superscript"/>
        </w:rPr>
        <w:t>,42</w:t>
      </w:r>
      <w:proofErr w:type="gramEnd"/>
      <w:r w:rsidRPr="00497699">
        <w:rPr>
          <w:rStyle w:val="A8"/>
          <w:rFonts w:asciiTheme="minorHAnsi" w:hAnsiTheme="minorHAnsi"/>
          <w:b/>
          <w:color w:val="221E1F"/>
          <w:sz w:val="22"/>
          <w:vertAlign w:val="superscript"/>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1.7.12</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The</w:t>
      </w:r>
      <w:proofErr w:type="gramEnd"/>
      <w:r w:rsidRPr="00497699">
        <w:rPr>
          <w:rStyle w:val="A8"/>
          <w:rFonts w:asciiTheme="minorHAnsi" w:hAnsiTheme="minorHAnsi"/>
          <w:color w:val="221E1F"/>
          <w:sz w:val="22"/>
        </w:rPr>
        <w:t xml:space="preserve"> venous access device must be kept scrupu</w:t>
      </w:r>
      <w:r w:rsidRPr="00497699">
        <w:rPr>
          <w:rStyle w:val="A8"/>
          <w:rFonts w:asciiTheme="minorHAnsi" w:hAnsiTheme="minorHAnsi"/>
          <w:color w:val="221E1F"/>
          <w:sz w:val="22"/>
        </w:rPr>
        <w:softHyphen/>
        <w:t xml:space="preserve">lously clean and be adequately flushed after each administration to prevent clot formation. </w:t>
      </w:r>
      <w:r w:rsidRPr="00497699">
        <w:rPr>
          <w:rStyle w:val="A8"/>
          <w:rFonts w:asciiTheme="minorHAnsi" w:hAnsiTheme="minorHAnsi"/>
          <w:color w:val="221E1F"/>
          <w:sz w:val="22"/>
          <w:vertAlign w:val="superscript"/>
        </w:rPr>
        <w:t>[41]</w:t>
      </w:r>
    </w:p>
    <w:p w:rsidR="00E928C0" w:rsidRPr="00497699" w:rsidRDefault="00E928C0" w:rsidP="00E928C0">
      <w:pPr>
        <w:autoSpaceDE w:val="0"/>
        <w:autoSpaceDN w:val="0"/>
        <w:adjustRightInd w:val="0"/>
        <w:spacing w:after="66"/>
        <w:ind w:left="567" w:right="557"/>
        <w:rPr>
          <w:rFonts w:asciiTheme="minorHAnsi" w:hAnsiTheme="minorHAnsi" w:cs="Arial"/>
          <w:color w:val="221E1F"/>
          <w:lang w:eastAsia="en-US"/>
        </w:rPr>
      </w:pPr>
    </w:p>
    <w:p w:rsidR="00E928C0" w:rsidRPr="00041ED2" w:rsidRDefault="00E928C0" w:rsidP="00041ED2">
      <w:pPr>
        <w:pStyle w:val="Heading3"/>
      </w:pPr>
      <w:bookmarkStart w:id="14" w:name="_Toc431484308"/>
      <w:r w:rsidRPr="00041ED2">
        <w:t>1.8 Monitoring health status and outcome</w:t>
      </w:r>
      <w:bookmarkEnd w:id="14"/>
      <w:r w:rsidRPr="00041ED2">
        <w:t xml:space="preserve"> </w:t>
      </w: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1.8.1</w:t>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Regular standardised evaluation at least every 12 months allows longitudinal assessment for individual patients and can identify new or potential problems in their early stages so that treatment plans can be modified.  </w:t>
      </w:r>
      <w:r w:rsidRPr="00497699">
        <w:rPr>
          <w:rStyle w:val="A8"/>
          <w:rFonts w:asciiTheme="minorHAnsi" w:hAnsiTheme="minorHAnsi"/>
          <w:b/>
          <w:color w:val="221E1F"/>
          <w:sz w:val="22"/>
          <w:vertAlign w:val="superscript"/>
        </w:rPr>
        <w:t>[14</w:t>
      </w:r>
      <w:proofErr w:type="gramStart"/>
      <w:r w:rsidRPr="00497699">
        <w:rPr>
          <w:rStyle w:val="A8"/>
          <w:rFonts w:asciiTheme="minorHAnsi" w:hAnsiTheme="minorHAnsi"/>
          <w:b/>
          <w:color w:val="221E1F"/>
          <w:sz w:val="22"/>
          <w:vertAlign w:val="superscript"/>
        </w:rPr>
        <w:t>,26,43</w:t>
      </w:r>
      <w:proofErr w:type="gramEnd"/>
      <w:r w:rsidRPr="00497699">
        <w:rPr>
          <w:rStyle w:val="A8"/>
          <w:rFonts w:asciiTheme="minorHAnsi" w:hAnsiTheme="minorHAnsi"/>
          <w:b/>
          <w:color w:val="221E1F"/>
          <w:sz w:val="22"/>
          <w:vertAlign w:val="superscript"/>
        </w:rPr>
        <w:t>]</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1.8.2</w:t>
      </w:r>
      <w:r w:rsidRPr="00497699">
        <w:rPr>
          <w:rStyle w:val="A8"/>
          <w:rFonts w:asciiTheme="minorHAnsi" w:hAnsiTheme="minorHAnsi"/>
          <w:color w:val="221E1F"/>
          <w:sz w:val="22"/>
        </w:rPr>
        <w:tab/>
        <w:t xml:space="preserve">Patients should be seen by the multidisciplinary care team after every severe bleeding episode.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1.8.3</w:t>
      </w:r>
      <w:r w:rsidRPr="00497699">
        <w:rPr>
          <w:rStyle w:val="A8"/>
          <w:rFonts w:asciiTheme="minorHAnsi" w:hAnsiTheme="minorHAnsi"/>
          <w:color w:val="221E1F"/>
          <w:sz w:val="22"/>
        </w:rPr>
        <w:tab/>
        <w:t xml:space="preserve">The following should be evaluated and education should be reviewed and reinforced: </w:t>
      </w:r>
    </w:p>
    <w:p w:rsidR="00E928C0" w:rsidRPr="00497699" w:rsidRDefault="00E928C0" w:rsidP="00E928C0">
      <w:pPr>
        <w:pStyle w:val="Default"/>
        <w:spacing w:line="276" w:lineRule="auto"/>
        <w:ind w:left="1701"/>
        <w:jc w:val="both"/>
        <w:rPr>
          <w:rStyle w:val="A8"/>
          <w:rFonts w:asciiTheme="minorHAnsi" w:hAnsiTheme="minorHAnsi"/>
          <w:color w:val="221E1F"/>
          <w:sz w:val="22"/>
        </w:rPr>
      </w:pPr>
    </w:p>
    <w:p w:rsidR="00E928C0" w:rsidRPr="00497699" w:rsidRDefault="00E928C0" w:rsidP="00041ED2">
      <w:pPr>
        <w:pStyle w:val="Default"/>
        <w:numPr>
          <w:ilvl w:val="0"/>
          <w:numId w:val="37"/>
        </w:numPr>
        <w:spacing w:line="276" w:lineRule="auto"/>
        <w:ind w:left="1701" w:hanging="284"/>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issues related to venous access </w:t>
      </w:r>
    </w:p>
    <w:p w:rsidR="00E928C0" w:rsidRPr="00497699" w:rsidRDefault="00E928C0" w:rsidP="00041ED2">
      <w:pPr>
        <w:pStyle w:val="Default"/>
        <w:numPr>
          <w:ilvl w:val="0"/>
          <w:numId w:val="37"/>
        </w:numPr>
        <w:spacing w:line="276" w:lineRule="auto"/>
        <w:ind w:left="1701" w:hanging="284"/>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issues related to haemostasis (bleed record) </w:t>
      </w:r>
    </w:p>
    <w:p w:rsidR="00E928C0" w:rsidRPr="00497699" w:rsidRDefault="00E928C0" w:rsidP="00041ED2">
      <w:pPr>
        <w:pStyle w:val="Default"/>
        <w:numPr>
          <w:ilvl w:val="0"/>
          <w:numId w:val="37"/>
        </w:numPr>
        <w:spacing w:line="276" w:lineRule="auto"/>
        <w:ind w:left="1701" w:hanging="284"/>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lastRenderedPageBreak/>
        <w:t xml:space="preserve">use of products for replacement therapy and the response to them </w:t>
      </w:r>
    </w:p>
    <w:p w:rsidR="00E928C0" w:rsidRPr="00497699" w:rsidRDefault="00E928C0" w:rsidP="00041ED2">
      <w:pPr>
        <w:pStyle w:val="Default"/>
        <w:numPr>
          <w:ilvl w:val="0"/>
          <w:numId w:val="37"/>
        </w:numPr>
        <w:spacing w:line="276" w:lineRule="auto"/>
        <w:ind w:left="1701" w:hanging="284"/>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musculoskeletal status: impairment and function through clinical assessment of joints and muscles, and radiological evaluation annually or as indicate</w:t>
      </w:r>
      <w:r w:rsidR="00C83A3F">
        <w:rPr>
          <w:rStyle w:val="A8"/>
          <w:rFonts w:asciiTheme="minorHAnsi" w:hAnsiTheme="minorHAnsi"/>
          <w:color w:val="221E1F"/>
          <w:sz w:val="22"/>
        </w:rPr>
        <w:t xml:space="preserve">d (see ‘Musculoskeletal </w:t>
      </w:r>
      <w:r w:rsidRPr="00497699">
        <w:rPr>
          <w:rStyle w:val="A8"/>
          <w:rFonts w:asciiTheme="minorHAnsi" w:hAnsiTheme="minorHAnsi"/>
          <w:color w:val="221E1F"/>
          <w:sz w:val="22"/>
        </w:rPr>
        <w:t>complications’,</w:t>
      </w:r>
      <w:r>
        <w:rPr>
          <w:rStyle w:val="A8"/>
          <w:rFonts w:asciiTheme="minorHAnsi" w:hAnsiTheme="minorHAnsi"/>
          <w:color w:val="221E1F"/>
          <w:sz w:val="22"/>
        </w:rPr>
        <w:t xml:space="preserve"> section 6.1</w:t>
      </w:r>
      <w:r w:rsidRPr="00497699">
        <w:rPr>
          <w:rStyle w:val="A8"/>
          <w:rFonts w:asciiTheme="minorHAnsi" w:hAnsiTheme="minorHAnsi"/>
          <w:color w:val="221E1F"/>
          <w:sz w:val="22"/>
        </w:rPr>
        <w:t xml:space="preserve">) </w:t>
      </w:r>
    </w:p>
    <w:p w:rsidR="00E928C0" w:rsidRPr="00497699" w:rsidRDefault="00E928C0" w:rsidP="00041ED2">
      <w:pPr>
        <w:pStyle w:val="Default"/>
        <w:numPr>
          <w:ilvl w:val="0"/>
          <w:numId w:val="37"/>
        </w:numPr>
        <w:spacing w:line="276" w:lineRule="auto"/>
        <w:ind w:left="1701" w:hanging="284"/>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transfusion-transmitted infections: commonly HIV, H</w:t>
      </w:r>
      <w:r w:rsidR="00C83A3F">
        <w:rPr>
          <w:rStyle w:val="A8"/>
          <w:rFonts w:asciiTheme="minorHAnsi" w:hAnsiTheme="minorHAnsi"/>
          <w:color w:val="221E1F"/>
          <w:sz w:val="22"/>
        </w:rPr>
        <w:t>CV, and HBV, and others if</w:t>
      </w:r>
      <w:r w:rsidRPr="00497699">
        <w:rPr>
          <w:rStyle w:val="A8"/>
          <w:rFonts w:asciiTheme="minorHAnsi" w:hAnsiTheme="minorHAnsi"/>
          <w:color w:val="221E1F"/>
          <w:sz w:val="22"/>
        </w:rPr>
        <w:t xml:space="preserve"> indicated (see ‘Transfusion-transmitted and other infection-related complications’, </w:t>
      </w:r>
      <w:r>
        <w:rPr>
          <w:rStyle w:val="A8"/>
          <w:rFonts w:asciiTheme="minorHAnsi" w:hAnsiTheme="minorHAnsi"/>
          <w:color w:val="221E1F"/>
          <w:sz w:val="22"/>
        </w:rPr>
        <w:t>section 6.3</w:t>
      </w:r>
      <w:r w:rsidRPr="00497699">
        <w:rPr>
          <w:rStyle w:val="A8"/>
          <w:rFonts w:asciiTheme="minorHAnsi" w:hAnsiTheme="minorHAnsi"/>
          <w:color w:val="221E1F"/>
          <w:sz w:val="22"/>
        </w:rPr>
        <w:t xml:space="preserve">) </w:t>
      </w:r>
    </w:p>
    <w:p w:rsidR="00E928C0" w:rsidRPr="00497699" w:rsidRDefault="00E928C0" w:rsidP="00041ED2">
      <w:pPr>
        <w:pStyle w:val="Default"/>
        <w:numPr>
          <w:ilvl w:val="0"/>
          <w:numId w:val="37"/>
        </w:numPr>
        <w:spacing w:line="276" w:lineRule="auto"/>
        <w:ind w:left="1701" w:hanging="284"/>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development of inhibitors (see ‘Inhibitors’, </w:t>
      </w:r>
      <w:r>
        <w:rPr>
          <w:rStyle w:val="A8"/>
          <w:rFonts w:asciiTheme="minorHAnsi" w:hAnsiTheme="minorHAnsi"/>
          <w:color w:val="221E1F"/>
          <w:sz w:val="22"/>
        </w:rPr>
        <w:t>section 6.2</w:t>
      </w:r>
      <w:r w:rsidRPr="00497699">
        <w:rPr>
          <w:rStyle w:val="A8"/>
          <w:rFonts w:asciiTheme="minorHAnsi" w:hAnsiTheme="minorHAnsi"/>
          <w:color w:val="221E1F"/>
          <w:sz w:val="22"/>
        </w:rPr>
        <w:t xml:space="preserve">) </w:t>
      </w:r>
    </w:p>
    <w:p w:rsidR="00E928C0" w:rsidRPr="00497699" w:rsidRDefault="00E928C0" w:rsidP="00041ED2">
      <w:pPr>
        <w:pStyle w:val="Default"/>
        <w:numPr>
          <w:ilvl w:val="0"/>
          <w:numId w:val="37"/>
        </w:numPr>
        <w:spacing w:line="276" w:lineRule="auto"/>
        <w:ind w:left="1701" w:hanging="284"/>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overall psychosocial status </w:t>
      </w:r>
    </w:p>
    <w:p w:rsidR="00E928C0" w:rsidRPr="00497699" w:rsidRDefault="00E928C0" w:rsidP="00041ED2">
      <w:pPr>
        <w:pStyle w:val="Default"/>
        <w:numPr>
          <w:ilvl w:val="0"/>
          <w:numId w:val="37"/>
        </w:numPr>
        <w:spacing w:line="276" w:lineRule="auto"/>
        <w:ind w:left="1701" w:hanging="284"/>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dental/oral health </w:t>
      </w:r>
    </w:p>
    <w:p w:rsidR="00E928C0" w:rsidRPr="00497699" w:rsidRDefault="00E928C0" w:rsidP="00E928C0">
      <w:pPr>
        <w:pStyle w:val="Default"/>
        <w:spacing w:line="276" w:lineRule="auto"/>
        <w:ind w:left="1433" w:hanging="1320"/>
        <w:jc w:val="both"/>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1.8.4</w:t>
      </w:r>
      <w:r w:rsidRPr="00497699">
        <w:rPr>
          <w:rStyle w:val="A8"/>
          <w:rFonts w:asciiTheme="minorHAnsi" w:hAnsiTheme="minorHAnsi"/>
          <w:color w:val="221E1F"/>
          <w:sz w:val="22"/>
        </w:rPr>
        <w:tab/>
        <w:t xml:space="preserve">Several haemophilia-specific scores are available to measure joint impairment and function, including activities and participation. These include: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E928C0">
      <w:pPr>
        <w:pStyle w:val="Default"/>
        <w:numPr>
          <w:ilvl w:val="0"/>
          <w:numId w:val="38"/>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Impairment:</w:t>
      </w:r>
    </w:p>
    <w:p w:rsidR="00E928C0" w:rsidRPr="00497699" w:rsidRDefault="00E928C0" w:rsidP="00E928C0">
      <w:pPr>
        <w:pStyle w:val="Default"/>
        <w:numPr>
          <w:ilvl w:val="0"/>
          <w:numId w:val="39"/>
        </w:numPr>
        <w:spacing w:line="276" w:lineRule="auto"/>
        <w:ind w:left="1985" w:hanging="284"/>
        <w:rPr>
          <w:rStyle w:val="A8"/>
          <w:rFonts w:asciiTheme="minorHAnsi" w:hAnsiTheme="minorHAnsi"/>
          <w:color w:val="221E1F"/>
          <w:sz w:val="22"/>
        </w:rPr>
      </w:pPr>
      <w:r w:rsidRPr="00497699">
        <w:rPr>
          <w:rStyle w:val="A8"/>
          <w:rFonts w:asciiTheme="minorHAnsi" w:hAnsiTheme="minorHAnsi"/>
          <w:color w:val="221E1F"/>
          <w:sz w:val="22"/>
        </w:rPr>
        <w:t xml:space="preserve">Clinical: WFH Physical Examination Score (aka Gilbert score), Haemophilia Joint Health Score (HJHS) </w:t>
      </w:r>
    </w:p>
    <w:p w:rsidR="00E928C0" w:rsidRPr="00497699" w:rsidRDefault="00E928C0" w:rsidP="00E928C0">
      <w:pPr>
        <w:pStyle w:val="Default"/>
        <w:numPr>
          <w:ilvl w:val="0"/>
          <w:numId w:val="39"/>
        </w:numPr>
        <w:spacing w:line="276" w:lineRule="auto"/>
        <w:ind w:left="1985" w:hanging="284"/>
        <w:rPr>
          <w:rStyle w:val="A8"/>
          <w:rFonts w:asciiTheme="minorHAnsi" w:hAnsiTheme="minorHAnsi"/>
          <w:color w:val="221E1F"/>
          <w:sz w:val="22"/>
        </w:rPr>
      </w:pPr>
      <w:r w:rsidRPr="00497699">
        <w:rPr>
          <w:rStyle w:val="A8"/>
          <w:rFonts w:asciiTheme="minorHAnsi" w:hAnsiTheme="minorHAnsi"/>
          <w:color w:val="221E1F"/>
          <w:sz w:val="22"/>
        </w:rPr>
        <w:t xml:space="preserve">Radiological: Pettersson score, MRI, and ultrasound scores </w:t>
      </w:r>
    </w:p>
    <w:p w:rsidR="00E928C0" w:rsidRPr="00497699" w:rsidRDefault="00E928C0" w:rsidP="00E928C0">
      <w:pPr>
        <w:pStyle w:val="Default"/>
        <w:numPr>
          <w:ilvl w:val="0"/>
          <w:numId w:val="39"/>
        </w:numPr>
        <w:spacing w:line="276" w:lineRule="auto"/>
        <w:ind w:left="1985" w:hanging="284"/>
        <w:rPr>
          <w:rStyle w:val="A8"/>
          <w:rFonts w:asciiTheme="minorHAnsi" w:hAnsiTheme="minorHAnsi"/>
          <w:color w:val="221E1F"/>
          <w:sz w:val="22"/>
        </w:rPr>
      </w:pPr>
      <w:r w:rsidRPr="00497699">
        <w:rPr>
          <w:rStyle w:val="A8"/>
          <w:rFonts w:asciiTheme="minorHAnsi" w:hAnsiTheme="minorHAnsi"/>
          <w:color w:val="221E1F"/>
          <w:sz w:val="22"/>
        </w:rPr>
        <w:t xml:space="preserve">Activity: </w:t>
      </w:r>
      <w:r w:rsidR="0024116D">
        <w:rPr>
          <w:rStyle w:val="A8"/>
          <w:rFonts w:asciiTheme="minorHAnsi" w:hAnsiTheme="minorHAnsi"/>
          <w:color w:val="221E1F"/>
          <w:sz w:val="22"/>
        </w:rPr>
        <w:t>H</w:t>
      </w:r>
      <w:r w:rsidRPr="00497699">
        <w:rPr>
          <w:rStyle w:val="A8"/>
          <w:rFonts w:asciiTheme="minorHAnsi" w:hAnsiTheme="minorHAnsi"/>
          <w:color w:val="221E1F"/>
          <w:sz w:val="22"/>
        </w:rPr>
        <w:t xml:space="preserve">aemophilia Activities List (HAL), Paediatric Haemophilia Activities List (PedHAL), Functional Independence Score in Haemophilia (FISH) </w:t>
      </w:r>
    </w:p>
    <w:p w:rsidR="00E928C0" w:rsidRDefault="00E928C0" w:rsidP="00E928C0">
      <w:pPr>
        <w:pStyle w:val="Default"/>
        <w:numPr>
          <w:ilvl w:val="0"/>
          <w:numId w:val="38"/>
        </w:numPr>
        <w:spacing w:line="276" w:lineRule="auto"/>
        <w:ind w:left="1701" w:hanging="284"/>
        <w:rPr>
          <w:rStyle w:val="A8"/>
          <w:rFonts w:asciiTheme="minorHAnsi" w:hAnsiTheme="minorHAnsi"/>
          <w:color w:val="221E1F"/>
          <w:sz w:val="22"/>
        </w:rPr>
      </w:pPr>
      <w:r w:rsidRPr="00497699">
        <w:rPr>
          <w:rStyle w:val="A8"/>
          <w:rFonts w:asciiTheme="minorHAnsi" w:hAnsiTheme="minorHAnsi"/>
          <w:color w:val="221E1F"/>
          <w:sz w:val="22"/>
        </w:rPr>
        <w:t>Health-related quality of life: (HemoQol, Canadian Hemophilia Outcomes: Kids’ Life  Assessment Tool [CHO-KLAT]</w:t>
      </w:r>
      <w:r w:rsidR="00C83A3F">
        <w:rPr>
          <w:rStyle w:val="A8"/>
          <w:rFonts w:asciiTheme="minorHAnsi" w:hAnsiTheme="minorHAnsi"/>
          <w:color w:val="221E1F"/>
          <w:sz w:val="22"/>
        </w:rPr>
        <w:t>)</w:t>
      </w:r>
    </w:p>
    <w:p w:rsidR="00112035" w:rsidRDefault="00112035" w:rsidP="00112035">
      <w:pPr>
        <w:pStyle w:val="Default"/>
        <w:spacing w:line="276" w:lineRule="auto"/>
        <w:rPr>
          <w:rStyle w:val="A8"/>
          <w:rFonts w:asciiTheme="minorHAnsi" w:hAnsiTheme="minorHAnsi"/>
          <w:color w:val="221E1F"/>
          <w:sz w:val="22"/>
        </w:rPr>
      </w:pPr>
    </w:p>
    <w:p w:rsidR="00E928C0" w:rsidRPr="00497699" w:rsidRDefault="00E928C0" w:rsidP="00E928C0">
      <w:pPr>
        <w:pStyle w:val="Default"/>
        <w:spacing w:line="276" w:lineRule="auto"/>
        <w:ind w:left="1433"/>
        <w:jc w:val="both"/>
        <w:rPr>
          <w:rStyle w:val="A8"/>
          <w:rFonts w:asciiTheme="minorHAnsi" w:hAnsiTheme="minorHAnsi"/>
          <w:b/>
          <w:color w:val="221E1F"/>
          <w:sz w:val="22"/>
        </w:rPr>
      </w:pPr>
    </w:p>
    <w:p w:rsidR="00E928C0" w:rsidRPr="00497699" w:rsidRDefault="00E928C0" w:rsidP="00041ED2">
      <w:pPr>
        <w:spacing w:before="36" w:after="0" w:line="184" w:lineRule="exact"/>
        <w:ind w:left="0" w:right="-20"/>
        <w:rPr>
          <w:rStyle w:val="A8"/>
          <w:rFonts w:asciiTheme="minorHAnsi" w:eastAsia="Dotum" w:hAnsiTheme="minorHAnsi" w:cs="Avenir LT Std 55 Roman"/>
          <w:b/>
          <w:color w:val="221E1F"/>
          <w:sz w:val="22"/>
          <w:szCs w:val="24"/>
          <w:lang w:eastAsia="en-US"/>
        </w:rPr>
      </w:pPr>
      <w:r w:rsidRPr="00497699">
        <w:rPr>
          <w:rFonts w:asciiTheme="minorHAnsi" w:eastAsia="Arial" w:hAnsiTheme="minorHAnsi" w:cs="Arial"/>
          <w:b/>
          <w:color w:val="231F20"/>
          <w:spacing w:val="-13"/>
          <w:sz w:val="16"/>
          <w:szCs w:val="16"/>
        </w:rPr>
        <w:t xml:space="preserve"> </w:t>
      </w:r>
      <w:r w:rsidRPr="00497699">
        <w:rPr>
          <w:rStyle w:val="A8"/>
          <w:rFonts w:asciiTheme="minorHAnsi" w:eastAsia="Dotum" w:hAnsiTheme="minorHAnsi" w:cs="Avenir LT Std 55 Roman"/>
          <w:b/>
          <w:color w:val="221E1F"/>
          <w:sz w:val="22"/>
          <w:szCs w:val="24"/>
          <w:lang w:eastAsia="en-US"/>
        </w:rPr>
        <w:t>TABLE 1-5: OUTCOME MEASURES TO BE RECORDED IN THE ABDR</w:t>
      </w:r>
    </w:p>
    <w:tbl>
      <w:tblPr>
        <w:tblW w:w="8648" w:type="dxa"/>
        <w:tblLayout w:type="fixed"/>
        <w:tblCellMar>
          <w:left w:w="0" w:type="dxa"/>
          <w:right w:w="0" w:type="dxa"/>
        </w:tblCellMar>
        <w:tblLook w:val="01E0" w:firstRow="1" w:lastRow="1" w:firstColumn="1" w:lastColumn="1" w:noHBand="0" w:noVBand="0"/>
      </w:tblPr>
      <w:tblGrid>
        <w:gridCol w:w="4395"/>
        <w:gridCol w:w="4253"/>
      </w:tblGrid>
      <w:tr w:rsidR="00E928C0" w:rsidRPr="00497699" w:rsidTr="00041ED2">
        <w:trPr>
          <w:trHeight w:hRule="exact" w:val="456"/>
        </w:trPr>
        <w:tc>
          <w:tcPr>
            <w:tcW w:w="4395" w:type="dxa"/>
            <w:tcBorders>
              <w:top w:val="nil"/>
              <w:left w:val="nil"/>
              <w:bottom w:val="single" w:sz="32" w:space="0" w:color="FFFFFF"/>
              <w:right w:val="single" w:sz="32" w:space="0" w:color="FFFFFF"/>
            </w:tcBorders>
            <w:shd w:val="clear" w:color="auto" w:fill="E6E7E8"/>
          </w:tcPr>
          <w:p w:rsidR="00E928C0" w:rsidRPr="00497699" w:rsidRDefault="00E928C0" w:rsidP="002A1763">
            <w:pPr>
              <w:spacing w:after="0"/>
              <w:ind w:left="120" w:right="-20"/>
              <w:rPr>
                <w:rFonts w:asciiTheme="minorHAnsi" w:hAnsiTheme="minorHAnsi" w:cs="Arial"/>
                <w:sz w:val="18"/>
                <w:szCs w:val="18"/>
              </w:rPr>
            </w:pPr>
          </w:p>
          <w:p w:rsidR="00E928C0" w:rsidRPr="00497699" w:rsidRDefault="00E928C0" w:rsidP="002A1763">
            <w:pPr>
              <w:spacing w:after="0"/>
              <w:ind w:left="120" w:right="-20"/>
              <w:rPr>
                <w:rFonts w:asciiTheme="minorHAnsi" w:eastAsia="Arial" w:hAnsiTheme="minorHAnsi" w:cs="Arial"/>
                <w:sz w:val="18"/>
                <w:szCs w:val="18"/>
              </w:rPr>
            </w:pPr>
            <w:r w:rsidRPr="00497699">
              <w:rPr>
                <w:rFonts w:asciiTheme="minorHAnsi" w:hAnsiTheme="minorHAnsi" w:cs="Arial"/>
                <w:sz w:val="18"/>
                <w:szCs w:val="18"/>
              </w:rPr>
              <w:t>ESSENTIAL</w:t>
            </w:r>
          </w:p>
        </w:tc>
        <w:tc>
          <w:tcPr>
            <w:tcW w:w="4253" w:type="dxa"/>
            <w:tcBorders>
              <w:top w:val="nil"/>
              <w:left w:val="nil"/>
              <w:bottom w:val="single" w:sz="32" w:space="0" w:color="FFFFFF"/>
              <w:right w:val="single" w:sz="32" w:space="0" w:color="FFFFFF"/>
            </w:tcBorders>
            <w:shd w:val="clear" w:color="auto" w:fill="E6E7E8"/>
          </w:tcPr>
          <w:p w:rsidR="00E928C0" w:rsidRPr="00497699" w:rsidRDefault="00E928C0" w:rsidP="002A1763">
            <w:pPr>
              <w:spacing w:after="0"/>
              <w:ind w:left="120" w:right="-20"/>
              <w:rPr>
                <w:rFonts w:asciiTheme="minorHAnsi" w:hAnsiTheme="minorHAnsi" w:cs="Arial"/>
                <w:sz w:val="18"/>
                <w:szCs w:val="18"/>
              </w:rPr>
            </w:pPr>
          </w:p>
          <w:p w:rsidR="00E928C0" w:rsidRPr="00497699" w:rsidRDefault="00E928C0" w:rsidP="002A1763">
            <w:pPr>
              <w:spacing w:after="0"/>
              <w:ind w:left="120" w:right="-20"/>
              <w:rPr>
                <w:rFonts w:asciiTheme="minorHAnsi" w:hAnsiTheme="minorHAnsi" w:cs="Arial"/>
                <w:sz w:val="18"/>
                <w:szCs w:val="18"/>
              </w:rPr>
            </w:pPr>
            <w:r w:rsidRPr="00497699">
              <w:rPr>
                <w:rFonts w:asciiTheme="minorHAnsi" w:hAnsiTheme="minorHAnsi" w:cs="Arial"/>
                <w:sz w:val="18"/>
                <w:szCs w:val="18"/>
              </w:rPr>
              <w:t xml:space="preserve">DESIRABLE </w:t>
            </w:r>
          </w:p>
        </w:tc>
      </w:tr>
      <w:tr w:rsidR="00E928C0" w:rsidRPr="00497699" w:rsidTr="00041ED2">
        <w:trPr>
          <w:trHeight w:hRule="exact" w:val="860"/>
        </w:trPr>
        <w:tc>
          <w:tcPr>
            <w:tcW w:w="4395"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sz w:val="18"/>
                <w:szCs w:val="18"/>
              </w:rPr>
            </w:pPr>
            <w:r w:rsidRPr="00497699">
              <w:rPr>
                <w:rFonts w:asciiTheme="minorHAnsi" w:eastAsia="Arial" w:hAnsiTheme="minorHAnsi" w:cs="Arial"/>
                <w:color w:val="231F20"/>
                <w:sz w:val="18"/>
                <w:szCs w:val="18"/>
              </w:rPr>
              <w:t>Annualised bleeding rate</w:t>
            </w:r>
          </w:p>
        </w:tc>
        <w:tc>
          <w:tcPr>
            <w:tcW w:w="4253"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Pharmacokinetic measures</w:t>
            </w:r>
          </w:p>
        </w:tc>
      </w:tr>
      <w:tr w:rsidR="00E928C0" w:rsidRPr="00497699" w:rsidTr="00041ED2">
        <w:trPr>
          <w:trHeight w:hRule="exact" w:val="860"/>
        </w:trPr>
        <w:tc>
          <w:tcPr>
            <w:tcW w:w="4395"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Haemophilia Joint Health Score</w:t>
            </w:r>
          </w:p>
        </w:tc>
        <w:tc>
          <w:tcPr>
            <w:tcW w:w="4253"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Adverse events other than bleeds</w:t>
            </w:r>
          </w:p>
        </w:tc>
      </w:tr>
      <w:tr w:rsidR="00E928C0" w:rsidRPr="00497699" w:rsidTr="00041ED2">
        <w:trPr>
          <w:trHeight w:hRule="exact" w:val="1064"/>
        </w:trPr>
        <w:tc>
          <w:tcPr>
            <w:tcW w:w="4395"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All administered clotting factor concentrate – combined with weight this will allow the benchmarking parameter of usage summarised as (U/kg/year) to be calculated.</w:t>
            </w:r>
          </w:p>
        </w:tc>
        <w:tc>
          <w:tcPr>
            <w:tcW w:w="4253"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Details of immune tolerance treatment other than factor administration</w:t>
            </w:r>
          </w:p>
        </w:tc>
      </w:tr>
      <w:tr w:rsidR="00E928C0" w:rsidRPr="00497699" w:rsidTr="00041ED2">
        <w:trPr>
          <w:trHeight w:hRule="exact" w:val="860"/>
        </w:trPr>
        <w:tc>
          <w:tcPr>
            <w:tcW w:w="4395"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Weight (recorded at least every 6 months for paediatric patients and at least every 2 years for adult patients)</w:t>
            </w:r>
          </w:p>
        </w:tc>
        <w:tc>
          <w:tcPr>
            <w:tcW w:w="4253"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Radiological measures</w:t>
            </w:r>
          </w:p>
        </w:tc>
      </w:tr>
      <w:tr w:rsidR="00E928C0" w:rsidRPr="00497699" w:rsidTr="00041ED2">
        <w:trPr>
          <w:trHeight w:hRule="exact" w:val="860"/>
        </w:trPr>
        <w:tc>
          <w:tcPr>
            <w:tcW w:w="4395"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p>
        </w:tc>
        <w:tc>
          <w:tcPr>
            <w:tcW w:w="4253"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87" w:after="0"/>
              <w:ind w:left="120" w:right="-20"/>
              <w:rPr>
                <w:rFonts w:asciiTheme="minorHAnsi" w:eastAsia="Arial" w:hAnsiTheme="minorHAnsi" w:cs="Arial"/>
                <w:color w:val="231F20"/>
                <w:sz w:val="18"/>
                <w:szCs w:val="18"/>
              </w:rPr>
            </w:pPr>
            <w:r w:rsidRPr="00497699">
              <w:rPr>
                <w:rFonts w:asciiTheme="minorHAnsi" w:eastAsia="Arial" w:hAnsiTheme="minorHAnsi" w:cs="Arial"/>
                <w:color w:val="231F20"/>
                <w:sz w:val="18"/>
                <w:szCs w:val="18"/>
              </w:rPr>
              <w:t>Quality of life measures (Haem-A-QOL for adults and CHO</w:t>
            </w:r>
            <w:r w:rsidR="00C83A3F">
              <w:rPr>
                <w:rFonts w:asciiTheme="minorHAnsi" w:eastAsia="Arial" w:hAnsiTheme="minorHAnsi" w:cs="Arial"/>
                <w:color w:val="231F20"/>
                <w:sz w:val="18"/>
                <w:szCs w:val="18"/>
              </w:rPr>
              <w:t>-</w:t>
            </w:r>
            <w:r w:rsidRPr="00497699">
              <w:rPr>
                <w:rFonts w:asciiTheme="minorHAnsi" w:eastAsia="Arial" w:hAnsiTheme="minorHAnsi" w:cs="Arial"/>
                <w:color w:val="231F20"/>
                <w:sz w:val="18"/>
                <w:szCs w:val="18"/>
              </w:rPr>
              <w:t>KLAT for paediatric patients)</w:t>
            </w:r>
          </w:p>
        </w:tc>
      </w:tr>
    </w:tbl>
    <w:p w:rsidR="00E928C0" w:rsidRDefault="00E928C0" w:rsidP="00E928C0">
      <w:pPr>
        <w:pStyle w:val="Default"/>
        <w:spacing w:after="222"/>
        <w:ind w:left="-57" w:right="170"/>
        <w:jc w:val="both"/>
        <w:rPr>
          <w:rFonts w:asciiTheme="minorHAnsi" w:hAnsiTheme="minorHAnsi"/>
        </w:rPr>
      </w:pPr>
    </w:p>
    <w:p w:rsidR="00AF50AF" w:rsidRDefault="00AF50AF" w:rsidP="00E928C0">
      <w:pPr>
        <w:pStyle w:val="Default"/>
        <w:spacing w:after="222"/>
        <w:ind w:left="-57" w:right="170"/>
        <w:jc w:val="both"/>
        <w:rPr>
          <w:rFonts w:asciiTheme="minorHAnsi" w:hAnsiTheme="minorHAnsi"/>
        </w:rPr>
      </w:pPr>
    </w:p>
    <w:p w:rsidR="00AF50AF" w:rsidRDefault="00AF50AF" w:rsidP="00E928C0">
      <w:pPr>
        <w:pStyle w:val="Default"/>
        <w:spacing w:after="222"/>
        <w:ind w:left="-57" w:right="170"/>
        <w:jc w:val="both"/>
        <w:rPr>
          <w:rFonts w:asciiTheme="minorHAnsi" w:hAnsiTheme="minorHAnsi"/>
        </w:rPr>
      </w:pPr>
    </w:p>
    <w:p w:rsidR="00E928C0" w:rsidRPr="00041ED2" w:rsidRDefault="00E928C0" w:rsidP="00041ED2">
      <w:pPr>
        <w:pStyle w:val="Heading3"/>
      </w:pPr>
      <w:bookmarkStart w:id="15" w:name="_Toc431484309"/>
      <w:r w:rsidRPr="00041ED2">
        <w:rPr>
          <w:rStyle w:val="A8"/>
          <w:color w:val="FF0000"/>
        </w:rPr>
        <w:lastRenderedPageBreak/>
        <w:t xml:space="preserve">1.9 </w:t>
      </w:r>
      <w:r w:rsidRPr="00214A6A">
        <w:t>Pain management</w:t>
      </w:r>
      <w:bookmarkEnd w:id="15"/>
      <w:r w:rsidRPr="00214A6A">
        <w:t xml:space="preserve"> </w:t>
      </w: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1.9.1</w:t>
      </w:r>
      <w:r w:rsidRPr="00497699">
        <w:rPr>
          <w:rStyle w:val="A8"/>
          <w:rFonts w:asciiTheme="minorHAnsi" w:hAnsiTheme="minorHAnsi"/>
          <w:color w:val="221E1F"/>
          <w:sz w:val="22"/>
        </w:rPr>
        <w:tab/>
        <w:t xml:space="preserve">Acute and chronic pain </w:t>
      </w:r>
      <w:proofErr w:type="gramStart"/>
      <w:r w:rsidRPr="00497699">
        <w:rPr>
          <w:rStyle w:val="A8"/>
          <w:rFonts w:asciiTheme="minorHAnsi" w:hAnsiTheme="minorHAnsi"/>
          <w:color w:val="221E1F"/>
          <w:sz w:val="22"/>
        </w:rPr>
        <w:t>are</w:t>
      </w:r>
      <w:proofErr w:type="gramEnd"/>
      <w:r w:rsidRPr="00497699">
        <w:rPr>
          <w:rStyle w:val="A8"/>
          <w:rFonts w:asciiTheme="minorHAnsi" w:hAnsiTheme="minorHAnsi"/>
          <w:color w:val="221E1F"/>
          <w:sz w:val="22"/>
        </w:rPr>
        <w:t xml:space="preserve"> common in patients with haemophilia. Adequate assessment of the cause of pain is essential to guide proper management.</w:t>
      </w:r>
    </w:p>
    <w:p w:rsidR="00E928C0" w:rsidRPr="00041ED2" w:rsidRDefault="00E928C0" w:rsidP="00041ED2">
      <w:pPr>
        <w:pStyle w:val="Heading4"/>
        <w:rPr>
          <w:rStyle w:val="A8"/>
          <w:b w:val="0"/>
          <w:i w:val="0"/>
          <w:color w:val="000000"/>
          <w:sz w:val="22"/>
        </w:rPr>
      </w:pPr>
      <w:r w:rsidRPr="00041ED2">
        <w:rPr>
          <w:rStyle w:val="A8"/>
          <w:color w:val="000000"/>
          <w:sz w:val="22"/>
        </w:rPr>
        <w:t>Pain caused by venous access</w:t>
      </w: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1.9.2</w:t>
      </w:r>
      <w:r w:rsidRPr="00497699">
        <w:rPr>
          <w:rStyle w:val="A8"/>
          <w:rFonts w:asciiTheme="minorHAnsi" w:hAnsiTheme="minorHAnsi"/>
          <w:color w:val="221E1F"/>
          <w:sz w:val="22"/>
        </w:rPr>
        <w:tab/>
        <w:t>In general, no pain medication is given.</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1.9.3</w:t>
      </w:r>
      <w:r w:rsidRPr="00497699">
        <w:rPr>
          <w:rStyle w:val="A8"/>
          <w:rFonts w:asciiTheme="minorHAnsi" w:hAnsiTheme="minorHAnsi"/>
          <w:color w:val="221E1F"/>
          <w:sz w:val="22"/>
        </w:rPr>
        <w:tab/>
        <w:t>In some children, application of a local anaes</w:t>
      </w:r>
      <w:r w:rsidRPr="00497699">
        <w:rPr>
          <w:rStyle w:val="A8"/>
          <w:rFonts w:asciiTheme="minorHAnsi" w:hAnsiTheme="minorHAnsi"/>
          <w:color w:val="221E1F"/>
          <w:sz w:val="22"/>
        </w:rPr>
        <w:softHyphen/>
        <w:t>thetic spray or cream at the site of venous access</w:t>
      </w:r>
      <w:r>
        <w:rPr>
          <w:rStyle w:val="A8"/>
          <w:rFonts w:asciiTheme="minorHAnsi" w:hAnsiTheme="minorHAnsi"/>
          <w:color w:val="221E1F"/>
          <w:sz w:val="22"/>
        </w:rPr>
        <w:t>, or use of nitrous oxide gas</w:t>
      </w:r>
      <w:r w:rsidRPr="00497699">
        <w:rPr>
          <w:rStyle w:val="A8"/>
          <w:rFonts w:asciiTheme="minorHAnsi" w:hAnsiTheme="minorHAnsi"/>
          <w:color w:val="221E1F"/>
          <w:sz w:val="22"/>
        </w:rPr>
        <w:t xml:space="preserve"> may be helpful.</w:t>
      </w:r>
    </w:p>
    <w:p w:rsidR="00E928C0" w:rsidRPr="00041ED2" w:rsidRDefault="00E928C0" w:rsidP="00041ED2">
      <w:pPr>
        <w:pStyle w:val="Heading4"/>
        <w:rPr>
          <w:rStyle w:val="A8"/>
          <w:b w:val="0"/>
          <w:i w:val="0"/>
          <w:color w:val="000000"/>
          <w:sz w:val="22"/>
        </w:rPr>
      </w:pPr>
      <w:r w:rsidRPr="00041ED2">
        <w:rPr>
          <w:rStyle w:val="A8"/>
          <w:color w:val="000000"/>
          <w:sz w:val="22"/>
        </w:rPr>
        <w:t>Pain caused by joint or muscle bleeding</w:t>
      </w: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1.9.4</w:t>
      </w:r>
      <w:r w:rsidRPr="00497699">
        <w:rPr>
          <w:rStyle w:val="A8"/>
          <w:rFonts w:asciiTheme="minorHAnsi" w:hAnsiTheme="minorHAnsi"/>
          <w:color w:val="221E1F"/>
          <w:sz w:val="22"/>
        </w:rPr>
        <w:tab/>
        <w:t xml:space="preserve">While clotting factor concentrates should be administered as quickly as possible to stop bleeding, additional drugs are often needed for pain control (see Table 1-6: Strategies for pain management in patients with haemophilia).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1.9.5</w:t>
      </w:r>
      <w:r w:rsidRPr="00497699">
        <w:rPr>
          <w:rStyle w:val="A8"/>
          <w:rFonts w:asciiTheme="minorHAnsi" w:hAnsiTheme="minorHAnsi"/>
          <w:color w:val="221E1F"/>
          <w:sz w:val="22"/>
        </w:rPr>
        <w:tab/>
        <w:t>Other measures include cold packs, immobili</w:t>
      </w:r>
      <w:r w:rsidRPr="00497699">
        <w:rPr>
          <w:rStyle w:val="A8"/>
          <w:rFonts w:asciiTheme="minorHAnsi" w:hAnsiTheme="minorHAnsi"/>
          <w:color w:val="221E1F"/>
          <w:sz w:val="22"/>
        </w:rPr>
        <w:softHyphen/>
        <w:t xml:space="preserve">zation, splints, </w:t>
      </w:r>
      <w:r>
        <w:rPr>
          <w:rStyle w:val="A8"/>
          <w:rFonts w:asciiTheme="minorHAnsi" w:hAnsiTheme="minorHAnsi"/>
          <w:color w:val="221E1F"/>
          <w:sz w:val="22"/>
        </w:rPr>
        <w:t xml:space="preserve">compression bandages </w:t>
      </w:r>
      <w:r w:rsidRPr="00497699">
        <w:rPr>
          <w:rStyle w:val="A8"/>
          <w:rFonts w:asciiTheme="minorHAnsi" w:hAnsiTheme="minorHAnsi"/>
          <w:color w:val="221E1F"/>
          <w:sz w:val="22"/>
        </w:rPr>
        <w:t xml:space="preserve">and crutches. </w:t>
      </w:r>
      <w:r w:rsidRPr="00497699">
        <w:rPr>
          <w:rStyle w:val="A8"/>
          <w:rFonts w:asciiTheme="minorHAnsi" w:hAnsiTheme="minorHAnsi"/>
          <w:color w:val="221E1F"/>
          <w:sz w:val="22"/>
          <w:vertAlign w:val="superscript"/>
        </w:rPr>
        <w:t>[44]</w:t>
      </w:r>
    </w:p>
    <w:p w:rsidR="00E928C0" w:rsidRPr="00041ED2" w:rsidRDefault="00E928C0" w:rsidP="00AF50AF">
      <w:pPr>
        <w:pStyle w:val="Heading4"/>
        <w:rPr>
          <w:rStyle w:val="A8"/>
          <w:b w:val="0"/>
          <w:i w:val="0"/>
          <w:color w:val="000000"/>
          <w:sz w:val="22"/>
        </w:rPr>
      </w:pPr>
      <w:r w:rsidRPr="00041ED2">
        <w:rPr>
          <w:rStyle w:val="A8"/>
          <w:color w:val="000000"/>
          <w:sz w:val="22"/>
        </w:rPr>
        <w:t>Post-operative pain</w:t>
      </w: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1.9.6</w:t>
      </w:r>
      <w:r w:rsidRPr="00497699">
        <w:rPr>
          <w:rStyle w:val="A8"/>
          <w:rFonts w:asciiTheme="minorHAnsi" w:hAnsiTheme="minorHAnsi"/>
          <w:color w:val="221E1F"/>
          <w:sz w:val="22"/>
        </w:rPr>
        <w:tab/>
        <w:t>Intramuscular injection of analgesia should be avoided.</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1.9.7</w:t>
      </w:r>
      <w:r w:rsidRPr="00497699">
        <w:rPr>
          <w:rStyle w:val="A8"/>
          <w:rFonts w:asciiTheme="minorHAnsi" w:hAnsiTheme="minorHAnsi"/>
          <w:color w:val="221E1F"/>
          <w:sz w:val="22"/>
        </w:rPr>
        <w:tab/>
        <w:t>Post-operative pain should be managed in coor</w:t>
      </w:r>
      <w:r w:rsidRPr="00497699">
        <w:rPr>
          <w:rStyle w:val="A8"/>
          <w:rFonts w:asciiTheme="minorHAnsi" w:hAnsiTheme="minorHAnsi"/>
          <w:color w:val="221E1F"/>
          <w:sz w:val="22"/>
        </w:rPr>
        <w:softHyphen/>
        <w:t>dination with specialist acute pain services.</w:t>
      </w:r>
    </w:p>
    <w:p w:rsidR="00E928C0" w:rsidRPr="00497699" w:rsidRDefault="00E928C0" w:rsidP="00E928C0">
      <w:pPr>
        <w:pStyle w:val="Default"/>
        <w:spacing w:line="276" w:lineRule="auto"/>
        <w:ind w:left="1433" w:hanging="1320"/>
        <w:jc w:val="both"/>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1.9.8</w:t>
      </w:r>
      <w:r w:rsidRPr="00497699">
        <w:rPr>
          <w:rStyle w:val="A8"/>
          <w:rFonts w:asciiTheme="minorHAnsi" w:hAnsiTheme="minorHAnsi"/>
          <w:color w:val="221E1F"/>
          <w:sz w:val="22"/>
        </w:rPr>
        <w:tab/>
      </w:r>
      <w:r w:rsidRPr="00850EC0">
        <w:rPr>
          <w:rFonts w:asciiTheme="minorHAnsi" w:hAnsiTheme="minorHAnsi"/>
          <w:color w:val="221E1F"/>
          <w:sz w:val="22"/>
        </w:rPr>
        <w:t xml:space="preserve">If intravenous opioids are required fentanyl, morphine and other opioids may be </w:t>
      </w:r>
      <w:r>
        <w:rPr>
          <w:rFonts w:asciiTheme="minorHAnsi" w:hAnsiTheme="minorHAnsi"/>
          <w:color w:val="221E1F"/>
          <w:sz w:val="22"/>
        </w:rPr>
        <w:t>used. O</w:t>
      </w:r>
      <w:r w:rsidRPr="00850EC0">
        <w:rPr>
          <w:rFonts w:asciiTheme="minorHAnsi" w:hAnsiTheme="minorHAnsi"/>
          <w:color w:val="221E1F"/>
          <w:sz w:val="22"/>
        </w:rPr>
        <w:t>xycodone and tramadol should be used when pain is less severe and oral intake is possible. Codeine should be used with caution there is significant individual variation in its rate of metabolism to morphine.</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1.9.9</w:t>
      </w:r>
      <w:r w:rsidRPr="00497699">
        <w:rPr>
          <w:rStyle w:val="A8"/>
          <w:rFonts w:asciiTheme="minorHAnsi" w:hAnsiTheme="minorHAnsi"/>
          <w:color w:val="221E1F"/>
          <w:sz w:val="22"/>
        </w:rPr>
        <w:tab/>
      </w:r>
      <w:r>
        <w:rPr>
          <w:rStyle w:val="A8"/>
          <w:rFonts w:asciiTheme="minorHAnsi" w:hAnsiTheme="minorHAnsi"/>
          <w:color w:val="221E1F"/>
          <w:sz w:val="22"/>
        </w:rPr>
        <w:t xml:space="preserve">Regular early use of paracetamol is recommended as part of all analgesic </w:t>
      </w:r>
      <w:r w:rsidR="0024116D">
        <w:rPr>
          <w:rStyle w:val="A8"/>
          <w:rFonts w:asciiTheme="minorHAnsi" w:hAnsiTheme="minorHAnsi"/>
          <w:color w:val="221E1F"/>
          <w:sz w:val="22"/>
        </w:rPr>
        <w:t>regimen</w:t>
      </w:r>
      <w:r>
        <w:rPr>
          <w:rStyle w:val="A8"/>
          <w:rFonts w:asciiTheme="minorHAnsi" w:hAnsiTheme="minorHAnsi"/>
          <w:color w:val="221E1F"/>
          <w:sz w:val="22"/>
        </w:rPr>
        <w:t xml:space="preserve">s. </w:t>
      </w:r>
      <w:r w:rsidRPr="00497699">
        <w:rPr>
          <w:rStyle w:val="A8"/>
          <w:rFonts w:asciiTheme="minorHAnsi" w:hAnsiTheme="minorHAnsi"/>
          <w:color w:val="221E1F"/>
          <w:sz w:val="22"/>
        </w:rPr>
        <w:t xml:space="preserve"> </w:t>
      </w:r>
    </w:p>
    <w:p w:rsidR="00E928C0" w:rsidRPr="00041ED2" w:rsidRDefault="00E928C0" w:rsidP="00041ED2">
      <w:pPr>
        <w:pStyle w:val="Heading4"/>
        <w:rPr>
          <w:b w:val="0"/>
          <w:i w:val="0"/>
        </w:rPr>
      </w:pPr>
      <w:r w:rsidRPr="00041ED2">
        <w:rPr>
          <w:rStyle w:val="A8"/>
          <w:color w:val="000000"/>
          <w:sz w:val="22"/>
        </w:rPr>
        <w:t>Pain due to chronic haemophilic arthropathy</w:t>
      </w: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1.9.10</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Chronic</w:t>
      </w:r>
      <w:proofErr w:type="gramEnd"/>
      <w:r w:rsidRPr="00497699">
        <w:rPr>
          <w:rStyle w:val="A8"/>
          <w:rFonts w:asciiTheme="minorHAnsi" w:hAnsiTheme="minorHAnsi"/>
          <w:color w:val="221E1F"/>
          <w:sz w:val="22"/>
        </w:rPr>
        <w:t xml:space="preserve"> haemophilic arthropathy develops in patients who have not been adequately treated with clotting factor concentrates for joint bleeding.</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1.9.11</w:t>
      </w:r>
      <w:r w:rsidRPr="00497699">
        <w:rPr>
          <w:rStyle w:val="A8"/>
          <w:rFonts w:asciiTheme="minorHAnsi" w:hAnsiTheme="minorHAnsi"/>
          <w:color w:val="221E1F"/>
          <w:sz w:val="22"/>
        </w:rPr>
        <w:tab/>
      </w:r>
      <w:r w:rsidRPr="00497699">
        <w:rPr>
          <w:rStyle w:val="A8"/>
          <w:rFonts w:asciiTheme="minorHAnsi" w:hAnsiTheme="minorHAnsi"/>
          <w:b/>
          <w:color w:val="221E1F"/>
          <w:sz w:val="22"/>
        </w:rPr>
        <w:t>Treatment includes functional training, adap</w:t>
      </w:r>
      <w:r w:rsidRPr="00497699">
        <w:rPr>
          <w:rStyle w:val="A8"/>
          <w:rFonts w:asciiTheme="minorHAnsi" w:hAnsiTheme="minorHAnsi"/>
          <w:b/>
          <w:color w:val="221E1F"/>
          <w:sz w:val="22"/>
        </w:rPr>
        <w:softHyphen/>
        <w:t>tations, and adequate analgesia as suggested in Table 1-</w:t>
      </w:r>
      <w:r w:rsidR="00C83A3F">
        <w:rPr>
          <w:rStyle w:val="A8"/>
          <w:rFonts w:asciiTheme="minorHAnsi" w:hAnsiTheme="minorHAnsi"/>
          <w:b/>
          <w:color w:val="221E1F"/>
          <w:sz w:val="22"/>
        </w:rPr>
        <w:t>6</w:t>
      </w:r>
      <w:r w:rsidRPr="00497699">
        <w:rPr>
          <w:rStyle w:val="A8"/>
          <w:rFonts w:asciiTheme="minorHAnsi" w:hAnsiTheme="minorHAnsi"/>
          <w:b/>
          <w:color w:val="221E1F"/>
          <w:sz w:val="22"/>
        </w:rPr>
        <w:t xml:space="preserve">. </w:t>
      </w:r>
      <w:r w:rsidRPr="00497699">
        <w:rPr>
          <w:rStyle w:val="A8"/>
          <w:rFonts w:asciiTheme="minorHAnsi" w:hAnsiTheme="minorHAnsi"/>
          <w:b/>
          <w:color w:val="221E1F"/>
          <w:sz w:val="22"/>
          <w:vertAlign w:val="superscript"/>
        </w:rPr>
        <w:t>[15</w:t>
      </w:r>
      <w:proofErr w:type="gramStart"/>
      <w:r w:rsidRPr="00497699">
        <w:rPr>
          <w:rStyle w:val="A8"/>
          <w:rFonts w:asciiTheme="minorHAnsi" w:hAnsiTheme="minorHAnsi"/>
          <w:b/>
          <w:color w:val="221E1F"/>
          <w:sz w:val="22"/>
          <w:vertAlign w:val="superscript"/>
        </w:rPr>
        <w:t>,45</w:t>
      </w:r>
      <w:proofErr w:type="gramEnd"/>
      <w:r w:rsidRPr="00497699">
        <w:rPr>
          <w:rStyle w:val="A8"/>
          <w:rFonts w:asciiTheme="minorHAnsi" w:hAnsiTheme="minorHAnsi"/>
          <w:b/>
          <w:color w:val="221E1F"/>
          <w:sz w:val="22"/>
          <w:vertAlign w:val="superscript"/>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1.9.12</w:t>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COX-2 inhibitors have a greater role in this situation. </w:t>
      </w:r>
      <w:r w:rsidRPr="00497699">
        <w:rPr>
          <w:rStyle w:val="A8"/>
          <w:rFonts w:asciiTheme="minorHAnsi" w:hAnsiTheme="minorHAnsi"/>
          <w:b/>
          <w:color w:val="221E1F"/>
          <w:sz w:val="22"/>
          <w:vertAlign w:val="superscript"/>
        </w:rPr>
        <w:t>[46</w:t>
      </w:r>
      <w:proofErr w:type="gramStart"/>
      <w:r w:rsidRPr="00497699">
        <w:rPr>
          <w:rStyle w:val="A8"/>
          <w:rFonts w:asciiTheme="minorHAnsi" w:hAnsiTheme="minorHAnsi"/>
          <w:b/>
          <w:color w:val="221E1F"/>
          <w:sz w:val="22"/>
          <w:vertAlign w:val="superscript"/>
        </w:rPr>
        <w:t>,47</w:t>
      </w:r>
      <w:proofErr w:type="gramEnd"/>
      <w:r w:rsidRPr="00497699">
        <w:rPr>
          <w:rStyle w:val="A8"/>
          <w:rFonts w:asciiTheme="minorHAnsi" w:hAnsiTheme="minorHAnsi"/>
          <w:b/>
          <w:color w:val="221E1F"/>
          <w:sz w:val="22"/>
          <w:vertAlign w:val="superscript"/>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E928C0">
      <w:pPr>
        <w:pStyle w:val="Default"/>
        <w:spacing w:line="276" w:lineRule="auto"/>
        <w:ind w:left="1417"/>
        <w:rPr>
          <w:rStyle w:val="A8"/>
          <w:rFonts w:asciiTheme="minorHAnsi" w:hAnsiTheme="minorHAnsi"/>
          <w:color w:val="221E1F"/>
          <w:sz w:val="22"/>
        </w:rPr>
      </w:pPr>
      <w:r w:rsidRPr="00497699">
        <w:rPr>
          <w:rStyle w:val="A8"/>
          <w:rFonts w:asciiTheme="minorHAnsi" w:hAnsiTheme="minorHAnsi"/>
          <w:color w:val="221E1F"/>
          <w:sz w:val="22"/>
        </w:rPr>
        <w:t xml:space="preserve">A systematic review was performed to evaluate the efficacy and safety of COX-2 inhibitors in patients </w:t>
      </w:r>
      <w:r>
        <w:rPr>
          <w:rStyle w:val="A8"/>
          <w:rFonts w:asciiTheme="minorHAnsi" w:hAnsiTheme="minorHAnsi"/>
          <w:color w:val="221E1F"/>
          <w:sz w:val="22"/>
        </w:rPr>
        <w:t xml:space="preserve">with </w:t>
      </w:r>
      <w:r w:rsidRPr="00497699">
        <w:rPr>
          <w:rStyle w:val="A8"/>
          <w:rFonts w:asciiTheme="minorHAnsi" w:hAnsiTheme="minorHAnsi"/>
          <w:color w:val="221E1F"/>
          <w:sz w:val="22"/>
        </w:rPr>
        <w:t>haemophilia with and without pre-existing haemophilic arthropathy. (Appendix</w:t>
      </w:r>
      <w:r>
        <w:rPr>
          <w:rStyle w:val="A8"/>
          <w:rFonts w:asciiTheme="minorHAnsi" w:hAnsiTheme="minorHAnsi"/>
          <w:color w:val="221E1F"/>
          <w:sz w:val="22"/>
        </w:rPr>
        <w:t xml:space="preserve"> </w:t>
      </w:r>
      <w:r w:rsidR="00C83A3F">
        <w:rPr>
          <w:rStyle w:val="A8"/>
          <w:rFonts w:asciiTheme="minorHAnsi" w:hAnsiTheme="minorHAnsi"/>
          <w:color w:val="221E1F"/>
          <w:sz w:val="22"/>
        </w:rPr>
        <w:t>C</w:t>
      </w:r>
      <w:r w:rsidRPr="00497699">
        <w:rPr>
          <w:rStyle w:val="A8"/>
          <w:rFonts w:asciiTheme="minorHAnsi" w:hAnsiTheme="minorHAnsi"/>
          <w:color w:val="221E1F"/>
          <w:sz w:val="22"/>
        </w:rPr>
        <w:t>) The fo</w:t>
      </w:r>
      <w:r>
        <w:rPr>
          <w:rStyle w:val="A8"/>
          <w:rFonts w:asciiTheme="minorHAnsi" w:hAnsiTheme="minorHAnsi"/>
          <w:color w:val="221E1F"/>
          <w:sz w:val="22"/>
        </w:rPr>
        <w:t xml:space="preserve">llowing conclusions were </w:t>
      </w:r>
      <w:r w:rsidRPr="00497699">
        <w:rPr>
          <w:rStyle w:val="A8"/>
          <w:rFonts w:asciiTheme="minorHAnsi" w:hAnsiTheme="minorHAnsi"/>
          <w:color w:val="221E1F"/>
          <w:sz w:val="22"/>
        </w:rPr>
        <w:t>made after available evidence was assessed using the GRADE criteria;</w:t>
      </w:r>
    </w:p>
    <w:p w:rsidR="00E928C0" w:rsidRPr="00497699" w:rsidRDefault="00E928C0" w:rsidP="00E928C0">
      <w:pPr>
        <w:pStyle w:val="Default"/>
        <w:spacing w:line="276" w:lineRule="auto"/>
        <w:ind w:left="1433" w:hanging="1320"/>
        <w:rPr>
          <w:rStyle w:val="A8"/>
          <w:rFonts w:asciiTheme="minorHAnsi" w:hAnsiTheme="minorHAnsi"/>
          <w:b/>
          <w:color w:val="221E1F"/>
          <w:sz w:val="22"/>
        </w:rPr>
      </w:pPr>
    </w:p>
    <w:p w:rsidR="00E928C0" w:rsidRPr="00497699" w:rsidRDefault="00E928C0" w:rsidP="00E928C0">
      <w:pPr>
        <w:pStyle w:val="Default"/>
        <w:numPr>
          <w:ilvl w:val="0"/>
          <w:numId w:val="40"/>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In patients with haemophilia and haemophilic arthropathy, COX-2 inhibitors probably lead to little or no difference in bleeding episodes compared with no COX-2 inhibitors.</w:t>
      </w:r>
    </w:p>
    <w:p w:rsidR="00E928C0" w:rsidRPr="00497699" w:rsidRDefault="00E928C0" w:rsidP="00E928C0">
      <w:pPr>
        <w:pStyle w:val="Default"/>
        <w:numPr>
          <w:ilvl w:val="0"/>
          <w:numId w:val="40"/>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 xml:space="preserve">In patients with haemophilia and haemophilic arthropathy, COX-2 inhibition probably improves pain compared with no use of COX-2 inhibitors. </w:t>
      </w:r>
    </w:p>
    <w:p w:rsidR="00E928C0" w:rsidRPr="00497699" w:rsidRDefault="00E928C0" w:rsidP="00E928C0">
      <w:pPr>
        <w:pStyle w:val="Default"/>
        <w:numPr>
          <w:ilvl w:val="0"/>
          <w:numId w:val="40"/>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In patients with haemophilia and haemophilic arthropathy, no studies were found that evaluated the impact of COX-2 inhibitors on recurrent haemarthrosis.</w:t>
      </w:r>
    </w:p>
    <w:p w:rsidR="00E928C0" w:rsidRPr="00497699" w:rsidRDefault="00E928C0" w:rsidP="00E928C0">
      <w:pPr>
        <w:pStyle w:val="Default"/>
        <w:numPr>
          <w:ilvl w:val="0"/>
          <w:numId w:val="40"/>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In patients with haemophilia and haemophilic arthropathy, no studies were found that evaluated the impact of COX-2 inhibitors on development of a target joint.</w:t>
      </w:r>
    </w:p>
    <w:p w:rsidR="00E928C0" w:rsidRPr="00497699" w:rsidRDefault="00E928C0" w:rsidP="00E928C0">
      <w:pPr>
        <w:pStyle w:val="Default"/>
        <w:numPr>
          <w:ilvl w:val="0"/>
          <w:numId w:val="40"/>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In patients with haemophilia, no studies were found that evaluated the impact of COX-2 inhibitors on cardiovascular events.</w:t>
      </w:r>
    </w:p>
    <w:p w:rsidR="00E928C0" w:rsidRPr="00497699" w:rsidRDefault="00E928C0" w:rsidP="00E928C0">
      <w:pPr>
        <w:pStyle w:val="Default"/>
        <w:numPr>
          <w:ilvl w:val="0"/>
          <w:numId w:val="40"/>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In patients with haemophilia, no studies were found that evaluated the impact of COX-2 inhibitors on the presence and severity of arthropathy.</w:t>
      </w:r>
    </w:p>
    <w:p w:rsidR="00E928C0" w:rsidRPr="00497699" w:rsidRDefault="00E928C0" w:rsidP="00E928C0">
      <w:pPr>
        <w:pStyle w:val="Default"/>
        <w:spacing w:after="57" w:line="276" w:lineRule="auto"/>
        <w:ind w:left="567" w:right="557"/>
        <w:rPr>
          <w:rFonts w:asciiTheme="minorHAnsi" w:hAnsiTheme="minorHAnsi" w:cs="Arial"/>
          <w:color w:val="221E1F"/>
          <w:lang w:val="en-US"/>
        </w:rPr>
      </w:pPr>
    </w:p>
    <w:p w:rsidR="00E928C0" w:rsidRPr="00497699" w:rsidRDefault="00E928C0" w:rsidP="00AF50AF">
      <w:pPr>
        <w:pStyle w:val="Default"/>
        <w:spacing w:after="240"/>
        <w:ind w:left="1435" w:hanging="1435"/>
        <w:jc w:val="both"/>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1.9.13</w:t>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Other NSAIDs should be avoided. </w:t>
      </w:r>
      <w:r w:rsidRPr="00497699">
        <w:rPr>
          <w:rStyle w:val="A8"/>
          <w:rFonts w:asciiTheme="minorHAnsi" w:hAnsiTheme="minorHAnsi"/>
          <w:b/>
          <w:color w:val="221E1F"/>
          <w:sz w:val="22"/>
          <w:vertAlign w:val="superscript"/>
        </w:rPr>
        <w:t>[48]</w:t>
      </w:r>
    </w:p>
    <w:p w:rsidR="00E928C0" w:rsidRPr="00497699" w:rsidRDefault="00E928C0" w:rsidP="00041ED2">
      <w:pPr>
        <w:pStyle w:val="Default"/>
        <w:spacing w:line="276" w:lineRule="auto"/>
        <w:ind w:left="1418"/>
        <w:rPr>
          <w:rStyle w:val="A8"/>
          <w:rFonts w:asciiTheme="minorHAnsi" w:hAnsiTheme="minorHAnsi" w:cs="Arial"/>
          <w:b/>
          <w:i/>
          <w:color w:val="221E1F"/>
          <w:sz w:val="22"/>
          <w:szCs w:val="22"/>
          <w:lang w:eastAsia="en-AU"/>
        </w:rPr>
      </w:pPr>
      <w:r w:rsidRPr="00497699">
        <w:rPr>
          <w:rStyle w:val="A8"/>
          <w:rFonts w:asciiTheme="minorHAnsi" w:hAnsiTheme="minorHAnsi"/>
          <w:color w:val="221E1F"/>
          <w:sz w:val="22"/>
        </w:rPr>
        <w:t>A systematic review was performed to evaluate the efficacy</w:t>
      </w:r>
      <w:r w:rsidR="00352F94">
        <w:rPr>
          <w:rStyle w:val="A8"/>
          <w:rFonts w:asciiTheme="minorHAnsi" w:hAnsiTheme="minorHAnsi"/>
          <w:color w:val="221E1F"/>
          <w:sz w:val="22"/>
        </w:rPr>
        <w:t xml:space="preserve"> and safety of non-selective </w:t>
      </w:r>
      <w:r w:rsidRPr="00497699">
        <w:rPr>
          <w:rStyle w:val="A8"/>
          <w:rFonts w:asciiTheme="minorHAnsi" w:hAnsiTheme="minorHAnsi"/>
          <w:color w:val="221E1F"/>
          <w:sz w:val="22"/>
        </w:rPr>
        <w:t>NSAIDs in patients with haemophilia with and wi</w:t>
      </w:r>
      <w:r w:rsidR="00352F94">
        <w:rPr>
          <w:rStyle w:val="A8"/>
          <w:rFonts w:asciiTheme="minorHAnsi" w:hAnsiTheme="minorHAnsi"/>
          <w:color w:val="221E1F"/>
          <w:sz w:val="22"/>
        </w:rPr>
        <w:t xml:space="preserve">thout pre-existing haemophilic </w:t>
      </w:r>
      <w:r w:rsidRPr="00497699">
        <w:rPr>
          <w:rStyle w:val="A8"/>
          <w:rFonts w:asciiTheme="minorHAnsi" w:hAnsiTheme="minorHAnsi"/>
          <w:color w:val="221E1F"/>
          <w:sz w:val="22"/>
        </w:rPr>
        <w:t>arthropathy. (</w:t>
      </w:r>
      <w:r w:rsidR="00C83A3F">
        <w:rPr>
          <w:rStyle w:val="A8"/>
          <w:rFonts w:asciiTheme="minorHAnsi" w:hAnsiTheme="minorHAnsi"/>
          <w:color w:val="221E1F"/>
          <w:sz w:val="22"/>
        </w:rPr>
        <w:t>Appendix C</w:t>
      </w:r>
      <w:r w:rsidRPr="00497699">
        <w:rPr>
          <w:rStyle w:val="A8"/>
          <w:rFonts w:asciiTheme="minorHAnsi" w:hAnsiTheme="minorHAnsi"/>
          <w:color w:val="221E1F"/>
          <w:sz w:val="22"/>
        </w:rPr>
        <w:t>) The following conclusions were made after available evidence was assessed using the GRADE criteria;</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E928C0">
      <w:pPr>
        <w:pStyle w:val="Default"/>
        <w:numPr>
          <w:ilvl w:val="0"/>
          <w:numId w:val="41"/>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In patients with mild or moderate haemophilia, medium term</w:t>
      </w:r>
      <w:bookmarkStart w:id="16" w:name="_Ref417041663"/>
      <w:r w:rsidRPr="00497699">
        <w:rPr>
          <w:rStyle w:val="A8"/>
          <w:rFonts w:asciiTheme="minorHAnsi" w:hAnsiTheme="minorHAnsi"/>
          <w:color w:val="221E1F"/>
          <w:sz w:val="22"/>
          <w:vertAlign w:val="superscript"/>
        </w:rPr>
        <w:footnoteReference w:id="1"/>
      </w:r>
      <w:bookmarkEnd w:id="16"/>
      <w:r w:rsidRPr="00497699">
        <w:rPr>
          <w:rStyle w:val="A8"/>
          <w:rFonts w:asciiTheme="minorHAnsi" w:hAnsiTheme="minorHAnsi"/>
          <w:color w:val="221E1F"/>
          <w:sz w:val="22"/>
        </w:rPr>
        <w:t xml:space="preserve"> ibuprofen may lead to little or no difference in the occurrence of </w:t>
      </w:r>
      <w:r>
        <w:rPr>
          <w:rStyle w:val="A8"/>
          <w:rFonts w:asciiTheme="minorHAnsi" w:hAnsiTheme="minorHAnsi"/>
          <w:color w:val="221E1F"/>
          <w:sz w:val="22"/>
        </w:rPr>
        <w:t>bleeding episodes compared with</w:t>
      </w:r>
      <w:r w:rsidRPr="00497699">
        <w:rPr>
          <w:rStyle w:val="A8"/>
          <w:rFonts w:asciiTheme="minorHAnsi" w:hAnsiTheme="minorHAnsi"/>
          <w:color w:val="221E1F"/>
          <w:sz w:val="22"/>
        </w:rPr>
        <w:t xml:space="preserve"> no ibuprofen.  </w:t>
      </w:r>
    </w:p>
    <w:p w:rsidR="00E928C0" w:rsidRPr="00497699" w:rsidRDefault="00E928C0" w:rsidP="00E928C0">
      <w:pPr>
        <w:pStyle w:val="Default"/>
        <w:numPr>
          <w:ilvl w:val="0"/>
          <w:numId w:val="41"/>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 xml:space="preserve">In patients with haemophilia, the use of NSAIDs </w:t>
      </w:r>
      <w:r w:rsidR="00352F94">
        <w:rPr>
          <w:rStyle w:val="A8"/>
          <w:rFonts w:asciiTheme="minorHAnsi" w:hAnsiTheme="minorHAnsi"/>
          <w:color w:val="221E1F"/>
          <w:sz w:val="22"/>
        </w:rPr>
        <w:t xml:space="preserve">probably leads to little or no </w:t>
      </w:r>
      <w:r w:rsidRPr="00497699">
        <w:rPr>
          <w:rStyle w:val="A8"/>
          <w:rFonts w:asciiTheme="minorHAnsi" w:hAnsiTheme="minorHAnsi"/>
          <w:color w:val="221E1F"/>
          <w:sz w:val="22"/>
        </w:rPr>
        <w:t xml:space="preserve">difference in the occurrence of </w:t>
      </w:r>
      <w:r w:rsidR="00C83A3F">
        <w:rPr>
          <w:rStyle w:val="A8"/>
          <w:rFonts w:asciiTheme="minorHAnsi" w:hAnsiTheme="minorHAnsi"/>
          <w:color w:val="221E1F"/>
          <w:sz w:val="22"/>
        </w:rPr>
        <w:t>u</w:t>
      </w:r>
      <w:r w:rsidRPr="00497699">
        <w:rPr>
          <w:rStyle w:val="A8"/>
          <w:rFonts w:asciiTheme="minorHAnsi" w:hAnsiTheme="minorHAnsi"/>
          <w:color w:val="221E1F"/>
          <w:sz w:val="22"/>
        </w:rPr>
        <w:t>pper ga</w:t>
      </w:r>
      <w:r w:rsidR="00352F94">
        <w:rPr>
          <w:rStyle w:val="A8"/>
          <w:rFonts w:asciiTheme="minorHAnsi" w:hAnsiTheme="minorHAnsi"/>
          <w:color w:val="221E1F"/>
          <w:sz w:val="22"/>
        </w:rPr>
        <w:t xml:space="preserve">strointestinal (UGI) bleeding </w:t>
      </w:r>
      <w:r w:rsidRPr="00497699">
        <w:rPr>
          <w:rStyle w:val="A8"/>
          <w:rFonts w:asciiTheme="minorHAnsi" w:hAnsiTheme="minorHAnsi"/>
          <w:color w:val="221E1F"/>
          <w:sz w:val="22"/>
        </w:rPr>
        <w:t>compared with no NSAIDs.</w:t>
      </w:r>
    </w:p>
    <w:p w:rsidR="00E928C0" w:rsidRPr="00497699" w:rsidRDefault="00E928C0" w:rsidP="00E928C0">
      <w:pPr>
        <w:pStyle w:val="Default"/>
        <w:numPr>
          <w:ilvl w:val="0"/>
          <w:numId w:val="41"/>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In patients with moderate or severe haemophilia and arthropathy, it is uncertain</w:t>
      </w:r>
      <w:r w:rsidR="00352F94">
        <w:rPr>
          <w:rStyle w:val="A8"/>
          <w:rFonts w:asciiTheme="minorHAnsi" w:hAnsiTheme="minorHAnsi"/>
          <w:color w:val="221E1F"/>
          <w:sz w:val="22"/>
        </w:rPr>
        <w:t xml:space="preserve"> </w:t>
      </w:r>
      <w:r w:rsidRPr="00497699">
        <w:rPr>
          <w:rStyle w:val="A8"/>
          <w:rFonts w:asciiTheme="minorHAnsi" w:hAnsiTheme="minorHAnsi"/>
          <w:color w:val="221E1F"/>
          <w:sz w:val="22"/>
        </w:rPr>
        <w:t>whether ibuprofen improves arthropathy symptoms because the certainty of the</w:t>
      </w:r>
      <w:r w:rsidR="00352F94">
        <w:rPr>
          <w:rStyle w:val="A8"/>
          <w:rFonts w:asciiTheme="minorHAnsi" w:hAnsiTheme="minorHAnsi"/>
          <w:color w:val="221E1F"/>
          <w:sz w:val="22"/>
        </w:rPr>
        <w:t xml:space="preserve"> </w:t>
      </w:r>
      <w:r w:rsidRPr="00497699">
        <w:rPr>
          <w:rStyle w:val="A8"/>
          <w:rFonts w:asciiTheme="minorHAnsi" w:hAnsiTheme="minorHAnsi"/>
          <w:color w:val="221E1F"/>
          <w:sz w:val="22"/>
        </w:rPr>
        <w:t>evidence is very low.</w:t>
      </w:r>
    </w:p>
    <w:p w:rsidR="00E928C0" w:rsidRPr="00497699" w:rsidRDefault="00E928C0" w:rsidP="00E928C0">
      <w:pPr>
        <w:pStyle w:val="Default"/>
        <w:numPr>
          <w:ilvl w:val="0"/>
          <w:numId w:val="41"/>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In patients with haemophilia, no studies were found that evaluated the impact of</w:t>
      </w:r>
      <w:r w:rsidR="00352F94">
        <w:rPr>
          <w:rStyle w:val="A8"/>
          <w:rFonts w:asciiTheme="minorHAnsi" w:hAnsiTheme="minorHAnsi"/>
          <w:color w:val="221E1F"/>
          <w:sz w:val="22"/>
        </w:rPr>
        <w:t xml:space="preserve"> </w:t>
      </w:r>
      <w:r w:rsidRPr="00497699">
        <w:rPr>
          <w:rStyle w:val="A8"/>
          <w:rFonts w:asciiTheme="minorHAnsi" w:hAnsiTheme="minorHAnsi"/>
          <w:color w:val="221E1F"/>
          <w:sz w:val="22"/>
        </w:rPr>
        <w:t>NSAIDs on cardiovascular events.</w:t>
      </w:r>
    </w:p>
    <w:p w:rsidR="00E928C0" w:rsidRPr="00497699" w:rsidRDefault="00E928C0" w:rsidP="00E928C0">
      <w:pPr>
        <w:pStyle w:val="Default"/>
        <w:numPr>
          <w:ilvl w:val="0"/>
          <w:numId w:val="41"/>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In patients with haemophilia, with or without arthropathy, ibuprofen may lead to</w:t>
      </w:r>
      <w:r w:rsidR="00352F94">
        <w:rPr>
          <w:rStyle w:val="A8"/>
          <w:rFonts w:asciiTheme="minorHAnsi" w:hAnsiTheme="minorHAnsi"/>
          <w:color w:val="221E1F"/>
          <w:sz w:val="22"/>
        </w:rPr>
        <w:t xml:space="preserve"> </w:t>
      </w:r>
      <w:r w:rsidRPr="00497699">
        <w:rPr>
          <w:rStyle w:val="A8"/>
          <w:rFonts w:asciiTheme="minorHAnsi" w:hAnsiTheme="minorHAnsi"/>
          <w:color w:val="221E1F"/>
          <w:sz w:val="22"/>
        </w:rPr>
        <w:t>little or no difference in bleeding time compared with no ibuprofen.</w:t>
      </w:r>
    </w:p>
    <w:p w:rsidR="00E928C0" w:rsidRPr="00497699" w:rsidRDefault="00E928C0" w:rsidP="00E928C0">
      <w:pPr>
        <w:pStyle w:val="Default"/>
        <w:numPr>
          <w:ilvl w:val="0"/>
          <w:numId w:val="41"/>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 xml:space="preserve">In patients with haemophilia, ibuprofen may improve pain compared with no ibuprofen. </w:t>
      </w:r>
    </w:p>
    <w:p w:rsidR="00E928C0" w:rsidRPr="00497699" w:rsidRDefault="00E928C0" w:rsidP="00E928C0">
      <w:pPr>
        <w:pStyle w:val="Default"/>
        <w:numPr>
          <w:ilvl w:val="0"/>
          <w:numId w:val="41"/>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 xml:space="preserve">In patients with haemophilia, ibuprofen may lead to little or no difference in joint restriction. </w:t>
      </w:r>
    </w:p>
    <w:p w:rsidR="00E928C0" w:rsidRPr="00497699" w:rsidRDefault="00E928C0" w:rsidP="00E928C0">
      <w:pPr>
        <w:pStyle w:val="Default"/>
        <w:numPr>
          <w:ilvl w:val="0"/>
          <w:numId w:val="41"/>
        </w:numPr>
        <w:spacing w:line="276" w:lineRule="auto"/>
        <w:ind w:left="1701" w:hanging="283"/>
        <w:rPr>
          <w:rStyle w:val="A8"/>
          <w:rFonts w:asciiTheme="minorHAnsi" w:hAnsiTheme="minorHAnsi"/>
          <w:color w:val="221E1F"/>
          <w:sz w:val="22"/>
        </w:rPr>
      </w:pPr>
      <w:r w:rsidRPr="00497699">
        <w:rPr>
          <w:rStyle w:val="A8"/>
          <w:rFonts w:asciiTheme="minorHAnsi" w:hAnsiTheme="minorHAnsi"/>
          <w:color w:val="221E1F"/>
          <w:sz w:val="22"/>
        </w:rPr>
        <w:t>In patients with haemophilia and arthropathy, ibuprofen probably decreases the</w:t>
      </w:r>
      <w:r w:rsidR="00352F94">
        <w:rPr>
          <w:rStyle w:val="A8"/>
          <w:rFonts w:asciiTheme="minorHAnsi" w:hAnsiTheme="minorHAnsi"/>
          <w:color w:val="221E1F"/>
          <w:sz w:val="22"/>
        </w:rPr>
        <w:t xml:space="preserve"> </w:t>
      </w:r>
      <w:r w:rsidRPr="00497699">
        <w:rPr>
          <w:rStyle w:val="A8"/>
          <w:rFonts w:asciiTheme="minorHAnsi" w:hAnsiTheme="minorHAnsi"/>
          <w:color w:val="221E1F"/>
          <w:sz w:val="22"/>
        </w:rPr>
        <w:t>duration of morning stiffness compared with no ibuprofen.</w:t>
      </w:r>
    </w:p>
    <w:p w:rsidR="00E928C0" w:rsidRPr="00497699" w:rsidRDefault="00E928C0" w:rsidP="00E928C0">
      <w:pPr>
        <w:pStyle w:val="Default"/>
        <w:spacing w:line="276" w:lineRule="auto"/>
        <w:ind w:left="1433" w:hanging="1320"/>
        <w:rPr>
          <w:rStyle w:val="A8"/>
          <w:rFonts w:asciiTheme="minorHAnsi" w:hAnsiTheme="minorHAnsi"/>
          <w:b/>
          <w:color w:val="221E1F"/>
          <w:sz w:val="22"/>
        </w:rPr>
      </w:pPr>
    </w:p>
    <w:p w:rsidR="00E928C0" w:rsidRPr="00497699" w:rsidRDefault="00E928C0" w:rsidP="00041ED2">
      <w:pPr>
        <w:pStyle w:val="Default"/>
        <w:spacing w:line="276" w:lineRule="auto"/>
        <w:ind w:left="1418"/>
        <w:rPr>
          <w:rStyle w:val="A8"/>
          <w:rFonts w:asciiTheme="minorHAnsi" w:hAnsiTheme="minorHAnsi" w:cs="Tahoma"/>
          <w:color w:val="221E1F"/>
          <w:sz w:val="22"/>
          <w:szCs w:val="22"/>
          <w:lang w:eastAsia="en-AU"/>
        </w:rPr>
      </w:pPr>
      <w:r w:rsidRPr="00497699">
        <w:rPr>
          <w:rStyle w:val="A8"/>
          <w:rFonts w:asciiTheme="minorHAnsi" w:hAnsiTheme="minorHAnsi"/>
          <w:color w:val="221E1F"/>
          <w:sz w:val="22"/>
        </w:rPr>
        <w:t>As the level of evidence for the benefit of NSAIDs is low</w:t>
      </w:r>
      <w:r w:rsidR="00352F94">
        <w:rPr>
          <w:rStyle w:val="A8"/>
          <w:rFonts w:asciiTheme="minorHAnsi" w:hAnsiTheme="minorHAnsi"/>
          <w:color w:val="221E1F"/>
          <w:sz w:val="22"/>
        </w:rPr>
        <w:t xml:space="preserve">, and there are theoretical </w:t>
      </w:r>
      <w:r w:rsidRPr="00497699">
        <w:rPr>
          <w:rStyle w:val="A8"/>
          <w:rFonts w:asciiTheme="minorHAnsi" w:hAnsiTheme="minorHAnsi"/>
          <w:color w:val="221E1F"/>
          <w:sz w:val="22"/>
        </w:rPr>
        <w:t xml:space="preserve">evidence that COX-2 inhibitors may be associated with </w:t>
      </w:r>
      <w:r w:rsidR="00352F94">
        <w:rPr>
          <w:rStyle w:val="A8"/>
          <w:rFonts w:asciiTheme="minorHAnsi" w:hAnsiTheme="minorHAnsi"/>
          <w:color w:val="221E1F"/>
          <w:sz w:val="22"/>
        </w:rPr>
        <w:t>less bleeding risk than non-</w:t>
      </w:r>
      <w:r w:rsidRPr="00497699">
        <w:rPr>
          <w:rStyle w:val="A8"/>
          <w:rFonts w:asciiTheme="minorHAnsi" w:hAnsiTheme="minorHAnsi"/>
          <w:color w:val="221E1F"/>
          <w:sz w:val="22"/>
        </w:rPr>
        <w:lastRenderedPageBreak/>
        <w:t>selective NSAID use, COX-2 inhibitors are the prefer</w:t>
      </w:r>
      <w:r w:rsidR="00352F94">
        <w:rPr>
          <w:rStyle w:val="A8"/>
          <w:rFonts w:asciiTheme="minorHAnsi" w:hAnsiTheme="minorHAnsi"/>
          <w:color w:val="221E1F"/>
          <w:sz w:val="22"/>
        </w:rPr>
        <w:t xml:space="preserve">red agents in patients with </w:t>
      </w:r>
      <w:r w:rsidRPr="00497699">
        <w:rPr>
          <w:rStyle w:val="A8"/>
          <w:rFonts w:asciiTheme="minorHAnsi" w:hAnsiTheme="minorHAnsi"/>
          <w:color w:val="221E1F"/>
          <w:sz w:val="22"/>
        </w:rPr>
        <w:t>haemophilia.</w:t>
      </w:r>
    </w:p>
    <w:p w:rsidR="00E928C0" w:rsidRPr="00497699" w:rsidRDefault="00E928C0" w:rsidP="00E928C0">
      <w:pPr>
        <w:pStyle w:val="Default"/>
        <w:spacing w:line="276" w:lineRule="auto"/>
        <w:ind w:left="113"/>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Tahoma"/>
          <w:color w:val="221E1F"/>
          <w:sz w:val="22"/>
          <w:szCs w:val="22"/>
          <w:lang w:eastAsia="en-AU"/>
        </w:rPr>
      </w:pPr>
      <w:r w:rsidRPr="00497699">
        <w:rPr>
          <w:rStyle w:val="A8"/>
          <w:rFonts w:asciiTheme="minorHAnsi" w:hAnsiTheme="minorHAnsi"/>
          <w:color w:val="221E1F"/>
          <w:sz w:val="22"/>
        </w:rPr>
        <w:t>1.9.14</w:t>
      </w:r>
      <w:r w:rsidRPr="00497699">
        <w:rPr>
          <w:rStyle w:val="A8"/>
          <w:rFonts w:asciiTheme="minorHAnsi" w:hAnsiTheme="minorHAnsi"/>
          <w:color w:val="221E1F"/>
          <w:sz w:val="22"/>
        </w:rPr>
        <w:tab/>
      </w:r>
      <w:proofErr w:type="gramStart"/>
      <w:r w:rsidRPr="00497699">
        <w:rPr>
          <w:rStyle w:val="A8"/>
          <w:rFonts w:asciiTheme="minorHAnsi" w:hAnsiTheme="minorHAnsi"/>
          <w:b/>
          <w:color w:val="221E1F"/>
          <w:sz w:val="22"/>
        </w:rPr>
        <w:t>When</w:t>
      </w:r>
      <w:proofErr w:type="gramEnd"/>
      <w:r w:rsidRPr="00497699">
        <w:rPr>
          <w:rStyle w:val="A8"/>
          <w:rFonts w:asciiTheme="minorHAnsi" w:hAnsiTheme="minorHAnsi"/>
          <w:b/>
          <w:color w:val="221E1F"/>
          <w:sz w:val="22"/>
        </w:rPr>
        <w:t xml:space="preserve"> pain is disabling, orthopedic surgery may be indicated. </w:t>
      </w:r>
      <w:r w:rsidRPr="00497699">
        <w:rPr>
          <w:rStyle w:val="A8"/>
          <w:rFonts w:asciiTheme="minorHAnsi" w:hAnsiTheme="minorHAnsi"/>
          <w:b/>
          <w:color w:val="221E1F"/>
          <w:sz w:val="22"/>
          <w:vertAlign w:val="superscript"/>
        </w:rPr>
        <w:t>[49]</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Tahoma"/>
          <w:color w:val="221E1F"/>
          <w:sz w:val="22"/>
          <w:szCs w:val="22"/>
          <w:lang w:eastAsia="en-AU"/>
        </w:rPr>
      </w:pPr>
      <w:r w:rsidRPr="00497699">
        <w:rPr>
          <w:rStyle w:val="A8"/>
          <w:rFonts w:asciiTheme="minorHAnsi" w:hAnsiTheme="minorHAnsi"/>
          <w:color w:val="221E1F"/>
          <w:sz w:val="22"/>
        </w:rPr>
        <w:t>1.9.15</w:t>
      </w:r>
      <w:r w:rsidRPr="00497699">
        <w:rPr>
          <w:rStyle w:val="A8"/>
          <w:rFonts w:asciiTheme="minorHAnsi" w:hAnsiTheme="minorHAnsi"/>
          <w:color w:val="221E1F"/>
          <w:sz w:val="22"/>
        </w:rPr>
        <w:tab/>
        <w:t>Patients with persisting pain should be referred to a specialised pain management team.</w:t>
      </w:r>
    </w:p>
    <w:p w:rsidR="00E928C0" w:rsidRDefault="00E928C0" w:rsidP="00E928C0">
      <w:pPr>
        <w:spacing w:before="36" w:after="0" w:line="184" w:lineRule="exact"/>
        <w:ind w:left="116" w:right="-20"/>
        <w:rPr>
          <w:rStyle w:val="A8"/>
          <w:rFonts w:asciiTheme="minorHAnsi" w:eastAsia="Dotum" w:hAnsiTheme="minorHAnsi" w:cs="Avenir LT Std 55 Roman"/>
          <w:b/>
          <w:color w:val="221E1F"/>
          <w:sz w:val="22"/>
          <w:szCs w:val="24"/>
          <w:lang w:eastAsia="en-US"/>
        </w:rPr>
      </w:pPr>
    </w:p>
    <w:p w:rsidR="00E928C0" w:rsidRPr="00497699" w:rsidRDefault="00E928C0" w:rsidP="00041ED2">
      <w:pPr>
        <w:spacing w:before="36" w:after="0" w:line="184" w:lineRule="exact"/>
        <w:ind w:left="0" w:right="-20"/>
        <w:rPr>
          <w:rStyle w:val="A8"/>
          <w:rFonts w:asciiTheme="minorHAnsi" w:eastAsia="Dotum" w:hAnsiTheme="minorHAnsi" w:cs="Avenir LT Std 55 Roman"/>
          <w:b/>
          <w:color w:val="221E1F"/>
          <w:sz w:val="22"/>
          <w:szCs w:val="24"/>
          <w:lang w:eastAsia="en-US"/>
        </w:rPr>
      </w:pPr>
      <w:r w:rsidRPr="00041ED2">
        <w:rPr>
          <w:rStyle w:val="A8"/>
          <w:rFonts w:asciiTheme="minorHAnsi" w:eastAsia="Dotum" w:hAnsiTheme="minorHAnsi" w:cs="Avenir LT Std 55 Roman"/>
          <w:b/>
          <w:noProof/>
          <w:color w:val="221E1F"/>
          <w:sz w:val="22"/>
          <w:szCs w:val="24"/>
        </w:rPr>
        <mc:AlternateContent>
          <mc:Choice Requires="wpg">
            <w:drawing>
              <wp:anchor distT="0" distB="0" distL="114300" distR="114300" simplePos="0" relativeHeight="251659264" behindDoc="1" locked="0" layoutInCell="1" allowOverlap="1" wp14:anchorId="5A428656" wp14:editId="45287BDD">
                <wp:simplePos x="0" y="0"/>
                <wp:positionH relativeFrom="page">
                  <wp:posOffset>4037965</wp:posOffset>
                </wp:positionH>
                <wp:positionV relativeFrom="paragraph">
                  <wp:posOffset>610235</wp:posOffset>
                </wp:positionV>
                <wp:extent cx="107315" cy="156210"/>
                <wp:effectExtent l="8890" t="635" r="7620" b="146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56210"/>
                          <a:chOff x="6359" y="961"/>
                          <a:chExt cx="169" cy="246"/>
                        </a:xfrm>
                      </wpg:grpSpPr>
                      <wpg:grpSp>
                        <wpg:cNvPr id="5" name="Group 3"/>
                        <wpg:cNvGrpSpPr>
                          <a:grpSpLocks/>
                        </wpg:cNvGrpSpPr>
                        <wpg:grpSpPr bwMode="auto">
                          <a:xfrm>
                            <a:off x="6443" y="971"/>
                            <a:ext cx="2" cy="226"/>
                            <a:chOff x="6443" y="971"/>
                            <a:chExt cx="2" cy="226"/>
                          </a:xfrm>
                        </wpg:grpSpPr>
                        <wps:wsp>
                          <wps:cNvPr id="6" name="Freeform 4"/>
                          <wps:cNvSpPr>
                            <a:spLocks/>
                          </wps:cNvSpPr>
                          <wps:spPr bwMode="auto">
                            <a:xfrm>
                              <a:off x="6443" y="971"/>
                              <a:ext cx="2" cy="226"/>
                            </a:xfrm>
                            <a:custGeom>
                              <a:avLst/>
                              <a:gdLst>
                                <a:gd name="T0" fmla="+- 0 971 971"/>
                                <a:gd name="T1" fmla="*/ 971 h 226"/>
                                <a:gd name="T2" fmla="+- 0 1197 971"/>
                                <a:gd name="T3" fmla="*/ 1197 h 226"/>
                              </a:gdLst>
                              <a:ahLst/>
                              <a:cxnLst>
                                <a:cxn ang="0">
                                  <a:pos x="0" y="T1"/>
                                </a:cxn>
                                <a:cxn ang="0">
                                  <a:pos x="0" y="T3"/>
                                </a:cxn>
                              </a:cxnLst>
                              <a:rect l="0" t="0" r="r" b="b"/>
                              <a:pathLst>
                                <a:path h="226">
                                  <a:moveTo>
                                    <a:pt x="0" y="0"/>
                                  </a:moveTo>
                                  <a:lnTo>
                                    <a:pt x="0" y="22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
                        <wpg:cNvGrpSpPr>
                          <a:grpSpLocks/>
                        </wpg:cNvGrpSpPr>
                        <wpg:grpSpPr bwMode="auto">
                          <a:xfrm>
                            <a:off x="6369" y="1117"/>
                            <a:ext cx="149" cy="80"/>
                            <a:chOff x="6369" y="1117"/>
                            <a:chExt cx="149" cy="80"/>
                          </a:xfrm>
                        </wpg:grpSpPr>
                        <wps:wsp>
                          <wps:cNvPr id="8" name="Freeform 6"/>
                          <wps:cNvSpPr>
                            <a:spLocks/>
                          </wps:cNvSpPr>
                          <wps:spPr bwMode="auto">
                            <a:xfrm>
                              <a:off x="6369" y="1117"/>
                              <a:ext cx="149" cy="80"/>
                            </a:xfrm>
                            <a:custGeom>
                              <a:avLst/>
                              <a:gdLst>
                                <a:gd name="T0" fmla="+- 0 6517 6369"/>
                                <a:gd name="T1" fmla="*/ T0 w 149"/>
                                <a:gd name="T2" fmla="+- 0 1117 1117"/>
                                <a:gd name="T3" fmla="*/ 1117 h 80"/>
                                <a:gd name="T4" fmla="+- 0 6443 6369"/>
                                <a:gd name="T5" fmla="*/ T4 w 149"/>
                                <a:gd name="T6" fmla="+- 0 1197 1117"/>
                                <a:gd name="T7" fmla="*/ 1197 h 80"/>
                                <a:gd name="T8" fmla="+- 0 6369 6369"/>
                                <a:gd name="T9" fmla="*/ T8 w 149"/>
                                <a:gd name="T10" fmla="+- 0 1117 1117"/>
                                <a:gd name="T11" fmla="*/ 1117 h 80"/>
                              </a:gdLst>
                              <a:ahLst/>
                              <a:cxnLst>
                                <a:cxn ang="0">
                                  <a:pos x="T1" y="T3"/>
                                </a:cxn>
                                <a:cxn ang="0">
                                  <a:pos x="T5" y="T7"/>
                                </a:cxn>
                                <a:cxn ang="0">
                                  <a:pos x="T9" y="T11"/>
                                </a:cxn>
                              </a:cxnLst>
                              <a:rect l="0" t="0" r="r" b="b"/>
                              <a:pathLst>
                                <a:path w="149" h="80">
                                  <a:moveTo>
                                    <a:pt x="148" y="0"/>
                                  </a:moveTo>
                                  <a:lnTo>
                                    <a:pt x="74" y="80"/>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17.95pt;margin-top:48.05pt;width:8.45pt;height:12.3pt;z-index:-251657216;mso-position-horizontal-relative:page" coordorigin="6359,961" coordsize="16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">
                <v:group id="Group 3" o:spid="_x0000_s1027" style="position:absolute;left:6443;top:971;width:2;height:226" coordorigin="6443,971"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4" o:spid="_x0000_s1028" style="position:absolute;left:6443;top:971;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17MMA&#10;AADaAAAADwAAAGRycy9kb3ducmV2LnhtbESPT2sCMRTE7wW/Q3iF3mrSP6hsjSJCqeKlrj3o7bF5&#10;7i5uXkKS6vrtG6HgcZiZ3zDTeW87caYQW8caXoYKBHHlTMu1hp/d5/MEREzIBjvHpOFKEeazwcMU&#10;C+MuvKVzmWqRIRwL1NCk5AspY9WQxTh0njh7RxcspixDLU3AS4bbTr4qNZIWW84LDXpaNlSdyl+r&#10;4fA2GSvlN2G/fk+Hr/146cvvq9ZPj/3iA0SiPt3D/+2V0TCC25V8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D17MMAAADaAAAADwAAAAAAAAAAAAAAAACYAgAAZHJzL2Rv&#10;d25yZXYueG1sUEsFBgAAAAAEAAQA9QAAAIgDAAAAAA==&#10;" path="m,l,226e" filled="f" strokecolor="#231f20" strokeweight="1pt">
                    <v:path arrowok="t" o:connecttype="custom" o:connectlocs="0,971;0,1197" o:connectangles="0,0"/>
                  </v:shape>
                </v:group>
                <v:group id="Group 5" o:spid="_x0000_s1029" style="position:absolute;left:6369;top:1117;width:149;height:80" coordorigin="6369,1117" coordsize="14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6" o:spid="_x0000_s1030" style="position:absolute;left:6369;top:1117;width:149;height:80;visibility:visible;mso-wrap-style:square;v-text-anchor:top" coordsize="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o3LwA&#10;AADaAAAADwAAAGRycy9kb3ducmV2LnhtbERPyw7BQBTdS/zD5EpshCkJoQwRIWHpsWB3da620bnT&#10;dAbl681CYnly3rNFbQrxpMrllhX0exEI4sTqnFMFp+OmOwbhPLLGwjIpeJODxbzZmGGs7Yv39Dz4&#10;VIQQdjEqyLwvYyldkpFB17MlceButjLoA6xSqSt8hXBTyEEUjaTBnENDhiWtMkruh4dRsO5cJ/3L&#10;xZe7YWf43q4Lsp8zKdVu1cspCE+1/4t/7q1WELaGK+EG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J+jcvAAAANoAAAAPAAAAAAAAAAAAAAAAAJgCAABkcnMvZG93bnJldi54&#10;bWxQSwUGAAAAAAQABAD1AAAAgQMAAAAA&#10;" path="m148,l74,80,,e" filled="f" strokecolor="#231f20" strokeweight="1pt">
                    <v:path arrowok="t" o:connecttype="custom" o:connectlocs="148,1117;74,1197;0,1117" o:connectangles="0,0,0"/>
                  </v:shape>
                </v:group>
                <w10:wrap anchorx="page"/>
              </v:group>
            </w:pict>
          </mc:Fallback>
        </mc:AlternateContent>
      </w:r>
      <w:r w:rsidRPr="00497699">
        <w:rPr>
          <w:rStyle w:val="A8"/>
          <w:rFonts w:asciiTheme="minorHAnsi" w:eastAsia="Dotum" w:hAnsiTheme="minorHAnsi" w:cs="Avenir LT Std 55 Roman"/>
          <w:b/>
          <w:color w:val="221E1F"/>
          <w:sz w:val="22"/>
          <w:szCs w:val="24"/>
          <w:lang w:eastAsia="en-US"/>
        </w:rPr>
        <w:t>TABLE 1-6: STRATEGIES FOR PAIN MANAGEMENT IN PATIENTS WITH HAEMOPHILIA</w:t>
      </w:r>
    </w:p>
    <w:tbl>
      <w:tblPr>
        <w:tblW w:w="10075" w:type="dxa"/>
        <w:tblLayout w:type="fixed"/>
        <w:tblCellMar>
          <w:left w:w="0" w:type="dxa"/>
          <w:right w:w="0" w:type="dxa"/>
        </w:tblCellMar>
        <w:tblLook w:val="01E0" w:firstRow="1" w:lastRow="1" w:firstColumn="1" w:lastColumn="1" w:noHBand="0" w:noVBand="0"/>
      </w:tblPr>
      <w:tblGrid>
        <w:gridCol w:w="769"/>
        <w:gridCol w:w="9306"/>
      </w:tblGrid>
      <w:tr w:rsidR="00E928C0" w:rsidRPr="00497699" w:rsidTr="00041ED2">
        <w:trPr>
          <w:trHeight w:hRule="exact" w:val="889"/>
        </w:trPr>
        <w:tc>
          <w:tcPr>
            <w:tcW w:w="769"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7" w:after="0" w:line="160" w:lineRule="exact"/>
              <w:rPr>
                <w:rFonts w:asciiTheme="minorHAnsi" w:hAnsiTheme="minorHAnsi"/>
                <w:sz w:val="16"/>
                <w:szCs w:val="16"/>
              </w:rPr>
            </w:pPr>
          </w:p>
          <w:p w:rsidR="00E928C0" w:rsidRPr="00497699" w:rsidRDefault="00E928C0" w:rsidP="002A1763">
            <w:pPr>
              <w:spacing w:after="0" w:line="200" w:lineRule="exact"/>
              <w:rPr>
                <w:rFonts w:asciiTheme="minorHAnsi" w:hAnsiTheme="minorHAnsi"/>
                <w:sz w:val="20"/>
                <w:szCs w:val="20"/>
              </w:rPr>
            </w:pPr>
          </w:p>
          <w:p w:rsidR="00E928C0" w:rsidRPr="00497699" w:rsidRDefault="00E928C0" w:rsidP="002A1763">
            <w:pPr>
              <w:spacing w:after="0"/>
              <w:ind w:left="240" w:right="220"/>
              <w:jc w:val="center"/>
              <w:rPr>
                <w:rFonts w:asciiTheme="minorHAnsi" w:eastAsia="Arial" w:hAnsiTheme="minorHAnsi" w:cs="Arial"/>
                <w:sz w:val="18"/>
                <w:szCs w:val="18"/>
              </w:rPr>
            </w:pPr>
            <w:r w:rsidRPr="00497699">
              <w:rPr>
                <w:rFonts w:asciiTheme="minorHAnsi" w:eastAsia="Arial" w:hAnsiTheme="minorHAnsi" w:cs="Arial"/>
                <w:color w:val="231F20"/>
                <w:w w:val="106"/>
                <w:sz w:val="18"/>
                <w:szCs w:val="18"/>
              </w:rPr>
              <w:t>1</w:t>
            </w:r>
          </w:p>
        </w:tc>
        <w:tc>
          <w:tcPr>
            <w:tcW w:w="9306" w:type="dxa"/>
            <w:tcBorders>
              <w:top w:val="single" w:sz="32" w:space="0" w:color="FFFFFF"/>
              <w:left w:val="single" w:sz="32" w:space="0" w:color="FFFFFF"/>
              <w:bottom w:val="single" w:sz="32" w:space="0" w:color="FFFFFF"/>
              <w:right w:val="nil"/>
            </w:tcBorders>
            <w:shd w:val="clear" w:color="auto" w:fill="E6E7E8"/>
          </w:tcPr>
          <w:p w:rsidR="00E928C0" w:rsidRPr="00497699" w:rsidRDefault="00E928C0" w:rsidP="002A1763">
            <w:pPr>
              <w:spacing w:before="87" w:after="0"/>
              <w:ind w:left="3417" w:right="3437"/>
              <w:jc w:val="center"/>
              <w:rPr>
                <w:rFonts w:asciiTheme="minorHAnsi" w:eastAsia="Arial" w:hAnsiTheme="minorHAnsi" w:cs="Arial"/>
                <w:sz w:val="18"/>
                <w:szCs w:val="18"/>
              </w:rPr>
            </w:pPr>
            <w:r w:rsidRPr="00497699">
              <w:rPr>
                <w:rFonts w:asciiTheme="minorHAnsi" w:eastAsia="Arial" w:hAnsiTheme="minorHAnsi" w:cs="Arial"/>
                <w:color w:val="231F20"/>
                <w:w w:val="101"/>
                <w:sz w:val="18"/>
                <w:szCs w:val="18"/>
              </w:rPr>
              <w:t>Paracetamol/acetaminophen</w:t>
            </w:r>
          </w:p>
          <w:p w:rsidR="00E928C0" w:rsidRPr="00497699" w:rsidRDefault="00E928C0" w:rsidP="002A1763">
            <w:pPr>
              <w:spacing w:before="13" w:after="0"/>
              <w:ind w:left="3988" w:right="4008"/>
              <w:jc w:val="center"/>
              <w:rPr>
                <w:rFonts w:asciiTheme="minorHAnsi" w:eastAsia="Arial" w:hAnsiTheme="minorHAnsi" w:cs="Arial"/>
                <w:sz w:val="18"/>
                <w:szCs w:val="18"/>
              </w:rPr>
            </w:pPr>
            <w:r w:rsidRPr="00497699">
              <w:rPr>
                <w:rFonts w:asciiTheme="minorHAnsi" w:eastAsia="Arial" w:hAnsiTheme="minorHAnsi" w:cs="Arial"/>
                <w:i/>
                <w:color w:val="231F20"/>
                <w:sz w:val="18"/>
                <w:szCs w:val="18"/>
              </w:rPr>
              <w:t>If</w:t>
            </w:r>
            <w:r w:rsidRPr="00497699">
              <w:rPr>
                <w:rFonts w:asciiTheme="minorHAnsi" w:eastAsia="Arial" w:hAnsiTheme="minorHAnsi" w:cs="Arial"/>
                <w:i/>
                <w:color w:val="231F20"/>
                <w:spacing w:val="8"/>
                <w:sz w:val="18"/>
                <w:szCs w:val="18"/>
              </w:rPr>
              <w:t xml:space="preserve"> </w:t>
            </w:r>
            <w:r w:rsidRPr="00497699">
              <w:rPr>
                <w:rFonts w:asciiTheme="minorHAnsi" w:eastAsia="Arial" w:hAnsiTheme="minorHAnsi" w:cs="Arial"/>
                <w:i/>
                <w:color w:val="231F20"/>
                <w:sz w:val="18"/>
                <w:szCs w:val="18"/>
              </w:rPr>
              <w:t>not</w:t>
            </w:r>
            <w:r w:rsidRPr="00497699">
              <w:rPr>
                <w:rFonts w:asciiTheme="minorHAnsi" w:eastAsia="Arial" w:hAnsiTheme="minorHAnsi" w:cs="Arial"/>
                <w:i/>
                <w:color w:val="231F20"/>
                <w:spacing w:val="25"/>
                <w:sz w:val="18"/>
                <w:szCs w:val="18"/>
              </w:rPr>
              <w:t xml:space="preserve"> </w:t>
            </w:r>
            <w:r w:rsidRPr="00497699">
              <w:rPr>
                <w:rFonts w:asciiTheme="minorHAnsi" w:eastAsia="Arial" w:hAnsiTheme="minorHAnsi" w:cs="Arial"/>
                <w:i/>
                <w:color w:val="231F20"/>
                <w:w w:val="104"/>
                <w:sz w:val="18"/>
                <w:szCs w:val="18"/>
              </w:rPr>
              <w:t>e</w:t>
            </w:r>
            <w:r w:rsidRPr="00497699">
              <w:rPr>
                <w:rFonts w:asciiTheme="minorHAnsi" w:eastAsia="Arial" w:hAnsiTheme="minorHAnsi" w:cs="Arial"/>
                <w:i/>
                <w:color w:val="231F20"/>
                <w:spacing w:val="-3"/>
                <w:w w:val="104"/>
                <w:sz w:val="18"/>
                <w:szCs w:val="18"/>
              </w:rPr>
              <w:t>f</w:t>
            </w:r>
            <w:r w:rsidRPr="00497699">
              <w:rPr>
                <w:rFonts w:asciiTheme="minorHAnsi" w:eastAsia="Arial" w:hAnsiTheme="minorHAnsi" w:cs="Arial"/>
                <w:i/>
                <w:color w:val="231F20"/>
                <w:w w:val="103"/>
                <w:sz w:val="18"/>
                <w:szCs w:val="18"/>
              </w:rPr>
              <w:t>fective</w:t>
            </w:r>
          </w:p>
        </w:tc>
      </w:tr>
      <w:tr w:rsidR="00E928C0" w:rsidRPr="00497699" w:rsidTr="00041ED2">
        <w:trPr>
          <w:trHeight w:hRule="exact" w:val="1336"/>
        </w:trPr>
        <w:tc>
          <w:tcPr>
            <w:tcW w:w="769"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7" w:after="0" w:line="120" w:lineRule="exact"/>
              <w:rPr>
                <w:rFonts w:asciiTheme="minorHAnsi" w:hAnsiTheme="minorHAnsi"/>
                <w:sz w:val="12"/>
                <w:szCs w:val="12"/>
              </w:rPr>
            </w:pPr>
          </w:p>
          <w:p w:rsidR="00E928C0" w:rsidRPr="00497699" w:rsidRDefault="00E928C0" w:rsidP="002A1763">
            <w:pPr>
              <w:spacing w:after="0" w:line="200" w:lineRule="exact"/>
              <w:rPr>
                <w:rFonts w:asciiTheme="minorHAnsi" w:hAnsiTheme="minorHAnsi"/>
                <w:sz w:val="20"/>
                <w:szCs w:val="20"/>
              </w:rPr>
            </w:pPr>
          </w:p>
          <w:p w:rsidR="00E928C0" w:rsidRPr="00497699" w:rsidRDefault="00E928C0" w:rsidP="002A1763">
            <w:pPr>
              <w:spacing w:after="0" w:line="200" w:lineRule="exact"/>
              <w:rPr>
                <w:rFonts w:asciiTheme="minorHAnsi" w:hAnsiTheme="minorHAnsi"/>
                <w:sz w:val="20"/>
                <w:szCs w:val="20"/>
              </w:rPr>
            </w:pPr>
          </w:p>
          <w:p w:rsidR="00E928C0" w:rsidRPr="00497699" w:rsidRDefault="00E928C0" w:rsidP="002A1763">
            <w:pPr>
              <w:spacing w:after="0"/>
              <w:ind w:left="240" w:right="220"/>
              <w:jc w:val="center"/>
              <w:rPr>
                <w:rFonts w:asciiTheme="minorHAnsi" w:eastAsia="Arial" w:hAnsiTheme="minorHAnsi" w:cs="Arial"/>
                <w:sz w:val="18"/>
                <w:szCs w:val="18"/>
              </w:rPr>
            </w:pPr>
            <w:r w:rsidRPr="00497699">
              <w:rPr>
                <w:rFonts w:asciiTheme="minorHAnsi" w:eastAsia="Arial" w:hAnsiTheme="minorHAnsi" w:cs="Arial"/>
                <w:color w:val="231F20"/>
                <w:w w:val="106"/>
                <w:sz w:val="18"/>
                <w:szCs w:val="18"/>
              </w:rPr>
              <w:t>2</w:t>
            </w:r>
          </w:p>
        </w:tc>
        <w:tc>
          <w:tcPr>
            <w:tcW w:w="9306" w:type="dxa"/>
            <w:tcBorders>
              <w:top w:val="single" w:sz="32" w:space="0" w:color="FFFFFF"/>
              <w:left w:val="single" w:sz="32" w:space="0" w:color="FFFFFF"/>
              <w:bottom w:val="single" w:sz="32" w:space="0" w:color="FFFFFF"/>
              <w:right w:val="nil"/>
            </w:tcBorders>
            <w:shd w:val="clear" w:color="auto" w:fill="E6E7E8"/>
          </w:tcPr>
          <w:p w:rsidR="00E928C0" w:rsidRPr="00497699" w:rsidRDefault="00E928C0" w:rsidP="002A1763">
            <w:pPr>
              <w:spacing w:before="87" w:after="0"/>
              <w:ind w:left="1834" w:right="1854"/>
              <w:jc w:val="center"/>
              <w:rPr>
                <w:rFonts w:asciiTheme="minorHAnsi" w:eastAsia="Arial" w:hAnsiTheme="minorHAnsi" w:cs="Arial"/>
                <w:sz w:val="18"/>
                <w:szCs w:val="18"/>
              </w:rPr>
            </w:pPr>
            <w:r w:rsidRPr="00497699">
              <w:rPr>
                <w:rFonts w:asciiTheme="minorHAnsi" w:eastAsia="Arial" w:hAnsiTheme="minorHAnsi" w:cs="Arial"/>
                <w:color w:val="231F20"/>
                <w:sz w:val="18"/>
                <w:szCs w:val="18"/>
              </w:rPr>
              <w:t>COX-2</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inhibitor</w:t>
            </w:r>
            <w:r w:rsidRPr="00497699">
              <w:rPr>
                <w:rFonts w:asciiTheme="minorHAnsi" w:eastAsia="Arial" w:hAnsiTheme="minorHAnsi" w:cs="Arial"/>
                <w:color w:val="231F20"/>
                <w:spacing w:val="43"/>
                <w:sz w:val="18"/>
                <w:szCs w:val="18"/>
              </w:rPr>
              <w:t xml:space="preserve"> </w:t>
            </w:r>
            <w:r w:rsidRPr="00497699">
              <w:rPr>
                <w:rFonts w:asciiTheme="minorHAnsi" w:eastAsia="Arial" w:hAnsiTheme="minorHAnsi" w:cs="Arial"/>
                <w:color w:val="231F20"/>
                <w:sz w:val="18"/>
                <w:szCs w:val="18"/>
              </w:rPr>
              <w:t>(e.g.</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celecoxib,</w:t>
            </w:r>
            <w:r w:rsidRPr="00497699">
              <w:rPr>
                <w:rFonts w:asciiTheme="minorHAnsi" w:eastAsia="Arial" w:hAnsiTheme="minorHAnsi" w:cs="Arial"/>
                <w:color w:val="231F20"/>
                <w:spacing w:val="21"/>
                <w:sz w:val="18"/>
                <w:szCs w:val="18"/>
              </w:rPr>
              <w:t xml:space="preserve"> </w:t>
            </w:r>
            <w:r w:rsidRPr="00497699">
              <w:rPr>
                <w:rFonts w:asciiTheme="minorHAnsi" w:eastAsia="Arial" w:hAnsiTheme="minorHAnsi" w:cs="Arial"/>
                <w:color w:val="231F20"/>
                <w:sz w:val="18"/>
                <w:szCs w:val="18"/>
              </w:rPr>
              <w:t>meloxicam,</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z w:val="18"/>
                <w:szCs w:val="18"/>
              </w:rPr>
              <w:t>and</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others)</w:t>
            </w:r>
          </w:p>
          <w:p w:rsidR="00E928C0" w:rsidRPr="00497699" w:rsidRDefault="00E928C0" w:rsidP="002A1763">
            <w:pPr>
              <w:spacing w:before="69" w:after="0" w:line="302" w:lineRule="auto"/>
              <w:ind w:left="2261" w:right="2281"/>
              <w:jc w:val="center"/>
              <w:rPr>
                <w:rFonts w:asciiTheme="minorHAnsi" w:eastAsia="Arial" w:hAnsiTheme="minorHAnsi" w:cs="Arial"/>
                <w:sz w:val="12"/>
                <w:szCs w:val="12"/>
              </w:rPr>
            </w:pPr>
            <w:r w:rsidRPr="00497699">
              <w:rPr>
                <w:rFonts w:asciiTheme="minorHAnsi" w:eastAsia="Arial" w:hAnsiTheme="minorHAnsi" w:cs="Arial"/>
                <w:color w:val="231F20"/>
                <w:sz w:val="12"/>
                <w:szCs w:val="12"/>
              </w:rPr>
              <w:t>OR</w:t>
            </w:r>
            <w:r w:rsidRPr="00497699">
              <w:rPr>
                <w:rFonts w:asciiTheme="minorHAnsi" w:eastAsia="Arial" w:hAnsiTheme="minorHAnsi" w:cs="Arial"/>
                <w:color w:val="231F20"/>
                <w:spacing w:val="-6"/>
                <w:sz w:val="12"/>
                <w:szCs w:val="12"/>
              </w:rPr>
              <w:t xml:space="preserve"> </w:t>
            </w:r>
          </w:p>
          <w:p w:rsidR="00E928C0" w:rsidRPr="00497699" w:rsidRDefault="00E928C0" w:rsidP="002A1763">
            <w:pPr>
              <w:spacing w:after="0" w:line="198" w:lineRule="exact"/>
              <w:ind w:left="2203" w:right="2223"/>
              <w:jc w:val="center"/>
              <w:rPr>
                <w:rFonts w:asciiTheme="minorHAnsi" w:eastAsia="Arial" w:hAnsiTheme="minorHAnsi" w:cs="Arial"/>
                <w:sz w:val="18"/>
                <w:szCs w:val="18"/>
              </w:rPr>
            </w:pPr>
            <w:r w:rsidRPr="00497699">
              <w:rPr>
                <w:rFonts w:asciiTheme="minorHAnsi" w:eastAsia="Arial" w:hAnsiTheme="minorHAnsi" w:cs="Arial"/>
                <w:color w:val="231F20"/>
                <w:sz w:val="18"/>
                <w:szCs w:val="18"/>
              </w:rPr>
              <w:t>Paracetamol/acetaminophen</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sz w:val="18"/>
                <w:szCs w:val="18"/>
              </w:rPr>
              <w:t>plus</w:t>
            </w:r>
            <w:r w:rsidRPr="00497699">
              <w:rPr>
                <w:rFonts w:asciiTheme="minorHAnsi" w:eastAsia="Arial" w:hAnsiTheme="minorHAnsi" w:cs="Arial"/>
                <w:color w:val="231F20"/>
                <w:spacing w:val="2"/>
                <w:sz w:val="18"/>
                <w:szCs w:val="18"/>
              </w:rPr>
              <w:t xml:space="preserve"> </w:t>
            </w:r>
            <w:r w:rsidRPr="00497699">
              <w:rPr>
                <w:rFonts w:asciiTheme="minorHAnsi" w:eastAsia="Arial" w:hAnsiTheme="minorHAnsi" w:cs="Arial"/>
                <w:color w:val="231F20"/>
                <w:sz w:val="18"/>
                <w:szCs w:val="18"/>
              </w:rPr>
              <w:t>tramadol</w:t>
            </w:r>
            <w:r w:rsidRPr="00497699">
              <w:rPr>
                <w:rFonts w:asciiTheme="minorHAnsi" w:eastAsia="Arial" w:hAnsiTheme="minorHAnsi" w:cs="Arial"/>
                <w:color w:val="231F20"/>
                <w:spacing w:val="26"/>
                <w:sz w:val="18"/>
                <w:szCs w:val="18"/>
              </w:rPr>
              <w:t xml:space="preserve"> </w:t>
            </w:r>
            <w:r w:rsidRPr="00497699">
              <w:rPr>
                <w:rFonts w:asciiTheme="minorHAnsi" w:eastAsia="Arial" w:hAnsiTheme="minorHAnsi" w:cs="Arial"/>
                <w:color w:val="231F20"/>
                <w:sz w:val="18"/>
                <w:szCs w:val="18"/>
              </w:rPr>
              <w:t>(3-4</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w w:val="101"/>
                <w:sz w:val="18"/>
                <w:szCs w:val="18"/>
              </w:rPr>
              <w:t>times/day)</w:t>
            </w:r>
          </w:p>
        </w:tc>
      </w:tr>
      <w:tr w:rsidR="00E928C0" w:rsidRPr="00497699" w:rsidTr="00041ED2">
        <w:trPr>
          <w:trHeight w:hRule="exact" w:val="949"/>
        </w:trPr>
        <w:tc>
          <w:tcPr>
            <w:tcW w:w="769" w:type="dxa"/>
            <w:tcBorders>
              <w:top w:val="single" w:sz="32" w:space="0" w:color="FFFFFF"/>
              <w:left w:val="nil"/>
              <w:bottom w:val="single" w:sz="32" w:space="0" w:color="FFFFFF"/>
              <w:right w:val="single" w:sz="32" w:space="0" w:color="FFFFFF"/>
            </w:tcBorders>
            <w:shd w:val="clear" w:color="auto" w:fill="E6E7E8"/>
          </w:tcPr>
          <w:p w:rsidR="00E928C0" w:rsidRPr="00497699" w:rsidRDefault="00E928C0" w:rsidP="002A1763">
            <w:pPr>
              <w:spacing w:before="7" w:after="0" w:line="190" w:lineRule="exact"/>
              <w:rPr>
                <w:rFonts w:asciiTheme="minorHAnsi" w:hAnsiTheme="minorHAnsi"/>
                <w:sz w:val="19"/>
                <w:szCs w:val="19"/>
              </w:rPr>
            </w:pPr>
          </w:p>
          <w:p w:rsidR="00E928C0" w:rsidRPr="00497699" w:rsidRDefault="00E928C0" w:rsidP="002A1763">
            <w:pPr>
              <w:spacing w:after="0"/>
              <w:ind w:left="240" w:right="220"/>
              <w:jc w:val="center"/>
              <w:rPr>
                <w:rFonts w:asciiTheme="minorHAnsi" w:eastAsia="Arial" w:hAnsiTheme="minorHAnsi" w:cs="Arial"/>
                <w:sz w:val="18"/>
                <w:szCs w:val="18"/>
              </w:rPr>
            </w:pPr>
            <w:r w:rsidRPr="00497699">
              <w:rPr>
                <w:rFonts w:asciiTheme="minorHAnsi" w:eastAsia="Arial" w:hAnsiTheme="minorHAnsi" w:cs="Arial"/>
                <w:color w:val="231F20"/>
                <w:w w:val="106"/>
                <w:sz w:val="18"/>
                <w:szCs w:val="18"/>
              </w:rPr>
              <w:t>3</w:t>
            </w:r>
          </w:p>
        </w:tc>
        <w:tc>
          <w:tcPr>
            <w:tcW w:w="9306" w:type="dxa"/>
            <w:tcBorders>
              <w:top w:val="single" w:sz="32" w:space="0" w:color="FFFFFF"/>
              <w:left w:val="single" w:sz="32" w:space="0" w:color="FFFFFF"/>
              <w:bottom w:val="single" w:sz="32" w:space="0" w:color="FFFFFF"/>
              <w:right w:val="nil"/>
            </w:tcBorders>
            <w:shd w:val="clear" w:color="auto" w:fill="E6E7E8"/>
          </w:tcPr>
          <w:p w:rsidR="00E928C0" w:rsidRPr="00497699" w:rsidRDefault="00E928C0" w:rsidP="002A1763">
            <w:pPr>
              <w:spacing w:before="87" w:after="0"/>
              <w:ind w:left="1651" w:right="1671"/>
              <w:jc w:val="center"/>
              <w:rPr>
                <w:rFonts w:asciiTheme="minorHAnsi" w:eastAsia="Arial" w:hAnsiTheme="minorHAnsi" w:cs="Arial"/>
                <w:sz w:val="18"/>
                <w:szCs w:val="18"/>
              </w:rPr>
            </w:pPr>
            <w:r>
              <w:rPr>
                <w:sz w:val="18"/>
                <w:szCs w:val="18"/>
              </w:rPr>
              <w:t>Opiate analgesia: use a s</w:t>
            </w:r>
            <w:r w:rsidRPr="00F02453">
              <w:rPr>
                <w:sz w:val="18"/>
                <w:szCs w:val="18"/>
              </w:rPr>
              <w:t>low</w:t>
            </w:r>
            <w:r>
              <w:rPr>
                <w:sz w:val="18"/>
                <w:szCs w:val="18"/>
              </w:rPr>
              <w:t xml:space="preserve"> release product such as </w:t>
            </w:r>
            <w:r w:rsidRPr="00F02453">
              <w:rPr>
                <w:sz w:val="18"/>
                <w:szCs w:val="18"/>
              </w:rPr>
              <w:t>controlled-re</w:t>
            </w:r>
            <w:r w:rsidRPr="001B6DF9">
              <w:rPr>
                <w:sz w:val="18"/>
                <w:szCs w:val="18"/>
              </w:rPr>
              <w:t xml:space="preserve">lease oxycodone, tramadol SR, </w:t>
            </w:r>
            <w:r w:rsidRPr="00F02453">
              <w:rPr>
                <w:sz w:val="18"/>
                <w:szCs w:val="18"/>
              </w:rPr>
              <w:t xml:space="preserve">tapentadol SR </w:t>
            </w:r>
            <w:r>
              <w:rPr>
                <w:sz w:val="18"/>
                <w:szCs w:val="18"/>
              </w:rPr>
              <w:t xml:space="preserve">or controlled release morphine. </w:t>
            </w:r>
          </w:p>
        </w:tc>
      </w:tr>
    </w:tbl>
    <w:p w:rsidR="00E928C0" w:rsidRPr="00497699" w:rsidRDefault="00E928C0" w:rsidP="00E928C0">
      <w:pPr>
        <w:spacing w:before="20" w:after="0"/>
        <w:ind w:left="116" w:right="-20"/>
        <w:rPr>
          <w:rStyle w:val="A8"/>
          <w:rFonts w:asciiTheme="minorHAnsi" w:eastAsia="Dotum" w:hAnsiTheme="minorHAnsi" w:cs="Avenir LT Std 55 Roman"/>
          <w:color w:val="221E1F"/>
          <w:sz w:val="16"/>
          <w:szCs w:val="16"/>
          <w:lang w:eastAsia="en-US"/>
        </w:rPr>
      </w:pPr>
      <w:r w:rsidRPr="00497699">
        <w:rPr>
          <w:rStyle w:val="A8"/>
          <w:rFonts w:asciiTheme="minorHAnsi" w:eastAsia="Dotum" w:hAnsiTheme="minorHAnsi" w:cs="Avenir LT Std 55 Roman"/>
          <w:color w:val="221E1F"/>
          <w:sz w:val="16"/>
          <w:szCs w:val="16"/>
          <w:lang w:eastAsia="en-US"/>
        </w:rPr>
        <w:t>Notes:</w:t>
      </w:r>
    </w:p>
    <w:p w:rsidR="00E928C0" w:rsidRPr="00497699" w:rsidRDefault="00E928C0" w:rsidP="00E928C0">
      <w:pPr>
        <w:pStyle w:val="ListParagraph"/>
        <w:numPr>
          <w:ilvl w:val="0"/>
          <w:numId w:val="38"/>
        </w:numPr>
        <w:spacing w:before="66" w:after="0" w:line="246" w:lineRule="auto"/>
        <w:ind w:left="284" w:right="862" w:hanging="171"/>
        <w:rPr>
          <w:rStyle w:val="A8"/>
          <w:rFonts w:asciiTheme="minorHAnsi" w:eastAsia="Dotum" w:hAnsiTheme="minorHAnsi" w:cs="Avenir LT Std 55 Roman"/>
          <w:color w:val="221E1F"/>
          <w:sz w:val="16"/>
          <w:szCs w:val="16"/>
          <w:lang w:eastAsia="en-US"/>
        </w:rPr>
      </w:pPr>
      <w:r w:rsidRPr="00497699">
        <w:rPr>
          <w:rStyle w:val="A8"/>
          <w:rFonts w:asciiTheme="minorHAnsi" w:eastAsia="Dotum" w:hAnsiTheme="minorHAnsi" w:cs="Avenir LT Std 55 Roman"/>
          <w:color w:val="221E1F"/>
          <w:sz w:val="16"/>
          <w:szCs w:val="16"/>
          <w:lang w:eastAsia="en-US"/>
        </w:rPr>
        <w:t>If for any reason medications have been stopped for a period of time, patients who have been taking and tolerating high-dose narcotic drugs should re-start the drug at a lower dose, or use a less powerful painkiller, under the supervision of a physician.</w:t>
      </w:r>
    </w:p>
    <w:p w:rsidR="00E928C0" w:rsidRDefault="00E928C0" w:rsidP="00E928C0">
      <w:pPr>
        <w:pStyle w:val="ListParagraph"/>
        <w:numPr>
          <w:ilvl w:val="0"/>
          <w:numId w:val="38"/>
        </w:numPr>
        <w:spacing w:before="61" w:after="0"/>
        <w:ind w:left="284" w:right="-20" w:hanging="171"/>
        <w:rPr>
          <w:rStyle w:val="A8"/>
          <w:rFonts w:asciiTheme="minorHAnsi" w:eastAsia="Dotum" w:hAnsiTheme="minorHAnsi" w:cs="Avenir LT Std 55 Roman"/>
          <w:color w:val="221E1F"/>
          <w:sz w:val="16"/>
          <w:szCs w:val="16"/>
          <w:lang w:eastAsia="en-US"/>
        </w:rPr>
      </w:pPr>
      <w:r w:rsidRPr="00497699">
        <w:rPr>
          <w:rStyle w:val="A8"/>
          <w:rFonts w:asciiTheme="minorHAnsi" w:eastAsia="Dotum" w:hAnsiTheme="minorHAnsi" w:cs="Avenir LT Std 55 Roman"/>
          <w:color w:val="221E1F"/>
          <w:sz w:val="16"/>
          <w:szCs w:val="16"/>
          <w:lang w:eastAsia="en-US"/>
        </w:rPr>
        <w:t>COX-2 inhibitors should be used with caution in patients with hypertension and renal dysfunction.</w:t>
      </w:r>
    </w:p>
    <w:p w:rsidR="00E928C0" w:rsidRPr="00497699" w:rsidRDefault="00E928C0" w:rsidP="00E928C0">
      <w:pPr>
        <w:pStyle w:val="ListParagraph"/>
        <w:numPr>
          <w:ilvl w:val="0"/>
          <w:numId w:val="38"/>
        </w:numPr>
        <w:spacing w:before="61" w:after="0"/>
        <w:ind w:left="284" w:right="-20" w:hanging="171"/>
        <w:rPr>
          <w:rStyle w:val="A8"/>
          <w:rFonts w:asciiTheme="minorHAnsi" w:eastAsia="Dotum" w:hAnsiTheme="minorHAnsi" w:cs="Avenir LT Std 55 Roman"/>
          <w:color w:val="221E1F"/>
          <w:sz w:val="16"/>
          <w:szCs w:val="16"/>
          <w:lang w:eastAsia="en-US"/>
        </w:rPr>
      </w:pPr>
      <w:r>
        <w:rPr>
          <w:rStyle w:val="A8"/>
          <w:rFonts w:asciiTheme="minorHAnsi" w:eastAsia="Dotum" w:hAnsiTheme="minorHAnsi" w:cs="Avenir LT Std 55 Roman"/>
          <w:color w:val="221E1F"/>
          <w:sz w:val="16"/>
          <w:szCs w:val="16"/>
          <w:lang w:eastAsia="en-US"/>
        </w:rPr>
        <w:t xml:space="preserve">It is recommended that patients with chronic pain requiring long-term narcotic analgesia should be managed in liaison with a specialist pain service with clear communication with their primary care provider. </w:t>
      </w:r>
    </w:p>
    <w:p w:rsidR="00E928C0" w:rsidRPr="00497699" w:rsidRDefault="00E928C0" w:rsidP="00E928C0">
      <w:pPr>
        <w:pStyle w:val="Pa19"/>
        <w:spacing w:before="140" w:after="80"/>
        <w:ind w:left="567" w:right="557"/>
        <w:rPr>
          <w:rFonts w:asciiTheme="minorHAnsi" w:hAnsiTheme="minorHAnsi" w:cs="Arial"/>
          <w:b/>
          <w:bCs/>
          <w:color w:val="221E1F"/>
          <w:sz w:val="18"/>
          <w:szCs w:val="18"/>
        </w:rPr>
      </w:pPr>
    </w:p>
    <w:p w:rsidR="00E928C0" w:rsidRPr="00041ED2" w:rsidRDefault="00E928C0" w:rsidP="00041ED2">
      <w:pPr>
        <w:pStyle w:val="Heading3"/>
      </w:pPr>
      <w:bookmarkStart w:id="17" w:name="_Toc431484310"/>
      <w:r w:rsidRPr="00041ED2">
        <w:rPr>
          <w:rStyle w:val="A8"/>
          <w:color w:val="FF0000"/>
        </w:rPr>
        <w:t xml:space="preserve">1.10 </w:t>
      </w:r>
      <w:r w:rsidRPr="00214A6A">
        <w:t>Surgery and invasive procedures</w:t>
      </w:r>
      <w:bookmarkEnd w:id="17"/>
      <w:r w:rsidRPr="00214A6A">
        <w:t xml:space="preserve"> </w:t>
      </w: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1.10.1</w:t>
      </w:r>
      <w:r w:rsidRPr="00497699">
        <w:rPr>
          <w:rStyle w:val="A8"/>
          <w:rFonts w:asciiTheme="minorHAnsi" w:hAnsiTheme="minorHAnsi"/>
          <w:color w:val="221E1F"/>
          <w:sz w:val="22"/>
        </w:rPr>
        <w:tab/>
        <w:t xml:space="preserve">Surgery may be required for haemophilia-related complications or unrelated diseases. The following issues are of prime importance when performing surgery on persons with haemophilia.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1.10.2 </w:t>
      </w:r>
      <w:r w:rsidRPr="00497699">
        <w:rPr>
          <w:rStyle w:val="A8"/>
          <w:rFonts w:asciiTheme="minorHAnsi" w:hAnsiTheme="minorHAnsi"/>
          <w:color w:val="221E1F"/>
          <w:sz w:val="22"/>
        </w:rPr>
        <w:tab/>
        <w:t xml:space="preserve">Surgery for patients with haemophilia will require additional planning and interaction with the healthcare team than what is required for other patients. </w:t>
      </w:r>
      <w:r>
        <w:rPr>
          <w:rStyle w:val="A8"/>
          <w:rFonts w:asciiTheme="minorHAnsi" w:hAnsiTheme="minorHAnsi"/>
          <w:color w:val="221E1F"/>
          <w:sz w:val="22"/>
        </w:rPr>
        <w:t xml:space="preserve">Appropriate surgical intervention should be available for all patients with haemophilia regardless of the underlying severity of their bleeding disorder.  </w:t>
      </w:r>
    </w:p>
    <w:p w:rsidR="00E928C0" w:rsidRPr="00497699" w:rsidRDefault="00E928C0" w:rsidP="00E928C0">
      <w:pPr>
        <w:pStyle w:val="Default"/>
        <w:spacing w:line="276" w:lineRule="auto"/>
        <w:ind w:left="1433" w:hanging="1320"/>
        <w:jc w:val="both"/>
        <w:rPr>
          <w:rStyle w:val="A8"/>
          <w:rFonts w:asciiTheme="minorHAnsi" w:hAnsiTheme="minorHAnsi"/>
          <w:color w:val="221E1F"/>
          <w:sz w:val="22"/>
        </w:rPr>
      </w:pPr>
    </w:p>
    <w:p w:rsidR="00E928C0" w:rsidRDefault="00E928C0" w:rsidP="00041ED2">
      <w:pPr>
        <w:pStyle w:val="Default"/>
        <w:spacing w:line="276" w:lineRule="auto"/>
        <w:ind w:left="1433" w:hanging="1433"/>
        <w:rPr>
          <w:rStyle w:val="A8"/>
          <w:rFonts w:asciiTheme="minorHAnsi" w:hAnsiTheme="minorHAnsi" w:cs="Arial"/>
          <w:b/>
          <w:color w:val="221E1F"/>
          <w:sz w:val="22"/>
          <w:szCs w:val="28"/>
          <w:lang w:eastAsia="en-AU"/>
        </w:rPr>
      </w:pPr>
      <w:r w:rsidRPr="00497699">
        <w:rPr>
          <w:rStyle w:val="A8"/>
          <w:rFonts w:asciiTheme="minorHAnsi" w:hAnsiTheme="minorHAnsi"/>
          <w:color w:val="221E1F"/>
          <w:sz w:val="22"/>
        </w:rPr>
        <w:t xml:space="preserve">1.10.3 </w:t>
      </w:r>
      <w:r w:rsidRPr="00497699">
        <w:rPr>
          <w:rStyle w:val="A8"/>
          <w:rFonts w:asciiTheme="minorHAnsi" w:hAnsiTheme="minorHAnsi"/>
          <w:color w:val="221E1F"/>
          <w:sz w:val="22"/>
        </w:rPr>
        <w:tab/>
      </w:r>
      <w:r w:rsidRPr="00497699">
        <w:rPr>
          <w:rStyle w:val="A8"/>
          <w:rFonts w:asciiTheme="minorHAnsi" w:hAnsiTheme="minorHAnsi"/>
          <w:b/>
          <w:color w:val="221E1F"/>
          <w:sz w:val="22"/>
        </w:rPr>
        <w:t>A haemophilia patient requiring surgery is best managed at o</w:t>
      </w:r>
      <w:r w:rsidR="00201683">
        <w:rPr>
          <w:rStyle w:val="A8"/>
          <w:rFonts w:asciiTheme="minorHAnsi" w:hAnsiTheme="minorHAnsi"/>
          <w:b/>
          <w:color w:val="221E1F"/>
          <w:sz w:val="22"/>
        </w:rPr>
        <w:t>r in consultation with a compre</w:t>
      </w:r>
      <w:r w:rsidRPr="00497699">
        <w:rPr>
          <w:rStyle w:val="A8"/>
          <w:rFonts w:asciiTheme="minorHAnsi" w:hAnsiTheme="minorHAnsi"/>
          <w:b/>
          <w:color w:val="221E1F"/>
          <w:sz w:val="22"/>
        </w:rPr>
        <w:t xml:space="preserve">hensive haemophilia treatment centre. </w:t>
      </w:r>
      <w:r>
        <w:rPr>
          <w:rStyle w:val="A8"/>
          <w:rFonts w:asciiTheme="minorHAnsi" w:hAnsiTheme="minorHAnsi"/>
          <w:b/>
          <w:color w:val="221E1F"/>
          <w:sz w:val="22"/>
          <w:vertAlign w:val="superscript"/>
        </w:rPr>
        <w:t>[</w:t>
      </w:r>
      <w:r w:rsidRPr="00497699">
        <w:rPr>
          <w:rStyle w:val="A8"/>
          <w:rFonts w:asciiTheme="minorHAnsi" w:hAnsiTheme="minorHAnsi"/>
          <w:b/>
          <w:color w:val="221E1F"/>
          <w:sz w:val="22"/>
          <w:vertAlign w:val="superscript"/>
        </w:rPr>
        <w:t>50</w:t>
      </w:r>
      <w:proofErr w:type="gramStart"/>
      <w:r w:rsidRPr="00497699">
        <w:rPr>
          <w:rStyle w:val="A8"/>
          <w:rFonts w:asciiTheme="minorHAnsi" w:hAnsiTheme="minorHAnsi"/>
          <w:b/>
          <w:color w:val="221E1F"/>
          <w:sz w:val="22"/>
          <w:vertAlign w:val="superscript"/>
        </w:rPr>
        <w:t>,51</w:t>
      </w:r>
      <w:proofErr w:type="gramEnd"/>
      <w:r w:rsidRPr="00497699">
        <w:rPr>
          <w:rStyle w:val="A8"/>
          <w:rFonts w:asciiTheme="minorHAnsi" w:hAnsiTheme="minorHAnsi"/>
          <w:b/>
          <w:color w:val="221E1F"/>
          <w:sz w:val="22"/>
          <w:vertAlign w:val="superscript"/>
        </w:rPr>
        <w:t>]</w:t>
      </w:r>
      <w:r w:rsidRPr="00497699">
        <w:rPr>
          <w:rStyle w:val="A8"/>
          <w:rFonts w:asciiTheme="minorHAnsi" w:hAnsiTheme="minorHAnsi"/>
          <w:b/>
          <w:color w:val="221E1F"/>
          <w:sz w:val="22"/>
        </w:rPr>
        <w:t xml:space="preserve"> </w:t>
      </w:r>
      <w:r w:rsidRPr="0098460A">
        <w:rPr>
          <w:rFonts w:asciiTheme="minorHAnsi" w:hAnsiTheme="minorHAnsi"/>
          <w:b/>
          <w:color w:val="221E1F"/>
          <w:sz w:val="22"/>
        </w:rPr>
        <w:t>Em</w:t>
      </w:r>
      <w:r>
        <w:rPr>
          <w:rFonts w:asciiTheme="minorHAnsi" w:hAnsiTheme="minorHAnsi"/>
          <w:b/>
          <w:color w:val="221E1F"/>
          <w:sz w:val="22"/>
        </w:rPr>
        <w:t xml:space="preserve">ergency surgical procedures may be </w:t>
      </w:r>
      <w:r w:rsidRPr="0098460A">
        <w:rPr>
          <w:rFonts w:asciiTheme="minorHAnsi" w:hAnsiTheme="minorHAnsi"/>
          <w:b/>
          <w:color w:val="221E1F"/>
          <w:sz w:val="22"/>
        </w:rPr>
        <w:t>requ</w:t>
      </w:r>
      <w:r>
        <w:rPr>
          <w:rFonts w:asciiTheme="minorHAnsi" w:hAnsiTheme="minorHAnsi"/>
          <w:b/>
          <w:color w:val="221E1F"/>
          <w:sz w:val="22"/>
        </w:rPr>
        <w:t xml:space="preserve">ired to be conducted in </w:t>
      </w:r>
      <w:r w:rsidRPr="0098460A">
        <w:rPr>
          <w:rFonts w:asciiTheme="minorHAnsi" w:hAnsiTheme="minorHAnsi"/>
          <w:b/>
          <w:color w:val="221E1F"/>
          <w:sz w:val="22"/>
        </w:rPr>
        <w:t>non-haemophilia treatment centres</w:t>
      </w:r>
      <w:r>
        <w:rPr>
          <w:rFonts w:asciiTheme="minorHAnsi" w:hAnsiTheme="minorHAnsi"/>
          <w:b/>
          <w:color w:val="221E1F"/>
          <w:sz w:val="22"/>
        </w:rPr>
        <w:t xml:space="preserve">, but should be performed </w:t>
      </w:r>
      <w:r w:rsidRPr="0098460A">
        <w:rPr>
          <w:rFonts w:asciiTheme="minorHAnsi" w:hAnsiTheme="minorHAnsi"/>
          <w:b/>
          <w:color w:val="221E1F"/>
          <w:sz w:val="22"/>
        </w:rPr>
        <w:t xml:space="preserve">in </w:t>
      </w:r>
      <w:r>
        <w:rPr>
          <w:rFonts w:asciiTheme="minorHAnsi" w:hAnsiTheme="minorHAnsi"/>
          <w:b/>
          <w:color w:val="221E1F"/>
          <w:sz w:val="22"/>
        </w:rPr>
        <w:t xml:space="preserve">close </w:t>
      </w:r>
      <w:r w:rsidRPr="0098460A">
        <w:rPr>
          <w:rFonts w:asciiTheme="minorHAnsi" w:hAnsiTheme="minorHAnsi"/>
          <w:b/>
          <w:color w:val="221E1F"/>
          <w:sz w:val="22"/>
        </w:rPr>
        <w:t xml:space="preserve">consultation with </w:t>
      </w:r>
      <w:r>
        <w:rPr>
          <w:rFonts w:asciiTheme="minorHAnsi" w:hAnsiTheme="minorHAnsi"/>
          <w:b/>
          <w:color w:val="221E1F"/>
          <w:sz w:val="22"/>
        </w:rPr>
        <w:t xml:space="preserve">the staff of </w:t>
      </w:r>
      <w:r w:rsidRPr="0098460A">
        <w:rPr>
          <w:rFonts w:asciiTheme="minorHAnsi" w:hAnsiTheme="minorHAnsi"/>
          <w:b/>
          <w:color w:val="221E1F"/>
          <w:sz w:val="22"/>
        </w:rPr>
        <w:t>haemophilia treatment centres.</w:t>
      </w:r>
    </w:p>
    <w:p w:rsidR="00E928C0" w:rsidRPr="00497699" w:rsidRDefault="00E928C0" w:rsidP="00E928C0">
      <w:pPr>
        <w:pStyle w:val="Default"/>
        <w:spacing w:line="276" w:lineRule="auto"/>
        <w:rPr>
          <w:rStyle w:val="A8"/>
          <w:rFonts w:asciiTheme="minorHAnsi" w:hAnsiTheme="minorHAnsi"/>
          <w:b/>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1.10.4 </w:t>
      </w:r>
      <w:r w:rsidRPr="00497699">
        <w:rPr>
          <w:rStyle w:val="A8"/>
          <w:rFonts w:asciiTheme="minorHAnsi" w:hAnsiTheme="minorHAnsi"/>
          <w:color w:val="221E1F"/>
          <w:sz w:val="22"/>
        </w:rPr>
        <w:tab/>
        <w:t>The anaesthe</w:t>
      </w:r>
      <w:r>
        <w:rPr>
          <w:rStyle w:val="A8"/>
          <w:rFonts w:asciiTheme="minorHAnsi" w:hAnsiTheme="minorHAnsi"/>
          <w:color w:val="221E1F"/>
          <w:sz w:val="22"/>
        </w:rPr>
        <w:t>tist</w:t>
      </w:r>
      <w:r w:rsidRPr="00497699">
        <w:rPr>
          <w:rStyle w:val="A8"/>
          <w:rFonts w:asciiTheme="minorHAnsi" w:hAnsiTheme="minorHAnsi"/>
          <w:color w:val="221E1F"/>
          <w:sz w:val="22"/>
        </w:rPr>
        <w:t xml:space="preserve"> should have experience treating patients with bleeding disorders.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1.10.5 </w:t>
      </w:r>
      <w:r w:rsidRPr="00497699">
        <w:rPr>
          <w:rStyle w:val="A8"/>
          <w:rFonts w:asciiTheme="minorHAnsi" w:hAnsiTheme="minorHAnsi"/>
          <w:color w:val="221E1F"/>
          <w:sz w:val="22"/>
        </w:rPr>
        <w:tab/>
        <w:t xml:space="preserve">Adequate laboratory support is required for reliable monitoring of clotting factor level and inhibitor testing.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color w:val="221E1F"/>
          <w:sz w:val="22"/>
          <w:szCs w:val="28"/>
          <w:lang w:eastAsia="en-AU"/>
        </w:rPr>
      </w:pPr>
      <w:r w:rsidRPr="00497699">
        <w:rPr>
          <w:rStyle w:val="A8"/>
          <w:rFonts w:asciiTheme="minorHAnsi" w:hAnsiTheme="minorHAnsi"/>
          <w:color w:val="221E1F"/>
          <w:sz w:val="22"/>
        </w:rPr>
        <w:lastRenderedPageBreak/>
        <w:t xml:space="preserve">1.10.6 </w:t>
      </w:r>
      <w:r w:rsidRPr="00497699">
        <w:rPr>
          <w:rStyle w:val="A8"/>
          <w:rFonts w:asciiTheme="minorHAnsi" w:hAnsiTheme="minorHAnsi"/>
          <w:color w:val="221E1F"/>
          <w:sz w:val="22"/>
        </w:rPr>
        <w:tab/>
      </w:r>
      <w:r w:rsidRPr="00497699">
        <w:rPr>
          <w:rStyle w:val="A8"/>
          <w:rFonts w:asciiTheme="minorHAnsi" w:hAnsiTheme="minorHAnsi"/>
          <w:b/>
          <w:color w:val="221E1F"/>
          <w:sz w:val="22"/>
        </w:rPr>
        <w:t>Pre-operative assessment should include inhib</w:t>
      </w:r>
      <w:r w:rsidRPr="00497699">
        <w:rPr>
          <w:rStyle w:val="A8"/>
          <w:rFonts w:asciiTheme="minorHAnsi" w:hAnsiTheme="minorHAnsi"/>
          <w:b/>
          <w:color w:val="221E1F"/>
          <w:sz w:val="22"/>
        </w:rPr>
        <w:softHyphen/>
        <w:t>itor screening and inhibitor assay, and possibly PK assessment, particularly if the recovery of the replaced factor is signif</w:t>
      </w:r>
      <w:r w:rsidRPr="00497699">
        <w:rPr>
          <w:rStyle w:val="A8"/>
          <w:rFonts w:asciiTheme="minorHAnsi" w:hAnsiTheme="minorHAnsi"/>
          <w:b/>
          <w:color w:val="221E1F"/>
          <w:sz w:val="22"/>
        </w:rPr>
        <w:softHyphen/>
        <w:t xml:space="preserve">icantly less than expected. </w:t>
      </w:r>
      <w:r w:rsidRPr="00497699">
        <w:rPr>
          <w:rStyle w:val="A8"/>
          <w:rFonts w:asciiTheme="minorHAnsi" w:hAnsiTheme="minorHAnsi"/>
          <w:b/>
          <w:color w:val="221E1F"/>
          <w:sz w:val="22"/>
          <w:vertAlign w:val="superscript"/>
        </w:rPr>
        <w:t>[52</w:t>
      </w:r>
      <w:proofErr w:type="gramStart"/>
      <w:r w:rsidRPr="00497699">
        <w:rPr>
          <w:rStyle w:val="A8"/>
          <w:rFonts w:asciiTheme="minorHAnsi" w:hAnsiTheme="minorHAnsi"/>
          <w:b/>
          <w:color w:val="221E1F"/>
          <w:sz w:val="22"/>
          <w:vertAlign w:val="superscript"/>
        </w:rPr>
        <w:t>,53</w:t>
      </w:r>
      <w:proofErr w:type="gramEnd"/>
      <w:r w:rsidRPr="00497699">
        <w:rPr>
          <w:rStyle w:val="A8"/>
          <w:rFonts w:asciiTheme="minorHAnsi" w:hAnsiTheme="minorHAnsi"/>
          <w:b/>
          <w:color w:val="221E1F"/>
          <w:sz w:val="22"/>
          <w:vertAlign w:val="superscript"/>
        </w:rPr>
        <w:t>]</w:t>
      </w:r>
      <w:r w:rsidRPr="00497699">
        <w:rPr>
          <w:rStyle w:val="A8"/>
          <w:rFonts w:asciiTheme="minorHAnsi" w:hAnsiTheme="minorHAnsi"/>
          <w:b/>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1.10.7 </w:t>
      </w:r>
      <w:r w:rsidRPr="00497699">
        <w:rPr>
          <w:rStyle w:val="A8"/>
          <w:rFonts w:asciiTheme="minorHAnsi" w:hAnsiTheme="minorHAnsi"/>
          <w:color w:val="221E1F"/>
          <w:sz w:val="22"/>
        </w:rPr>
        <w:tab/>
        <w:t xml:space="preserve">Surgery should be scheduled early in the week and early in the day for optimal laboratory and blood bank support, if needed.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1.10.8 </w:t>
      </w:r>
      <w:r w:rsidRPr="00497699">
        <w:rPr>
          <w:rStyle w:val="A8"/>
          <w:rFonts w:asciiTheme="minorHAnsi" w:hAnsiTheme="minorHAnsi"/>
          <w:color w:val="221E1F"/>
          <w:sz w:val="22"/>
        </w:rPr>
        <w:tab/>
        <w:t>Adequate quantities of clotting factor concen</w:t>
      </w:r>
      <w:r w:rsidRPr="00497699">
        <w:rPr>
          <w:rStyle w:val="A8"/>
          <w:rFonts w:asciiTheme="minorHAnsi" w:hAnsiTheme="minorHAnsi"/>
          <w:color w:val="221E1F"/>
          <w:sz w:val="22"/>
        </w:rPr>
        <w:softHyphen/>
        <w:t>trates should be available for the surgery itself and to maintain adequate coverage post-opera</w:t>
      </w:r>
      <w:r w:rsidRPr="00497699">
        <w:rPr>
          <w:rStyle w:val="A8"/>
          <w:rFonts w:asciiTheme="minorHAnsi" w:hAnsiTheme="minorHAnsi"/>
          <w:color w:val="221E1F"/>
          <w:sz w:val="22"/>
        </w:rPr>
        <w:softHyphen/>
        <w:t>tively for the length of time required for healing and/or rehabilitation.</w:t>
      </w:r>
    </w:p>
    <w:p w:rsidR="00E928C0" w:rsidRPr="00497699" w:rsidRDefault="00E928C0" w:rsidP="00E928C0">
      <w:pPr>
        <w:pStyle w:val="Default"/>
        <w:spacing w:line="276" w:lineRule="auto"/>
        <w:ind w:left="1433" w:hanging="1320"/>
        <w:rPr>
          <w:rStyle w:val="A8"/>
          <w:rFonts w:asciiTheme="minorHAnsi" w:hAnsiTheme="minorHAnsi"/>
          <w:color w:val="221E1F"/>
          <w:sz w:val="22"/>
        </w:rPr>
      </w:pPr>
      <w:r w:rsidRPr="00497699">
        <w:rPr>
          <w:rStyle w:val="A8"/>
          <w:rFonts w:asciiTheme="minorHAnsi" w:hAnsiTheme="minorHAnsi"/>
          <w:color w:val="221E1F"/>
          <w:sz w:val="22"/>
        </w:rPr>
        <w:t xml:space="preserve"> </w:t>
      </w: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1.10.9 </w:t>
      </w:r>
      <w:r w:rsidRPr="00497699">
        <w:rPr>
          <w:rStyle w:val="A8"/>
          <w:rFonts w:asciiTheme="minorHAnsi" w:hAnsiTheme="minorHAnsi"/>
          <w:color w:val="221E1F"/>
          <w:sz w:val="22"/>
        </w:rPr>
        <w:tab/>
        <w:t>In exceptional circumstances, if clotting factor concentrates are not available, blood bank support for the provision of alternative plasma compo</w:t>
      </w:r>
      <w:r w:rsidRPr="00497699">
        <w:rPr>
          <w:rStyle w:val="A8"/>
          <w:rFonts w:asciiTheme="minorHAnsi" w:hAnsiTheme="minorHAnsi"/>
          <w:color w:val="221E1F"/>
          <w:sz w:val="22"/>
        </w:rPr>
        <w:softHyphen/>
        <w:t>nents may be needed.</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1.10.10 </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The</w:t>
      </w:r>
      <w:proofErr w:type="gramEnd"/>
      <w:r w:rsidRPr="00497699">
        <w:rPr>
          <w:rStyle w:val="A8"/>
          <w:rFonts w:asciiTheme="minorHAnsi" w:hAnsiTheme="minorHAnsi"/>
          <w:color w:val="221E1F"/>
          <w:sz w:val="22"/>
        </w:rPr>
        <w:t xml:space="preserve"> dosage and duration of clotting factor concentrate coverage depends on the type of surgery p</w:t>
      </w:r>
      <w:r w:rsidR="00C83A3F">
        <w:rPr>
          <w:rStyle w:val="A8"/>
          <w:rFonts w:asciiTheme="minorHAnsi" w:hAnsiTheme="minorHAnsi"/>
          <w:color w:val="221E1F"/>
          <w:sz w:val="22"/>
        </w:rPr>
        <w:t>erformed (see Table 7-1</w:t>
      </w:r>
      <w:r w:rsidRPr="00497699">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1.10.11 </w:t>
      </w:r>
      <w:r w:rsidRPr="00497699">
        <w:rPr>
          <w:rStyle w:val="A8"/>
          <w:rFonts w:asciiTheme="minorHAnsi" w:hAnsiTheme="minorHAnsi"/>
          <w:color w:val="221E1F"/>
          <w:sz w:val="22"/>
        </w:rPr>
        <w:tab/>
        <w:t>Effectiveness of haemostasis for surgical proce</w:t>
      </w:r>
      <w:r w:rsidRPr="00497699">
        <w:rPr>
          <w:rStyle w:val="A8"/>
          <w:rFonts w:asciiTheme="minorHAnsi" w:hAnsiTheme="minorHAnsi"/>
          <w:color w:val="221E1F"/>
          <w:sz w:val="22"/>
        </w:rPr>
        <w:softHyphen/>
        <w:t xml:space="preserve">dures may be judged as per criteria defined by the Scientific and Standardization Committee of the International Society on Thrombosis and Haemostasis (see Table 1-7) </w:t>
      </w:r>
      <w:r w:rsidRPr="00497699">
        <w:rPr>
          <w:rStyle w:val="A8"/>
          <w:rFonts w:asciiTheme="minorHAnsi" w:hAnsiTheme="minorHAnsi"/>
          <w:color w:val="221E1F"/>
          <w:sz w:val="22"/>
          <w:vertAlign w:val="superscript"/>
        </w:rPr>
        <w:t>[64].</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b/>
          <w:color w:val="221E1F"/>
          <w:sz w:val="22"/>
          <w:szCs w:val="28"/>
          <w:lang w:eastAsia="en-AU"/>
        </w:rPr>
      </w:pPr>
      <w:r w:rsidRPr="00497699">
        <w:rPr>
          <w:rStyle w:val="A8"/>
          <w:rFonts w:asciiTheme="minorHAnsi" w:hAnsiTheme="minorHAnsi"/>
          <w:color w:val="221E1F"/>
          <w:sz w:val="22"/>
        </w:rPr>
        <w:t>1.10.12</w:t>
      </w:r>
      <w:r w:rsidRPr="00497699">
        <w:rPr>
          <w:rStyle w:val="A8"/>
          <w:rFonts w:asciiTheme="minorHAnsi" w:hAnsiTheme="minorHAnsi"/>
          <w:color w:val="221E1F"/>
          <w:sz w:val="22"/>
        </w:rPr>
        <w:tab/>
      </w:r>
      <w:r w:rsidRPr="00497699">
        <w:rPr>
          <w:rStyle w:val="A8"/>
          <w:rFonts w:asciiTheme="minorHAnsi" w:hAnsiTheme="minorHAnsi"/>
          <w:b/>
          <w:color w:val="221E1F"/>
          <w:sz w:val="22"/>
        </w:rPr>
        <w:t>Patients with mild or moderate haemophilia A, as well as patients receiving intensive factor replacement for the first time, are at particular risk of inhib</w:t>
      </w:r>
      <w:r w:rsidRPr="00497699">
        <w:rPr>
          <w:rStyle w:val="A8"/>
          <w:rFonts w:asciiTheme="minorHAnsi" w:hAnsiTheme="minorHAnsi"/>
          <w:b/>
          <w:color w:val="221E1F"/>
          <w:sz w:val="22"/>
        </w:rPr>
        <w:softHyphen/>
        <w:t xml:space="preserve">itor development and should be re-screened 4–12 weeks post-operatively. </w:t>
      </w:r>
      <w:r w:rsidRPr="00497699">
        <w:rPr>
          <w:rStyle w:val="A8"/>
          <w:rFonts w:asciiTheme="minorHAnsi" w:hAnsiTheme="minorHAnsi"/>
          <w:b/>
          <w:color w:val="221E1F"/>
          <w:sz w:val="22"/>
          <w:vertAlign w:val="superscript"/>
        </w:rPr>
        <w:t>[54]</w:t>
      </w:r>
      <w:r w:rsidRPr="00497699">
        <w:rPr>
          <w:rStyle w:val="A8"/>
          <w:rFonts w:asciiTheme="minorHAnsi" w:hAnsiTheme="minorHAnsi"/>
          <w:b/>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1.10.13 </w:t>
      </w:r>
      <w:r w:rsidRPr="00497699">
        <w:rPr>
          <w:rStyle w:val="A8"/>
          <w:rFonts w:asciiTheme="minorHAnsi" w:hAnsiTheme="minorHAnsi"/>
          <w:color w:val="221E1F"/>
          <w:sz w:val="22"/>
        </w:rPr>
        <w:tab/>
      </w:r>
      <w:r w:rsidRPr="00497699">
        <w:rPr>
          <w:rStyle w:val="A8"/>
          <w:rFonts w:asciiTheme="minorHAnsi" w:hAnsiTheme="minorHAnsi"/>
          <w:b/>
          <w:color w:val="221E1F"/>
          <w:sz w:val="22"/>
        </w:rPr>
        <w:t>Mutation testing may be used to further assess the risk of inhibitor formation in the post-operative period in patients with mild to moderate haemophilia. Mutation analysis should ideally be performed prior to major invasive procedures.</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1.10.14 </w:t>
      </w:r>
      <w:r w:rsidRPr="00497699">
        <w:rPr>
          <w:rStyle w:val="A8"/>
          <w:rFonts w:asciiTheme="minorHAnsi" w:hAnsiTheme="minorHAnsi"/>
          <w:color w:val="221E1F"/>
          <w:sz w:val="22"/>
        </w:rPr>
        <w:tab/>
        <w:t>Careful monitoring for inhibitors is also advis</w:t>
      </w:r>
      <w:r w:rsidRPr="00497699">
        <w:rPr>
          <w:rStyle w:val="A8"/>
          <w:rFonts w:asciiTheme="minorHAnsi" w:hAnsiTheme="minorHAnsi"/>
          <w:color w:val="221E1F"/>
          <w:sz w:val="22"/>
        </w:rPr>
        <w:softHyphen/>
        <w:t xml:space="preserve">able in patients with non-severe haemophilia </w:t>
      </w:r>
      <w:proofErr w:type="gramStart"/>
      <w:r w:rsidRPr="00497699">
        <w:rPr>
          <w:rStyle w:val="A8"/>
          <w:rFonts w:asciiTheme="minorHAnsi" w:hAnsiTheme="minorHAnsi"/>
          <w:color w:val="221E1F"/>
          <w:sz w:val="22"/>
        </w:rPr>
        <w:t>A</w:t>
      </w:r>
      <w:proofErr w:type="gramEnd"/>
      <w:r w:rsidRPr="00497699">
        <w:rPr>
          <w:rStyle w:val="A8"/>
          <w:rFonts w:asciiTheme="minorHAnsi" w:hAnsiTheme="minorHAnsi"/>
          <w:color w:val="221E1F"/>
          <w:sz w:val="22"/>
        </w:rPr>
        <w:t xml:space="preserve"> receiving continuous infusion after surgery, particularly in individuals with high risk mutations. </w:t>
      </w:r>
      <w:r w:rsidRPr="00497699">
        <w:rPr>
          <w:rStyle w:val="A8"/>
          <w:rFonts w:asciiTheme="minorHAnsi" w:hAnsiTheme="minorHAnsi"/>
          <w:color w:val="221E1F"/>
          <w:sz w:val="22"/>
          <w:vertAlign w:val="superscript"/>
        </w:rPr>
        <w:t>[55]</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 xml:space="preserve">1.10.15 </w:t>
      </w:r>
      <w:r w:rsidRPr="00497699">
        <w:rPr>
          <w:rStyle w:val="A8"/>
          <w:rFonts w:asciiTheme="minorHAnsi" w:hAnsiTheme="minorHAnsi"/>
          <w:color w:val="221E1F"/>
          <w:sz w:val="22"/>
        </w:rPr>
        <w:tab/>
        <w:t>Infusion of factor concentrates/haemostatic agents is necessary before invasive diagnostic proce</w:t>
      </w:r>
      <w:r w:rsidRPr="00497699">
        <w:rPr>
          <w:rStyle w:val="A8"/>
          <w:rFonts w:asciiTheme="minorHAnsi" w:hAnsiTheme="minorHAnsi"/>
          <w:color w:val="221E1F"/>
          <w:sz w:val="22"/>
        </w:rPr>
        <w:softHyphen/>
        <w:t>dures such as lumbar puncture, arterial blood gas determination, or any endoscopy with biopsy.</w:t>
      </w:r>
    </w:p>
    <w:p w:rsidR="00E928C0" w:rsidRDefault="00E928C0" w:rsidP="00E928C0">
      <w:pPr>
        <w:pStyle w:val="Default"/>
        <w:ind w:left="567" w:right="557"/>
        <w:rPr>
          <w:rFonts w:asciiTheme="minorHAnsi" w:hAnsiTheme="minorHAnsi" w:cs="Arial"/>
          <w:color w:val="221E1F"/>
          <w:sz w:val="22"/>
          <w:szCs w:val="22"/>
        </w:rPr>
      </w:pPr>
    </w:p>
    <w:p w:rsidR="00AF50AF" w:rsidRDefault="00AF50AF" w:rsidP="00E928C0">
      <w:pPr>
        <w:pStyle w:val="Default"/>
        <w:ind w:left="567" w:right="557"/>
        <w:rPr>
          <w:rFonts w:asciiTheme="minorHAnsi" w:hAnsiTheme="minorHAnsi" w:cs="Arial"/>
          <w:color w:val="221E1F"/>
          <w:sz w:val="22"/>
          <w:szCs w:val="22"/>
        </w:rPr>
      </w:pPr>
    </w:p>
    <w:p w:rsidR="00AF50AF" w:rsidRDefault="00AF50AF" w:rsidP="00E928C0">
      <w:pPr>
        <w:pStyle w:val="Default"/>
        <w:ind w:left="567" w:right="557"/>
        <w:rPr>
          <w:rFonts w:asciiTheme="minorHAnsi" w:hAnsiTheme="minorHAnsi" w:cs="Arial"/>
          <w:color w:val="221E1F"/>
          <w:sz w:val="22"/>
          <w:szCs w:val="22"/>
        </w:rPr>
      </w:pPr>
    </w:p>
    <w:p w:rsidR="00AF50AF" w:rsidRDefault="00AF50AF" w:rsidP="00E928C0">
      <w:pPr>
        <w:pStyle w:val="Default"/>
        <w:ind w:left="567" w:right="557"/>
        <w:rPr>
          <w:rFonts w:asciiTheme="minorHAnsi" w:hAnsiTheme="minorHAnsi" w:cs="Arial"/>
          <w:color w:val="221E1F"/>
          <w:sz w:val="22"/>
          <w:szCs w:val="22"/>
        </w:rPr>
      </w:pPr>
    </w:p>
    <w:p w:rsidR="00AF50AF" w:rsidRDefault="00AF50AF" w:rsidP="00E928C0">
      <w:pPr>
        <w:pStyle w:val="Default"/>
        <w:ind w:left="567" w:right="557"/>
        <w:rPr>
          <w:rFonts w:asciiTheme="minorHAnsi" w:hAnsiTheme="minorHAnsi" w:cs="Arial"/>
          <w:color w:val="221E1F"/>
          <w:sz w:val="22"/>
          <w:szCs w:val="22"/>
        </w:rPr>
      </w:pPr>
    </w:p>
    <w:p w:rsidR="00AF50AF" w:rsidRDefault="00AF50AF" w:rsidP="00E928C0">
      <w:pPr>
        <w:pStyle w:val="Default"/>
        <w:ind w:left="567" w:right="557"/>
        <w:rPr>
          <w:rFonts w:asciiTheme="minorHAnsi" w:hAnsiTheme="minorHAnsi" w:cs="Arial"/>
          <w:color w:val="221E1F"/>
          <w:sz w:val="22"/>
          <w:szCs w:val="22"/>
        </w:rPr>
      </w:pPr>
    </w:p>
    <w:p w:rsidR="00AF50AF" w:rsidRDefault="00AF50AF" w:rsidP="00E928C0">
      <w:pPr>
        <w:pStyle w:val="Default"/>
        <w:ind w:left="567" w:right="557"/>
        <w:rPr>
          <w:rFonts w:asciiTheme="minorHAnsi" w:hAnsiTheme="minorHAnsi" w:cs="Arial"/>
          <w:color w:val="221E1F"/>
          <w:sz w:val="22"/>
          <w:szCs w:val="22"/>
        </w:rPr>
      </w:pPr>
    </w:p>
    <w:p w:rsidR="00AF50AF" w:rsidRDefault="00AF50AF" w:rsidP="00E928C0">
      <w:pPr>
        <w:pStyle w:val="Default"/>
        <w:ind w:left="567" w:right="557"/>
        <w:rPr>
          <w:rFonts w:asciiTheme="minorHAnsi" w:hAnsiTheme="minorHAnsi" w:cs="Arial"/>
          <w:color w:val="221E1F"/>
          <w:sz w:val="22"/>
          <w:szCs w:val="22"/>
        </w:rPr>
      </w:pPr>
    </w:p>
    <w:p w:rsidR="00AF50AF" w:rsidRDefault="00AF50AF" w:rsidP="00E928C0">
      <w:pPr>
        <w:pStyle w:val="Default"/>
        <w:ind w:left="567" w:right="557"/>
        <w:rPr>
          <w:rFonts w:asciiTheme="minorHAnsi" w:hAnsiTheme="minorHAnsi" w:cs="Arial"/>
          <w:color w:val="221E1F"/>
          <w:sz w:val="22"/>
          <w:szCs w:val="22"/>
        </w:rPr>
      </w:pPr>
    </w:p>
    <w:p w:rsidR="00AF50AF" w:rsidRDefault="00AF50AF" w:rsidP="00E928C0">
      <w:pPr>
        <w:pStyle w:val="Default"/>
        <w:ind w:left="567" w:right="557"/>
        <w:rPr>
          <w:rFonts w:asciiTheme="minorHAnsi" w:hAnsiTheme="minorHAnsi" w:cs="Arial"/>
          <w:color w:val="221E1F"/>
          <w:sz w:val="22"/>
          <w:szCs w:val="22"/>
        </w:rPr>
      </w:pPr>
    </w:p>
    <w:p w:rsidR="00AF50AF" w:rsidRPr="00497699" w:rsidRDefault="00AF50AF" w:rsidP="00E928C0">
      <w:pPr>
        <w:pStyle w:val="Default"/>
        <w:ind w:left="567" w:right="557"/>
        <w:rPr>
          <w:rFonts w:asciiTheme="minorHAnsi" w:hAnsiTheme="minorHAnsi" w:cs="Arial"/>
          <w:color w:val="221E1F"/>
          <w:sz w:val="22"/>
          <w:szCs w:val="22"/>
        </w:rPr>
      </w:pPr>
    </w:p>
    <w:p w:rsidR="00E928C0" w:rsidRPr="00497699" w:rsidRDefault="00E928C0" w:rsidP="00041ED2">
      <w:pPr>
        <w:pStyle w:val="Pa19"/>
        <w:spacing w:before="140" w:after="80"/>
        <w:ind w:right="557"/>
        <w:rPr>
          <w:rStyle w:val="A8"/>
          <w:rFonts w:asciiTheme="minorHAnsi" w:hAnsiTheme="minorHAnsi" w:cs="Arial"/>
          <w:b/>
          <w:color w:val="221E1F"/>
          <w:sz w:val="22"/>
          <w:szCs w:val="28"/>
          <w:lang w:eastAsia="en-AU"/>
        </w:rPr>
      </w:pPr>
      <w:r w:rsidRPr="00497699">
        <w:rPr>
          <w:rStyle w:val="A8"/>
          <w:rFonts w:asciiTheme="minorHAnsi" w:hAnsiTheme="minorHAnsi"/>
          <w:b/>
          <w:color w:val="221E1F"/>
          <w:sz w:val="22"/>
        </w:rPr>
        <w:lastRenderedPageBreak/>
        <w:t xml:space="preserve">TABLE 1-7: DEFINITION OF ADEQUACY OF HAEMOSTASIS FOR SURGICAL PROCEDURES </w:t>
      </w:r>
      <w:r w:rsidRPr="00497699">
        <w:rPr>
          <w:rStyle w:val="A8"/>
          <w:rFonts w:asciiTheme="minorHAnsi" w:hAnsiTheme="minorHAnsi"/>
          <w:b/>
          <w:color w:val="221E1F"/>
          <w:sz w:val="22"/>
          <w:vertAlign w:val="superscript"/>
        </w:rPr>
        <w:t>[64]</w:t>
      </w:r>
      <w:r w:rsidRPr="00497699">
        <w:rPr>
          <w:rStyle w:val="A8"/>
          <w:rFonts w:asciiTheme="minorHAnsi" w:hAnsiTheme="minorHAnsi"/>
          <w:b/>
          <w:color w:val="221E1F"/>
          <w:sz w:val="22"/>
        </w:rPr>
        <w:t xml:space="preserve"> </w:t>
      </w:r>
    </w:p>
    <w:tbl>
      <w:tblPr>
        <w:tblW w:w="10065" w:type="dxa"/>
        <w:tblLayout w:type="fixed"/>
        <w:tblCellMar>
          <w:left w:w="0" w:type="dxa"/>
          <w:right w:w="0" w:type="dxa"/>
        </w:tblCellMar>
        <w:tblLook w:val="01E0" w:firstRow="1" w:lastRow="1" w:firstColumn="1" w:lastColumn="1" w:noHBand="0" w:noVBand="0"/>
      </w:tblPr>
      <w:tblGrid>
        <w:gridCol w:w="1164"/>
        <w:gridCol w:w="8901"/>
      </w:tblGrid>
      <w:tr w:rsidR="00E928C0" w:rsidRPr="00497699" w:rsidTr="00041ED2">
        <w:trPr>
          <w:trHeight w:hRule="exact" w:val="1040"/>
        </w:trPr>
        <w:tc>
          <w:tcPr>
            <w:tcW w:w="1164" w:type="dxa"/>
            <w:tcBorders>
              <w:top w:val="single" w:sz="32" w:space="0" w:color="FFFFFF"/>
              <w:left w:val="nil"/>
              <w:bottom w:val="single" w:sz="32" w:space="0" w:color="FFFFFF"/>
              <w:right w:val="single" w:sz="32" w:space="0" w:color="FFFFFF"/>
            </w:tcBorders>
            <w:shd w:val="clear" w:color="auto" w:fill="E6E7E8"/>
            <w:textDirection w:val="btLr"/>
          </w:tcPr>
          <w:p w:rsidR="00E928C0" w:rsidRPr="00497699" w:rsidRDefault="00E928C0" w:rsidP="002A1763">
            <w:pPr>
              <w:spacing w:before="1" w:after="0" w:line="110" w:lineRule="exact"/>
              <w:rPr>
                <w:rFonts w:asciiTheme="minorHAnsi" w:hAnsiTheme="minorHAnsi"/>
                <w:sz w:val="11"/>
                <w:szCs w:val="11"/>
              </w:rPr>
            </w:pPr>
          </w:p>
          <w:p w:rsidR="00E928C0" w:rsidRPr="00497699" w:rsidRDefault="00E928C0" w:rsidP="002A1763">
            <w:pPr>
              <w:spacing w:after="0"/>
              <w:ind w:left="97" w:right="-20"/>
              <w:rPr>
                <w:rFonts w:asciiTheme="minorHAnsi" w:eastAsia="Arial" w:hAnsiTheme="minorHAnsi" w:cs="Arial"/>
                <w:sz w:val="18"/>
                <w:szCs w:val="18"/>
              </w:rPr>
            </w:pPr>
            <w:r w:rsidRPr="00497699">
              <w:rPr>
                <w:rFonts w:asciiTheme="minorHAnsi" w:eastAsia="Arial" w:hAnsiTheme="minorHAnsi" w:cs="Arial"/>
                <w:color w:val="231F20"/>
                <w:w w:val="105"/>
                <w:sz w:val="18"/>
                <w:szCs w:val="18"/>
              </w:rPr>
              <w:t>Excellent</w:t>
            </w:r>
          </w:p>
        </w:tc>
        <w:tc>
          <w:tcPr>
            <w:tcW w:w="8901" w:type="dxa"/>
            <w:tcBorders>
              <w:top w:val="single" w:sz="32" w:space="0" w:color="FFFFFF"/>
              <w:left w:val="single" w:sz="32" w:space="0" w:color="FFFFFF"/>
              <w:bottom w:val="single" w:sz="32" w:space="0" w:color="FFFFFF"/>
              <w:right w:val="nil"/>
            </w:tcBorders>
            <w:shd w:val="clear" w:color="auto" w:fill="E6E7E8"/>
          </w:tcPr>
          <w:p w:rsidR="00E928C0" w:rsidRPr="00497699" w:rsidRDefault="00E928C0" w:rsidP="002A1763">
            <w:pPr>
              <w:spacing w:before="9" w:after="0" w:line="150" w:lineRule="exact"/>
              <w:rPr>
                <w:rFonts w:asciiTheme="minorHAnsi" w:hAnsiTheme="minorHAnsi"/>
                <w:sz w:val="15"/>
                <w:szCs w:val="15"/>
              </w:rPr>
            </w:pPr>
          </w:p>
          <w:p w:rsidR="00E928C0" w:rsidRPr="00497699" w:rsidRDefault="00E928C0" w:rsidP="002A1763">
            <w:pPr>
              <w:spacing w:after="0"/>
              <w:ind w:left="80" w:right="-20"/>
              <w:rPr>
                <w:rFonts w:asciiTheme="minorHAnsi" w:eastAsia="Arial" w:hAnsiTheme="minorHAnsi" w:cs="Arial"/>
                <w:sz w:val="18"/>
                <w:szCs w:val="18"/>
              </w:rPr>
            </w:pPr>
            <w:r w:rsidRPr="00497699">
              <w:rPr>
                <w:rFonts w:asciiTheme="minorHAnsi" w:eastAsia="Arial" w:hAnsiTheme="minorHAnsi" w:cs="Arial"/>
                <w:color w:val="231F20"/>
                <w:sz w:val="18"/>
                <w:szCs w:val="18"/>
              </w:rPr>
              <w:t>Intra-operative</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sz w:val="18"/>
                <w:szCs w:val="18"/>
              </w:rPr>
              <w:t>and</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post-operative</w:t>
            </w:r>
            <w:r w:rsidRPr="00497699">
              <w:rPr>
                <w:rFonts w:asciiTheme="minorHAnsi" w:eastAsia="Arial" w:hAnsiTheme="minorHAnsi" w:cs="Arial"/>
                <w:color w:val="231F20"/>
                <w:spacing w:val="39"/>
                <w:sz w:val="18"/>
                <w:szCs w:val="18"/>
              </w:rPr>
              <w:t xml:space="preserve"> </w:t>
            </w:r>
            <w:r w:rsidRPr="00497699">
              <w:rPr>
                <w:rFonts w:asciiTheme="minorHAnsi" w:eastAsia="Arial" w:hAnsiTheme="minorHAnsi" w:cs="Arial"/>
                <w:color w:val="231F20"/>
                <w:sz w:val="18"/>
                <w:szCs w:val="18"/>
              </w:rPr>
              <w:t>blood</w:t>
            </w:r>
            <w:r w:rsidRPr="00497699">
              <w:rPr>
                <w:rFonts w:asciiTheme="minorHAnsi" w:eastAsia="Arial" w:hAnsiTheme="minorHAnsi" w:cs="Arial"/>
                <w:color w:val="231F20"/>
                <w:spacing w:val="40"/>
                <w:sz w:val="18"/>
                <w:szCs w:val="18"/>
              </w:rPr>
              <w:t xml:space="preserve"> </w:t>
            </w:r>
            <w:r w:rsidRPr="00497699">
              <w:rPr>
                <w:rFonts w:asciiTheme="minorHAnsi" w:eastAsia="Arial" w:hAnsiTheme="minorHAnsi" w:cs="Arial"/>
                <w:color w:val="231F20"/>
                <w:sz w:val="18"/>
                <w:szCs w:val="18"/>
              </w:rPr>
              <w:t>loss</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z w:val="18"/>
                <w:szCs w:val="18"/>
              </w:rPr>
              <w:t>similar (within</w:t>
            </w:r>
            <w:r w:rsidRPr="00497699">
              <w:rPr>
                <w:rFonts w:asciiTheme="minorHAnsi" w:eastAsia="Arial" w:hAnsiTheme="minorHAnsi" w:cs="Arial"/>
                <w:color w:val="231F20"/>
                <w:spacing w:val="15"/>
                <w:sz w:val="18"/>
                <w:szCs w:val="18"/>
              </w:rPr>
              <w:t xml:space="preserve"> </w:t>
            </w:r>
            <w:r w:rsidRPr="00497699">
              <w:rPr>
                <w:rFonts w:asciiTheme="minorHAnsi" w:eastAsia="Arial" w:hAnsiTheme="minorHAnsi" w:cs="Arial"/>
                <w:color w:val="231F20"/>
                <w:sz w:val="18"/>
                <w:szCs w:val="18"/>
              </w:rPr>
              <w:t>10%)</w:t>
            </w:r>
            <w:r w:rsidRPr="00497699">
              <w:rPr>
                <w:rFonts w:asciiTheme="minorHAnsi" w:eastAsia="Arial" w:hAnsiTheme="minorHAnsi" w:cs="Arial"/>
                <w:color w:val="231F20"/>
                <w:spacing w:val="-16"/>
                <w:sz w:val="18"/>
                <w:szCs w:val="18"/>
              </w:rPr>
              <w:t xml:space="preserve"> </w:t>
            </w:r>
            <w:r w:rsidRPr="00497699">
              <w:rPr>
                <w:rFonts w:asciiTheme="minorHAnsi" w:eastAsia="Arial" w:hAnsiTheme="minorHAnsi" w:cs="Arial"/>
                <w:color w:val="231F20"/>
                <w:sz w:val="18"/>
                <w:szCs w:val="18"/>
              </w:rPr>
              <w:t>to</w:t>
            </w:r>
            <w:r w:rsidRPr="00497699">
              <w:rPr>
                <w:rFonts w:asciiTheme="minorHAnsi" w:eastAsia="Arial" w:hAnsiTheme="minorHAnsi" w:cs="Arial"/>
                <w:color w:val="231F20"/>
                <w:spacing w:val="25"/>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non-haemophilic</w:t>
            </w:r>
            <w:r w:rsidRPr="00497699">
              <w:rPr>
                <w:rFonts w:asciiTheme="minorHAnsi" w:eastAsia="Arial" w:hAnsiTheme="minorHAnsi" w:cs="Arial"/>
                <w:color w:val="231F20"/>
                <w:spacing w:val="29"/>
                <w:sz w:val="18"/>
                <w:szCs w:val="18"/>
              </w:rPr>
              <w:t xml:space="preserve"> </w:t>
            </w:r>
            <w:r w:rsidRPr="00497699">
              <w:rPr>
                <w:rFonts w:asciiTheme="minorHAnsi" w:eastAsia="Arial" w:hAnsiTheme="minorHAnsi" w:cs="Arial"/>
                <w:color w:val="231F20"/>
                <w:w w:val="105"/>
                <w:sz w:val="18"/>
                <w:szCs w:val="18"/>
              </w:rPr>
              <w:t>patient.</w:t>
            </w:r>
          </w:p>
          <w:p w:rsidR="00E928C0" w:rsidRPr="00497699" w:rsidRDefault="00E928C0" w:rsidP="002A1763">
            <w:pPr>
              <w:spacing w:before="13" w:after="0"/>
              <w:ind w:left="80" w:right="-20"/>
              <w:rPr>
                <w:rFonts w:asciiTheme="minorHAnsi" w:eastAsia="Arial" w:hAnsiTheme="minorHAnsi" w:cs="Arial"/>
                <w:sz w:val="18"/>
                <w:szCs w:val="18"/>
              </w:rPr>
            </w:pPr>
            <w:r w:rsidRPr="00497699">
              <w:rPr>
                <w:rFonts w:ascii="Arial" w:hAnsi="Arial" w:cs="Arial"/>
                <w:color w:val="231F20"/>
                <w:w w:val="67"/>
                <w:sz w:val="18"/>
                <w:szCs w:val="18"/>
              </w:rPr>
              <w:t>■</w:t>
            </w:r>
            <w:r w:rsidRPr="00497699">
              <w:rPr>
                <w:rFonts w:asciiTheme="minorHAnsi" w:hAnsiTheme="minorHAnsi"/>
                <w:color w:val="231F20"/>
                <w:w w:val="67"/>
                <w:sz w:val="18"/>
                <w:szCs w:val="18"/>
              </w:rPr>
              <w:t xml:space="preserve"> </w:t>
            </w:r>
            <w:r w:rsidRPr="00497699">
              <w:rPr>
                <w:rFonts w:asciiTheme="minorHAnsi" w:hAnsiTheme="minorHAnsi"/>
                <w:color w:val="231F20"/>
                <w:spacing w:val="27"/>
                <w:w w:val="67"/>
                <w:sz w:val="18"/>
                <w:szCs w:val="18"/>
              </w:rPr>
              <w:t xml:space="preserve"> </w:t>
            </w:r>
            <w:r w:rsidRPr="00497699">
              <w:rPr>
                <w:rFonts w:asciiTheme="minorHAnsi" w:eastAsia="Arial" w:hAnsiTheme="minorHAnsi" w:cs="Arial"/>
                <w:color w:val="231F20"/>
                <w:sz w:val="18"/>
                <w:szCs w:val="18"/>
              </w:rPr>
              <w:t>No</w:t>
            </w:r>
            <w:r w:rsidRPr="00497699">
              <w:rPr>
                <w:rFonts w:asciiTheme="minorHAnsi" w:eastAsia="Arial" w:hAnsiTheme="minorHAnsi" w:cs="Arial"/>
                <w:color w:val="231F20"/>
                <w:spacing w:val="21"/>
                <w:sz w:val="18"/>
                <w:szCs w:val="18"/>
              </w:rPr>
              <w:t xml:space="preserve"> </w:t>
            </w:r>
            <w:r w:rsidRPr="00497699">
              <w:rPr>
                <w:rFonts w:asciiTheme="minorHAnsi" w:eastAsia="Arial" w:hAnsiTheme="minorHAnsi" w:cs="Arial"/>
                <w:color w:val="231F20"/>
                <w:sz w:val="18"/>
                <w:szCs w:val="18"/>
              </w:rPr>
              <w:t>extra</w:t>
            </w:r>
            <w:r w:rsidRPr="00497699">
              <w:rPr>
                <w:rFonts w:asciiTheme="minorHAnsi" w:eastAsia="Arial" w:hAnsiTheme="minorHAnsi" w:cs="Arial"/>
                <w:color w:val="231F20"/>
                <w:spacing w:val="13"/>
                <w:sz w:val="18"/>
                <w:szCs w:val="18"/>
              </w:rPr>
              <w:t xml:space="preserve"> </w:t>
            </w:r>
            <w:r w:rsidRPr="00497699">
              <w:rPr>
                <w:rFonts w:asciiTheme="minorHAnsi" w:eastAsia="Arial" w:hAnsiTheme="minorHAnsi" w:cs="Arial"/>
                <w:color w:val="231F20"/>
                <w:sz w:val="18"/>
                <w:szCs w:val="18"/>
              </w:rPr>
              <w:t>(unplanned)</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doses</w:t>
            </w:r>
            <w:r w:rsidRPr="00497699">
              <w:rPr>
                <w:rFonts w:asciiTheme="minorHAnsi" w:eastAsia="Arial" w:hAnsiTheme="minorHAnsi" w:cs="Arial"/>
                <w:color w:val="231F20"/>
                <w:spacing w:val="-9"/>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w w:val="98"/>
                <w:sz w:val="18"/>
                <w:szCs w:val="18"/>
              </w:rPr>
              <w:t>FVIII/FIX/bypassing</w:t>
            </w:r>
            <w:r w:rsidRPr="00497699">
              <w:rPr>
                <w:rFonts w:asciiTheme="minorHAnsi" w:eastAsia="Arial" w:hAnsiTheme="minorHAnsi" w:cs="Arial"/>
                <w:color w:val="231F20"/>
                <w:spacing w:val="6"/>
                <w:w w:val="98"/>
                <w:sz w:val="18"/>
                <w:szCs w:val="18"/>
              </w:rPr>
              <w:t xml:space="preserve"> </w:t>
            </w:r>
            <w:r w:rsidRPr="00497699">
              <w:rPr>
                <w:rFonts w:asciiTheme="minorHAnsi" w:eastAsia="Arial" w:hAnsiTheme="minorHAnsi" w:cs="Arial"/>
                <w:color w:val="231F20"/>
                <w:sz w:val="18"/>
                <w:szCs w:val="18"/>
              </w:rPr>
              <w:t>agents</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needed</w:t>
            </w:r>
            <w:r w:rsidRPr="00497699">
              <w:rPr>
                <w:rFonts w:asciiTheme="minorHAnsi" w:eastAsia="Arial" w:hAnsiTheme="minorHAnsi" w:cs="Arial"/>
                <w:color w:val="231F20"/>
                <w:spacing w:val="23"/>
                <w:sz w:val="18"/>
                <w:szCs w:val="18"/>
              </w:rPr>
              <w:t xml:space="preserve"> </w:t>
            </w:r>
            <w:r w:rsidRPr="00497699">
              <w:rPr>
                <w:rFonts w:asciiTheme="minorHAnsi" w:eastAsia="Arial" w:hAnsiTheme="minorHAnsi" w:cs="Arial"/>
                <w:color w:val="231F20"/>
                <w:w w:val="105"/>
                <w:sz w:val="18"/>
                <w:szCs w:val="18"/>
              </w:rPr>
              <w:t>AND</w:t>
            </w:r>
          </w:p>
          <w:p w:rsidR="00E928C0" w:rsidRPr="00497699" w:rsidRDefault="00E928C0" w:rsidP="002A1763">
            <w:pPr>
              <w:spacing w:before="12" w:after="0"/>
              <w:ind w:left="80" w:right="-20"/>
              <w:rPr>
                <w:rFonts w:asciiTheme="minorHAnsi" w:eastAsia="Arial" w:hAnsiTheme="minorHAnsi" w:cs="Arial"/>
                <w:sz w:val="18"/>
                <w:szCs w:val="18"/>
              </w:rPr>
            </w:pPr>
            <w:r w:rsidRPr="00497699">
              <w:rPr>
                <w:rFonts w:ascii="Arial" w:hAnsi="Arial" w:cs="Arial"/>
                <w:color w:val="231F20"/>
                <w:w w:val="67"/>
                <w:sz w:val="18"/>
                <w:szCs w:val="18"/>
              </w:rPr>
              <w:t>■</w:t>
            </w:r>
            <w:r w:rsidRPr="00497699">
              <w:rPr>
                <w:rFonts w:asciiTheme="minorHAnsi" w:hAnsiTheme="minorHAnsi"/>
                <w:color w:val="231F20"/>
                <w:w w:val="67"/>
                <w:sz w:val="18"/>
                <w:szCs w:val="18"/>
              </w:rPr>
              <w:t xml:space="preserve"> </w:t>
            </w:r>
            <w:r w:rsidRPr="00497699">
              <w:rPr>
                <w:rFonts w:asciiTheme="minorHAnsi" w:hAnsiTheme="minorHAnsi"/>
                <w:color w:val="231F20"/>
                <w:spacing w:val="27"/>
                <w:w w:val="67"/>
                <w:sz w:val="18"/>
                <w:szCs w:val="18"/>
              </w:rPr>
              <w:t xml:space="preserve"> </w:t>
            </w:r>
            <w:r w:rsidRPr="00497699">
              <w:rPr>
                <w:rFonts w:asciiTheme="minorHAnsi" w:eastAsia="Arial" w:hAnsiTheme="minorHAnsi" w:cs="Arial"/>
                <w:color w:val="231F20"/>
                <w:sz w:val="18"/>
                <w:szCs w:val="18"/>
              </w:rPr>
              <w:t>Blood</w:t>
            </w:r>
            <w:r w:rsidRPr="00497699">
              <w:rPr>
                <w:rFonts w:asciiTheme="minorHAnsi" w:eastAsia="Arial" w:hAnsiTheme="minorHAnsi" w:cs="Arial"/>
                <w:color w:val="231F20"/>
                <w:spacing w:val="23"/>
                <w:sz w:val="18"/>
                <w:szCs w:val="18"/>
              </w:rPr>
              <w:t xml:space="preserve"> </w:t>
            </w:r>
            <w:r w:rsidRPr="00497699">
              <w:rPr>
                <w:rFonts w:asciiTheme="minorHAnsi" w:eastAsia="Arial" w:hAnsiTheme="minorHAnsi" w:cs="Arial"/>
                <w:color w:val="231F20"/>
                <w:sz w:val="18"/>
                <w:szCs w:val="18"/>
              </w:rPr>
              <w:t>component</w:t>
            </w:r>
            <w:r w:rsidRPr="00497699">
              <w:rPr>
                <w:rFonts w:asciiTheme="minorHAnsi" w:eastAsia="Arial" w:hAnsiTheme="minorHAnsi" w:cs="Arial"/>
                <w:color w:val="231F20"/>
                <w:spacing w:val="41"/>
                <w:sz w:val="18"/>
                <w:szCs w:val="18"/>
              </w:rPr>
              <w:t xml:space="preserve"> </w:t>
            </w:r>
            <w:r w:rsidRPr="00497699">
              <w:rPr>
                <w:rFonts w:asciiTheme="minorHAnsi" w:eastAsia="Arial" w:hAnsiTheme="minorHAnsi" w:cs="Arial"/>
                <w:color w:val="231F20"/>
                <w:sz w:val="18"/>
                <w:szCs w:val="18"/>
              </w:rPr>
              <w:t>transfusions</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equi</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ed</w:t>
            </w:r>
            <w:r w:rsidRPr="00497699">
              <w:rPr>
                <w:rFonts w:asciiTheme="minorHAnsi" w:eastAsia="Arial" w:hAnsiTheme="minorHAnsi" w:cs="Arial"/>
                <w:color w:val="231F20"/>
                <w:spacing w:val="32"/>
                <w:sz w:val="18"/>
                <w:szCs w:val="18"/>
              </w:rPr>
              <w:t xml:space="preserve"> </w:t>
            </w:r>
            <w:r w:rsidRPr="00497699">
              <w:rPr>
                <w:rFonts w:asciiTheme="minorHAnsi" w:eastAsia="Arial" w:hAnsiTheme="minorHAnsi" w:cs="Arial"/>
                <w:color w:val="231F20"/>
                <w:sz w:val="18"/>
                <w:szCs w:val="18"/>
              </w:rPr>
              <w:t>a</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 similar to</w:t>
            </w:r>
            <w:r w:rsidRPr="00497699">
              <w:rPr>
                <w:rFonts w:asciiTheme="minorHAnsi" w:eastAsia="Arial" w:hAnsiTheme="minorHAnsi" w:cs="Arial"/>
                <w:color w:val="231F20"/>
                <w:spacing w:val="25"/>
                <w:sz w:val="18"/>
                <w:szCs w:val="18"/>
              </w:rPr>
              <w:t xml:space="preserve"> </w:t>
            </w:r>
            <w:r w:rsidRPr="00497699">
              <w:rPr>
                <w:rFonts w:asciiTheme="minorHAnsi" w:eastAsia="Arial" w:hAnsiTheme="minorHAnsi" w:cs="Arial"/>
                <w:color w:val="231F20"/>
                <w:sz w:val="18"/>
                <w:szCs w:val="18"/>
              </w:rPr>
              <w:t>non-haemophilic</w:t>
            </w:r>
            <w:r w:rsidRPr="00497699">
              <w:rPr>
                <w:rFonts w:asciiTheme="minorHAnsi" w:eastAsia="Arial" w:hAnsiTheme="minorHAnsi" w:cs="Arial"/>
                <w:color w:val="231F20"/>
                <w:spacing w:val="29"/>
                <w:sz w:val="18"/>
                <w:szCs w:val="18"/>
              </w:rPr>
              <w:t xml:space="preserve"> </w:t>
            </w:r>
            <w:r w:rsidRPr="00497699">
              <w:rPr>
                <w:rFonts w:asciiTheme="minorHAnsi" w:eastAsia="Arial" w:hAnsiTheme="minorHAnsi" w:cs="Arial"/>
                <w:color w:val="231F20"/>
                <w:w w:val="106"/>
                <w:sz w:val="18"/>
                <w:szCs w:val="18"/>
              </w:rPr>
              <w:t>patient</w:t>
            </w:r>
          </w:p>
        </w:tc>
      </w:tr>
      <w:tr w:rsidR="00E928C0" w:rsidRPr="00497699" w:rsidTr="00041ED2">
        <w:trPr>
          <w:trHeight w:hRule="exact" w:val="1336"/>
        </w:trPr>
        <w:tc>
          <w:tcPr>
            <w:tcW w:w="1164" w:type="dxa"/>
            <w:tcBorders>
              <w:top w:val="single" w:sz="32" w:space="0" w:color="FFFFFF"/>
              <w:left w:val="nil"/>
              <w:bottom w:val="single" w:sz="32" w:space="0" w:color="FFFFFF"/>
              <w:right w:val="single" w:sz="32" w:space="0" w:color="FFFFFF"/>
            </w:tcBorders>
            <w:shd w:val="clear" w:color="auto" w:fill="E6E7E8"/>
            <w:textDirection w:val="btLr"/>
          </w:tcPr>
          <w:p w:rsidR="00E928C0" w:rsidRPr="00497699" w:rsidRDefault="00E928C0" w:rsidP="002A1763">
            <w:pPr>
              <w:spacing w:before="1" w:after="0" w:line="110" w:lineRule="exact"/>
              <w:rPr>
                <w:rFonts w:asciiTheme="minorHAnsi" w:hAnsiTheme="minorHAnsi"/>
                <w:sz w:val="11"/>
                <w:szCs w:val="11"/>
              </w:rPr>
            </w:pPr>
          </w:p>
          <w:p w:rsidR="00E928C0" w:rsidRPr="00497699" w:rsidRDefault="00E928C0" w:rsidP="002A1763">
            <w:pPr>
              <w:spacing w:after="0"/>
              <w:ind w:left="392" w:right="-20"/>
              <w:rPr>
                <w:rFonts w:asciiTheme="minorHAnsi" w:eastAsia="Arial" w:hAnsiTheme="minorHAnsi" w:cs="Arial"/>
                <w:sz w:val="18"/>
                <w:szCs w:val="18"/>
              </w:rPr>
            </w:pPr>
            <w:r w:rsidRPr="00497699">
              <w:rPr>
                <w:rFonts w:asciiTheme="minorHAnsi" w:eastAsia="Arial" w:hAnsiTheme="minorHAnsi" w:cs="Arial"/>
                <w:color w:val="231F20"/>
                <w:w w:val="107"/>
                <w:sz w:val="18"/>
                <w:szCs w:val="18"/>
              </w:rPr>
              <w:t>Good</w:t>
            </w:r>
          </w:p>
        </w:tc>
        <w:tc>
          <w:tcPr>
            <w:tcW w:w="8901" w:type="dxa"/>
            <w:tcBorders>
              <w:top w:val="single" w:sz="32" w:space="0" w:color="FFFFFF"/>
              <w:left w:val="single" w:sz="32" w:space="0" w:color="FFFFFF"/>
              <w:bottom w:val="single" w:sz="32" w:space="0" w:color="FFFFFF"/>
              <w:right w:val="nil"/>
            </w:tcBorders>
            <w:shd w:val="clear" w:color="auto" w:fill="E6E7E8"/>
          </w:tcPr>
          <w:p w:rsidR="00E928C0" w:rsidRPr="00497699" w:rsidRDefault="00E928C0" w:rsidP="002A1763">
            <w:pPr>
              <w:spacing w:before="87" w:after="0" w:line="255" w:lineRule="auto"/>
              <w:ind w:left="80" w:right="116"/>
              <w:rPr>
                <w:rFonts w:asciiTheme="minorHAnsi" w:eastAsia="Arial" w:hAnsiTheme="minorHAnsi" w:cs="Arial"/>
                <w:sz w:val="18"/>
                <w:szCs w:val="18"/>
              </w:rPr>
            </w:pPr>
            <w:r w:rsidRPr="00497699">
              <w:rPr>
                <w:rFonts w:asciiTheme="minorHAnsi" w:eastAsia="Arial" w:hAnsiTheme="minorHAnsi" w:cs="Arial"/>
                <w:color w:val="231F20"/>
                <w:sz w:val="18"/>
                <w:szCs w:val="18"/>
              </w:rPr>
              <w:t>Intra-operative</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sz w:val="18"/>
                <w:szCs w:val="18"/>
              </w:rPr>
              <w:t>and/or</w:t>
            </w:r>
            <w:r w:rsidRPr="00497699">
              <w:rPr>
                <w:rFonts w:asciiTheme="minorHAnsi" w:eastAsia="Arial" w:hAnsiTheme="minorHAnsi" w:cs="Arial"/>
                <w:color w:val="231F20"/>
                <w:spacing w:val="31"/>
                <w:sz w:val="18"/>
                <w:szCs w:val="18"/>
              </w:rPr>
              <w:t xml:space="preserve"> </w:t>
            </w:r>
            <w:r w:rsidRPr="00497699">
              <w:rPr>
                <w:rFonts w:asciiTheme="minorHAnsi" w:eastAsia="Arial" w:hAnsiTheme="minorHAnsi" w:cs="Arial"/>
                <w:color w:val="231F20"/>
                <w:sz w:val="18"/>
                <w:szCs w:val="18"/>
              </w:rPr>
              <w:t>post-operative</w:t>
            </w:r>
            <w:r w:rsidRPr="00497699">
              <w:rPr>
                <w:rFonts w:asciiTheme="minorHAnsi" w:eastAsia="Arial" w:hAnsiTheme="minorHAnsi" w:cs="Arial"/>
                <w:color w:val="231F20"/>
                <w:spacing w:val="39"/>
                <w:sz w:val="18"/>
                <w:szCs w:val="18"/>
              </w:rPr>
              <w:t xml:space="preserve"> </w:t>
            </w:r>
            <w:r w:rsidRPr="00497699">
              <w:rPr>
                <w:rFonts w:asciiTheme="minorHAnsi" w:eastAsia="Arial" w:hAnsiTheme="minorHAnsi" w:cs="Arial"/>
                <w:color w:val="231F20"/>
                <w:sz w:val="18"/>
                <w:szCs w:val="18"/>
              </w:rPr>
              <w:t>blood</w:t>
            </w:r>
            <w:r w:rsidRPr="00497699">
              <w:rPr>
                <w:rFonts w:asciiTheme="minorHAnsi" w:eastAsia="Arial" w:hAnsiTheme="minorHAnsi" w:cs="Arial"/>
                <w:color w:val="231F20"/>
                <w:spacing w:val="40"/>
                <w:sz w:val="18"/>
                <w:szCs w:val="18"/>
              </w:rPr>
              <w:t xml:space="preserve"> </w:t>
            </w:r>
            <w:r w:rsidRPr="00497699">
              <w:rPr>
                <w:rFonts w:asciiTheme="minorHAnsi" w:eastAsia="Arial" w:hAnsiTheme="minorHAnsi" w:cs="Arial"/>
                <w:color w:val="231F20"/>
                <w:sz w:val="18"/>
                <w:szCs w:val="18"/>
              </w:rPr>
              <w:t>loss</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z w:val="18"/>
                <w:szCs w:val="18"/>
              </w:rPr>
              <w:t>slightly</w:t>
            </w:r>
            <w:r w:rsidRPr="00497699">
              <w:rPr>
                <w:rFonts w:asciiTheme="minorHAnsi" w:eastAsia="Arial" w:hAnsiTheme="minorHAnsi" w:cs="Arial"/>
                <w:color w:val="231F20"/>
                <w:spacing w:val="16"/>
                <w:sz w:val="18"/>
                <w:szCs w:val="18"/>
              </w:rPr>
              <w:t xml:space="preserve"> </w:t>
            </w:r>
            <w:r w:rsidRPr="00497699">
              <w:rPr>
                <w:rFonts w:asciiTheme="minorHAnsi" w:eastAsia="Arial" w:hAnsiTheme="minorHAnsi" w:cs="Arial"/>
                <w:color w:val="231F20"/>
                <w:sz w:val="18"/>
                <w:szCs w:val="18"/>
              </w:rPr>
              <w:t>inc</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eased</w:t>
            </w:r>
            <w:r w:rsidRPr="00497699">
              <w:rPr>
                <w:rFonts w:asciiTheme="minorHAnsi" w:eastAsia="Arial" w:hAnsiTheme="minorHAnsi" w:cs="Arial"/>
                <w:color w:val="231F20"/>
                <w:spacing w:val="-7"/>
                <w:sz w:val="18"/>
                <w:szCs w:val="18"/>
              </w:rPr>
              <w:t xml:space="preserve"> </w:t>
            </w:r>
            <w:r w:rsidRPr="00497699">
              <w:rPr>
                <w:rFonts w:asciiTheme="minorHAnsi" w:eastAsia="Arial" w:hAnsiTheme="minorHAnsi" w:cs="Arial"/>
                <w:color w:val="231F20"/>
                <w:sz w:val="18"/>
                <w:szCs w:val="18"/>
              </w:rPr>
              <w:t>over</w:t>
            </w:r>
            <w:r w:rsidRPr="00497699">
              <w:rPr>
                <w:rFonts w:asciiTheme="minorHAnsi" w:eastAsia="Arial" w:hAnsiTheme="minorHAnsi" w:cs="Arial"/>
                <w:color w:val="231F20"/>
                <w:spacing w:val="12"/>
                <w:sz w:val="18"/>
                <w:szCs w:val="18"/>
              </w:rPr>
              <w:t xml:space="preserve"> </w:t>
            </w:r>
            <w:r w:rsidRPr="00497699">
              <w:rPr>
                <w:rFonts w:asciiTheme="minorHAnsi" w:eastAsia="Arial" w:hAnsiTheme="minorHAnsi" w:cs="Arial"/>
                <w:color w:val="231F20"/>
                <w:sz w:val="18"/>
                <w:szCs w:val="18"/>
              </w:rPr>
              <w:t>expectation</w:t>
            </w:r>
            <w:r w:rsidRPr="00497699">
              <w:rPr>
                <w:rFonts w:asciiTheme="minorHAnsi" w:eastAsia="Arial" w:hAnsiTheme="minorHAnsi" w:cs="Arial"/>
                <w:color w:val="231F20"/>
                <w:spacing w:val="33"/>
                <w:sz w:val="18"/>
                <w:szCs w:val="18"/>
              </w:rPr>
              <w:t xml:space="preserve"> </w:t>
            </w:r>
            <w:r w:rsidRPr="00497699">
              <w:rPr>
                <w:rFonts w:asciiTheme="minorHAnsi" w:eastAsia="Arial" w:hAnsiTheme="minorHAnsi" w:cs="Arial"/>
                <w:color w:val="231F20"/>
                <w:sz w:val="18"/>
                <w:szCs w:val="18"/>
              </w:rPr>
              <w:t>for</w:t>
            </w:r>
            <w:r w:rsidRPr="00497699">
              <w:rPr>
                <w:rFonts w:asciiTheme="minorHAnsi" w:eastAsia="Arial" w:hAnsiTheme="minorHAnsi" w:cs="Arial"/>
                <w:color w:val="231F20"/>
                <w:spacing w:val="22"/>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non-haemophilic</w:t>
            </w:r>
            <w:r w:rsidRPr="00497699">
              <w:rPr>
                <w:rFonts w:asciiTheme="minorHAnsi" w:eastAsia="Arial" w:hAnsiTheme="minorHAnsi" w:cs="Arial"/>
                <w:color w:val="231F20"/>
                <w:spacing w:val="29"/>
                <w:sz w:val="18"/>
                <w:szCs w:val="18"/>
              </w:rPr>
              <w:t xml:space="preserve"> </w:t>
            </w:r>
            <w:r w:rsidRPr="00497699">
              <w:rPr>
                <w:rFonts w:asciiTheme="minorHAnsi" w:eastAsia="Arial" w:hAnsiTheme="minorHAnsi" w:cs="Arial"/>
                <w:color w:val="231F20"/>
                <w:w w:val="106"/>
                <w:sz w:val="18"/>
                <w:szCs w:val="18"/>
              </w:rPr>
              <w:t xml:space="preserve">patient </w:t>
            </w:r>
            <w:r w:rsidRPr="00497699">
              <w:rPr>
                <w:rFonts w:asciiTheme="minorHAnsi" w:eastAsia="Arial" w:hAnsiTheme="minorHAnsi" w:cs="Arial"/>
                <w:color w:val="231F20"/>
                <w:sz w:val="18"/>
                <w:szCs w:val="18"/>
              </w:rPr>
              <w:t>(between</w:t>
            </w:r>
            <w:r w:rsidRPr="00497699">
              <w:rPr>
                <w:rFonts w:asciiTheme="minorHAnsi" w:eastAsia="Arial" w:hAnsiTheme="minorHAnsi" w:cs="Arial"/>
                <w:color w:val="231F20"/>
                <w:spacing w:val="20"/>
                <w:sz w:val="18"/>
                <w:szCs w:val="18"/>
              </w:rPr>
              <w:t xml:space="preserve"> </w:t>
            </w:r>
            <w:r w:rsidRPr="00497699">
              <w:rPr>
                <w:rFonts w:asciiTheme="minorHAnsi" w:eastAsia="Arial" w:hAnsiTheme="minorHAnsi" w:cs="Arial"/>
                <w:color w:val="231F20"/>
                <w:sz w:val="18"/>
                <w:szCs w:val="18"/>
              </w:rPr>
              <w:t>10-25%</w:t>
            </w:r>
            <w:r w:rsidRPr="00497699">
              <w:rPr>
                <w:rFonts w:asciiTheme="minorHAnsi" w:eastAsia="Arial" w:hAnsiTheme="minorHAnsi" w:cs="Arial"/>
                <w:color w:val="231F20"/>
                <w:spacing w:val="-7"/>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sz w:val="18"/>
                <w:szCs w:val="18"/>
              </w:rPr>
              <w:t>expected),</w:t>
            </w:r>
            <w:r w:rsidRPr="00497699">
              <w:rPr>
                <w:rFonts w:asciiTheme="minorHAnsi" w:eastAsia="Arial" w:hAnsiTheme="minorHAnsi" w:cs="Arial"/>
                <w:color w:val="231F20"/>
                <w:spacing w:val="22"/>
                <w:sz w:val="18"/>
                <w:szCs w:val="18"/>
              </w:rPr>
              <w:t xml:space="preserve"> </w:t>
            </w:r>
            <w:r w:rsidRPr="00497699">
              <w:rPr>
                <w:rFonts w:asciiTheme="minorHAnsi" w:eastAsia="Arial" w:hAnsiTheme="minorHAnsi" w:cs="Arial"/>
                <w:color w:val="231F20"/>
                <w:sz w:val="18"/>
                <w:szCs w:val="18"/>
              </w:rPr>
              <w:t>but</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di</w:t>
            </w:r>
            <w:r w:rsidRPr="00497699">
              <w:rPr>
                <w:rFonts w:asciiTheme="minorHAnsi" w:eastAsia="Arial" w:hAnsiTheme="minorHAnsi" w:cs="Arial"/>
                <w:color w:val="231F20"/>
                <w:spacing w:val="-3"/>
                <w:sz w:val="18"/>
                <w:szCs w:val="18"/>
              </w:rPr>
              <w:t>f</w:t>
            </w:r>
            <w:r w:rsidRPr="00497699">
              <w:rPr>
                <w:rFonts w:asciiTheme="minorHAnsi" w:eastAsia="Arial" w:hAnsiTheme="minorHAnsi" w:cs="Arial"/>
                <w:color w:val="231F20"/>
                <w:sz w:val="18"/>
                <w:szCs w:val="18"/>
              </w:rPr>
              <w:t>fe</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ence</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sz w:val="18"/>
                <w:szCs w:val="18"/>
              </w:rPr>
              <w:t>is</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judged</w:t>
            </w:r>
            <w:r w:rsidRPr="00497699">
              <w:rPr>
                <w:rFonts w:asciiTheme="minorHAnsi" w:eastAsia="Arial" w:hAnsiTheme="minorHAnsi" w:cs="Arial"/>
                <w:color w:val="231F20"/>
                <w:spacing w:val="37"/>
                <w:sz w:val="18"/>
                <w:szCs w:val="18"/>
              </w:rPr>
              <w:t xml:space="preserve"> </w:t>
            </w:r>
            <w:r w:rsidRPr="00497699">
              <w:rPr>
                <w:rFonts w:asciiTheme="minorHAnsi" w:eastAsia="Arial" w:hAnsiTheme="minorHAnsi" w:cs="Arial"/>
                <w:color w:val="231F20"/>
                <w:sz w:val="18"/>
                <w:szCs w:val="18"/>
              </w:rPr>
              <w:t>by</w:t>
            </w:r>
            <w:r w:rsidRPr="00497699">
              <w:rPr>
                <w:rFonts w:asciiTheme="minorHAnsi" w:eastAsia="Arial" w:hAnsiTheme="minorHAnsi" w:cs="Arial"/>
                <w:color w:val="231F20"/>
                <w:spacing w:val="11"/>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involved</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su</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geon/anaesthetist</w:t>
            </w:r>
            <w:r w:rsidRPr="00497699">
              <w:rPr>
                <w:rFonts w:asciiTheme="minorHAnsi" w:eastAsia="Arial" w:hAnsiTheme="minorHAnsi" w:cs="Arial"/>
                <w:color w:val="231F20"/>
                <w:spacing w:val="23"/>
                <w:sz w:val="18"/>
                <w:szCs w:val="18"/>
              </w:rPr>
              <w:t xml:space="preserve"> </w:t>
            </w:r>
            <w:r w:rsidRPr="00497699">
              <w:rPr>
                <w:rFonts w:asciiTheme="minorHAnsi" w:eastAsia="Arial" w:hAnsiTheme="minorHAnsi" w:cs="Arial"/>
                <w:color w:val="231F20"/>
                <w:sz w:val="18"/>
                <w:szCs w:val="18"/>
              </w:rPr>
              <w:t>to</w:t>
            </w:r>
            <w:r w:rsidRPr="00497699">
              <w:rPr>
                <w:rFonts w:asciiTheme="minorHAnsi" w:eastAsia="Arial" w:hAnsiTheme="minorHAnsi" w:cs="Arial"/>
                <w:color w:val="231F20"/>
                <w:spacing w:val="25"/>
                <w:sz w:val="18"/>
                <w:szCs w:val="18"/>
              </w:rPr>
              <w:t xml:space="preserve"> </w:t>
            </w:r>
            <w:r w:rsidRPr="00497699">
              <w:rPr>
                <w:rFonts w:asciiTheme="minorHAnsi" w:eastAsia="Arial" w:hAnsiTheme="minorHAnsi" w:cs="Arial"/>
                <w:color w:val="231F20"/>
                <w:sz w:val="18"/>
                <w:szCs w:val="18"/>
              </w:rPr>
              <w:t>be</w:t>
            </w:r>
            <w:r w:rsidRPr="00497699">
              <w:rPr>
                <w:rFonts w:asciiTheme="minorHAnsi" w:eastAsia="Arial" w:hAnsiTheme="minorHAnsi" w:cs="Arial"/>
                <w:color w:val="231F20"/>
                <w:spacing w:val="13"/>
                <w:sz w:val="18"/>
                <w:szCs w:val="18"/>
              </w:rPr>
              <w:t xml:space="preserve"> </w:t>
            </w:r>
            <w:r w:rsidRPr="00497699">
              <w:rPr>
                <w:rFonts w:asciiTheme="minorHAnsi" w:eastAsia="Arial" w:hAnsiTheme="minorHAnsi" w:cs="Arial"/>
                <w:color w:val="231F20"/>
                <w:sz w:val="18"/>
                <w:szCs w:val="18"/>
              </w:rPr>
              <w:t xml:space="preserve">clinically </w:t>
            </w:r>
            <w:r w:rsidRPr="00497699">
              <w:rPr>
                <w:rFonts w:asciiTheme="minorHAnsi" w:eastAsia="Arial" w:hAnsiTheme="minorHAnsi" w:cs="Arial"/>
                <w:color w:val="231F20"/>
                <w:w w:val="101"/>
                <w:sz w:val="18"/>
                <w:szCs w:val="18"/>
              </w:rPr>
              <w:t>insignificant.</w:t>
            </w:r>
          </w:p>
          <w:p w:rsidR="00E928C0" w:rsidRPr="00497699" w:rsidRDefault="00E928C0" w:rsidP="002A1763">
            <w:pPr>
              <w:spacing w:after="0"/>
              <w:ind w:left="80" w:right="-20"/>
              <w:rPr>
                <w:rFonts w:asciiTheme="minorHAnsi" w:eastAsia="Arial" w:hAnsiTheme="minorHAnsi" w:cs="Arial"/>
                <w:sz w:val="18"/>
                <w:szCs w:val="18"/>
              </w:rPr>
            </w:pPr>
            <w:r w:rsidRPr="00497699">
              <w:rPr>
                <w:rFonts w:ascii="Arial" w:hAnsi="Arial" w:cs="Arial"/>
                <w:color w:val="231F20"/>
                <w:w w:val="67"/>
                <w:sz w:val="18"/>
                <w:szCs w:val="18"/>
              </w:rPr>
              <w:t>■</w:t>
            </w:r>
            <w:r w:rsidRPr="00497699">
              <w:rPr>
                <w:rFonts w:asciiTheme="minorHAnsi" w:hAnsiTheme="minorHAnsi"/>
                <w:color w:val="231F20"/>
                <w:w w:val="67"/>
                <w:sz w:val="18"/>
                <w:szCs w:val="18"/>
              </w:rPr>
              <w:t xml:space="preserve"> </w:t>
            </w:r>
            <w:r w:rsidRPr="00497699">
              <w:rPr>
                <w:rFonts w:asciiTheme="minorHAnsi" w:hAnsiTheme="minorHAnsi"/>
                <w:color w:val="231F20"/>
                <w:spacing w:val="27"/>
                <w:w w:val="67"/>
                <w:sz w:val="18"/>
                <w:szCs w:val="18"/>
              </w:rPr>
              <w:t xml:space="preserve"> </w:t>
            </w:r>
            <w:r w:rsidRPr="00497699">
              <w:rPr>
                <w:rFonts w:asciiTheme="minorHAnsi" w:eastAsia="Arial" w:hAnsiTheme="minorHAnsi" w:cs="Arial"/>
                <w:color w:val="231F20"/>
                <w:sz w:val="18"/>
                <w:szCs w:val="18"/>
              </w:rPr>
              <w:t>No</w:t>
            </w:r>
            <w:r w:rsidRPr="00497699">
              <w:rPr>
                <w:rFonts w:asciiTheme="minorHAnsi" w:eastAsia="Arial" w:hAnsiTheme="minorHAnsi" w:cs="Arial"/>
                <w:color w:val="231F20"/>
                <w:spacing w:val="21"/>
                <w:sz w:val="18"/>
                <w:szCs w:val="18"/>
              </w:rPr>
              <w:t xml:space="preserve"> </w:t>
            </w:r>
            <w:r w:rsidRPr="00497699">
              <w:rPr>
                <w:rFonts w:asciiTheme="minorHAnsi" w:eastAsia="Arial" w:hAnsiTheme="minorHAnsi" w:cs="Arial"/>
                <w:color w:val="231F20"/>
                <w:sz w:val="18"/>
                <w:szCs w:val="18"/>
              </w:rPr>
              <w:t>extra</w:t>
            </w:r>
            <w:r w:rsidRPr="00497699">
              <w:rPr>
                <w:rFonts w:asciiTheme="minorHAnsi" w:eastAsia="Arial" w:hAnsiTheme="minorHAnsi" w:cs="Arial"/>
                <w:color w:val="231F20"/>
                <w:spacing w:val="13"/>
                <w:sz w:val="18"/>
                <w:szCs w:val="18"/>
              </w:rPr>
              <w:t xml:space="preserve"> </w:t>
            </w:r>
            <w:r w:rsidRPr="00497699">
              <w:rPr>
                <w:rFonts w:asciiTheme="minorHAnsi" w:eastAsia="Arial" w:hAnsiTheme="minorHAnsi" w:cs="Arial"/>
                <w:color w:val="231F20"/>
                <w:sz w:val="18"/>
                <w:szCs w:val="18"/>
              </w:rPr>
              <w:t>(unplanned)</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doses</w:t>
            </w:r>
            <w:r w:rsidRPr="00497699">
              <w:rPr>
                <w:rFonts w:asciiTheme="minorHAnsi" w:eastAsia="Arial" w:hAnsiTheme="minorHAnsi" w:cs="Arial"/>
                <w:color w:val="231F20"/>
                <w:spacing w:val="-9"/>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w w:val="98"/>
                <w:sz w:val="18"/>
                <w:szCs w:val="18"/>
              </w:rPr>
              <w:t>FVIII/FIX/bypassing</w:t>
            </w:r>
            <w:r w:rsidRPr="00497699">
              <w:rPr>
                <w:rFonts w:asciiTheme="minorHAnsi" w:eastAsia="Arial" w:hAnsiTheme="minorHAnsi" w:cs="Arial"/>
                <w:color w:val="231F20"/>
                <w:spacing w:val="6"/>
                <w:w w:val="98"/>
                <w:sz w:val="18"/>
                <w:szCs w:val="18"/>
              </w:rPr>
              <w:t xml:space="preserve"> </w:t>
            </w:r>
            <w:r w:rsidRPr="00497699">
              <w:rPr>
                <w:rFonts w:asciiTheme="minorHAnsi" w:eastAsia="Arial" w:hAnsiTheme="minorHAnsi" w:cs="Arial"/>
                <w:color w:val="231F20"/>
                <w:sz w:val="18"/>
                <w:szCs w:val="18"/>
              </w:rPr>
              <w:t>agents</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needed</w:t>
            </w:r>
            <w:r w:rsidRPr="00497699">
              <w:rPr>
                <w:rFonts w:asciiTheme="minorHAnsi" w:eastAsia="Arial" w:hAnsiTheme="minorHAnsi" w:cs="Arial"/>
                <w:color w:val="231F20"/>
                <w:spacing w:val="23"/>
                <w:sz w:val="18"/>
                <w:szCs w:val="18"/>
              </w:rPr>
              <w:t xml:space="preserve"> </w:t>
            </w:r>
            <w:r w:rsidRPr="00497699">
              <w:rPr>
                <w:rFonts w:asciiTheme="minorHAnsi" w:eastAsia="Arial" w:hAnsiTheme="minorHAnsi" w:cs="Arial"/>
                <w:color w:val="231F20"/>
                <w:w w:val="105"/>
                <w:sz w:val="18"/>
                <w:szCs w:val="18"/>
              </w:rPr>
              <w:t>AND</w:t>
            </w:r>
          </w:p>
          <w:p w:rsidR="00E928C0" w:rsidRPr="00497699" w:rsidRDefault="00E928C0" w:rsidP="002A1763">
            <w:pPr>
              <w:spacing w:before="12" w:after="0"/>
              <w:ind w:left="80" w:right="-20"/>
              <w:rPr>
                <w:rFonts w:asciiTheme="minorHAnsi" w:eastAsia="Arial" w:hAnsiTheme="minorHAnsi" w:cs="Arial"/>
                <w:sz w:val="18"/>
                <w:szCs w:val="18"/>
              </w:rPr>
            </w:pPr>
            <w:r w:rsidRPr="00497699">
              <w:rPr>
                <w:rFonts w:ascii="Arial" w:hAnsi="Arial" w:cs="Arial"/>
                <w:color w:val="231F20"/>
                <w:w w:val="67"/>
                <w:sz w:val="18"/>
                <w:szCs w:val="18"/>
              </w:rPr>
              <w:t>■</w:t>
            </w:r>
            <w:r w:rsidRPr="00497699">
              <w:rPr>
                <w:rFonts w:asciiTheme="minorHAnsi" w:hAnsiTheme="minorHAnsi"/>
                <w:color w:val="231F20"/>
                <w:w w:val="67"/>
                <w:sz w:val="18"/>
                <w:szCs w:val="18"/>
              </w:rPr>
              <w:t xml:space="preserve"> </w:t>
            </w:r>
            <w:r w:rsidRPr="00497699">
              <w:rPr>
                <w:rFonts w:asciiTheme="minorHAnsi" w:hAnsiTheme="minorHAnsi"/>
                <w:color w:val="231F20"/>
                <w:spacing w:val="27"/>
                <w:w w:val="67"/>
                <w:sz w:val="18"/>
                <w:szCs w:val="18"/>
              </w:rPr>
              <w:t xml:space="preserve"> </w:t>
            </w:r>
            <w:r w:rsidRPr="00497699">
              <w:rPr>
                <w:rFonts w:asciiTheme="minorHAnsi" w:eastAsia="Arial" w:hAnsiTheme="minorHAnsi" w:cs="Arial"/>
                <w:color w:val="231F20"/>
                <w:sz w:val="18"/>
                <w:szCs w:val="18"/>
              </w:rPr>
              <w:t>Blood</w:t>
            </w:r>
            <w:r w:rsidRPr="00497699">
              <w:rPr>
                <w:rFonts w:asciiTheme="minorHAnsi" w:eastAsia="Arial" w:hAnsiTheme="minorHAnsi" w:cs="Arial"/>
                <w:color w:val="231F20"/>
                <w:spacing w:val="23"/>
                <w:sz w:val="18"/>
                <w:szCs w:val="18"/>
              </w:rPr>
              <w:t xml:space="preserve"> </w:t>
            </w:r>
            <w:r w:rsidRPr="00497699">
              <w:rPr>
                <w:rFonts w:asciiTheme="minorHAnsi" w:eastAsia="Arial" w:hAnsiTheme="minorHAnsi" w:cs="Arial"/>
                <w:color w:val="231F20"/>
                <w:sz w:val="18"/>
                <w:szCs w:val="18"/>
              </w:rPr>
              <w:t>component</w:t>
            </w:r>
            <w:r w:rsidRPr="00497699">
              <w:rPr>
                <w:rFonts w:asciiTheme="minorHAnsi" w:eastAsia="Arial" w:hAnsiTheme="minorHAnsi" w:cs="Arial"/>
                <w:color w:val="231F20"/>
                <w:spacing w:val="41"/>
                <w:sz w:val="18"/>
                <w:szCs w:val="18"/>
              </w:rPr>
              <w:t xml:space="preserve"> </w:t>
            </w:r>
            <w:r w:rsidRPr="00497699">
              <w:rPr>
                <w:rFonts w:asciiTheme="minorHAnsi" w:eastAsia="Arial" w:hAnsiTheme="minorHAnsi" w:cs="Arial"/>
                <w:color w:val="231F20"/>
                <w:sz w:val="18"/>
                <w:szCs w:val="18"/>
              </w:rPr>
              <w:t>transfusions</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equi</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ed</w:t>
            </w:r>
            <w:r w:rsidRPr="00497699">
              <w:rPr>
                <w:rFonts w:asciiTheme="minorHAnsi" w:eastAsia="Arial" w:hAnsiTheme="minorHAnsi" w:cs="Arial"/>
                <w:color w:val="231F20"/>
                <w:spacing w:val="32"/>
                <w:sz w:val="18"/>
                <w:szCs w:val="18"/>
              </w:rPr>
              <w:t xml:space="preserve"> </w:t>
            </w:r>
            <w:r w:rsidRPr="00497699">
              <w:rPr>
                <w:rFonts w:asciiTheme="minorHAnsi" w:eastAsia="Arial" w:hAnsiTheme="minorHAnsi" w:cs="Arial"/>
                <w:color w:val="231F20"/>
                <w:sz w:val="18"/>
                <w:szCs w:val="18"/>
              </w:rPr>
              <w:t>a</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 similar to</w:t>
            </w:r>
            <w:r w:rsidRPr="00497699">
              <w:rPr>
                <w:rFonts w:asciiTheme="minorHAnsi" w:eastAsia="Arial" w:hAnsiTheme="minorHAnsi" w:cs="Arial"/>
                <w:color w:val="231F20"/>
                <w:spacing w:val="25"/>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non-haemophilic</w:t>
            </w:r>
            <w:r w:rsidRPr="00497699">
              <w:rPr>
                <w:rFonts w:asciiTheme="minorHAnsi" w:eastAsia="Arial" w:hAnsiTheme="minorHAnsi" w:cs="Arial"/>
                <w:color w:val="231F20"/>
                <w:spacing w:val="29"/>
                <w:sz w:val="18"/>
                <w:szCs w:val="18"/>
              </w:rPr>
              <w:t xml:space="preserve"> </w:t>
            </w:r>
            <w:r w:rsidRPr="00497699">
              <w:rPr>
                <w:rFonts w:asciiTheme="minorHAnsi" w:eastAsia="Arial" w:hAnsiTheme="minorHAnsi" w:cs="Arial"/>
                <w:color w:val="231F20"/>
                <w:w w:val="106"/>
                <w:sz w:val="18"/>
                <w:szCs w:val="18"/>
              </w:rPr>
              <w:t>patient</w:t>
            </w:r>
          </w:p>
        </w:tc>
      </w:tr>
      <w:tr w:rsidR="00E928C0" w:rsidRPr="00497699" w:rsidTr="00041ED2">
        <w:trPr>
          <w:trHeight w:hRule="exact" w:val="1116"/>
        </w:trPr>
        <w:tc>
          <w:tcPr>
            <w:tcW w:w="1164" w:type="dxa"/>
            <w:tcBorders>
              <w:top w:val="single" w:sz="32" w:space="0" w:color="FFFFFF"/>
              <w:left w:val="nil"/>
              <w:bottom w:val="single" w:sz="32" w:space="0" w:color="FFFFFF"/>
              <w:right w:val="single" w:sz="32" w:space="0" w:color="FFFFFF"/>
            </w:tcBorders>
            <w:shd w:val="clear" w:color="auto" w:fill="E6E7E8"/>
            <w:textDirection w:val="btLr"/>
          </w:tcPr>
          <w:p w:rsidR="00E928C0" w:rsidRPr="00497699" w:rsidRDefault="00E928C0" w:rsidP="002A1763">
            <w:pPr>
              <w:spacing w:before="1" w:after="0" w:line="110" w:lineRule="exact"/>
              <w:rPr>
                <w:rFonts w:asciiTheme="minorHAnsi" w:hAnsiTheme="minorHAnsi"/>
                <w:sz w:val="11"/>
                <w:szCs w:val="11"/>
              </w:rPr>
            </w:pPr>
          </w:p>
          <w:p w:rsidR="00E928C0" w:rsidRPr="00497699" w:rsidRDefault="00E928C0" w:rsidP="002A1763">
            <w:pPr>
              <w:spacing w:after="0"/>
              <w:ind w:left="326" w:right="306"/>
              <w:jc w:val="center"/>
              <w:rPr>
                <w:rFonts w:asciiTheme="minorHAnsi" w:eastAsia="Arial" w:hAnsiTheme="minorHAnsi" w:cs="Arial"/>
                <w:sz w:val="18"/>
                <w:szCs w:val="18"/>
              </w:rPr>
            </w:pPr>
            <w:r w:rsidRPr="00497699">
              <w:rPr>
                <w:rFonts w:asciiTheme="minorHAnsi" w:eastAsia="Arial" w:hAnsiTheme="minorHAnsi" w:cs="Arial"/>
                <w:color w:val="231F20"/>
                <w:w w:val="102"/>
                <w:sz w:val="18"/>
                <w:szCs w:val="18"/>
              </w:rPr>
              <w:t>Fair</w:t>
            </w:r>
          </w:p>
        </w:tc>
        <w:tc>
          <w:tcPr>
            <w:tcW w:w="8901" w:type="dxa"/>
            <w:tcBorders>
              <w:top w:val="single" w:sz="32" w:space="0" w:color="FFFFFF"/>
              <w:left w:val="single" w:sz="32" w:space="0" w:color="FFFFFF"/>
              <w:bottom w:val="single" w:sz="32" w:space="0" w:color="FFFFFF"/>
              <w:right w:val="nil"/>
            </w:tcBorders>
            <w:shd w:val="clear" w:color="auto" w:fill="E6E7E8"/>
          </w:tcPr>
          <w:p w:rsidR="00E928C0" w:rsidRPr="00497699" w:rsidRDefault="00E928C0" w:rsidP="002A1763">
            <w:pPr>
              <w:spacing w:before="87" w:after="0" w:line="255" w:lineRule="auto"/>
              <w:ind w:left="80" w:right="601"/>
              <w:rPr>
                <w:rFonts w:asciiTheme="minorHAnsi" w:eastAsia="Arial" w:hAnsiTheme="minorHAnsi" w:cs="Arial"/>
                <w:sz w:val="18"/>
                <w:szCs w:val="18"/>
              </w:rPr>
            </w:pPr>
            <w:r w:rsidRPr="00497699">
              <w:rPr>
                <w:rFonts w:asciiTheme="minorHAnsi" w:eastAsia="Arial" w:hAnsiTheme="minorHAnsi" w:cs="Arial"/>
                <w:color w:val="231F20"/>
                <w:sz w:val="18"/>
                <w:szCs w:val="18"/>
              </w:rPr>
              <w:t>Intra-operative</w:t>
            </w:r>
            <w:r w:rsidRPr="00497699">
              <w:rPr>
                <w:rFonts w:asciiTheme="minorHAnsi" w:eastAsia="Arial" w:hAnsiTheme="minorHAnsi" w:cs="Arial"/>
                <w:color w:val="231F20"/>
                <w:spacing w:val="28"/>
                <w:sz w:val="18"/>
                <w:szCs w:val="18"/>
              </w:rPr>
              <w:t xml:space="preserve"> </w:t>
            </w:r>
            <w:r w:rsidRPr="00497699">
              <w:rPr>
                <w:rFonts w:asciiTheme="minorHAnsi" w:eastAsia="Arial" w:hAnsiTheme="minorHAnsi" w:cs="Arial"/>
                <w:color w:val="231F20"/>
                <w:sz w:val="18"/>
                <w:szCs w:val="18"/>
              </w:rPr>
              <w:t>and/or</w:t>
            </w:r>
            <w:r w:rsidRPr="00497699">
              <w:rPr>
                <w:rFonts w:asciiTheme="minorHAnsi" w:eastAsia="Arial" w:hAnsiTheme="minorHAnsi" w:cs="Arial"/>
                <w:color w:val="231F20"/>
                <w:spacing w:val="31"/>
                <w:sz w:val="18"/>
                <w:szCs w:val="18"/>
              </w:rPr>
              <w:t xml:space="preserve"> </w:t>
            </w:r>
            <w:r w:rsidRPr="00497699">
              <w:rPr>
                <w:rFonts w:asciiTheme="minorHAnsi" w:eastAsia="Arial" w:hAnsiTheme="minorHAnsi" w:cs="Arial"/>
                <w:color w:val="231F20"/>
                <w:sz w:val="18"/>
                <w:szCs w:val="18"/>
              </w:rPr>
              <w:t>post-operative</w:t>
            </w:r>
            <w:r w:rsidRPr="00497699">
              <w:rPr>
                <w:rFonts w:asciiTheme="minorHAnsi" w:eastAsia="Arial" w:hAnsiTheme="minorHAnsi" w:cs="Arial"/>
                <w:color w:val="231F20"/>
                <w:spacing w:val="39"/>
                <w:sz w:val="18"/>
                <w:szCs w:val="18"/>
              </w:rPr>
              <w:t xml:space="preserve"> </w:t>
            </w:r>
            <w:r w:rsidRPr="00497699">
              <w:rPr>
                <w:rFonts w:asciiTheme="minorHAnsi" w:eastAsia="Arial" w:hAnsiTheme="minorHAnsi" w:cs="Arial"/>
                <w:color w:val="231F20"/>
                <w:sz w:val="18"/>
                <w:szCs w:val="18"/>
              </w:rPr>
              <w:t>blood</w:t>
            </w:r>
            <w:r w:rsidRPr="00497699">
              <w:rPr>
                <w:rFonts w:asciiTheme="minorHAnsi" w:eastAsia="Arial" w:hAnsiTheme="minorHAnsi" w:cs="Arial"/>
                <w:color w:val="231F20"/>
                <w:spacing w:val="40"/>
                <w:sz w:val="18"/>
                <w:szCs w:val="18"/>
              </w:rPr>
              <w:t xml:space="preserve"> </w:t>
            </w:r>
            <w:r w:rsidRPr="00497699">
              <w:rPr>
                <w:rFonts w:asciiTheme="minorHAnsi" w:eastAsia="Arial" w:hAnsiTheme="minorHAnsi" w:cs="Arial"/>
                <w:color w:val="231F20"/>
                <w:sz w:val="18"/>
                <w:szCs w:val="18"/>
              </w:rPr>
              <w:t>loss</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z w:val="18"/>
                <w:szCs w:val="18"/>
              </w:rPr>
              <w:t>inc</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eased</w:t>
            </w:r>
            <w:r w:rsidRPr="00497699">
              <w:rPr>
                <w:rFonts w:asciiTheme="minorHAnsi" w:eastAsia="Arial" w:hAnsiTheme="minorHAnsi" w:cs="Arial"/>
                <w:color w:val="231F20"/>
                <w:spacing w:val="-7"/>
                <w:sz w:val="18"/>
                <w:szCs w:val="18"/>
              </w:rPr>
              <w:t xml:space="preserve"> </w:t>
            </w:r>
            <w:r w:rsidRPr="00497699">
              <w:rPr>
                <w:rFonts w:asciiTheme="minorHAnsi" w:eastAsia="Arial" w:hAnsiTheme="minorHAnsi" w:cs="Arial"/>
                <w:color w:val="231F20"/>
                <w:sz w:val="18"/>
                <w:szCs w:val="18"/>
              </w:rPr>
              <w:t>over</w:t>
            </w:r>
            <w:r w:rsidRPr="00497699">
              <w:rPr>
                <w:rFonts w:asciiTheme="minorHAnsi" w:eastAsia="Arial" w:hAnsiTheme="minorHAnsi" w:cs="Arial"/>
                <w:color w:val="231F20"/>
                <w:spacing w:val="12"/>
                <w:sz w:val="18"/>
                <w:szCs w:val="18"/>
              </w:rPr>
              <w:t xml:space="preserve"> </w:t>
            </w:r>
            <w:r w:rsidRPr="00497699">
              <w:rPr>
                <w:rFonts w:asciiTheme="minorHAnsi" w:eastAsia="Arial" w:hAnsiTheme="minorHAnsi" w:cs="Arial"/>
                <w:color w:val="231F20"/>
                <w:sz w:val="18"/>
                <w:szCs w:val="18"/>
              </w:rPr>
              <w:t>expectation</w:t>
            </w:r>
            <w:r w:rsidRPr="00497699">
              <w:rPr>
                <w:rFonts w:asciiTheme="minorHAnsi" w:eastAsia="Arial" w:hAnsiTheme="minorHAnsi" w:cs="Arial"/>
                <w:color w:val="231F20"/>
                <w:spacing w:val="33"/>
                <w:sz w:val="18"/>
                <w:szCs w:val="18"/>
              </w:rPr>
              <w:t xml:space="preserve"> </w:t>
            </w:r>
            <w:r w:rsidRPr="00497699">
              <w:rPr>
                <w:rFonts w:asciiTheme="minorHAnsi" w:eastAsia="Arial" w:hAnsiTheme="minorHAnsi" w:cs="Arial"/>
                <w:color w:val="231F20"/>
                <w:w w:val="95"/>
                <w:sz w:val="18"/>
                <w:szCs w:val="18"/>
              </w:rPr>
              <w:t>(25-50%)</w:t>
            </w:r>
            <w:r w:rsidRPr="00497699">
              <w:rPr>
                <w:rFonts w:asciiTheme="minorHAnsi" w:eastAsia="Arial" w:hAnsiTheme="minorHAnsi" w:cs="Arial"/>
                <w:color w:val="231F20"/>
                <w:spacing w:val="8"/>
                <w:w w:val="95"/>
                <w:sz w:val="18"/>
                <w:szCs w:val="18"/>
              </w:rPr>
              <w:t xml:space="preserve"> </w:t>
            </w:r>
            <w:r w:rsidRPr="00497699">
              <w:rPr>
                <w:rFonts w:asciiTheme="minorHAnsi" w:eastAsia="Arial" w:hAnsiTheme="minorHAnsi" w:cs="Arial"/>
                <w:color w:val="231F20"/>
                <w:sz w:val="18"/>
                <w:szCs w:val="18"/>
              </w:rPr>
              <w:t>for</w:t>
            </w:r>
            <w:r w:rsidRPr="00497699">
              <w:rPr>
                <w:rFonts w:asciiTheme="minorHAnsi" w:eastAsia="Arial" w:hAnsiTheme="minorHAnsi" w:cs="Arial"/>
                <w:color w:val="231F20"/>
                <w:spacing w:val="22"/>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w w:val="102"/>
                <w:sz w:val="18"/>
                <w:szCs w:val="18"/>
              </w:rPr>
              <w:t xml:space="preserve">non-haemophilic </w:t>
            </w:r>
            <w:r w:rsidRPr="00497699">
              <w:rPr>
                <w:rFonts w:asciiTheme="minorHAnsi" w:eastAsia="Arial" w:hAnsiTheme="minorHAnsi" w:cs="Arial"/>
                <w:color w:val="231F20"/>
                <w:sz w:val="18"/>
                <w:szCs w:val="18"/>
              </w:rPr>
              <w:t>patient</w:t>
            </w:r>
            <w:r w:rsidRPr="00497699">
              <w:rPr>
                <w:rFonts w:asciiTheme="minorHAnsi" w:eastAsia="Arial" w:hAnsiTheme="minorHAnsi" w:cs="Arial"/>
                <w:color w:val="231F20"/>
                <w:spacing w:val="37"/>
                <w:sz w:val="18"/>
                <w:szCs w:val="18"/>
              </w:rPr>
              <w:t xml:space="preserve"> </w:t>
            </w:r>
            <w:r w:rsidRPr="00497699">
              <w:rPr>
                <w:rFonts w:asciiTheme="minorHAnsi" w:eastAsia="Arial" w:hAnsiTheme="minorHAnsi" w:cs="Arial"/>
                <w:color w:val="231F20"/>
                <w:sz w:val="18"/>
                <w:szCs w:val="18"/>
              </w:rPr>
              <w:t>and</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additional</w:t>
            </w:r>
            <w:r w:rsidRPr="00497699">
              <w:rPr>
                <w:rFonts w:asciiTheme="minorHAnsi" w:eastAsia="Arial" w:hAnsiTheme="minorHAnsi" w:cs="Arial"/>
                <w:color w:val="231F20"/>
                <w:spacing w:val="36"/>
                <w:sz w:val="18"/>
                <w:szCs w:val="18"/>
              </w:rPr>
              <w:t xml:space="preserve"> </w:t>
            </w:r>
            <w:r w:rsidRPr="00497699">
              <w:rPr>
                <w:rFonts w:asciiTheme="minorHAnsi" w:eastAsia="Arial" w:hAnsiTheme="minorHAnsi" w:cs="Arial"/>
                <w:color w:val="231F20"/>
                <w:sz w:val="18"/>
                <w:szCs w:val="18"/>
              </w:rPr>
              <w:t>t</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eatment</w:t>
            </w:r>
            <w:r w:rsidRPr="00497699">
              <w:rPr>
                <w:rFonts w:asciiTheme="minorHAnsi" w:eastAsia="Arial" w:hAnsiTheme="minorHAnsi" w:cs="Arial"/>
                <w:color w:val="231F20"/>
                <w:spacing w:val="41"/>
                <w:sz w:val="18"/>
                <w:szCs w:val="18"/>
              </w:rPr>
              <w:t xml:space="preserve"> </w:t>
            </w:r>
            <w:r w:rsidRPr="00497699">
              <w:rPr>
                <w:rFonts w:asciiTheme="minorHAnsi" w:eastAsia="Arial" w:hAnsiTheme="minorHAnsi" w:cs="Arial"/>
                <w:color w:val="231F20"/>
                <w:sz w:val="18"/>
                <w:szCs w:val="18"/>
              </w:rPr>
              <w:t>is</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w w:val="103"/>
                <w:sz w:val="18"/>
                <w:szCs w:val="18"/>
              </w:rPr>
              <w:t>needed.</w:t>
            </w:r>
          </w:p>
          <w:p w:rsidR="00E928C0" w:rsidRPr="00497699" w:rsidRDefault="00E928C0" w:rsidP="002A1763">
            <w:pPr>
              <w:spacing w:after="0"/>
              <w:ind w:left="80" w:right="-20"/>
              <w:rPr>
                <w:rFonts w:asciiTheme="minorHAnsi" w:eastAsia="Arial" w:hAnsiTheme="minorHAnsi" w:cs="Arial"/>
                <w:sz w:val="18"/>
                <w:szCs w:val="18"/>
              </w:rPr>
            </w:pPr>
            <w:r w:rsidRPr="00497699">
              <w:rPr>
                <w:rFonts w:ascii="Arial" w:hAnsi="Arial" w:cs="Arial"/>
                <w:color w:val="231F20"/>
                <w:w w:val="67"/>
                <w:sz w:val="18"/>
                <w:szCs w:val="18"/>
              </w:rPr>
              <w:t>■</w:t>
            </w:r>
            <w:r w:rsidRPr="00497699">
              <w:rPr>
                <w:rFonts w:asciiTheme="minorHAnsi" w:hAnsiTheme="minorHAnsi"/>
                <w:color w:val="231F20"/>
                <w:w w:val="67"/>
                <w:sz w:val="18"/>
                <w:szCs w:val="18"/>
              </w:rPr>
              <w:t xml:space="preserve"> </w:t>
            </w:r>
            <w:r w:rsidRPr="00497699">
              <w:rPr>
                <w:rFonts w:asciiTheme="minorHAnsi" w:hAnsiTheme="minorHAnsi"/>
                <w:color w:val="231F20"/>
                <w:spacing w:val="27"/>
                <w:w w:val="67"/>
                <w:sz w:val="18"/>
                <w:szCs w:val="18"/>
              </w:rPr>
              <w:t xml:space="preserve"> </w:t>
            </w:r>
            <w:r w:rsidRPr="00497699">
              <w:rPr>
                <w:rFonts w:asciiTheme="minorHAnsi" w:eastAsia="Arial" w:hAnsiTheme="minorHAnsi" w:cs="Arial"/>
                <w:color w:val="231F20"/>
                <w:sz w:val="18"/>
                <w:szCs w:val="18"/>
              </w:rPr>
              <w:t>Extra</w:t>
            </w:r>
            <w:r w:rsidRPr="00497699">
              <w:rPr>
                <w:rFonts w:asciiTheme="minorHAnsi" w:eastAsia="Arial" w:hAnsiTheme="minorHAnsi" w:cs="Arial"/>
                <w:color w:val="231F20"/>
                <w:spacing w:val="1"/>
                <w:sz w:val="18"/>
                <w:szCs w:val="18"/>
              </w:rPr>
              <w:t xml:space="preserve"> </w:t>
            </w:r>
            <w:r w:rsidRPr="00497699">
              <w:rPr>
                <w:rFonts w:asciiTheme="minorHAnsi" w:eastAsia="Arial" w:hAnsiTheme="minorHAnsi" w:cs="Arial"/>
                <w:color w:val="231F20"/>
                <w:sz w:val="18"/>
                <w:szCs w:val="18"/>
              </w:rPr>
              <w:t>(unplanned)</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dose</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w w:val="98"/>
                <w:sz w:val="18"/>
                <w:szCs w:val="18"/>
              </w:rPr>
              <w:t>FVIII/FIX/bypassing</w:t>
            </w:r>
            <w:r w:rsidRPr="00497699">
              <w:rPr>
                <w:rFonts w:asciiTheme="minorHAnsi" w:eastAsia="Arial" w:hAnsiTheme="minorHAnsi" w:cs="Arial"/>
                <w:color w:val="231F20"/>
                <w:spacing w:val="6"/>
                <w:w w:val="98"/>
                <w:sz w:val="18"/>
                <w:szCs w:val="18"/>
              </w:rPr>
              <w:t xml:space="preserve"> </w:t>
            </w:r>
            <w:r w:rsidRPr="00497699">
              <w:rPr>
                <w:rFonts w:asciiTheme="minorHAnsi" w:eastAsia="Arial" w:hAnsiTheme="minorHAnsi" w:cs="Arial"/>
                <w:color w:val="231F20"/>
                <w:sz w:val="18"/>
                <w:szCs w:val="18"/>
              </w:rPr>
              <w:t>agents</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needed</w:t>
            </w:r>
            <w:r w:rsidRPr="00497699">
              <w:rPr>
                <w:rFonts w:asciiTheme="minorHAnsi" w:eastAsia="Arial" w:hAnsiTheme="minorHAnsi" w:cs="Arial"/>
                <w:color w:val="231F20"/>
                <w:spacing w:val="23"/>
                <w:sz w:val="18"/>
                <w:szCs w:val="18"/>
              </w:rPr>
              <w:t xml:space="preserve"> </w:t>
            </w:r>
            <w:r w:rsidRPr="00497699">
              <w:rPr>
                <w:rFonts w:asciiTheme="minorHAnsi" w:eastAsia="Arial" w:hAnsiTheme="minorHAnsi" w:cs="Arial"/>
                <w:color w:val="231F20"/>
                <w:sz w:val="18"/>
                <w:szCs w:val="18"/>
              </w:rPr>
              <w:t>OR</w:t>
            </w:r>
          </w:p>
          <w:p w:rsidR="00E928C0" w:rsidRPr="00497699" w:rsidRDefault="00E928C0" w:rsidP="002A1763">
            <w:pPr>
              <w:spacing w:before="12" w:after="0"/>
              <w:ind w:left="80" w:right="-20"/>
              <w:rPr>
                <w:rFonts w:asciiTheme="minorHAnsi" w:eastAsia="Arial" w:hAnsiTheme="minorHAnsi" w:cs="Arial"/>
                <w:sz w:val="18"/>
                <w:szCs w:val="18"/>
              </w:rPr>
            </w:pPr>
            <w:r w:rsidRPr="00497699">
              <w:rPr>
                <w:rFonts w:ascii="Arial" w:hAnsi="Arial" w:cs="Arial"/>
                <w:color w:val="231F20"/>
                <w:w w:val="67"/>
                <w:sz w:val="18"/>
                <w:szCs w:val="18"/>
              </w:rPr>
              <w:t>■</w:t>
            </w:r>
            <w:r w:rsidRPr="00497699">
              <w:rPr>
                <w:rFonts w:asciiTheme="minorHAnsi" w:hAnsiTheme="minorHAnsi"/>
                <w:color w:val="231F20"/>
                <w:w w:val="67"/>
                <w:sz w:val="18"/>
                <w:szCs w:val="18"/>
              </w:rPr>
              <w:t xml:space="preserve"> </w:t>
            </w:r>
            <w:r w:rsidRPr="00497699">
              <w:rPr>
                <w:rFonts w:asciiTheme="minorHAnsi" w:hAnsiTheme="minorHAnsi"/>
                <w:color w:val="231F20"/>
                <w:spacing w:val="27"/>
                <w:w w:val="67"/>
                <w:sz w:val="18"/>
                <w:szCs w:val="18"/>
              </w:rPr>
              <w:t xml:space="preserve"> </w:t>
            </w:r>
            <w:r w:rsidRPr="00497699">
              <w:rPr>
                <w:rFonts w:asciiTheme="minorHAnsi" w:eastAsia="Arial" w:hAnsiTheme="minorHAnsi" w:cs="Arial"/>
                <w:color w:val="231F20"/>
                <w:sz w:val="18"/>
                <w:szCs w:val="18"/>
              </w:rPr>
              <w:t>Inc</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eased</w:t>
            </w:r>
            <w:r w:rsidRPr="00497699">
              <w:rPr>
                <w:rFonts w:asciiTheme="minorHAnsi" w:eastAsia="Arial" w:hAnsiTheme="minorHAnsi" w:cs="Arial"/>
                <w:color w:val="231F20"/>
                <w:spacing w:val="-16"/>
                <w:sz w:val="18"/>
                <w:szCs w:val="18"/>
              </w:rPr>
              <w:t xml:space="preserve"> </w:t>
            </w:r>
            <w:r w:rsidRPr="00497699">
              <w:rPr>
                <w:rFonts w:asciiTheme="minorHAnsi" w:eastAsia="Arial" w:hAnsiTheme="minorHAnsi" w:cs="Arial"/>
                <w:color w:val="231F20"/>
                <w:sz w:val="18"/>
                <w:szCs w:val="18"/>
              </w:rPr>
              <w:t>blood</w:t>
            </w:r>
            <w:r w:rsidRPr="00497699">
              <w:rPr>
                <w:rFonts w:asciiTheme="minorHAnsi" w:eastAsia="Arial" w:hAnsiTheme="minorHAnsi" w:cs="Arial"/>
                <w:color w:val="231F20"/>
                <w:spacing w:val="40"/>
                <w:sz w:val="18"/>
                <w:szCs w:val="18"/>
              </w:rPr>
              <w:t xml:space="preserve"> </w:t>
            </w:r>
            <w:r w:rsidRPr="00497699">
              <w:rPr>
                <w:rFonts w:asciiTheme="minorHAnsi" w:eastAsia="Arial" w:hAnsiTheme="minorHAnsi" w:cs="Arial"/>
                <w:color w:val="231F20"/>
                <w:sz w:val="18"/>
                <w:szCs w:val="18"/>
              </w:rPr>
              <w:t>component</w:t>
            </w:r>
            <w:r w:rsidRPr="00497699">
              <w:rPr>
                <w:rFonts w:asciiTheme="minorHAnsi" w:eastAsia="Arial" w:hAnsiTheme="minorHAnsi" w:cs="Arial"/>
                <w:color w:val="231F20"/>
                <w:spacing w:val="41"/>
                <w:sz w:val="18"/>
                <w:szCs w:val="18"/>
              </w:rPr>
              <w:t xml:space="preserve"> </w:t>
            </w:r>
            <w:r w:rsidRPr="00497699">
              <w:rPr>
                <w:rFonts w:asciiTheme="minorHAnsi" w:eastAsia="Arial" w:hAnsiTheme="minorHAnsi" w:cs="Arial"/>
                <w:color w:val="231F20"/>
                <w:sz w:val="18"/>
                <w:szCs w:val="18"/>
              </w:rPr>
              <w:t>(within</w:t>
            </w:r>
            <w:r w:rsidRPr="00497699">
              <w:rPr>
                <w:rFonts w:asciiTheme="minorHAnsi" w:eastAsia="Arial" w:hAnsiTheme="minorHAnsi" w:cs="Arial"/>
                <w:color w:val="231F20"/>
                <w:spacing w:val="15"/>
                <w:sz w:val="18"/>
                <w:szCs w:val="18"/>
              </w:rPr>
              <w:t xml:space="preserve"> </w:t>
            </w:r>
            <w:r w:rsidRPr="00497699">
              <w:rPr>
                <w:rFonts w:asciiTheme="minorHAnsi" w:eastAsia="Arial" w:hAnsiTheme="minorHAnsi" w:cs="Arial"/>
                <w:color w:val="231F20"/>
                <w:sz w:val="18"/>
                <w:szCs w:val="18"/>
              </w:rPr>
              <w:t>2</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fold)</w:t>
            </w:r>
            <w:r w:rsidRPr="00497699">
              <w:rPr>
                <w:rFonts w:asciiTheme="minorHAnsi" w:eastAsia="Arial" w:hAnsiTheme="minorHAnsi" w:cs="Arial"/>
                <w:color w:val="231F20"/>
                <w:spacing w:val="19"/>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anticipated</w:t>
            </w:r>
            <w:r w:rsidRPr="00497699">
              <w:rPr>
                <w:rFonts w:asciiTheme="minorHAnsi" w:eastAsia="Arial" w:hAnsiTheme="minorHAnsi" w:cs="Arial"/>
                <w:color w:val="231F20"/>
                <w:spacing w:val="40"/>
                <w:sz w:val="18"/>
                <w:szCs w:val="18"/>
              </w:rPr>
              <w:t xml:space="preserve"> </w:t>
            </w:r>
            <w:r w:rsidRPr="00497699">
              <w:rPr>
                <w:rFonts w:asciiTheme="minorHAnsi" w:eastAsia="Arial" w:hAnsiTheme="minorHAnsi" w:cs="Arial"/>
                <w:color w:val="231F20"/>
                <w:sz w:val="18"/>
                <w:szCs w:val="18"/>
              </w:rPr>
              <w:t>transfusion</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pacing w:val="-3"/>
                <w:w w:val="105"/>
                <w:sz w:val="18"/>
                <w:szCs w:val="18"/>
              </w:rPr>
              <w:t>r</w:t>
            </w:r>
            <w:r w:rsidRPr="00497699">
              <w:rPr>
                <w:rFonts w:asciiTheme="minorHAnsi" w:eastAsia="Arial" w:hAnsiTheme="minorHAnsi" w:cs="Arial"/>
                <w:color w:val="231F20"/>
                <w:w w:val="104"/>
                <w:sz w:val="18"/>
                <w:szCs w:val="18"/>
              </w:rPr>
              <w:t>equi</w:t>
            </w:r>
            <w:r w:rsidRPr="00497699">
              <w:rPr>
                <w:rFonts w:asciiTheme="minorHAnsi" w:eastAsia="Arial" w:hAnsiTheme="minorHAnsi" w:cs="Arial"/>
                <w:color w:val="231F20"/>
                <w:spacing w:val="-3"/>
                <w:w w:val="104"/>
                <w:sz w:val="18"/>
                <w:szCs w:val="18"/>
              </w:rPr>
              <w:t>r</w:t>
            </w:r>
            <w:r w:rsidRPr="00497699">
              <w:rPr>
                <w:rFonts w:asciiTheme="minorHAnsi" w:eastAsia="Arial" w:hAnsiTheme="minorHAnsi" w:cs="Arial"/>
                <w:color w:val="231F20"/>
                <w:w w:val="103"/>
                <w:sz w:val="18"/>
                <w:szCs w:val="18"/>
              </w:rPr>
              <w:t>ement</w:t>
            </w:r>
          </w:p>
        </w:tc>
      </w:tr>
      <w:tr w:rsidR="00E928C0" w:rsidRPr="00497699" w:rsidTr="00041ED2">
        <w:trPr>
          <w:trHeight w:hRule="exact" w:val="1336"/>
        </w:trPr>
        <w:tc>
          <w:tcPr>
            <w:tcW w:w="1164" w:type="dxa"/>
            <w:tcBorders>
              <w:top w:val="single" w:sz="32" w:space="0" w:color="FFFFFF"/>
              <w:left w:val="nil"/>
              <w:bottom w:val="single" w:sz="32" w:space="0" w:color="FFFFFF"/>
              <w:right w:val="single" w:sz="32" w:space="0" w:color="FFFFFF"/>
            </w:tcBorders>
            <w:shd w:val="clear" w:color="auto" w:fill="E6E7E8"/>
            <w:textDirection w:val="btLr"/>
          </w:tcPr>
          <w:p w:rsidR="00E928C0" w:rsidRPr="00497699" w:rsidRDefault="00E928C0" w:rsidP="002A1763">
            <w:pPr>
              <w:spacing w:before="1" w:after="0" w:line="110" w:lineRule="exact"/>
              <w:rPr>
                <w:rFonts w:asciiTheme="minorHAnsi" w:hAnsiTheme="minorHAnsi"/>
                <w:sz w:val="11"/>
                <w:szCs w:val="11"/>
              </w:rPr>
            </w:pPr>
          </w:p>
          <w:p w:rsidR="00E928C0" w:rsidRPr="00497699" w:rsidRDefault="00E928C0" w:rsidP="002A1763">
            <w:pPr>
              <w:spacing w:after="0"/>
              <w:ind w:left="183" w:right="-20"/>
              <w:rPr>
                <w:rFonts w:asciiTheme="minorHAnsi" w:eastAsia="Arial" w:hAnsiTheme="minorHAnsi" w:cs="Arial"/>
                <w:sz w:val="18"/>
                <w:szCs w:val="18"/>
              </w:rPr>
            </w:pPr>
            <w:r w:rsidRPr="00497699">
              <w:rPr>
                <w:rFonts w:asciiTheme="minorHAnsi" w:eastAsia="Arial" w:hAnsiTheme="minorHAnsi" w:cs="Arial"/>
                <w:color w:val="231F20"/>
                <w:w w:val="107"/>
                <w:sz w:val="18"/>
                <w:szCs w:val="18"/>
              </w:rPr>
              <w:t>Poor/none</w:t>
            </w:r>
          </w:p>
        </w:tc>
        <w:tc>
          <w:tcPr>
            <w:tcW w:w="8901" w:type="dxa"/>
            <w:tcBorders>
              <w:top w:val="single" w:sz="32" w:space="0" w:color="FFFFFF"/>
              <w:left w:val="single" w:sz="32" w:space="0" w:color="FFFFFF"/>
              <w:bottom w:val="single" w:sz="32" w:space="0" w:color="FFFFFF"/>
              <w:right w:val="nil"/>
            </w:tcBorders>
            <w:shd w:val="clear" w:color="auto" w:fill="E6E7E8"/>
          </w:tcPr>
          <w:p w:rsidR="00E928C0" w:rsidRPr="00497699" w:rsidRDefault="00E928C0" w:rsidP="002A1763">
            <w:pPr>
              <w:spacing w:before="87" w:after="0" w:line="255" w:lineRule="auto"/>
              <w:ind w:left="80" w:right="164"/>
              <w:rPr>
                <w:rFonts w:asciiTheme="minorHAnsi" w:eastAsia="Arial" w:hAnsiTheme="minorHAnsi" w:cs="Arial"/>
                <w:sz w:val="18"/>
                <w:szCs w:val="18"/>
              </w:rPr>
            </w:pPr>
            <w:r w:rsidRPr="00497699">
              <w:rPr>
                <w:rFonts w:asciiTheme="minorHAnsi" w:eastAsia="Arial" w:hAnsiTheme="minorHAnsi" w:cs="Arial"/>
                <w:color w:val="231F20"/>
                <w:sz w:val="18"/>
                <w:szCs w:val="18"/>
              </w:rPr>
              <w:t>Significant</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intra-operative</w:t>
            </w:r>
            <w:r w:rsidRPr="00497699">
              <w:rPr>
                <w:rFonts w:asciiTheme="minorHAnsi" w:eastAsia="Arial" w:hAnsiTheme="minorHAnsi" w:cs="Arial"/>
                <w:color w:val="231F20"/>
                <w:spacing w:val="39"/>
                <w:sz w:val="18"/>
                <w:szCs w:val="18"/>
              </w:rPr>
              <w:t xml:space="preserve"> </w:t>
            </w:r>
            <w:r w:rsidRPr="00497699">
              <w:rPr>
                <w:rFonts w:asciiTheme="minorHAnsi" w:eastAsia="Arial" w:hAnsiTheme="minorHAnsi" w:cs="Arial"/>
                <w:color w:val="231F20"/>
                <w:sz w:val="18"/>
                <w:szCs w:val="18"/>
              </w:rPr>
              <w:t>and/or</w:t>
            </w:r>
            <w:r w:rsidRPr="00497699">
              <w:rPr>
                <w:rFonts w:asciiTheme="minorHAnsi" w:eastAsia="Arial" w:hAnsiTheme="minorHAnsi" w:cs="Arial"/>
                <w:color w:val="231F20"/>
                <w:spacing w:val="31"/>
                <w:sz w:val="18"/>
                <w:szCs w:val="18"/>
              </w:rPr>
              <w:t xml:space="preserve"> </w:t>
            </w:r>
            <w:r w:rsidRPr="00497699">
              <w:rPr>
                <w:rFonts w:asciiTheme="minorHAnsi" w:eastAsia="Arial" w:hAnsiTheme="minorHAnsi" w:cs="Arial"/>
                <w:color w:val="231F20"/>
                <w:sz w:val="18"/>
                <w:szCs w:val="18"/>
              </w:rPr>
              <w:t>post-operative</w:t>
            </w:r>
            <w:r w:rsidRPr="00497699">
              <w:rPr>
                <w:rFonts w:asciiTheme="minorHAnsi" w:eastAsia="Arial" w:hAnsiTheme="minorHAnsi" w:cs="Arial"/>
                <w:color w:val="231F20"/>
                <w:spacing w:val="39"/>
                <w:sz w:val="18"/>
                <w:szCs w:val="18"/>
              </w:rPr>
              <w:t xml:space="preserve"> </w:t>
            </w:r>
            <w:r w:rsidRPr="00497699">
              <w:rPr>
                <w:rFonts w:asciiTheme="minorHAnsi" w:eastAsia="Arial" w:hAnsiTheme="minorHAnsi" w:cs="Arial"/>
                <w:color w:val="231F20"/>
                <w:sz w:val="18"/>
                <w:szCs w:val="18"/>
              </w:rPr>
              <w:t>blood</w:t>
            </w:r>
            <w:r w:rsidRPr="00497699">
              <w:rPr>
                <w:rFonts w:asciiTheme="minorHAnsi" w:eastAsia="Arial" w:hAnsiTheme="minorHAnsi" w:cs="Arial"/>
                <w:color w:val="231F20"/>
                <w:spacing w:val="40"/>
                <w:sz w:val="18"/>
                <w:szCs w:val="18"/>
              </w:rPr>
              <w:t xml:space="preserve"> </w:t>
            </w:r>
            <w:r w:rsidRPr="00497699">
              <w:rPr>
                <w:rFonts w:asciiTheme="minorHAnsi" w:eastAsia="Arial" w:hAnsiTheme="minorHAnsi" w:cs="Arial"/>
                <w:color w:val="231F20"/>
                <w:sz w:val="18"/>
                <w:szCs w:val="18"/>
              </w:rPr>
              <w:t>loss</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z w:val="18"/>
                <w:szCs w:val="18"/>
              </w:rPr>
              <w:t>that</w:t>
            </w:r>
            <w:r w:rsidRPr="00497699">
              <w:rPr>
                <w:rFonts w:asciiTheme="minorHAnsi" w:eastAsia="Arial" w:hAnsiTheme="minorHAnsi" w:cs="Arial"/>
                <w:color w:val="231F20"/>
                <w:spacing w:val="23"/>
                <w:sz w:val="18"/>
                <w:szCs w:val="18"/>
              </w:rPr>
              <w:t xml:space="preserve"> </w:t>
            </w:r>
            <w:r w:rsidRPr="00497699">
              <w:rPr>
                <w:rFonts w:asciiTheme="minorHAnsi" w:eastAsia="Arial" w:hAnsiTheme="minorHAnsi" w:cs="Arial"/>
                <w:color w:val="231F20"/>
                <w:sz w:val="18"/>
                <w:szCs w:val="18"/>
              </w:rPr>
              <w:t>is</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substantially</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inc</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eased</w:t>
            </w:r>
            <w:r w:rsidRPr="00497699">
              <w:rPr>
                <w:rFonts w:asciiTheme="minorHAnsi" w:eastAsia="Arial" w:hAnsiTheme="minorHAnsi" w:cs="Arial"/>
                <w:color w:val="231F20"/>
                <w:spacing w:val="-7"/>
                <w:sz w:val="18"/>
                <w:szCs w:val="18"/>
              </w:rPr>
              <w:t xml:space="preserve"> </w:t>
            </w:r>
            <w:r w:rsidRPr="00497699">
              <w:rPr>
                <w:rFonts w:asciiTheme="minorHAnsi" w:eastAsia="Arial" w:hAnsiTheme="minorHAnsi" w:cs="Arial"/>
                <w:color w:val="231F20"/>
                <w:sz w:val="18"/>
                <w:szCs w:val="18"/>
              </w:rPr>
              <w:t>over</w:t>
            </w:r>
            <w:r w:rsidRPr="00497699">
              <w:rPr>
                <w:rFonts w:asciiTheme="minorHAnsi" w:eastAsia="Arial" w:hAnsiTheme="minorHAnsi" w:cs="Arial"/>
                <w:color w:val="231F20"/>
                <w:spacing w:val="12"/>
                <w:sz w:val="18"/>
                <w:szCs w:val="18"/>
              </w:rPr>
              <w:t xml:space="preserve"> </w:t>
            </w:r>
            <w:r w:rsidRPr="00497699">
              <w:rPr>
                <w:rFonts w:asciiTheme="minorHAnsi" w:eastAsia="Arial" w:hAnsiTheme="minorHAnsi" w:cs="Arial"/>
                <w:color w:val="231F20"/>
                <w:sz w:val="18"/>
                <w:szCs w:val="18"/>
              </w:rPr>
              <w:t>expectation</w:t>
            </w:r>
            <w:r w:rsidRPr="00497699">
              <w:rPr>
                <w:rFonts w:asciiTheme="minorHAnsi" w:eastAsia="Arial" w:hAnsiTheme="minorHAnsi" w:cs="Arial"/>
                <w:color w:val="231F20"/>
                <w:spacing w:val="33"/>
                <w:sz w:val="18"/>
                <w:szCs w:val="18"/>
              </w:rPr>
              <w:t xml:space="preserve"> </w:t>
            </w:r>
            <w:r w:rsidRPr="00497699">
              <w:rPr>
                <w:rFonts w:asciiTheme="minorHAnsi" w:eastAsia="Arial" w:hAnsiTheme="minorHAnsi" w:cs="Arial"/>
                <w:color w:val="231F20"/>
                <w:sz w:val="18"/>
                <w:szCs w:val="18"/>
              </w:rPr>
              <w:t>(&gt;50%) for</w:t>
            </w:r>
            <w:r w:rsidRPr="00497699">
              <w:rPr>
                <w:rFonts w:asciiTheme="minorHAnsi" w:eastAsia="Arial" w:hAnsiTheme="minorHAnsi" w:cs="Arial"/>
                <w:color w:val="231F20"/>
                <w:spacing w:val="22"/>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non-haemophilic</w:t>
            </w:r>
            <w:r w:rsidRPr="00497699">
              <w:rPr>
                <w:rFonts w:asciiTheme="minorHAnsi" w:eastAsia="Arial" w:hAnsiTheme="minorHAnsi" w:cs="Arial"/>
                <w:color w:val="231F20"/>
                <w:spacing w:val="29"/>
                <w:sz w:val="18"/>
                <w:szCs w:val="18"/>
              </w:rPr>
              <w:t xml:space="preserve"> </w:t>
            </w:r>
            <w:r w:rsidRPr="00497699">
              <w:rPr>
                <w:rFonts w:asciiTheme="minorHAnsi" w:eastAsia="Arial" w:hAnsiTheme="minorHAnsi" w:cs="Arial"/>
                <w:color w:val="231F20"/>
                <w:sz w:val="18"/>
                <w:szCs w:val="18"/>
              </w:rPr>
              <w:t>patient,</w:t>
            </w:r>
            <w:r w:rsidRPr="00497699">
              <w:rPr>
                <w:rFonts w:asciiTheme="minorHAnsi" w:eastAsia="Arial" w:hAnsiTheme="minorHAnsi" w:cs="Arial"/>
                <w:color w:val="231F20"/>
                <w:spacing w:val="35"/>
                <w:sz w:val="18"/>
                <w:szCs w:val="18"/>
              </w:rPr>
              <w:t xml:space="preserve"> </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equi</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es</w:t>
            </w:r>
            <w:r w:rsidRPr="00497699">
              <w:rPr>
                <w:rFonts w:asciiTheme="minorHAnsi" w:eastAsia="Arial" w:hAnsiTheme="minorHAnsi" w:cs="Arial"/>
                <w:color w:val="231F20"/>
                <w:spacing w:val="9"/>
                <w:sz w:val="18"/>
                <w:szCs w:val="18"/>
              </w:rPr>
              <w:t xml:space="preserve"> </w:t>
            </w:r>
            <w:r w:rsidRPr="00497699">
              <w:rPr>
                <w:rFonts w:asciiTheme="minorHAnsi" w:eastAsia="Arial" w:hAnsiTheme="minorHAnsi" w:cs="Arial"/>
                <w:color w:val="231F20"/>
                <w:sz w:val="18"/>
                <w:szCs w:val="18"/>
              </w:rPr>
              <w:t>intervention,</w:t>
            </w:r>
            <w:r w:rsidRPr="00497699">
              <w:rPr>
                <w:rFonts w:asciiTheme="minorHAnsi" w:eastAsia="Arial" w:hAnsiTheme="minorHAnsi" w:cs="Arial"/>
                <w:color w:val="231F20"/>
                <w:spacing w:val="44"/>
                <w:sz w:val="18"/>
                <w:szCs w:val="18"/>
              </w:rPr>
              <w:t xml:space="preserve"> </w:t>
            </w:r>
            <w:r w:rsidRPr="00497699">
              <w:rPr>
                <w:rFonts w:asciiTheme="minorHAnsi" w:eastAsia="Arial" w:hAnsiTheme="minorHAnsi" w:cs="Arial"/>
                <w:color w:val="231F20"/>
                <w:sz w:val="18"/>
                <w:szCs w:val="18"/>
              </w:rPr>
              <w:t>and</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is</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not</w:t>
            </w:r>
            <w:r w:rsidRPr="00497699">
              <w:rPr>
                <w:rFonts w:asciiTheme="minorHAnsi" w:eastAsia="Arial" w:hAnsiTheme="minorHAnsi" w:cs="Arial"/>
                <w:color w:val="231F20"/>
                <w:spacing w:val="25"/>
                <w:sz w:val="18"/>
                <w:szCs w:val="18"/>
              </w:rPr>
              <w:t xml:space="preserve"> </w:t>
            </w:r>
            <w:r w:rsidRPr="00497699">
              <w:rPr>
                <w:rFonts w:asciiTheme="minorHAnsi" w:eastAsia="Arial" w:hAnsiTheme="minorHAnsi" w:cs="Arial"/>
                <w:color w:val="231F20"/>
                <w:sz w:val="18"/>
                <w:szCs w:val="18"/>
              </w:rPr>
              <w:t>explained</w:t>
            </w:r>
            <w:r w:rsidRPr="00497699">
              <w:rPr>
                <w:rFonts w:asciiTheme="minorHAnsi" w:eastAsia="Arial" w:hAnsiTheme="minorHAnsi" w:cs="Arial"/>
                <w:color w:val="231F20"/>
                <w:spacing w:val="20"/>
                <w:sz w:val="18"/>
                <w:szCs w:val="18"/>
              </w:rPr>
              <w:t xml:space="preserve"> </w:t>
            </w:r>
            <w:r w:rsidRPr="00497699">
              <w:rPr>
                <w:rFonts w:asciiTheme="minorHAnsi" w:eastAsia="Arial" w:hAnsiTheme="minorHAnsi" w:cs="Arial"/>
                <w:color w:val="231F20"/>
                <w:sz w:val="18"/>
                <w:szCs w:val="18"/>
              </w:rPr>
              <w:t>by</w:t>
            </w:r>
            <w:r w:rsidRPr="00497699">
              <w:rPr>
                <w:rFonts w:asciiTheme="minorHAnsi" w:eastAsia="Arial" w:hAnsiTheme="minorHAnsi" w:cs="Arial"/>
                <w:color w:val="231F20"/>
                <w:spacing w:val="11"/>
                <w:sz w:val="18"/>
                <w:szCs w:val="18"/>
              </w:rPr>
              <w:t xml:space="preserve"> </w:t>
            </w:r>
            <w:r w:rsidRPr="00497699">
              <w:rPr>
                <w:rFonts w:asciiTheme="minorHAnsi" w:eastAsia="Arial" w:hAnsiTheme="minorHAnsi" w:cs="Arial"/>
                <w:color w:val="231F20"/>
                <w:sz w:val="18"/>
                <w:szCs w:val="18"/>
              </w:rPr>
              <w:t>a</w:t>
            </w:r>
            <w:r w:rsidRPr="00497699">
              <w:rPr>
                <w:rFonts w:asciiTheme="minorHAnsi" w:eastAsia="Arial" w:hAnsiTheme="minorHAnsi" w:cs="Arial"/>
                <w:color w:val="231F20"/>
                <w:spacing w:val="-2"/>
                <w:sz w:val="18"/>
                <w:szCs w:val="18"/>
              </w:rPr>
              <w:t xml:space="preserve"> </w:t>
            </w:r>
            <w:r w:rsidRPr="00497699">
              <w:rPr>
                <w:rFonts w:asciiTheme="minorHAnsi" w:eastAsia="Arial" w:hAnsiTheme="minorHAnsi" w:cs="Arial"/>
                <w:color w:val="231F20"/>
                <w:sz w:val="18"/>
                <w:szCs w:val="18"/>
              </w:rPr>
              <w:t>su</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gical/medical</w:t>
            </w:r>
            <w:r w:rsidRPr="00497699">
              <w:rPr>
                <w:rFonts w:asciiTheme="minorHAnsi" w:eastAsia="Arial" w:hAnsiTheme="minorHAnsi" w:cs="Arial"/>
                <w:color w:val="231F20"/>
                <w:spacing w:val="26"/>
                <w:sz w:val="18"/>
                <w:szCs w:val="18"/>
              </w:rPr>
              <w:t xml:space="preserve"> </w:t>
            </w:r>
            <w:r w:rsidRPr="00497699">
              <w:rPr>
                <w:rFonts w:asciiTheme="minorHAnsi" w:eastAsia="Arial" w:hAnsiTheme="minorHAnsi" w:cs="Arial"/>
                <w:color w:val="231F20"/>
                <w:w w:val="94"/>
                <w:sz w:val="18"/>
                <w:szCs w:val="18"/>
              </w:rPr>
              <w:t>issue</w:t>
            </w:r>
            <w:r w:rsidRPr="00497699">
              <w:rPr>
                <w:rFonts w:asciiTheme="minorHAnsi" w:eastAsia="Arial" w:hAnsiTheme="minorHAnsi" w:cs="Arial"/>
                <w:color w:val="231F20"/>
                <w:spacing w:val="8"/>
                <w:w w:val="94"/>
                <w:sz w:val="18"/>
                <w:szCs w:val="18"/>
              </w:rPr>
              <w:t xml:space="preserve"> </w:t>
            </w:r>
            <w:r w:rsidRPr="00497699">
              <w:rPr>
                <w:rFonts w:asciiTheme="minorHAnsi" w:eastAsia="Arial" w:hAnsiTheme="minorHAnsi" w:cs="Arial"/>
                <w:color w:val="231F20"/>
                <w:sz w:val="18"/>
                <w:szCs w:val="18"/>
              </w:rPr>
              <w:t>other</w:t>
            </w:r>
            <w:r w:rsidRPr="00497699">
              <w:rPr>
                <w:rFonts w:asciiTheme="minorHAnsi" w:eastAsia="Arial" w:hAnsiTheme="minorHAnsi" w:cs="Arial"/>
                <w:color w:val="231F20"/>
                <w:spacing w:val="26"/>
                <w:sz w:val="18"/>
                <w:szCs w:val="18"/>
              </w:rPr>
              <w:t xml:space="preserve"> </w:t>
            </w:r>
            <w:r w:rsidRPr="00497699">
              <w:rPr>
                <w:rFonts w:asciiTheme="minorHAnsi" w:eastAsia="Arial" w:hAnsiTheme="minorHAnsi" w:cs="Arial"/>
                <w:color w:val="231F20"/>
                <w:w w:val="101"/>
                <w:sz w:val="18"/>
                <w:szCs w:val="18"/>
              </w:rPr>
              <w:t xml:space="preserve">than </w:t>
            </w:r>
            <w:r w:rsidRPr="00497699">
              <w:rPr>
                <w:rFonts w:asciiTheme="minorHAnsi" w:eastAsia="Arial" w:hAnsiTheme="minorHAnsi" w:cs="Arial"/>
                <w:color w:val="231F20"/>
                <w:w w:val="102"/>
                <w:sz w:val="18"/>
                <w:szCs w:val="18"/>
              </w:rPr>
              <w:t>haemophilia</w:t>
            </w:r>
          </w:p>
          <w:p w:rsidR="00E928C0" w:rsidRPr="00497699" w:rsidRDefault="00E928C0" w:rsidP="002A1763">
            <w:pPr>
              <w:spacing w:after="0"/>
              <w:ind w:left="80" w:right="-20"/>
              <w:rPr>
                <w:rFonts w:asciiTheme="minorHAnsi" w:eastAsia="Arial" w:hAnsiTheme="minorHAnsi" w:cs="Arial"/>
                <w:sz w:val="18"/>
                <w:szCs w:val="18"/>
              </w:rPr>
            </w:pPr>
            <w:r w:rsidRPr="00497699">
              <w:rPr>
                <w:rFonts w:ascii="Arial" w:hAnsi="Arial" w:cs="Arial"/>
                <w:color w:val="231F20"/>
                <w:w w:val="67"/>
                <w:sz w:val="18"/>
                <w:szCs w:val="18"/>
              </w:rPr>
              <w:t>■</w:t>
            </w:r>
            <w:r w:rsidRPr="00497699">
              <w:rPr>
                <w:rFonts w:asciiTheme="minorHAnsi" w:hAnsiTheme="minorHAnsi"/>
                <w:color w:val="231F20"/>
                <w:w w:val="67"/>
                <w:sz w:val="18"/>
                <w:szCs w:val="18"/>
              </w:rPr>
              <w:t xml:space="preserve"> </w:t>
            </w:r>
            <w:r w:rsidRPr="00497699">
              <w:rPr>
                <w:rFonts w:asciiTheme="minorHAnsi" w:hAnsiTheme="minorHAnsi"/>
                <w:color w:val="231F20"/>
                <w:spacing w:val="27"/>
                <w:w w:val="67"/>
                <w:sz w:val="18"/>
                <w:szCs w:val="18"/>
              </w:rPr>
              <w:t xml:space="preserve"> </w:t>
            </w:r>
            <w:r w:rsidRPr="00497699">
              <w:rPr>
                <w:rFonts w:asciiTheme="minorHAnsi" w:eastAsia="Arial" w:hAnsiTheme="minorHAnsi" w:cs="Arial"/>
                <w:color w:val="231F20"/>
                <w:sz w:val="18"/>
                <w:szCs w:val="18"/>
              </w:rPr>
              <w:t>Unexpected</w:t>
            </w:r>
            <w:r w:rsidRPr="00497699">
              <w:rPr>
                <w:rFonts w:asciiTheme="minorHAnsi" w:eastAsia="Arial" w:hAnsiTheme="minorHAnsi" w:cs="Arial"/>
                <w:color w:val="231F20"/>
                <w:spacing w:val="24"/>
                <w:sz w:val="18"/>
                <w:szCs w:val="18"/>
              </w:rPr>
              <w:t xml:space="preserve"> </w:t>
            </w:r>
            <w:r w:rsidRPr="00497699">
              <w:rPr>
                <w:rFonts w:asciiTheme="minorHAnsi" w:eastAsia="Arial" w:hAnsiTheme="minorHAnsi" w:cs="Arial"/>
                <w:color w:val="231F20"/>
                <w:sz w:val="18"/>
                <w:szCs w:val="18"/>
              </w:rPr>
              <w:t>hypotension</w:t>
            </w:r>
            <w:r w:rsidRPr="00497699">
              <w:rPr>
                <w:rFonts w:asciiTheme="minorHAnsi" w:eastAsia="Arial" w:hAnsiTheme="minorHAnsi" w:cs="Arial"/>
                <w:color w:val="231F20"/>
                <w:spacing w:val="24"/>
                <w:sz w:val="18"/>
                <w:szCs w:val="18"/>
              </w:rPr>
              <w:t xml:space="preserve"> </w:t>
            </w:r>
            <w:r w:rsidRPr="00497699">
              <w:rPr>
                <w:rFonts w:asciiTheme="minorHAnsi" w:eastAsia="Arial" w:hAnsiTheme="minorHAnsi" w:cs="Arial"/>
                <w:color w:val="231F20"/>
                <w:sz w:val="18"/>
                <w:szCs w:val="18"/>
              </w:rPr>
              <w:t>or</w:t>
            </w:r>
            <w:r w:rsidRPr="00497699">
              <w:rPr>
                <w:rFonts w:asciiTheme="minorHAnsi" w:eastAsia="Arial" w:hAnsiTheme="minorHAnsi" w:cs="Arial"/>
                <w:color w:val="231F20"/>
                <w:spacing w:val="15"/>
                <w:sz w:val="18"/>
                <w:szCs w:val="18"/>
              </w:rPr>
              <w:t xml:space="preserve"> </w:t>
            </w:r>
            <w:r w:rsidRPr="00497699">
              <w:rPr>
                <w:rFonts w:asciiTheme="minorHAnsi" w:eastAsia="Arial" w:hAnsiTheme="minorHAnsi" w:cs="Arial"/>
                <w:color w:val="231F20"/>
                <w:sz w:val="18"/>
                <w:szCs w:val="18"/>
              </w:rPr>
              <w:t>unexpected</w:t>
            </w:r>
            <w:r w:rsidRPr="00497699">
              <w:rPr>
                <w:rFonts w:asciiTheme="minorHAnsi" w:eastAsia="Arial" w:hAnsiTheme="minorHAnsi" w:cs="Arial"/>
                <w:color w:val="231F20"/>
                <w:spacing w:val="33"/>
                <w:sz w:val="18"/>
                <w:szCs w:val="18"/>
              </w:rPr>
              <w:t xml:space="preserve"> </w:t>
            </w:r>
            <w:r w:rsidRPr="00497699">
              <w:rPr>
                <w:rFonts w:asciiTheme="minorHAnsi" w:eastAsia="Arial" w:hAnsiTheme="minorHAnsi" w:cs="Arial"/>
                <w:color w:val="231F20"/>
                <w:sz w:val="18"/>
                <w:szCs w:val="18"/>
              </w:rPr>
              <w:t>transfer</w:t>
            </w:r>
            <w:r w:rsidRPr="00497699">
              <w:rPr>
                <w:rFonts w:asciiTheme="minorHAnsi" w:eastAsia="Arial" w:hAnsiTheme="minorHAnsi" w:cs="Arial"/>
                <w:color w:val="231F20"/>
                <w:spacing w:val="11"/>
                <w:sz w:val="18"/>
                <w:szCs w:val="18"/>
              </w:rPr>
              <w:t xml:space="preserve"> </w:t>
            </w:r>
            <w:r w:rsidRPr="00497699">
              <w:rPr>
                <w:rFonts w:asciiTheme="minorHAnsi" w:eastAsia="Arial" w:hAnsiTheme="minorHAnsi" w:cs="Arial"/>
                <w:color w:val="231F20"/>
                <w:sz w:val="18"/>
                <w:szCs w:val="18"/>
              </w:rPr>
              <w:t>to</w:t>
            </w:r>
            <w:r w:rsidRPr="00497699">
              <w:rPr>
                <w:rFonts w:asciiTheme="minorHAnsi" w:eastAsia="Arial" w:hAnsiTheme="minorHAnsi" w:cs="Arial"/>
                <w:color w:val="231F20"/>
                <w:spacing w:val="25"/>
                <w:sz w:val="18"/>
                <w:szCs w:val="18"/>
              </w:rPr>
              <w:t xml:space="preserve"> </w:t>
            </w:r>
            <w:r w:rsidRPr="00497699">
              <w:rPr>
                <w:rFonts w:asciiTheme="minorHAnsi" w:eastAsia="Arial" w:hAnsiTheme="minorHAnsi" w:cs="Arial"/>
                <w:color w:val="231F20"/>
                <w:sz w:val="18"/>
                <w:szCs w:val="18"/>
              </w:rPr>
              <w:t>ICU</w:t>
            </w:r>
            <w:r w:rsidRPr="00497699">
              <w:rPr>
                <w:rFonts w:asciiTheme="minorHAnsi" w:eastAsia="Arial" w:hAnsiTheme="minorHAnsi" w:cs="Arial"/>
                <w:color w:val="231F20"/>
                <w:spacing w:val="-7"/>
                <w:sz w:val="18"/>
                <w:szCs w:val="18"/>
              </w:rPr>
              <w:t xml:space="preserve"> </w:t>
            </w:r>
            <w:r w:rsidRPr="00497699">
              <w:rPr>
                <w:rFonts w:asciiTheme="minorHAnsi" w:eastAsia="Arial" w:hAnsiTheme="minorHAnsi" w:cs="Arial"/>
                <w:color w:val="231F20"/>
                <w:sz w:val="18"/>
                <w:szCs w:val="18"/>
              </w:rPr>
              <w:t>due</w:t>
            </w:r>
            <w:r w:rsidRPr="00497699">
              <w:rPr>
                <w:rFonts w:asciiTheme="minorHAnsi" w:eastAsia="Arial" w:hAnsiTheme="minorHAnsi" w:cs="Arial"/>
                <w:color w:val="231F20"/>
                <w:spacing w:val="14"/>
                <w:sz w:val="18"/>
                <w:szCs w:val="18"/>
              </w:rPr>
              <w:t xml:space="preserve"> </w:t>
            </w:r>
            <w:r w:rsidRPr="00497699">
              <w:rPr>
                <w:rFonts w:asciiTheme="minorHAnsi" w:eastAsia="Arial" w:hAnsiTheme="minorHAnsi" w:cs="Arial"/>
                <w:color w:val="231F20"/>
                <w:sz w:val="18"/>
                <w:szCs w:val="18"/>
              </w:rPr>
              <w:t>to</w:t>
            </w:r>
            <w:r w:rsidRPr="00497699">
              <w:rPr>
                <w:rFonts w:asciiTheme="minorHAnsi" w:eastAsia="Arial" w:hAnsiTheme="minorHAnsi" w:cs="Arial"/>
                <w:color w:val="231F20"/>
                <w:spacing w:val="25"/>
                <w:sz w:val="18"/>
                <w:szCs w:val="18"/>
              </w:rPr>
              <w:t xml:space="preserve"> </w:t>
            </w:r>
            <w:r w:rsidRPr="00497699">
              <w:rPr>
                <w:rFonts w:asciiTheme="minorHAnsi" w:eastAsia="Arial" w:hAnsiTheme="minorHAnsi" w:cs="Arial"/>
                <w:color w:val="231F20"/>
                <w:sz w:val="18"/>
                <w:szCs w:val="18"/>
              </w:rPr>
              <w:t>bleeding</w:t>
            </w:r>
            <w:r w:rsidRPr="00497699">
              <w:rPr>
                <w:rFonts w:asciiTheme="minorHAnsi" w:eastAsia="Arial" w:hAnsiTheme="minorHAnsi" w:cs="Arial"/>
                <w:color w:val="231F20"/>
                <w:spacing w:val="39"/>
                <w:sz w:val="18"/>
                <w:szCs w:val="18"/>
              </w:rPr>
              <w:t xml:space="preserve"> </w:t>
            </w:r>
            <w:r w:rsidRPr="00497699">
              <w:rPr>
                <w:rFonts w:asciiTheme="minorHAnsi" w:eastAsia="Arial" w:hAnsiTheme="minorHAnsi" w:cs="Arial"/>
                <w:color w:val="231F20"/>
                <w:sz w:val="18"/>
                <w:szCs w:val="18"/>
              </w:rPr>
              <w:t>OR</w:t>
            </w:r>
          </w:p>
          <w:p w:rsidR="00E928C0" w:rsidRPr="00497699" w:rsidRDefault="00E928C0" w:rsidP="002A1763">
            <w:pPr>
              <w:spacing w:before="12" w:after="0"/>
              <w:ind w:left="80" w:right="-20"/>
              <w:rPr>
                <w:rFonts w:asciiTheme="minorHAnsi" w:eastAsia="Arial" w:hAnsiTheme="minorHAnsi" w:cs="Arial"/>
                <w:sz w:val="18"/>
                <w:szCs w:val="18"/>
              </w:rPr>
            </w:pPr>
            <w:r w:rsidRPr="00497699">
              <w:rPr>
                <w:rFonts w:ascii="Arial" w:hAnsi="Arial" w:cs="Arial"/>
                <w:color w:val="231F20"/>
                <w:w w:val="67"/>
                <w:sz w:val="18"/>
                <w:szCs w:val="18"/>
              </w:rPr>
              <w:t>■</w:t>
            </w:r>
            <w:r w:rsidRPr="00497699">
              <w:rPr>
                <w:rFonts w:asciiTheme="minorHAnsi" w:hAnsiTheme="minorHAnsi"/>
                <w:color w:val="231F20"/>
                <w:w w:val="67"/>
                <w:sz w:val="18"/>
                <w:szCs w:val="18"/>
              </w:rPr>
              <w:t xml:space="preserve"> </w:t>
            </w:r>
            <w:r w:rsidRPr="00497699">
              <w:rPr>
                <w:rFonts w:asciiTheme="minorHAnsi" w:hAnsiTheme="minorHAnsi"/>
                <w:color w:val="231F20"/>
                <w:spacing w:val="27"/>
                <w:w w:val="67"/>
                <w:sz w:val="18"/>
                <w:szCs w:val="18"/>
              </w:rPr>
              <w:t xml:space="preserve"> </w:t>
            </w:r>
            <w:r w:rsidRPr="00497699">
              <w:rPr>
                <w:rFonts w:asciiTheme="minorHAnsi" w:eastAsia="Arial" w:hAnsiTheme="minorHAnsi" w:cs="Arial"/>
                <w:color w:val="231F20"/>
                <w:sz w:val="18"/>
                <w:szCs w:val="18"/>
              </w:rPr>
              <w:t>Substantially</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inc</w:t>
            </w:r>
            <w:r w:rsidRPr="00497699">
              <w:rPr>
                <w:rFonts w:asciiTheme="minorHAnsi" w:eastAsia="Arial" w:hAnsiTheme="minorHAnsi" w:cs="Arial"/>
                <w:color w:val="231F20"/>
                <w:spacing w:val="-3"/>
                <w:sz w:val="18"/>
                <w:szCs w:val="18"/>
              </w:rPr>
              <w:t>r</w:t>
            </w:r>
            <w:r w:rsidRPr="00497699">
              <w:rPr>
                <w:rFonts w:asciiTheme="minorHAnsi" w:eastAsia="Arial" w:hAnsiTheme="minorHAnsi" w:cs="Arial"/>
                <w:color w:val="231F20"/>
                <w:sz w:val="18"/>
                <w:szCs w:val="18"/>
              </w:rPr>
              <w:t>eased</w:t>
            </w:r>
            <w:r w:rsidRPr="00497699">
              <w:rPr>
                <w:rFonts w:asciiTheme="minorHAnsi" w:eastAsia="Arial" w:hAnsiTheme="minorHAnsi" w:cs="Arial"/>
                <w:color w:val="231F20"/>
                <w:spacing w:val="-7"/>
                <w:sz w:val="18"/>
                <w:szCs w:val="18"/>
              </w:rPr>
              <w:t xml:space="preserve"> </w:t>
            </w:r>
            <w:r w:rsidRPr="00497699">
              <w:rPr>
                <w:rFonts w:asciiTheme="minorHAnsi" w:eastAsia="Arial" w:hAnsiTheme="minorHAnsi" w:cs="Arial"/>
                <w:color w:val="231F20"/>
                <w:sz w:val="18"/>
                <w:szCs w:val="18"/>
              </w:rPr>
              <w:t>blood</w:t>
            </w:r>
            <w:r w:rsidRPr="00497699">
              <w:rPr>
                <w:rFonts w:asciiTheme="minorHAnsi" w:eastAsia="Arial" w:hAnsiTheme="minorHAnsi" w:cs="Arial"/>
                <w:color w:val="231F20"/>
                <w:spacing w:val="40"/>
                <w:sz w:val="18"/>
                <w:szCs w:val="18"/>
              </w:rPr>
              <w:t xml:space="preserve"> </w:t>
            </w:r>
            <w:r w:rsidRPr="00497699">
              <w:rPr>
                <w:rFonts w:asciiTheme="minorHAnsi" w:eastAsia="Arial" w:hAnsiTheme="minorHAnsi" w:cs="Arial"/>
                <w:color w:val="231F20"/>
                <w:sz w:val="18"/>
                <w:szCs w:val="18"/>
              </w:rPr>
              <w:t>component</w:t>
            </w:r>
            <w:r w:rsidRPr="00497699">
              <w:rPr>
                <w:rFonts w:asciiTheme="minorHAnsi" w:eastAsia="Arial" w:hAnsiTheme="minorHAnsi" w:cs="Arial"/>
                <w:color w:val="231F20"/>
                <w:spacing w:val="41"/>
                <w:sz w:val="18"/>
                <w:szCs w:val="18"/>
              </w:rPr>
              <w:t xml:space="preserve"> </w:t>
            </w:r>
            <w:r w:rsidRPr="00497699">
              <w:rPr>
                <w:rFonts w:asciiTheme="minorHAnsi" w:eastAsia="Arial" w:hAnsiTheme="minorHAnsi" w:cs="Arial"/>
                <w:color w:val="231F20"/>
                <w:sz w:val="18"/>
                <w:szCs w:val="18"/>
              </w:rPr>
              <w:t>(&gt;</w:t>
            </w:r>
            <w:r w:rsidRPr="00497699">
              <w:rPr>
                <w:rFonts w:asciiTheme="minorHAnsi" w:eastAsia="Arial" w:hAnsiTheme="minorHAnsi" w:cs="Arial"/>
                <w:color w:val="231F20"/>
                <w:spacing w:val="8"/>
                <w:sz w:val="18"/>
                <w:szCs w:val="18"/>
              </w:rPr>
              <w:t xml:space="preserve"> </w:t>
            </w:r>
            <w:r w:rsidRPr="00497699">
              <w:rPr>
                <w:rFonts w:asciiTheme="minorHAnsi" w:eastAsia="Arial" w:hAnsiTheme="minorHAnsi" w:cs="Arial"/>
                <w:color w:val="231F20"/>
                <w:sz w:val="18"/>
                <w:szCs w:val="18"/>
              </w:rPr>
              <w:t>2</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z w:val="18"/>
                <w:szCs w:val="18"/>
              </w:rPr>
              <w:t>fold)</w:t>
            </w:r>
            <w:r w:rsidRPr="00497699">
              <w:rPr>
                <w:rFonts w:asciiTheme="minorHAnsi" w:eastAsia="Arial" w:hAnsiTheme="minorHAnsi" w:cs="Arial"/>
                <w:color w:val="231F20"/>
                <w:spacing w:val="19"/>
                <w:sz w:val="18"/>
                <w:szCs w:val="18"/>
              </w:rPr>
              <w:t xml:space="preserve"> </w:t>
            </w:r>
            <w:r w:rsidRPr="00497699">
              <w:rPr>
                <w:rFonts w:asciiTheme="minorHAnsi" w:eastAsia="Arial" w:hAnsiTheme="minorHAnsi" w:cs="Arial"/>
                <w:color w:val="231F20"/>
                <w:sz w:val="18"/>
                <w:szCs w:val="18"/>
              </w:rPr>
              <w:t>of</w:t>
            </w:r>
            <w:r w:rsidRPr="00497699">
              <w:rPr>
                <w:rFonts w:asciiTheme="minorHAnsi" w:eastAsia="Arial" w:hAnsiTheme="minorHAnsi" w:cs="Arial"/>
                <w:color w:val="231F20"/>
                <w:spacing w:val="17"/>
                <w:sz w:val="18"/>
                <w:szCs w:val="18"/>
              </w:rPr>
              <w:t xml:space="preserve"> </w:t>
            </w:r>
            <w:r w:rsidRPr="00497699">
              <w:rPr>
                <w:rFonts w:asciiTheme="minorHAnsi" w:eastAsia="Arial" w:hAnsiTheme="minorHAnsi" w:cs="Arial"/>
                <w:color w:val="231F20"/>
                <w:sz w:val="18"/>
                <w:szCs w:val="18"/>
              </w:rPr>
              <w:t>the</w:t>
            </w:r>
            <w:r w:rsidRPr="00497699">
              <w:rPr>
                <w:rFonts w:asciiTheme="minorHAnsi" w:eastAsia="Arial" w:hAnsiTheme="minorHAnsi" w:cs="Arial"/>
                <w:color w:val="231F20"/>
                <w:spacing w:val="18"/>
                <w:sz w:val="18"/>
                <w:szCs w:val="18"/>
              </w:rPr>
              <w:t xml:space="preserve"> </w:t>
            </w:r>
            <w:r w:rsidRPr="00497699">
              <w:rPr>
                <w:rFonts w:asciiTheme="minorHAnsi" w:eastAsia="Arial" w:hAnsiTheme="minorHAnsi" w:cs="Arial"/>
                <w:color w:val="231F20"/>
                <w:sz w:val="18"/>
                <w:szCs w:val="18"/>
              </w:rPr>
              <w:t>anticipated</w:t>
            </w:r>
            <w:r w:rsidRPr="00497699">
              <w:rPr>
                <w:rFonts w:asciiTheme="minorHAnsi" w:eastAsia="Arial" w:hAnsiTheme="minorHAnsi" w:cs="Arial"/>
                <w:color w:val="231F20"/>
                <w:spacing w:val="40"/>
                <w:sz w:val="18"/>
                <w:szCs w:val="18"/>
              </w:rPr>
              <w:t xml:space="preserve"> </w:t>
            </w:r>
            <w:r w:rsidRPr="00497699">
              <w:rPr>
                <w:rFonts w:asciiTheme="minorHAnsi" w:eastAsia="Arial" w:hAnsiTheme="minorHAnsi" w:cs="Arial"/>
                <w:color w:val="231F20"/>
                <w:sz w:val="18"/>
                <w:szCs w:val="18"/>
              </w:rPr>
              <w:t>transfusion</w:t>
            </w:r>
            <w:r w:rsidRPr="00497699">
              <w:rPr>
                <w:rFonts w:asciiTheme="minorHAnsi" w:eastAsia="Arial" w:hAnsiTheme="minorHAnsi" w:cs="Arial"/>
                <w:color w:val="231F20"/>
                <w:spacing w:val="5"/>
                <w:sz w:val="18"/>
                <w:szCs w:val="18"/>
              </w:rPr>
              <w:t xml:space="preserve"> </w:t>
            </w:r>
            <w:r w:rsidRPr="00497699">
              <w:rPr>
                <w:rFonts w:asciiTheme="minorHAnsi" w:eastAsia="Arial" w:hAnsiTheme="minorHAnsi" w:cs="Arial"/>
                <w:color w:val="231F20"/>
                <w:spacing w:val="-3"/>
                <w:w w:val="105"/>
                <w:sz w:val="18"/>
                <w:szCs w:val="18"/>
              </w:rPr>
              <w:t>r</w:t>
            </w:r>
            <w:r w:rsidRPr="00497699">
              <w:rPr>
                <w:rFonts w:asciiTheme="minorHAnsi" w:eastAsia="Arial" w:hAnsiTheme="minorHAnsi" w:cs="Arial"/>
                <w:color w:val="231F20"/>
                <w:w w:val="104"/>
                <w:sz w:val="18"/>
                <w:szCs w:val="18"/>
              </w:rPr>
              <w:t>equi</w:t>
            </w:r>
            <w:r w:rsidRPr="00497699">
              <w:rPr>
                <w:rFonts w:asciiTheme="minorHAnsi" w:eastAsia="Arial" w:hAnsiTheme="minorHAnsi" w:cs="Arial"/>
                <w:color w:val="231F20"/>
                <w:spacing w:val="-3"/>
                <w:w w:val="104"/>
                <w:sz w:val="18"/>
                <w:szCs w:val="18"/>
              </w:rPr>
              <w:t>r</w:t>
            </w:r>
            <w:r w:rsidRPr="00497699">
              <w:rPr>
                <w:rFonts w:asciiTheme="minorHAnsi" w:eastAsia="Arial" w:hAnsiTheme="minorHAnsi" w:cs="Arial"/>
                <w:color w:val="231F20"/>
                <w:w w:val="103"/>
                <w:sz w:val="18"/>
                <w:szCs w:val="18"/>
              </w:rPr>
              <w:t>ement</w:t>
            </w:r>
          </w:p>
        </w:tc>
      </w:tr>
    </w:tbl>
    <w:p w:rsidR="00E928C0" w:rsidRPr="00497699" w:rsidRDefault="00E928C0" w:rsidP="00E928C0">
      <w:pPr>
        <w:spacing w:before="80" w:after="0"/>
        <w:ind w:left="170" w:right="-20"/>
        <w:rPr>
          <w:rStyle w:val="A8"/>
          <w:rFonts w:asciiTheme="minorHAnsi" w:eastAsia="Dotum" w:hAnsiTheme="minorHAnsi" w:cs="Avenir LT Std 55 Roman"/>
          <w:color w:val="221E1F"/>
          <w:sz w:val="16"/>
          <w:szCs w:val="16"/>
          <w:lang w:eastAsia="en-US"/>
        </w:rPr>
      </w:pPr>
      <w:r w:rsidRPr="00497699">
        <w:rPr>
          <w:rStyle w:val="A8"/>
          <w:rFonts w:asciiTheme="minorHAnsi" w:eastAsia="Dotum" w:hAnsiTheme="minorHAnsi" w:cs="Avenir LT Std 55 Roman"/>
          <w:color w:val="221E1F"/>
          <w:sz w:val="16"/>
          <w:szCs w:val="16"/>
          <w:lang w:eastAsia="en-US"/>
        </w:rPr>
        <w:t>Notes:</w:t>
      </w:r>
    </w:p>
    <w:p w:rsidR="00E928C0" w:rsidRPr="00497699" w:rsidRDefault="00E928C0" w:rsidP="00E928C0">
      <w:pPr>
        <w:pStyle w:val="ListParagraph"/>
        <w:numPr>
          <w:ilvl w:val="0"/>
          <w:numId w:val="38"/>
        </w:numPr>
        <w:spacing w:before="6" w:after="0" w:line="247" w:lineRule="auto"/>
        <w:ind w:left="284" w:right="301" w:hanging="114"/>
        <w:rPr>
          <w:rStyle w:val="A8"/>
          <w:rFonts w:asciiTheme="minorHAnsi" w:eastAsia="Dotum" w:hAnsiTheme="minorHAnsi" w:cs="Avenir LT Std 55 Roman"/>
          <w:color w:val="221E1F"/>
          <w:sz w:val="16"/>
          <w:szCs w:val="16"/>
          <w:lang w:eastAsia="en-US"/>
        </w:rPr>
      </w:pPr>
      <w:r w:rsidRPr="00497699">
        <w:rPr>
          <w:rStyle w:val="A8"/>
          <w:rFonts w:asciiTheme="minorHAnsi" w:eastAsia="Dotum" w:hAnsiTheme="minorHAnsi" w:cs="Avenir LT Std 55 Roman"/>
          <w:color w:val="221E1F"/>
          <w:sz w:val="16"/>
          <w:szCs w:val="16"/>
          <w:lang w:eastAsia="en-US"/>
        </w:rPr>
        <w:t>Apart from estimates of blood loss during surgery, data on pre- and post-operative haemoglobin levels and the number of packed red     blood  cell units transfused may also be used, if relevant, to estimate surgical blood loss</w:t>
      </w:r>
    </w:p>
    <w:p w:rsidR="00E928C0" w:rsidRPr="00497699" w:rsidRDefault="00E928C0" w:rsidP="00E928C0">
      <w:pPr>
        <w:pStyle w:val="ListParagraph"/>
        <w:numPr>
          <w:ilvl w:val="0"/>
          <w:numId w:val="38"/>
        </w:numPr>
        <w:spacing w:before="1" w:after="0" w:line="247" w:lineRule="auto"/>
        <w:ind w:left="284" w:right="313" w:hanging="114"/>
        <w:rPr>
          <w:rStyle w:val="A8"/>
          <w:rFonts w:asciiTheme="minorHAnsi" w:eastAsia="Dotum" w:hAnsiTheme="minorHAnsi" w:cs="Avenir LT Std 55 Roman"/>
          <w:color w:val="221E1F"/>
          <w:sz w:val="16"/>
          <w:szCs w:val="16"/>
          <w:lang w:eastAsia="en-US"/>
        </w:rPr>
      </w:pPr>
      <w:r w:rsidRPr="00497699">
        <w:rPr>
          <w:rStyle w:val="A8"/>
          <w:rFonts w:asciiTheme="minorHAnsi" w:eastAsia="Dotum" w:hAnsiTheme="minorHAnsi" w:cs="Avenir LT Std 55 Roman"/>
          <w:color w:val="221E1F"/>
          <w:sz w:val="16"/>
          <w:szCs w:val="16"/>
          <w:lang w:eastAsia="en-US"/>
        </w:rPr>
        <w:t xml:space="preserve">Surgical haemostasis should be assessed by an involved surgeon and/or anaesthetist and records should be </w:t>
      </w:r>
      <w:r w:rsidR="00C83A3F">
        <w:rPr>
          <w:rStyle w:val="A8"/>
          <w:rFonts w:asciiTheme="minorHAnsi" w:eastAsia="Dotum" w:hAnsiTheme="minorHAnsi" w:cs="Avenir LT Std 55 Roman"/>
          <w:color w:val="221E1F"/>
          <w:sz w:val="16"/>
          <w:szCs w:val="16"/>
          <w:lang w:eastAsia="en-US"/>
        </w:rPr>
        <w:t xml:space="preserve">completed within 72 hours </w:t>
      </w:r>
      <w:r w:rsidRPr="00497699">
        <w:rPr>
          <w:rStyle w:val="A8"/>
          <w:rFonts w:asciiTheme="minorHAnsi" w:eastAsia="Dotum" w:hAnsiTheme="minorHAnsi" w:cs="Avenir LT Std 55 Roman"/>
          <w:color w:val="221E1F"/>
          <w:sz w:val="16"/>
          <w:szCs w:val="16"/>
          <w:lang w:eastAsia="en-US"/>
        </w:rPr>
        <w:t>following surgery</w:t>
      </w:r>
    </w:p>
    <w:p w:rsidR="00E928C0" w:rsidRPr="00497699" w:rsidRDefault="00E928C0" w:rsidP="00E928C0">
      <w:pPr>
        <w:pStyle w:val="ListParagraph"/>
        <w:numPr>
          <w:ilvl w:val="0"/>
          <w:numId w:val="38"/>
        </w:numPr>
        <w:spacing w:before="1" w:after="0" w:line="247" w:lineRule="auto"/>
        <w:ind w:left="284" w:right="233" w:hanging="114"/>
        <w:rPr>
          <w:rStyle w:val="A8"/>
          <w:rFonts w:asciiTheme="minorHAnsi" w:eastAsia="Dotum" w:hAnsiTheme="minorHAnsi" w:cs="Avenir LT Std 55 Roman"/>
          <w:color w:val="221E1F"/>
          <w:sz w:val="16"/>
          <w:szCs w:val="16"/>
          <w:lang w:eastAsia="en-US"/>
        </w:rPr>
      </w:pPr>
      <w:r w:rsidRPr="00497699">
        <w:rPr>
          <w:rStyle w:val="A8"/>
          <w:rFonts w:asciiTheme="minorHAnsi" w:eastAsia="Dotum" w:hAnsiTheme="minorHAnsi" w:cs="Avenir LT Std 55 Roman"/>
          <w:color w:val="221E1F"/>
          <w:sz w:val="16"/>
          <w:szCs w:val="16"/>
          <w:lang w:eastAsia="en-US"/>
        </w:rPr>
        <w:t>Surgical procedures may be classified as major or minor. A major surgical procedure is defined as one that requires haemostatic support for periods exceeding 5 consecutive days.</w:t>
      </w:r>
    </w:p>
    <w:p w:rsidR="00E928C0" w:rsidRPr="00497699" w:rsidRDefault="00E928C0" w:rsidP="00E928C0">
      <w:pPr>
        <w:autoSpaceDE w:val="0"/>
        <w:autoSpaceDN w:val="0"/>
        <w:adjustRightInd w:val="0"/>
        <w:spacing w:after="0"/>
        <w:ind w:left="567" w:right="557"/>
        <w:rPr>
          <w:rFonts w:asciiTheme="minorHAnsi" w:hAnsiTheme="minorHAnsi" w:cs="Minion Pro"/>
          <w:sz w:val="24"/>
          <w:szCs w:val="24"/>
          <w:lang w:eastAsia="en-US"/>
        </w:rPr>
      </w:pPr>
    </w:p>
    <w:p w:rsidR="00E928C0" w:rsidRPr="00041ED2" w:rsidRDefault="00E928C0" w:rsidP="00041ED2">
      <w:pPr>
        <w:pStyle w:val="Heading3"/>
        <w:rPr>
          <w:rStyle w:val="A8"/>
          <w:color w:val="FF0000"/>
        </w:rPr>
      </w:pPr>
      <w:bookmarkStart w:id="18" w:name="_Toc431484311"/>
      <w:r w:rsidRPr="00041ED2">
        <w:rPr>
          <w:rStyle w:val="A8"/>
          <w:color w:val="FF0000"/>
        </w:rPr>
        <w:t>1.11 Dental care and management</w:t>
      </w:r>
      <w:bookmarkEnd w:id="18"/>
      <w:r w:rsidRPr="00041ED2">
        <w:rPr>
          <w:rStyle w:val="A8"/>
          <w:color w:val="FF0000"/>
        </w:rPr>
        <w:t xml:space="preserve"> </w:t>
      </w:r>
    </w:p>
    <w:p w:rsidR="00E928C0" w:rsidRPr="0098460A"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1.11.1</w:t>
      </w:r>
      <w:r w:rsidRPr="00497699">
        <w:rPr>
          <w:rStyle w:val="A8"/>
          <w:rFonts w:asciiTheme="minorHAnsi" w:hAnsiTheme="minorHAnsi"/>
          <w:color w:val="221E1F"/>
          <w:sz w:val="22"/>
        </w:rPr>
        <w:tab/>
        <w:t xml:space="preserve">For persons with haemophilia, good oral hygiene is essential to prevent periodontal disease and dental caries, which predispose to gum bleeding. </w:t>
      </w:r>
      <w:r w:rsidRPr="00497699">
        <w:rPr>
          <w:rStyle w:val="A8"/>
          <w:rFonts w:asciiTheme="minorHAnsi" w:hAnsiTheme="minorHAnsi"/>
          <w:color w:val="221E1F"/>
          <w:sz w:val="22"/>
          <w:vertAlign w:val="superscript"/>
        </w:rPr>
        <w:t>[56]</w:t>
      </w:r>
      <w:r>
        <w:rPr>
          <w:rStyle w:val="A8"/>
          <w:rFonts w:asciiTheme="minorHAnsi" w:hAnsiTheme="minorHAnsi"/>
          <w:color w:val="221E1F"/>
          <w:sz w:val="22"/>
          <w:vertAlign w:val="superscript"/>
        </w:rPr>
        <w:t xml:space="preserve"> </w:t>
      </w:r>
      <w:r>
        <w:rPr>
          <w:rStyle w:val="A8"/>
          <w:rFonts w:asciiTheme="minorHAnsi" w:hAnsiTheme="minorHAnsi"/>
          <w:color w:val="221E1F"/>
          <w:sz w:val="22"/>
        </w:rPr>
        <w:t xml:space="preserve">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1.11.2</w:t>
      </w:r>
      <w:r w:rsidRPr="00497699">
        <w:rPr>
          <w:rStyle w:val="A8"/>
          <w:rFonts w:asciiTheme="minorHAnsi" w:hAnsiTheme="minorHAnsi"/>
          <w:color w:val="221E1F"/>
          <w:sz w:val="22"/>
        </w:rPr>
        <w:tab/>
        <w:t>Dental examinations should be conducted regu</w:t>
      </w:r>
      <w:r w:rsidRPr="00497699">
        <w:rPr>
          <w:rStyle w:val="A8"/>
          <w:rFonts w:asciiTheme="minorHAnsi" w:hAnsiTheme="minorHAnsi"/>
          <w:color w:val="221E1F"/>
          <w:sz w:val="22"/>
        </w:rPr>
        <w:softHyphen/>
        <w:t>larly, starting at the time the baby teeth start to erupt.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1.11.3</w:t>
      </w:r>
      <w:r w:rsidRPr="00497699">
        <w:rPr>
          <w:rStyle w:val="A8"/>
          <w:rFonts w:asciiTheme="minorHAnsi" w:hAnsiTheme="minorHAnsi"/>
          <w:color w:val="221E1F"/>
          <w:sz w:val="22"/>
        </w:rPr>
        <w:tab/>
        <w:t>Teeth should be brushed twice a day with a medium texture brush to remove plaque deposits.</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1.11.4</w:t>
      </w:r>
      <w:r w:rsidRPr="00497699">
        <w:rPr>
          <w:rStyle w:val="A8"/>
          <w:rFonts w:asciiTheme="minorHAnsi" w:hAnsiTheme="minorHAnsi"/>
          <w:color w:val="221E1F"/>
          <w:sz w:val="22"/>
        </w:rPr>
        <w:tab/>
        <w:t>Dental floss or interdental brushes should be used wherever possible.</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1.11.5</w:t>
      </w:r>
      <w:r w:rsidRPr="00497699">
        <w:rPr>
          <w:rStyle w:val="A8"/>
          <w:rFonts w:asciiTheme="minorHAnsi" w:hAnsiTheme="minorHAnsi"/>
          <w:color w:val="221E1F"/>
          <w:sz w:val="22"/>
        </w:rPr>
        <w:tab/>
        <w:t>Toothpaste containing fluoride should be used in areas where natural fluoride is not present in the water supply. Fluoride supplements may also be prescribed if appropriate.</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1.11.6</w:t>
      </w:r>
      <w:r w:rsidRPr="00497699">
        <w:rPr>
          <w:rStyle w:val="A8"/>
          <w:rFonts w:asciiTheme="minorHAnsi" w:hAnsiTheme="minorHAnsi"/>
          <w:color w:val="221E1F"/>
          <w:sz w:val="22"/>
        </w:rPr>
        <w:tab/>
        <w:t>An orthodontic assessment should be recommended for all patients between the ages of 10–14 in order to determine if there are any problems associated with overcrowding, which can result in periodontal disease if left untreated.</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1.11.7</w:t>
      </w:r>
      <w:r w:rsidRPr="00497699">
        <w:rPr>
          <w:rStyle w:val="A8"/>
          <w:rFonts w:asciiTheme="minorHAnsi" w:hAnsiTheme="minorHAnsi"/>
          <w:color w:val="221E1F"/>
          <w:sz w:val="22"/>
        </w:rPr>
        <w:tab/>
        <w:t>Close liaison between the dental surgeon and the haemophilia team is essential to provide good comprehensive dental care.</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1.11.8</w:t>
      </w:r>
      <w:r w:rsidRPr="00497699">
        <w:rPr>
          <w:rStyle w:val="A8"/>
          <w:rFonts w:asciiTheme="minorHAnsi" w:hAnsiTheme="minorHAnsi"/>
          <w:color w:val="221E1F"/>
          <w:sz w:val="22"/>
        </w:rPr>
        <w:tab/>
      </w:r>
      <w:r w:rsidRPr="00497699">
        <w:rPr>
          <w:rStyle w:val="A8"/>
          <w:rFonts w:asciiTheme="minorHAnsi" w:hAnsiTheme="minorHAnsi"/>
          <w:b/>
          <w:color w:val="221E1F"/>
          <w:sz w:val="22"/>
        </w:rPr>
        <w:t>Treatment can be safely carried out under local an</w:t>
      </w:r>
      <w:r>
        <w:rPr>
          <w:rStyle w:val="A8"/>
          <w:rFonts w:asciiTheme="minorHAnsi" w:hAnsiTheme="minorHAnsi"/>
          <w:b/>
          <w:color w:val="221E1F"/>
          <w:sz w:val="22"/>
        </w:rPr>
        <w:t>a</w:t>
      </w:r>
      <w:r w:rsidRPr="00497699">
        <w:rPr>
          <w:rStyle w:val="A8"/>
          <w:rFonts w:asciiTheme="minorHAnsi" w:hAnsiTheme="minorHAnsi"/>
          <w:b/>
          <w:color w:val="221E1F"/>
          <w:sz w:val="22"/>
        </w:rPr>
        <w:t>esthesia using the full range of techniques available to dental surgeons. Infiltration, intra-papillary, and intra-ligamentary injections are often done under factor cover (20-40%) though it may be possible for those with adequate expe</w:t>
      </w:r>
      <w:r w:rsidRPr="00497699">
        <w:rPr>
          <w:rStyle w:val="A8"/>
          <w:rFonts w:asciiTheme="minorHAnsi" w:hAnsiTheme="minorHAnsi"/>
          <w:b/>
          <w:color w:val="221E1F"/>
          <w:sz w:val="22"/>
        </w:rPr>
        <w:softHyphen/>
        <w:t xml:space="preserve">rience to administer these injections without it. </w:t>
      </w:r>
      <w:r w:rsidRPr="00497699">
        <w:rPr>
          <w:rStyle w:val="A8"/>
          <w:rFonts w:asciiTheme="minorHAnsi" w:hAnsiTheme="minorHAnsi"/>
          <w:b/>
          <w:color w:val="221E1F"/>
          <w:sz w:val="22"/>
          <w:vertAlign w:val="superscript"/>
        </w:rPr>
        <w:t xml:space="preserve"> [57</w:t>
      </w:r>
      <w:proofErr w:type="gramStart"/>
      <w:r w:rsidRPr="00497699">
        <w:rPr>
          <w:rStyle w:val="A8"/>
          <w:rFonts w:asciiTheme="minorHAnsi" w:hAnsiTheme="minorHAnsi"/>
          <w:b/>
          <w:color w:val="221E1F"/>
          <w:sz w:val="22"/>
          <w:vertAlign w:val="superscript"/>
        </w:rPr>
        <w:t>,58</w:t>
      </w:r>
      <w:proofErr w:type="gramEnd"/>
      <w:r w:rsidRPr="00497699">
        <w:rPr>
          <w:rStyle w:val="A8"/>
          <w:rFonts w:asciiTheme="minorHAnsi" w:hAnsiTheme="minorHAnsi"/>
          <w:b/>
          <w:color w:val="221E1F"/>
          <w:sz w:val="22"/>
          <w:vertAlign w:val="superscript"/>
        </w:rPr>
        <w:t>]</w:t>
      </w:r>
    </w:p>
    <w:p w:rsidR="00E928C0" w:rsidRPr="00497699" w:rsidRDefault="00E928C0" w:rsidP="00E928C0">
      <w:pPr>
        <w:pStyle w:val="Default"/>
        <w:spacing w:line="276" w:lineRule="auto"/>
        <w:ind w:left="1433" w:hanging="1320"/>
        <w:jc w:val="both"/>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1.11.9</w:t>
      </w:r>
      <w:r w:rsidRPr="00497699">
        <w:rPr>
          <w:rStyle w:val="A8"/>
          <w:rFonts w:asciiTheme="minorHAnsi" w:hAnsiTheme="minorHAnsi"/>
          <w:color w:val="221E1F"/>
          <w:sz w:val="22"/>
        </w:rPr>
        <w:tab/>
        <w:t xml:space="preserve">Treatment from the haemophilia unit may be required before an inferior alveolar nerve block or lingual infiltration.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1.11.10</w:t>
      </w:r>
      <w:r w:rsidRPr="00497699">
        <w:rPr>
          <w:rStyle w:val="A8"/>
          <w:rFonts w:asciiTheme="minorHAnsi" w:hAnsiTheme="minorHAnsi"/>
          <w:color w:val="221E1F"/>
          <w:sz w:val="22"/>
        </w:rPr>
        <w:tab/>
      </w:r>
      <w:r w:rsidRPr="00497699">
        <w:rPr>
          <w:rStyle w:val="A8"/>
          <w:rFonts w:asciiTheme="minorHAnsi" w:hAnsiTheme="minorHAnsi"/>
          <w:b/>
          <w:color w:val="221E1F"/>
          <w:sz w:val="22"/>
        </w:rPr>
        <w:t>Dental extraction or surgical procedures carried out within the oral cavity should be done with a plan for haemostasis management, in consul</w:t>
      </w:r>
      <w:r w:rsidRPr="00497699">
        <w:rPr>
          <w:rStyle w:val="A8"/>
          <w:rFonts w:asciiTheme="minorHAnsi" w:hAnsiTheme="minorHAnsi"/>
          <w:b/>
          <w:color w:val="221E1F"/>
          <w:sz w:val="22"/>
        </w:rPr>
        <w:softHyphen/>
        <w:t xml:space="preserve">tation with the haematologist. </w:t>
      </w:r>
      <w:r w:rsidRPr="00497699">
        <w:rPr>
          <w:rStyle w:val="A8"/>
          <w:rFonts w:asciiTheme="minorHAnsi" w:hAnsiTheme="minorHAnsi"/>
          <w:b/>
          <w:color w:val="221E1F"/>
          <w:sz w:val="22"/>
          <w:vertAlign w:val="superscript"/>
        </w:rPr>
        <w:t>[51]</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1.11.11</w:t>
      </w:r>
      <w:r w:rsidRPr="00497699">
        <w:rPr>
          <w:rStyle w:val="A8"/>
          <w:rFonts w:asciiTheme="minorHAnsi" w:hAnsiTheme="minorHAnsi"/>
          <w:color w:val="221E1F"/>
          <w:sz w:val="22"/>
        </w:rPr>
        <w:tab/>
      </w:r>
      <w:r w:rsidRPr="00497699">
        <w:rPr>
          <w:rStyle w:val="A8"/>
          <w:rFonts w:asciiTheme="minorHAnsi" w:hAnsiTheme="minorHAnsi"/>
          <w:b/>
          <w:color w:val="221E1F"/>
          <w:sz w:val="22"/>
        </w:rPr>
        <w:t xml:space="preserve">Tranexamic acid is often used to cover dental procedures to reduce the need for replacement therapy. </w:t>
      </w:r>
      <w:r w:rsidRPr="00497699">
        <w:rPr>
          <w:rStyle w:val="A8"/>
          <w:rFonts w:asciiTheme="minorHAnsi" w:hAnsiTheme="minorHAnsi"/>
          <w:b/>
          <w:color w:val="221E1F"/>
          <w:sz w:val="22"/>
          <w:vertAlign w:val="superscript"/>
        </w:rPr>
        <w:t>[59</w:t>
      </w:r>
      <w:proofErr w:type="gramStart"/>
      <w:r w:rsidRPr="00497699">
        <w:rPr>
          <w:rStyle w:val="A8"/>
          <w:rFonts w:asciiTheme="minorHAnsi" w:hAnsiTheme="minorHAnsi"/>
          <w:b/>
          <w:color w:val="221E1F"/>
          <w:sz w:val="22"/>
          <w:vertAlign w:val="superscript"/>
        </w:rPr>
        <w:t>,60</w:t>
      </w:r>
      <w:proofErr w:type="gramEnd"/>
      <w:r w:rsidRPr="00497699">
        <w:rPr>
          <w:rStyle w:val="A8"/>
          <w:rFonts w:asciiTheme="minorHAnsi" w:hAnsiTheme="minorHAnsi"/>
          <w:b/>
          <w:color w:val="221E1F"/>
          <w:sz w:val="22"/>
          <w:vertAlign w:val="superscript"/>
        </w:rPr>
        <w:t>]</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1.11.12</w:t>
      </w:r>
      <w:r w:rsidRPr="00497699">
        <w:rPr>
          <w:rStyle w:val="A8"/>
          <w:rFonts w:asciiTheme="minorHAnsi" w:hAnsiTheme="minorHAnsi"/>
          <w:color w:val="221E1F"/>
          <w:sz w:val="22"/>
        </w:rPr>
        <w:tab/>
        <w:t>Oral antibiotics should only be prescribed if clin</w:t>
      </w:r>
      <w:r w:rsidRPr="00497699">
        <w:rPr>
          <w:rStyle w:val="A8"/>
          <w:rFonts w:asciiTheme="minorHAnsi" w:hAnsiTheme="minorHAnsi"/>
          <w:color w:val="221E1F"/>
          <w:sz w:val="22"/>
        </w:rPr>
        <w:softHyphen/>
        <w:t xml:space="preserve">ically necessary.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1.11.13</w:t>
      </w:r>
      <w:r w:rsidRPr="00497699">
        <w:rPr>
          <w:rStyle w:val="A8"/>
          <w:rFonts w:asciiTheme="minorHAnsi" w:hAnsiTheme="minorHAnsi"/>
          <w:color w:val="221E1F"/>
          <w:sz w:val="22"/>
        </w:rPr>
        <w:tab/>
        <w:t>Local haemostatic measures may also be used whenever possible following a dental extraction. Typical products include oxidized cellulose and fibrin glue.</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1.11.14</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Following</w:t>
      </w:r>
      <w:proofErr w:type="gramEnd"/>
      <w:r w:rsidRPr="00497699">
        <w:rPr>
          <w:rStyle w:val="A8"/>
          <w:rFonts w:asciiTheme="minorHAnsi" w:hAnsiTheme="minorHAnsi"/>
          <w:color w:val="221E1F"/>
          <w:sz w:val="22"/>
        </w:rPr>
        <w:t xml:space="preserve"> a tooth extraction, the patient should be advised to avoid hot food and drinks until normal feeling has returned. Smoking should be avoided as this can cause problems with healing. Regular warm salt water mouthwashes (a teaspoon of salt in a glass of warm water) should begin the day after treatment and continue for five to seven days or until the mouth has healed.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1.11.15</w:t>
      </w:r>
      <w:r w:rsidRPr="00497699">
        <w:rPr>
          <w:rStyle w:val="A8"/>
          <w:rFonts w:asciiTheme="minorHAnsi" w:hAnsiTheme="minorHAnsi"/>
          <w:color w:val="221E1F"/>
          <w:sz w:val="22"/>
        </w:rPr>
        <w:tab/>
        <w:t>Prolonged bleeding and/or difficulty in speaking, swallowing, or breathing following dental manip</w:t>
      </w:r>
      <w:r w:rsidRPr="00497699">
        <w:rPr>
          <w:rStyle w:val="A8"/>
          <w:rFonts w:asciiTheme="minorHAnsi" w:hAnsiTheme="minorHAnsi"/>
          <w:color w:val="221E1F"/>
          <w:sz w:val="22"/>
        </w:rPr>
        <w:softHyphen/>
        <w:t>ulation should be reported to the haematologist/dental surgeon immediately.</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1.11.16</w:t>
      </w:r>
      <w:r w:rsidRPr="00497699">
        <w:rPr>
          <w:rStyle w:val="A8"/>
          <w:rFonts w:asciiTheme="minorHAnsi" w:hAnsiTheme="minorHAnsi"/>
          <w:color w:val="221E1F"/>
          <w:sz w:val="22"/>
        </w:rPr>
        <w:tab/>
        <w:t xml:space="preserve">Non-steroidal anti-inflammatory drugs (NSAIDs) and aspirin must be avoided.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1.11.17</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An</w:t>
      </w:r>
      <w:proofErr w:type="gramEnd"/>
      <w:r w:rsidRPr="00497699">
        <w:rPr>
          <w:rStyle w:val="A8"/>
          <w:rFonts w:asciiTheme="minorHAnsi" w:hAnsiTheme="minorHAnsi"/>
          <w:color w:val="221E1F"/>
          <w:sz w:val="22"/>
        </w:rPr>
        <w:t xml:space="preserve"> appropriate dose of paracetamol every six hours for two to three days will help prevent pain following an extraction.</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497699" w:rsidRDefault="00E928C0" w:rsidP="00041ED2">
      <w:pPr>
        <w:pStyle w:val="Default"/>
        <w:spacing w:line="276" w:lineRule="auto"/>
        <w:ind w:left="1433" w:hanging="1433"/>
        <w:rPr>
          <w:rStyle w:val="A8"/>
          <w:rFonts w:asciiTheme="minorHAnsi" w:hAnsiTheme="minorHAnsi" w:cs="Arial"/>
          <w:color w:val="221E1F"/>
          <w:sz w:val="22"/>
          <w:szCs w:val="28"/>
          <w:lang w:eastAsia="en-AU"/>
        </w:rPr>
      </w:pPr>
      <w:r w:rsidRPr="00497699">
        <w:rPr>
          <w:rStyle w:val="A8"/>
          <w:rFonts w:asciiTheme="minorHAnsi" w:hAnsiTheme="minorHAnsi"/>
          <w:color w:val="221E1F"/>
          <w:sz w:val="22"/>
        </w:rPr>
        <w:t>1.11.18</w:t>
      </w:r>
      <w:r w:rsidRPr="00497699">
        <w:rPr>
          <w:rStyle w:val="A8"/>
          <w:rFonts w:asciiTheme="minorHAnsi" w:hAnsiTheme="minorHAnsi"/>
          <w:color w:val="221E1F"/>
          <w:sz w:val="22"/>
        </w:rPr>
        <w:tab/>
      </w:r>
      <w:proofErr w:type="gramStart"/>
      <w:r w:rsidRPr="00497699">
        <w:rPr>
          <w:rStyle w:val="A8"/>
          <w:rFonts w:asciiTheme="minorHAnsi" w:hAnsiTheme="minorHAnsi"/>
          <w:color w:val="221E1F"/>
          <w:sz w:val="22"/>
        </w:rPr>
        <w:t>The</w:t>
      </w:r>
      <w:proofErr w:type="gramEnd"/>
      <w:r w:rsidRPr="00497699">
        <w:rPr>
          <w:rStyle w:val="A8"/>
          <w:rFonts w:asciiTheme="minorHAnsi" w:hAnsiTheme="minorHAnsi"/>
          <w:color w:val="221E1F"/>
          <w:sz w:val="22"/>
        </w:rPr>
        <w:t xml:space="preserve"> presence of blood-borne infections should not affect the availability of dental treatment. </w:t>
      </w:r>
    </w:p>
    <w:p w:rsidR="00E928C0" w:rsidRPr="00497699" w:rsidRDefault="00E928C0" w:rsidP="00E928C0">
      <w:pPr>
        <w:pStyle w:val="Default"/>
        <w:spacing w:line="276" w:lineRule="auto"/>
        <w:ind w:left="1433" w:hanging="1320"/>
        <w:rPr>
          <w:rStyle w:val="A8"/>
          <w:rFonts w:asciiTheme="minorHAnsi" w:hAnsiTheme="minorHAnsi"/>
          <w:color w:val="221E1F"/>
          <w:sz w:val="22"/>
        </w:rPr>
      </w:pPr>
    </w:p>
    <w:p w:rsidR="00E928C0" w:rsidRPr="00FE45E4" w:rsidRDefault="00E928C0" w:rsidP="00041ED2">
      <w:pPr>
        <w:pStyle w:val="Default"/>
        <w:spacing w:line="276" w:lineRule="auto"/>
        <w:ind w:left="1433" w:hanging="1433"/>
        <w:rPr>
          <w:rFonts w:asciiTheme="minorHAnsi" w:hAnsiTheme="minorHAnsi"/>
          <w:color w:val="221E1F"/>
          <w:sz w:val="22"/>
        </w:rPr>
      </w:pPr>
      <w:r w:rsidRPr="00497699">
        <w:rPr>
          <w:rStyle w:val="A8"/>
          <w:rFonts w:asciiTheme="minorHAnsi" w:hAnsiTheme="minorHAnsi"/>
          <w:color w:val="221E1F"/>
          <w:sz w:val="22"/>
        </w:rPr>
        <w:t>1.11.19</w:t>
      </w:r>
      <w:r w:rsidRPr="00497699">
        <w:rPr>
          <w:rStyle w:val="A8"/>
          <w:rFonts w:asciiTheme="minorHAnsi" w:hAnsiTheme="minorHAnsi"/>
          <w:color w:val="221E1F"/>
          <w:sz w:val="22"/>
        </w:rPr>
        <w:tab/>
        <w:t>Prevention of bleeding at the time of dental proce</w:t>
      </w:r>
      <w:r w:rsidRPr="00497699">
        <w:rPr>
          <w:rStyle w:val="A8"/>
          <w:rFonts w:asciiTheme="minorHAnsi" w:hAnsiTheme="minorHAnsi"/>
          <w:color w:val="221E1F"/>
          <w:sz w:val="22"/>
        </w:rPr>
        <w:softHyphen/>
        <w:t xml:space="preserve">dures in patients with inhibitors to FVIII or FIX requires careful planning. </w:t>
      </w:r>
      <w:r w:rsidRPr="00497699">
        <w:rPr>
          <w:rStyle w:val="A8"/>
          <w:rFonts w:asciiTheme="minorHAnsi" w:hAnsiTheme="minorHAnsi"/>
          <w:color w:val="221E1F"/>
          <w:sz w:val="22"/>
          <w:vertAlign w:val="superscript"/>
        </w:rPr>
        <w:t>[61]</w:t>
      </w:r>
    </w:p>
    <w:p w:rsidR="00352F94" w:rsidRDefault="00352F94">
      <w:pPr>
        <w:spacing w:after="200" w:line="276" w:lineRule="auto"/>
        <w:ind w:left="0"/>
        <w:rPr>
          <w:rFonts w:asciiTheme="minorHAnsi" w:hAnsiTheme="minorHAnsi" w:cs="Avenir LT Std 55 Roman"/>
          <w:b/>
          <w:bCs/>
          <w:color w:val="E31736"/>
          <w:sz w:val="28"/>
          <w:szCs w:val="28"/>
          <w:lang w:eastAsia="en-US"/>
        </w:rPr>
      </w:pPr>
      <w:r>
        <w:rPr>
          <w:rFonts w:asciiTheme="minorHAnsi" w:hAnsiTheme="minorHAnsi" w:cs="Avenir LT Std 55 Roman"/>
          <w:b/>
          <w:bCs/>
          <w:color w:val="E31736"/>
          <w:sz w:val="28"/>
          <w:szCs w:val="28"/>
          <w:lang w:eastAsia="en-US"/>
        </w:rPr>
        <w:br w:type="page"/>
      </w:r>
    </w:p>
    <w:p w:rsidR="00E928C0" w:rsidRPr="00497699" w:rsidRDefault="00E928C0" w:rsidP="00041ED2">
      <w:pPr>
        <w:autoSpaceDE w:val="0"/>
        <w:autoSpaceDN w:val="0"/>
        <w:adjustRightInd w:val="0"/>
        <w:spacing w:before="560" w:after="140"/>
        <w:ind w:left="0" w:right="557"/>
        <w:rPr>
          <w:rFonts w:asciiTheme="minorHAnsi" w:hAnsiTheme="minorHAnsi" w:cs="Avenir LT Std 55 Roman"/>
          <w:color w:val="E31736"/>
          <w:sz w:val="28"/>
          <w:szCs w:val="28"/>
          <w:lang w:eastAsia="en-US"/>
        </w:rPr>
      </w:pPr>
      <w:r w:rsidRPr="00497699">
        <w:rPr>
          <w:rFonts w:asciiTheme="minorHAnsi" w:hAnsiTheme="minorHAnsi" w:cs="Avenir LT Std 55 Roman"/>
          <w:b/>
          <w:bCs/>
          <w:color w:val="E31736"/>
          <w:sz w:val="28"/>
          <w:szCs w:val="28"/>
          <w:lang w:eastAsia="en-US"/>
        </w:rPr>
        <w:lastRenderedPageBreak/>
        <w:t xml:space="preserve">References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Stonebraker JS, Bolton-Maggs PH, Soucie JM, Walker I, Brooker M. A study of variations in the reported </w:t>
      </w:r>
      <w:proofErr w:type="gramStart"/>
      <w:r w:rsidRPr="00497699">
        <w:rPr>
          <w:rFonts w:asciiTheme="minorHAnsi" w:hAnsiTheme="minorHAnsi" w:cs="Arial"/>
          <w:color w:val="221E1F"/>
          <w:lang w:eastAsia="en-US"/>
        </w:rPr>
        <w:t>haemophilia  A</w:t>
      </w:r>
      <w:proofErr w:type="gramEnd"/>
      <w:r w:rsidRPr="00497699">
        <w:rPr>
          <w:rFonts w:asciiTheme="minorHAnsi" w:hAnsiTheme="minorHAnsi" w:cs="Arial"/>
          <w:color w:val="221E1F"/>
          <w:lang w:eastAsia="en-US"/>
        </w:rPr>
        <w:t xml:space="preserve"> prevalence around the world. </w:t>
      </w:r>
      <w:r w:rsidRPr="00497699">
        <w:rPr>
          <w:rFonts w:asciiTheme="minorHAnsi" w:hAnsiTheme="minorHAnsi" w:cs="Arial"/>
          <w:i/>
          <w:iCs/>
          <w:color w:val="221E1F"/>
          <w:lang w:eastAsia="en-US"/>
        </w:rPr>
        <w:t xml:space="preserve">Haemophilia </w:t>
      </w:r>
      <w:r w:rsidRPr="00497699">
        <w:rPr>
          <w:rFonts w:asciiTheme="minorHAnsi" w:hAnsiTheme="minorHAnsi" w:cs="Arial"/>
          <w:color w:val="221E1F"/>
          <w:lang w:eastAsia="en-US"/>
        </w:rPr>
        <w:t>2010</w:t>
      </w:r>
      <w:proofErr w:type="gramStart"/>
      <w:r w:rsidRPr="00497699">
        <w:rPr>
          <w:rFonts w:asciiTheme="minorHAnsi" w:hAnsiTheme="minorHAnsi" w:cs="Arial"/>
          <w:color w:val="221E1F"/>
          <w:lang w:eastAsia="en-US"/>
        </w:rPr>
        <w:t>;16</w:t>
      </w:r>
      <w:proofErr w:type="gramEnd"/>
      <w:r w:rsidRPr="00497699">
        <w:rPr>
          <w:rFonts w:asciiTheme="minorHAnsi" w:hAnsiTheme="minorHAnsi" w:cs="Arial"/>
          <w:color w:val="221E1F"/>
          <w:lang w:eastAsia="en-US"/>
        </w:rPr>
        <w:t xml:space="preserve">(1):20-32.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Ingram GI, Dykes SR, Creese AL, Mellor P, Swan AV, Kaufert JK, Rizza CR, Spooner RJ, Biggs R. Home treatment in hemophilia: clinical, social and economic advantages. </w:t>
      </w:r>
      <w:r w:rsidRPr="00497699">
        <w:rPr>
          <w:rFonts w:asciiTheme="minorHAnsi" w:hAnsiTheme="minorHAnsi" w:cs="Arial"/>
          <w:i/>
          <w:iCs/>
          <w:color w:val="221E1F"/>
          <w:lang w:eastAsia="en-US"/>
        </w:rPr>
        <w:t xml:space="preserve">Clin Lab Haematol </w:t>
      </w:r>
      <w:r w:rsidRPr="00497699">
        <w:rPr>
          <w:rFonts w:asciiTheme="minorHAnsi" w:hAnsiTheme="minorHAnsi" w:cs="Arial"/>
          <w:color w:val="221E1F"/>
          <w:lang w:eastAsia="en-US"/>
        </w:rPr>
        <w:t>1979</w:t>
      </w:r>
      <w:proofErr w:type="gramStart"/>
      <w:r w:rsidRPr="00497699">
        <w:rPr>
          <w:rFonts w:asciiTheme="minorHAnsi" w:hAnsiTheme="minorHAnsi" w:cs="Arial"/>
          <w:color w:val="221E1F"/>
          <w:lang w:eastAsia="en-US"/>
        </w:rPr>
        <w:t>;1</w:t>
      </w:r>
      <w:proofErr w:type="gramEnd"/>
      <w:r w:rsidRPr="00497699">
        <w:rPr>
          <w:rFonts w:asciiTheme="minorHAnsi" w:hAnsiTheme="minorHAnsi" w:cs="Arial"/>
          <w:color w:val="221E1F"/>
          <w:lang w:eastAsia="en-US"/>
        </w:rPr>
        <w:t xml:space="preserve">(1):13-27.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Singleton T, Kruse-Jarres R, Leissinger C. Emergency department care for patients with hemophilia and von Willebrand disease. </w:t>
      </w:r>
      <w:r w:rsidRPr="00497699">
        <w:rPr>
          <w:rFonts w:asciiTheme="minorHAnsi" w:hAnsiTheme="minorHAnsi" w:cs="Arial"/>
          <w:i/>
          <w:iCs/>
          <w:color w:val="221E1F"/>
          <w:lang w:eastAsia="en-US"/>
        </w:rPr>
        <w:t xml:space="preserve">J Emerg Med </w:t>
      </w:r>
      <w:r w:rsidRPr="00497699">
        <w:rPr>
          <w:rFonts w:asciiTheme="minorHAnsi" w:hAnsiTheme="minorHAnsi" w:cs="Arial"/>
          <w:color w:val="221E1F"/>
          <w:lang w:eastAsia="en-US"/>
        </w:rPr>
        <w:t>2010</w:t>
      </w:r>
      <w:proofErr w:type="gramStart"/>
      <w:r w:rsidRPr="00497699">
        <w:rPr>
          <w:rFonts w:asciiTheme="minorHAnsi" w:hAnsiTheme="minorHAnsi" w:cs="Arial"/>
          <w:color w:val="221E1F"/>
          <w:lang w:eastAsia="en-US"/>
        </w:rPr>
        <w:t>;39</w:t>
      </w:r>
      <w:proofErr w:type="gramEnd"/>
      <w:r w:rsidRPr="00497699">
        <w:rPr>
          <w:rFonts w:asciiTheme="minorHAnsi" w:hAnsiTheme="minorHAnsi" w:cs="Arial"/>
          <w:color w:val="221E1F"/>
          <w:lang w:eastAsia="en-US"/>
        </w:rPr>
        <w:t xml:space="preserve">(2):158-65.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it-IT" w:eastAsia="en-US"/>
        </w:rPr>
        <w:t xml:space="preserve">Castaman G, Mancuso ME, Giacomelli SH, et al. </w:t>
      </w:r>
      <w:r w:rsidRPr="00497699">
        <w:rPr>
          <w:rFonts w:asciiTheme="minorHAnsi" w:hAnsiTheme="minorHAnsi" w:cs="Arial"/>
          <w:color w:val="221E1F"/>
          <w:lang w:eastAsia="en-US"/>
        </w:rPr>
        <w:t xml:space="preserve">Molecular and phenotypic determinants of the response to desmopressin in adult patients with mild hemophilia A. </w:t>
      </w:r>
      <w:r w:rsidRPr="00497699">
        <w:rPr>
          <w:rFonts w:asciiTheme="minorHAnsi" w:hAnsiTheme="minorHAnsi" w:cs="Arial"/>
          <w:i/>
          <w:iCs/>
          <w:color w:val="221E1F"/>
          <w:lang w:eastAsia="en-US"/>
        </w:rPr>
        <w:t xml:space="preserve">J Thromb Hemost </w:t>
      </w:r>
      <w:r w:rsidRPr="00497699">
        <w:rPr>
          <w:rFonts w:asciiTheme="minorHAnsi" w:hAnsiTheme="minorHAnsi" w:cs="Arial"/>
          <w:color w:val="221E1F"/>
          <w:lang w:eastAsia="en-US"/>
        </w:rPr>
        <w:t>2009</w:t>
      </w:r>
      <w:proofErr w:type="gramStart"/>
      <w:r w:rsidRPr="00497699">
        <w:rPr>
          <w:rFonts w:asciiTheme="minorHAnsi" w:hAnsiTheme="minorHAnsi" w:cs="Arial"/>
          <w:color w:val="221E1F"/>
          <w:lang w:eastAsia="en-US"/>
        </w:rPr>
        <w:t>;7</w:t>
      </w:r>
      <w:proofErr w:type="gramEnd"/>
      <w:r w:rsidRPr="00497699">
        <w:rPr>
          <w:rFonts w:asciiTheme="minorHAnsi" w:hAnsiTheme="minorHAnsi" w:cs="Arial"/>
          <w:color w:val="221E1F"/>
          <w:lang w:eastAsia="en-US"/>
        </w:rPr>
        <w:t xml:space="preserve">(11):1824-31.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Franchini M, Zaffanello M, Lippi G. The use of desmopressin in mild hemophilia A. </w:t>
      </w:r>
      <w:r w:rsidRPr="00497699">
        <w:rPr>
          <w:rFonts w:asciiTheme="minorHAnsi" w:hAnsiTheme="minorHAnsi" w:cs="Arial"/>
          <w:i/>
          <w:iCs/>
          <w:color w:val="221E1F"/>
          <w:lang w:eastAsia="en-US"/>
        </w:rPr>
        <w:t xml:space="preserve">Blood Coagul Fibrinolysis </w:t>
      </w:r>
      <w:r w:rsidRPr="00497699">
        <w:rPr>
          <w:rFonts w:asciiTheme="minorHAnsi" w:hAnsiTheme="minorHAnsi" w:cs="Arial"/>
          <w:color w:val="221E1F"/>
          <w:lang w:eastAsia="en-US"/>
        </w:rPr>
        <w:t>2010</w:t>
      </w:r>
      <w:proofErr w:type="gramStart"/>
      <w:r w:rsidRPr="00497699">
        <w:rPr>
          <w:rFonts w:asciiTheme="minorHAnsi" w:hAnsiTheme="minorHAnsi" w:cs="Arial"/>
          <w:color w:val="221E1F"/>
          <w:lang w:eastAsia="en-US"/>
        </w:rPr>
        <w:t>;21</w:t>
      </w:r>
      <w:proofErr w:type="gramEnd"/>
      <w:r w:rsidRPr="00497699">
        <w:rPr>
          <w:rFonts w:asciiTheme="minorHAnsi" w:hAnsiTheme="minorHAnsi" w:cs="Arial"/>
          <w:color w:val="221E1F"/>
          <w:lang w:eastAsia="en-US"/>
        </w:rPr>
        <w:t xml:space="preserve">(7):615-9.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Mannucci PM. Desmopressin (DDAVP) in the treatment of bleeding disorders: the first twenty years. </w:t>
      </w:r>
      <w:r w:rsidRPr="00497699">
        <w:rPr>
          <w:rFonts w:asciiTheme="minorHAnsi" w:hAnsiTheme="minorHAnsi" w:cs="Arial"/>
          <w:i/>
          <w:iCs/>
          <w:color w:val="221E1F"/>
          <w:lang w:eastAsia="en-US"/>
        </w:rPr>
        <w:t xml:space="preserve">Haemophilia </w:t>
      </w:r>
      <w:r w:rsidRPr="00497699">
        <w:rPr>
          <w:rFonts w:asciiTheme="minorHAnsi" w:hAnsiTheme="minorHAnsi" w:cs="Arial"/>
          <w:color w:val="221E1F"/>
          <w:lang w:eastAsia="en-US"/>
        </w:rPr>
        <w:t>2000</w:t>
      </w:r>
      <w:proofErr w:type="gramStart"/>
      <w:r w:rsidRPr="00497699">
        <w:rPr>
          <w:rFonts w:asciiTheme="minorHAnsi" w:hAnsiTheme="minorHAnsi" w:cs="Arial"/>
          <w:color w:val="221E1F"/>
          <w:lang w:eastAsia="en-US"/>
        </w:rPr>
        <w:t>;6</w:t>
      </w:r>
      <w:proofErr w:type="gramEnd"/>
      <w:r w:rsidRPr="00497699">
        <w:rPr>
          <w:rFonts w:asciiTheme="minorHAnsi" w:hAnsiTheme="minorHAnsi" w:cs="Arial"/>
          <w:color w:val="221E1F"/>
          <w:lang w:eastAsia="en-US"/>
        </w:rPr>
        <w:t xml:space="preserve">(Suppl 1):60-67.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da-DK" w:eastAsia="en-US"/>
        </w:rPr>
        <w:t xml:space="preserve">Berntorp E, Boulyzenkov V, Brettler D, et al. </w:t>
      </w:r>
      <w:r w:rsidRPr="00497699">
        <w:rPr>
          <w:rFonts w:asciiTheme="minorHAnsi" w:hAnsiTheme="minorHAnsi" w:cs="Arial"/>
          <w:color w:val="221E1F"/>
          <w:lang w:eastAsia="en-US"/>
        </w:rPr>
        <w:t xml:space="preserve">Modern treatment of hemophilia. </w:t>
      </w:r>
      <w:r w:rsidRPr="00497699">
        <w:rPr>
          <w:rFonts w:asciiTheme="minorHAnsi" w:hAnsiTheme="minorHAnsi" w:cs="Arial"/>
          <w:i/>
          <w:iCs/>
          <w:color w:val="221E1F"/>
          <w:lang w:eastAsia="en-US"/>
        </w:rPr>
        <w:t xml:space="preserve">Bull WHO </w:t>
      </w:r>
      <w:r w:rsidRPr="00497699">
        <w:rPr>
          <w:rFonts w:asciiTheme="minorHAnsi" w:hAnsiTheme="minorHAnsi" w:cs="Arial"/>
          <w:color w:val="221E1F"/>
          <w:lang w:eastAsia="en-US"/>
        </w:rPr>
        <w:t>1995</w:t>
      </w:r>
      <w:proofErr w:type="gramStart"/>
      <w:r w:rsidRPr="00497699">
        <w:rPr>
          <w:rFonts w:asciiTheme="minorHAnsi" w:hAnsiTheme="minorHAnsi" w:cs="Arial"/>
          <w:color w:val="221E1F"/>
          <w:lang w:eastAsia="en-US"/>
        </w:rPr>
        <w:t>;73:691</w:t>
      </w:r>
      <w:proofErr w:type="gramEnd"/>
      <w:r w:rsidRPr="00497699">
        <w:rPr>
          <w:rFonts w:asciiTheme="minorHAnsi" w:hAnsiTheme="minorHAnsi" w:cs="Arial"/>
          <w:color w:val="221E1F"/>
          <w:lang w:eastAsia="en-US"/>
        </w:rPr>
        <w:t xml:space="preserve">-701.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da-DK" w:eastAsia="en-US"/>
        </w:rPr>
        <w:t xml:space="preserve">Kasper CK, Mannucci PM, Boulyzenkov V, et al. </w:t>
      </w:r>
      <w:r w:rsidRPr="00497699">
        <w:rPr>
          <w:rFonts w:asciiTheme="minorHAnsi" w:hAnsiTheme="minorHAnsi" w:cs="Arial"/>
          <w:color w:val="221E1F"/>
          <w:lang w:eastAsia="en-US"/>
        </w:rPr>
        <w:t xml:space="preserve">Hemophilia in the 1990s: Principles of treatment and improved access to care. </w:t>
      </w:r>
      <w:r w:rsidRPr="00497699">
        <w:rPr>
          <w:rFonts w:asciiTheme="minorHAnsi" w:hAnsiTheme="minorHAnsi" w:cs="Arial"/>
          <w:i/>
          <w:iCs/>
          <w:color w:val="221E1F"/>
          <w:lang w:eastAsia="en-US"/>
        </w:rPr>
        <w:t xml:space="preserve">Semin Thrombosis Hemostas </w:t>
      </w:r>
      <w:r w:rsidRPr="00497699">
        <w:rPr>
          <w:rFonts w:asciiTheme="minorHAnsi" w:hAnsiTheme="minorHAnsi" w:cs="Arial"/>
          <w:color w:val="221E1F"/>
          <w:lang w:eastAsia="en-US"/>
        </w:rPr>
        <w:t>1992</w:t>
      </w:r>
      <w:proofErr w:type="gramStart"/>
      <w:r w:rsidRPr="00497699">
        <w:rPr>
          <w:rFonts w:asciiTheme="minorHAnsi" w:hAnsiTheme="minorHAnsi" w:cs="Arial"/>
          <w:color w:val="221E1F"/>
          <w:lang w:eastAsia="en-US"/>
        </w:rPr>
        <w:t>;18:1</w:t>
      </w:r>
      <w:proofErr w:type="gramEnd"/>
      <w:r w:rsidRPr="00497699">
        <w:rPr>
          <w:rFonts w:asciiTheme="minorHAnsi" w:hAnsiTheme="minorHAnsi" w:cs="Arial"/>
          <w:color w:val="221E1F"/>
          <w:lang w:eastAsia="en-US"/>
        </w:rPr>
        <w:t xml:space="preserve">-10.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Soucie JM, Nuss R, Evatt B, Abdelhak A, Cowan L, Hill H, Kolakoski M, Wilber N; Hemophilia Surveillance System Project Investigators. Mortality among males with hemophilia: relations with source of medical care. </w:t>
      </w:r>
      <w:r w:rsidRPr="00497699">
        <w:rPr>
          <w:rFonts w:asciiTheme="minorHAnsi" w:hAnsiTheme="minorHAnsi" w:cs="Arial"/>
          <w:i/>
          <w:iCs/>
          <w:color w:val="221E1F"/>
          <w:lang w:eastAsia="en-US"/>
        </w:rPr>
        <w:t xml:space="preserve">Blood </w:t>
      </w:r>
      <w:r w:rsidRPr="00497699">
        <w:rPr>
          <w:rFonts w:asciiTheme="minorHAnsi" w:hAnsiTheme="minorHAnsi" w:cs="Arial"/>
          <w:color w:val="221E1F"/>
          <w:lang w:eastAsia="en-US"/>
        </w:rPr>
        <w:t>2000</w:t>
      </w:r>
      <w:proofErr w:type="gramStart"/>
      <w:r w:rsidRPr="00497699">
        <w:rPr>
          <w:rFonts w:asciiTheme="minorHAnsi" w:hAnsiTheme="minorHAnsi" w:cs="Arial"/>
          <w:color w:val="221E1F"/>
          <w:lang w:eastAsia="en-US"/>
        </w:rPr>
        <w:t>;96:437</w:t>
      </w:r>
      <w:proofErr w:type="gramEnd"/>
      <w:r w:rsidRPr="00497699">
        <w:rPr>
          <w:rFonts w:asciiTheme="minorHAnsi" w:hAnsiTheme="minorHAnsi" w:cs="Arial"/>
          <w:color w:val="221E1F"/>
          <w:lang w:eastAsia="en-US"/>
        </w:rPr>
        <w:t xml:space="preserve">–42.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Colvin BT, Astermark J, Fischer K, Gringeri A, Lassila R, Schramm W, Thomas A, Ingerslev J; Inter Disciplinary Working Group. European principles of hemophilia care.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2008</w:t>
      </w:r>
      <w:proofErr w:type="gramStart"/>
      <w:r w:rsidRPr="00497699">
        <w:rPr>
          <w:rFonts w:asciiTheme="minorHAnsi" w:hAnsiTheme="minorHAnsi" w:cs="Arial"/>
          <w:color w:val="221E1F"/>
          <w:lang w:eastAsia="en-US"/>
        </w:rPr>
        <w:t>;14</w:t>
      </w:r>
      <w:proofErr w:type="gramEnd"/>
      <w:r w:rsidRPr="00497699">
        <w:rPr>
          <w:rFonts w:asciiTheme="minorHAnsi" w:hAnsiTheme="minorHAnsi" w:cs="Arial"/>
          <w:color w:val="221E1F"/>
          <w:lang w:eastAsia="en-US"/>
        </w:rPr>
        <w:t xml:space="preserve">(2):361-74.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Evatt BL. The natural evolution of hemophilia care: developing and sustaining comprehensive care globally.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2006</w:t>
      </w:r>
      <w:proofErr w:type="gramStart"/>
      <w:r w:rsidRPr="00497699">
        <w:rPr>
          <w:rFonts w:asciiTheme="minorHAnsi" w:hAnsiTheme="minorHAnsi" w:cs="Arial"/>
          <w:color w:val="221E1F"/>
          <w:lang w:eastAsia="en-US"/>
        </w:rPr>
        <w:t>;12</w:t>
      </w:r>
      <w:proofErr w:type="gramEnd"/>
      <w:r w:rsidRPr="00497699">
        <w:rPr>
          <w:rFonts w:asciiTheme="minorHAnsi" w:hAnsiTheme="minorHAnsi" w:cs="Arial"/>
          <w:color w:val="221E1F"/>
          <w:lang w:eastAsia="en-US"/>
        </w:rPr>
        <w:t xml:space="preserve">(Suppl 3):13-21.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Evatt BL, Black C, Batorova A, Street A, Srivastava A. Comprehensive care for hemophilia around the world.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2004</w:t>
      </w:r>
      <w:proofErr w:type="gramStart"/>
      <w:r w:rsidRPr="00497699">
        <w:rPr>
          <w:rFonts w:asciiTheme="minorHAnsi" w:hAnsiTheme="minorHAnsi" w:cs="Arial"/>
          <w:color w:val="221E1F"/>
          <w:lang w:eastAsia="en-US"/>
        </w:rPr>
        <w:t>;10</w:t>
      </w:r>
      <w:proofErr w:type="gramEnd"/>
      <w:r w:rsidRPr="00497699">
        <w:rPr>
          <w:rFonts w:asciiTheme="minorHAnsi" w:hAnsiTheme="minorHAnsi" w:cs="Arial"/>
          <w:color w:val="221E1F"/>
          <w:lang w:eastAsia="en-US"/>
        </w:rPr>
        <w:t xml:space="preserve">(Suppl 4):9-13.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Canadian Hemophilia Standards Group. Canadian Comprehensive Care Standards for Hemophilia and Other Inherited Bleeding Disorders, First Edition, </w:t>
      </w:r>
      <w:proofErr w:type="gramStart"/>
      <w:r w:rsidRPr="00497699">
        <w:rPr>
          <w:rFonts w:asciiTheme="minorHAnsi" w:hAnsiTheme="minorHAnsi" w:cs="Arial"/>
          <w:color w:val="221E1F"/>
          <w:lang w:eastAsia="en-US"/>
        </w:rPr>
        <w:t>June</w:t>
      </w:r>
      <w:proofErr w:type="gramEnd"/>
      <w:r w:rsidRPr="00497699">
        <w:rPr>
          <w:rFonts w:asciiTheme="minorHAnsi" w:hAnsiTheme="minorHAnsi" w:cs="Arial"/>
          <w:color w:val="221E1F"/>
          <w:lang w:eastAsia="en-US"/>
        </w:rPr>
        <w:t xml:space="preserve"> 2007. http://www.ahcdc.ca/documents/ CanadianHemophiliaStandardsFirstEdition070612_1.pdf (Accessed September 4, 2011).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de Moerloose P, Fischer K, Lambert T, Windyga J, Batorova A, Lavigne-Lissalde G, Rocino A, Astermark J, Hermans C. Recommendations for assessment, monitoring and follow-up of patients with hemophilia.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2012 May</w:t>
      </w:r>
      <w:proofErr w:type="gramStart"/>
      <w:r w:rsidRPr="00497699">
        <w:rPr>
          <w:rFonts w:asciiTheme="minorHAnsi" w:hAnsiTheme="minorHAnsi" w:cs="Arial"/>
          <w:color w:val="221E1F"/>
          <w:lang w:eastAsia="en-US"/>
        </w:rPr>
        <w:t>;18</w:t>
      </w:r>
      <w:proofErr w:type="gramEnd"/>
      <w:r w:rsidRPr="00497699">
        <w:rPr>
          <w:rFonts w:asciiTheme="minorHAnsi" w:hAnsiTheme="minorHAnsi" w:cs="Arial"/>
          <w:color w:val="221E1F"/>
          <w:lang w:eastAsia="en-US"/>
        </w:rPr>
        <w:t xml:space="preserve">(3):319-25.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nl-NL" w:eastAsia="en-US"/>
        </w:rPr>
        <w:t xml:space="preserve">Gomis M, Querol F, Gallach JE, Gonzalez LM, Aznar JA. </w:t>
      </w:r>
      <w:r w:rsidRPr="00497699">
        <w:rPr>
          <w:rFonts w:asciiTheme="minorHAnsi" w:hAnsiTheme="minorHAnsi" w:cs="Arial"/>
          <w:color w:val="221E1F"/>
          <w:lang w:eastAsia="en-US"/>
        </w:rPr>
        <w:t xml:space="preserve">Exercise and sport in the treatment of hemophilic patients: a systematic review.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2009</w:t>
      </w:r>
      <w:proofErr w:type="gramStart"/>
      <w:r w:rsidRPr="00497699">
        <w:rPr>
          <w:rFonts w:asciiTheme="minorHAnsi" w:hAnsiTheme="minorHAnsi" w:cs="Arial"/>
          <w:color w:val="221E1F"/>
          <w:lang w:eastAsia="en-US"/>
        </w:rPr>
        <w:t>;15</w:t>
      </w:r>
      <w:proofErr w:type="gramEnd"/>
      <w:r w:rsidRPr="00497699">
        <w:rPr>
          <w:rFonts w:asciiTheme="minorHAnsi" w:hAnsiTheme="minorHAnsi" w:cs="Arial"/>
          <w:color w:val="221E1F"/>
          <w:lang w:eastAsia="en-US"/>
        </w:rPr>
        <w:t xml:space="preserve">(1):43-54.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it-IT" w:eastAsia="en-US"/>
        </w:rPr>
        <w:t xml:space="preserve">Iorio A, Fabbriciani G, Marcucci M, Brozzetti M, Filipponi P. Bone mineral density in hemophilia patients: a meta-analysis. </w:t>
      </w:r>
      <w:r w:rsidRPr="00497699">
        <w:rPr>
          <w:rFonts w:asciiTheme="minorHAnsi" w:hAnsiTheme="minorHAnsi" w:cs="Arial"/>
          <w:i/>
          <w:iCs/>
          <w:color w:val="221E1F"/>
          <w:lang w:eastAsia="en-US"/>
        </w:rPr>
        <w:t xml:space="preserve">Thromb Hemost </w:t>
      </w:r>
      <w:r w:rsidRPr="00497699">
        <w:rPr>
          <w:rFonts w:asciiTheme="minorHAnsi" w:hAnsiTheme="minorHAnsi" w:cs="Arial"/>
          <w:color w:val="221E1F"/>
          <w:lang w:eastAsia="en-US"/>
        </w:rPr>
        <w:t>2010</w:t>
      </w:r>
      <w:proofErr w:type="gramStart"/>
      <w:r w:rsidRPr="00497699">
        <w:rPr>
          <w:rFonts w:asciiTheme="minorHAnsi" w:hAnsiTheme="minorHAnsi" w:cs="Arial"/>
          <w:color w:val="221E1F"/>
          <w:lang w:eastAsia="en-US"/>
        </w:rPr>
        <w:t>;103</w:t>
      </w:r>
      <w:proofErr w:type="gramEnd"/>
      <w:r w:rsidRPr="00497699">
        <w:rPr>
          <w:rFonts w:asciiTheme="minorHAnsi" w:hAnsiTheme="minorHAnsi" w:cs="Arial"/>
          <w:color w:val="221E1F"/>
          <w:lang w:eastAsia="en-US"/>
        </w:rPr>
        <w:t xml:space="preserve">(3):596-603.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Wallny TA, Scholz DT, Oldenburg J, et al. Osteoporosis in hemophilia - an underestimated comorbidity?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2007</w:t>
      </w:r>
      <w:proofErr w:type="gramStart"/>
      <w:r w:rsidRPr="00497699">
        <w:rPr>
          <w:rFonts w:asciiTheme="minorHAnsi" w:hAnsiTheme="minorHAnsi" w:cs="Arial"/>
          <w:color w:val="221E1F"/>
          <w:lang w:eastAsia="en-US"/>
        </w:rPr>
        <w:t>;13</w:t>
      </w:r>
      <w:proofErr w:type="gramEnd"/>
      <w:r w:rsidRPr="00497699">
        <w:rPr>
          <w:rFonts w:asciiTheme="minorHAnsi" w:hAnsiTheme="minorHAnsi" w:cs="Arial"/>
          <w:color w:val="221E1F"/>
          <w:lang w:eastAsia="en-US"/>
        </w:rPr>
        <w:t xml:space="preserve">(1):79-84.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Seuser A, Boehm P, Kurme A, Schumpe G, Kurnik K. Orthopaedic issues in sports for persons with hemophilia.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2007</w:t>
      </w:r>
      <w:proofErr w:type="gramStart"/>
      <w:r w:rsidRPr="00497699">
        <w:rPr>
          <w:rFonts w:asciiTheme="minorHAnsi" w:hAnsiTheme="minorHAnsi" w:cs="Arial"/>
          <w:color w:val="221E1F"/>
          <w:lang w:eastAsia="en-US"/>
        </w:rPr>
        <w:t>;13</w:t>
      </w:r>
      <w:proofErr w:type="gramEnd"/>
      <w:r w:rsidRPr="00497699">
        <w:rPr>
          <w:rFonts w:asciiTheme="minorHAnsi" w:hAnsiTheme="minorHAnsi" w:cs="Arial"/>
          <w:color w:val="221E1F"/>
          <w:lang w:eastAsia="en-US"/>
        </w:rPr>
        <w:t xml:space="preserve">(Suppl 2):47–52.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lastRenderedPageBreak/>
        <w:t xml:space="preserve">Philpott J, Houghton K, Luke A. Physical activity recommendations for children with specific chronic health conditions: Juvenile idiopathic arthritis, hemophilia, asthma and cystic fibrosis. </w:t>
      </w:r>
      <w:r w:rsidRPr="00497699">
        <w:rPr>
          <w:rFonts w:asciiTheme="minorHAnsi" w:hAnsiTheme="minorHAnsi" w:cs="Arial"/>
          <w:i/>
          <w:iCs/>
          <w:color w:val="221E1F"/>
          <w:lang w:eastAsia="en-US"/>
        </w:rPr>
        <w:t xml:space="preserve">Paediatr Child Health </w:t>
      </w:r>
      <w:r w:rsidRPr="00497699">
        <w:rPr>
          <w:rFonts w:asciiTheme="minorHAnsi" w:hAnsiTheme="minorHAnsi" w:cs="Arial"/>
          <w:color w:val="221E1F"/>
          <w:lang w:eastAsia="en-US"/>
        </w:rPr>
        <w:t>2010</w:t>
      </w:r>
      <w:proofErr w:type="gramStart"/>
      <w:r w:rsidRPr="00497699">
        <w:rPr>
          <w:rFonts w:asciiTheme="minorHAnsi" w:hAnsiTheme="minorHAnsi" w:cs="Arial"/>
          <w:color w:val="221E1F"/>
          <w:lang w:eastAsia="en-US"/>
        </w:rPr>
        <w:t>;15</w:t>
      </w:r>
      <w:proofErr w:type="gramEnd"/>
      <w:r w:rsidRPr="00497699">
        <w:rPr>
          <w:rFonts w:asciiTheme="minorHAnsi" w:hAnsiTheme="minorHAnsi" w:cs="Arial"/>
          <w:color w:val="221E1F"/>
          <w:lang w:eastAsia="en-US"/>
        </w:rPr>
        <w:t xml:space="preserve">(4):213-25.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Querol F, Aznar JA, Haya S, Cid A. Orthoses in hemophilia.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2002</w:t>
      </w:r>
      <w:proofErr w:type="gramStart"/>
      <w:r w:rsidRPr="00497699">
        <w:rPr>
          <w:rFonts w:asciiTheme="minorHAnsi" w:hAnsiTheme="minorHAnsi" w:cs="Arial"/>
          <w:color w:val="221E1F"/>
          <w:lang w:eastAsia="en-US"/>
        </w:rPr>
        <w:t>;8</w:t>
      </w:r>
      <w:proofErr w:type="gramEnd"/>
      <w:r w:rsidRPr="00497699">
        <w:rPr>
          <w:rFonts w:asciiTheme="minorHAnsi" w:hAnsiTheme="minorHAnsi" w:cs="Arial"/>
          <w:color w:val="221E1F"/>
          <w:lang w:eastAsia="en-US"/>
        </w:rPr>
        <w:t xml:space="preserve">(3):407-12.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Fischer K, Van der Bom JG, Mauser-Bunschoten EP, et al. Changes in treatment strategies for severe hemophilia over the last 3 decades: effects on clotting factor consumption and arthropathy.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 xml:space="preserve">2001; 7: 446-52.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Löfqvist T, Nilsson IM, Berntorp E, Pettersson H. Hemophilia prophylaxis in young patients: a long-term follow-up. </w:t>
      </w:r>
      <w:r w:rsidRPr="00497699">
        <w:rPr>
          <w:rFonts w:asciiTheme="minorHAnsi" w:hAnsiTheme="minorHAnsi" w:cs="Arial"/>
          <w:i/>
          <w:iCs/>
          <w:color w:val="221E1F"/>
          <w:lang w:eastAsia="en-US"/>
        </w:rPr>
        <w:t xml:space="preserve">J Intern Med </w:t>
      </w:r>
      <w:r w:rsidRPr="00497699">
        <w:rPr>
          <w:rFonts w:asciiTheme="minorHAnsi" w:hAnsiTheme="minorHAnsi" w:cs="Arial"/>
          <w:color w:val="221E1F"/>
          <w:lang w:eastAsia="en-US"/>
        </w:rPr>
        <w:t>1997</w:t>
      </w:r>
      <w:proofErr w:type="gramStart"/>
      <w:r w:rsidRPr="00497699">
        <w:rPr>
          <w:rFonts w:asciiTheme="minorHAnsi" w:hAnsiTheme="minorHAnsi" w:cs="Arial"/>
          <w:color w:val="221E1F"/>
          <w:lang w:eastAsia="en-US"/>
        </w:rPr>
        <w:t>;241:395</w:t>
      </w:r>
      <w:proofErr w:type="gramEnd"/>
      <w:r w:rsidRPr="00497699">
        <w:rPr>
          <w:rFonts w:asciiTheme="minorHAnsi" w:hAnsiTheme="minorHAnsi" w:cs="Arial"/>
          <w:color w:val="221E1F"/>
          <w:lang w:eastAsia="en-US"/>
        </w:rPr>
        <w:t xml:space="preserve">-400.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Nilsson IM, Berntorp E, Löfqvist T, Pettersson H. Twenty-five years’ experience of prophylactic treatment in severe hemophilia A and B. </w:t>
      </w:r>
      <w:r w:rsidRPr="00497699">
        <w:rPr>
          <w:rFonts w:asciiTheme="minorHAnsi" w:hAnsiTheme="minorHAnsi" w:cs="Arial"/>
          <w:i/>
          <w:iCs/>
          <w:color w:val="221E1F"/>
          <w:lang w:eastAsia="en-US"/>
        </w:rPr>
        <w:t xml:space="preserve">J Intern Med </w:t>
      </w:r>
      <w:r w:rsidRPr="00497699">
        <w:rPr>
          <w:rFonts w:asciiTheme="minorHAnsi" w:hAnsiTheme="minorHAnsi" w:cs="Arial"/>
          <w:color w:val="221E1F"/>
          <w:lang w:eastAsia="en-US"/>
        </w:rPr>
        <w:t>1992;232(1):25-32.</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Aronstam A, Arblaster PG, Rainsford SG, Turk P, Slattery M, </w:t>
      </w:r>
      <w:proofErr w:type="gramStart"/>
      <w:r w:rsidRPr="00497699">
        <w:rPr>
          <w:rFonts w:asciiTheme="minorHAnsi" w:hAnsiTheme="minorHAnsi" w:cs="Arial"/>
          <w:color w:val="221E1F"/>
          <w:lang w:eastAsia="en-US"/>
        </w:rPr>
        <w:t>Alderson</w:t>
      </w:r>
      <w:proofErr w:type="gramEnd"/>
      <w:r w:rsidRPr="00497699">
        <w:rPr>
          <w:rFonts w:asciiTheme="minorHAnsi" w:hAnsiTheme="minorHAnsi" w:cs="Arial"/>
          <w:color w:val="221E1F"/>
          <w:lang w:eastAsia="en-US"/>
        </w:rPr>
        <w:t xml:space="preserve"> MR, et al. Prophylaxis in hemophilia: a double-blind controlled trial. </w:t>
      </w:r>
      <w:r w:rsidRPr="00497699">
        <w:rPr>
          <w:rFonts w:asciiTheme="minorHAnsi" w:hAnsiTheme="minorHAnsi" w:cs="Arial"/>
          <w:i/>
          <w:iCs/>
          <w:color w:val="221E1F"/>
          <w:lang w:eastAsia="en-US"/>
        </w:rPr>
        <w:t xml:space="preserve">Br J Haematol </w:t>
      </w:r>
      <w:r w:rsidRPr="00497699">
        <w:rPr>
          <w:rFonts w:asciiTheme="minorHAnsi" w:hAnsiTheme="minorHAnsi" w:cs="Arial"/>
          <w:color w:val="221E1F"/>
          <w:lang w:eastAsia="en-US"/>
        </w:rPr>
        <w:t>1976</w:t>
      </w:r>
      <w:proofErr w:type="gramStart"/>
      <w:r w:rsidRPr="00497699">
        <w:rPr>
          <w:rFonts w:asciiTheme="minorHAnsi" w:hAnsiTheme="minorHAnsi" w:cs="Arial"/>
          <w:color w:val="221E1F"/>
          <w:lang w:eastAsia="en-US"/>
        </w:rPr>
        <w:t>;33</w:t>
      </w:r>
      <w:proofErr w:type="gramEnd"/>
      <w:r w:rsidRPr="00497699">
        <w:rPr>
          <w:rFonts w:asciiTheme="minorHAnsi" w:hAnsiTheme="minorHAnsi" w:cs="Arial"/>
          <w:color w:val="221E1F"/>
          <w:lang w:eastAsia="en-US"/>
        </w:rPr>
        <w:t>(1):81-90.</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041ED2">
        <w:rPr>
          <w:rFonts w:asciiTheme="minorHAnsi" w:hAnsiTheme="minorHAnsi" w:cs="Arial"/>
          <w:color w:val="221E1F"/>
          <w:lang w:val="fr-FR" w:eastAsia="en-US"/>
        </w:rPr>
        <w:t xml:space="preserve">Astermark J, Petrini P, Tengborn L, et al. </w:t>
      </w:r>
      <w:r w:rsidRPr="00497699">
        <w:rPr>
          <w:rFonts w:asciiTheme="minorHAnsi" w:hAnsiTheme="minorHAnsi" w:cs="Arial"/>
          <w:color w:val="221E1F"/>
          <w:lang w:eastAsia="en-US"/>
        </w:rPr>
        <w:t xml:space="preserve">Primary prophylaxis in severe hemophilia should be started at an early age but can be individualized. </w:t>
      </w:r>
      <w:r w:rsidRPr="00497699">
        <w:rPr>
          <w:rFonts w:asciiTheme="minorHAnsi" w:hAnsiTheme="minorHAnsi" w:cs="Arial"/>
          <w:i/>
          <w:iCs/>
          <w:color w:val="221E1F"/>
          <w:lang w:eastAsia="en-US"/>
        </w:rPr>
        <w:t xml:space="preserve">Br J Haematol </w:t>
      </w:r>
      <w:r w:rsidRPr="00497699">
        <w:rPr>
          <w:rFonts w:asciiTheme="minorHAnsi" w:hAnsiTheme="minorHAnsi" w:cs="Arial"/>
          <w:color w:val="221E1F"/>
          <w:lang w:eastAsia="en-US"/>
        </w:rPr>
        <w:t>1999</w:t>
      </w:r>
      <w:proofErr w:type="gramStart"/>
      <w:r w:rsidRPr="00497699">
        <w:rPr>
          <w:rFonts w:asciiTheme="minorHAnsi" w:hAnsiTheme="minorHAnsi" w:cs="Arial"/>
          <w:color w:val="221E1F"/>
          <w:lang w:eastAsia="en-US"/>
        </w:rPr>
        <w:t>;105:1109</w:t>
      </w:r>
      <w:proofErr w:type="gramEnd"/>
      <w:r w:rsidRPr="00497699">
        <w:rPr>
          <w:rFonts w:asciiTheme="minorHAnsi" w:hAnsiTheme="minorHAnsi" w:cs="Arial"/>
          <w:color w:val="221E1F"/>
          <w:lang w:eastAsia="en-US"/>
        </w:rPr>
        <w:t>-13.</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Feldman BM, Pai M, Rivard GE, et al. Tailored prophylaxis in severe hemophilia A: interim results from the first 5 years of the Canadian Hemophilia Primary Prophylaxis Study. </w:t>
      </w:r>
      <w:r w:rsidRPr="00497699">
        <w:rPr>
          <w:rFonts w:asciiTheme="minorHAnsi" w:hAnsiTheme="minorHAnsi" w:cs="Arial"/>
          <w:i/>
          <w:iCs/>
          <w:color w:val="221E1F"/>
          <w:lang w:eastAsia="en-US"/>
        </w:rPr>
        <w:t xml:space="preserve">J Thromb Hemost </w:t>
      </w:r>
      <w:r w:rsidRPr="00497699">
        <w:rPr>
          <w:rFonts w:asciiTheme="minorHAnsi" w:hAnsiTheme="minorHAnsi" w:cs="Arial"/>
          <w:color w:val="221E1F"/>
          <w:lang w:eastAsia="en-US"/>
        </w:rPr>
        <w:t>2006; 4(6):1228-36.</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Fischer K, Van der Bom JG, Mauser-Bunschoten EP, et al. Effects of postponing prophylactic treatment on long-term outcome in patients with severe hemophilia. </w:t>
      </w:r>
      <w:r w:rsidRPr="00497699">
        <w:rPr>
          <w:rFonts w:asciiTheme="minorHAnsi" w:hAnsiTheme="minorHAnsi" w:cs="Arial"/>
          <w:i/>
          <w:iCs/>
          <w:color w:val="221E1F"/>
          <w:lang w:eastAsia="en-US"/>
        </w:rPr>
        <w:t xml:space="preserve">Blood </w:t>
      </w:r>
      <w:r w:rsidRPr="00497699">
        <w:rPr>
          <w:rFonts w:asciiTheme="minorHAnsi" w:hAnsiTheme="minorHAnsi" w:cs="Arial"/>
          <w:color w:val="221E1F"/>
          <w:lang w:eastAsia="en-US"/>
        </w:rPr>
        <w:t>2002</w:t>
      </w:r>
      <w:proofErr w:type="gramStart"/>
      <w:r w:rsidRPr="00497699">
        <w:rPr>
          <w:rFonts w:asciiTheme="minorHAnsi" w:hAnsiTheme="minorHAnsi" w:cs="Arial"/>
          <w:color w:val="221E1F"/>
          <w:lang w:eastAsia="en-US"/>
        </w:rPr>
        <w:t>;99:2337</w:t>
      </w:r>
      <w:proofErr w:type="gramEnd"/>
      <w:r w:rsidRPr="00497699">
        <w:rPr>
          <w:rFonts w:asciiTheme="minorHAnsi" w:hAnsiTheme="minorHAnsi" w:cs="Arial"/>
          <w:color w:val="221E1F"/>
          <w:lang w:eastAsia="en-US"/>
        </w:rPr>
        <w:t>-41.</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Gringeri A, Lundin B, Mackensen SV, et al; ESPRIT Study Group. A randomized clinical trial of prophylaxis in children with hemophilia A (the ESPRIT Study</w:t>
      </w:r>
      <w:r w:rsidRPr="00497699">
        <w:rPr>
          <w:rFonts w:asciiTheme="minorHAnsi" w:hAnsiTheme="minorHAnsi" w:cs="Arial"/>
          <w:i/>
          <w:iCs/>
          <w:color w:val="221E1F"/>
          <w:lang w:eastAsia="en-US"/>
        </w:rPr>
        <w:t xml:space="preserve">). J Thromb Hemost </w:t>
      </w:r>
      <w:r w:rsidRPr="00497699">
        <w:rPr>
          <w:rFonts w:asciiTheme="minorHAnsi" w:hAnsiTheme="minorHAnsi" w:cs="Arial"/>
          <w:color w:val="221E1F"/>
          <w:lang w:eastAsia="en-US"/>
        </w:rPr>
        <w:t>2011</w:t>
      </w:r>
      <w:proofErr w:type="gramStart"/>
      <w:r w:rsidRPr="00497699">
        <w:rPr>
          <w:rFonts w:asciiTheme="minorHAnsi" w:hAnsiTheme="minorHAnsi" w:cs="Arial"/>
          <w:color w:val="221E1F"/>
          <w:lang w:eastAsia="en-US"/>
        </w:rPr>
        <w:t>;9</w:t>
      </w:r>
      <w:proofErr w:type="gramEnd"/>
      <w:r w:rsidRPr="00497699">
        <w:rPr>
          <w:rFonts w:asciiTheme="minorHAnsi" w:hAnsiTheme="minorHAnsi" w:cs="Arial"/>
          <w:color w:val="221E1F"/>
          <w:lang w:eastAsia="en-US"/>
        </w:rPr>
        <w:t>(4):700-10.</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it-IT" w:eastAsia="en-US"/>
        </w:rPr>
        <w:t xml:space="preserve">Manco-Johnson MJ, Abshire TC, Shapiro AD, et al. </w:t>
      </w:r>
      <w:r w:rsidRPr="00497699">
        <w:rPr>
          <w:rFonts w:asciiTheme="minorHAnsi" w:hAnsiTheme="minorHAnsi" w:cs="Arial"/>
          <w:color w:val="221E1F"/>
          <w:lang w:eastAsia="en-US"/>
        </w:rPr>
        <w:t xml:space="preserve">Prophylaxis versus episodic treatment to prevent joint disease in boys with severe hemophilia. </w:t>
      </w:r>
      <w:r w:rsidRPr="00497699">
        <w:rPr>
          <w:rFonts w:asciiTheme="minorHAnsi" w:hAnsiTheme="minorHAnsi" w:cs="Arial"/>
          <w:i/>
          <w:iCs/>
          <w:color w:val="221E1F"/>
          <w:lang w:eastAsia="en-US"/>
        </w:rPr>
        <w:t xml:space="preserve">NEJM </w:t>
      </w:r>
      <w:r w:rsidRPr="00497699">
        <w:rPr>
          <w:rFonts w:asciiTheme="minorHAnsi" w:hAnsiTheme="minorHAnsi" w:cs="Arial"/>
          <w:color w:val="221E1F"/>
          <w:lang w:eastAsia="en-US"/>
        </w:rPr>
        <w:t>2007</w:t>
      </w:r>
      <w:proofErr w:type="gramStart"/>
      <w:r w:rsidRPr="00497699">
        <w:rPr>
          <w:rFonts w:asciiTheme="minorHAnsi" w:hAnsiTheme="minorHAnsi" w:cs="Arial"/>
          <w:color w:val="221E1F"/>
          <w:lang w:eastAsia="en-US"/>
        </w:rPr>
        <w:t>;357</w:t>
      </w:r>
      <w:proofErr w:type="gramEnd"/>
      <w:r w:rsidRPr="00497699">
        <w:rPr>
          <w:rFonts w:asciiTheme="minorHAnsi" w:hAnsiTheme="minorHAnsi" w:cs="Arial"/>
          <w:color w:val="221E1F"/>
          <w:lang w:eastAsia="en-US"/>
        </w:rPr>
        <w:t>(6):535-44.</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Petrini P. What factors should influence the dosage and interval of prophylactic treatment in patients with severe hemophilia A and B?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2001</w:t>
      </w:r>
      <w:proofErr w:type="gramStart"/>
      <w:r w:rsidRPr="00497699">
        <w:rPr>
          <w:rFonts w:asciiTheme="minorHAnsi" w:hAnsiTheme="minorHAnsi" w:cs="Arial"/>
          <w:color w:val="221E1F"/>
          <w:lang w:eastAsia="en-US"/>
        </w:rPr>
        <w:t>;7</w:t>
      </w:r>
      <w:proofErr w:type="gramEnd"/>
      <w:r w:rsidRPr="00497699">
        <w:rPr>
          <w:rFonts w:asciiTheme="minorHAnsi" w:hAnsiTheme="minorHAnsi" w:cs="Arial"/>
          <w:color w:val="221E1F"/>
          <w:lang w:eastAsia="en-US"/>
        </w:rPr>
        <w:t>(1):99-102.</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Fischer K, Van Der Bom JG, Prejs R, et al. Discontinuation of prophylactic therapy in severe hemophilia: incidence and effects on outcome.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2001</w:t>
      </w:r>
      <w:proofErr w:type="gramStart"/>
      <w:r w:rsidRPr="00497699">
        <w:rPr>
          <w:rFonts w:asciiTheme="minorHAnsi" w:hAnsiTheme="minorHAnsi" w:cs="Arial"/>
          <w:color w:val="221E1F"/>
          <w:lang w:eastAsia="en-US"/>
        </w:rPr>
        <w:t>;7</w:t>
      </w:r>
      <w:proofErr w:type="gramEnd"/>
      <w:r w:rsidRPr="00497699">
        <w:rPr>
          <w:rFonts w:asciiTheme="minorHAnsi" w:hAnsiTheme="minorHAnsi" w:cs="Arial"/>
          <w:color w:val="221E1F"/>
          <w:lang w:eastAsia="en-US"/>
        </w:rPr>
        <w:t>(6):544-50.</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Hay CR. Prophylaxis in adults with hemophilia.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2007</w:t>
      </w:r>
      <w:proofErr w:type="gramStart"/>
      <w:r w:rsidRPr="00497699">
        <w:rPr>
          <w:rFonts w:asciiTheme="minorHAnsi" w:hAnsiTheme="minorHAnsi" w:cs="Arial"/>
          <w:color w:val="221E1F"/>
          <w:lang w:eastAsia="en-US"/>
        </w:rPr>
        <w:t>;13</w:t>
      </w:r>
      <w:proofErr w:type="gramEnd"/>
      <w:r w:rsidRPr="00497699">
        <w:rPr>
          <w:rFonts w:asciiTheme="minorHAnsi" w:hAnsiTheme="minorHAnsi" w:cs="Arial"/>
          <w:color w:val="221E1F"/>
          <w:lang w:eastAsia="en-US"/>
        </w:rPr>
        <w:t>(Suppl 2):10-5.</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da-DK" w:eastAsia="en-US"/>
        </w:rPr>
        <w:t xml:space="preserve">Kavakli K, Aydogdu S, Taner M, et al. </w:t>
      </w:r>
      <w:r w:rsidRPr="00497699">
        <w:rPr>
          <w:rFonts w:asciiTheme="minorHAnsi" w:hAnsiTheme="minorHAnsi" w:cs="Arial"/>
          <w:color w:val="221E1F"/>
          <w:lang w:eastAsia="en-US"/>
        </w:rPr>
        <w:t xml:space="preserve">Radioisotope synovectomy with rhenium186 in hemophilic synovitis for elbows, ankles and shoulders.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2008</w:t>
      </w:r>
      <w:proofErr w:type="gramStart"/>
      <w:r w:rsidRPr="00497699">
        <w:rPr>
          <w:rFonts w:asciiTheme="minorHAnsi" w:hAnsiTheme="minorHAnsi" w:cs="Arial"/>
          <w:color w:val="221E1F"/>
          <w:lang w:eastAsia="en-US"/>
        </w:rPr>
        <w:t>;14</w:t>
      </w:r>
      <w:proofErr w:type="gramEnd"/>
      <w:r w:rsidRPr="00497699">
        <w:rPr>
          <w:rFonts w:asciiTheme="minorHAnsi" w:hAnsiTheme="minorHAnsi" w:cs="Arial"/>
          <w:color w:val="221E1F"/>
          <w:lang w:eastAsia="en-US"/>
        </w:rPr>
        <w:t>(3):518-23.</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Luchtman-Jones L, Valentino LA, Manno C; Recombinant Therapy Workshop Participants. Considerations in the evaluation of hemophilia patients for short-term prophylactic therapy: a paediatric and adult case study.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2006</w:t>
      </w:r>
      <w:proofErr w:type="gramStart"/>
      <w:r w:rsidRPr="00497699">
        <w:rPr>
          <w:rFonts w:asciiTheme="minorHAnsi" w:hAnsiTheme="minorHAnsi" w:cs="Arial"/>
          <w:color w:val="221E1F"/>
          <w:lang w:eastAsia="en-US"/>
        </w:rPr>
        <w:t>;12</w:t>
      </w:r>
      <w:proofErr w:type="gramEnd"/>
      <w:r w:rsidRPr="00497699">
        <w:rPr>
          <w:rFonts w:asciiTheme="minorHAnsi" w:hAnsiTheme="minorHAnsi" w:cs="Arial"/>
          <w:color w:val="221E1F"/>
          <w:lang w:eastAsia="en-US"/>
        </w:rPr>
        <w:t>(1):82-6.</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Petrini P, Seuser A. Hemophilia care in adolescents—compliance and lifestyle issues.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2009; 15 Suppl 1:15-9.</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Soucie JM, Symons J, Evatt B, Brettler D, Huszti H, Linden J; Hemophilia Surveillance System Project Investigators. Home-based factor infusion therapy and hospitalization for bleeding complications among males with hemophilia.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2001</w:t>
      </w:r>
      <w:proofErr w:type="gramStart"/>
      <w:r w:rsidRPr="00497699">
        <w:rPr>
          <w:rFonts w:asciiTheme="minorHAnsi" w:hAnsiTheme="minorHAnsi" w:cs="Arial"/>
          <w:color w:val="221E1F"/>
          <w:lang w:eastAsia="en-US"/>
        </w:rPr>
        <w:t>;7:198</w:t>
      </w:r>
      <w:proofErr w:type="gramEnd"/>
      <w:r w:rsidRPr="00497699">
        <w:rPr>
          <w:rFonts w:asciiTheme="minorHAnsi" w:hAnsiTheme="minorHAnsi" w:cs="Arial"/>
          <w:color w:val="221E1F"/>
          <w:lang w:eastAsia="en-US"/>
        </w:rPr>
        <w:t>-206.</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Teitel JM, Barnard D, Israels S, Lillicrap D, Poon MC, Sek J. Home management of hemophilia.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2004</w:t>
      </w:r>
      <w:proofErr w:type="gramStart"/>
      <w:r w:rsidRPr="00497699">
        <w:rPr>
          <w:rFonts w:asciiTheme="minorHAnsi" w:hAnsiTheme="minorHAnsi" w:cs="Arial"/>
          <w:color w:val="221E1F"/>
          <w:lang w:eastAsia="en-US"/>
        </w:rPr>
        <w:t>;10</w:t>
      </w:r>
      <w:proofErr w:type="gramEnd"/>
      <w:r w:rsidRPr="00497699">
        <w:rPr>
          <w:rFonts w:asciiTheme="minorHAnsi" w:hAnsiTheme="minorHAnsi" w:cs="Arial"/>
          <w:color w:val="221E1F"/>
          <w:lang w:eastAsia="en-US"/>
        </w:rPr>
        <w:t>(2):118-33.</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Szucs TD, Offner A, Kroner B, et al; European socioeconomic study group. Resource utilization in hemophiliacs treated in Europe: results from the European study on socioeconomic aspects of hemophilia care.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1998</w:t>
      </w:r>
      <w:proofErr w:type="gramStart"/>
      <w:r w:rsidRPr="00497699">
        <w:rPr>
          <w:rFonts w:asciiTheme="minorHAnsi" w:hAnsiTheme="minorHAnsi" w:cs="Arial"/>
          <w:color w:val="221E1F"/>
          <w:lang w:eastAsia="en-US"/>
        </w:rPr>
        <w:t>;4</w:t>
      </w:r>
      <w:proofErr w:type="gramEnd"/>
      <w:r w:rsidRPr="00497699">
        <w:rPr>
          <w:rFonts w:asciiTheme="minorHAnsi" w:hAnsiTheme="minorHAnsi" w:cs="Arial"/>
          <w:color w:val="221E1F"/>
          <w:lang w:eastAsia="en-US"/>
        </w:rPr>
        <w:t xml:space="preserve">(4):498-501.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041ED2">
        <w:rPr>
          <w:rFonts w:asciiTheme="minorHAnsi" w:hAnsiTheme="minorHAnsi" w:cs="Arial"/>
          <w:color w:val="221E1F"/>
          <w:lang w:val="fr-FR" w:eastAsia="en-US"/>
        </w:rPr>
        <w:lastRenderedPageBreak/>
        <w:t xml:space="preserve">Neunert CE, Miller KL, Journeycake JM, et al. </w:t>
      </w:r>
      <w:r w:rsidRPr="00497699">
        <w:rPr>
          <w:rFonts w:asciiTheme="minorHAnsi" w:hAnsiTheme="minorHAnsi" w:cs="Arial"/>
          <w:color w:val="221E1F"/>
          <w:lang w:eastAsia="en-US"/>
        </w:rPr>
        <w:t xml:space="preserve">Implantable central venous access device procedures in hemophilia patients without an inhibitor: systematic review of the literature and institutional experience.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2008</w:t>
      </w:r>
      <w:proofErr w:type="gramStart"/>
      <w:r w:rsidRPr="00497699">
        <w:rPr>
          <w:rFonts w:asciiTheme="minorHAnsi" w:hAnsiTheme="minorHAnsi" w:cs="Arial"/>
          <w:color w:val="221E1F"/>
          <w:lang w:eastAsia="en-US"/>
        </w:rPr>
        <w:t>;14</w:t>
      </w:r>
      <w:proofErr w:type="gramEnd"/>
      <w:r w:rsidRPr="00497699">
        <w:rPr>
          <w:rFonts w:asciiTheme="minorHAnsi" w:hAnsiTheme="minorHAnsi" w:cs="Arial"/>
          <w:color w:val="221E1F"/>
          <w:lang w:eastAsia="en-US"/>
        </w:rPr>
        <w:t>(2):260-70.</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fr-FR" w:eastAsia="en-US"/>
        </w:rPr>
        <w:t xml:space="preserve">Valentino LA, Ewenstein B, Navickis RJ, Wilkes MM. </w:t>
      </w:r>
      <w:r w:rsidRPr="00497699">
        <w:rPr>
          <w:rFonts w:asciiTheme="minorHAnsi" w:hAnsiTheme="minorHAnsi" w:cs="Arial"/>
          <w:color w:val="221E1F"/>
          <w:lang w:eastAsia="en-US"/>
        </w:rPr>
        <w:t xml:space="preserve">Central venous access devices in hemophilia.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2004</w:t>
      </w:r>
      <w:proofErr w:type="gramStart"/>
      <w:r w:rsidRPr="00497699">
        <w:rPr>
          <w:rFonts w:asciiTheme="minorHAnsi" w:hAnsiTheme="minorHAnsi" w:cs="Arial"/>
          <w:color w:val="221E1F"/>
          <w:lang w:eastAsia="en-US"/>
        </w:rPr>
        <w:t>;10</w:t>
      </w:r>
      <w:proofErr w:type="gramEnd"/>
      <w:r w:rsidRPr="00497699">
        <w:rPr>
          <w:rFonts w:asciiTheme="minorHAnsi" w:hAnsiTheme="minorHAnsi" w:cs="Arial"/>
          <w:color w:val="221E1F"/>
          <w:lang w:eastAsia="en-US"/>
        </w:rPr>
        <w:t>(2):134-46.</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Ljung R.The risk associated with indwelling catheters in children with hemophilia. </w:t>
      </w:r>
      <w:r w:rsidRPr="00497699">
        <w:rPr>
          <w:rFonts w:asciiTheme="minorHAnsi" w:hAnsiTheme="minorHAnsi" w:cs="Arial"/>
          <w:i/>
          <w:iCs/>
          <w:color w:val="221E1F"/>
          <w:lang w:eastAsia="en-US"/>
        </w:rPr>
        <w:t xml:space="preserve">Br J Haematol </w:t>
      </w:r>
      <w:r w:rsidRPr="00497699">
        <w:rPr>
          <w:rFonts w:asciiTheme="minorHAnsi" w:hAnsiTheme="minorHAnsi" w:cs="Arial"/>
          <w:color w:val="221E1F"/>
          <w:lang w:eastAsia="en-US"/>
        </w:rPr>
        <w:t>2007</w:t>
      </w:r>
      <w:proofErr w:type="gramStart"/>
      <w:r w:rsidRPr="00497699">
        <w:rPr>
          <w:rFonts w:asciiTheme="minorHAnsi" w:hAnsiTheme="minorHAnsi" w:cs="Arial"/>
          <w:color w:val="221E1F"/>
          <w:lang w:eastAsia="en-US"/>
        </w:rPr>
        <w:t>;138</w:t>
      </w:r>
      <w:proofErr w:type="gramEnd"/>
      <w:r w:rsidRPr="00497699">
        <w:rPr>
          <w:rFonts w:asciiTheme="minorHAnsi" w:hAnsiTheme="minorHAnsi" w:cs="Arial"/>
          <w:color w:val="221E1F"/>
          <w:lang w:eastAsia="en-US"/>
        </w:rPr>
        <w:t>(5):580-6.</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Ragni MV, Journeycake JM, Brambilla DJ. Tissue plasminogen activator to prevent central venous access device infections: a systematic review of central venous access catheter thrombosis, infection and thromboprophylaxis.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2008</w:t>
      </w:r>
      <w:proofErr w:type="gramStart"/>
      <w:r w:rsidRPr="00497699">
        <w:rPr>
          <w:rFonts w:asciiTheme="minorHAnsi" w:hAnsiTheme="minorHAnsi" w:cs="Arial"/>
          <w:color w:val="221E1F"/>
          <w:lang w:eastAsia="en-US"/>
        </w:rPr>
        <w:t>;14</w:t>
      </w:r>
      <w:proofErr w:type="gramEnd"/>
      <w:r w:rsidRPr="00497699">
        <w:rPr>
          <w:rFonts w:asciiTheme="minorHAnsi" w:hAnsiTheme="minorHAnsi" w:cs="Arial"/>
          <w:color w:val="221E1F"/>
          <w:lang w:eastAsia="en-US"/>
        </w:rPr>
        <w:t>(1):30-8.</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Su Y, Wong WY, Lail A, Donfield SM, Konzal S, Gomperts E; Hemophilia Growth And Development Study. Long-term major joint outcomes in young adults with hemophilia: interim data from the HGDS.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2007</w:t>
      </w:r>
      <w:proofErr w:type="gramStart"/>
      <w:r w:rsidRPr="00497699">
        <w:rPr>
          <w:rFonts w:asciiTheme="minorHAnsi" w:hAnsiTheme="minorHAnsi" w:cs="Arial"/>
          <w:color w:val="221E1F"/>
          <w:lang w:eastAsia="en-US"/>
        </w:rPr>
        <w:t>;13</w:t>
      </w:r>
      <w:proofErr w:type="gramEnd"/>
      <w:r w:rsidRPr="00497699">
        <w:rPr>
          <w:rFonts w:asciiTheme="minorHAnsi" w:hAnsiTheme="minorHAnsi" w:cs="Arial"/>
          <w:color w:val="221E1F"/>
          <w:lang w:eastAsia="en-US"/>
        </w:rPr>
        <w:t>(4):387-90.</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Hermans C, de Moerloose P, Fischer K, Holstein K, Klamroth R, Lambert T, et al; European Hemophilia Therapy Standardisation Board. Management of acute haemarthrosis in hemophilia A without inhibitors: literature review, European survey and recommendations.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2011</w:t>
      </w:r>
      <w:proofErr w:type="gramStart"/>
      <w:r w:rsidRPr="00497699">
        <w:rPr>
          <w:rFonts w:asciiTheme="minorHAnsi" w:hAnsiTheme="minorHAnsi" w:cs="Arial"/>
          <w:color w:val="221E1F"/>
          <w:lang w:eastAsia="en-US"/>
        </w:rPr>
        <w:t>;17</w:t>
      </w:r>
      <w:proofErr w:type="gramEnd"/>
      <w:r w:rsidRPr="00497699">
        <w:rPr>
          <w:rFonts w:asciiTheme="minorHAnsi" w:hAnsiTheme="minorHAnsi" w:cs="Arial"/>
          <w:color w:val="221E1F"/>
          <w:lang w:eastAsia="en-US"/>
        </w:rPr>
        <w:t xml:space="preserve">(3):383-92.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it-IT" w:eastAsia="en-US"/>
        </w:rPr>
        <w:t xml:space="preserve">Vallejo L, Pardo A, Gomis M, et al. </w:t>
      </w:r>
      <w:r w:rsidRPr="00497699">
        <w:rPr>
          <w:rFonts w:asciiTheme="minorHAnsi" w:hAnsiTheme="minorHAnsi" w:cs="Arial"/>
          <w:color w:val="221E1F"/>
          <w:lang w:eastAsia="en-US"/>
        </w:rPr>
        <w:t xml:space="preserve">Influence of aquatic training on the motor performance of patients with hemophilic arthropathy.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2010</w:t>
      </w:r>
      <w:proofErr w:type="gramStart"/>
      <w:r w:rsidRPr="00497699">
        <w:rPr>
          <w:rFonts w:asciiTheme="minorHAnsi" w:hAnsiTheme="minorHAnsi" w:cs="Arial"/>
          <w:color w:val="221E1F"/>
          <w:lang w:eastAsia="en-US"/>
        </w:rPr>
        <w:t>;16</w:t>
      </w:r>
      <w:proofErr w:type="gramEnd"/>
      <w:r w:rsidRPr="00497699">
        <w:rPr>
          <w:rFonts w:asciiTheme="minorHAnsi" w:hAnsiTheme="minorHAnsi" w:cs="Arial"/>
          <w:color w:val="221E1F"/>
          <w:lang w:eastAsia="en-US"/>
        </w:rPr>
        <w:t>(1):155-61.</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Rattray B, Nugent DJ, Young G. Celecoxib in the treatment of hemophilic synovitis, target joints, and pain in adults and children with hemophilia.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2006</w:t>
      </w:r>
      <w:proofErr w:type="gramStart"/>
      <w:r w:rsidRPr="00497699">
        <w:rPr>
          <w:rFonts w:asciiTheme="minorHAnsi" w:hAnsiTheme="minorHAnsi" w:cs="Arial"/>
          <w:color w:val="221E1F"/>
          <w:lang w:eastAsia="en-US"/>
        </w:rPr>
        <w:t>;12</w:t>
      </w:r>
      <w:proofErr w:type="gramEnd"/>
      <w:r w:rsidRPr="00497699">
        <w:rPr>
          <w:rFonts w:asciiTheme="minorHAnsi" w:hAnsiTheme="minorHAnsi" w:cs="Arial"/>
          <w:color w:val="221E1F"/>
          <w:lang w:eastAsia="en-US"/>
        </w:rPr>
        <w:t>(5):514-7.</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Tsoukas C, Eyster ME, Shingo S, et al. Evaluation of the efficacy and safety of etoricoxib in the treatment of hemophilic arthropathy. </w:t>
      </w:r>
      <w:r w:rsidRPr="00497699">
        <w:rPr>
          <w:rFonts w:asciiTheme="minorHAnsi" w:hAnsiTheme="minorHAnsi" w:cs="Arial"/>
          <w:i/>
          <w:iCs/>
          <w:color w:val="221E1F"/>
          <w:lang w:eastAsia="en-US"/>
        </w:rPr>
        <w:t xml:space="preserve">Blood </w:t>
      </w:r>
      <w:r w:rsidRPr="00497699">
        <w:rPr>
          <w:rFonts w:asciiTheme="minorHAnsi" w:hAnsiTheme="minorHAnsi" w:cs="Arial"/>
          <w:color w:val="221E1F"/>
          <w:lang w:eastAsia="en-US"/>
        </w:rPr>
        <w:t>2006</w:t>
      </w:r>
      <w:proofErr w:type="gramStart"/>
      <w:r w:rsidRPr="00497699">
        <w:rPr>
          <w:rFonts w:asciiTheme="minorHAnsi" w:hAnsiTheme="minorHAnsi" w:cs="Arial"/>
          <w:color w:val="221E1F"/>
          <w:lang w:eastAsia="en-US"/>
        </w:rPr>
        <w:t>;107</w:t>
      </w:r>
      <w:proofErr w:type="gramEnd"/>
      <w:r w:rsidRPr="00497699">
        <w:rPr>
          <w:rFonts w:asciiTheme="minorHAnsi" w:hAnsiTheme="minorHAnsi" w:cs="Arial"/>
          <w:color w:val="221E1F"/>
          <w:lang w:eastAsia="en-US"/>
        </w:rPr>
        <w:t>(5):1785-90.</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Eyster ME, Asaad SM, Gold BD, Cohn SE, Goedert JJ; Second Multicenter Hemophilia Study Group. Upper gastrointestinal bleeding in hemophiliacs: incidence and relation to use of non-steroidal anti-inflammatory drugs.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2007</w:t>
      </w:r>
      <w:proofErr w:type="gramStart"/>
      <w:r w:rsidRPr="00497699">
        <w:rPr>
          <w:rFonts w:asciiTheme="minorHAnsi" w:hAnsiTheme="minorHAnsi" w:cs="Arial"/>
          <w:color w:val="221E1F"/>
          <w:lang w:eastAsia="en-US"/>
        </w:rPr>
        <w:t>;13</w:t>
      </w:r>
      <w:proofErr w:type="gramEnd"/>
      <w:r w:rsidRPr="00497699">
        <w:rPr>
          <w:rFonts w:asciiTheme="minorHAnsi" w:hAnsiTheme="minorHAnsi" w:cs="Arial"/>
          <w:color w:val="221E1F"/>
          <w:lang w:eastAsia="en-US"/>
        </w:rPr>
        <w:t>(3):279-86.</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Rodriguez-Merchan EC. Musculoskeletal complications of hemophilia. </w:t>
      </w:r>
      <w:r w:rsidRPr="00497699">
        <w:rPr>
          <w:rFonts w:asciiTheme="minorHAnsi" w:hAnsiTheme="minorHAnsi" w:cs="Arial"/>
          <w:i/>
          <w:iCs/>
          <w:color w:val="221E1F"/>
          <w:lang w:eastAsia="en-US"/>
        </w:rPr>
        <w:t xml:space="preserve">HSSJ </w:t>
      </w:r>
      <w:r w:rsidRPr="00497699">
        <w:rPr>
          <w:rFonts w:asciiTheme="minorHAnsi" w:hAnsiTheme="minorHAnsi" w:cs="Arial"/>
          <w:color w:val="221E1F"/>
          <w:lang w:eastAsia="en-US"/>
        </w:rPr>
        <w:t>2010</w:t>
      </w:r>
      <w:proofErr w:type="gramStart"/>
      <w:r w:rsidRPr="00497699">
        <w:rPr>
          <w:rFonts w:asciiTheme="minorHAnsi" w:hAnsiTheme="minorHAnsi" w:cs="Arial"/>
          <w:color w:val="221E1F"/>
          <w:lang w:eastAsia="en-US"/>
        </w:rPr>
        <w:t>;6:37</w:t>
      </w:r>
      <w:proofErr w:type="gramEnd"/>
      <w:r w:rsidRPr="00497699">
        <w:rPr>
          <w:rFonts w:asciiTheme="minorHAnsi" w:hAnsiTheme="minorHAnsi" w:cs="Arial"/>
          <w:color w:val="221E1F"/>
          <w:lang w:eastAsia="en-US"/>
        </w:rPr>
        <w:t>-42.</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Batorova A, Martinowitz U. Intermittent injections vs. continuous infusion of factor VIII in hemophilia patients undergoing major surgery. </w:t>
      </w:r>
      <w:r w:rsidRPr="00497699">
        <w:rPr>
          <w:rFonts w:asciiTheme="minorHAnsi" w:hAnsiTheme="minorHAnsi" w:cs="Arial"/>
          <w:i/>
          <w:iCs/>
          <w:color w:val="221E1F"/>
          <w:lang w:eastAsia="en-US"/>
        </w:rPr>
        <w:t xml:space="preserve">Br J Haematol </w:t>
      </w:r>
      <w:r w:rsidRPr="00497699">
        <w:rPr>
          <w:rFonts w:asciiTheme="minorHAnsi" w:hAnsiTheme="minorHAnsi" w:cs="Arial"/>
          <w:color w:val="221E1F"/>
          <w:lang w:eastAsia="en-US"/>
        </w:rPr>
        <w:t>2000</w:t>
      </w:r>
      <w:proofErr w:type="gramStart"/>
      <w:r w:rsidRPr="00497699">
        <w:rPr>
          <w:rFonts w:asciiTheme="minorHAnsi" w:hAnsiTheme="minorHAnsi" w:cs="Arial"/>
          <w:color w:val="221E1F"/>
          <w:lang w:eastAsia="en-US"/>
        </w:rPr>
        <w:t>;110</w:t>
      </w:r>
      <w:proofErr w:type="gramEnd"/>
      <w:r w:rsidRPr="00497699">
        <w:rPr>
          <w:rFonts w:asciiTheme="minorHAnsi" w:hAnsiTheme="minorHAnsi" w:cs="Arial"/>
          <w:color w:val="221E1F"/>
          <w:lang w:eastAsia="en-US"/>
        </w:rPr>
        <w:t xml:space="preserve">(3):715-20.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Hermans C, Altisent C, Batorova A, et al.; European Hemophilia Therapy Standardisation Board. Replacement therapy for invasive procedures in patients with hemophilia: literature review, European survey and recommendations.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2009</w:t>
      </w:r>
      <w:proofErr w:type="gramStart"/>
      <w:r w:rsidRPr="00497699">
        <w:rPr>
          <w:rFonts w:asciiTheme="minorHAnsi" w:hAnsiTheme="minorHAnsi" w:cs="Arial"/>
          <w:color w:val="221E1F"/>
          <w:lang w:eastAsia="en-US"/>
        </w:rPr>
        <w:t>;15</w:t>
      </w:r>
      <w:proofErr w:type="gramEnd"/>
      <w:r w:rsidRPr="00497699">
        <w:rPr>
          <w:rFonts w:asciiTheme="minorHAnsi" w:hAnsiTheme="minorHAnsi" w:cs="Arial"/>
          <w:color w:val="221E1F"/>
          <w:lang w:eastAsia="en-US"/>
        </w:rPr>
        <w:t xml:space="preserve">(3):639-58.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Mathews V, Viswabandya A, Baidya S, George B, Nair S, Chandy M, Srivastava A. Surgery for hemophilia in developing countries. </w:t>
      </w:r>
      <w:r w:rsidRPr="00497699">
        <w:rPr>
          <w:rFonts w:asciiTheme="minorHAnsi" w:hAnsiTheme="minorHAnsi" w:cs="Arial"/>
          <w:i/>
          <w:iCs/>
          <w:color w:val="221E1F"/>
          <w:lang w:eastAsia="en-US"/>
        </w:rPr>
        <w:t xml:space="preserve">Semin Thromb Hemost </w:t>
      </w:r>
      <w:r w:rsidRPr="00497699">
        <w:rPr>
          <w:rFonts w:asciiTheme="minorHAnsi" w:hAnsiTheme="minorHAnsi" w:cs="Arial"/>
          <w:color w:val="221E1F"/>
          <w:lang w:eastAsia="en-US"/>
        </w:rPr>
        <w:t>2005</w:t>
      </w:r>
      <w:proofErr w:type="gramStart"/>
      <w:r w:rsidRPr="00497699">
        <w:rPr>
          <w:rFonts w:asciiTheme="minorHAnsi" w:hAnsiTheme="minorHAnsi" w:cs="Arial"/>
          <w:color w:val="221E1F"/>
          <w:lang w:eastAsia="en-US"/>
        </w:rPr>
        <w:t>;31</w:t>
      </w:r>
      <w:proofErr w:type="gramEnd"/>
      <w:r w:rsidRPr="00497699">
        <w:rPr>
          <w:rFonts w:asciiTheme="minorHAnsi" w:hAnsiTheme="minorHAnsi" w:cs="Arial"/>
          <w:color w:val="221E1F"/>
          <w:lang w:eastAsia="en-US"/>
        </w:rPr>
        <w:t xml:space="preserve">(5):538-43.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nl-NL" w:eastAsia="en-US"/>
        </w:rPr>
        <w:t xml:space="preserve">Teitel JM, Carcao M, Lillicrap D, et al. </w:t>
      </w:r>
      <w:r w:rsidRPr="00497699">
        <w:rPr>
          <w:rFonts w:asciiTheme="minorHAnsi" w:hAnsiTheme="minorHAnsi" w:cs="Arial"/>
          <w:color w:val="221E1F"/>
          <w:lang w:eastAsia="en-US"/>
        </w:rPr>
        <w:t xml:space="preserve">Orthopaedic surgery in hemophilia patients with inhibitors: a practical guide to hemostatic, surgical and rehabilitative care.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2009</w:t>
      </w:r>
      <w:proofErr w:type="gramStart"/>
      <w:r w:rsidRPr="00497699">
        <w:rPr>
          <w:rFonts w:asciiTheme="minorHAnsi" w:hAnsiTheme="minorHAnsi" w:cs="Arial"/>
          <w:color w:val="221E1F"/>
          <w:lang w:eastAsia="en-US"/>
        </w:rPr>
        <w:t>;15</w:t>
      </w:r>
      <w:proofErr w:type="gramEnd"/>
      <w:r w:rsidRPr="00497699">
        <w:rPr>
          <w:rFonts w:asciiTheme="minorHAnsi" w:hAnsiTheme="minorHAnsi" w:cs="Arial"/>
          <w:color w:val="221E1F"/>
          <w:lang w:eastAsia="en-US"/>
        </w:rPr>
        <w:t xml:space="preserve">(1):227-39.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041ED2">
        <w:rPr>
          <w:rFonts w:asciiTheme="minorHAnsi" w:hAnsiTheme="minorHAnsi" w:cs="Arial"/>
          <w:color w:val="221E1F"/>
          <w:lang w:val="fr-FR" w:eastAsia="en-US"/>
        </w:rPr>
        <w:t xml:space="preserve">Kempton CL, Soucie JM, Miller CH, et al. </w:t>
      </w:r>
      <w:r w:rsidRPr="00497699">
        <w:rPr>
          <w:rFonts w:asciiTheme="minorHAnsi" w:hAnsiTheme="minorHAnsi" w:cs="Arial"/>
          <w:color w:val="221E1F"/>
          <w:lang w:eastAsia="en-US"/>
        </w:rPr>
        <w:t xml:space="preserve">In non-severe hemophilia A the risk of inhibitor after intensive factor treatment is greater in older patients: a case-control study. </w:t>
      </w:r>
      <w:r w:rsidRPr="00497699">
        <w:rPr>
          <w:rFonts w:asciiTheme="minorHAnsi" w:hAnsiTheme="minorHAnsi" w:cs="Arial"/>
          <w:i/>
          <w:iCs/>
          <w:color w:val="221E1F"/>
          <w:lang w:eastAsia="en-US"/>
        </w:rPr>
        <w:t xml:space="preserve">J Thromb Hemost </w:t>
      </w:r>
      <w:r w:rsidRPr="00497699">
        <w:rPr>
          <w:rFonts w:asciiTheme="minorHAnsi" w:hAnsiTheme="minorHAnsi" w:cs="Arial"/>
          <w:color w:val="221E1F"/>
          <w:lang w:eastAsia="en-US"/>
        </w:rPr>
        <w:t>2010</w:t>
      </w:r>
      <w:proofErr w:type="gramStart"/>
      <w:r w:rsidRPr="00497699">
        <w:rPr>
          <w:rFonts w:asciiTheme="minorHAnsi" w:hAnsiTheme="minorHAnsi" w:cs="Arial"/>
          <w:color w:val="221E1F"/>
          <w:lang w:eastAsia="en-US"/>
        </w:rPr>
        <w:t>;8</w:t>
      </w:r>
      <w:proofErr w:type="gramEnd"/>
      <w:r w:rsidRPr="00497699">
        <w:rPr>
          <w:rFonts w:asciiTheme="minorHAnsi" w:hAnsiTheme="minorHAnsi" w:cs="Arial"/>
          <w:color w:val="221E1F"/>
          <w:lang w:eastAsia="en-US"/>
        </w:rPr>
        <w:t xml:space="preserve">(10):2224-31.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Eckhardt CL, Van der Bom JG, Van der Naald M, Peters M, Kamphuisen PW and Fijnvandraat K. Surgery and inhibitor development in hemophilia A: a systematic review. </w:t>
      </w:r>
      <w:r w:rsidRPr="00497699">
        <w:rPr>
          <w:rFonts w:asciiTheme="minorHAnsi" w:hAnsiTheme="minorHAnsi" w:cs="Arial"/>
          <w:i/>
          <w:iCs/>
          <w:color w:val="221E1F"/>
          <w:lang w:eastAsia="en-US"/>
        </w:rPr>
        <w:t xml:space="preserve">J Thromb Hemost </w:t>
      </w:r>
      <w:r w:rsidRPr="00497699">
        <w:rPr>
          <w:rFonts w:asciiTheme="minorHAnsi" w:hAnsiTheme="minorHAnsi" w:cs="Arial"/>
          <w:color w:val="221E1F"/>
          <w:lang w:eastAsia="en-US"/>
        </w:rPr>
        <w:t>2011</w:t>
      </w:r>
      <w:proofErr w:type="gramStart"/>
      <w:r w:rsidRPr="00497699">
        <w:rPr>
          <w:rFonts w:asciiTheme="minorHAnsi" w:hAnsiTheme="minorHAnsi" w:cs="Arial"/>
          <w:color w:val="221E1F"/>
          <w:lang w:eastAsia="en-US"/>
        </w:rPr>
        <w:t>;9:1948</w:t>
      </w:r>
      <w:proofErr w:type="gramEnd"/>
      <w:r w:rsidRPr="00497699">
        <w:rPr>
          <w:rFonts w:asciiTheme="minorHAnsi" w:hAnsiTheme="minorHAnsi" w:cs="Arial"/>
          <w:color w:val="221E1F"/>
          <w:lang w:eastAsia="en-US"/>
        </w:rPr>
        <w:t xml:space="preserve">–1958.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Friedman M, White B, Dougall AJ. An audit of the protocol for the management of patients with hereditary bleeding disorders undergoing dental treatment. </w:t>
      </w:r>
      <w:r w:rsidRPr="00497699">
        <w:rPr>
          <w:rFonts w:asciiTheme="minorHAnsi" w:hAnsiTheme="minorHAnsi" w:cs="Arial"/>
          <w:i/>
          <w:iCs/>
          <w:color w:val="221E1F"/>
          <w:lang w:eastAsia="en-US"/>
        </w:rPr>
        <w:t xml:space="preserve">J Disab Oral Health </w:t>
      </w:r>
      <w:r w:rsidRPr="00497699">
        <w:rPr>
          <w:rFonts w:asciiTheme="minorHAnsi" w:hAnsiTheme="minorHAnsi" w:cs="Arial"/>
          <w:color w:val="221E1F"/>
          <w:lang w:eastAsia="en-US"/>
        </w:rPr>
        <w:t>2009</w:t>
      </w:r>
      <w:proofErr w:type="gramStart"/>
      <w:r w:rsidRPr="00497699">
        <w:rPr>
          <w:rFonts w:asciiTheme="minorHAnsi" w:hAnsiTheme="minorHAnsi" w:cs="Arial"/>
          <w:color w:val="221E1F"/>
          <w:lang w:eastAsia="en-US"/>
        </w:rPr>
        <w:t>;10</w:t>
      </w:r>
      <w:proofErr w:type="gramEnd"/>
      <w:r w:rsidRPr="00497699">
        <w:rPr>
          <w:rFonts w:asciiTheme="minorHAnsi" w:hAnsiTheme="minorHAnsi" w:cs="Arial"/>
          <w:color w:val="221E1F"/>
          <w:lang w:eastAsia="en-US"/>
        </w:rPr>
        <w:t xml:space="preserve">(4):151-55.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de-DE" w:eastAsia="en-US"/>
        </w:rPr>
        <w:lastRenderedPageBreak/>
        <w:t xml:space="preserve">Frachon X, Pommereuil M, Berthier AM, et al. </w:t>
      </w:r>
      <w:r w:rsidRPr="00497699">
        <w:rPr>
          <w:rFonts w:asciiTheme="minorHAnsi" w:hAnsiTheme="minorHAnsi" w:cs="Arial"/>
          <w:color w:val="221E1F"/>
          <w:lang w:eastAsia="en-US"/>
        </w:rPr>
        <w:t xml:space="preserve">Management options for dental extraction in hemophiliacs: a study of 55 extractions (2000-2002). </w:t>
      </w:r>
      <w:r w:rsidRPr="00497699">
        <w:rPr>
          <w:rFonts w:asciiTheme="minorHAnsi" w:hAnsiTheme="minorHAnsi" w:cs="Arial"/>
          <w:i/>
          <w:iCs/>
          <w:color w:val="221E1F"/>
          <w:lang w:eastAsia="en-US"/>
        </w:rPr>
        <w:t xml:space="preserve">Oral Surg Oral Med Oral Pathol Oral Radiol Endod </w:t>
      </w:r>
      <w:r w:rsidRPr="00497699">
        <w:rPr>
          <w:rFonts w:asciiTheme="minorHAnsi" w:hAnsiTheme="minorHAnsi" w:cs="Arial"/>
          <w:color w:val="221E1F"/>
          <w:lang w:eastAsia="en-US"/>
        </w:rPr>
        <w:t>2005</w:t>
      </w:r>
      <w:proofErr w:type="gramStart"/>
      <w:r w:rsidRPr="00497699">
        <w:rPr>
          <w:rFonts w:asciiTheme="minorHAnsi" w:hAnsiTheme="minorHAnsi" w:cs="Arial"/>
          <w:color w:val="221E1F"/>
          <w:lang w:eastAsia="en-US"/>
        </w:rPr>
        <w:t>;99</w:t>
      </w:r>
      <w:proofErr w:type="gramEnd"/>
      <w:r w:rsidRPr="00497699">
        <w:rPr>
          <w:rFonts w:asciiTheme="minorHAnsi" w:hAnsiTheme="minorHAnsi" w:cs="Arial"/>
          <w:color w:val="221E1F"/>
          <w:lang w:eastAsia="en-US"/>
        </w:rPr>
        <w:t xml:space="preserve">(3):270-5.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Hewson I, Makhmalbaf P, Street A, et al. Dental surgery with minimal factor support in the inherited bleeding disorder population at the Alfred Hospital.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2011</w:t>
      </w:r>
      <w:proofErr w:type="gramStart"/>
      <w:r w:rsidRPr="00497699">
        <w:rPr>
          <w:rFonts w:asciiTheme="minorHAnsi" w:hAnsiTheme="minorHAnsi" w:cs="Arial"/>
          <w:color w:val="221E1F"/>
          <w:lang w:eastAsia="en-US"/>
        </w:rPr>
        <w:t>;17</w:t>
      </w:r>
      <w:proofErr w:type="gramEnd"/>
      <w:r w:rsidRPr="00497699">
        <w:rPr>
          <w:rFonts w:asciiTheme="minorHAnsi" w:hAnsiTheme="minorHAnsi" w:cs="Arial"/>
          <w:color w:val="221E1F"/>
          <w:lang w:eastAsia="en-US"/>
        </w:rPr>
        <w:t xml:space="preserve">(1):e185-8.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Coetzee MJ. The use of topical crushed tranexamic acid tablets to control bleeding after dental surgery and from skin ulcers in hemophilia.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2007</w:t>
      </w:r>
      <w:proofErr w:type="gramStart"/>
      <w:r w:rsidRPr="00497699">
        <w:rPr>
          <w:rFonts w:asciiTheme="minorHAnsi" w:hAnsiTheme="minorHAnsi" w:cs="Arial"/>
          <w:color w:val="221E1F"/>
          <w:lang w:eastAsia="en-US"/>
        </w:rPr>
        <w:t>;13</w:t>
      </w:r>
      <w:proofErr w:type="gramEnd"/>
      <w:r w:rsidRPr="00497699">
        <w:rPr>
          <w:rFonts w:asciiTheme="minorHAnsi" w:hAnsiTheme="minorHAnsi" w:cs="Arial"/>
          <w:color w:val="221E1F"/>
          <w:lang w:eastAsia="en-US"/>
        </w:rPr>
        <w:t xml:space="preserve">(4):443-4.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val="it-IT" w:eastAsia="en-US"/>
        </w:rPr>
        <w:t xml:space="preserve">Franchini M, Rossetti G, Tagliaferri A, et al. </w:t>
      </w:r>
      <w:r w:rsidRPr="00497699">
        <w:rPr>
          <w:rFonts w:asciiTheme="minorHAnsi" w:hAnsiTheme="minorHAnsi" w:cs="Arial"/>
          <w:color w:val="221E1F"/>
          <w:lang w:eastAsia="en-US"/>
        </w:rPr>
        <w:t xml:space="preserve">Dental procedures in adult patients with hereditary bleeding disorders: 10 years experience in three Italian Hemophilia Centers. </w:t>
      </w:r>
      <w:r w:rsidRPr="00497699">
        <w:rPr>
          <w:rFonts w:asciiTheme="minorHAnsi" w:hAnsiTheme="minorHAnsi" w:cs="Arial"/>
          <w:i/>
          <w:iCs/>
          <w:color w:val="221E1F"/>
          <w:lang w:eastAsia="en-US"/>
        </w:rPr>
        <w:t xml:space="preserve">Hemophilia </w:t>
      </w:r>
      <w:r w:rsidRPr="00497699">
        <w:rPr>
          <w:rFonts w:asciiTheme="minorHAnsi" w:hAnsiTheme="minorHAnsi" w:cs="Arial"/>
          <w:color w:val="221E1F"/>
          <w:lang w:eastAsia="en-US"/>
        </w:rPr>
        <w:t>2005</w:t>
      </w:r>
      <w:proofErr w:type="gramStart"/>
      <w:r w:rsidRPr="00497699">
        <w:rPr>
          <w:rFonts w:asciiTheme="minorHAnsi" w:hAnsiTheme="minorHAnsi" w:cs="Arial"/>
          <w:color w:val="221E1F"/>
          <w:lang w:eastAsia="en-US"/>
        </w:rPr>
        <w:t>;11:504</w:t>
      </w:r>
      <w:proofErr w:type="gramEnd"/>
      <w:r w:rsidRPr="00497699">
        <w:rPr>
          <w:rFonts w:asciiTheme="minorHAnsi" w:hAnsiTheme="minorHAnsi" w:cs="Arial"/>
          <w:color w:val="221E1F"/>
          <w:lang w:eastAsia="en-US"/>
        </w:rPr>
        <w:t xml:space="preserve">–9.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Brewer A. </w:t>
      </w:r>
      <w:r w:rsidRPr="00497699">
        <w:rPr>
          <w:rFonts w:asciiTheme="minorHAnsi" w:hAnsiTheme="minorHAnsi" w:cs="Arial"/>
          <w:i/>
          <w:iCs/>
          <w:color w:val="221E1F"/>
          <w:lang w:eastAsia="en-US"/>
        </w:rPr>
        <w:t>Dental Management of Patients with Inhibitors to Factor VIII or Factor IX</w:t>
      </w:r>
      <w:r w:rsidRPr="00497699">
        <w:rPr>
          <w:rFonts w:asciiTheme="minorHAnsi" w:hAnsiTheme="minorHAnsi" w:cs="Arial"/>
          <w:color w:val="221E1F"/>
          <w:lang w:eastAsia="en-US"/>
        </w:rPr>
        <w:t xml:space="preserve">. </w:t>
      </w:r>
      <w:proofErr w:type="gramStart"/>
      <w:r w:rsidRPr="00497699">
        <w:rPr>
          <w:rFonts w:asciiTheme="minorHAnsi" w:hAnsiTheme="minorHAnsi" w:cs="Arial"/>
          <w:color w:val="221E1F"/>
          <w:lang w:eastAsia="en-US"/>
        </w:rPr>
        <w:t>Treatment of Hemophilia monograph</w:t>
      </w:r>
      <w:proofErr w:type="gramEnd"/>
      <w:r w:rsidRPr="00497699">
        <w:rPr>
          <w:rFonts w:asciiTheme="minorHAnsi" w:hAnsiTheme="minorHAnsi" w:cs="Arial"/>
          <w:color w:val="221E1F"/>
          <w:lang w:eastAsia="en-US"/>
        </w:rPr>
        <w:t xml:space="preserve"> no 45. Montreal: World Federation of Hemophilia, 2008.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White GC 2nd, Rosendaal F, Aledort LM, Lusher JM, Rothschild C, Ingerslev J. Definitions in hemophilia. Recommendation of the scientific subcommittee on factor VIII and factor IX of the scientific and standardization committee of the International Society on Thrombosis and Hemostasis. </w:t>
      </w:r>
      <w:r w:rsidRPr="00497699">
        <w:rPr>
          <w:rFonts w:asciiTheme="minorHAnsi" w:hAnsiTheme="minorHAnsi" w:cs="Arial"/>
          <w:i/>
          <w:iCs/>
          <w:color w:val="221E1F"/>
          <w:lang w:eastAsia="en-US"/>
        </w:rPr>
        <w:t xml:space="preserve">Thromb Hemost </w:t>
      </w:r>
      <w:r w:rsidRPr="00497699">
        <w:rPr>
          <w:rFonts w:asciiTheme="minorHAnsi" w:hAnsiTheme="minorHAnsi" w:cs="Arial"/>
          <w:color w:val="221E1F"/>
          <w:lang w:eastAsia="en-US"/>
        </w:rPr>
        <w:t>2001</w:t>
      </w:r>
      <w:proofErr w:type="gramStart"/>
      <w:r w:rsidRPr="00497699">
        <w:rPr>
          <w:rFonts w:asciiTheme="minorHAnsi" w:hAnsiTheme="minorHAnsi" w:cs="Arial"/>
          <w:color w:val="221E1F"/>
          <w:lang w:eastAsia="en-US"/>
        </w:rPr>
        <w:t>;85</w:t>
      </w:r>
      <w:proofErr w:type="gramEnd"/>
      <w:r w:rsidRPr="00497699">
        <w:rPr>
          <w:rFonts w:asciiTheme="minorHAnsi" w:hAnsiTheme="minorHAnsi" w:cs="Arial"/>
          <w:color w:val="221E1F"/>
          <w:lang w:eastAsia="en-US"/>
        </w:rPr>
        <w:t xml:space="preserve">(3):560.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Aronstam A, Rainsford SG, Painter MJ. Patterns of bleeding in adolescents with severe hemophilia A. </w:t>
      </w:r>
      <w:r w:rsidRPr="00497699">
        <w:rPr>
          <w:rFonts w:asciiTheme="minorHAnsi" w:hAnsiTheme="minorHAnsi" w:cs="Arial"/>
          <w:i/>
          <w:iCs/>
          <w:color w:val="221E1F"/>
          <w:lang w:eastAsia="en-US"/>
        </w:rPr>
        <w:t xml:space="preserve">Br Med J </w:t>
      </w:r>
      <w:r w:rsidRPr="00497699">
        <w:rPr>
          <w:rFonts w:asciiTheme="minorHAnsi" w:hAnsiTheme="minorHAnsi" w:cs="Arial"/>
          <w:color w:val="221E1F"/>
          <w:lang w:eastAsia="en-US"/>
        </w:rPr>
        <w:t>1979</w:t>
      </w:r>
      <w:proofErr w:type="gramStart"/>
      <w:r w:rsidRPr="00497699">
        <w:rPr>
          <w:rFonts w:asciiTheme="minorHAnsi" w:hAnsiTheme="minorHAnsi" w:cs="Arial"/>
          <w:color w:val="221E1F"/>
          <w:lang w:eastAsia="en-US"/>
        </w:rPr>
        <w:t>;1</w:t>
      </w:r>
      <w:proofErr w:type="gramEnd"/>
      <w:r w:rsidRPr="00497699">
        <w:rPr>
          <w:rFonts w:asciiTheme="minorHAnsi" w:hAnsiTheme="minorHAnsi" w:cs="Arial"/>
          <w:color w:val="221E1F"/>
          <w:lang w:eastAsia="en-US"/>
        </w:rPr>
        <w:t xml:space="preserve">(6161):469-70. </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 xml:space="preserve">Definitions in hemophilia. Recommendations of the scientific subcommittee on factor VIII and factor IX of the scientific and standardization committee of the International Society on Thrombosis and Hemostasis. </w:t>
      </w:r>
      <w:r w:rsidRPr="00497699">
        <w:rPr>
          <w:rFonts w:asciiTheme="minorHAnsi" w:hAnsiTheme="minorHAnsi" w:cs="Arial"/>
          <w:i/>
          <w:iCs/>
          <w:color w:val="221E1F"/>
          <w:lang w:eastAsia="en-US"/>
        </w:rPr>
        <w:t xml:space="preserve">JTH </w:t>
      </w:r>
      <w:r w:rsidRPr="00497699">
        <w:rPr>
          <w:rFonts w:asciiTheme="minorHAnsi" w:hAnsiTheme="minorHAnsi" w:cs="Arial"/>
          <w:color w:val="221E1F"/>
          <w:lang w:eastAsia="en-US"/>
        </w:rPr>
        <w:t>2012 (in press).</w:t>
      </w:r>
    </w:p>
    <w:p w:rsidR="00E928C0" w:rsidRPr="00497699" w:rsidRDefault="00E928C0" w:rsidP="00041ED2">
      <w:pPr>
        <w:numPr>
          <w:ilvl w:val="0"/>
          <w:numId w:val="18"/>
        </w:numPr>
        <w:autoSpaceDE w:val="0"/>
        <w:autoSpaceDN w:val="0"/>
        <w:adjustRightInd w:val="0"/>
        <w:spacing w:after="0" w:line="276" w:lineRule="auto"/>
        <w:ind w:left="567" w:right="557" w:hanging="567"/>
        <w:rPr>
          <w:rFonts w:asciiTheme="minorHAnsi" w:hAnsiTheme="minorHAnsi" w:cs="Arial"/>
          <w:color w:val="221E1F"/>
          <w:lang w:eastAsia="en-US"/>
        </w:rPr>
      </w:pPr>
      <w:r w:rsidRPr="00497699">
        <w:rPr>
          <w:rFonts w:asciiTheme="minorHAnsi" w:hAnsiTheme="minorHAnsi" w:cs="Arial"/>
          <w:color w:val="221E1F"/>
          <w:lang w:eastAsia="en-US"/>
        </w:rPr>
        <w:t>ABDR Annual Report 2012-13</w:t>
      </w:r>
    </w:p>
    <w:p w:rsidR="00E928C0" w:rsidRDefault="00E928C0">
      <w:pPr>
        <w:spacing w:after="200" w:line="276" w:lineRule="auto"/>
        <w:ind w:left="0"/>
      </w:pPr>
      <w:r>
        <w:br w:type="page"/>
      </w:r>
    </w:p>
    <w:p w:rsidR="004B5AE5" w:rsidRPr="00041ED2" w:rsidRDefault="004B5AE5" w:rsidP="00041ED2">
      <w:pPr>
        <w:pStyle w:val="Heading2"/>
        <w:rPr>
          <w:rStyle w:val="A8"/>
          <w:color w:val="FF0000"/>
          <w:sz w:val="32"/>
        </w:rPr>
      </w:pPr>
      <w:bookmarkStart w:id="19" w:name="_Toc431484312"/>
      <w:r w:rsidRPr="00214A6A">
        <w:rPr>
          <w:rStyle w:val="A8"/>
          <w:color w:val="FF0000"/>
          <w:sz w:val="108"/>
          <w:szCs w:val="108"/>
        </w:rPr>
        <w:lastRenderedPageBreak/>
        <w:t xml:space="preserve">2 </w:t>
      </w:r>
      <w:r w:rsidRPr="00041ED2">
        <w:rPr>
          <w:rStyle w:val="A8"/>
          <w:color w:val="FF0000"/>
          <w:sz w:val="32"/>
        </w:rPr>
        <w:t>SPECIAL MANAGEMENT ISSUES</w:t>
      </w:r>
      <w:bookmarkEnd w:id="19"/>
    </w:p>
    <w:p w:rsidR="004B5AE5" w:rsidRPr="001D421A" w:rsidRDefault="004B5AE5" w:rsidP="004B5AE5">
      <w:pPr>
        <w:pStyle w:val="Default"/>
        <w:spacing w:after="222"/>
        <w:rPr>
          <w:rStyle w:val="A8"/>
          <w:rFonts w:asciiTheme="minorHAnsi" w:hAnsiTheme="minorHAnsi"/>
          <w:b/>
          <w:bCs/>
        </w:rPr>
      </w:pPr>
      <w:r w:rsidRPr="001D421A">
        <w:rPr>
          <w:rFonts w:asciiTheme="minorHAnsi" w:hAnsiTheme="minorHAnsi"/>
          <w:b/>
          <w:bCs/>
          <w:color w:val="000000" w:themeColor="text1"/>
          <w:sz w:val="32"/>
          <w:szCs w:val="32"/>
        </w:rPr>
        <w:t>Key practice 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8183"/>
      </w:tblGrid>
      <w:tr w:rsidR="004B5AE5" w:rsidRPr="001D421A" w:rsidTr="00041ED2">
        <w:tc>
          <w:tcPr>
            <w:tcW w:w="811" w:type="dxa"/>
            <w:shd w:val="clear" w:color="auto" w:fill="DBE5F1" w:themeFill="accent1" w:themeFillTint="33"/>
          </w:tcPr>
          <w:p w:rsidR="004B5AE5" w:rsidRPr="001D421A" w:rsidRDefault="004B5AE5" w:rsidP="004B5AE5">
            <w:pPr>
              <w:rPr>
                <w:rFonts w:asciiTheme="minorHAnsi" w:hAnsiTheme="minorHAnsi"/>
                <w:b/>
              </w:rPr>
            </w:pPr>
            <w:r w:rsidRPr="001D421A">
              <w:rPr>
                <w:rStyle w:val="A8"/>
                <w:rFonts w:asciiTheme="minorHAnsi" w:eastAsia="Calibri" w:hAnsiTheme="minorHAnsi"/>
                <w:b/>
                <w:color w:val="221E1F"/>
                <w:sz w:val="22"/>
                <w:szCs w:val="24"/>
                <w:lang w:eastAsia="en-US"/>
              </w:rPr>
              <w:t>No.</w:t>
            </w:r>
          </w:p>
        </w:tc>
        <w:tc>
          <w:tcPr>
            <w:tcW w:w="8936" w:type="dxa"/>
            <w:shd w:val="clear" w:color="auto" w:fill="DBE5F1" w:themeFill="accent1" w:themeFillTint="33"/>
          </w:tcPr>
          <w:p w:rsidR="004B5AE5" w:rsidRPr="001D421A" w:rsidRDefault="004B5AE5" w:rsidP="00041ED2">
            <w:pPr>
              <w:ind w:left="194"/>
              <w:rPr>
                <w:rStyle w:val="A8"/>
                <w:rFonts w:asciiTheme="minorHAnsi" w:eastAsia="Calibri" w:hAnsiTheme="minorHAnsi" w:cs="Arial"/>
                <w:b/>
                <w:color w:val="221E1F"/>
                <w:sz w:val="22"/>
                <w:szCs w:val="24"/>
                <w:lang w:eastAsia="en-US"/>
              </w:rPr>
            </w:pPr>
            <w:r w:rsidRPr="001D421A">
              <w:rPr>
                <w:rStyle w:val="A8"/>
                <w:rFonts w:asciiTheme="minorHAnsi" w:eastAsia="Calibri" w:hAnsiTheme="minorHAnsi"/>
                <w:b/>
                <w:color w:val="221E1F"/>
                <w:sz w:val="22"/>
                <w:szCs w:val="24"/>
                <w:lang w:eastAsia="en-US"/>
              </w:rPr>
              <w:t>Key Practice Point</w:t>
            </w:r>
          </w:p>
          <w:p w:rsidR="004B5AE5" w:rsidRPr="001D421A" w:rsidRDefault="004B5AE5" w:rsidP="00041ED2">
            <w:pPr>
              <w:ind w:left="194"/>
              <w:rPr>
                <w:rFonts w:asciiTheme="minorHAnsi" w:hAnsiTheme="minorHAnsi"/>
                <w:b/>
              </w:rPr>
            </w:pPr>
          </w:p>
        </w:tc>
      </w:tr>
      <w:tr w:rsidR="004B5AE5" w:rsidRPr="001D421A" w:rsidTr="00041ED2">
        <w:tc>
          <w:tcPr>
            <w:tcW w:w="811"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2.1</w:t>
            </w:r>
          </w:p>
        </w:tc>
        <w:tc>
          <w:tcPr>
            <w:tcW w:w="8936" w:type="dxa"/>
          </w:tcPr>
          <w:p w:rsidR="004B5AE5" w:rsidRPr="001D421A" w:rsidRDefault="004B5AE5" w:rsidP="00041ED2">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Women who are carriers of the haemophilia gene may have reduced clotting factor levels and an increased risk of bleeding. Such women should have their clotting factor level documented.</w:t>
            </w:r>
          </w:p>
        </w:tc>
      </w:tr>
      <w:tr w:rsidR="004B5AE5" w:rsidRPr="001D421A" w:rsidTr="00041ED2">
        <w:tc>
          <w:tcPr>
            <w:tcW w:w="811"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2.2</w:t>
            </w:r>
          </w:p>
        </w:tc>
        <w:tc>
          <w:tcPr>
            <w:tcW w:w="8936" w:type="dxa"/>
          </w:tcPr>
          <w:p w:rsidR="004B5AE5" w:rsidRPr="001D421A" w:rsidRDefault="004B5AE5" w:rsidP="00041ED2">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Active intervention may be required to reduce bleeding risk in haemophilia carriers with reduced clotting factor levels, particularly around invasive procedures.</w:t>
            </w:r>
          </w:p>
        </w:tc>
      </w:tr>
      <w:tr w:rsidR="004B5AE5" w:rsidRPr="001D421A" w:rsidTr="00041ED2">
        <w:tc>
          <w:tcPr>
            <w:tcW w:w="811"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2.3</w:t>
            </w:r>
          </w:p>
        </w:tc>
        <w:tc>
          <w:tcPr>
            <w:tcW w:w="8936" w:type="dxa"/>
          </w:tcPr>
          <w:p w:rsidR="004B5AE5" w:rsidRPr="001D421A" w:rsidRDefault="004B5AE5" w:rsidP="00041ED2">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 xml:space="preserve">Genetic counselling should be offered to all individuals with haemophilia, carriers and their partners as part of routine care.  </w:t>
            </w:r>
          </w:p>
        </w:tc>
      </w:tr>
      <w:tr w:rsidR="004B5AE5" w:rsidRPr="001D421A" w:rsidTr="00041ED2">
        <w:tc>
          <w:tcPr>
            <w:tcW w:w="811"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2.4</w:t>
            </w:r>
          </w:p>
        </w:tc>
        <w:tc>
          <w:tcPr>
            <w:tcW w:w="8936" w:type="dxa"/>
          </w:tcPr>
          <w:p w:rsidR="004B5AE5" w:rsidRPr="001D421A" w:rsidRDefault="004B5AE5" w:rsidP="00041ED2">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Genetic testing may also help with assessing individual risk of inhibitor development.</w:t>
            </w:r>
          </w:p>
        </w:tc>
      </w:tr>
      <w:tr w:rsidR="004B5AE5" w:rsidRPr="001D421A" w:rsidTr="00041ED2">
        <w:tc>
          <w:tcPr>
            <w:tcW w:w="811"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2.5</w:t>
            </w:r>
          </w:p>
        </w:tc>
        <w:tc>
          <w:tcPr>
            <w:tcW w:w="8936" w:type="dxa"/>
          </w:tcPr>
          <w:p w:rsidR="004B5AE5" w:rsidRPr="001D421A" w:rsidRDefault="004B5AE5" w:rsidP="00041ED2">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 xml:space="preserve">Delivery of infants with known or suspected haemophilia should be atraumatic and forceps delivery or vacuum extraction should be avoided. Ideally delivery should occur in hospitals with a “high risk” obstetric service, in close liaison with a haemophilia treatment centre. </w:t>
            </w:r>
          </w:p>
        </w:tc>
      </w:tr>
      <w:tr w:rsidR="004B5AE5" w:rsidRPr="001D421A" w:rsidTr="00041ED2">
        <w:tc>
          <w:tcPr>
            <w:tcW w:w="811"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2.6</w:t>
            </w:r>
          </w:p>
        </w:tc>
        <w:tc>
          <w:tcPr>
            <w:tcW w:w="8936" w:type="dxa"/>
          </w:tcPr>
          <w:p w:rsidR="004B5AE5" w:rsidRPr="001D421A" w:rsidRDefault="004B5AE5" w:rsidP="00041ED2">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Social work review is a central component of haemophilia management.</w:t>
            </w:r>
          </w:p>
        </w:tc>
      </w:tr>
      <w:tr w:rsidR="004B5AE5" w:rsidRPr="001D421A" w:rsidTr="00041ED2">
        <w:tc>
          <w:tcPr>
            <w:tcW w:w="811"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2.7</w:t>
            </w:r>
          </w:p>
        </w:tc>
        <w:tc>
          <w:tcPr>
            <w:tcW w:w="8936" w:type="dxa"/>
          </w:tcPr>
          <w:p w:rsidR="004B5AE5" w:rsidRPr="001D421A" w:rsidRDefault="004B5AE5" w:rsidP="00041ED2">
            <w:pPr>
              <w:spacing w:before="40" w:after="40" w:line="276" w:lineRule="auto"/>
              <w:ind w:left="194"/>
              <w:rPr>
                <w:rStyle w:val="A8"/>
                <w:rFonts w:asciiTheme="minorHAnsi" w:eastAsia="Calibri" w:hAnsiTheme="minorHAnsi"/>
                <w:color w:val="221E1F"/>
                <w:sz w:val="22"/>
                <w:szCs w:val="24"/>
                <w:lang w:eastAsia="en-US"/>
              </w:rPr>
            </w:pPr>
            <w:r w:rsidRPr="001D421A">
              <w:rPr>
                <w:rStyle w:val="A8"/>
                <w:rFonts w:asciiTheme="minorHAnsi" w:eastAsia="Calibri" w:hAnsiTheme="minorHAnsi"/>
                <w:color w:val="221E1F"/>
                <w:sz w:val="22"/>
                <w:szCs w:val="24"/>
                <w:lang w:eastAsia="en-US"/>
              </w:rPr>
              <w:t xml:space="preserve">Individuals with haemophilia are at risk of common age related diseases. Monitoring and appropriate treatment of these conditions in liaison with the </w:t>
            </w:r>
            <w:proofErr w:type="gramStart"/>
            <w:r w:rsidRPr="001D421A">
              <w:rPr>
                <w:rStyle w:val="A8"/>
                <w:rFonts w:asciiTheme="minorHAnsi" w:eastAsia="Calibri" w:hAnsiTheme="minorHAnsi"/>
                <w:color w:val="221E1F"/>
                <w:sz w:val="22"/>
                <w:szCs w:val="24"/>
                <w:lang w:eastAsia="en-US"/>
              </w:rPr>
              <w:t>patients</w:t>
            </w:r>
            <w:proofErr w:type="gramEnd"/>
            <w:r w:rsidRPr="001D421A">
              <w:rPr>
                <w:rStyle w:val="A8"/>
                <w:rFonts w:asciiTheme="minorHAnsi" w:eastAsia="Calibri" w:hAnsiTheme="minorHAnsi"/>
                <w:color w:val="221E1F"/>
                <w:sz w:val="22"/>
                <w:szCs w:val="24"/>
                <w:lang w:eastAsia="en-US"/>
              </w:rPr>
              <w:t xml:space="preserve"> general practitioner is an important component of clinical care.</w:t>
            </w:r>
          </w:p>
        </w:tc>
      </w:tr>
    </w:tbl>
    <w:p w:rsidR="004504DE" w:rsidRDefault="004504DE" w:rsidP="00041ED2">
      <w:pPr>
        <w:pStyle w:val="Default"/>
        <w:spacing w:after="222"/>
        <w:ind w:right="557"/>
        <w:rPr>
          <w:rStyle w:val="A8"/>
          <w:rFonts w:asciiTheme="minorHAnsi" w:hAnsiTheme="minorHAnsi" w:cs="Tahoma"/>
          <w:b/>
          <w:bCs/>
          <w:color w:val="000000" w:themeColor="text1"/>
          <w:szCs w:val="22"/>
          <w:lang w:eastAsia="en-AU"/>
        </w:rPr>
      </w:pPr>
    </w:p>
    <w:p w:rsidR="004B5AE5" w:rsidRPr="002C1CD8" w:rsidRDefault="004B5AE5" w:rsidP="00041ED2">
      <w:pPr>
        <w:pStyle w:val="Default"/>
        <w:spacing w:after="222"/>
        <w:ind w:right="557"/>
        <w:rPr>
          <w:rStyle w:val="A8"/>
          <w:rFonts w:asciiTheme="minorHAnsi" w:hAnsiTheme="minorHAnsi" w:cs="Tahoma"/>
          <w:b/>
          <w:bCs/>
          <w:color w:val="000000" w:themeColor="text1"/>
          <w:szCs w:val="22"/>
          <w:lang w:eastAsia="en-AU"/>
        </w:rPr>
      </w:pPr>
      <w:r w:rsidRPr="002C1CD8">
        <w:rPr>
          <w:rStyle w:val="A8"/>
          <w:rFonts w:asciiTheme="minorHAnsi" w:hAnsiTheme="minorHAnsi"/>
          <w:b/>
          <w:bCs/>
          <w:color w:val="000000" w:themeColor="text1"/>
        </w:rPr>
        <w:t xml:space="preserve">Significant changes from the original WFH Guidelines </w:t>
      </w:r>
    </w:p>
    <w:p w:rsidR="004B5AE5" w:rsidRDefault="004B5AE5" w:rsidP="00041ED2">
      <w:pPr>
        <w:pStyle w:val="Default"/>
        <w:numPr>
          <w:ilvl w:val="0"/>
          <w:numId w:val="42"/>
        </w:numPr>
        <w:spacing w:after="222"/>
        <w:ind w:left="567" w:right="557" w:hanging="567"/>
        <w:rPr>
          <w:rStyle w:val="A8"/>
          <w:rFonts w:asciiTheme="minorHAnsi" w:hAnsiTheme="minorHAnsi" w:cs="Tahoma"/>
          <w:bCs/>
          <w:color w:val="000000" w:themeColor="text1"/>
          <w:sz w:val="24"/>
          <w:szCs w:val="22"/>
          <w:lang w:eastAsia="en-AU"/>
        </w:rPr>
      </w:pPr>
      <w:r>
        <w:rPr>
          <w:rStyle w:val="A8"/>
          <w:rFonts w:asciiTheme="minorHAnsi" w:hAnsiTheme="minorHAnsi"/>
          <w:bCs/>
          <w:color w:val="000000" w:themeColor="text1"/>
          <w:sz w:val="24"/>
        </w:rPr>
        <w:t>It is emphasised that genetic testing should be offered to all at risk female family members to facilitate genetic counselling.</w:t>
      </w:r>
    </w:p>
    <w:p w:rsidR="004B5AE5" w:rsidRDefault="004B5AE5" w:rsidP="00041ED2">
      <w:pPr>
        <w:pStyle w:val="Default"/>
        <w:numPr>
          <w:ilvl w:val="0"/>
          <w:numId w:val="42"/>
        </w:numPr>
        <w:spacing w:after="222"/>
        <w:ind w:left="567" w:right="557" w:hanging="567"/>
        <w:rPr>
          <w:rStyle w:val="A8"/>
          <w:rFonts w:asciiTheme="minorHAnsi" w:hAnsiTheme="minorHAnsi" w:cs="Tahoma"/>
          <w:bCs/>
          <w:color w:val="000000" w:themeColor="text1"/>
          <w:sz w:val="24"/>
          <w:szCs w:val="22"/>
          <w:lang w:eastAsia="en-AU"/>
        </w:rPr>
      </w:pPr>
      <w:r>
        <w:rPr>
          <w:rStyle w:val="A8"/>
          <w:rFonts w:asciiTheme="minorHAnsi" w:hAnsiTheme="minorHAnsi"/>
          <w:bCs/>
          <w:color w:val="000000" w:themeColor="text1"/>
          <w:sz w:val="24"/>
        </w:rPr>
        <w:t xml:space="preserve">The likely future </w:t>
      </w:r>
      <w:proofErr w:type="gramStart"/>
      <w:r>
        <w:rPr>
          <w:rStyle w:val="A8"/>
          <w:rFonts w:asciiTheme="minorHAnsi" w:hAnsiTheme="minorHAnsi"/>
          <w:bCs/>
          <w:color w:val="000000" w:themeColor="text1"/>
          <w:sz w:val="24"/>
        </w:rPr>
        <w:t>role of non-invasive methods to determine fetal gender are</w:t>
      </w:r>
      <w:proofErr w:type="gramEnd"/>
      <w:r>
        <w:rPr>
          <w:rStyle w:val="A8"/>
          <w:rFonts w:asciiTheme="minorHAnsi" w:hAnsiTheme="minorHAnsi"/>
          <w:bCs/>
          <w:color w:val="000000" w:themeColor="text1"/>
          <w:sz w:val="24"/>
        </w:rPr>
        <w:t xml:space="preserve"> highlighted.</w:t>
      </w:r>
    </w:p>
    <w:p w:rsidR="004B5AE5" w:rsidRDefault="004B5AE5" w:rsidP="00041ED2">
      <w:pPr>
        <w:pStyle w:val="Default"/>
        <w:numPr>
          <w:ilvl w:val="0"/>
          <w:numId w:val="42"/>
        </w:numPr>
        <w:spacing w:after="222"/>
        <w:ind w:left="567" w:right="557" w:hanging="567"/>
        <w:rPr>
          <w:rStyle w:val="A8"/>
          <w:rFonts w:asciiTheme="minorHAnsi" w:hAnsiTheme="minorHAnsi" w:cs="Tahoma"/>
          <w:bCs/>
          <w:color w:val="000000" w:themeColor="text1"/>
          <w:sz w:val="24"/>
          <w:szCs w:val="22"/>
          <w:lang w:eastAsia="en-AU"/>
        </w:rPr>
      </w:pPr>
      <w:r>
        <w:rPr>
          <w:rStyle w:val="A8"/>
          <w:rFonts w:asciiTheme="minorHAnsi" w:hAnsiTheme="minorHAnsi"/>
          <w:bCs/>
          <w:color w:val="000000" w:themeColor="text1"/>
          <w:sz w:val="24"/>
        </w:rPr>
        <w:t xml:space="preserve">The recommended age for CVS is altered to be consistent with local guidelines. </w:t>
      </w:r>
    </w:p>
    <w:p w:rsidR="004B5AE5" w:rsidRDefault="004B5AE5" w:rsidP="00041ED2">
      <w:pPr>
        <w:pStyle w:val="Default"/>
        <w:numPr>
          <w:ilvl w:val="0"/>
          <w:numId w:val="42"/>
        </w:numPr>
        <w:spacing w:after="222"/>
        <w:ind w:left="567" w:right="557" w:hanging="567"/>
        <w:rPr>
          <w:rFonts w:asciiTheme="minorHAnsi" w:hAnsiTheme="minorHAnsi"/>
          <w:bCs/>
          <w:color w:val="000000" w:themeColor="text1"/>
        </w:rPr>
      </w:pPr>
      <w:r w:rsidRPr="00D10E64">
        <w:rPr>
          <w:rFonts w:asciiTheme="minorHAnsi" w:hAnsiTheme="minorHAnsi"/>
          <w:bCs/>
          <w:color w:val="000000" w:themeColor="text1"/>
          <w:szCs w:val="28"/>
        </w:rPr>
        <w:t>Delivery of haemophilia carriers should ideally occur in hospitals with a “high risk” obstetric service, a paediatric unit, and a HTC. This is particularly the case if it is likely the offspring may have a severe bleeding disorder.</w:t>
      </w:r>
    </w:p>
    <w:p w:rsidR="004B5AE5" w:rsidRPr="00413A54" w:rsidRDefault="004B5AE5" w:rsidP="00041ED2">
      <w:pPr>
        <w:pStyle w:val="Default"/>
        <w:numPr>
          <w:ilvl w:val="0"/>
          <w:numId w:val="42"/>
        </w:numPr>
        <w:spacing w:after="222"/>
        <w:ind w:left="567" w:right="557" w:hanging="567"/>
        <w:rPr>
          <w:rFonts w:asciiTheme="minorHAnsi" w:hAnsiTheme="minorHAnsi"/>
          <w:bCs/>
          <w:color w:val="000000" w:themeColor="text1"/>
        </w:rPr>
      </w:pPr>
      <w:r w:rsidRPr="00D10E64">
        <w:rPr>
          <w:rFonts w:asciiTheme="minorHAnsi" w:hAnsiTheme="minorHAnsi"/>
          <w:bCs/>
          <w:color w:val="000000" w:themeColor="text1"/>
          <w:szCs w:val="28"/>
        </w:rPr>
        <w:t>It is</w:t>
      </w:r>
      <w:r w:rsidRPr="00413A54">
        <w:rPr>
          <w:rFonts w:asciiTheme="minorHAnsi" w:hAnsiTheme="minorHAnsi"/>
          <w:bCs/>
          <w:color w:val="000000" w:themeColor="text1"/>
          <w:szCs w:val="28"/>
        </w:rPr>
        <w:t xml:space="preserve"> recommended that dosing of obese patients should be based on ideal body weight.</w:t>
      </w:r>
      <w:r w:rsidRPr="00413A54">
        <w:rPr>
          <w:rFonts w:asciiTheme="minorHAnsi" w:hAnsiTheme="minorHAnsi"/>
          <w:bCs/>
          <w:color w:val="000000" w:themeColor="text1"/>
          <w:szCs w:val="28"/>
        </w:rPr>
        <w:br w:type="page"/>
      </w:r>
    </w:p>
    <w:p w:rsidR="004B5AE5" w:rsidRPr="00041ED2" w:rsidRDefault="004B5AE5" w:rsidP="00041ED2">
      <w:pPr>
        <w:pStyle w:val="Heading3"/>
        <w:rPr>
          <w:rStyle w:val="A8"/>
          <w:color w:val="FF0000"/>
        </w:rPr>
      </w:pPr>
      <w:bookmarkStart w:id="20" w:name="_Toc431484313"/>
      <w:r w:rsidRPr="00041ED2">
        <w:rPr>
          <w:rStyle w:val="A8"/>
          <w:color w:val="FF0000"/>
        </w:rPr>
        <w:lastRenderedPageBreak/>
        <w:t>2.1 Carriers</w:t>
      </w:r>
      <w:bookmarkEnd w:id="20"/>
      <w:r w:rsidRPr="00041ED2">
        <w:rPr>
          <w:rStyle w:val="A8"/>
          <w:color w:val="FF0000"/>
        </w:rPr>
        <w:t xml:space="preserve"> </w:t>
      </w: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2.1.1 </w:t>
      </w:r>
      <w:r w:rsidRPr="001D421A">
        <w:rPr>
          <w:rStyle w:val="A8"/>
          <w:rFonts w:asciiTheme="minorHAnsi" w:hAnsiTheme="minorHAnsi"/>
          <w:color w:val="221E1F"/>
          <w:sz w:val="22"/>
        </w:rPr>
        <w:tab/>
      </w:r>
      <w:r w:rsidRPr="001D421A">
        <w:rPr>
          <w:rStyle w:val="A8"/>
          <w:rFonts w:asciiTheme="minorHAnsi" w:hAnsiTheme="minorHAnsi"/>
          <w:color w:val="221E1F"/>
          <w:sz w:val="22"/>
        </w:rPr>
        <w:tab/>
        <w:t>Haemophilia is an X-linked disord</w:t>
      </w:r>
      <w:r>
        <w:rPr>
          <w:rStyle w:val="A8"/>
          <w:rFonts w:asciiTheme="minorHAnsi" w:hAnsiTheme="minorHAnsi"/>
          <w:color w:val="221E1F"/>
          <w:sz w:val="22"/>
        </w:rPr>
        <w:t>er that typically affects males, while f</w:t>
      </w:r>
      <w:r w:rsidRPr="001D421A">
        <w:rPr>
          <w:rStyle w:val="A8"/>
          <w:rFonts w:asciiTheme="minorHAnsi" w:hAnsiTheme="minorHAnsi"/>
          <w:color w:val="221E1F"/>
          <w:sz w:val="22"/>
        </w:rPr>
        <w:t>emales</w:t>
      </w:r>
      <w:r>
        <w:rPr>
          <w:rStyle w:val="A8"/>
          <w:rFonts w:asciiTheme="minorHAnsi" w:hAnsiTheme="minorHAnsi"/>
          <w:color w:val="221E1F"/>
          <w:sz w:val="22"/>
        </w:rPr>
        <w:t xml:space="preserve"> </w:t>
      </w:r>
      <w:r w:rsidRPr="001D421A">
        <w:rPr>
          <w:rStyle w:val="A8"/>
          <w:rFonts w:asciiTheme="minorHAnsi" w:hAnsiTheme="minorHAnsi"/>
          <w:color w:val="221E1F"/>
          <w:sz w:val="22"/>
        </w:rPr>
        <w:t xml:space="preserve">are </w:t>
      </w:r>
      <w:r>
        <w:rPr>
          <w:rStyle w:val="A8"/>
          <w:rFonts w:asciiTheme="minorHAnsi" w:hAnsiTheme="minorHAnsi"/>
          <w:color w:val="221E1F"/>
          <w:sz w:val="22"/>
        </w:rPr>
        <w:t xml:space="preserve">normally classified as </w:t>
      </w:r>
      <w:r w:rsidRPr="001D421A">
        <w:rPr>
          <w:rStyle w:val="A8"/>
          <w:rFonts w:asciiTheme="minorHAnsi" w:hAnsiTheme="minorHAnsi"/>
          <w:color w:val="221E1F"/>
          <w:sz w:val="22"/>
        </w:rPr>
        <w:t xml:space="preserve">carriers. </w:t>
      </w:r>
      <w:r>
        <w:rPr>
          <w:rStyle w:val="A8"/>
          <w:rFonts w:asciiTheme="minorHAnsi" w:hAnsiTheme="minorHAnsi"/>
          <w:color w:val="221E1F"/>
          <w:sz w:val="22"/>
        </w:rPr>
        <w:t xml:space="preserve">It is important to note than affected males will pass on the haemophilia gene to their daughters, and that women carrying a factor F8 or F9 gene mutation may have reduced factor levels and as such should be classified as having haemophilia.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13" w:hanging="11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2.1.2 </w:t>
      </w:r>
      <w:r w:rsidRPr="001D421A">
        <w:rPr>
          <w:rStyle w:val="A8"/>
          <w:rFonts w:asciiTheme="minorHAnsi" w:hAnsiTheme="minorHAnsi"/>
          <w:color w:val="221E1F"/>
          <w:sz w:val="22"/>
        </w:rPr>
        <w:tab/>
      </w:r>
      <w:r w:rsidRPr="001D421A">
        <w:rPr>
          <w:rStyle w:val="A8"/>
          <w:rFonts w:asciiTheme="minorHAnsi" w:hAnsiTheme="minorHAnsi"/>
          <w:color w:val="221E1F"/>
          <w:sz w:val="22"/>
        </w:rPr>
        <w:tab/>
        <w:t xml:space="preserve">Obligate carriers are: </w:t>
      </w:r>
    </w:p>
    <w:p w:rsidR="004B5AE5" w:rsidRPr="001D421A" w:rsidRDefault="004B5AE5" w:rsidP="004B5AE5">
      <w:pPr>
        <w:pStyle w:val="Default"/>
        <w:spacing w:line="276" w:lineRule="auto"/>
        <w:ind w:left="113"/>
        <w:rPr>
          <w:rStyle w:val="A8"/>
          <w:rFonts w:asciiTheme="minorHAnsi" w:hAnsiTheme="minorHAnsi"/>
          <w:color w:val="221E1F"/>
          <w:sz w:val="22"/>
        </w:rPr>
      </w:pPr>
    </w:p>
    <w:p w:rsidR="004B5AE5" w:rsidRPr="001D421A" w:rsidRDefault="004B5AE5" w:rsidP="004B5AE5">
      <w:pPr>
        <w:pStyle w:val="Default"/>
        <w:numPr>
          <w:ilvl w:val="0"/>
          <w:numId w:val="44"/>
        </w:numPr>
        <w:spacing w:line="276" w:lineRule="auto"/>
        <w:ind w:left="1701" w:hanging="284"/>
        <w:rPr>
          <w:rFonts w:asciiTheme="minorHAnsi" w:hAnsiTheme="minorHAnsi" w:cs="Arial"/>
          <w:szCs w:val="22"/>
        </w:rPr>
      </w:pPr>
      <w:r w:rsidRPr="001D421A">
        <w:rPr>
          <w:rStyle w:val="A8"/>
          <w:rFonts w:asciiTheme="minorHAnsi" w:hAnsiTheme="minorHAnsi"/>
          <w:color w:val="221E1F"/>
          <w:sz w:val="22"/>
        </w:rPr>
        <w:t>daughters of a male with haemophilia</w:t>
      </w:r>
      <w:r w:rsidRPr="001D421A">
        <w:rPr>
          <w:rFonts w:asciiTheme="minorHAnsi" w:hAnsiTheme="minorHAnsi" w:cs="Arial"/>
          <w:szCs w:val="22"/>
        </w:rPr>
        <w:t xml:space="preserve"> </w:t>
      </w:r>
    </w:p>
    <w:p w:rsidR="004B5AE5" w:rsidRPr="001D421A" w:rsidRDefault="004B5AE5" w:rsidP="004B5AE5">
      <w:pPr>
        <w:pStyle w:val="Default"/>
        <w:numPr>
          <w:ilvl w:val="0"/>
          <w:numId w:val="44"/>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 xml:space="preserve">mothers of one son with haemophilia and </w:t>
      </w:r>
      <w:r w:rsidR="00C83A3F">
        <w:rPr>
          <w:rStyle w:val="A8"/>
          <w:rFonts w:asciiTheme="minorHAnsi" w:hAnsiTheme="minorHAnsi"/>
          <w:color w:val="221E1F"/>
          <w:sz w:val="22"/>
        </w:rPr>
        <w:t xml:space="preserve">who have at least one other </w:t>
      </w:r>
      <w:r w:rsidRPr="001D421A">
        <w:rPr>
          <w:rStyle w:val="A8"/>
          <w:rFonts w:asciiTheme="minorHAnsi" w:hAnsiTheme="minorHAnsi"/>
          <w:color w:val="221E1F"/>
          <w:sz w:val="22"/>
        </w:rPr>
        <w:t xml:space="preserve">family member with haemophilia </w:t>
      </w:r>
    </w:p>
    <w:p w:rsidR="004B5AE5" w:rsidRPr="001D421A" w:rsidRDefault="004B5AE5" w:rsidP="004B5AE5">
      <w:pPr>
        <w:pStyle w:val="Default"/>
        <w:numPr>
          <w:ilvl w:val="0"/>
          <w:numId w:val="44"/>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 xml:space="preserve">mothers of one son with haemophilia and who have a family member who is a  known carrier of the haemophilia gene </w:t>
      </w:r>
    </w:p>
    <w:p w:rsidR="004B5AE5" w:rsidRPr="001D421A" w:rsidRDefault="004B5AE5" w:rsidP="004B5AE5">
      <w:pPr>
        <w:pStyle w:val="Default"/>
        <w:numPr>
          <w:ilvl w:val="0"/>
          <w:numId w:val="44"/>
        </w:numPr>
        <w:spacing w:line="276" w:lineRule="auto"/>
        <w:ind w:left="1701" w:hanging="284"/>
        <w:rPr>
          <w:rStyle w:val="A8"/>
          <w:rFonts w:asciiTheme="minorHAnsi" w:hAnsiTheme="minorHAnsi"/>
          <w:color w:val="221E1F"/>
          <w:sz w:val="22"/>
        </w:rPr>
      </w:pPr>
      <w:proofErr w:type="gramStart"/>
      <w:r w:rsidRPr="001D421A">
        <w:rPr>
          <w:rStyle w:val="A8"/>
          <w:rFonts w:asciiTheme="minorHAnsi" w:hAnsiTheme="minorHAnsi"/>
          <w:color w:val="221E1F"/>
          <w:sz w:val="22"/>
        </w:rPr>
        <w:t>mothers</w:t>
      </w:r>
      <w:proofErr w:type="gramEnd"/>
      <w:r w:rsidRPr="001D421A">
        <w:rPr>
          <w:rStyle w:val="A8"/>
          <w:rFonts w:asciiTheme="minorHAnsi" w:hAnsiTheme="minorHAnsi"/>
          <w:color w:val="221E1F"/>
          <w:sz w:val="22"/>
        </w:rPr>
        <w:t xml:space="preserve"> of two or more sons with haemophilia. </w:t>
      </w:r>
    </w:p>
    <w:p w:rsidR="004B5AE5" w:rsidRPr="001D421A" w:rsidRDefault="004B5AE5" w:rsidP="004B5AE5">
      <w:pPr>
        <w:pStyle w:val="Default"/>
        <w:spacing w:line="276" w:lineRule="auto"/>
        <w:ind w:left="833" w:firstLine="607"/>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2.1.3 </w:t>
      </w:r>
      <w:r w:rsidRPr="001D421A">
        <w:rPr>
          <w:rStyle w:val="A8"/>
          <w:rFonts w:asciiTheme="minorHAnsi" w:hAnsiTheme="minorHAnsi"/>
          <w:color w:val="221E1F"/>
          <w:sz w:val="22"/>
        </w:rPr>
        <w:tab/>
      </w:r>
      <w:r w:rsidRPr="001D421A">
        <w:rPr>
          <w:rStyle w:val="A8"/>
          <w:rFonts w:asciiTheme="minorHAnsi" w:hAnsiTheme="minorHAnsi"/>
          <w:color w:val="221E1F"/>
          <w:sz w:val="22"/>
        </w:rPr>
        <w:tab/>
        <w:t xml:space="preserve">The expected mean clotting factor level in carriers of haemophilia is 50% of the levels found in the healthy population. </w:t>
      </w:r>
      <w:r w:rsidRPr="001D421A">
        <w:rPr>
          <w:rStyle w:val="A8"/>
          <w:rFonts w:asciiTheme="minorHAnsi" w:hAnsiTheme="minorHAnsi"/>
          <w:color w:val="221E1F"/>
          <w:sz w:val="22"/>
          <w:vertAlign w:val="superscript"/>
        </w:rPr>
        <w:t>[1</w:t>
      </w:r>
      <w:proofErr w:type="gramStart"/>
      <w:r w:rsidRPr="001D421A">
        <w:rPr>
          <w:rStyle w:val="A8"/>
          <w:rFonts w:asciiTheme="minorHAnsi" w:hAnsiTheme="minorHAnsi"/>
          <w:color w:val="221E1F"/>
          <w:sz w:val="22"/>
          <w:vertAlign w:val="superscript"/>
        </w:rPr>
        <w:t>,2</w:t>
      </w:r>
      <w:proofErr w:type="gramEnd"/>
      <w:r w:rsidRPr="001D421A">
        <w:rPr>
          <w:rStyle w:val="A8"/>
          <w:rFonts w:asciiTheme="minorHAnsi" w:hAnsiTheme="minorHAnsi"/>
          <w:color w:val="221E1F"/>
          <w:sz w:val="22"/>
          <w:vertAlign w:val="superscript"/>
        </w:rPr>
        <w:t>]</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jc w:val="both"/>
        <w:rPr>
          <w:rStyle w:val="A8"/>
          <w:rFonts w:asciiTheme="minorHAnsi" w:hAnsiTheme="minorHAnsi"/>
          <w:color w:val="221E1F"/>
          <w:sz w:val="22"/>
        </w:rPr>
      </w:pPr>
    </w:p>
    <w:p w:rsidR="004B5AE5" w:rsidRPr="001D421A" w:rsidRDefault="004B5AE5" w:rsidP="00041ED2">
      <w:pPr>
        <w:pStyle w:val="Default"/>
        <w:spacing w:line="276" w:lineRule="auto"/>
        <w:ind w:left="113" w:hanging="11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2.1.4 </w:t>
      </w:r>
      <w:r w:rsidRPr="001D421A">
        <w:rPr>
          <w:rStyle w:val="A8"/>
          <w:rFonts w:asciiTheme="minorHAnsi" w:hAnsiTheme="minorHAnsi"/>
          <w:color w:val="221E1F"/>
          <w:sz w:val="22"/>
        </w:rPr>
        <w:tab/>
      </w:r>
      <w:r w:rsidRPr="001D421A">
        <w:rPr>
          <w:rStyle w:val="A8"/>
          <w:rFonts w:asciiTheme="minorHAnsi" w:hAnsiTheme="minorHAnsi"/>
          <w:color w:val="221E1F"/>
          <w:sz w:val="22"/>
        </w:rPr>
        <w:tab/>
        <w:t xml:space="preserve">Most carriers are asymptomatic. </w:t>
      </w:r>
    </w:p>
    <w:p w:rsidR="004B5AE5" w:rsidRPr="001D421A" w:rsidRDefault="004B5AE5" w:rsidP="004B5AE5">
      <w:pPr>
        <w:pStyle w:val="Default"/>
        <w:spacing w:line="276" w:lineRule="auto"/>
        <w:ind w:left="113"/>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2.1.5 </w:t>
      </w:r>
      <w:r w:rsidRPr="001D421A">
        <w:rPr>
          <w:rStyle w:val="A8"/>
          <w:rFonts w:asciiTheme="minorHAnsi" w:hAnsiTheme="minorHAnsi"/>
          <w:color w:val="221E1F"/>
          <w:sz w:val="22"/>
        </w:rPr>
        <w:tab/>
      </w:r>
      <w:r w:rsidRPr="001D421A">
        <w:rPr>
          <w:rStyle w:val="A8"/>
          <w:rFonts w:asciiTheme="minorHAnsi" w:hAnsiTheme="minorHAnsi"/>
          <w:color w:val="221E1F"/>
          <w:sz w:val="22"/>
        </w:rPr>
        <w:tab/>
        <w:t xml:space="preserve">Carriers with clotting factor levels of 40-60% of normal may have an increased bleeding tendency, although this may not correlate well with factor level. </w:t>
      </w:r>
      <w:r w:rsidRPr="001D421A" w:rsidDel="005968D8">
        <w:rPr>
          <w:rStyle w:val="A8"/>
          <w:rFonts w:asciiTheme="minorHAnsi" w:hAnsiTheme="minorHAnsi"/>
          <w:color w:val="221E1F"/>
          <w:sz w:val="22"/>
          <w:vertAlign w:val="superscript"/>
        </w:rPr>
        <w:t>[</w:t>
      </w:r>
      <w:r w:rsidRPr="001D421A">
        <w:rPr>
          <w:rStyle w:val="A8"/>
          <w:rFonts w:asciiTheme="minorHAnsi" w:hAnsiTheme="minorHAnsi"/>
          <w:color w:val="221E1F"/>
          <w:sz w:val="22"/>
          <w:vertAlign w:val="superscript"/>
        </w:rPr>
        <w:t>3]</w:t>
      </w:r>
    </w:p>
    <w:p w:rsidR="004B5AE5" w:rsidRPr="001D421A" w:rsidRDefault="004B5AE5" w:rsidP="004B5AE5">
      <w:pPr>
        <w:pStyle w:val="Default"/>
        <w:spacing w:line="276" w:lineRule="auto"/>
        <w:ind w:left="113"/>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2.1.6</w:t>
      </w:r>
      <w:r w:rsidRPr="001D421A">
        <w:rPr>
          <w:rStyle w:val="A8"/>
          <w:rFonts w:asciiTheme="minorHAnsi" w:hAnsiTheme="minorHAnsi"/>
          <w:color w:val="221E1F"/>
          <w:sz w:val="22"/>
        </w:rPr>
        <w:tab/>
      </w:r>
      <w:r w:rsidRPr="001D421A">
        <w:rPr>
          <w:rStyle w:val="A8"/>
          <w:rFonts w:asciiTheme="minorHAnsi" w:hAnsiTheme="minorHAnsi"/>
          <w:color w:val="221E1F"/>
          <w:sz w:val="22"/>
        </w:rPr>
        <w:tab/>
        <w:t>Some carriers may have clotting factor levels in the range seen in males with haemophilia — mostly in the mild cate</w:t>
      </w:r>
      <w:r w:rsidRPr="001D421A">
        <w:rPr>
          <w:rStyle w:val="A8"/>
          <w:rFonts w:asciiTheme="minorHAnsi" w:hAnsiTheme="minorHAnsi"/>
          <w:color w:val="221E1F"/>
          <w:sz w:val="22"/>
        </w:rPr>
        <w:softHyphen/>
        <w:t>gory (5-40%) —but in rare instances, carriers can be in the moderate or severe range due to extreme lyoniza</w:t>
      </w:r>
      <w:r w:rsidRPr="001D421A">
        <w:rPr>
          <w:rStyle w:val="A8"/>
          <w:rFonts w:asciiTheme="minorHAnsi" w:hAnsiTheme="minorHAnsi"/>
          <w:color w:val="221E1F"/>
          <w:sz w:val="22"/>
        </w:rPr>
        <w:softHyphen/>
        <w:t xml:space="preserve">tion.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2.1.7</w:t>
      </w:r>
      <w:r w:rsidRPr="001D421A">
        <w:rPr>
          <w:rStyle w:val="A8"/>
          <w:rFonts w:asciiTheme="minorHAnsi" w:hAnsiTheme="minorHAnsi"/>
          <w:color w:val="221E1F"/>
          <w:sz w:val="22"/>
        </w:rPr>
        <w:tab/>
      </w:r>
      <w:r w:rsidRPr="001D421A">
        <w:rPr>
          <w:rStyle w:val="A8"/>
          <w:rFonts w:asciiTheme="minorHAnsi" w:hAnsiTheme="minorHAnsi"/>
          <w:color w:val="221E1F"/>
          <w:sz w:val="22"/>
        </w:rPr>
        <w:tab/>
        <w:t>Carriers with clotting factor levels in the haemo</w:t>
      </w:r>
      <w:r w:rsidRPr="001D421A">
        <w:rPr>
          <w:rStyle w:val="A8"/>
          <w:rFonts w:asciiTheme="minorHAnsi" w:hAnsiTheme="minorHAnsi"/>
          <w:color w:val="221E1F"/>
          <w:sz w:val="22"/>
        </w:rPr>
        <w:softHyphen/>
        <w:t xml:space="preserve">philia range may be symptomatic with bleeding manifestations commensurate with their degree of clotting factor deficiency, particularly during trauma and surgery. </w:t>
      </w:r>
      <w:r w:rsidRPr="001D421A">
        <w:rPr>
          <w:rStyle w:val="A8"/>
          <w:rFonts w:asciiTheme="minorHAnsi" w:hAnsiTheme="minorHAnsi"/>
          <w:color w:val="221E1F"/>
          <w:sz w:val="22"/>
          <w:vertAlign w:val="superscript"/>
        </w:rPr>
        <w:t>[3]</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2.1.8 </w:t>
      </w:r>
      <w:r w:rsidRPr="001D421A">
        <w:rPr>
          <w:rStyle w:val="A8"/>
          <w:rFonts w:asciiTheme="minorHAnsi" w:hAnsiTheme="minorHAnsi"/>
          <w:color w:val="221E1F"/>
          <w:sz w:val="22"/>
        </w:rPr>
        <w:tab/>
      </w:r>
      <w:r w:rsidRPr="001D421A">
        <w:rPr>
          <w:rStyle w:val="A8"/>
          <w:rFonts w:asciiTheme="minorHAnsi" w:hAnsiTheme="minorHAnsi"/>
          <w:color w:val="221E1F"/>
          <w:sz w:val="22"/>
        </w:rPr>
        <w:tab/>
        <w:t>Menorrhagia and bleeding after medical interven</w:t>
      </w:r>
      <w:r w:rsidRPr="001D421A">
        <w:rPr>
          <w:rStyle w:val="A8"/>
          <w:rFonts w:asciiTheme="minorHAnsi" w:hAnsiTheme="minorHAnsi"/>
          <w:color w:val="221E1F"/>
          <w:sz w:val="22"/>
        </w:rPr>
        <w:softHyphen/>
        <w:t xml:space="preserve">tions are the most common manifestations among </w:t>
      </w:r>
      <w:r>
        <w:rPr>
          <w:rStyle w:val="A8"/>
          <w:rFonts w:asciiTheme="minorHAnsi" w:hAnsiTheme="minorHAnsi"/>
          <w:color w:val="221E1F"/>
          <w:sz w:val="22"/>
        </w:rPr>
        <w:t>women</w:t>
      </w:r>
      <w:r w:rsidRPr="001D421A">
        <w:rPr>
          <w:rStyle w:val="A8"/>
          <w:rFonts w:asciiTheme="minorHAnsi" w:hAnsiTheme="minorHAnsi"/>
          <w:color w:val="221E1F"/>
          <w:sz w:val="22"/>
        </w:rPr>
        <w:t xml:space="preserve"> with significantly low factor levels. </w:t>
      </w:r>
      <w:r w:rsidRPr="001D421A">
        <w:rPr>
          <w:rStyle w:val="A8"/>
          <w:rFonts w:asciiTheme="minorHAnsi" w:hAnsiTheme="minorHAnsi"/>
          <w:color w:val="221E1F"/>
          <w:sz w:val="22"/>
          <w:vertAlign w:val="superscript"/>
        </w:rPr>
        <w:t>[3]</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2.1.9 </w:t>
      </w:r>
      <w:r w:rsidRPr="001D421A">
        <w:rPr>
          <w:rStyle w:val="A8"/>
          <w:rFonts w:asciiTheme="minorHAnsi" w:hAnsiTheme="minorHAnsi"/>
          <w:color w:val="221E1F"/>
          <w:sz w:val="22"/>
        </w:rPr>
        <w:tab/>
      </w:r>
      <w:r w:rsidRPr="001D421A">
        <w:rPr>
          <w:rStyle w:val="A8"/>
          <w:rFonts w:asciiTheme="minorHAnsi" w:hAnsiTheme="minorHAnsi"/>
          <w:color w:val="221E1F"/>
          <w:sz w:val="22"/>
        </w:rPr>
        <w:tab/>
      </w:r>
      <w:r w:rsidRPr="0030775C">
        <w:rPr>
          <w:rStyle w:val="A8"/>
          <w:rFonts w:asciiTheme="minorHAnsi" w:hAnsiTheme="minorHAnsi"/>
          <w:b/>
          <w:color w:val="221E1F"/>
          <w:sz w:val="22"/>
        </w:rPr>
        <w:t>Carriers with low clotting factor levels should be categorised as having haemophilia of appropriate severity and managed accordingly.</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2.1.10 </w:t>
      </w:r>
      <w:r w:rsidRPr="001D421A">
        <w:rPr>
          <w:rStyle w:val="A8"/>
          <w:rFonts w:asciiTheme="minorHAnsi" w:hAnsiTheme="minorHAnsi"/>
          <w:color w:val="221E1F"/>
          <w:sz w:val="22"/>
        </w:rPr>
        <w:tab/>
        <w:t xml:space="preserve">Use of the oral contraceptive pill and tranexamic acid may be useful in controlling symptoms of menorrhagia. In women with persistent menorrhagia despite these measures consideration should be given to use of Mirena intrauterine device. Use of desmopressin may also be beneficial in some women. </w:t>
      </w:r>
    </w:p>
    <w:p w:rsidR="004B5AE5" w:rsidRPr="001D421A" w:rsidRDefault="004B5AE5" w:rsidP="004B5AE5">
      <w:pPr>
        <w:pStyle w:val="Default"/>
        <w:spacing w:line="276" w:lineRule="auto"/>
        <w:ind w:left="113"/>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2.1.11</w:t>
      </w:r>
      <w:r w:rsidRPr="001D421A">
        <w:rPr>
          <w:rStyle w:val="A8"/>
          <w:rFonts w:asciiTheme="minorHAnsi" w:hAnsiTheme="minorHAnsi"/>
          <w:color w:val="221E1F"/>
          <w:sz w:val="22"/>
        </w:rPr>
        <w:tab/>
        <w:t>Levels of factor VIII increase significantly in preg</w:t>
      </w:r>
      <w:r w:rsidRPr="001D421A">
        <w:rPr>
          <w:rStyle w:val="A8"/>
          <w:rFonts w:asciiTheme="minorHAnsi" w:hAnsiTheme="minorHAnsi"/>
          <w:color w:val="221E1F"/>
          <w:sz w:val="22"/>
        </w:rPr>
        <w:softHyphen/>
        <w:t xml:space="preserve">nancy. Levels of factor IX, however, do not usually change significantly. </w:t>
      </w:r>
      <w:r w:rsidRPr="001D421A">
        <w:rPr>
          <w:rStyle w:val="A8"/>
          <w:rFonts w:asciiTheme="minorHAnsi" w:hAnsiTheme="minorHAnsi"/>
          <w:color w:val="221E1F"/>
          <w:sz w:val="22"/>
          <w:vertAlign w:val="superscript"/>
        </w:rPr>
        <w:t>[4]</w:t>
      </w:r>
    </w:p>
    <w:p w:rsidR="004B5AE5" w:rsidRPr="001D421A" w:rsidRDefault="004B5AE5" w:rsidP="004B5AE5">
      <w:pPr>
        <w:pStyle w:val="Default"/>
        <w:spacing w:line="276" w:lineRule="auto"/>
        <w:ind w:left="113"/>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2.1.12</w:t>
      </w:r>
      <w:r w:rsidRPr="001D421A">
        <w:rPr>
          <w:rStyle w:val="A8"/>
          <w:rFonts w:asciiTheme="minorHAnsi" w:hAnsiTheme="minorHAnsi"/>
          <w:color w:val="221E1F"/>
          <w:sz w:val="22"/>
        </w:rPr>
        <w:tab/>
      </w:r>
      <w:proofErr w:type="gramStart"/>
      <w:r w:rsidRPr="001D421A">
        <w:rPr>
          <w:rStyle w:val="A8"/>
          <w:rFonts w:asciiTheme="minorHAnsi" w:hAnsiTheme="minorHAnsi"/>
          <w:b/>
          <w:color w:val="221E1F"/>
          <w:sz w:val="22"/>
        </w:rPr>
        <w:t>Immediate</w:t>
      </w:r>
      <w:proofErr w:type="gramEnd"/>
      <w:r w:rsidRPr="001D421A">
        <w:rPr>
          <w:rStyle w:val="A8"/>
          <w:rFonts w:asciiTheme="minorHAnsi" w:hAnsiTheme="minorHAnsi"/>
          <w:b/>
          <w:color w:val="221E1F"/>
          <w:sz w:val="22"/>
        </w:rPr>
        <w:t xml:space="preserve"> female relatives (mother, sisters, and daughters) of a person with haemophilia should have their clotting factor level checked, especially prior to any invasive intervention, childbirth, or if bleeding symptoms occur. </w:t>
      </w:r>
      <w:r w:rsidRPr="001D421A">
        <w:rPr>
          <w:rStyle w:val="A8"/>
          <w:rFonts w:asciiTheme="minorHAnsi" w:hAnsiTheme="minorHAnsi"/>
          <w:b/>
          <w:color w:val="221E1F"/>
          <w:sz w:val="22"/>
          <w:vertAlign w:val="superscript"/>
        </w:rPr>
        <w:t>[3</w:t>
      </w:r>
      <w:proofErr w:type="gramStart"/>
      <w:r w:rsidRPr="001D421A">
        <w:rPr>
          <w:rStyle w:val="A8"/>
          <w:rFonts w:asciiTheme="minorHAnsi" w:hAnsiTheme="minorHAnsi"/>
          <w:b/>
          <w:color w:val="221E1F"/>
          <w:sz w:val="22"/>
          <w:vertAlign w:val="superscript"/>
        </w:rPr>
        <w:t>,5</w:t>
      </w:r>
      <w:proofErr w:type="gramEnd"/>
      <w:r w:rsidRPr="001D421A">
        <w:rPr>
          <w:rStyle w:val="A8"/>
          <w:rFonts w:asciiTheme="minorHAnsi" w:hAnsiTheme="minorHAnsi"/>
          <w:b/>
          <w:color w:val="221E1F"/>
          <w:sz w:val="22"/>
          <w:vertAlign w:val="superscript"/>
        </w:rPr>
        <w:t>]</w:t>
      </w:r>
      <w:r w:rsidRPr="001D421A">
        <w:rPr>
          <w:rStyle w:val="A8"/>
          <w:rFonts w:asciiTheme="minorHAnsi" w:hAnsiTheme="minorHAnsi"/>
          <w:color w:val="221E1F"/>
          <w:sz w:val="22"/>
        </w:rPr>
        <w:t xml:space="preserve"> </w:t>
      </w:r>
    </w:p>
    <w:p w:rsidR="00C83A3F" w:rsidRDefault="00C83A3F" w:rsidP="00041ED2">
      <w:pPr>
        <w:pStyle w:val="Heading3"/>
        <w:rPr>
          <w:rStyle w:val="A8"/>
          <w:color w:val="FF0000"/>
        </w:rPr>
      </w:pPr>
    </w:p>
    <w:p w:rsidR="004B5AE5" w:rsidRPr="00041ED2" w:rsidRDefault="004B5AE5" w:rsidP="00041ED2">
      <w:pPr>
        <w:pStyle w:val="Heading3"/>
        <w:rPr>
          <w:rStyle w:val="A8"/>
          <w:color w:val="FF0000"/>
        </w:rPr>
      </w:pPr>
      <w:bookmarkStart w:id="21" w:name="_Toc431484314"/>
      <w:r w:rsidRPr="00041ED2">
        <w:rPr>
          <w:rStyle w:val="A8"/>
          <w:color w:val="FF0000"/>
        </w:rPr>
        <w:t>2.2 Genetic testing/counselling and prenatal diagnosis</w:t>
      </w:r>
      <w:bookmarkEnd w:id="21"/>
      <w:r w:rsidRPr="00214A6A">
        <w:rPr>
          <w:rStyle w:val="A8"/>
          <w:color w:val="FF0000"/>
        </w:rPr>
        <w:t xml:space="preserve"> </w:t>
      </w:r>
    </w:p>
    <w:p w:rsidR="004B5AE5" w:rsidRPr="00927AA2"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szCs w:val="22"/>
        </w:rPr>
        <w:t>2.2.1</w:t>
      </w:r>
      <w:r w:rsidRPr="001D421A">
        <w:rPr>
          <w:rStyle w:val="A8"/>
          <w:rFonts w:asciiTheme="minorHAnsi" w:hAnsiTheme="minorHAnsi"/>
          <w:color w:val="221E1F"/>
          <w:sz w:val="22"/>
        </w:rPr>
        <w:t xml:space="preserve"> </w:t>
      </w:r>
      <w:r w:rsidRPr="001D421A">
        <w:rPr>
          <w:rStyle w:val="A8"/>
          <w:rFonts w:asciiTheme="minorHAnsi" w:hAnsiTheme="minorHAnsi"/>
          <w:color w:val="221E1F"/>
          <w:sz w:val="22"/>
        </w:rPr>
        <w:tab/>
      </w:r>
      <w:r w:rsidRPr="001D421A">
        <w:rPr>
          <w:rStyle w:val="A8"/>
          <w:rFonts w:asciiTheme="minorHAnsi" w:hAnsiTheme="minorHAnsi"/>
          <w:b/>
          <w:color w:val="221E1F"/>
          <w:sz w:val="22"/>
        </w:rPr>
        <w:t xml:space="preserve">Genetic testing for carrier status should be offered to at-risk female family members of people with haemophilia to facilitate genetic counselling, and if desired by the family, for prenatal diagnosis. </w:t>
      </w:r>
      <w:r w:rsidRPr="001D421A">
        <w:rPr>
          <w:rStyle w:val="A8"/>
          <w:rFonts w:asciiTheme="minorHAnsi" w:hAnsiTheme="minorHAnsi"/>
          <w:b/>
          <w:color w:val="221E1F"/>
          <w:sz w:val="22"/>
          <w:vertAlign w:val="superscript"/>
        </w:rPr>
        <w:t>[6]</w:t>
      </w:r>
      <w:r>
        <w:rPr>
          <w:rStyle w:val="A8"/>
          <w:rFonts w:asciiTheme="minorHAnsi" w:hAnsiTheme="minorHAnsi"/>
          <w:color w:val="221E1F"/>
          <w:sz w:val="22"/>
          <w:vertAlign w:val="superscript"/>
        </w:rPr>
        <w:t xml:space="preserve"> </w:t>
      </w:r>
      <w:r>
        <w:rPr>
          <w:rFonts w:asciiTheme="minorHAnsi" w:hAnsiTheme="minorHAnsi"/>
          <w:b/>
          <w:color w:val="221E1F"/>
          <w:sz w:val="22"/>
        </w:rPr>
        <w:t>M</w:t>
      </w:r>
      <w:r w:rsidRPr="00927AA2">
        <w:rPr>
          <w:rFonts w:asciiTheme="minorHAnsi" w:hAnsiTheme="minorHAnsi"/>
          <w:b/>
          <w:color w:val="221E1F"/>
          <w:sz w:val="22"/>
        </w:rPr>
        <w:t>utation analysis is best performed on an affected male in the first instance. Cascade carrier testing ought to be offered to female first-degree relatives. If the female is a carrier, then clotting studies including FVIII ought to be undertaken. Ideally management advice and genetic counselling in carriers ought to be provided through a centre with experience in managing haemophilia A.</w:t>
      </w:r>
      <w:r>
        <w:rPr>
          <w:rFonts w:asciiTheme="minorHAnsi" w:hAnsiTheme="minorHAnsi"/>
          <w:b/>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2.2.2</w:t>
      </w:r>
      <w:r w:rsidRPr="001D421A">
        <w:rPr>
          <w:rStyle w:val="A8"/>
          <w:rFonts w:asciiTheme="minorHAnsi" w:hAnsiTheme="minorHAnsi"/>
          <w:color w:val="221E1F"/>
          <w:sz w:val="22"/>
        </w:rPr>
        <w:tab/>
        <w:t>DNA-based mutation analysis to identify the specific mutation responsible for haemophilia in a particular family is becoming technically easier and more widely available. This facilitates iden</w:t>
      </w:r>
      <w:r w:rsidRPr="001D421A">
        <w:rPr>
          <w:rStyle w:val="A8"/>
          <w:rFonts w:asciiTheme="minorHAnsi" w:hAnsiTheme="minorHAnsi"/>
          <w:color w:val="221E1F"/>
          <w:sz w:val="22"/>
        </w:rPr>
        <w:softHyphen/>
        <w:t xml:space="preserve">tification of </w:t>
      </w:r>
      <w:r>
        <w:rPr>
          <w:rStyle w:val="A8"/>
          <w:rFonts w:asciiTheme="minorHAnsi" w:hAnsiTheme="minorHAnsi"/>
          <w:color w:val="221E1F"/>
          <w:sz w:val="22"/>
        </w:rPr>
        <w:t>women carrying a F8 or F9 gene mutation</w:t>
      </w:r>
      <w:r w:rsidRPr="001D421A">
        <w:rPr>
          <w:rStyle w:val="A8"/>
          <w:rFonts w:asciiTheme="minorHAnsi" w:hAnsiTheme="minorHAnsi"/>
          <w:color w:val="221E1F"/>
          <w:sz w:val="22"/>
        </w:rPr>
        <w:t xml:space="preserve"> and prenatal diagnosis for male fetuses.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2.2.3 </w:t>
      </w:r>
      <w:r w:rsidRPr="001D421A">
        <w:rPr>
          <w:rStyle w:val="A8"/>
          <w:rFonts w:asciiTheme="minorHAnsi" w:hAnsiTheme="minorHAnsi"/>
          <w:color w:val="221E1F"/>
          <w:sz w:val="22"/>
        </w:rPr>
        <w:tab/>
        <w:t xml:space="preserve">Genetic counselling is </w:t>
      </w:r>
      <w:proofErr w:type="gramStart"/>
      <w:r w:rsidRPr="001D421A">
        <w:rPr>
          <w:rStyle w:val="A8"/>
          <w:rFonts w:asciiTheme="minorHAnsi" w:hAnsiTheme="minorHAnsi"/>
          <w:color w:val="221E1F"/>
          <w:sz w:val="22"/>
        </w:rPr>
        <w:t>key</w:t>
      </w:r>
      <w:proofErr w:type="gramEnd"/>
      <w:r w:rsidRPr="001D421A">
        <w:rPr>
          <w:rStyle w:val="A8"/>
          <w:rFonts w:asciiTheme="minorHAnsi" w:hAnsiTheme="minorHAnsi"/>
          <w:color w:val="221E1F"/>
          <w:sz w:val="22"/>
        </w:rPr>
        <w:t xml:space="preserve"> to helping people with haemophilia, carriers, and their families make more informed choices.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2.2.4</w:t>
      </w:r>
      <w:r w:rsidRPr="001D421A">
        <w:rPr>
          <w:rStyle w:val="A8"/>
          <w:rFonts w:asciiTheme="minorHAnsi" w:hAnsiTheme="minorHAnsi"/>
          <w:color w:val="221E1F"/>
          <w:sz w:val="22"/>
        </w:rPr>
        <w:tab/>
        <w:t>Genetic testing may be helpful to determine risk of inhibitor formation in individuals with haemophilia, particularly in individuals with mild or moderate disease.</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2.2.5 </w:t>
      </w:r>
      <w:r w:rsidRPr="001D421A">
        <w:rPr>
          <w:rStyle w:val="A8"/>
          <w:rFonts w:asciiTheme="minorHAnsi" w:hAnsiTheme="minorHAnsi"/>
          <w:color w:val="221E1F"/>
          <w:sz w:val="22"/>
        </w:rPr>
        <w:tab/>
        <w:t>Prenatal diagnosis is usually offered when termi</w:t>
      </w:r>
      <w:r w:rsidRPr="001D421A">
        <w:rPr>
          <w:rStyle w:val="A8"/>
          <w:rFonts w:asciiTheme="minorHAnsi" w:hAnsiTheme="minorHAnsi"/>
          <w:color w:val="221E1F"/>
          <w:sz w:val="22"/>
        </w:rPr>
        <w:softHyphen/>
        <w:t xml:space="preserve">nation of the pregnancy would be considered if an affected fetus was identified. However, it may also be done to help the family prepare and to plan delivery. Assisted delivery is best avoided in an affected fetus. </w:t>
      </w:r>
    </w:p>
    <w:p w:rsidR="004B5AE5" w:rsidRPr="001D421A" w:rsidRDefault="004B5AE5" w:rsidP="004B5AE5">
      <w:pPr>
        <w:pStyle w:val="Default"/>
        <w:spacing w:line="276" w:lineRule="auto"/>
        <w:ind w:left="1433" w:hanging="1320"/>
        <w:jc w:val="both"/>
        <w:rPr>
          <w:rStyle w:val="A8"/>
          <w:rFonts w:asciiTheme="minorHAnsi" w:hAnsiTheme="minorHAnsi"/>
          <w:color w:val="221E1F"/>
          <w:sz w:val="22"/>
        </w:rPr>
      </w:pPr>
    </w:p>
    <w:p w:rsidR="004B5AE5" w:rsidRPr="004D28F5"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2.2.6 </w:t>
      </w:r>
      <w:r w:rsidRPr="001D421A">
        <w:rPr>
          <w:rStyle w:val="A8"/>
          <w:rFonts w:asciiTheme="minorHAnsi" w:hAnsiTheme="minorHAnsi"/>
          <w:color w:val="221E1F"/>
          <w:sz w:val="22"/>
        </w:rPr>
        <w:tab/>
        <w:t>Fetal gender can be determined using Y chromo</w:t>
      </w:r>
      <w:r w:rsidRPr="001D421A">
        <w:rPr>
          <w:rStyle w:val="A8"/>
          <w:rFonts w:asciiTheme="minorHAnsi" w:hAnsiTheme="minorHAnsi"/>
          <w:color w:val="221E1F"/>
          <w:sz w:val="22"/>
        </w:rPr>
        <w:softHyphen/>
        <w:t xml:space="preserve">some-specific PCR in maternal plasma/serum after 7-9 weeks of gestation </w:t>
      </w:r>
      <w:r w:rsidRPr="001D421A">
        <w:rPr>
          <w:rStyle w:val="A8"/>
          <w:rFonts w:asciiTheme="minorHAnsi" w:hAnsiTheme="minorHAnsi"/>
          <w:color w:val="221E1F"/>
          <w:sz w:val="22"/>
          <w:vertAlign w:val="superscript"/>
        </w:rPr>
        <w:t>[7</w:t>
      </w:r>
      <w:proofErr w:type="gramStart"/>
      <w:r w:rsidRPr="001D421A">
        <w:rPr>
          <w:rStyle w:val="A8"/>
          <w:rFonts w:asciiTheme="minorHAnsi" w:hAnsiTheme="minorHAnsi"/>
          <w:color w:val="221E1F"/>
          <w:sz w:val="22"/>
          <w:vertAlign w:val="superscript"/>
        </w:rPr>
        <w:t>,8</w:t>
      </w:r>
      <w:proofErr w:type="gramEnd"/>
      <w:r w:rsidRPr="001D421A">
        <w:rPr>
          <w:rStyle w:val="A8"/>
          <w:rFonts w:asciiTheme="minorHAnsi" w:hAnsiTheme="minorHAnsi"/>
          <w:color w:val="221E1F"/>
          <w:sz w:val="22"/>
          <w:vertAlign w:val="superscript"/>
        </w:rPr>
        <w:t xml:space="preserve">] </w:t>
      </w:r>
      <w:r w:rsidRPr="001D421A">
        <w:rPr>
          <w:rStyle w:val="A8"/>
          <w:rFonts w:asciiTheme="minorHAnsi" w:hAnsiTheme="minorHAnsi"/>
          <w:color w:val="221E1F"/>
          <w:sz w:val="22"/>
        </w:rPr>
        <w:t>or by ultraso</w:t>
      </w:r>
      <w:r w:rsidRPr="001D421A">
        <w:rPr>
          <w:rStyle w:val="A8"/>
          <w:rFonts w:asciiTheme="minorHAnsi" w:hAnsiTheme="minorHAnsi"/>
          <w:color w:val="221E1F"/>
          <w:sz w:val="22"/>
        </w:rPr>
        <w:softHyphen/>
        <w:t xml:space="preserve">nography beginning week 11 of gestation. </w:t>
      </w:r>
      <w:r w:rsidRPr="001D421A">
        <w:rPr>
          <w:rStyle w:val="A8"/>
          <w:rFonts w:asciiTheme="minorHAnsi" w:hAnsiTheme="minorHAnsi"/>
          <w:color w:val="221E1F"/>
          <w:sz w:val="22"/>
          <w:vertAlign w:val="superscript"/>
        </w:rPr>
        <w:t>[9]</w:t>
      </w:r>
      <w:r>
        <w:rPr>
          <w:rStyle w:val="A8"/>
          <w:rFonts w:asciiTheme="minorHAnsi" w:hAnsiTheme="minorHAnsi"/>
          <w:color w:val="221E1F"/>
          <w:sz w:val="22"/>
        </w:rPr>
        <w:t xml:space="preserve"> Non-invasive prenatal techniques utilising maternal blood sampling to determine gender are likely to replace the above methods in the near future.</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2.2.7 </w:t>
      </w:r>
      <w:r w:rsidRPr="001D421A">
        <w:rPr>
          <w:rStyle w:val="A8"/>
          <w:rFonts w:asciiTheme="minorHAnsi" w:hAnsiTheme="minorHAnsi"/>
          <w:color w:val="221E1F"/>
          <w:sz w:val="22"/>
        </w:rPr>
        <w:tab/>
      </w:r>
      <w:r w:rsidRPr="001D421A">
        <w:rPr>
          <w:rStyle w:val="A8"/>
          <w:rFonts w:asciiTheme="minorHAnsi" w:hAnsiTheme="minorHAnsi"/>
          <w:b/>
          <w:color w:val="221E1F"/>
          <w:sz w:val="22"/>
        </w:rPr>
        <w:t xml:space="preserve">Chorionic villus sampling (CVS), or biopsy, is the main method of prenatal diagnosis and is best done between </w:t>
      </w:r>
      <w:r>
        <w:rPr>
          <w:rStyle w:val="A8"/>
          <w:rFonts w:asciiTheme="minorHAnsi" w:hAnsiTheme="minorHAnsi"/>
          <w:b/>
          <w:color w:val="221E1F"/>
          <w:sz w:val="22"/>
        </w:rPr>
        <w:t>11</w:t>
      </w:r>
      <w:r w:rsidRPr="001D421A">
        <w:rPr>
          <w:rStyle w:val="A8"/>
          <w:rFonts w:asciiTheme="minorHAnsi" w:hAnsiTheme="minorHAnsi"/>
          <w:b/>
          <w:color w:val="221E1F"/>
          <w:sz w:val="22"/>
        </w:rPr>
        <w:t xml:space="preserve">-14 weeks of gestation. Biopsy carried out earlier may be associated with increased complications including fetal limb abnormalities. </w:t>
      </w:r>
      <w:r w:rsidRPr="001D421A">
        <w:rPr>
          <w:rStyle w:val="A8"/>
          <w:rFonts w:asciiTheme="minorHAnsi" w:hAnsiTheme="minorHAnsi"/>
          <w:b/>
          <w:color w:val="221E1F"/>
          <w:sz w:val="22"/>
          <w:vertAlign w:val="superscript"/>
        </w:rPr>
        <w:t>[10-13]</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 xml:space="preserve">2.2.8 </w:t>
      </w:r>
      <w:r w:rsidRPr="001D421A">
        <w:rPr>
          <w:rStyle w:val="A8"/>
          <w:rFonts w:asciiTheme="minorHAnsi" w:hAnsiTheme="minorHAnsi"/>
          <w:color w:val="221E1F"/>
          <w:sz w:val="22"/>
        </w:rPr>
        <w:tab/>
        <w:t xml:space="preserve">Amniocentesis can be done at 15-17 weeks of gestation. </w:t>
      </w:r>
      <w:r w:rsidRPr="001D421A">
        <w:rPr>
          <w:rStyle w:val="A8"/>
          <w:rFonts w:asciiTheme="minorHAnsi" w:hAnsiTheme="minorHAnsi"/>
          <w:color w:val="221E1F"/>
          <w:sz w:val="22"/>
          <w:vertAlign w:val="superscript"/>
        </w:rPr>
        <w:t>[11]</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2.2.9</w:t>
      </w:r>
      <w:r w:rsidRPr="001D421A">
        <w:rPr>
          <w:rStyle w:val="A8"/>
          <w:rFonts w:asciiTheme="minorHAnsi" w:hAnsiTheme="minorHAnsi"/>
          <w:color w:val="221E1F"/>
          <w:sz w:val="22"/>
        </w:rPr>
        <w:tab/>
      </w:r>
      <w:r>
        <w:rPr>
          <w:rStyle w:val="A8"/>
          <w:rFonts w:asciiTheme="minorHAnsi" w:hAnsiTheme="minorHAnsi"/>
          <w:color w:val="221E1F"/>
          <w:sz w:val="22"/>
        </w:rPr>
        <w:t>The above procedures should be performed by an appropriately medically registered practitioner.</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lastRenderedPageBreak/>
        <w:t xml:space="preserve">2.2.10 </w:t>
      </w:r>
      <w:r w:rsidRPr="001D421A">
        <w:rPr>
          <w:rStyle w:val="A8"/>
          <w:rFonts w:asciiTheme="minorHAnsi" w:hAnsiTheme="minorHAnsi"/>
          <w:color w:val="221E1F"/>
          <w:sz w:val="22"/>
        </w:rPr>
        <w:tab/>
      </w:r>
      <w:proofErr w:type="gramStart"/>
      <w:r w:rsidRPr="001D421A">
        <w:rPr>
          <w:rStyle w:val="A8"/>
          <w:rFonts w:asciiTheme="minorHAnsi" w:hAnsiTheme="minorHAnsi"/>
          <w:color w:val="221E1F"/>
          <w:sz w:val="22"/>
        </w:rPr>
        <w:t>For</w:t>
      </w:r>
      <w:proofErr w:type="gramEnd"/>
      <w:r w:rsidRPr="001D421A">
        <w:rPr>
          <w:rStyle w:val="A8"/>
          <w:rFonts w:asciiTheme="minorHAnsi" w:hAnsiTheme="minorHAnsi"/>
          <w:color w:val="221E1F"/>
          <w:sz w:val="22"/>
        </w:rPr>
        <w:t xml:space="preserve"> </w:t>
      </w:r>
      <w:r>
        <w:rPr>
          <w:rStyle w:val="A8"/>
          <w:rFonts w:asciiTheme="minorHAnsi" w:hAnsiTheme="minorHAnsi"/>
          <w:color w:val="221E1F"/>
          <w:sz w:val="22"/>
        </w:rPr>
        <w:t xml:space="preserve">women </w:t>
      </w:r>
      <w:r w:rsidRPr="001D421A">
        <w:rPr>
          <w:rStyle w:val="A8"/>
          <w:rFonts w:asciiTheme="minorHAnsi" w:hAnsiTheme="minorHAnsi"/>
          <w:color w:val="221E1F"/>
          <w:sz w:val="22"/>
        </w:rPr>
        <w:t xml:space="preserve">with low </w:t>
      </w:r>
      <w:r>
        <w:rPr>
          <w:rStyle w:val="A8"/>
          <w:rFonts w:asciiTheme="minorHAnsi" w:hAnsiTheme="minorHAnsi"/>
          <w:color w:val="221E1F"/>
          <w:sz w:val="22"/>
        </w:rPr>
        <w:t xml:space="preserve">clotting </w:t>
      </w:r>
      <w:r w:rsidRPr="001D421A">
        <w:rPr>
          <w:rStyle w:val="A8"/>
          <w:rFonts w:asciiTheme="minorHAnsi" w:hAnsiTheme="minorHAnsi"/>
          <w:color w:val="221E1F"/>
          <w:sz w:val="22"/>
        </w:rPr>
        <w:t xml:space="preserve">factor levels haemostatic support may be required to prevent maternal bleeding during prenatal diagnosis procedures.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2.2.11</w:t>
      </w:r>
      <w:r w:rsidRPr="001D421A">
        <w:rPr>
          <w:rStyle w:val="A8"/>
          <w:rFonts w:asciiTheme="minorHAnsi" w:hAnsiTheme="minorHAnsi"/>
          <w:color w:val="221E1F"/>
          <w:sz w:val="22"/>
        </w:rPr>
        <w:tab/>
      </w:r>
      <w:proofErr w:type="gramStart"/>
      <w:r w:rsidRPr="001D421A">
        <w:rPr>
          <w:rStyle w:val="A8"/>
          <w:rFonts w:asciiTheme="minorHAnsi" w:hAnsiTheme="minorHAnsi"/>
          <w:b/>
          <w:color w:val="221E1F"/>
          <w:sz w:val="22"/>
        </w:rPr>
        <w:t>All</w:t>
      </w:r>
      <w:proofErr w:type="gramEnd"/>
      <w:r w:rsidRPr="001D421A">
        <w:rPr>
          <w:rStyle w:val="A8"/>
          <w:rFonts w:asciiTheme="minorHAnsi" w:hAnsiTheme="minorHAnsi"/>
          <w:b/>
          <w:color w:val="221E1F"/>
          <w:sz w:val="22"/>
        </w:rPr>
        <w:t xml:space="preserve"> invasive methods used for prenatal diag</w:t>
      </w:r>
      <w:r w:rsidRPr="001D421A">
        <w:rPr>
          <w:rStyle w:val="A8"/>
          <w:rFonts w:asciiTheme="minorHAnsi" w:hAnsiTheme="minorHAnsi"/>
          <w:b/>
          <w:color w:val="221E1F"/>
          <w:sz w:val="22"/>
        </w:rPr>
        <w:softHyphen/>
        <w:t>nosis may cause feto-maternal haemorrhage. Anti-D immunoglobulin should be given if the mother is RhD negative</w:t>
      </w:r>
      <w:proofErr w:type="gramStart"/>
      <w:r w:rsidRPr="001D421A">
        <w:rPr>
          <w:rStyle w:val="A8"/>
          <w:rFonts w:asciiTheme="minorHAnsi" w:hAnsiTheme="minorHAnsi"/>
          <w:b/>
          <w:color w:val="221E1F"/>
          <w:sz w:val="22"/>
        </w:rPr>
        <w:t>.</w:t>
      </w:r>
      <w:r w:rsidRPr="001D421A">
        <w:rPr>
          <w:rStyle w:val="A8"/>
          <w:rFonts w:asciiTheme="minorHAnsi" w:hAnsiTheme="minorHAnsi"/>
          <w:b/>
          <w:color w:val="221E1F"/>
          <w:sz w:val="22"/>
          <w:vertAlign w:val="superscript"/>
        </w:rPr>
        <w:t>[</w:t>
      </w:r>
      <w:proofErr w:type="gramEnd"/>
      <w:r w:rsidRPr="001D421A">
        <w:rPr>
          <w:rStyle w:val="A8"/>
          <w:rFonts w:asciiTheme="minorHAnsi" w:hAnsiTheme="minorHAnsi"/>
          <w:b/>
          <w:color w:val="221E1F"/>
          <w:sz w:val="22"/>
          <w:vertAlign w:val="superscript"/>
        </w:rPr>
        <w:t>14]</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vertAlign w:val="superscript"/>
          <w:lang w:eastAsia="en-AU"/>
        </w:rPr>
      </w:pPr>
      <w:r w:rsidRPr="001D421A">
        <w:rPr>
          <w:rStyle w:val="A8"/>
          <w:rFonts w:asciiTheme="minorHAnsi" w:hAnsiTheme="minorHAnsi"/>
          <w:color w:val="221E1F"/>
          <w:sz w:val="22"/>
        </w:rPr>
        <w:t xml:space="preserve">2.2.12 </w:t>
      </w:r>
      <w:r w:rsidRPr="001D421A">
        <w:rPr>
          <w:rStyle w:val="A8"/>
          <w:rFonts w:asciiTheme="minorHAnsi" w:hAnsiTheme="minorHAnsi"/>
          <w:color w:val="221E1F"/>
          <w:sz w:val="22"/>
        </w:rPr>
        <w:tab/>
      </w:r>
      <w:r w:rsidRPr="00C32F07">
        <w:rPr>
          <w:rFonts w:asciiTheme="minorHAnsi" w:hAnsiTheme="minorHAnsi"/>
          <w:color w:val="221E1F"/>
          <w:sz w:val="22"/>
        </w:rPr>
        <w:t>IVF with pre-implantation genetic diagnosis allows selection of embryos without a specific known mutation to be transferred into the uterus</w:t>
      </w:r>
      <w:r w:rsidRPr="00C32F07">
        <w:rPr>
          <w:rStyle w:val="A8"/>
          <w:rFonts w:asciiTheme="minorHAnsi" w:hAnsiTheme="minorHAnsi"/>
          <w:color w:val="221E1F"/>
          <w:sz w:val="22"/>
        </w:rPr>
        <w:t>.</w:t>
      </w:r>
      <w:r w:rsidRPr="001D421A">
        <w:rPr>
          <w:rStyle w:val="A8"/>
          <w:rFonts w:asciiTheme="minorHAnsi" w:hAnsiTheme="minorHAnsi"/>
          <w:color w:val="221E1F"/>
          <w:sz w:val="22"/>
        </w:rPr>
        <w:t xml:space="preserve"> </w:t>
      </w:r>
      <w:r w:rsidRPr="001D421A">
        <w:rPr>
          <w:rStyle w:val="A8"/>
          <w:rFonts w:asciiTheme="minorHAnsi" w:hAnsiTheme="minorHAnsi"/>
          <w:color w:val="221E1F"/>
          <w:sz w:val="22"/>
          <w:vertAlign w:val="superscript"/>
        </w:rPr>
        <w:t>[15]</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041ED2" w:rsidRDefault="004B5AE5" w:rsidP="00041ED2">
      <w:pPr>
        <w:pStyle w:val="Heading3"/>
        <w:rPr>
          <w:rStyle w:val="A8"/>
          <w:color w:val="FF0000"/>
        </w:rPr>
      </w:pPr>
      <w:bookmarkStart w:id="22" w:name="_Toc431484315"/>
      <w:r w:rsidRPr="00041ED2">
        <w:rPr>
          <w:rStyle w:val="A8"/>
          <w:color w:val="FF0000"/>
        </w:rPr>
        <w:t>2.3 Delivery of infants with known or suspected haemophilia</w:t>
      </w:r>
      <w:bookmarkEnd w:id="22"/>
      <w:r w:rsidRPr="00041ED2">
        <w:rPr>
          <w:rStyle w:val="A8"/>
          <w:color w:val="FF0000"/>
        </w:rPr>
        <w:t xml:space="preserve"> </w:t>
      </w:r>
    </w:p>
    <w:p w:rsidR="004B5AE5" w:rsidRPr="001D421A" w:rsidRDefault="004B5AE5" w:rsidP="00041ED2">
      <w:pPr>
        <w:pStyle w:val="Default"/>
        <w:spacing w:line="276" w:lineRule="auto"/>
        <w:ind w:left="1433" w:hanging="1433"/>
        <w:rPr>
          <w:rStyle w:val="A8"/>
          <w:rFonts w:asciiTheme="minorHAnsi" w:hAnsiTheme="minorHAnsi" w:cs="Arial"/>
          <w:b/>
          <w:color w:val="221E1F"/>
          <w:sz w:val="22"/>
          <w:szCs w:val="28"/>
          <w:lang w:eastAsia="en-AU"/>
        </w:rPr>
      </w:pPr>
      <w:r w:rsidRPr="001D421A">
        <w:rPr>
          <w:rStyle w:val="A8"/>
          <w:rFonts w:asciiTheme="minorHAnsi" w:hAnsiTheme="minorHAnsi"/>
          <w:color w:val="221E1F"/>
          <w:sz w:val="23"/>
          <w:szCs w:val="23"/>
        </w:rPr>
        <w:t>2.3.1</w:t>
      </w:r>
      <w:r w:rsidRPr="001D421A">
        <w:rPr>
          <w:rStyle w:val="A8"/>
          <w:rFonts w:asciiTheme="minorHAnsi" w:hAnsiTheme="minorHAnsi"/>
          <w:color w:val="221E1F"/>
          <w:sz w:val="22"/>
        </w:rPr>
        <w:tab/>
      </w:r>
      <w:r w:rsidRPr="001D421A">
        <w:rPr>
          <w:rStyle w:val="A8"/>
          <w:rFonts w:asciiTheme="minorHAnsi" w:hAnsiTheme="minorHAnsi"/>
          <w:b/>
          <w:color w:val="221E1F"/>
          <w:sz w:val="22"/>
        </w:rPr>
        <w:t xml:space="preserve">FVIII levels usually rise into the normal range during the second and third trimesters and should therefore be measured in carriers during the early third trimester of pregnancy to inform decisions for factor coverage during delivery. </w:t>
      </w:r>
      <w:r w:rsidRPr="001D421A">
        <w:rPr>
          <w:rStyle w:val="A8"/>
          <w:rFonts w:asciiTheme="minorHAnsi" w:hAnsiTheme="minorHAnsi"/>
          <w:b/>
          <w:color w:val="221E1F"/>
          <w:sz w:val="22"/>
          <w:vertAlign w:val="superscript"/>
        </w:rPr>
        <w:t>[4]</w:t>
      </w:r>
      <w:r w:rsidRPr="001D421A">
        <w:rPr>
          <w:rStyle w:val="A8"/>
          <w:rFonts w:asciiTheme="minorHAnsi" w:hAnsiTheme="minorHAnsi"/>
          <w:b/>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2.3.2</w:t>
      </w:r>
      <w:r w:rsidRPr="001D421A">
        <w:rPr>
          <w:rStyle w:val="A8"/>
          <w:rFonts w:asciiTheme="minorHAnsi" w:hAnsiTheme="minorHAnsi"/>
          <w:color w:val="221E1F"/>
          <w:sz w:val="22"/>
        </w:rPr>
        <w:tab/>
      </w:r>
      <w:r w:rsidRPr="001D421A">
        <w:rPr>
          <w:rStyle w:val="A8"/>
          <w:rFonts w:asciiTheme="minorHAnsi" w:hAnsiTheme="minorHAnsi"/>
          <w:b/>
          <w:color w:val="221E1F"/>
          <w:sz w:val="22"/>
        </w:rPr>
        <w:t xml:space="preserve">In </w:t>
      </w:r>
      <w:r>
        <w:rPr>
          <w:rStyle w:val="A8"/>
          <w:rFonts w:asciiTheme="minorHAnsi" w:hAnsiTheme="minorHAnsi"/>
          <w:b/>
          <w:color w:val="221E1F"/>
          <w:sz w:val="22"/>
        </w:rPr>
        <w:t>women</w:t>
      </w:r>
      <w:r w:rsidRPr="001D421A">
        <w:rPr>
          <w:rStyle w:val="A8"/>
          <w:rFonts w:asciiTheme="minorHAnsi" w:hAnsiTheme="minorHAnsi"/>
          <w:b/>
          <w:color w:val="221E1F"/>
          <w:sz w:val="22"/>
        </w:rPr>
        <w:t xml:space="preserve"> with significantly low factor levels (&lt; 50 IU/dl), clotting factor replacement is necessary for surgical or invasive </w:t>
      </w:r>
      <w:r w:rsidR="00C83A3F">
        <w:rPr>
          <w:rStyle w:val="A8"/>
          <w:rFonts w:asciiTheme="minorHAnsi" w:hAnsiTheme="minorHAnsi"/>
          <w:b/>
          <w:color w:val="221E1F"/>
          <w:sz w:val="22"/>
        </w:rPr>
        <w:t>procedures including delivery</w:t>
      </w:r>
      <w:proofErr w:type="gramStart"/>
      <w:r w:rsidR="00C83A3F">
        <w:rPr>
          <w:rStyle w:val="A8"/>
          <w:rFonts w:asciiTheme="minorHAnsi" w:hAnsiTheme="minorHAnsi"/>
          <w:b/>
          <w:color w:val="221E1F"/>
          <w:sz w:val="22"/>
        </w:rPr>
        <w:t>.</w:t>
      </w:r>
      <w:r w:rsidRPr="001D421A">
        <w:rPr>
          <w:rStyle w:val="A8"/>
          <w:rFonts w:asciiTheme="minorHAnsi" w:hAnsiTheme="minorHAnsi"/>
          <w:b/>
          <w:color w:val="221E1F"/>
          <w:sz w:val="22"/>
          <w:vertAlign w:val="superscript"/>
        </w:rPr>
        <w:t>[</w:t>
      </w:r>
      <w:proofErr w:type="gramEnd"/>
      <w:r w:rsidRPr="001D421A">
        <w:rPr>
          <w:rStyle w:val="A8"/>
          <w:rFonts w:asciiTheme="minorHAnsi" w:hAnsiTheme="minorHAnsi"/>
          <w:b/>
          <w:color w:val="221E1F"/>
          <w:sz w:val="22"/>
          <w:vertAlign w:val="superscript"/>
        </w:rPr>
        <w:t>4]</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2.3.3</w:t>
      </w:r>
      <w:r w:rsidRPr="001D421A">
        <w:rPr>
          <w:rStyle w:val="A8"/>
          <w:rFonts w:asciiTheme="minorHAnsi" w:hAnsiTheme="minorHAnsi"/>
          <w:color w:val="221E1F"/>
          <w:sz w:val="22"/>
        </w:rPr>
        <w:tab/>
        <w:t xml:space="preserve">The need for clotting factor replacement should be planned in the prenatal period.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2.3.4</w:t>
      </w:r>
      <w:r w:rsidRPr="001D421A">
        <w:rPr>
          <w:rStyle w:val="A8"/>
          <w:rFonts w:asciiTheme="minorHAnsi" w:hAnsiTheme="minorHAnsi"/>
          <w:color w:val="221E1F"/>
          <w:sz w:val="22"/>
        </w:rPr>
        <w:tab/>
        <w:t xml:space="preserve">Ideally delivery should occur in hospitals with a “high risk” obstetric service, a paediatric unit, and a HTC. This is particularly the case if it is likely the offspring may have a severe bleeding disorder.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2.3.5</w:t>
      </w:r>
      <w:r w:rsidRPr="001D421A">
        <w:rPr>
          <w:rStyle w:val="A8"/>
          <w:rFonts w:asciiTheme="minorHAnsi" w:hAnsiTheme="minorHAnsi"/>
          <w:color w:val="221E1F"/>
          <w:sz w:val="22"/>
        </w:rPr>
        <w:tab/>
        <w:t xml:space="preserve">Route of delivery in carriers with a normal fetus should be as per obstetric indications.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color w:val="221E1F"/>
          <w:sz w:val="22"/>
          <w:szCs w:val="28"/>
          <w:lang w:eastAsia="en-AU"/>
        </w:rPr>
      </w:pPr>
      <w:r w:rsidRPr="001D421A">
        <w:rPr>
          <w:rStyle w:val="A8"/>
          <w:rFonts w:asciiTheme="minorHAnsi" w:hAnsiTheme="minorHAnsi"/>
          <w:color w:val="221E1F"/>
          <w:sz w:val="22"/>
        </w:rPr>
        <w:t>2.3.6</w:t>
      </w:r>
      <w:r w:rsidRPr="001D421A">
        <w:rPr>
          <w:rStyle w:val="A8"/>
          <w:rFonts w:asciiTheme="minorHAnsi" w:hAnsiTheme="minorHAnsi"/>
          <w:color w:val="221E1F"/>
          <w:sz w:val="22"/>
        </w:rPr>
        <w:tab/>
      </w:r>
      <w:r w:rsidRPr="001D421A">
        <w:rPr>
          <w:rStyle w:val="A8"/>
          <w:rFonts w:asciiTheme="minorHAnsi" w:hAnsiTheme="minorHAnsi"/>
          <w:b/>
          <w:color w:val="221E1F"/>
          <w:sz w:val="22"/>
        </w:rPr>
        <w:t>Delivery of infants with known or suspected haemophilia should be atraumatic, regardless of whether it is vaginal or c</w:t>
      </w:r>
      <w:r>
        <w:rPr>
          <w:rStyle w:val="A8"/>
          <w:rFonts w:asciiTheme="minorHAnsi" w:hAnsiTheme="minorHAnsi"/>
          <w:b/>
          <w:color w:val="221E1F"/>
          <w:sz w:val="22"/>
        </w:rPr>
        <w:t>a</w:t>
      </w:r>
      <w:r w:rsidRPr="001D421A">
        <w:rPr>
          <w:rStyle w:val="A8"/>
          <w:rFonts w:asciiTheme="minorHAnsi" w:hAnsiTheme="minorHAnsi"/>
          <w:b/>
          <w:color w:val="221E1F"/>
          <w:sz w:val="22"/>
        </w:rPr>
        <w:t xml:space="preserve">esarean, to decrease the risk of bleeding. </w:t>
      </w:r>
      <w:r w:rsidRPr="001D421A">
        <w:rPr>
          <w:rStyle w:val="A8"/>
          <w:rFonts w:asciiTheme="minorHAnsi" w:hAnsiTheme="minorHAnsi"/>
          <w:b/>
          <w:color w:val="221E1F"/>
          <w:sz w:val="22"/>
          <w:vertAlign w:val="superscript"/>
        </w:rPr>
        <w:t>[4]</w:t>
      </w:r>
      <w:r w:rsidRPr="001D421A">
        <w:rPr>
          <w:rStyle w:val="A8"/>
          <w:rFonts w:asciiTheme="minorHAnsi" w:hAnsiTheme="minorHAnsi"/>
          <w:b/>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2.3.7</w:t>
      </w:r>
      <w:r w:rsidRPr="001D421A">
        <w:rPr>
          <w:rStyle w:val="A8"/>
          <w:rFonts w:asciiTheme="minorHAnsi" w:hAnsiTheme="minorHAnsi"/>
          <w:color w:val="221E1F"/>
          <w:sz w:val="22"/>
        </w:rPr>
        <w:tab/>
        <w:t xml:space="preserve">Forceps and vacuum extraction </w:t>
      </w:r>
      <w:r w:rsidRPr="001D421A">
        <w:rPr>
          <w:rStyle w:val="A8"/>
          <w:rFonts w:asciiTheme="minorHAnsi" w:hAnsiTheme="minorHAnsi"/>
          <w:b/>
          <w:color w:val="221E1F"/>
          <w:sz w:val="22"/>
          <w:u w:val="single"/>
        </w:rPr>
        <w:t>should be avoided</w:t>
      </w:r>
      <w:r w:rsidRPr="001D421A">
        <w:rPr>
          <w:rStyle w:val="A8"/>
          <w:rFonts w:asciiTheme="minorHAnsi" w:hAnsiTheme="minorHAnsi"/>
          <w:color w:val="221E1F"/>
          <w:sz w:val="22"/>
        </w:rPr>
        <w:t xml:space="preserve"> in vaginal delivery, as well as invasive procedures to the fetus such as fetal scalp blood sampling and internal fetal scalp electrodes. </w:t>
      </w:r>
      <w:r w:rsidRPr="001D421A">
        <w:rPr>
          <w:rStyle w:val="A8"/>
          <w:rFonts w:asciiTheme="minorHAnsi" w:hAnsiTheme="minorHAnsi"/>
          <w:color w:val="221E1F"/>
          <w:sz w:val="22"/>
          <w:vertAlign w:val="superscript"/>
        </w:rPr>
        <w:t>[16]</w:t>
      </w:r>
    </w:p>
    <w:p w:rsidR="004B5AE5" w:rsidRPr="00C717FB" w:rsidRDefault="004B5AE5" w:rsidP="004B5AE5">
      <w:pPr>
        <w:pStyle w:val="Default"/>
        <w:spacing w:line="276" w:lineRule="auto"/>
        <w:ind w:left="1433" w:hanging="1320"/>
        <w:rPr>
          <w:rFonts w:asciiTheme="minorHAnsi" w:hAnsiTheme="minorHAnsi"/>
          <w:color w:val="221E1F"/>
          <w:sz w:val="22"/>
        </w:rPr>
      </w:pPr>
    </w:p>
    <w:p w:rsidR="004B5AE5" w:rsidRPr="00041ED2" w:rsidRDefault="004B5AE5" w:rsidP="00041ED2">
      <w:pPr>
        <w:pStyle w:val="Heading3"/>
        <w:rPr>
          <w:rStyle w:val="A8"/>
          <w:color w:val="FF0000"/>
        </w:rPr>
      </w:pPr>
      <w:bookmarkStart w:id="23" w:name="_Toc431484316"/>
      <w:r w:rsidRPr="00041ED2">
        <w:rPr>
          <w:rStyle w:val="A8"/>
          <w:color w:val="FF0000"/>
        </w:rPr>
        <w:t>2.4 Vaccinations</w:t>
      </w:r>
      <w:bookmarkEnd w:id="23"/>
    </w:p>
    <w:p w:rsidR="004B5AE5" w:rsidRPr="001D421A" w:rsidRDefault="004B5AE5" w:rsidP="00041ED2">
      <w:pPr>
        <w:pStyle w:val="Default"/>
        <w:spacing w:line="276" w:lineRule="auto"/>
        <w:ind w:left="1433" w:hanging="1433"/>
        <w:rPr>
          <w:rStyle w:val="A8"/>
          <w:rFonts w:asciiTheme="minorHAnsi" w:hAnsiTheme="minorHAnsi" w:cs="Arial"/>
          <w:b/>
          <w:color w:val="221E1F"/>
          <w:sz w:val="22"/>
          <w:szCs w:val="28"/>
          <w:lang w:eastAsia="en-AU"/>
        </w:rPr>
      </w:pPr>
      <w:r w:rsidRPr="001D421A">
        <w:rPr>
          <w:rStyle w:val="A8"/>
          <w:rFonts w:asciiTheme="minorHAnsi" w:hAnsiTheme="minorHAnsi"/>
          <w:color w:val="221E1F"/>
          <w:sz w:val="22"/>
        </w:rPr>
        <w:t>2.4.1</w:t>
      </w:r>
      <w:r w:rsidRPr="001D421A">
        <w:rPr>
          <w:rStyle w:val="A8"/>
          <w:rFonts w:asciiTheme="minorHAnsi" w:hAnsiTheme="minorHAnsi"/>
          <w:color w:val="221E1F"/>
          <w:sz w:val="22"/>
        </w:rPr>
        <w:tab/>
      </w:r>
      <w:r w:rsidRPr="001D421A">
        <w:rPr>
          <w:rStyle w:val="A8"/>
          <w:rFonts w:asciiTheme="minorHAnsi" w:hAnsiTheme="minorHAnsi"/>
          <w:b/>
          <w:color w:val="221E1F"/>
          <w:sz w:val="22"/>
        </w:rPr>
        <w:t>Persons with bleeding disorders should be vaccinated, but should preferably receive the vaccine subcutaneously rather than intra</w:t>
      </w:r>
      <w:r w:rsidRPr="001D421A">
        <w:rPr>
          <w:rStyle w:val="A8"/>
          <w:rFonts w:asciiTheme="minorHAnsi" w:hAnsiTheme="minorHAnsi"/>
          <w:b/>
          <w:color w:val="221E1F"/>
          <w:sz w:val="22"/>
        </w:rPr>
        <w:softHyphen/>
        <w:t xml:space="preserve">muscularly or intradermally, unless covered by infusion of clotting factor concentrates. </w:t>
      </w:r>
      <w:r w:rsidRPr="001D421A">
        <w:rPr>
          <w:rStyle w:val="A8"/>
          <w:rFonts w:asciiTheme="minorHAnsi" w:hAnsiTheme="minorHAnsi"/>
          <w:b/>
          <w:color w:val="221E1F"/>
          <w:sz w:val="22"/>
          <w:vertAlign w:val="superscript"/>
        </w:rPr>
        <w:t>[17]</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2.4.2</w:t>
      </w:r>
      <w:r w:rsidRPr="001D421A">
        <w:rPr>
          <w:rStyle w:val="A8"/>
          <w:rFonts w:asciiTheme="minorHAnsi" w:hAnsiTheme="minorHAnsi"/>
          <w:color w:val="221E1F"/>
          <w:sz w:val="22"/>
        </w:rPr>
        <w:tab/>
        <w:t>If intramuscular injection is to be given: It is best done soon after a dose of factor replacement therapy.</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4B5AE5">
      <w:pPr>
        <w:pStyle w:val="Default"/>
        <w:numPr>
          <w:ilvl w:val="0"/>
          <w:numId w:val="45"/>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 xml:space="preserve">An ice pack can be applied to the injection area for five minutes before injection  </w:t>
      </w:r>
    </w:p>
    <w:p w:rsidR="004B5AE5" w:rsidRPr="001D421A" w:rsidRDefault="004B5AE5" w:rsidP="004B5AE5">
      <w:pPr>
        <w:pStyle w:val="Default"/>
        <w:numPr>
          <w:ilvl w:val="0"/>
          <w:numId w:val="45"/>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The smallest gauge needle available (usually 25-27 gauge) should be used</w:t>
      </w:r>
    </w:p>
    <w:p w:rsidR="004B5AE5" w:rsidRPr="001D421A" w:rsidRDefault="004B5AE5" w:rsidP="004B5AE5">
      <w:pPr>
        <w:pStyle w:val="Default"/>
        <w:numPr>
          <w:ilvl w:val="0"/>
          <w:numId w:val="45"/>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 xml:space="preserve">Pressure should be applied to the injection site for at least five minutes. </w:t>
      </w:r>
      <w:r w:rsidRPr="001D421A">
        <w:rPr>
          <w:rStyle w:val="A8"/>
          <w:rFonts w:asciiTheme="minorHAnsi" w:hAnsiTheme="minorHAnsi"/>
          <w:color w:val="221E1F"/>
          <w:sz w:val="22"/>
          <w:vertAlign w:val="superscript"/>
        </w:rPr>
        <w:t>[18]</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2.4.3</w:t>
      </w:r>
      <w:r w:rsidRPr="001D421A">
        <w:rPr>
          <w:rStyle w:val="A8"/>
          <w:rFonts w:asciiTheme="minorHAnsi" w:hAnsiTheme="minorHAnsi"/>
          <w:color w:val="221E1F"/>
          <w:sz w:val="22"/>
        </w:rPr>
        <w:tab/>
        <w:t xml:space="preserve">Live virus vaccines (such as oral polio vaccine, MMR) may be contraindicated in those with HIV infection.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2.4.4</w:t>
      </w:r>
      <w:r w:rsidRPr="001D421A">
        <w:rPr>
          <w:rStyle w:val="A8"/>
          <w:rFonts w:asciiTheme="minorHAnsi" w:hAnsiTheme="minorHAnsi"/>
          <w:color w:val="221E1F"/>
          <w:sz w:val="22"/>
        </w:rPr>
        <w:tab/>
        <w:t xml:space="preserve">People with haemophilia who have HIV should be given pneumococcal and annual influenza vaccines.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color w:val="221E1F"/>
          <w:sz w:val="22"/>
          <w:szCs w:val="28"/>
          <w:lang w:eastAsia="en-AU"/>
        </w:rPr>
      </w:pPr>
      <w:r w:rsidRPr="001D421A">
        <w:rPr>
          <w:rStyle w:val="A8"/>
          <w:rFonts w:asciiTheme="minorHAnsi" w:hAnsiTheme="minorHAnsi"/>
          <w:color w:val="221E1F"/>
          <w:sz w:val="22"/>
        </w:rPr>
        <w:t>2.4.5</w:t>
      </w:r>
      <w:r w:rsidRPr="001D421A">
        <w:rPr>
          <w:rStyle w:val="A8"/>
          <w:rFonts w:asciiTheme="minorHAnsi" w:hAnsiTheme="minorHAnsi"/>
          <w:color w:val="221E1F"/>
          <w:sz w:val="22"/>
        </w:rPr>
        <w:tab/>
      </w:r>
      <w:r w:rsidRPr="001D421A">
        <w:rPr>
          <w:rStyle w:val="A8"/>
          <w:rFonts w:asciiTheme="minorHAnsi" w:hAnsiTheme="minorHAnsi"/>
          <w:b/>
          <w:color w:val="221E1F"/>
          <w:sz w:val="22"/>
        </w:rPr>
        <w:t>Immunisation to hepatitis A and B is important for all persons with haemophilia. These immu</w:t>
      </w:r>
      <w:r w:rsidRPr="001D421A">
        <w:rPr>
          <w:rStyle w:val="A8"/>
          <w:rFonts w:asciiTheme="minorHAnsi" w:hAnsiTheme="minorHAnsi"/>
          <w:b/>
          <w:color w:val="221E1F"/>
          <w:sz w:val="22"/>
        </w:rPr>
        <w:softHyphen/>
        <w:t xml:space="preserve">nisations may not be as effective in those with HIV infection. </w:t>
      </w:r>
      <w:r w:rsidRPr="001D421A">
        <w:rPr>
          <w:rStyle w:val="A8"/>
          <w:rFonts w:asciiTheme="minorHAnsi" w:hAnsiTheme="minorHAnsi"/>
          <w:b/>
          <w:color w:val="221E1F"/>
          <w:sz w:val="22"/>
          <w:vertAlign w:val="superscript"/>
        </w:rPr>
        <w:t>[19</w:t>
      </w:r>
      <w:proofErr w:type="gramStart"/>
      <w:r w:rsidRPr="001D421A">
        <w:rPr>
          <w:rStyle w:val="A8"/>
          <w:rFonts w:asciiTheme="minorHAnsi" w:hAnsiTheme="minorHAnsi"/>
          <w:b/>
          <w:color w:val="221E1F"/>
          <w:sz w:val="22"/>
          <w:vertAlign w:val="superscript"/>
        </w:rPr>
        <w:t>,20</w:t>
      </w:r>
      <w:proofErr w:type="gramEnd"/>
      <w:r w:rsidRPr="001D421A">
        <w:rPr>
          <w:rStyle w:val="A8"/>
          <w:rFonts w:asciiTheme="minorHAnsi" w:hAnsiTheme="minorHAnsi"/>
          <w:b/>
          <w:color w:val="221E1F"/>
          <w:sz w:val="22"/>
          <w:vertAlign w:val="superscript"/>
        </w:rPr>
        <w:t>]</w:t>
      </w:r>
    </w:p>
    <w:p w:rsidR="004B5AE5" w:rsidRPr="001D421A" w:rsidRDefault="004B5AE5" w:rsidP="004B5AE5">
      <w:pPr>
        <w:pStyle w:val="Default"/>
        <w:spacing w:line="276" w:lineRule="auto"/>
        <w:rPr>
          <w:rFonts w:asciiTheme="minorHAnsi" w:hAnsiTheme="minorHAnsi" w:cs="Arial"/>
          <w:b/>
          <w:bCs/>
          <w:color w:val="221E1F"/>
          <w:sz w:val="22"/>
          <w:szCs w:val="22"/>
        </w:rPr>
      </w:pPr>
    </w:p>
    <w:p w:rsidR="004B5AE5" w:rsidRPr="00041ED2" w:rsidRDefault="004B5AE5" w:rsidP="00041ED2">
      <w:pPr>
        <w:pStyle w:val="Heading3"/>
        <w:rPr>
          <w:rStyle w:val="A8"/>
          <w:color w:val="FF0000"/>
        </w:rPr>
      </w:pPr>
      <w:bookmarkStart w:id="24" w:name="_Toc431484317"/>
      <w:r w:rsidRPr="00041ED2">
        <w:rPr>
          <w:rStyle w:val="A8"/>
          <w:color w:val="FF0000"/>
        </w:rPr>
        <w:t>2.5 Psychosocial issues</w:t>
      </w:r>
      <w:bookmarkEnd w:id="24"/>
      <w:r w:rsidRPr="00041ED2">
        <w:rPr>
          <w:rStyle w:val="A8"/>
          <w:color w:val="FF0000"/>
        </w:rPr>
        <w:t xml:space="preserve"> </w:t>
      </w: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2.5.1</w:t>
      </w:r>
      <w:r w:rsidRPr="001D421A">
        <w:rPr>
          <w:rStyle w:val="A8"/>
          <w:rFonts w:asciiTheme="minorHAnsi" w:hAnsiTheme="minorHAnsi"/>
          <w:color w:val="221E1F"/>
          <w:sz w:val="22"/>
        </w:rPr>
        <w:tab/>
        <w:t xml:space="preserve">Patients and their families should be provided with psychological and social support. </w:t>
      </w:r>
      <w:r w:rsidRPr="001D421A">
        <w:rPr>
          <w:rStyle w:val="A8"/>
          <w:rFonts w:asciiTheme="minorHAnsi" w:hAnsiTheme="minorHAnsi"/>
          <w:color w:val="221E1F"/>
          <w:sz w:val="22"/>
          <w:vertAlign w:val="superscript"/>
        </w:rPr>
        <w:t>[21</w:t>
      </w:r>
      <w:proofErr w:type="gramStart"/>
      <w:r w:rsidRPr="001D421A">
        <w:rPr>
          <w:rStyle w:val="A8"/>
          <w:rFonts w:asciiTheme="minorHAnsi" w:hAnsiTheme="minorHAnsi"/>
          <w:color w:val="221E1F"/>
          <w:sz w:val="22"/>
          <w:vertAlign w:val="superscript"/>
        </w:rPr>
        <w:t>,22</w:t>
      </w:r>
      <w:proofErr w:type="gramEnd"/>
      <w:r w:rsidRPr="001D421A">
        <w:rPr>
          <w:rStyle w:val="A8"/>
          <w:rFonts w:asciiTheme="minorHAnsi" w:hAnsiTheme="minorHAnsi"/>
          <w:color w:val="221E1F"/>
          <w:sz w:val="22"/>
          <w:vertAlign w:val="superscript"/>
        </w:rPr>
        <w:t>]</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2.5.2</w:t>
      </w:r>
      <w:r w:rsidRPr="001D421A">
        <w:rPr>
          <w:rStyle w:val="A8"/>
          <w:rFonts w:asciiTheme="minorHAnsi" w:hAnsiTheme="minorHAnsi"/>
          <w:color w:val="221E1F"/>
          <w:sz w:val="22"/>
        </w:rPr>
        <w:tab/>
        <w:t xml:space="preserve">Haemophilia is also a financial burden that places restrictions on several aspects of normal living. </w:t>
      </w:r>
      <w:r w:rsidRPr="001D421A">
        <w:rPr>
          <w:rStyle w:val="A8"/>
          <w:rFonts w:asciiTheme="minorHAnsi" w:hAnsiTheme="minorHAnsi"/>
          <w:color w:val="221E1F"/>
          <w:sz w:val="22"/>
          <w:vertAlign w:val="superscript"/>
        </w:rPr>
        <w:t>[23]</w:t>
      </w:r>
    </w:p>
    <w:p w:rsidR="004B5AE5" w:rsidRPr="001D421A" w:rsidRDefault="004B5AE5" w:rsidP="004B5AE5">
      <w:pPr>
        <w:pStyle w:val="Default"/>
        <w:spacing w:line="276" w:lineRule="auto"/>
        <w:ind w:left="1433" w:hanging="1320"/>
        <w:jc w:val="both"/>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2.5.3</w:t>
      </w:r>
      <w:r w:rsidRPr="001D421A">
        <w:rPr>
          <w:rStyle w:val="A8"/>
          <w:rFonts w:asciiTheme="minorHAnsi" w:hAnsiTheme="minorHAnsi"/>
          <w:color w:val="221E1F"/>
          <w:sz w:val="22"/>
        </w:rPr>
        <w:tab/>
        <w:t>The social worker and/or other members of the comprehensive care team should:</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4B5AE5">
      <w:pPr>
        <w:pStyle w:val="Default"/>
        <w:numPr>
          <w:ilvl w:val="0"/>
          <w:numId w:val="46"/>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provide as much information as possible about the physical, psychological, emotional, and economic dimensions of haemophilia, in terms the patient/parents can understand</w:t>
      </w:r>
    </w:p>
    <w:p w:rsidR="004B5AE5" w:rsidRPr="001D421A" w:rsidRDefault="004B5AE5" w:rsidP="004B5AE5">
      <w:pPr>
        <w:pStyle w:val="Default"/>
        <w:numPr>
          <w:ilvl w:val="0"/>
          <w:numId w:val="46"/>
        </w:numPr>
        <w:spacing w:line="276" w:lineRule="auto"/>
        <w:ind w:left="1701" w:hanging="284"/>
        <w:rPr>
          <w:rFonts w:asciiTheme="minorHAnsi" w:hAnsiTheme="minorHAnsi" w:cs="Arial"/>
          <w:szCs w:val="22"/>
        </w:rPr>
      </w:pPr>
      <w:r w:rsidRPr="001D421A">
        <w:rPr>
          <w:rStyle w:val="A8"/>
          <w:rFonts w:asciiTheme="minorHAnsi" w:hAnsiTheme="minorHAnsi"/>
          <w:color w:val="221E1F"/>
          <w:sz w:val="22"/>
        </w:rPr>
        <w:t>be open and honest about all aspects of care</w:t>
      </w:r>
    </w:p>
    <w:p w:rsidR="00C83A3F" w:rsidRDefault="004B5AE5" w:rsidP="004B5AE5">
      <w:pPr>
        <w:pStyle w:val="Default"/>
        <w:numPr>
          <w:ilvl w:val="0"/>
          <w:numId w:val="46"/>
        </w:numPr>
        <w:spacing w:line="276" w:lineRule="auto"/>
        <w:ind w:left="1701" w:hanging="284"/>
        <w:rPr>
          <w:rStyle w:val="A8"/>
          <w:rFonts w:asciiTheme="minorHAnsi" w:hAnsiTheme="minorHAnsi"/>
          <w:color w:val="221E1F"/>
          <w:sz w:val="22"/>
        </w:rPr>
      </w:pPr>
      <w:proofErr w:type="gramStart"/>
      <w:r w:rsidRPr="001D421A">
        <w:rPr>
          <w:rStyle w:val="A8"/>
          <w:rFonts w:asciiTheme="minorHAnsi" w:hAnsiTheme="minorHAnsi"/>
          <w:color w:val="221E1F"/>
          <w:sz w:val="22"/>
        </w:rPr>
        <w:t>allow</w:t>
      </w:r>
      <w:proofErr w:type="gramEnd"/>
      <w:r w:rsidRPr="001D421A">
        <w:rPr>
          <w:rStyle w:val="A8"/>
          <w:rFonts w:asciiTheme="minorHAnsi" w:hAnsiTheme="minorHAnsi"/>
          <w:color w:val="221E1F"/>
          <w:sz w:val="22"/>
        </w:rPr>
        <w:t xml:space="preserve"> the patient/parents to work through the</w:t>
      </w:r>
      <w:r w:rsidR="00C83A3F">
        <w:rPr>
          <w:rStyle w:val="A8"/>
          <w:rFonts w:asciiTheme="minorHAnsi" w:hAnsiTheme="minorHAnsi"/>
          <w:color w:val="221E1F"/>
          <w:sz w:val="22"/>
        </w:rPr>
        <w:t xml:space="preserve">ir emotions and ask questions. </w:t>
      </w:r>
    </w:p>
    <w:p w:rsidR="004B5AE5" w:rsidRPr="001D421A" w:rsidRDefault="004B5AE5" w:rsidP="004B5AE5">
      <w:pPr>
        <w:pStyle w:val="Default"/>
        <w:numPr>
          <w:ilvl w:val="0"/>
          <w:numId w:val="46"/>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Provide care and support patiently</w:t>
      </w:r>
    </w:p>
    <w:p w:rsidR="004B5AE5" w:rsidRPr="001D421A" w:rsidRDefault="004B5AE5" w:rsidP="004B5AE5">
      <w:pPr>
        <w:pStyle w:val="Default"/>
        <w:numPr>
          <w:ilvl w:val="0"/>
          <w:numId w:val="46"/>
        </w:numPr>
        <w:spacing w:line="276" w:lineRule="auto"/>
        <w:ind w:left="1701" w:hanging="284"/>
        <w:rPr>
          <w:rStyle w:val="A8"/>
          <w:rFonts w:asciiTheme="minorHAnsi" w:hAnsiTheme="minorHAnsi"/>
          <w:color w:val="221E1F"/>
          <w:sz w:val="22"/>
        </w:rPr>
      </w:pPr>
      <w:proofErr w:type="gramStart"/>
      <w:r w:rsidRPr="001D421A">
        <w:rPr>
          <w:rStyle w:val="A8"/>
          <w:rFonts w:asciiTheme="minorHAnsi" w:hAnsiTheme="minorHAnsi"/>
          <w:color w:val="221E1F"/>
          <w:sz w:val="22"/>
        </w:rPr>
        <w:t>talk</w:t>
      </w:r>
      <w:proofErr w:type="gramEnd"/>
      <w:r w:rsidRPr="001D421A">
        <w:rPr>
          <w:rStyle w:val="A8"/>
          <w:rFonts w:asciiTheme="minorHAnsi" w:hAnsiTheme="minorHAnsi"/>
          <w:color w:val="221E1F"/>
          <w:sz w:val="22"/>
        </w:rPr>
        <w:t xml:space="preserve"> to affected children, not just their parents. Children can often understand a good deal about their illness and can work with the phy</w:t>
      </w:r>
      <w:r w:rsidR="00C83A3F">
        <w:rPr>
          <w:rStyle w:val="A8"/>
          <w:rFonts w:asciiTheme="minorHAnsi" w:hAnsiTheme="minorHAnsi"/>
          <w:color w:val="221E1F"/>
          <w:sz w:val="22"/>
        </w:rPr>
        <w:t>si</w:t>
      </w:r>
      <w:r w:rsidR="00C83A3F">
        <w:rPr>
          <w:rStyle w:val="A8"/>
          <w:rFonts w:asciiTheme="minorHAnsi" w:hAnsiTheme="minorHAnsi"/>
          <w:color w:val="221E1F"/>
          <w:sz w:val="22"/>
        </w:rPr>
        <w:softHyphen/>
        <w:t xml:space="preserve">cian if properly informed </w:t>
      </w:r>
      <w:r w:rsidR="00C83A3F">
        <w:rPr>
          <w:rStyle w:val="A8"/>
          <w:rFonts w:asciiTheme="minorHAnsi" w:hAnsiTheme="minorHAnsi"/>
          <w:color w:val="221E1F"/>
          <w:sz w:val="22"/>
        </w:rPr>
        <w:tab/>
      </w:r>
      <w:r w:rsidRPr="001D421A">
        <w:rPr>
          <w:rStyle w:val="A8"/>
          <w:rFonts w:asciiTheme="minorHAnsi" w:hAnsiTheme="minorHAnsi"/>
          <w:color w:val="221E1F"/>
          <w:sz w:val="22"/>
        </w:rPr>
        <w:t xml:space="preserve">and educated </w:t>
      </w:r>
    </w:p>
    <w:p w:rsidR="004B5AE5" w:rsidRPr="001D421A" w:rsidRDefault="004B5AE5" w:rsidP="004B5AE5">
      <w:pPr>
        <w:pStyle w:val="Default"/>
        <w:numPr>
          <w:ilvl w:val="0"/>
          <w:numId w:val="46"/>
        </w:numPr>
        <w:spacing w:line="276" w:lineRule="auto"/>
        <w:ind w:left="1701" w:hanging="284"/>
        <w:rPr>
          <w:rFonts w:asciiTheme="minorHAnsi" w:hAnsiTheme="minorHAnsi" w:cs="Arial"/>
          <w:szCs w:val="22"/>
        </w:rPr>
      </w:pPr>
      <w:r w:rsidRPr="001D421A">
        <w:rPr>
          <w:rStyle w:val="A8"/>
          <w:rFonts w:asciiTheme="minorHAnsi" w:hAnsiTheme="minorHAnsi"/>
          <w:color w:val="221E1F"/>
          <w:sz w:val="22"/>
        </w:rPr>
        <w:t>remind parents not to ignore siblings that are healthy</w:t>
      </w:r>
    </w:p>
    <w:p w:rsidR="004B5AE5" w:rsidRPr="001D421A" w:rsidRDefault="004B5AE5" w:rsidP="004B5AE5">
      <w:pPr>
        <w:pStyle w:val="Default"/>
        <w:numPr>
          <w:ilvl w:val="0"/>
          <w:numId w:val="46"/>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be able to recognise warning signs of burnout and depression, which are common with chronic illness, and provide suggestions for coping</w:t>
      </w:r>
    </w:p>
    <w:p w:rsidR="004B5AE5" w:rsidRPr="001D421A" w:rsidRDefault="004B5AE5" w:rsidP="004B5AE5">
      <w:pPr>
        <w:pStyle w:val="Default"/>
        <w:numPr>
          <w:ilvl w:val="0"/>
          <w:numId w:val="46"/>
        </w:numPr>
        <w:spacing w:line="276" w:lineRule="auto"/>
        <w:ind w:left="1701" w:hanging="284"/>
        <w:rPr>
          <w:rFonts w:asciiTheme="minorHAnsi" w:hAnsiTheme="minorHAnsi" w:cs="Arial"/>
          <w:szCs w:val="22"/>
        </w:rPr>
      </w:pPr>
      <w:r w:rsidRPr="001D421A">
        <w:rPr>
          <w:rStyle w:val="A8"/>
          <w:rFonts w:asciiTheme="minorHAnsi" w:hAnsiTheme="minorHAnsi"/>
          <w:color w:val="221E1F"/>
          <w:sz w:val="22"/>
        </w:rPr>
        <w:t>recognise that cultural background may affect patients’ views of illness</w:t>
      </w:r>
    </w:p>
    <w:p w:rsidR="004B5AE5" w:rsidRPr="001D421A" w:rsidRDefault="004B5AE5" w:rsidP="004B5AE5">
      <w:pPr>
        <w:pStyle w:val="Default"/>
        <w:numPr>
          <w:ilvl w:val="0"/>
          <w:numId w:val="46"/>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encourage patients to engage in productive and leisu</w:t>
      </w:r>
      <w:r w:rsidR="00C83A3F">
        <w:rPr>
          <w:rStyle w:val="A8"/>
          <w:rFonts w:asciiTheme="minorHAnsi" w:hAnsiTheme="minorHAnsi"/>
          <w:color w:val="221E1F"/>
          <w:sz w:val="22"/>
        </w:rPr>
        <w:t xml:space="preserve">re activities at home and in </w:t>
      </w:r>
      <w:r w:rsidRPr="001D421A">
        <w:rPr>
          <w:rStyle w:val="A8"/>
          <w:rFonts w:asciiTheme="minorHAnsi" w:hAnsiTheme="minorHAnsi"/>
          <w:color w:val="221E1F"/>
          <w:sz w:val="22"/>
        </w:rPr>
        <w:t>the workplace</w:t>
      </w:r>
    </w:p>
    <w:p w:rsidR="004B5AE5" w:rsidRPr="001D421A" w:rsidRDefault="004B5AE5" w:rsidP="004B5AE5">
      <w:pPr>
        <w:pStyle w:val="Default"/>
        <w:numPr>
          <w:ilvl w:val="0"/>
          <w:numId w:val="46"/>
        </w:numPr>
        <w:spacing w:line="276" w:lineRule="auto"/>
        <w:ind w:left="1701" w:hanging="284"/>
        <w:rPr>
          <w:rFonts w:asciiTheme="minorHAnsi" w:hAnsiTheme="minorHAnsi" w:cs="Arial"/>
          <w:szCs w:val="22"/>
        </w:rPr>
      </w:pPr>
      <w:r w:rsidRPr="001D421A">
        <w:rPr>
          <w:rStyle w:val="A8"/>
          <w:rFonts w:asciiTheme="minorHAnsi" w:hAnsiTheme="minorHAnsi"/>
          <w:color w:val="221E1F"/>
          <w:sz w:val="22"/>
        </w:rPr>
        <w:t>work in partnership with the patient organi</w:t>
      </w:r>
      <w:r w:rsidRPr="001D421A">
        <w:rPr>
          <w:rStyle w:val="A8"/>
          <w:rFonts w:asciiTheme="minorHAnsi" w:hAnsiTheme="minorHAnsi"/>
          <w:color w:val="221E1F"/>
          <w:sz w:val="22"/>
        </w:rPr>
        <w:softHyphen/>
        <w:t>sation to advocate for haemophilia care and to provide education to families and members of the community</w:t>
      </w:r>
    </w:p>
    <w:p w:rsidR="004B5AE5" w:rsidRPr="001D421A" w:rsidRDefault="004B5AE5" w:rsidP="004B5AE5">
      <w:pPr>
        <w:pStyle w:val="Default"/>
        <w:numPr>
          <w:ilvl w:val="0"/>
          <w:numId w:val="46"/>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enlist the assistance of local groups and orga</w:t>
      </w:r>
      <w:r w:rsidRPr="001D421A">
        <w:rPr>
          <w:rStyle w:val="A8"/>
          <w:rFonts w:asciiTheme="minorHAnsi" w:hAnsiTheme="minorHAnsi"/>
          <w:color w:val="221E1F"/>
          <w:sz w:val="22"/>
        </w:rPr>
        <w:softHyphen/>
        <w:t>nisati</w:t>
      </w:r>
      <w:r w:rsidR="00C83A3F">
        <w:rPr>
          <w:rStyle w:val="A8"/>
          <w:rFonts w:asciiTheme="minorHAnsi" w:hAnsiTheme="minorHAnsi"/>
          <w:color w:val="221E1F"/>
          <w:sz w:val="22"/>
        </w:rPr>
        <w:t xml:space="preserve">ons where social workers are </w:t>
      </w:r>
      <w:r w:rsidRPr="001D421A">
        <w:rPr>
          <w:rStyle w:val="A8"/>
          <w:rFonts w:asciiTheme="minorHAnsi" w:hAnsiTheme="minorHAnsi"/>
          <w:color w:val="221E1F"/>
          <w:sz w:val="22"/>
        </w:rPr>
        <w:t>unavailable</w:t>
      </w:r>
    </w:p>
    <w:p w:rsidR="004B5AE5" w:rsidRPr="001D421A" w:rsidRDefault="004B5AE5" w:rsidP="004B5AE5">
      <w:pPr>
        <w:pStyle w:val="Default"/>
        <w:numPr>
          <w:ilvl w:val="0"/>
          <w:numId w:val="46"/>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involve the school in the care of the patient –to avoid discrimination or bullying of individuals with bleeding disorders</w:t>
      </w:r>
    </w:p>
    <w:p w:rsidR="004B5AE5" w:rsidRPr="001D421A" w:rsidRDefault="004B5AE5" w:rsidP="004B5AE5">
      <w:pPr>
        <w:pStyle w:val="Default"/>
        <w:numPr>
          <w:ilvl w:val="0"/>
          <w:numId w:val="46"/>
        </w:numPr>
        <w:spacing w:line="276" w:lineRule="auto"/>
        <w:ind w:left="1701" w:hanging="284"/>
        <w:rPr>
          <w:rStyle w:val="A8"/>
          <w:rFonts w:asciiTheme="minorHAnsi" w:hAnsiTheme="minorHAnsi"/>
          <w:color w:val="221E1F"/>
          <w:sz w:val="22"/>
        </w:rPr>
      </w:pPr>
      <w:proofErr w:type="gramStart"/>
      <w:r w:rsidRPr="001D421A">
        <w:rPr>
          <w:rStyle w:val="A8"/>
          <w:rFonts w:asciiTheme="minorHAnsi" w:hAnsiTheme="minorHAnsi"/>
          <w:color w:val="221E1F"/>
          <w:sz w:val="22"/>
        </w:rPr>
        <w:t>promote</w:t>
      </w:r>
      <w:proofErr w:type="gramEnd"/>
      <w:r w:rsidRPr="001D421A">
        <w:rPr>
          <w:rStyle w:val="A8"/>
          <w:rFonts w:asciiTheme="minorHAnsi" w:hAnsiTheme="minorHAnsi"/>
          <w:color w:val="221E1F"/>
          <w:sz w:val="22"/>
        </w:rPr>
        <w:t xml:space="preserve"> participation in HFA sponsored programs including </w:t>
      </w:r>
      <w:r w:rsidR="00BB12A1">
        <w:rPr>
          <w:rStyle w:val="A8"/>
          <w:rFonts w:asciiTheme="minorHAnsi" w:hAnsiTheme="minorHAnsi"/>
          <w:color w:val="221E1F"/>
          <w:sz w:val="22"/>
        </w:rPr>
        <w:t>MyABDR</w:t>
      </w:r>
      <w:r w:rsidRPr="001D421A">
        <w:rPr>
          <w:rStyle w:val="A8"/>
          <w:rFonts w:asciiTheme="minorHAnsi" w:hAnsiTheme="minorHAnsi"/>
          <w:color w:val="221E1F"/>
          <w:sz w:val="22"/>
        </w:rPr>
        <w:t>.</w:t>
      </w:r>
    </w:p>
    <w:p w:rsidR="004B5AE5" w:rsidRDefault="004B5AE5" w:rsidP="004B5AE5">
      <w:pPr>
        <w:pStyle w:val="Default"/>
        <w:spacing w:line="276" w:lineRule="auto"/>
        <w:rPr>
          <w:rFonts w:asciiTheme="minorHAnsi" w:hAnsiTheme="minorHAnsi" w:cs="Minion Pro"/>
          <w:color w:val="221E1F"/>
          <w:sz w:val="23"/>
          <w:szCs w:val="23"/>
        </w:rPr>
      </w:pPr>
    </w:p>
    <w:p w:rsidR="00C83A3F" w:rsidRPr="001D421A" w:rsidRDefault="00C83A3F" w:rsidP="004B5AE5">
      <w:pPr>
        <w:pStyle w:val="Default"/>
        <w:spacing w:line="276" w:lineRule="auto"/>
        <w:rPr>
          <w:rFonts w:asciiTheme="minorHAnsi" w:hAnsiTheme="minorHAnsi" w:cs="Minion Pro"/>
          <w:color w:val="221E1F"/>
          <w:sz w:val="23"/>
          <w:szCs w:val="23"/>
        </w:rPr>
      </w:pPr>
    </w:p>
    <w:p w:rsidR="004B5AE5" w:rsidRPr="00214A6A" w:rsidRDefault="004B5AE5" w:rsidP="00041ED2">
      <w:pPr>
        <w:pStyle w:val="Heading3"/>
      </w:pPr>
      <w:bookmarkStart w:id="25" w:name="_Toc431484318"/>
      <w:r w:rsidRPr="00041ED2">
        <w:rPr>
          <w:rStyle w:val="A8"/>
          <w:color w:val="FF0000"/>
        </w:rPr>
        <w:lastRenderedPageBreak/>
        <w:t>2.6 Sexuality</w:t>
      </w:r>
      <w:bookmarkEnd w:id="25"/>
      <w:r w:rsidRPr="00041ED2">
        <w:rPr>
          <w:rStyle w:val="A8"/>
          <w:color w:val="FF0000"/>
        </w:rPr>
        <w:t xml:space="preserve"> </w:t>
      </w: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2.6.1</w:t>
      </w:r>
      <w:r w:rsidRPr="001D421A">
        <w:rPr>
          <w:rStyle w:val="A8"/>
          <w:rFonts w:asciiTheme="minorHAnsi" w:hAnsiTheme="minorHAnsi"/>
          <w:color w:val="221E1F"/>
          <w:sz w:val="22"/>
        </w:rPr>
        <w:tab/>
        <w:t xml:space="preserve">Patients with haemophilia can have normal sexual intercourse. </w:t>
      </w:r>
      <w:r w:rsidRPr="001D421A">
        <w:rPr>
          <w:rStyle w:val="A8"/>
          <w:rFonts w:asciiTheme="minorHAnsi" w:hAnsiTheme="minorHAnsi"/>
          <w:color w:val="221E1F"/>
          <w:sz w:val="22"/>
          <w:vertAlign w:val="superscript"/>
        </w:rPr>
        <w:t>[24]</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2.6.2</w:t>
      </w:r>
      <w:r w:rsidRPr="001D421A">
        <w:rPr>
          <w:rStyle w:val="A8"/>
          <w:rFonts w:asciiTheme="minorHAnsi" w:hAnsiTheme="minorHAnsi"/>
          <w:color w:val="221E1F"/>
          <w:sz w:val="22"/>
        </w:rPr>
        <w:tab/>
        <w:t>Muscle bleedings (for e.g. iliopsoas) may some</w:t>
      </w:r>
      <w:r w:rsidRPr="001D421A">
        <w:rPr>
          <w:rStyle w:val="A8"/>
          <w:rFonts w:asciiTheme="minorHAnsi" w:hAnsiTheme="minorHAnsi"/>
          <w:color w:val="221E1F"/>
          <w:sz w:val="22"/>
        </w:rPr>
        <w:softHyphen/>
        <w:t xml:space="preserve">times be the result of sexual activity.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2.6.3</w:t>
      </w:r>
      <w:r w:rsidRPr="001D421A">
        <w:rPr>
          <w:rStyle w:val="A8"/>
          <w:rFonts w:asciiTheme="minorHAnsi" w:hAnsiTheme="minorHAnsi"/>
          <w:color w:val="221E1F"/>
          <w:sz w:val="22"/>
        </w:rPr>
        <w:tab/>
        <w:t>Complications of haemophilia can be accompa</w:t>
      </w:r>
      <w:r w:rsidRPr="001D421A">
        <w:rPr>
          <w:rStyle w:val="A8"/>
          <w:rFonts w:asciiTheme="minorHAnsi" w:hAnsiTheme="minorHAnsi"/>
          <w:color w:val="221E1F"/>
          <w:sz w:val="22"/>
        </w:rPr>
        <w:softHyphen/>
        <w:t xml:space="preserve">nied by sexual dysfunction, which may include lack of libido or impotence.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2.6.4</w:t>
      </w:r>
      <w:r w:rsidRPr="001D421A">
        <w:rPr>
          <w:rStyle w:val="A8"/>
          <w:rFonts w:asciiTheme="minorHAnsi" w:hAnsiTheme="minorHAnsi"/>
          <w:color w:val="221E1F"/>
          <w:sz w:val="22"/>
        </w:rPr>
        <w:tab/>
        <w:t xml:space="preserve">Pain or fear of pain may affect sexual desire, and haemophilic arthropathy may place limitations on sexual intercourse.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2.6.5</w:t>
      </w:r>
      <w:r w:rsidRPr="001D421A">
        <w:rPr>
          <w:rStyle w:val="A8"/>
          <w:rFonts w:asciiTheme="minorHAnsi" w:hAnsiTheme="minorHAnsi"/>
          <w:color w:val="221E1F"/>
          <w:sz w:val="22"/>
        </w:rPr>
        <w:tab/>
        <w:t>Sexuality is also affected by chronic HCV and HIV infection, age-related diseases like hyper</w:t>
      </w:r>
      <w:r w:rsidRPr="001D421A">
        <w:rPr>
          <w:rStyle w:val="A8"/>
          <w:rFonts w:asciiTheme="minorHAnsi" w:hAnsiTheme="minorHAnsi"/>
          <w:color w:val="221E1F"/>
          <w:sz w:val="22"/>
        </w:rPr>
        <w:softHyphen/>
        <w:t xml:space="preserve">tension and diabetes mellitus, and certain medications.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2.6.6</w:t>
      </w:r>
      <w:r w:rsidRPr="001D421A">
        <w:rPr>
          <w:rStyle w:val="A8"/>
          <w:rFonts w:asciiTheme="minorHAnsi" w:hAnsiTheme="minorHAnsi"/>
          <w:color w:val="221E1F"/>
          <w:sz w:val="22"/>
        </w:rPr>
        <w:tab/>
        <w:t>In some cases, oral phosphodiesterase-5 inhib</w:t>
      </w:r>
      <w:r w:rsidRPr="001D421A">
        <w:rPr>
          <w:rStyle w:val="A8"/>
          <w:rFonts w:asciiTheme="minorHAnsi" w:hAnsiTheme="minorHAnsi"/>
          <w:color w:val="221E1F"/>
          <w:sz w:val="22"/>
        </w:rPr>
        <w:softHyphen/>
        <w:t xml:space="preserve">itors (sildenafil, tadalafil) may be helpful. These medications mildly inhibit platelet aggregation in vitro, and may cause epistaxis due to nasal congestion. </w:t>
      </w:r>
    </w:p>
    <w:p w:rsidR="004B5AE5" w:rsidRPr="001D421A" w:rsidRDefault="004B5AE5" w:rsidP="004B5AE5">
      <w:pPr>
        <w:autoSpaceDE w:val="0"/>
        <w:autoSpaceDN w:val="0"/>
        <w:adjustRightInd w:val="0"/>
        <w:spacing w:after="0"/>
        <w:ind w:left="709"/>
        <w:rPr>
          <w:rFonts w:asciiTheme="minorHAnsi" w:hAnsiTheme="minorHAnsi" w:cs="Arial"/>
          <w:b/>
          <w:bCs/>
          <w:color w:val="E31736"/>
          <w:lang w:eastAsia="en-US"/>
        </w:rPr>
      </w:pPr>
    </w:p>
    <w:p w:rsidR="004B5AE5" w:rsidRPr="00214A6A" w:rsidRDefault="004B5AE5" w:rsidP="00041ED2">
      <w:pPr>
        <w:pStyle w:val="Heading3"/>
      </w:pPr>
      <w:bookmarkStart w:id="26" w:name="_Toc431484319"/>
      <w:r w:rsidRPr="00041ED2">
        <w:rPr>
          <w:rStyle w:val="A8"/>
          <w:color w:val="FF0000"/>
        </w:rPr>
        <w:t>2.7 Ageing haemophilia patients</w:t>
      </w:r>
      <w:bookmarkEnd w:id="26"/>
      <w:r w:rsidRPr="00041ED2">
        <w:rPr>
          <w:rStyle w:val="A8"/>
          <w:color w:val="FF0000"/>
        </w:rPr>
        <w:t xml:space="preserve"> </w:t>
      </w: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2.7.1</w:t>
      </w:r>
      <w:r w:rsidRPr="001D421A">
        <w:rPr>
          <w:rStyle w:val="A8"/>
          <w:rFonts w:asciiTheme="minorHAnsi" w:hAnsiTheme="minorHAnsi"/>
          <w:color w:val="221E1F"/>
          <w:sz w:val="22"/>
        </w:rPr>
        <w:tab/>
        <w:t xml:space="preserve">Ageing patients with haemophilia will inevitably suffer from age-related diseases. </w:t>
      </w:r>
      <w:r w:rsidRPr="001D421A">
        <w:rPr>
          <w:rStyle w:val="A8"/>
          <w:rFonts w:asciiTheme="minorHAnsi" w:hAnsiTheme="minorHAnsi"/>
          <w:color w:val="221E1F"/>
          <w:sz w:val="22"/>
          <w:vertAlign w:val="superscript"/>
        </w:rPr>
        <w:t>[24</w:t>
      </w:r>
      <w:proofErr w:type="gramStart"/>
      <w:r w:rsidRPr="001D421A">
        <w:rPr>
          <w:rStyle w:val="A8"/>
          <w:rFonts w:asciiTheme="minorHAnsi" w:hAnsiTheme="minorHAnsi"/>
          <w:color w:val="221E1F"/>
          <w:sz w:val="22"/>
          <w:vertAlign w:val="superscript"/>
        </w:rPr>
        <w:t>,25</w:t>
      </w:r>
      <w:proofErr w:type="gramEnd"/>
      <w:r w:rsidRPr="001D421A">
        <w:rPr>
          <w:rStyle w:val="A8"/>
          <w:rFonts w:asciiTheme="minorHAnsi" w:hAnsiTheme="minorHAnsi"/>
          <w:color w:val="221E1F"/>
          <w:sz w:val="22"/>
          <w:vertAlign w:val="superscript"/>
        </w:rPr>
        <w:t>]</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2.7.2</w:t>
      </w:r>
      <w:r w:rsidRPr="001D421A">
        <w:rPr>
          <w:rStyle w:val="A8"/>
          <w:rFonts w:asciiTheme="minorHAnsi" w:hAnsiTheme="minorHAnsi"/>
          <w:color w:val="221E1F"/>
          <w:sz w:val="22"/>
        </w:rPr>
        <w:tab/>
        <w:t>Comorbidities in ageing haemophilia patients should be managed appropriately as they may accentuate problems associated with haemophilia and impact the patient’s physical and psychoso</w:t>
      </w:r>
      <w:r w:rsidRPr="001D421A">
        <w:rPr>
          <w:rStyle w:val="A8"/>
          <w:rFonts w:asciiTheme="minorHAnsi" w:hAnsiTheme="minorHAnsi"/>
          <w:color w:val="221E1F"/>
          <w:sz w:val="22"/>
        </w:rPr>
        <w:softHyphen/>
        <w:t xml:space="preserve">cial health, and thus their quality of life. </w:t>
      </w:r>
    </w:p>
    <w:p w:rsidR="004B5AE5" w:rsidRPr="00041ED2" w:rsidRDefault="004B5AE5" w:rsidP="00041ED2">
      <w:pPr>
        <w:pStyle w:val="Heading4"/>
        <w:rPr>
          <w:rStyle w:val="A8"/>
          <w:rFonts w:eastAsia="Calibri"/>
          <w:b w:val="0"/>
          <w:i w:val="0"/>
          <w:color w:val="000000"/>
          <w:sz w:val="22"/>
        </w:rPr>
      </w:pPr>
      <w:r w:rsidRPr="00041ED2">
        <w:rPr>
          <w:rStyle w:val="A8"/>
          <w:rFonts w:eastAsia="Calibri"/>
          <w:color w:val="000000"/>
          <w:sz w:val="22"/>
        </w:rPr>
        <w:t xml:space="preserve">Osteoporosis </w:t>
      </w: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2.7.3</w:t>
      </w:r>
      <w:r w:rsidRPr="001D421A">
        <w:rPr>
          <w:rStyle w:val="A8"/>
          <w:rFonts w:asciiTheme="minorHAnsi" w:hAnsiTheme="minorHAnsi"/>
          <w:color w:val="221E1F"/>
          <w:sz w:val="22"/>
        </w:rPr>
        <w:tab/>
        <w:t xml:space="preserve">Bone mineral density (BMD) is decreased in people with haemophilia. </w:t>
      </w:r>
      <w:r w:rsidRPr="001D421A">
        <w:rPr>
          <w:rStyle w:val="A8"/>
          <w:rFonts w:asciiTheme="minorHAnsi" w:hAnsiTheme="minorHAnsi"/>
          <w:color w:val="221E1F"/>
          <w:sz w:val="22"/>
          <w:vertAlign w:val="superscript"/>
        </w:rPr>
        <w:t>[26</w:t>
      </w:r>
      <w:proofErr w:type="gramStart"/>
      <w:r w:rsidRPr="001D421A">
        <w:rPr>
          <w:rStyle w:val="A8"/>
          <w:rFonts w:asciiTheme="minorHAnsi" w:hAnsiTheme="minorHAnsi"/>
          <w:color w:val="221E1F"/>
          <w:sz w:val="22"/>
          <w:vertAlign w:val="superscript"/>
        </w:rPr>
        <w:t>,27</w:t>
      </w:r>
      <w:proofErr w:type="gramEnd"/>
      <w:r w:rsidRPr="001D421A">
        <w:rPr>
          <w:rStyle w:val="A8"/>
          <w:rFonts w:asciiTheme="minorHAnsi" w:hAnsiTheme="minorHAnsi"/>
          <w:color w:val="221E1F"/>
          <w:sz w:val="22"/>
          <w:vertAlign w:val="superscript"/>
        </w:rPr>
        <w:t>]</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2.7.4</w:t>
      </w:r>
      <w:r w:rsidRPr="001D421A">
        <w:rPr>
          <w:rStyle w:val="A8"/>
          <w:rFonts w:asciiTheme="minorHAnsi" w:hAnsiTheme="minorHAnsi"/>
          <w:color w:val="221E1F"/>
          <w:sz w:val="22"/>
        </w:rPr>
        <w:tab/>
        <w:t xml:space="preserve">An increased number of arthropathic joints, loss of joint movement, and muscle atrophy leading to inactivity are associated with a lower BMD. </w:t>
      </w:r>
      <w:r w:rsidRPr="001D421A">
        <w:rPr>
          <w:rStyle w:val="A8"/>
          <w:rFonts w:asciiTheme="minorHAnsi" w:hAnsiTheme="minorHAnsi"/>
          <w:color w:val="221E1F"/>
          <w:sz w:val="22"/>
          <w:vertAlign w:val="superscript"/>
        </w:rPr>
        <w:t>[27]</w:t>
      </w:r>
      <w:r w:rsidRPr="001D421A">
        <w:rPr>
          <w:rStyle w:val="A8"/>
          <w:rFonts w:asciiTheme="minorHAnsi" w:hAnsiTheme="minorHAnsi"/>
          <w:color w:val="221E1F"/>
          <w:sz w:val="22"/>
        </w:rPr>
        <w:t xml:space="preserve"> It is recommended that BMD should be routinely checked in individuals with these additional risk factors for reduced bone density.</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2.7.5</w:t>
      </w:r>
      <w:r w:rsidRPr="001D421A">
        <w:rPr>
          <w:rStyle w:val="A8"/>
          <w:rFonts w:asciiTheme="minorHAnsi" w:hAnsiTheme="minorHAnsi"/>
          <w:color w:val="221E1F"/>
          <w:sz w:val="22"/>
        </w:rPr>
        <w:tab/>
        <w:t xml:space="preserve">Weight-bearing activities (suitable sports) that promote development and maintenance of good bone density should be encouraged if joint health permits.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2.7.6</w:t>
      </w:r>
      <w:r w:rsidRPr="001D421A">
        <w:rPr>
          <w:rStyle w:val="A8"/>
          <w:rFonts w:asciiTheme="minorHAnsi" w:hAnsiTheme="minorHAnsi"/>
          <w:color w:val="221E1F"/>
          <w:sz w:val="22"/>
        </w:rPr>
        <w:tab/>
        <w:t>Calcium and vitamin D supplementation are also important and bisphosphonate therapy may be required. A dental evaluation is advis</w:t>
      </w:r>
      <w:r w:rsidRPr="001D421A">
        <w:rPr>
          <w:rStyle w:val="A8"/>
          <w:rFonts w:asciiTheme="minorHAnsi" w:hAnsiTheme="minorHAnsi"/>
          <w:color w:val="221E1F"/>
          <w:sz w:val="22"/>
        </w:rPr>
        <w:softHyphen/>
        <w:t xml:space="preserve">able before initiating long-term bisphosphonate therapy. </w:t>
      </w:r>
      <w:r w:rsidRPr="001D421A">
        <w:rPr>
          <w:rStyle w:val="A8"/>
          <w:rFonts w:asciiTheme="minorHAnsi" w:hAnsiTheme="minorHAnsi"/>
          <w:color w:val="221E1F"/>
          <w:sz w:val="22"/>
          <w:vertAlign w:val="superscript"/>
        </w:rPr>
        <w:t>[28</w:t>
      </w:r>
      <w:proofErr w:type="gramStart"/>
      <w:r w:rsidRPr="001D421A">
        <w:rPr>
          <w:rStyle w:val="A8"/>
          <w:rFonts w:asciiTheme="minorHAnsi" w:hAnsiTheme="minorHAnsi"/>
          <w:color w:val="221E1F"/>
          <w:sz w:val="22"/>
          <w:vertAlign w:val="superscript"/>
        </w:rPr>
        <w:t>,29</w:t>
      </w:r>
      <w:proofErr w:type="gramEnd"/>
      <w:r w:rsidRPr="001D421A">
        <w:rPr>
          <w:rStyle w:val="A8"/>
          <w:rFonts w:asciiTheme="minorHAnsi" w:hAnsiTheme="minorHAnsi"/>
          <w:color w:val="221E1F"/>
          <w:sz w:val="22"/>
          <w:vertAlign w:val="superscript"/>
        </w:rPr>
        <w:t>]</w:t>
      </w:r>
    </w:p>
    <w:p w:rsidR="004B5AE5" w:rsidRPr="001D421A" w:rsidRDefault="004B5AE5" w:rsidP="00041ED2">
      <w:pPr>
        <w:pStyle w:val="Heading4"/>
        <w:rPr>
          <w:rStyle w:val="A8"/>
          <w:color w:val="221E1F"/>
          <w:sz w:val="22"/>
        </w:rPr>
      </w:pPr>
      <w:r w:rsidRPr="001D421A">
        <w:t>Obesity</w:t>
      </w:r>
      <w:r w:rsidRPr="001D421A">
        <w:rPr>
          <w:rStyle w:val="A8"/>
          <w:color w:val="221E1F"/>
          <w:sz w:val="22"/>
        </w:rPr>
        <w:t xml:space="preserve"> </w:t>
      </w: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2.7.7</w:t>
      </w:r>
      <w:r w:rsidRPr="001D421A">
        <w:rPr>
          <w:rStyle w:val="A8"/>
          <w:rFonts w:asciiTheme="minorHAnsi" w:hAnsiTheme="minorHAnsi"/>
          <w:color w:val="221E1F"/>
          <w:sz w:val="22"/>
        </w:rPr>
        <w:tab/>
      </w:r>
      <w:r w:rsidRPr="001D421A">
        <w:rPr>
          <w:rStyle w:val="A8"/>
          <w:rFonts w:asciiTheme="minorHAnsi" w:hAnsiTheme="minorHAnsi"/>
          <w:color w:val="221E1F"/>
          <w:sz w:val="22"/>
        </w:rPr>
        <w:tab/>
        <w:t xml:space="preserve">The prevalence of overweight (BMI 25-30 kg/m2) and obesity (BMI &gt; 30kg/m2) is increasing. </w:t>
      </w:r>
      <w:r w:rsidRPr="001D421A">
        <w:rPr>
          <w:rStyle w:val="A8"/>
          <w:rFonts w:asciiTheme="minorHAnsi" w:hAnsiTheme="minorHAnsi"/>
          <w:color w:val="221E1F"/>
          <w:sz w:val="22"/>
          <w:vertAlign w:val="superscript"/>
        </w:rPr>
        <w:t>[30]</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lastRenderedPageBreak/>
        <w:t>2.7.8</w:t>
      </w:r>
      <w:r w:rsidRPr="001D421A">
        <w:rPr>
          <w:rStyle w:val="A8"/>
          <w:rFonts w:asciiTheme="minorHAnsi" w:hAnsiTheme="minorHAnsi"/>
          <w:color w:val="221E1F"/>
          <w:sz w:val="22"/>
        </w:rPr>
        <w:tab/>
        <w:t xml:space="preserve">Lack of activity may contribute to an increase in BMI and increased body weight.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2.7.9</w:t>
      </w:r>
      <w:r w:rsidRPr="001D421A">
        <w:rPr>
          <w:rStyle w:val="A8"/>
          <w:rFonts w:asciiTheme="minorHAnsi" w:hAnsiTheme="minorHAnsi"/>
          <w:color w:val="221E1F"/>
          <w:sz w:val="22"/>
        </w:rPr>
        <w:tab/>
        <w:t xml:space="preserve">A high BMI has been associated with: a significant limitation in range of motion (ROM) </w:t>
      </w:r>
      <w:r w:rsidRPr="001D421A">
        <w:rPr>
          <w:rStyle w:val="A8"/>
          <w:rFonts w:asciiTheme="minorHAnsi" w:hAnsiTheme="minorHAnsi"/>
          <w:color w:val="221E1F"/>
          <w:sz w:val="22"/>
          <w:vertAlign w:val="superscript"/>
        </w:rPr>
        <w:t>[31]</w:t>
      </w:r>
      <w:r w:rsidRPr="001D421A">
        <w:rPr>
          <w:rStyle w:val="A8"/>
          <w:rFonts w:asciiTheme="minorHAnsi" w:hAnsiTheme="minorHAnsi"/>
          <w:color w:val="221E1F"/>
          <w:sz w:val="22"/>
        </w:rPr>
        <w:t xml:space="preserve"> </w:t>
      </w:r>
    </w:p>
    <w:p w:rsidR="004B5AE5" w:rsidRDefault="004B5AE5" w:rsidP="004B5AE5">
      <w:pPr>
        <w:pStyle w:val="Default"/>
        <w:spacing w:line="276" w:lineRule="auto"/>
        <w:ind w:left="1433"/>
        <w:rPr>
          <w:rStyle w:val="A8"/>
          <w:rFonts w:asciiTheme="minorHAnsi" w:hAnsiTheme="minorHAnsi"/>
          <w:color w:val="221E1F"/>
          <w:sz w:val="22"/>
        </w:rPr>
      </w:pPr>
    </w:p>
    <w:p w:rsidR="004B5AE5" w:rsidRPr="001D421A" w:rsidRDefault="004B5AE5" w:rsidP="004B5AE5">
      <w:pPr>
        <w:pStyle w:val="Default"/>
        <w:numPr>
          <w:ilvl w:val="0"/>
          <w:numId w:val="47"/>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 xml:space="preserve">increased arthropathic pain </w:t>
      </w:r>
    </w:p>
    <w:p w:rsidR="004B5AE5" w:rsidRDefault="004B5AE5" w:rsidP="004B5AE5">
      <w:pPr>
        <w:pStyle w:val="Default"/>
        <w:numPr>
          <w:ilvl w:val="0"/>
          <w:numId w:val="47"/>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 xml:space="preserve">increased risk of developing target joints </w:t>
      </w:r>
      <w:r w:rsidRPr="001D421A">
        <w:rPr>
          <w:rStyle w:val="A8"/>
          <w:rFonts w:asciiTheme="minorHAnsi" w:hAnsiTheme="minorHAnsi"/>
          <w:color w:val="221E1F"/>
          <w:sz w:val="22"/>
          <w:vertAlign w:val="superscript"/>
        </w:rPr>
        <w:t>[32]</w:t>
      </w:r>
      <w:r w:rsidRPr="001D421A">
        <w:rPr>
          <w:rStyle w:val="A8"/>
          <w:rFonts w:asciiTheme="minorHAnsi" w:hAnsiTheme="minorHAnsi"/>
          <w:color w:val="221E1F"/>
          <w:sz w:val="22"/>
        </w:rPr>
        <w:t xml:space="preserve"> </w:t>
      </w:r>
      <w:r w:rsidRPr="004C79FF">
        <w:rPr>
          <w:rStyle w:val="A8"/>
          <w:rFonts w:asciiTheme="minorHAnsi" w:hAnsiTheme="minorHAnsi"/>
          <w:color w:val="221E1F"/>
          <w:sz w:val="22"/>
        </w:rPr>
        <w:t xml:space="preserve"> </w:t>
      </w:r>
    </w:p>
    <w:p w:rsidR="004B5AE5" w:rsidRPr="004C79FF" w:rsidRDefault="004B5AE5" w:rsidP="004B5AE5">
      <w:pPr>
        <w:pStyle w:val="Default"/>
        <w:numPr>
          <w:ilvl w:val="0"/>
          <w:numId w:val="47"/>
        </w:numPr>
        <w:spacing w:line="276" w:lineRule="auto"/>
        <w:ind w:left="1701" w:hanging="284"/>
        <w:rPr>
          <w:rStyle w:val="A8"/>
          <w:rFonts w:asciiTheme="minorHAnsi" w:hAnsiTheme="minorHAnsi"/>
          <w:color w:val="221E1F"/>
          <w:sz w:val="22"/>
        </w:rPr>
      </w:pPr>
      <w:proofErr w:type="gramStart"/>
      <w:r w:rsidRPr="004C79FF">
        <w:rPr>
          <w:rStyle w:val="A8"/>
          <w:rFonts w:asciiTheme="minorHAnsi" w:hAnsiTheme="minorHAnsi"/>
          <w:color w:val="221E1F"/>
          <w:sz w:val="22"/>
        </w:rPr>
        <w:t>increased</w:t>
      </w:r>
      <w:proofErr w:type="gramEnd"/>
      <w:r w:rsidRPr="004C79FF">
        <w:rPr>
          <w:rStyle w:val="A8"/>
          <w:rFonts w:asciiTheme="minorHAnsi" w:hAnsiTheme="minorHAnsi"/>
          <w:color w:val="221E1F"/>
          <w:sz w:val="22"/>
        </w:rPr>
        <w:t xml:space="preserve"> risk of diabetes mellitus, atheroscle</w:t>
      </w:r>
      <w:r w:rsidRPr="004C79FF">
        <w:rPr>
          <w:rStyle w:val="A8"/>
          <w:rFonts w:asciiTheme="minorHAnsi" w:hAnsiTheme="minorHAnsi"/>
          <w:color w:val="221E1F"/>
          <w:sz w:val="22"/>
        </w:rPr>
        <w:softHyphen/>
        <w:t xml:space="preserve">rosis, and cardiovascular disease, which may further damage arthropathic joints. </w:t>
      </w:r>
    </w:p>
    <w:p w:rsidR="004B5AE5" w:rsidRPr="001D421A" w:rsidRDefault="004B5AE5" w:rsidP="004B5AE5">
      <w:pPr>
        <w:pStyle w:val="Default"/>
        <w:spacing w:line="276" w:lineRule="auto"/>
        <w:ind w:left="1433"/>
        <w:rPr>
          <w:rStyle w:val="A8"/>
          <w:rFonts w:asciiTheme="minorHAnsi" w:hAnsiTheme="minorHAnsi"/>
          <w:color w:val="221E1F"/>
          <w:sz w:val="22"/>
        </w:rPr>
      </w:pPr>
      <w:r w:rsidRPr="001D421A">
        <w:rPr>
          <w:rStyle w:val="A8"/>
          <w:rFonts w:asciiTheme="minorHAnsi" w:hAnsiTheme="minorHAnsi"/>
          <w:color w:val="221E1F"/>
          <w:sz w:val="22"/>
        </w:rPr>
        <w:tab/>
      </w: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2.7.10</w:t>
      </w:r>
      <w:r w:rsidRPr="001D421A">
        <w:rPr>
          <w:rStyle w:val="A8"/>
          <w:rFonts w:asciiTheme="minorHAnsi" w:hAnsiTheme="minorHAnsi"/>
          <w:color w:val="221E1F"/>
          <w:sz w:val="22"/>
        </w:rPr>
        <w:tab/>
        <w:t>Regular physical activity should be advised.</w:t>
      </w:r>
    </w:p>
    <w:p w:rsidR="004B5AE5" w:rsidRPr="001D421A" w:rsidRDefault="004B5AE5" w:rsidP="004B5AE5">
      <w:pPr>
        <w:pStyle w:val="Default"/>
        <w:spacing w:line="276" w:lineRule="auto"/>
        <w:ind w:left="1433" w:hanging="1320"/>
        <w:rPr>
          <w:rStyle w:val="A8"/>
          <w:rFonts w:asciiTheme="minorHAnsi" w:hAnsiTheme="minorHAnsi"/>
          <w:color w:val="221E1F"/>
          <w:sz w:val="22"/>
        </w:rPr>
      </w:pPr>
      <w:r w:rsidRPr="001D421A">
        <w:rPr>
          <w:rStyle w:val="A8"/>
          <w:rFonts w:asciiTheme="minorHAnsi" w:hAnsiTheme="minorHAnsi"/>
          <w:color w:val="221E1F"/>
          <w:sz w:val="22"/>
        </w:rPr>
        <w:t xml:space="preserve"> </w:t>
      </w: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2.7.11</w:t>
      </w:r>
      <w:r w:rsidRPr="001D421A">
        <w:rPr>
          <w:rStyle w:val="A8"/>
          <w:rFonts w:asciiTheme="minorHAnsi" w:hAnsiTheme="minorHAnsi"/>
          <w:color w:val="221E1F"/>
          <w:sz w:val="22"/>
        </w:rPr>
        <w:tab/>
      </w:r>
      <w:proofErr w:type="gramStart"/>
      <w:r w:rsidRPr="001D421A">
        <w:rPr>
          <w:rStyle w:val="A8"/>
          <w:rFonts w:asciiTheme="minorHAnsi" w:hAnsiTheme="minorHAnsi"/>
          <w:color w:val="221E1F"/>
          <w:sz w:val="22"/>
        </w:rPr>
        <w:t>If</w:t>
      </w:r>
      <w:proofErr w:type="gramEnd"/>
      <w:r w:rsidRPr="001D421A">
        <w:rPr>
          <w:rStyle w:val="A8"/>
          <w:rFonts w:asciiTheme="minorHAnsi" w:hAnsiTheme="minorHAnsi"/>
          <w:color w:val="221E1F"/>
          <w:sz w:val="22"/>
        </w:rPr>
        <w:t xml:space="preserve"> functional limitations restrict daily activities, a physiotherapist familiar with haemophilia may be able to suggest appropriate alternatives.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2.7.12</w:t>
      </w:r>
      <w:r w:rsidRPr="001D421A">
        <w:rPr>
          <w:rStyle w:val="A8"/>
          <w:rFonts w:asciiTheme="minorHAnsi" w:hAnsiTheme="minorHAnsi"/>
          <w:color w:val="221E1F"/>
          <w:sz w:val="22"/>
        </w:rPr>
        <w:tab/>
      </w:r>
      <w:proofErr w:type="gramStart"/>
      <w:r w:rsidRPr="001D421A">
        <w:rPr>
          <w:rStyle w:val="A8"/>
          <w:rFonts w:asciiTheme="minorHAnsi" w:hAnsiTheme="minorHAnsi"/>
          <w:color w:val="221E1F"/>
          <w:sz w:val="22"/>
        </w:rPr>
        <w:t>In</w:t>
      </w:r>
      <w:proofErr w:type="gramEnd"/>
      <w:r w:rsidRPr="001D421A">
        <w:rPr>
          <w:rStyle w:val="A8"/>
          <w:rFonts w:asciiTheme="minorHAnsi" w:hAnsiTheme="minorHAnsi"/>
          <w:color w:val="221E1F"/>
          <w:sz w:val="22"/>
        </w:rPr>
        <w:t xml:space="preserve"> some cases referral to a dietician may be indicated.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2.7.13</w:t>
      </w:r>
      <w:r w:rsidRPr="001D421A">
        <w:rPr>
          <w:rStyle w:val="A8"/>
          <w:rFonts w:asciiTheme="minorHAnsi" w:hAnsiTheme="minorHAnsi"/>
          <w:color w:val="221E1F"/>
          <w:sz w:val="22"/>
        </w:rPr>
        <w:tab/>
      </w:r>
      <w:proofErr w:type="gramStart"/>
      <w:r w:rsidRPr="001D421A">
        <w:rPr>
          <w:rStyle w:val="A8"/>
          <w:rFonts w:asciiTheme="minorHAnsi" w:hAnsiTheme="minorHAnsi"/>
          <w:color w:val="221E1F"/>
          <w:sz w:val="22"/>
        </w:rPr>
        <w:t>Dosing</w:t>
      </w:r>
      <w:proofErr w:type="gramEnd"/>
      <w:r w:rsidRPr="001D421A">
        <w:rPr>
          <w:rStyle w:val="A8"/>
          <w:rFonts w:asciiTheme="minorHAnsi" w:hAnsiTheme="minorHAnsi"/>
          <w:color w:val="221E1F"/>
          <w:sz w:val="22"/>
        </w:rPr>
        <w:t xml:space="preserve"> of FVIII in obese patients should be based on Ideal body weight. </w:t>
      </w:r>
      <w:r w:rsidRPr="001D421A">
        <w:rPr>
          <w:rStyle w:val="A8"/>
          <w:rFonts w:asciiTheme="minorHAnsi" w:hAnsiTheme="minorHAnsi"/>
          <w:color w:val="221E1F"/>
          <w:sz w:val="22"/>
          <w:vertAlign w:val="superscript"/>
        </w:rPr>
        <w:t>[33]</w:t>
      </w:r>
    </w:p>
    <w:p w:rsidR="004B5AE5" w:rsidRPr="00041ED2" w:rsidRDefault="004B5AE5" w:rsidP="00041ED2">
      <w:pPr>
        <w:pStyle w:val="Heading4"/>
        <w:rPr>
          <w:rStyle w:val="A8"/>
          <w:b w:val="0"/>
          <w:i w:val="0"/>
          <w:color w:val="000000"/>
          <w:sz w:val="22"/>
          <w:lang w:eastAsia="en-US"/>
        </w:rPr>
      </w:pPr>
      <w:r w:rsidRPr="004C79FF">
        <w:rPr>
          <w:lang w:eastAsia="en-US"/>
        </w:rPr>
        <w:t xml:space="preserve">Hypertension </w:t>
      </w: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2.7.14</w:t>
      </w:r>
      <w:r w:rsidRPr="001D421A">
        <w:rPr>
          <w:rStyle w:val="A8"/>
          <w:rFonts w:asciiTheme="minorHAnsi" w:hAnsiTheme="minorHAnsi"/>
          <w:color w:val="221E1F"/>
          <w:sz w:val="22"/>
        </w:rPr>
        <w:tab/>
        <w:t>Haemophilia patients have a higher mean blood pressure, are twice as likely to have hyperten</w:t>
      </w:r>
      <w:r w:rsidRPr="001D421A">
        <w:rPr>
          <w:rStyle w:val="A8"/>
          <w:rFonts w:asciiTheme="minorHAnsi" w:hAnsiTheme="minorHAnsi"/>
          <w:color w:val="221E1F"/>
          <w:sz w:val="22"/>
        </w:rPr>
        <w:softHyphen/>
        <w:t xml:space="preserve">sion, and use more anti-hypertensive medication compared to the general population. </w:t>
      </w:r>
      <w:r w:rsidRPr="001D421A">
        <w:rPr>
          <w:rStyle w:val="A8"/>
          <w:rFonts w:asciiTheme="minorHAnsi" w:hAnsiTheme="minorHAnsi"/>
          <w:color w:val="221E1F"/>
          <w:sz w:val="22"/>
          <w:vertAlign w:val="superscript"/>
        </w:rPr>
        <w:t>[34</w:t>
      </w:r>
      <w:proofErr w:type="gramStart"/>
      <w:r w:rsidRPr="001D421A">
        <w:rPr>
          <w:rStyle w:val="A8"/>
          <w:rFonts w:asciiTheme="minorHAnsi" w:hAnsiTheme="minorHAnsi"/>
          <w:color w:val="221E1F"/>
          <w:sz w:val="22"/>
          <w:vertAlign w:val="superscript"/>
        </w:rPr>
        <w:t>,35</w:t>
      </w:r>
      <w:proofErr w:type="gramEnd"/>
      <w:r w:rsidRPr="001D421A">
        <w:rPr>
          <w:rStyle w:val="A8"/>
          <w:rFonts w:asciiTheme="minorHAnsi" w:hAnsiTheme="minorHAnsi"/>
          <w:color w:val="221E1F"/>
          <w:sz w:val="22"/>
          <w:vertAlign w:val="superscript"/>
        </w:rPr>
        <w:t>]</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2.7.15</w:t>
      </w:r>
      <w:r w:rsidRPr="001D421A">
        <w:rPr>
          <w:rStyle w:val="A8"/>
          <w:rFonts w:asciiTheme="minorHAnsi" w:hAnsiTheme="minorHAnsi"/>
          <w:color w:val="221E1F"/>
          <w:sz w:val="22"/>
        </w:rPr>
        <w:tab/>
        <w:t>In view of increased risk of bleeding, hyperten</w:t>
      </w:r>
      <w:r w:rsidRPr="001D421A">
        <w:rPr>
          <w:rStyle w:val="A8"/>
          <w:rFonts w:asciiTheme="minorHAnsi" w:hAnsiTheme="minorHAnsi"/>
          <w:color w:val="221E1F"/>
          <w:sz w:val="22"/>
        </w:rPr>
        <w:softHyphen/>
        <w:t xml:space="preserve">sive patients with haemophilia should be treated adequately and have their blood pressure checked as part of routine clinical review.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2.7.16</w:t>
      </w:r>
      <w:r w:rsidRPr="001D421A">
        <w:rPr>
          <w:rStyle w:val="A8"/>
          <w:rFonts w:asciiTheme="minorHAnsi" w:hAnsiTheme="minorHAnsi"/>
          <w:color w:val="221E1F"/>
          <w:sz w:val="22"/>
        </w:rPr>
        <w:tab/>
      </w:r>
      <w:proofErr w:type="gramStart"/>
      <w:r w:rsidRPr="001D421A">
        <w:rPr>
          <w:rStyle w:val="A8"/>
          <w:rFonts w:asciiTheme="minorHAnsi" w:hAnsiTheme="minorHAnsi"/>
          <w:color w:val="221E1F"/>
          <w:sz w:val="22"/>
        </w:rPr>
        <w:t>In</w:t>
      </w:r>
      <w:proofErr w:type="gramEnd"/>
      <w:r w:rsidRPr="001D421A">
        <w:rPr>
          <w:rStyle w:val="A8"/>
          <w:rFonts w:asciiTheme="minorHAnsi" w:hAnsiTheme="minorHAnsi"/>
          <w:color w:val="221E1F"/>
          <w:sz w:val="22"/>
        </w:rPr>
        <w:t xml:space="preserve"> the absence of other cardiovascular risk factors, a systolic blood pressure ≤140 mmHg and a diastolic pressure ≤90 mmHg should be maintained. </w:t>
      </w:r>
    </w:p>
    <w:p w:rsidR="004B5AE5" w:rsidRPr="00041ED2" w:rsidRDefault="004B5AE5" w:rsidP="00041ED2">
      <w:pPr>
        <w:pStyle w:val="Heading4"/>
        <w:rPr>
          <w:rStyle w:val="A8"/>
          <w:b w:val="0"/>
          <w:i w:val="0"/>
          <w:color w:val="000000"/>
          <w:sz w:val="22"/>
          <w:lang w:eastAsia="en-US"/>
        </w:rPr>
      </w:pPr>
      <w:r w:rsidRPr="004C79FF">
        <w:rPr>
          <w:lang w:eastAsia="en-US"/>
        </w:rPr>
        <w:t xml:space="preserve">Diabetes mellitus (DM) </w:t>
      </w: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2.7.17</w:t>
      </w:r>
      <w:r w:rsidRPr="001D421A">
        <w:rPr>
          <w:rStyle w:val="A8"/>
          <w:rFonts w:asciiTheme="minorHAnsi" w:hAnsiTheme="minorHAnsi"/>
          <w:color w:val="221E1F"/>
          <w:sz w:val="22"/>
        </w:rPr>
        <w:tab/>
      </w:r>
      <w:proofErr w:type="gramStart"/>
      <w:r w:rsidRPr="001D421A">
        <w:rPr>
          <w:rStyle w:val="A8"/>
          <w:rFonts w:asciiTheme="minorHAnsi" w:hAnsiTheme="minorHAnsi"/>
          <w:color w:val="221E1F"/>
          <w:sz w:val="22"/>
        </w:rPr>
        <w:t>The</w:t>
      </w:r>
      <w:proofErr w:type="gramEnd"/>
      <w:r w:rsidRPr="001D421A">
        <w:rPr>
          <w:rStyle w:val="A8"/>
          <w:rFonts w:asciiTheme="minorHAnsi" w:hAnsiTheme="minorHAnsi"/>
          <w:color w:val="221E1F"/>
          <w:sz w:val="22"/>
        </w:rPr>
        <w:t xml:space="preserve"> prevalence of DM in haemophilia is not well documented, but was observed to be higher in a cohort of mild haemophilia. </w:t>
      </w:r>
      <w:r w:rsidRPr="001D421A">
        <w:rPr>
          <w:rStyle w:val="A8"/>
          <w:rFonts w:asciiTheme="minorHAnsi" w:hAnsiTheme="minorHAnsi"/>
          <w:color w:val="221E1F"/>
          <w:sz w:val="22"/>
          <w:vertAlign w:val="superscript"/>
        </w:rPr>
        <w:t>[36]</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2.7.18</w:t>
      </w:r>
      <w:r w:rsidRPr="001D421A">
        <w:rPr>
          <w:rStyle w:val="A8"/>
          <w:rFonts w:asciiTheme="minorHAnsi" w:hAnsiTheme="minorHAnsi"/>
          <w:color w:val="221E1F"/>
          <w:sz w:val="22"/>
        </w:rPr>
        <w:tab/>
      </w:r>
      <w:proofErr w:type="gramStart"/>
      <w:r w:rsidRPr="001D421A">
        <w:rPr>
          <w:rStyle w:val="A8"/>
          <w:rFonts w:asciiTheme="minorHAnsi" w:hAnsiTheme="minorHAnsi"/>
          <w:color w:val="221E1F"/>
          <w:sz w:val="22"/>
        </w:rPr>
        <w:t>In</w:t>
      </w:r>
      <w:proofErr w:type="gramEnd"/>
      <w:r w:rsidRPr="001D421A">
        <w:rPr>
          <w:rStyle w:val="A8"/>
          <w:rFonts w:asciiTheme="minorHAnsi" w:hAnsiTheme="minorHAnsi"/>
          <w:color w:val="221E1F"/>
          <w:sz w:val="22"/>
        </w:rPr>
        <w:t xml:space="preserve"> ageing haemophilia patients, especially among those who are overweight, glucose levels should be checked annually.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2.7.19</w:t>
      </w:r>
      <w:r w:rsidRPr="001D421A">
        <w:rPr>
          <w:rStyle w:val="A8"/>
          <w:rFonts w:asciiTheme="minorHAnsi" w:hAnsiTheme="minorHAnsi"/>
          <w:color w:val="221E1F"/>
          <w:sz w:val="22"/>
        </w:rPr>
        <w:tab/>
      </w:r>
      <w:proofErr w:type="gramStart"/>
      <w:r w:rsidRPr="001D421A">
        <w:rPr>
          <w:rStyle w:val="A8"/>
          <w:rFonts w:asciiTheme="minorHAnsi" w:hAnsiTheme="minorHAnsi"/>
          <w:b/>
          <w:color w:val="221E1F"/>
          <w:sz w:val="22"/>
        </w:rPr>
        <w:t>If</w:t>
      </w:r>
      <w:proofErr w:type="gramEnd"/>
      <w:r w:rsidRPr="001D421A">
        <w:rPr>
          <w:rStyle w:val="A8"/>
          <w:rFonts w:asciiTheme="minorHAnsi" w:hAnsiTheme="minorHAnsi"/>
          <w:b/>
          <w:color w:val="221E1F"/>
          <w:sz w:val="22"/>
        </w:rPr>
        <w:t xml:space="preserve"> treatment with insulin is indicated, subcuta</w:t>
      </w:r>
      <w:r w:rsidRPr="001D421A">
        <w:rPr>
          <w:rStyle w:val="A8"/>
          <w:rFonts w:asciiTheme="minorHAnsi" w:hAnsiTheme="minorHAnsi"/>
          <w:b/>
          <w:color w:val="221E1F"/>
          <w:sz w:val="22"/>
        </w:rPr>
        <w:softHyphen/>
        <w:t xml:space="preserve">neous injections can be administered without bleeding complications. </w:t>
      </w:r>
      <w:r w:rsidRPr="001D421A">
        <w:rPr>
          <w:rStyle w:val="A8"/>
          <w:rFonts w:asciiTheme="minorHAnsi" w:hAnsiTheme="minorHAnsi"/>
          <w:b/>
          <w:color w:val="221E1F"/>
          <w:sz w:val="22"/>
          <w:vertAlign w:val="superscript"/>
        </w:rPr>
        <w:t>[24]</w:t>
      </w:r>
    </w:p>
    <w:p w:rsidR="00C83A3F" w:rsidRDefault="00C83A3F" w:rsidP="00041ED2">
      <w:pPr>
        <w:pStyle w:val="Heading4"/>
      </w:pPr>
    </w:p>
    <w:p w:rsidR="00AF50AF" w:rsidRDefault="00AF50AF" w:rsidP="00AF50AF"/>
    <w:p w:rsidR="00AF50AF" w:rsidRPr="00AF50AF" w:rsidRDefault="00AF50AF" w:rsidP="00AF50AF"/>
    <w:p w:rsidR="004B5AE5" w:rsidRPr="00041ED2" w:rsidRDefault="004B5AE5" w:rsidP="00041ED2">
      <w:pPr>
        <w:pStyle w:val="Heading4"/>
        <w:rPr>
          <w:rStyle w:val="A8"/>
          <w:b w:val="0"/>
          <w:i w:val="0"/>
          <w:color w:val="000000"/>
          <w:sz w:val="22"/>
          <w:lang w:eastAsia="en-US"/>
        </w:rPr>
      </w:pPr>
      <w:r w:rsidRPr="004C79FF">
        <w:rPr>
          <w:lang w:eastAsia="en-US"/>
        </w:rPr>
        <w:lastRenderedPageBreak/>
        <w:t>Hypercholesterolemia</w:t>
      </w: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2.7.20</w:t>
      </w:r>
      <w:r w:rsidRPr="001D421A">
        <w:rPr>
          <w:rStyle w:val="A8"/>
          <w:rFonts w:asciiTheme="minorHAnsi" w:hAnsiTheme="minorHAnsi"/>
          <w:color w:val="221E1F"/>
          <w:sz w:val="22"/>
        </w:rPr>
        <w:tab/>
        <w:t>Mean cholesterol levels in patients with haemo</w:t>
      </w:r>
      <w:r w:rsidRPr="001D421A">
        <w:rPr>
          <w:rStyle w:val="A8"/>
          <w:rFonts w:asciiTheme="minorHAnsi" w:hAnsiTheme="minorHAnsi"/>
          <w:color w:val="221E1F"/>
          <w:sz w:val="22"/>
        </w:rPr>
        <w:softHyphen/>
        <w:t xml:space="preserve">philia have been reported to be lower than in the general population. </w:t>
      </w:r>
      <w:r w:rsidRPr="001D421A">
        <w:rPr>
          <w:rStyle w:val="A8"/>
          <w:rFonts w:asciiTheme="minorHAnsi" w:hAnsiTheme="minorHAnsi"/>
          <w:color w:val="221E1F"/>
          <w:sz w:val="22"/>
          <w:vertAlign w:val="superscript"/>
        </w:rPr>
        <w:t>[37]</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2.7.21</w:t>
      </w:r>
      <w:r w:rsidRPr="001D421A">
        <w:rPr>
          <w:rStyle w:val="A8"/>
          <w:rFonts w:asciiTheme="minorHAnsi" w:hAnsiTheme="minorHAnsi"/>
          <w:color w:val="221E1F"/>
          <w:sz w:val="22"/>
        </w:rPr>
        <w:tab/>
        <w:t>Cholesterol levels (total cholesterol, HDL, and LDL fraction) should be measured in ageing haemophilia patients at risk of cardiovascular disease as part of annual review.</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vertAlign w:val="superscript"/>
          <w:lang w:eastAsia="en-AU"/>
        </w:rPr>
      </w:pPr>
      <w:r w:rsidRPr="001D421A">
        <w:rPr>
          <w:rStyle w:val="A8"/>
          <w:rFonts w:asciiTheme="minorHAnsi" w:hAnsiTheme="minorHAnsi"/>
          <w:color w:val="221E1F"/>
          <w:sz w:val="22"/>
        </w:rPr>
        <w:t>2.7.22</w:t>
      </w:r>
      <w:r w:rsidRPr="001D421A">
        <w:rPr>
          <w:rStyle w:val="A8"/>
          <w:rFonts w:asciiTheme="minorHAnsi" w:hAnsiTheme="minorHAnsi"/>
          <w:color w:val="221E1F"/>
          <w:sz w:val="22"/>
        </w:rPr>
        <w:tab/>
        <w:t>Treatment is indicated if cholesterol levels are high as per current Australian Guidelines.</w:t>
      </w:r>
      <w:r w:rsidRPr="001D421A">
        <w:rPr>
          <w:rStyle w:val="A8"/>
          <w:rFonts w:asciiTheme="minorHAnsi" w:hAnsiTheme="minorHAnsi"/>
          <w:color w:val="221E1F"/>
          <w:sz w:val="22"/>
          <w:vertAlign w:val="superscript"/>
        </w:rPr>
        <w:t xml:space="preserve"> [38] </w:t>
      </w:r>
    </w:p>
    <w:p w:rsidR="004B5AE5" w:rsidRPr="00041ED2" w:rsidRDefault="004B5AE5" w:rsidP="00041ED2">
      <w:pPr>
        <w:pStyle w:val="Heading4"/>
        <w:rPr>
          <w:rStyle w:val="A8"/>
          <w:b w:val="0"/>
          <w:i w:val="0"/>
          <w:color w:val="000000"/>
          <w:sz w:val="22"/>
          <w:lang w:eastAsia="en-US"/>
        </w:rPr>
      </w:pPr>
      <w:r w:rsidRPr="004C79FF">
        <w:rPr>
          <w:lang w:eastAsia="en-US"/>
        </w:rPr>
        <w:t xml:space="preserve">Cardiovascular disease </w:t>
      </w: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2.7.23</w:t>
      </w:r>
      <w:r w:rsidRPr="001D421A">
        <w:rPr>
          <w:rStyle w:val="A8"/>
          <w:rFonts w:asciiTheme="minorHAnsi" w:hAnsiTheme="minorHAnsi"/>
          <w:color w:val="221E1F"/>
          <w:sz w:val="22"/>
        </w:rPr>
        <w:tab/>
        <w:t xml:space="preserve">Haemophilia patients appear to have a reduced risk of mortality from ischemic cardiovascular disease, but the number of deaths from this cause is increasing. </w:t>
      </w:r>
      <w:r w:rsidRPr="001D421A">
        <w:rPr>
          <w:rStyle w:val="A8"/>
          <w:rFonts w:asciiTheme="minorHAnsi" w:hAnsiTheme="minorHAnsi"/>
          <w:color w:val="221E1F"/>
          <w:sz w:val="22"/>
          <w:vertAlign w:val="superscript"/>
        </w:rPr>
        <w:t>[35</w:t>
      </w:r>
      <w:proofErr w:type="gramStart"/>
      <w:r w:rsidRPr="001D421A">
        <w:rPr>
          <w:rStyle w:val="A8"/>
          <w:rFonts w:asciiTheme="minorHAnsi" w:hAnsiTheme="minorHAnsi"/>
          <w:color w:val="221E1F"/>
          <w:sz w:val="22"/>
          <w:vertAlign w:val="superscript"/>
        </w:rPr>
        <w:t>,39,40</w:t>
      </w:r>
      <w:proofErr w:type="gramEnd"/>
      <w:r w:rsidRPr="001D421A">
        <w:rPr>
          <w:rStyle w:val="A8"/>
          <w:rFonts w:asciiTheme="minorHAnsi" w:hAnsiTheme="minorHAnsi"/>
          <w:color w:val="221E1F"/>
          <w:sz w:val="22"/>
          <w:vertAlign w:val="superscript"/>
        </w:rPr>
        <w:t>]</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2.7.24</w:t>
      </w:r>
      <w:r w:rsidRPr="001D421A">
        <w:rPr>
          <w:rStyle w:val="A8"/>
          <w:rFonts w:asciiTheme="minorHAnsi" w:hAnsiTheme="minorHAnsi"/>
          <w:color w:val="221E1F"/>
          <w:sz w:val="22"/>
        </w:rPr>
        <w:tab/>
      </w:r>
      <w:proofErr w:type="gramStart"/>
      <w:r w:rsidRPr="001D421A">
        <w:rPr>
          <w:rStyle w:val="A8"/>
          <w:rFonts w:asciiTheme="minorHAnsi" w:hAnsiTheme="minorHAnsi"/>
          <w:color w:val="221E1F"/>
          <w:sz w:val="22"/>
        </w:rPr>
        <w:t>A</w:t>
      </w:r>
      <w:proofErr w:type="gramEnd"/>
      <w:r w:rsidRPr="001D421A">
        <w:rPr>
          <w:rStyle w:val="A8"/>
          <w:rFonts w:asciiTheme="minorHAnsi" w:hAnsiTheme="minorHAnsi"/>
          <w:color w:val="221E1F"/>
          <w:sz w:val="22"/>
        </w:rPr>
        <w:t xml:space="preserve"> possible association between the occurrence of myocardial infarction and previous adminis</w:t>
      </w:r>
      <w:r w:rsidRPr="001D421A">
        <w:rPr>
          <w:rStyle w:val="A8"/>
          <w:rFonts w:asciiTheme="minorHAnsi" w:hAnsiTheme="minorHAnsi"/>
          <w:color w:val="221E1F"/>
          <w:sz w:val="22"/>
        </w:rPr>
        <w:softHyphen/>
        <w:t xml:space="preserve">tration of clotting factor concentrates has been described. </w:t>
      </w:r>
      <w:r w:rsidRPr="001D421A">
        <w:rPr>
          <w:rStyle w:val="A8"/>
          <w:rFonts w:asciiTheme="minorHAnsi" w:hAnsiTheme="minorHAnsi"/>
          <w:color w:val="221E1F"/>
          <w:sz w:val="22"/>
          <w:vertAlign w:val="superscript"/>
        </w:rPr>
        <w:t>[41</w:t>
      </w:r>
      <w:proofErr w:type="gramStart"/>
      <w:r w:rsidRPr="001D421A">
        <w:rPr>
          <w:rStyle w:val="A8"/>
          <w:rFonts w:asciiTheme="minorHAnsi" w:hAnsiTheme="minorHAnsi"/>
          <w:color w:val="221E1F"/>
          <w:sz w:val="22"/>
          <w:vertAlign w:val="superscript"/>
        </w:rPr>
        <w:t>,42</w:t>
      </w:r>
      <w:proofErr w:type="gramEnd"/>
      <w:r w:rsidRPr="001D421A">
        <w:rPr>
          <w:rStyle w:val="A8"/>
          <w:rFonts w:asciiTheme="minorHAnsi" w:hAnsiTheme="minorHAnsi"/>
          <w:color w:val="221E1F"/>
          <w:sz w:val="22"/>
          <w:vertAlign w:val="superscript"/>
        </w:rPr>
        <w:t>]</w:t>
      </w:r>
      <w:r w:rsidRPr="001D421A">
        <w:rPr>
          <w:rStyle w:val="A8"/>
          <w:rFonts w:asciiTheme="minorHAnsi" w:hAnsiTheme="minorHAnsi"/>
          <w:color w:val="221E1F"/>
          <w:sz w:val="22"/>
        </w:rPr>
        <w:t xml:space="preserv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2.7.25</w:t>
      </w:r>
      <w:r w:rsidRPr="001D421A">
        <w:rPr>
          <w:rStyle w:val="A8"/>
          <w:rFonts w:asciiTheme="minorHAnsi" w:hAnsiTheme="minorHAnsi"/>
          <w:color w:val="221E1F"/>
          <w:sz w:val="22"/>
        </w:rPr>
        <w:tab/>
        <w:t xml:space="preserve">Haemophilia patients with cardiovascular disease should receive routine care adapted to the individual situation, in discussion with a cardiologist. </w:t>
      </w:r>
      <w:r w:rsidRPr="001D421A">
        <w:rPr>
          <w:rStyle w:val="A8"/>
          <w:rFonts w:asciiTheme="minorHAnsi" w:hAnsiTheme="minorHAnsi"/>
          <w:color w:val="221E1F"/>
          <w:sz w:val="22"/>
          <w:vertAlign w:val="superscript"/>
        </w:rPr>
        <w:t>[43</w:t>
      </w:r>
      <w:proofErr w:type="gramStart"/>
      <w:r w:rsidRPr="001D421A">
        <w:rPr>
          <w:rStyle w:val="A8"/>
          <w:rFonts w:asciiTheme="minorHAnsi" w:hAnsiTheme="minorHAnsi"/>
          <w:color w:val="221E1F"/>
          <w:sz w:val="22"/>
          <w:vertAlign w:val="superscript"/>
        </w:rPr>
        <w:t>,44</w:t>
      </w:r>
      <w:proofErr w:type="gramEnd"/>
      <w:r w:rsidRPr="001D421A">
        <w:rPr>
          <w:rStyle w:val="A8"/>
          <w:rFonts w:asciiTheme="minorHAnsi" w:hAnsiTheme="minorHAnsi"/>
          <w:color w:val="221E1F"/>
          <w:sz w:val="22"/>
          <w:vertAlign w:val="superscript"/>
        </w:rPr>
        <w:t>]</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2.7.26</w:t>
      </w:r>
      <w:r w:rsidRPr="001D421A">
        <w:rPr>
          <w:rStyle w:val="A8"/>
          <w:rFonts w:asciiTheme="minorHAnsi" w:hAnsiTheme="minorHAnsi"/>
          <w:color w:val="221E1F"/>
          <w:sz w:val="22"/>
        </w:rPr>
        <w:tab/>
      </w:r>
      <w:proofErr w:type="gramStart"/>
      <w:r w:rsidRPr="001D421A">
        <w:rPr>
          <w:rStyle w:val="A8"/>
          <w:rFonts w:asciiTheme="minorHAnsi" w:hAnsiTheme="minorHAnsi"/>
          <w:color w:val="221E1F"/>
          <w:sz w:val="22"/>
        </w:rPr>
        <w:t>For</w:t>
      </w:r>
      <w:proofErr w:type="gramEnd"/>
      <w:r w:rsidRPr="001D421A">
        <w:rPr>
          <w:rStyle w:val="A8"/>
          <w:rFonts w:asciiTheme="minorHAnsi" w:hAnsiTheme="minorHAnsi"/>
          <w:color w:val="221E1F"/>
          <w:sz w:val="22"/>
        </w:rPr>
        <w:t xml:space="preserve"> acute coronary syndromes requiring percutaneous cardiac intervention (PCI):</w:t>
      </w:r>
    </w:p>
    <w:p w:rsidR="004B5AE5" w:rsidRPr="001D421A" w:rsidRDefault="004B5AE5" w:rsidP="004B5AE5">
      <w:pPr>
        <w:pStyle w:val="Default"/>
        <w:spacing w:line="276" w:lineRule="auto"/>
        <w:ind w:left="1433" w:hanging="1320"/>
        <w:jc w:val="both"/>
        <w:rPr>
          <w:rStyle w:val="A8"/>
          <w:rFonts w:asciiTheme="minorHAnsi" w:hAnsiTheme="minorHAnsi"/>
          <w:color w:val="221E1F"/>
          <w:sz w:val="22"/>
        </w:rPr>
      </w:pPr>
    </w:p>
    <w:p w:rsidR="004B5AE5" w:rsidRPr="001D421A" w:rsidRDefault="004B5AE5" w:rsidP="004B5AE5">
      <w:pPr>
        <w:pStyle w:val="Default"/>
        <w:numPr>
          <w:ilvl w:val="0"/>
          <w:numId w:val="48"/>
        </w:numPr>
        <w:spacing w:line="276" w:lineRule="auto"/>
        <w:ind w:left="1701" w:hanging="284"/>
        <w:rPr>
          <w:rStyle w:val="A8"/>
          <w:rFonts w:asciiTheme="minorHAnsi" w:hAnsiTheme="minorHAnsi"/>
          <w:b/>
          <w:color w:val="221E1F"/>
          <w:sz w:val="22"/>
        </w:rPr>
      </w:pPr>
      <w:r w:rsidRPr="001D421A">
        <w:rPr>
          <w:rStyle w:val="A8"/>
          <w:rFonts w:asciiTheme="minorHAnsi" w:hAnsiTheme="minorHAnsi"/>
          <w:b/>
          <w:color w:val="221E1F"/>
          <w:sz w:val="22"/>
        </w:rPr>
        <w:t>Adequate correction with clotting factor concentrates before PCI and until 48</w:t>
      </w:r>
      <w:r>
        <w:rPr>
          <w:rStyle w:val="A8"/>
          <w:rFonts w:asciiTheme="minorHAnsi" w:hAnsiTheme="minorHAnsi"/>
          <w:b/>
          <w:color w:val="221E1F"/>
          <w:sz w:val="22"/>
        </w:rPr>
        <w:t xml:space="preserve"> </w:t>
      </w:r>
      <w:r w:rsidRPr="001D421A">
        <w:rPr>
          <w:rStyle w:val="A8"/>
          <w:rFonts w:asciiTheme="minorHAnsi" w:hAnsiTheme="minorHAnsi"/>
          <w:b/>
          <w:color w:val="221E1F"/>
          <w:sz w:val="22"/>
        </w:rPr>
        <w:t xml:space="preserve">hours after PCI is required. </w:t>
      </w:r>
      <w:r w:rsidRPr="001D421A">
        <w:rPr>
          <w:rStyle w:val="A8"/>
          <w:rFonts w:asciiTheme="minorHAnsi" w:hAnsiTheme="minorHAnsi"/>
          <w:b/>
          <w:color w:val="221E1F"/>
          <w:sz w:val="22"/>
          <w:vertAlign w:val="superscript"/>
        </w:rPr>
        <w:t>[42,43,45]</w:t>
      </w:r>
      <w:r w:rsidRPr="001D421A">
        <w:rPr>
          <w:rStyle w:val="A8"/>
          <w:rFonts w:asciiTheme="minorHAnsi" w:hAnsiTheme="minorHAnsi"/>
          <w:b/>
          <w:color w:val="221E1F"/>
          <w:sz w:val="22"/>
        </w:rPr>
        <w:t xml:space="preserve"> </w:t>
      </w:r>
    </w:p>
    <w:p w:rsidR="004B5AE5" w:rsidRPr="001D421A" w:rsidRDefault="004B5AE5" w:rsidP="004B5AE5">
      <w:pPr>
        <w:pStyle w:val="Default"/>
        <w:numPr>
          <w:ilvl w:val="0"/>
          <w:numId w:val="48"/>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High factor levels should be avoided in order to prevent occlusive thrombi. During</w:t>
      </w:r>
      <w:r>
        <w:rPr>
          <w:rStyle w:val="A8"/>
          <w:rFonts w:asciiTheme="minorHAnsi" w:hAnsiTheme="minorHAnsi"/>
          <w:color w:val="221E1F"/>
          <w:sz w:val="22"/>
        </w:rPr>
        <w:t xml:space="preserve"> </w:t>
      </w:r>
      <w:r w:rsidRPr="001D421A">
        <w:rPr>
          <w:rStyle w:val="A8"/>
          <w:rFonts w:asciiTheme="minorHAnsi" w:hAnsiTheme="minorHAnsi"/>
          <w:color w:val="221E1F"/>
          <w:sz w:val="22"/>
        </w:rPr>
        <w:t>complete correction: Heparin can be administered according to standard</w:t>
      </w:r>
      <w:r>
        <w:rPr>
          <w:rStyle w:val="A8"/>
          <w:rFonts w:asciiTheme="minorHAnsi" w:hAnsiTheme="minorHAnsi"/>
          <w:color w:val="221E1F"/>
          <w:sz w:val="22"/>
        </w:rPr>
        <w:t xml:space="preserve"> </w:t>
      </w:r>
      <w:r w:rsidRPr="001D421A">
        <w:rPr>
          <w:rStyle w:val="A8"/>
          <w:rFonts w:asciiTheme="minorHAnsi" w:hAnsiTheme="minorHAnsi"/>
          <w:color w:val="221E1F"/>
          <w:sz w:val="22"/>
        </w:rPr>
        <w:t>cardiologic treatment protocols.</w:t>
      </w:r>
    </w:p>
    <w:p w:rsidR="004B5AE5" w:rsidRPr="001D421A" w:rsidRDefault="004B5AE5" w:rsidP="004B5AE5">
      <w:pPr>
        <w:pStyle w:val="Default"/>
        <w:numPr>
          <w:ilvl w:val="0"/>
          <w:numId w:val="48"/>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Glycoprotein IIb/IIIa inhibitors (abcix</w:t>
      </w:r>
      <w:r w:rsidRPr="001D421A">
        <w:rPr>
          <w:rStyle w:val="A8"/>
          <w:rFonts w:asciiTheme="minorHAnsi" w:hAnsiTheme="minorHAnsi"/>
          <w:color w:val="221E1F"/>
          <w:sz w:val="22"/>
        </w:rPr>
        <w:softHyphen/>
        <w:t>imab, tirofiban) used in PCI with stenting can</w:t>
      </w:r>
      <w:r>
        <w:rPr>
          <w:rStyle w:val="A8"/>
          <w:rFonts w:asciiTheme="minorHAnsi" w:hAnsiTheme="minorHAnsi"/>
          <w:color w:val="221E1F"/>
          <w:sz w:val="22"/>
        </w:rPr>
        <w:t xml:space="preserve"> </w:t>
      </w:r>
      <w:r w:rsidRPr="001D421A">
        <w:rPr>
          <w:rStyle w:val="A8"/>
          <w:rFonts w:asciiTheme="minorHAnsi" w:hAnsiTheme="minorHAnsi"/>
          <w:color w:val="221E1F"/>
          <w:sz w:val="22"/>
        </w:rPr>
        <w:t xml:space="preserve">be administered. </w:t>
      </w:r>
    </w:p>
    <w:p w:rsidR="004B5AE5" w:rsidRPr="001D421A" w:rsidRDefault="004B5AE5" w:rsidP="004B5AE5">
      <w:pPr>
        <w:pStyle w:val="Default"/>
        <w:numPr>
          <w:ilvl w:val="0"/>
          <w:numId w:val="48"/>
        </w:numPr>
        <w:spacing w:line="276" w:lineRule="auto"/>
        <w:ind w:left="1701" w:hanging="284"/>
        <w:rPr>
          <w:rStyle w:val="A8"/>
          <w:rFonts w:asciiTheme="minorHAnsi" w:hAnsiTheme="minorHAnsi"/>
          <w:b/>
          <w:color w:val="221E1F"/>
          <w:sz w:val="22"/>
        </w:rPr>
      </w:pPr>
      <w:r w:rsidRPr="001D421A">
        <w:rPr>
          <w:rStyle w:val="A8"/>
          <w:rFonts w:asciiTheme="minorHAnsi" w:hAnsiTheme="minorHAnsi"/>
          <w:b/>
          <w:color w:val="221E1F"/>
          <w:sz w:val="22"/>
        </w:rPr>
        <w:t>Radial artery access site, if technically possible, is preferred over femoral, in</w:t>
      </w:r>
      <w:r>
        <w:rPr>
          <w:rStyle w:val="A8"/>
          <w:rFonts w:asciiTheme="minorHAnsi" w:hAnsiTheme="minorHAnsi"/>
          <w:b/>
          <w:color w:val="221E1F"/>
          <w:sz w:val="22"/>
        </w:rPr>
        <w:t xml:space="preserve"> </w:t>
      </w:r>
      <w:r w:rsidRPr="001D421A">
        <w:rPr>
          <w:rStyle w:val="A8"/>
          <w:rFonts w:asciiTheme="minorHAnsi" w:hAnsiTheme="minorHAnsi"/>
          <w:b/>
          <w:color w:val="221E1F"/>
          <w:sz w:val="22"/>
        </w:rPr>
        <w:t xml:space="preserve">order to minimise retroperitoneal or groin bleeds. </w:t>
      </w:r>
      <w:r w:rsidRPr="001D421A">
        <w:rPr>
          <w:rStyle w:val="A8"/>
          <w:rFonts w:asciiTheme="minorHAnsi" w:hAnsiTheme="minorHAnsi"/>
          <w:b/>
          <w:color w:val="221E1F"/>
          <w:sz w:val="22"/>
          <w:vertAlign w:val="superscript"/>
        </w:rPr>
        <w:t>[42,43,45]</w:t>
      </w:r>
      <w:r w:rsidRPr="001D421A">
        <w:rPr>
          <w:rStyle w:val="A8"/>
          <w:rFonts w:asciiTheme="minorHAnsi" w:hAnsiTheme="minorHAnsi"/>
          <w:b/>
          <w:color w:val="221E1F"/>
          <w:sz w:val="22"/>
        </w:rPr>
        <w:t xml:space="preserve"> </w:t>
      </w:r>
    </w:p>
    <w:p w:rsidR="004B5AE5" w:rsidRPr="001D421A" w:rsidRDefault="004B5AE5" w:rsidP="004B5AE5">
      <w:pPr>
        <w:pStyle w:val="Default"/>
        <w:numPr>
          <w:ilvl w:val="0"/>
          <w:numId w:val="48"/>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Factor concentrates should be given for the duration of dual antiplatelet therapy,</w:t>
      </w:r>
      <w:r>
        <w:rPr>
          <w:rStyle w:val="A8"/>
          <w:rFonts w:asciiTheme="minorHAnsi" w:hAnsiTheme="minorHAnsi"/>
          <w:color w:val="221E1F"/>
          <w:sz w:val="22"/>
        </w:rPr>
        <w:t xml:space="preserve"> </w:t>
      </w:r>
      <w:r w:rsidRPr="001D421A">
        <w:rPr>
          <w:rStyle w:val="A8"/>
          <w:rFonts w:asciiTheme="minorHAnsi" w:hAnsiTheme="minorHAnsi"/>
          <w:color w:val="221E1F"/>
          <w:sz w:val="22"/>
        </w:rPr>
        <w:t xml:space="preserve">about two weeks, aiming at trough levels of 30 IU/dl. </w:t>
      </w:r>
      <w:r w:rsidRPr="001D421A">
        <w:rPr>
          <w:rStyle w:val="A8"/>
          <w:rFonts w:asciiTheme="minorHAnsi" w:hAnsiTheme="minorHAnsi"/>
          <w:color w:val="221E1F"/>
          <w:sz w:val="22"/>
          <w:vertAlign w:val="superscript"/>
        </w:rPr>
        <w:t>[43]</w:t>
      </w:r>
      <w:r w:rsidRPr="001D421A">
        <w:rPr>
          <w:rStyle w:val="A8"/>
          <w:rFonts w:asciiTheme="minorHAnsi" w:hAnsiTheme="minorHAnsi"/>
          <w:color w:val="221E1F"/>
          <w:sz w:val="22"/>
        </w:rPr>
        <w:t xml:space="preserve"> </w:t>
      </w:r>
    </w:p>
    <w:p w:rsidR="004B5AE5" w:rsidRPr="001D421A" w:rsidRDefault="004B5AE5" w:rsidP="004B5AE5">
      <w:pPr>
        <w:pStyle w:val="Default"/>
        <w:numPr>
          <w:ilvl w:val="0"/>
          <w:numId w:val="48"/>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Prolonged use of aspirin is not recommended in severe ha</w:t>
      </w:r>
      <w:r>
        <w:rPr>
          <w:rStyle w:val="A8"/>
          <w:rFonts w:asciiTheme="minorHAnsi" w:hAnsiTheme="minorHAnsi"/>
          <w:color w:val="221E1F"/>
          <w:sz w:val="22"/>
        </w:rPr>
        <w:t>emophilia. Its use in</w:t>
      </w:r>
      <w:r w:rsidRPr="001D421A">
        <w:rPr>
          <w:rStyle w:val="A8"/>
          <w:rFonts w:asciiTheme="minorHAnsi" w:hAnsiTheme="minorHAnsi"/>
          <w:color w:val="221E1F"/>
          <w:sz w:val="22"/>
        </w:rPr>
        <w:t xml:space="preserve"> patients on regular intensive prophylaxis is possible, though the data available is</w:t>
      </w:r>
      <w:r>
        <w:rPr>
          <w:rStyle w:val="A8"/>
          <w:rFonts w:asciiTheme="minorHAnsi" w:hAnsiTheme="minorHAnsi"/>
          <w:color w:val="221E1F"/>
          <w:sz w:val="22"/>
        </w:rPr>
        <w:t xml:space="preserve"> </w:t>
      </w:r>
      <w:r w:rsidRPr="001D421A">
        <w:rPr>
          <w:rStyle w:val="A8"/>
          <w:rFonts w:asciiTheme="minorHAnsi" w:hAnsiTheme="minorHAnsi"/>
          <w:color w:val="221E1F"/>
          <w:sz w:val="22"/>
        </w:rPr>
        <w:t xml:space="preserve">inadequate. </w:t>
      </w:r>
      <w:r w:rsidRPr="001D421A">
        <w:rPr>
          <w:rStyle w:val="A8"/>
          <w:rFonts w:asciiTheme="minorHAnsi" w:hAnsiTheme="minorHAnsi"/>
          <w:color w:val="221E1F"/>
          <w:sz w:val="22"/>
          <w:vertAlign w:val="superscript"/>
        </w:rPr>
        <w:t>[43]</w:t>
      </w:r>
      <w:r w:rsidRPr="001D421A">
        <w:rPr>
          <w:rStyle w:val="A8"/>
          <w:rFonts w:asciiTheme="minorHAnsi" w:hAnsiTheme="minorHAnsi"/>
          <w:color w:val="221E1F"/>
          <w:sz w:val="22"/>
        </w:rPr>
        <w:t xml:space="preserve"> It is generally accepted that antiplatelet therapy is acceptable in</w:t>
      </w:r>
      <w:r>
        <w:rPr>
          <w:rStyle w:val="A8"/>
          <w:rFonts w:asciiTheme="minorHAnsi" w:hAnsiTheme="minorHAnsi"/>
          <w:color w:val="221E1F"/>
          <w:sz w:val="22"/>
        </w:rPr>
        <w:t xml:space="preserve"> </w:t>
      </w:r>
      <w:r w:rsidRPr="001D421A">
        <w:rPr>
          <w:rStyle w:val="A8"/>
          <w:rFonts w:asciiTheme="minorHAnsi" w:hAnsiTheme="minorHAnsi"/>
          <w:color w:val="221E1F"/>
          <w:sz w:val="22"/>
        </w:rPr>
        <w:t xml:space="preserve">patients with mild bleeding disorders, however </w:t>
      </w:r>
      <w:r>
        <w:rPr>
          <w:rStyle w:val="A8"/>
          <w:rFonts w:asciiTheme="minorHAnsi" w:hAnsiTheme="minorHAnsi"/>
          <w:color w:val="221E1F"/>
          <w:sz w:val="22"/>
        </w:rPr>
        <w:t xml:space="preserve">such patients should be closely </w:t>
      </w:r>
      <w:r w:rsidRPr="001D421A">
        <w:rPr>
          <w:rStyle w:val="A8"/>
          <w:rFonts w:asciiTheme="minorHAnsi" w:hAnsiTheme="minorHAnsi"/>
          <w:color w:val="221E1F"/>
          <w:sz w:val="22"/>
        </w:rPr>
        <w:t>observed for changes in bleeding phenotype.</w:t>
      </w:r>
    </w:p>
    <w:p w:rsidR="004B5AE5" w:rsidRPr="004C79FF" w:rsidRDefault="004B5AE5" w:rsidP="00041ED2">
      <w:pPr>
        <w:pStyle w:val="Heading4"/>
        <w:rPr>
          <w:rStyle w:val="A8"/>
          <w:rFonts w:eastAsia="Calibri"/>
          <w:color w:val="221E1F"/>
          <w:sz w:val="24"/>
          <w:szCs w:val="24"/>
        </w:rPr>
      </w:pPr>
      <w:r w:rsidRPr="004C79FF">
        <w:rPr>
          <w:lang w:eastAsia="en-US"/>
        </w:rPr>
        <w:t xml:space="preserve">Psychosocial impact </w:t>
      </w: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 xml:space="preserve">2.7.27 </w:t>
      </w:r>
      <w:r w:rsidRPr="001D421A">
        <w:rPr>
          <w:rStyle w:val="A8"/>
          <w:rFonts w:asciiTheme="minorHAnsi" w:hAnsiTheme="minorHAnsi"/>
          <w:color w:val="221E1F"/>
          <w:sz w:val="22"/>
        </w:rPr>
        <w:tab/>
      </w:r>
      <w:proofErr w:type="gramStart"/>
      <w:r w:rsidRPr="001D421A">
        <w:rPr>
          <w:rStyle w:val="A8"/>
          <w:rFonts w:asciiTheme="minorHAnsi" w:hAnsiTheme="minorHAnsi"/>
          <w:color w:val="221E1F"/>
          <w:sz w:val="22"/>
        </w:rPr>
        <w:t>In</w:t>
      </w:r>
      <w:proofErr w:type="gramEnd"/>
      <w:r w:rsidRPr="001D421A">
        <w:rPr>
          <w:rStyle w:val="A8"/>
          <w:rFonts w:asciiTheme="minorHAnsi" w:hAnsiTheme="minorHAnsi"/>
          <w:color w:val="221E1F"/>
          <w:sz w:val="22"/>
        </w:rPr>
        <w:t xml:space="preserve"> the ageing patient, the presence of crippling, painful arthropathy can affect quality of life and may lead to loss of independence. </w:t>
      </w:r>
      <w:r w:rsidRPr="001D421A">
        <w:rPr>
          <w:rStyle w:val="A8"/>
          <w:rFonts w:asciiTheme="minorHAnsi" w:hAnsiTheme="minorHAnsi"/>
          <w:color w:val="221E1F"/>
          <w:sz w:val="22"/>
          <w:vertAlign w:val="superscript"/>
        </w:rPr>
        <w:t>[46]</w:t>
      </w:r>
    </w:p>
    <w:p w:rsidR="004B5AE5" w:rsidRPr="001D421A" w:rsidRDefault="004B5AE5" w:rsidP="004B5AE5">
      <w:pPr>
        <w:pStyle w:val="Default"/>
        <w:tabs>
          <w:tab w:val="left" w:pos="1530"/>
        </w:tabs>
        <w:spacing w:line="276" w:lineRule="auto"/>
        <w:ind w:left="1433" w:hanging="1320"/>
        <w:rPr>
          <w:rStyle w:val="A8"/>
          <w:rFonts w:asciiTheme="minorHAnsi" w:hAnsiTheme="minorHAnsi"/>
          <w:color w:val="221E1F"/>
          <w:sz w:val="22"/>
        </w:rPr>
      </w:pPr>
      <w:r>
        <w:rPr>
          <w:rStyle w:val="A8"/>
          <w:rFonts w:asciiTheme="minorHAnsi" w:hAnsiTheme="minorHAnsi"/>
          <w:color w:val="221E1F"/>
          <w:sz w:val="22"/>
        </w:rPr>
        <w:tab/>
      </w: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lastRenderedPageBreak/>
        <w:t>2.7.28</w:t>
      </w:r>
      <w:r w:rsidRPr="001D421A">
        <w:rPr>
          <w:rStyle w:val="A8"/>
          <w:rFonts w:asciiTheme="minorHAnsi" w:hAnsiTheme="minorHAnsi"/>
          <w:color w:val="221E1F"/>
          <w:sz w:val="22"/>
        </w:rPr>
        <w:tab/>
        <w:t>Patients may be confronted with unexpected emotional problems due to memories of nega</w:t>
      </w:r>
      <w:r w:rsidRPr="001D421A">
        <w:rPr>
          <w:rStyle w:val="A8"/>
          <w:rFonts w:asciiTheme="minorHAnsi" w:hAnsiTheme="minorHAnsi"/>
          <w:color w:val="221E1F"/>
          <w:sz w:val="22"/>
        </w:rPr>
        <w:softHyphen/>
        <w:t>tive experiences related to haemophilia (such as hospitalisation) during their youth.</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2.7.29</w:t>
      </w:r>
      <w:r w:rsidRPr="001D421A">
        <w:rPr>
          <w:rStyle w:val="A8"/>
          <w:rFonts w:asciiTheme="minorHAnsi" w:hAnsiTheme="minorHAnsi"/>
          <w:color w:val="221E1F"/>
          <w:sz w:val="22"/>
        </w:rPr>
        <w:tab/>
        <w:t xml:space="preserve">Adaptations at home or at work and an adequate pain schedule are indicated to improve quality of life and preserve independence.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041ED2">
      <w:pPr>
        <w:pStyle w:val="Default"/>
        <w:spacing w:line="276" w:lineRule="auto"/>
        <w:ind w:left="1433" w:hanging="1433"/>
        <w:rPr>
          <w:rStyle w:val="A8"/>
          <w:rFonts w:asciiTheme="minorHAnsi" w:hAnsiTheme="minorHAnsi" w:cs="Arial"/>
          <w:b/>
          <w:i/>
          <w:color w:val="221E1F"/>
          <w:sz w:val="22"/>
          <w:szCs w:val="22"/>
          <w:lang w:eastAsia="en-AU"/>
        </w:rPr>
      </w:pPr>
      <w:r w:rsidRPr="001D421A">
        <w:rPr>
          <w:rStyle w:val="A8"/>
          <w:rFonts w:asciiTheme="minorHAnsi" w:hAnsiTheme="minorHAnsi"/>
          <w:color w:val="221E1F"/>
          <w:sz w:val="22"/>
        </w:rPr>
        <w:t xml:space="preserve">2.7.30 </w:t>
      </w:r>
      <w:r w:rsidRPr="001D421A">
        <w:rPr>
          <w:rStyle w:val="A8"/>
          <w:rFonts w:asciiTheme="minorHAnsi" w:hAnsiTheme="minorHAnsi"/>
          <w:color w:val="221E1F"/>
          <w:sz w:val="22"/>
        </w:rPr>
        <w:tab/>
        <w:t>Active psychosocial support should be provided by a social worker, haemophilia nurse, physician and/or psychologist.</w:t>
      </w:r>
    </w:p>
    <w:p w:rsidR="004B5AE5" w:rsidRPr="001D421A" w:rsidRDefault="004B5AE5" w:rsidP="004B5AE5">
      <w:pPr>
        <w:autoSpaceDE w:val="0"/>
        <w:autoSpaceDN w:val="0"/>
        <w:adjustRightInd w:val="0"/>
        <w:spacing w:after="66"/>
        <w:ind w:left="284" w:firstLine="567"/>
        <w:rPr>
          <w:rFonts w:asciiTheme="minorHAnsi" w:hAnsiTheme="minorHAnsi" w:cs="Minion Pro"/>
          <w:color w:val="221E1F"/>
          <w:sz w:val="23"/>
          <w:szCs w:val="23"/>
          <w:lang w:eastAsia="en-US"/>
        </w:rPr>
      </w:pPr>
    </w:p>
    <w:p w:rsidR="004B5AE5" w:rsidRPr="00041ED2" w:rsidRDefault="004B5AE5" w:rsidP="00041ED2">
      <w:pPr>
        <w:pStyle w:val="Heading3"/>
        <w:rPr>
          <w:rStyle w:val="A8"/>
          <w:color w:val="FF0000"/>
        </w:rPr>
      </w:pPr>
      <w:bookmarkStart w:id="27" w:name="_Toc431484320"/>
      <w:r w:rsidRPr="00041ED2">
        <w:rPr>
          <w:rStyle w:val="A8"/>
          <w:color w:val="FF0000"/>
        </w:rPr>
        <w:t>2.8 von Willebrand disease and rare bleeding disorders</w:t>
      </w:r>
      <w:bookmarkEnd w:id="27"/>
    </w:p>
    <w:p w:rsidR="004B5AE5" w:rsidRPr="001D421A" w:rsidRDefault="004B5AE5" w:rsidP="00041ED2">
      <w:pPr>
        <w:pStyle w:val="Default"/>
        <w:spacing w:line="276" w:lineRule="auto"/>
        <w:ind w:left="1433" w:hanging="1433"/>
        <w:rPr>
          <w:rStyle w:val="A8"/>
          <w:rFonts w:asciiTheme="minorHAnsi" w:hAnsiTheme="minorHAnsi" w:cs="Arial"/>
          <w:color w:val="221E1F"/>
          <w:sz w:val="22"/>
          <w:szCs w:val="28"/>
          <w:lang w:eastAsia="en-AU"/>
        </w:rPr>
      </w:pPr>
      <w:r w:rsidRPr="001D421A">
        <w:rPr>
          <w:rStyle w:val="A8"/>
          <w:rFonts w:asciiTheme="minorHAnsi" w:hAnsiTheme="minorHAnsi"/>
          <w:color w:val="221E1F"/>
          <w:sz w:val="22"/>
        </w:rPr>
        <w:t>2.8.1</w:t>
      </w:r>
      <w:r w:rsidRPr="001D421A">
        <w:rPr>
          <w:rStyle w:val="A8"/>
          <w:rFonts w:asciiTheme="minorHAnsi" w:hAnsiTheme="minorHAnsi"/>
          <w:color w:val="221E1F"/>
          <w:sz w:val="22"/>
        </w:rPr>
        <w:tab/>
        <w:t xml:space="preserve">These guidelines are intended for the treatment of haemophilia. Recent publications that address the principles of diagnosis and treatment of von Willebrand disease (VWD) and rare bleeding disorders include: </w:t>
      </w:r>
    </w:p>
    <w:p w:rsidR="004B5AE5" w:rsidRPr="001D421A" w:rsidRDefault="004B5AE5" w:rsidP="004B5AE5">
      <w:pPr>
        <w:pStyle w:val="Default"/>
        <w:spacing w:line="276" w:lineRule="auto"/>
        <w:ind w:left="1433" w:hanging="1320"/>
        <w:rPr>
          <w:rStyle w:val="A8"/>
          <w:rFonts w:asciiTheme="minorHAnsi" w:hAnsiTheme="minorHAnsi"/>
          <w:color w:val="221E1F"/>
          <w:sz w:val="22"/>
        </w:rPr>
      </w:pPr>
    </w:p>
    <w:p w:rsidR="004B5AE5" w:rsidRPr="001D421A" w:rsidRDefault="004B5AE5" w:rsidP="004B5AE5">
      <w:pPr>
        <w:pStyle w:val="Default"/>
        <w:numPr>
          <w:ilvl w:val="0"/>
          <w:numId w:val="49"/>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Management of von Willebrand disease: a gu</w:t>
      </w:r>
      <w:r>
        <w:rPr>
          <w:rStyle w:val="A8"/>
          <w:rFonts w:asciiTheme="minorHAnsi" w:hAnsiTheme="minorHAnsi"/>
          <w:color w:val="221E1F"/>
          <w:sz w:val="22"/>
        </w:rPr>
        <w:t xml:space="preserve">ideline from the UK Haemophilia </w:t>
      </w:r>
      <w:r w:rsidRPr="001D421A">
        <w:rPr>
          <w:rStyle w:val="A8"/>
          <w:rFonts w:asciiTheme="minorHAnsi" w:hAnsiTheme="minorHAnsi"/>
          <w:color w:val="221E1F"/>
          <w:sz w:val="22"/>
        </w:rPr>
        <w:t xml:space="preserve">Centre Doctors’ Organization. </w:t>
      </w:r>
      <w:r w:rsidRPr="001D421A">
        <w:rPr>
          <w:rStyle w:val="A8"/>
          <w:rFonts w:asciiTheme="minorHAnsi" w:hAnsiTheme="minorHAnsi"/>
          <w:i/>
          <w:color w:val="221E1F"/>
          <w:sz w:val="22"/>
        </w:rPr>
        <w:t>Haemophilia</w:t>
      </w:r>
      <w:r w:rsidRPr="001D421A">
        <w:rPr>
          <w:rStyle w:val="A8"/>
          <w:rFonts w:asciiTheme="minorHAnsi" w:hAnsiTheme="minorHAnsi"/>
          <w:color w:val="221E1F"/>
          <w:sz w:val="22"/>
        </w:rPr>
        <w:t xml:space="preserve"> 2004</w:t>
      </w:r>
      <w:proofErr w:type="gramStart"/>
      <w:r w:rsidRPr="001D421A">
        <w:rPr>
          <w:rStyle w:val="A8"/>
          <w:rFonts w:asciiTheme="minorHAnsi" w:hAnsiTheme="minorHAnsi"/>
          <w:color w:val="221E1F"/>
          <w:sz w:val="22"/>
        </w:rPr>
        <w:t>;10</w:t>
      </w:r>
      <w:proofErr w:type="gramEnd"/>
      <w:r w:rsidRPr="001D421A">
        <w:rPr>
          <w:rStyle w:val="A8"/>
          <w:rFonts w:asciiTheme="minorHAnsi" w:hAnsiTheme="minorHAnsi"/>
          <w:color w:val="221E1F"/>
          <w:sz w:val="22"/>
        </w:rPr>
        <w:t>(3):218.231.</w:t>
      </w:r>
    </w:p>
    <w:p w:rsidR="004B5AE5" w:rsidRPr="001D421A" w:rsidRDefault="004B5AE5" w:rsidP="004B5AE5">
      <w:pPr>
        <w:pStyle w:val="Default"/>
        <w:numPr>
          <w:ilvl w:val="0"/>
          <w:numId w:val="49"/>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The Diagnosis, Evaluation and Management of von Willebrand Disease. US Dept</w:t>
      </w:r>
      <w:r>
        <w:rPr>
          <w:rStyle w:val="A8"/>
          <w:rFonts w:asciiTheme="minorHAnsi" w:hAnsiTheme="minorHAnsi"/>
          <w:color w:val="221E1F"/>
          <w:sz w:val="22"/>
        </w:rPr>
        <w:t xml:space="preserve"> </w:t>
      </w:r>
      <w:r w:rsidRPr="001D421A">
        <w:rPr>
          <w:rStyle w:val="A8"/>
          <w:rFonts w:asciiTheme="minorHAnsi" w:hAnsiTheme="minorHAnsi"/>
          <w:color w:val="221E1F"/>
          <w:sz w:val="22"/>
        </w:rPr>
        <w:t>Health and Human Services, National Heart, Lung and Blood Institute NIH</w:t>
      </w:r>
      <w:r>
        <w:rPr>
          <w:rStyle w:val="A8"/>
          <w:rFonts w:asciiTheme="minorHAnsi" w:hAnsiTheme="minorHAnsi"/>
          <w:color w:val="221E1F"/>
          <w:sz w:val="22"/>
        </w:rPr>
        <w:t xml:space="preserve"> </w:t>
      </w:r>
      <w:r w:rsidRPr="001D421A">
        <w:rPr>
          <w:rStyle w:val="A8"/>
          <w:rFonts w:asciiTheme="minorHAnsi" w:hAnsiTheme="minorHAnsi"/>
          <w:color w:val="221E1F"/>
          <w:sz w:val="22"/>
        </w:rPr>
        <w:t xml:space="preserve">Publication no. 08-5832, December 2007. www.nhlbi.nih.gov </w:t>
      </w:r>
    </w:p>
    <w:p w:rsidR="004B5AE5" w:rsidRPr="001D421A" w:rsidRDefault="004B5AE5" w:rsidP="004B5AE5">
      <w:pPr>
        <w:pStyle w:val="Default"/>
        <w:numPr>
          <w:ilvl w:val="0"/>
          <w:numId w:val="49"/>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Von Willebrand Disease: An Introduc</w:t>
      </w:r>
      <w:r w:rsidRPr="001D421A">
        <w:rPr>
          <w:rStyle w:val="A8"/>
          <w:rFonts w:asciiTheme="minorHAnsi" w:hAnsiTheme="minorHAnsi"/>
          <w:color w:val="221E1F"/>
          <w:sz w:val="22"/>
        </w:rPr>
        <w:softHyphen/>
        <w:t>tion for the Primary Care Physician. David Lillicrap and Paula James, World Federation of Hemophilia Treatment of Hemophilia mono</w:t>
      </w:r>
      <w:r w:rsidRPr="001D421A">
        <w:rPr>
          <w:rStyle w:val="A8"/>
          <w:rFonts w:asciiTheme="minorHAnsi" w:hAnsiTheme="minorHAnsi"/>
          <w:color w:val="221E1F"/>
          <w:sz w:val="22"/>
        </w:rPr>
        <w:softHyphen/>
        <w:t xml:space="preserve">graph No 47, January 2009. www.wfh.org </w:t>
      </w:r>
    </w:p>
    <w:p w:rsidR="004B5AE5" w:rsidRPr="001D421A" w:rsidRDefault="004B5AE5" w:rsidP="004B5AE5">
      <w:pPr>
        <w:pStyle w:val="Default"/>
        <w:numPr>
          <w:ilvl w:val="0"/>
          <w:numId w:val="49"/>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 xml:space="preserve">Rare Bleeding Disorders. Peyvandi F, Kaufman R, Selighson U et al. </w:t>
      </w:r>
      <w:r w:rsidRPr="001D421A">
        <w:rPr>
          <w:rStyle w:val="A8"/>
          <w:rFonts w:asciiTheme="minorHAnsi" w:hAnsiTheme="minorHAnsi"/>
          <w:i/>
          <w:color w:val="221E1F"/>
          <w:sz w:val="22"/>
        </w:rPr>
        <w:t>Haemophilia</w:t>
      </w:r>
      <w:r w:rsidRPr="001D421A">
        <w:rPr>
          <w:rStyle w:val="A8"/>
          <w:rFonts w:asciiTheme="minorHAnsi" w:hAnsiTheme="minorHAnsi"/>
          <w:color w:val="221E1F"/>
          <w:sz w:val="22"/>
        </w:rPr>
        <w:t xml:space="preserve"> 2006 Jul; 12 Suppl: 137-42. </w:t>
      </w:r>
    </w:p>
    <w:p w:rsidR="004B5AE5" w:rsidRDefault="004B5AE5" w:rsidP="004B5AE5">
      <w:pPr>
        <w:pStyle w:val="Default"/>
        <w:numPr>
          <w:ilvl w:val="0"/>
          <w:numId w:val="49"/>
        </w:numPr>
        <w:spacing w:line="276" w:lineRule="auto"/>
        <w:ind w:left="1701" w:hanging="284"/>
        <w:rPr>
          <w:rStyle w:val="A8"/>
          <w:rFonts w:asciiTheme="minorHAnsi" w:hAnsiTheme="minorHAnsi"/>
          <w:color w:val="221E1F"/>
          <w:sz w:val="22"/>
        </w:rPr>
      </w:pPr>
      <w:r w:rsidRPr="001D421A">
        <w:rPr>
          <w:rStyle w:val="A8"/>
          <w:rFonts w:asciiTheme="minorHAnsi" w:hAnsiTheme="minorHAnsi"/>
          <w:color w:val="221E1F"/>
          <w:sz w:val="22"/>
        </w:rPr>
        <w:t xml:space="preserve">The Rare Coagulation Disorders. Paula Bolton- Maggs, World Federation of Hemophilia Treatment of Hemophilia No 39, April 2006. www.wfh.org </w:t>
      </w:r>
    </w:p>
    <w:p w:rsidR="004B5AE5" w:rsidRDefault="004B5AE5">
      <w:pPr>
        <w:spacing w:after="200" w:line="276" w:lineRule="auto"/>
        <w:ind w:left="0"/>
        <w:rPr>
          <w:rStyle w:val="A8"/>
          <w:rFonts w:asciiTheme="minorHAnsi" w:eastAsia="Calibri" w:hAnsiTheme="minorHAnsi" w:cs="Avenir LT Std 55 Roman"/>
          <w:color w:val="221E1F"/>
          <w:sz w:val="22"/>
          <w:szCs w:val="24"/>
          <w:lang w:eastAsia="en-US"/>
        </w:rPr>
      </w:pPr>
      <w:r>
        <w:rPr>
          <w:rStyle w:val="A8"/>
          <w:rFonts w:asciiTheme="minorHAnsi" w:hAnsiTheme="minorHAnsi"/>
          <w:color w:val="221E1F"/>
          <w:sz w:val="22"/>
        </w:rPr>
        <w:br w:type="page"/>
      </w:r>
    </w:p>
    <w:p w:rsidR="004B5AE5" w:rsidRPr="001D421A" w:rsidRDefault="004B5AE5" w:rsidP="00041ED2">
      <w:pPr>
        <w:autoSpaceDE w:val="0"/>
        <w:autoSpaceDN w:val="0"/>
        <w:adjustRightInd w:val="0"/>
        <w:spacing w:before="560" w:after="140"/>
        <w:ind w:left="0"/>
        <w:rPr>
          <w:rFonts w:asciiTheme="minorHAnsi" w:hAnsiTheme="minorHAnsi" w:cs="Avenir LT Std 55 Roman"/>
          <w:color w:val="E31736"/>
          <w:sz w:val="28"/>
          <w:szCs w:val="28"/>
          <w:lang w:eastAsia="en-US"/>
        </w:rPr>
      </w:pPr>
      <w:r w:rsidRPr="001D421A">
        <w:rPr>
          <w:rFonts w:asciiTheme="minorHAnsi" w:hAnsiTheme="minorHAnsi" w:cs="Avenir LT Std 55 Roman"/>
          <w:b/>
          <w:bCs/>
          <w:color w:val="E31736"/>
          <w:sz w:val="28"/>
          <w:szCs w:val="28"/>
          <w:lang w:eastAsia="en-US"/>
        </w:rPr>
        <w:lastRenderedPageBreak/>
        <w:t xml:space="preserve">References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Lee CA, Chi C, Pavord SR, Bolton-Maggs PH, Pollard D, Hinchcliffe-Wood A, Kadir RA; UK Haemophilia Centre Doctors’ Organization. The obstetric and gynaecological management of women with inherited bleeding disorders--review with guidelines produced by a taskforce of UK Haemophilia Centre Doctors’ Organization.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2006 Jul</w:t>
      </w:r>
      <w:proofErr w:type="gramStart"/>
      <w:r w:rsidRPr="001D421A">
        <w:rPr>
          <w:rFonts w:asciiTheme="minorHAnsi" w:hAnsiTheme="minorHAnsi" w:cs="Arial"/>
          <w:color w:val="221E1F"/>
          <w:lang w:eastAsia="en-US"/>
        </w:rPr>
        <w:t>;12</w:t>
      </w:r>
      <w:proofErr w:type="gramEnd"/>
      <w:r w:rsidRPr="001D421A">
        <w:rPr>
          <w:rFonts w:asciiTheme="minorHAnsi" w:hAnsiTheme="minorHAnsi" w:cs="Arial"/>
          <w:color w:val="221E1F"/>
          <w:lang w:eastAsia="en-US"/>
        </w:rPr>
        <w:t xml:space="preserve">(4):301-36.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041ED2">
        <w:rPr>
          <w:rFonts w:asciiTheme="minorHAnsi" w:hAnsiTheme="minorHAnsi" w:cs="Arial"/>
          <w:color w:val="221E1F"/>
          <w:lang w:val="fr-FR" w:eastAsia="en-US"/>
        </w:rPr>
        <w:t xml:space="preserve">Rizza CR, Rhymes IL, Austen DE, Kernoff PB, Aroni SA. </w:t>
      </w:r>
      <w:r w:rsidRPr="001D421A">
        <w:rPr>
          <w:rFonts w:asciiTheme="minorHAnsi" w:hAnsiTheme="minorHAnsi" w:cs="Arial"/>
          <w:color w:val="221E1F"/>
          <w:lang w:eastAsia="en-US"/>
        </w:rPr>
        <w:t xml:space="preserve">Detection of carriers of haemophilia: a ‘blind’ study. </w:t>
      </w:r>
      <w:r w:rsidRPr="001D421A">
        <w:rPr>
          <w:rFonts w:asciiTheme="minorHAnsi" w:hAnsiTheme="minorHAnsi" w:cs="Arial"/>
          <w:i/>
          <w:iCs/>
          <w:color w:val="221E1F"/>
          <w:lang w:eastAsia="en-US"/>
        </w:rPr>
        <w:t xml:space="preserve">Br J Haematol </w:t>
      </w:r>
      <w:r w:rsidRPr="001D421A">
        <w:rPr>
          <w:rFonts w:asciiTheme="minorHAnsi" w:hAnsiTheme="minorHAnsi" w:cs="Arial"/>
          <w:color w:val="221E1F"/>
          <w:lang w:eastAsia="en-US"/>
        </w:rPr>
        <w:t>1975</w:t>
      </w:r>
      <w:proofErr w:type="gramStart"/>
      <w:r w:rsidRPr="001D421A">
        <w:rPr>
          <w:rFonts w:asciiTheme="minorHAnsi" w:hAnsiTheme="minorHAnsi" w:cs="Arial"/>
          <w:color w:val="221E1F"/>
          <w:lang w:eastAsia="en-US"/>
        </w:rPr>
        <w:t>;30</w:t>
      </w:r>
      <w:proofErr w:type="gramEnd"/>
      <w:r w:rsidRPr="001D421A">
        <w:rPr>
          <w:rFonts w:asciiTheme="minorHAnsi" w:hAnsiTheme="minorHAnsi" w:cs="Arial"/>
          <w:color w:val="221E1F"/>
          <w:lang w:eastAsia="en-US"/>
        </w:rPr>
        <w:t xml:space="preserve">(4):447-56.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Plug </w:t>
      </w:r>
      <w:proofErr w:type="gramStart"/>
      <w:r w:rsidRPr="001D421A">
        <w:rPr>
          <w:rFonts w:asciiTheme="minorHAnsi" w:hAnsiTheme="minorHAnsi" w:cs="Arial"/>
          <w:color w:val="221E1F"/>
          <w:lang w:eastAsia="en-US"/>
        </w:rPr>
        <w:t>I</w:t>
      </w:r>
      <w:proofErr w:type="gramEnd"/>
      <w:r w:rsidRPr="001D421A">
        <w:rPr>
          <w:rFonts w:asciiTheme="minorHAnsi" w:hAnsiTheme="minorHAnsi" w:cs="Arial"/>
          <w:color w:val="221E1F"/>
          <w:lang w:eastAsia="en-US"/>
        </w:rPr>
        <w:t xml:space="preserve">, Mauser-Bunschoten EP, Brocker-Vriends AH, et al. Bleeding in carriers of hemophilia. </w:t>
      </w:r>
      <w:r w:rsidRPr="001D421A">
        <w:rPr>
          <w:rFonts w:asciiTheme="minorHAnsi" w:hAnsiTheme="minorHAnsi" w:cs="Arial"/>
          <w:i/>
          <w:iCs/>
          <w:color w:val="221E1F"/>
          <w:lang w:eastAsia="en-US"/>
        </w:rPr>
        <w:t xml:space="preserve">Blood </w:t>
      </w:r>
      <w:r w:rsidRPr="001D421A">
        <w:rPr>
          <w:rFonts w:asciiTheme="minorHAnsi" w:hAnsiTheme="minorHAnsi" w:cs="Arial"/>
          <w:color w:val="221E1F"/>
          <w:lang w:eastAsia="en-US"/>
        </w:rPr>
        <w:t>2006</w:t>
      </w:r>
      <w:proofErr w:type="gramStart"/>
      <w:r w:rsidRPr="001D421A">
        <w:rPr>
          <w:rFonts w:asciiTheme="minorHAnsi" w:hAnsiTheme="minorHAnsi" w:cs="Arial"/>
          <w:color w:val="221E1F"/>
          <w:lang w:eastAsia="en-US"/>
        </w:rPr>
        <w:t>;108</w:t>
      </w:r>
      <w:proofErr w:type="gramEnd"/>
      <w:r w:rsidRPr="001D421A">
        <w:rPr>
          <w:rFonts w:asciiTheme="minorHAnsi" w:hAnsiTheme="minorHAnsi" w:cs="Arial"/>
          <w:color w:val="221E1F"/>
          <w:lang w:eastAsia="en-US"/>
        </w:rPr>
        <w:t xml:space="preserve">(1):52-6.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Chi C, Lee CA, Shiltagh N, Khan A, Pollard D, Kadir RA. Pregnancy in carriers of hemophilia.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2008</w:t>
      </w:r>
      <w:proofErr w:type="gramStart"/>
      <w:r w:rsidRPr="001D421A">
        <w:rPr>
          <w:rFonts w:asciiTheme="minorHAnsi" w:hAnsiTheme="minorHAnsi" w:cs="Arial"/>
          <w:color w:val="221E1F"/>
          <w:lang w:eastAsia="en-US"/>
        </w:rPr>
        <w:t>;14</w:t>
      </w:r>
      <w:proofErr w:type="gramEnd"/>
      <w:r w:rsidRPr="001D421A">
        <w:rPr>
          <w:rFonts w:asciiTheme="minorHAnsi" w:hAnsiTheme="minorHAnsi" w:cs="Arial"/>
          <w:color w:val="221E1F"/>
          <w:lang w:eastAsia="en-US"/>
        </w:rPr>
        <w:t xml:space="preserve">(1):56-64.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Ljung R, Tedgård U. Genetic counseling of hemophilia carriers. </w:t>
      </w:r>
      <w:r w:rsidRPr="001D421A">
        <w:rPr>
          <w:rFonts w:asciiTheme="minorHAnsi" w:hAnsiTheme="minorHAnsi" w:cs="Arial"/>
          <w:i/>
          <w:iCs/>
          <w:color w:val="221E1F"/>
          <w:lang w:eastAsia="en-US"/>
        </w:rPr>
        <w:t xml:space="preserve">Semin Thromb Hemost </w:t>
      </w:r>
      <w:r w:rsidRPr="001D421A">
        <w:rPr>
          <w:rFonts w:asciiTheme="minorHAnsi" w:hAnsiTheme="minorHAnsi" w:cs="Arial"/>
          <w:color w:val="221E1F"/>
          <w:lang w:eastAsia="en-US"/>
        </w:rPr>
        <w:t>2003</w:t>
      </w:r>
      <w:proofErr w:type="gramStart"/>
      <w:r w:rsidRPr="001D421A">
        <w:rPr>
          <w:rFonts w:asciiTheme="minorHAnsi" w:hAnsiTheme="minorHAnsi" w:cs="Arial"/>
          <w:color w:val="221E1F"/>
          <w:lang w:eastAsia="en-US"/>
        </w:rPr>
        <w:t>;29</w:t>
      </w:r>
      <w:proofErr w:type="gramEnd"/>
      <w:r w:rsidRPr="001D421A">
        <w:rPr>
          <w:rFonts w:asciiTheme="minorHAnsi" w:hAnsiTheme="minorHAnsi" w:cs="Arial"/>
          <w:color w:val="221E1F"/>
          <w:lang w:eastAsia="en-US"/>
        </w:rPr>
        <w:t xml:space="preserve">(1):31-6.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Dunn NF, Miller R, Griffioen A, Lee CA. Carrier testing in haemophilia A and B: adult carriers’ and their partners’ experiences and their views on the testing of young females.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2008</w:t>
      </w:r>
      <w:proofErr w:type="gramStart"/>
      <w:r w:rsidRPr="001D421A">
        <w:rPr>
          <w:rFonts w:asciiTheme="minorHAnsi" w:hAnsiTheme="minorHAnsi" w:cs="Arial"/>
          <w:color w:val="221E1F"/>
          <w:lang w:eastAsia="en-US"/>
        </w:rPr>
        <w:t>;14</w:t>
      </w:r>
      <w:proofErr w:type="gramEnd"/>
      <w:r w:rsidRPr="001D421A">
        <w:rPr>
          <w:rFonts w:asciiTheme="minorHAnsi" w:hAnsiTheme="minorHAnsi" w:cs="Arial"/>
          <w:color w:val="221E1F"/>
          <w:lang w:eastAsia="en-US"/>
        </w:rPr>
        <w:t xml:space="preserve">(3):584-92.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Mortarino M, Garagiola I, Lotta LA, Siboni SM, Semprini AE, Peyvandi F. Non-invasive tool for foetal sex determination in early gestational age.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2011 Nov</w:t>
      </w:r>
      <w:proofErr w:type="gramStart"/>
      <w:r w:rsidRPr="001D421A">
        <w:rPr>
          <w:rFonts w:asciiTheme="minorHAnsi" w:hAnsiTheme="minorHAnsi" w:cs="Arial"/>
          <w:color w:val="221E1F"/>
          <w:lang w:eastAsia="en-US"/>
        </w:rPr>
        <w:t>;17</w:t>
      </w:r>
      <w:proofErr w:type="gramEnd"/>
      <w:r w:rsidRPr="001D421A">
        <w:rPr>
          <w:rFonts w:asciiTheme="minorHAnsi" w:hAnsiTheme="minorHAnsi" w:cs="Arial"/>
          <w:color w:val="221E1F"/>
          <w:lang w:eastAsia="en-US"/>
        </w:rPr>
        <w:t>(6):952-6</w:t>
      </w:r>
      <w:r w:rsidRPr="001D421A">
        <w:rPr>
          <w:rFonts w:asciiTheme="minorHAnsi" w:hAnsiTheme="minorHAnsi" w:cs="Arial"/>
          <w:b/>
          <w:bCs/>
          <w:color w:val="221E1F"/>
          <w:lang w:eastAsia="en-US"/>
        </w:rPr>
        <w:t xml:space="preserve">.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Rijnders RJ, van der Luijt RB, Peters ED, Goeree JK, Van Der Schoot CE, Ploos Van Amstel JK, Christiaens GC. Earliest gestational age for fetal sexing in cell-free maternal plasma. </w:t>
      </w:r>
      <w:r w:rsidRPr="001D421A">
        <w:rPr>
          <w:rFonts w:asciiTheme="minorHAnsi" w:hAnsiTheme="minorHAnsi" w:cs="Arial"/>
          <w:i/>
          <w:iCs/>
          <w:color w:val="221E1F"/>
          <w:lang w:eastAsia="en-US"/>
        </w:rPr>
        <w:t xml:space="preserve">Prenat Diagn </w:t>
      </w:r>
      <w:r w:rsidRPr="001D421A">
        <w:rPr>
          <w:rFonts w:asciiTheme="minorHAnsi" w:hAnsiTheme="minorHAnsi" w:cs="Arial"/>
          <w:color w:val="221E1F"/>
          <w:lang w:eastAsia="en-US"/>
        </w:rPr>
        <w:t>2003</w:t>
      </w:r>
      <w:proofErr w:type="gramStart"/>
      <w:r w:rsidRPr="001D421A">
        <w:rPr>
          <w:rFonts w:asciiTheme="minorHAnsi" w:hAnsiTheme="minorHAnsi" w:cs="Arial"/>
          <w:color w:val="221E1F"/>
          <w:lang w:eastAsia="en-US"/>
        </w:rPr>
        <w:t>;23</w:t>
      </w:r>
      <w:proofErr w:type="gramEnd"/>
      <w:r w:rsidRPr="001D421A">
        <w:rPr>
          <w:rFonts w:asciiTheme="minorHAnsi" w:hAnsiTheme="minorHAnsi" w:cs="Arial"/>
          <w:color w:val="221E1F"/>
          <w:lang w:eastAsia="en-US"/>
        </w:rPr>
        <w:t xml:space="preserve">(13):1042-4.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Chi C, Hyett JA, Finning KM, Lee CA, Kadir RA. Non-invasive first trimester determination of fetal gender: a new approach of prenatal diagnosis of haemophilia. </w:t>
      </w:r>
      <w:r w:rsidRPr="001D421A">
        <w:rPr>
          <w:rFonts w:asciiTheme="minorHAnsi" w:hAnsiTheme="minorHAnsi" w:cs="Arial"/>
          <w:i/>
          <w:iCs/>
          <w:color w:val="221E1F"/>
          <w:lang w:eastAsia="en-US"/>
        </w:rPr>
        <w:t xml:space="preserve">BJOG </w:t>
      </w:r>
      <w:r w:rsidRPr="001D421A">
        <w:rPr>
          <w:rFonts w:asciiTheme="minorHAnsi" w:hAnsiTheme="minorHAnsi" w:cs="Arial"/>
          <w:color w:val="221E1F"/>
          <w:lang w:eastAsia="en-US"/>
        </w:rPr>
        <w:t>2006</w:t>
      </w:r>
      <w:proofErr w:type="gramStart"/>
      <w:r w:rsidRPr="001D421A">
        <w:rPr>
          <w:rFonts w:asciiTheme="minorHAnsi" w:hAnsiTheme="minorHAnsi" w:cs="Arial"/>
          <w:color w:val="221E1F"/>
          <w:lang w:eastAsia="en-US"/>
        </w:rPr>
        <w:t>;113</w:t>
      </w:r>
      <w:proofErr w:type="gramEnd"/>
      <w:r w:rsidRPr="001D421A">
        <w:rPr>
          <w:rFonts w:asciiTheme="minorHAnsi" w:hAnsiTheme="minorHAnsi" w:cs="Arial"/>
          <w:color w:val="221E1F"/>
          <w:lang w:eastAsia="en-US"/>
        </w:rPr>
        <w:t xml:space="preserve">(2):239-42.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Evans MI, Andriole S. Chorionic villus sampling and amniocentesis in 2008. </w:t>
      </w:r>
      <w:r w:rsidRPr="001D421A">
        <w:rPr>
          <w:rFonts w:asciiTheme="minorHAnsi" w:hAnsiTheme="minorHAnsi" w:cs="Arial"/>
          <w:i/>
          <w:iCs/>
          <w:color w:val="221E1F"/>
          <w:lang w:eastAsia="en-US"/>
        </w:rPr>
        <w:t xml:space="preserve">Curr Opin Obstet Gynecol </w:t>
      </w:r>
      <w:r w:rsidRPr="001D421A">
        <w:rPr>
          <w:rFonts w:asciiTheme="minorHAnsi" w:hAnsiTheme="minorHAnsi" w:cs="Arial"/>
          <w:color w:val="221E1F"/>
          <w:lang w:eastAsia="en-US"/>
        </w:rPr>
        <w:t>2008</w:t>
      </w:r>
      <w:proofErr w:type="gramStart"/>
      <w:r w:rsidRPr="001D421A">
        <w:rPr>
          <w:rFonts w:asciiTheme="minorHAnsi" w:hAnsiTheme="minorHAnsi" w:cs="Arial"/>
          <w:color w:val="221E1F"/>
          <w:lang w:eastAsia="en-US"/>
        </w:rPr>
        <w:t>;20</w:t>
      </w:r>
      <w:proofErr w:type="gramEnd"/>
      <w:r w:rsidRPr="001D421A">
        <w:rPr>
          <w:rFonts w:asciiTheme="minorHAnsi" w:hAnsiTheme="minorHAnsi" w:cs="Arial"/>
          <w:color w:val="221E1F"/>
          <w:lang w:eastAsia="en-US"/>
        </w:rPr>
        <w:t xml:space="preserve">(2):164-8.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Jauniaux E, Pahal GS, Rodeck CH. What invasive procedure to use in early pregnancy? </w:t>
      </w:r>
      <w:r w:rsidRPr="001D421A">
        <w:rPr>
          <w:rFonts w:asciiTheme="minorHAnsi" w:hAnsiTheme="minorHAnsi" w:cs="Arial"/>
          <w:i/>
          <w:iCs/>
          <w:color w:val="221E1F"/>
          <w:lang w:eastAsia="en-US"/>
        </w:rPr>
        <w:t xml:space="preserve">Baillieres Best Pract Res Clin Obstet Gynaecol </w:t>
      </w:r>
      <w:r w:rsidRPr="001D421A">
        <w:rPr>
          <w:rFonts w:asciiTheme="minorHAnsi" w:hAnsiTheme="minorHAnsi" w:cs="Arial"/>
          <w:color w:val="221E1F"/>
          <w:lang w:eastAsia="en-US"/>
        </w:rPr>
        <w:t>2000</w:t>
      </w:r>
      <w:proofErr w:type="gramStart"/>
      <w:r w:rsidRPr="001D421A">
        <w:rPr>
          <w:rFonts w:asciiTheme="minorHAnsi" w:hAnsiTheme="minorHAnsi" w:cs="Arial"/>
          <w:color w:val="221E1F"/>
          <w:lang w:eastAsia="en-US"/>
        </w:rPr>
        <w:t>;14</w:t>
      </w:r>
      <w:proofErr w:type="gramEnd"/>
      <w:r w:rsidRPr="001D421A">
        <w:rPr>
          <w:rFonts w:asciiTheme="minorHAnsi" w:hAnsiTheme="minorHAnsi" w:cs="Arial"/>
          <w:color w:val="221E1F"/>
          <w:lang w:eastAsia="en-US"/>
        </w:rPr>
        <w:t xml:space="preserve">(4):651-62.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Tabor A, Alfirevic Z. Update on procedure-related risks for prenatal diagnosis techniques. </w:t>
      </w:r>
      <w:r w:rsidRPr="001D421A">
        <w:rPr>
          <w:rFonts w:asciiTheme="minorHAnsi" w:hAnsiTheme="minorHAnsi" w:cs="Arial"/>
          <w:i/>
          <w:iCs/>
          <w:color w:val="221E1F"/>
          <w:lang w:eastAsia="en-US"/>
        </w:rPr>
        <w:t xml:space="preserve">Fetal Diagn Ther </w:t>
      </w:r>
      <w:r w:rsidRPr="001D421A">
        <w:rPr>
          <w:rFonts w:asciiTheme="minorHAnsi" w:hAnsiTheme="minorHAnsi" w:cs="Arial"/>
          <w:color w:val="221E1F"/>
          <w:lang w:eastAsia="en-US"/>
        </w:rPr>
        <w:t>2010</w:t>
      </w:r>
      <w:proofErr w:type="gramStart"/>
      <w:r w:rsidRPr="001D421A">
        <w:rPr>
          <w:rFonts w:asciiTheme="minorHAnsi" w:hAnsiTheme="minorHAnsi" w:cs="Arial"/>
          <w:color w:val="221E1F"/>
          <w:lang w:eastAsia="en-US"/>
        </w:rPr>
        <w:t>;27</w:t>
      </w:r>
      <w:proofErr w:type="gramEnd"/>
      <w:r w:rsidRPr="001D421A">
        <w:rPr>
          <w:rFonts w:asciiTheme="minorHAnsi" w:hAnsiTheme="minorHAnsi" w:cs="Arial"/>
          <w:color w:val="221E1F"/>
          <w:lang w:eastAsia="en-US"/>
        </w:rPr>
        <w:t xml:space="preserve">(1):1-7.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041ED2">
        <w:rPr>
          <w:rFonts w:asciiTheme="minorHAnsi" w:hAnsiTheme="minorHAnsi" w:cs="Arial"/>
          <w:color w:val="221E1F"/>
          <w:lang w:val="fr-FR" w:eastAsia="en-US"/>
        </w:rPr>
        <w:t xml:space="preserve">Wapner RJ.Invasive prenatal diagnostic techniques. </w:t>
      </w:r>
      <w:r w:rsidRPr="001D421A">
        <w:rPr>
          <w:rFonts w:asciiTheme="minorHAnsi" w:hAnsiTheme="minorHAnsi" w:cs="Arial"/>
          <w:i/>
          <w:iCs/>
          <w:color w:val="221E1F"/>
          <w:lang w:eastAsia="en-US"/>
        </w:rPr>
        <w:t xml:space="preserve">Semin Perinatol </w:t>
      </w:r>
      <w:r w:rsidRPr="001D421A">
        <w:rPr>
          <w:rFonts w:asciiTheme="minorHAnsi" w:hAnsiTheme="minorHAnsi" w:cs="Arial"/>
          <w:color w:val="221E1F"/>
          <w:lang w:eastAsia="en-US"/>
        </w:rPr>
        <w:t>2005</w:t>
      </w:r>
      <w:proofErr w:type="gramStart"/>
      <w:r w:rsidRPr="001D421A">
        <w:rPr>
          <w:rFonts w:asciiTheme="minorHAnsi" w:hAnsiTheme="minorHAnsi" w:cs="Arial"/>
          <w:color w:val="221E1F"/>
          <w:lang w:eastAsia="en-US"/>
        </w:rPr>
        <w:t>;29</w:t>
      </w:r>
      <w:proofErr w:type="gramEnd"/>
      <w:r w:rsidRPr="001D421A">
        <w:rPr>
          <w:rFonts w:asciiTheme="minorHAnsi" w:hAnsiTheme="minorHAnsi" w:cs="Arial"/>
          <w:color w:val="221E1F"/>
          <w:lang w:eastAsia="en-US"/>
        </w:rPr>
        <w:t xml:space="preserve">(6):401-4.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Katiyar R, Kriplani A, Agarwal N, Bhatla N, Kabra M. Detection of fetomaternal hemorrhage following chorionic villus sampling by Kleihauer Betke test and rise in maternal serum alpha feto protein. </w:t>
      </w:r>
      <w:r w:rsidRPr="001D421A">
        <w:rPr>
          <w:rFonts w:asciiTheme="minorHAnsi" w:hAnsiTheme="minorHAnsi" w:cs="Arial"/>
          <w:i/>
          <w:iCs/>
          <w:color w:val="221E1F"/>
          <w:lang w:eastAsia="en-US"/>
        </w:rPr>
        <w:t xml:space="preserve">Prenat Diagn </w:t>
      </w:r>
      <w:r w:rsidRPr="001D421A">
        <w:rPr>
          <w:rFonts w:asciiTheme="minorHAnsi" w:hAnsiTheme="minorHAnsi" w:cs="Arial"/>
          <w:color w:val="221E1F"/>
          <w:lang w:eastAsia="en-US"/>
        </w:rPr>
        <w:t>2007</w:t>
      </w:r>
      <w:proofErr w:type="gramStart"/>
      <w:r w:rsidRPr="001D421A">
        <w:rPr>
          <w:rFonts w:asciiTheme="minorHAnsi" w:hAnsiTheme="minorHAnsi" w:cs="Arial"/>
          <w:color w:val="221E1F"/>
          <w:lang w:eastAsia="en-US"/>
        </w:rPr>
        <w:t>;27</w:t>
      </w:r>
      <w:proofErr w:type="gramEnd"/>
      <w:r w:rsidRPr="001D421A">
        <w:rPr>
          <w:rFonts w:asciiTheme="minorHAnsi" w:hAnsiTheme="minorHAnsi" w:cs="Arial"/>
          <w:color w:val="221E1F"/>
          <w:lang w:eastAsia="en-US"/>
        </w:rPr>
        <w:t xml:space="preserve">(2):139-42.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Lavery S. Preimplantation genetic diagnosis of haemophilia. </w:t>
      </w:r>
      <w:r w:rsidRPr="001D421A">
        <w:rPr>
          <w:rFonts w:asciiTheme="minorHAnsi" w:hAnsiTheme="minorHAnsi" w:cs="Arial"/>
          <w:i/>
          <w:iCs/>
          <w:color w:val="221E1F"/>
          <w:lang w:eastAsia="en-US"/>
        </w:rPr>
        <w:t xml:space="preserve">Br J Haematol </w:t>
      </w:r>
      <w:r w:rsidRPr="001D421A">
        <w:rPr>
          <w:rFonts w:asciiTheme="minorHAnsi" w:hAnsiTheme="minorHAnsi" w:cs="Arial"/>
          <w:color w:val="221E1F"/>
          <w:lang w:eastAsia="en-US"/>
        </w:rPr>
        <w:t>2009</w:t>
      </w:r>
      <w:proofErr w:type="gramStart"/>
      <w:r w:rsidRPr="001D421A">
        <w:rPr>
          <w:rFonts w:asciiTheme="minorHAnsi" w:hAnsiTheme="minorHAnsi" w:cs="Arial"/>
          <w:color w:val="221E1F"/>
          <w:lang w:eastAsia="en-US"/>
        </w:rPr>
        <w:t>;144:303</w:t>
      </w:r>
      <w:proofErr w:type="gramEnd"/>
      <w:r w:rsidRPr="001D421A">
        <w:rPr>
          <w:rFonts w:asciiTheme="minorHAnsi" w:hAnsiTheme="minorHAnsi" w:cs="Arial"/>
          <w:color w:val="221E1F"/>
          <w:lang w:eastAsia="en-US"/>
        </w:rPr>
        <w:t xml:space="preserve">-307.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Kletzel M, Miller CH, Becton DL, Chadduck WM, Elser JM. Postdelivery head bleeding in hemophilic neonates: Causes and management. </w:t>
      </w:r>
      <w:r w:rsidRPr="001D421A">
        <w:rPr>
          <w:rFonts w:asciiTheme="minorHAnsi" w:hAnsiTheme="minorHAnsi" w:cs="Arial"/>
          <w:i/>
          <w:iCs/>
          <w:color w:val="221E1F"/>
          <w:lang w:eastAsia="en-US"/>
        </w:rPr>
        <w:t xml:space="preserve">Am J Dis Child </w:t>
      </w:r>
      <w:r w:rsidRPr="001D421A">
        <w:rPr>
          <w:rFonts w:asciiTheme="minorHAnsi" w:hAnsiTheme="minorHAnsi" w:cs="Arial"/>
          <w:color w:val="221E1F"/>
          <w:lang w:eastAsia="en-US"/>
        </w:rPr>
        <w:t>1989</w:t>
      </w:r>
      <w:proofErr w:type="gramStart"/>
      <w:r w:rsidRPr="001D421A">
        <w:rPr>
          <w:rFonts w:asciiTheme="minorHAnsi" w:hAnsiTheme="minorHAnsi" w:cs="Arial"/>
          <w:color w:val="221E1F"/>
          <w:lang w:eastAsia="en-US"/>
        </w:rPr>
        <w:t>;143:1107</w:t>
      </w:r>
      <w:proofErr w:type="gramEnd"/>
      <w:r w:rsidRPr="001D421A">
        <w:rPr>
          <w:rFonts w:asciiTheme="minorHAnsi" w:hAnsiTheme="minorHAnsi" w:cs="Arial"/>
          <w:color w:val="221E1F"/>
          <w:lang w:eastAsia="en-US"/>
        </w:rPr>
        <w:t xml:space="preserve">-10.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Kulkarni R, Lusher J. Perinatal management of newborns with haemophilia. </w:t>
      </w:r>
      <w:r w:rsidRPr="001D421A">
        <w:rPr>
          <w:rFonts w:asciiTheme="minorHAnsi" w:hAnsiTheme="minorHAnsi" w:cs="Arial"/>
          <w:i/>
          <w:iCs/>
          <w:color w:val="221E1F"/>
          <w:lang w:eastAsia="en-US"/>
        </w:rPr>
        <w:t xml:space="preserve">Br J Haematol </w:t>
      </w:r>
      <w:r w:rsidRPr="001D421A">
        <w:rPr>
          <w:rFonts w:asciiTheme="minorHAnsi" w:hAnsiTheme="minorHAnsi" w:cs="Arial"/>
          <w:color w:val="221E1F"/>
          <w:lang w:eastAsia="en-US"/>
        </w:rPr>
        <w:t>2001 Feb</w:t>
      </w:r>
      <w:proofErr w:type="gramStart"/>
      <w:r w:rsidRPr="001D421A">
        <w:rPr>
          <w:rFonts w:asciiTheme="minorHAnsi" w:hAnsiTheme="minorHAnsi" w:cs="Arial"/>
          <w:color w:val="221E1F"/>
          <w:lang w:eastAsia="en-US"/>
        </w:rPr>
        <w:t>;112</w:t>
      </w:r>
      <w:proofErr w:type="gramEnd"/>
      <w:r w:rsidRPr="001D421A">
        <w:rPr>
          <w:rFonts w:asciiTheme="minorHAnsi" w:hAnsiTheme="minorHAnsi" w:cs="Arial"/>
          <w:color w:val="221E1F"/>
          <w:lang w:eastAsia="en-US"/>
        </w:rPr>
        <w:t xml:space="preserve">(2):264-74.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Evans DI, Shaw A. Safety of intramuscular injection of hepatitis B vaccine in haemophiliacs. </w:t>
      </w:r>
      <w:r w:rsidRPr="001D421A">
        <w:rPr>
          <w:rFonts w:asciiTheme="minorHAnsi" w:hAnsiTheme="minorHAnsi" w:cs="Arial"/>
          <w:i/>
          <w:iCs/>
          <w:color w:val="221E1F"/>
          <w:lang w:eastAsia="en-US"/>
        </w:rPr>
        <w:t xml:space="preserve">BMJ </w:t>
      </w:r>
      <w:r w:rsidRPr="001D421A">
        <w:rPr>
          <w:rFonts w:asciiTheme="minorHAnsi" w:hAnsiTheme="minorHAnsi" w:cs="Arial"/>
          <w:color w:val="221E1F"/>
          <w:lang w:eastAsia="en-US"/>
        </w:rPr>
        <w:t>1990</w:t>
      </w:r>
      <w:proofErr w:type="gramStart"/>
      <w:r w:rsidRPr="001D421A">
        <w:rPr>
          <w:rFonts w:asciiTheme="minorHAnsi" w:hAnsiTheme="minorHAnsi" w:cs="Arial"/>
          <w:color w:val="221E1F"/>
          <w:lang w:eastAsia="en-US"/>
        </w:rPr>
        <w:t>;300:1694</w:t>
      </w:r>
      <w:proofErr w:type="gramEnd"/>
      <w:r w:rsidRPr="001D421A">
        <w:rPr>
          <w:rFonts w:asciiTheme="minorHAnsi" w:hAnsiTheme="minorHAnsi" w:cs="Arial"/>
          <w:color w:val="221E1F"/>
          <w:lang w:eastAsia="en-US"/>
        </w:rPr>
        <w:t xml:space="preserve">–95.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Miller EJ, Lee CA, Karayiannis P, Holmes S, Thomas HC, Kernoff PB. Immune response of patients with congenital coagulation disorders to hepatitis B vaccine: suboptimal response and human immunodeficiency virus infection. </w:t>
      </w:r>
      <w:r w:rsidRPr="001D421A">
        <w:rPr>
          <w:rFonts w:asciiTheme="minorHAnsi" w:hAnsiTheme="minorHAnsi" w:cs="Arial"/>
          <w:i/>
          <w:iCs/>
          <w:color w:val="221E1F"/>
          <w:lang w:eastAsia="en-US"/>
        </w:rPr>
        <w:t xml:space="preserve">J Med Virol </w:t>
      </w:r>
      <w:r w:rsidRPr="001D421A">
        <w:rPr>
          <w:rFonts w:asciiTheme="minorHAnsi" w:hAnsiTheme="minorHAnsi" w:cs="Arial"/>
          <w:color w:val="221E1F"/>
          <w:lang w:eastAsia="en-US"/>
        </w:rPr>
        <w:t>1989</w:t>
      </w:r>
      <w:proofErr w:type="gramStart"/>
      <w:r w:rsidRPr="001D421A">
        <w:rPr>
          <w:rFonts w:asciiTheme="minorHAnsi" w:hAnsiTheme="minorHAnsi" w:cs="Arial"/>
          <w:color w:val="221E1F"/>
          <w:lang w:eastAsia="en-US"/>
        </w:rPr>
        <w:t>;28:96</w:t>
      </w:r>
      <w:proofErr w:type="gramEnd"/>
      <w:r w:rsidRPr="001D421A">
        <w:rPr>
          <w:rFonts w:asciiTheme="minorHAnsi" w:hAnsiTheme="minorHAnsi" w:cs="Arial"/>
          <w:color w:val="221E1F"/>
          <w:lang w:eastAsia="en-US"/>
        </w:rPr>
        <w:t xml:space="preserve">–100.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Steele M, Cochrane A, Wakefield C, et al. Hepatitis A and B immunization for individuals with inherited bleeding disorders.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2009</w:t>
      </w:r>
      <w:proofErr w:type="gramStart"/>
      <w:r w:rsidRPr="001D421A">
        <w:rPr>
          <w:rFonts w:asciiTheme="minorHAnsi" w:hAnsiTheme="minorHAnsi" w:cs="Arial"/>
          <w:color w:val="221E1F"/>
          <w:lang w:eastAsia="en-US"/>
        </w:rPr>
        <w:t>;15</w:t>
      </w:r>
      <w:proofErr w:type="gramEnd"/>
      <w:r w:rsidRPr="001D421A">
        <w:rPr>
          <w:rFonts w:asciiTheme="minorHAnsi" w:hAnsiTheme="minorHAnsi" w:cs="Arial"/>
          <w:color w:val="221E1F"/>
          <w:lang w:eastAsia="en-US"/>
        </w:rPr>
        <w:t xml:space="preserve">(2):437-47.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lastRenderedPageBreak/>
        <w:t xml:space="preserve">Cassis F. Psychosocial care for people with hemophilia. </w:t>
      </w:r>
      <w:proofErr w:type="gramStart"/>
      <w:r w:rsidRPr="001D421A">
        <w:rPr>
          <w:rFonts w:asciiTheme="minorHAnsi" w:hAnsiTheme="minorHAnsi" w:cs="Arial"/>
          <w:color w:val="221E1F"/>
          <w:lang w:eastAsia="en-US"/>
        </w:rPr>
        <w:t>Treatment of Hemophilia monograph</w:t>
      </w:r>
      <w:proofErr w:type="gramEnd"/>
      <w:r w:rsidRPr="001D421A">
        <w:rPr>
          <w:rFonts w:asciiTheme="minorHAnsi" w:hAnsiTheme="minorHAnsi" w:cs="Arial"/>
          <w:color w:val="221E1F"/>
          <w:lang w:eastAsia="en-US"/>
        </w:rPr>
        <w:t xml:space="preserve"> no 44. Montreal: World Federation of Hemophilia, 2007.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Miller R. Counselling about diagnosis and inheritance of genetic bleeding disorders: haemophilia A and B.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1999</w:t>
      </w:r>
      <w:proofErr w:type="gramStart"/>
      <w:r w:rsidRPr="001D421A">
        <w:rPr>
          <w:rFonts w:asciiTheme="minorHAnsi" w:hAnsiTheme="minorHAnsi" w:cs="Arial"/>
          <w:color w:val="221E1F"/>
          <w:lang w:eastAsia="en-US"/>
        </w:rPr>
        <w:t>;5</w:t>
      </w:r>
      <w:proofErr w:type="gramEnd"/>
      <w:r w:rsidRPr="001D421A">
        <w:rPr>
          <w:rFonts w:asciiTheme="minorHAnsi" w:hAnsiTheme="minorHAnsi" w:cs="Arial"/>
          <w:color w:val="221E1F"/>
          <w:lang w:eastAsia="en-US"/>
        </w:rPr>
        <w:t xml:space="preserve">(2):77-83. </w:t>
      </w:r>
    </w:p>
    <w:p w:rsidR="004B5AE5" w:rsidRPr="00041ED2" w:rsidRDefault="004B5AE5" w:rsidP="00041ED2">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Bullinger M, von Mackensen S. Psychosocial determinants of quality of life in children and adolescents with haemophilia: a cross-cultural approach. </w:t>
      </w:r>
      <w:r w:rsidRPr="001D421A">
        <w:rPr>
          <w:rFonts w:asciiTheme="minorHAnsi" w:hAnsiTheme="minorHAnsi" w:cs="Arial"/>
          <w:i/>
          <w:iCs/>
          <w:color w:val="221E1F"/>
          <w:lang w:eastAsia="en-US"/>
        </w:rPr>
        <w:t xml:space="preserve">Clin Psychol Psychother </w:t>
      </w:r>
      <w:r w:rsidRPr="001D421A">
        <w:rPr>
          <w:rFonts w:asciiTheme="minorHAnsi" w:hAnsiTheme="minorHAnsi" w:cs="Arial"/>
          <w:color w:val="221E1F"/>
          <w:lang w:eastAsia="en-US"/>
        </w:rPr>
        <w:t>2008</w:t>
      </w:r>
      <w:proofErr w:type="gramStart"/>
      <w:r w:rsidRPr="001D421A">
        <w:rPr>
          <w:rFonts w:asciiTheme="minorHAnsi" w:hAnsiTheme="minorHAnsi" w:cs="Arial"/>
          <w:color w:val="221E1F"/>
          <w:lang w:eastAsia="en-US"/>
        </w:rPr>
        <w:t>;15</w:t>
      </w:r>
      <w:proofErr w:type="gramEnd"/>
      <w:r w:rsidRPr="001D421A">
        <w:rPr>
          <w:rFonts w:asciiTheme="minorHAnsi" w:hAnsiTheme="minorHAnsi" w:cs="Arial"/>
          <w:color w:val="221E1F"/>
          <w:lang w:eastAsia="en-US"/>
        </w:rPr>
        <w:t>(3):164-72.</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041ED2">
        <w:rPr>
          <w:rFonts w:asciiTheme="minorHAnsi" w:hAnsiTheme="minorHAnsi" w:cs="Arial"/>
          <w:color w:val="221E1F"/>
          <w:lang w:val="fr-FR" w:eastAsia="en-US"/>
        </w:rPr>
        <w:t xml:space="preserve">Mauser-Bunschoten EP, Fransen Van De Putte DE, Schutgens RE. </w:t>
      </w:r>
      <w:r w:rsidRPr="001D421A">
        <w:rPr>
          <w:rFonts w:asciiTheme="minorHAnsi" w:hAnsiTheme="minorHAnsi" w:cs="Arial"/>
          <w:color w:val="221E1F"/>
          <w:lang w:eastAsia="en-US"/>
        </w:rPr>
        <w:t xml:space="preserve">Co-morbidity in the ageing haemophilia patient: the down side of increased life expectancy.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2009 Jul</w:t>
      </w:r>
      <w:proofErr w:type="gramStart"/>
      <w:r w:rsidRPr="001D421A">
        <w:rPr>
          <w:rFonts w:asciiTheme="minorHAnsi" w:hAnsiTheme="minorHAnsi" w:cs="Arial"/>
          <w:color w:val="221E1F"/>
          <w:lang w:eastAsia="en-US"/>
        </w:rPr>
        <w:t>;15</w:t>
      </w:r>
      <w:proofErr w:type="gramEnd"/>
      <w:r w:rsidRPr="001D421A">
        <w:rPr>
          <w:rFonts w:asciiTheme="minorHAnsi" w:hAnsiTheme="minorHAnsi" w:cs="Arial"/>
          <w:color w:val="221E1F"/>
          <w:lang w:eastAsia="en-US"/>
        </w:rPr>
        <w:t>(4):853-63.</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Siboni SM, Mannucci PM, Gringeri A, et al. Health status and quality of life of elderly persons with severe haemophilia born before the advent of modern replacement therapy. </w:t>
      </w:r>
      <w:r w:rsidRPr="001D421A">
        <w:rPr>
          <w:rFonts w:asciiTheme="minorHAnsi" w:hAnsiTheme="minorHAnsi" w:cs="Arial"/>
          <w:i/>
          <w:iCs/>
          <w:color w:val="221E1F"/>
          <w:lang w:eastAsia="en-US"/>
        </w:rPr>
        <w:t xml:space="preserve">J Thromb Haemost </w:t>
      </w:r>
      <w:r w:rsidRPr="001D421A">
        <w:rPr>
          <w:rFonts w:asciiTheme="minorHAnsi" w:hAnsiTheme="minorHAnsi" w:cs="Arial"/>
          <w:color w:val="221E1F"/>
          <w:lang w:eastAsia="en-US"/>
        </w:rPr>
        <w:t>2009</w:t>
      </w:r>
      <w:proofErr w:type="gramStart"/>
      <w:r w:rsidRPr="001D421A">
        <w:rPr>
          <w:rFonts w:asciiTheme="minorHAnsi" w:hAnsiTheme="minorHAnsi" w:cs="Arial"/>
          <w:color w:val="221E1F"/>
          <w:lang w:eastAsia="en-US"/>
        </w:rPr>
        <w:t>;7</w:t>
      </w:r>
      <w:proofErr w:type="gramEnd"/>
      <w:r w:rsidRPr="001D421A">
        <w:rPr>
          <w:rFonts w:asciiTheme="minorHAnsi" w:hAnsiTheme="minorHAnsi" w:cs="Arial"/>
          <w:color w:val="221E1F"/>
          <w:lang w:eastAsia="en-US"/>
        </w:rPr>
        <w:t>(5):780-6.</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Iorio A, Fabbriciani G, Marcucci M, Brozzetti M, Filipponi P. Bone mineral density in haemophilia patients: A meta-analysis. </w:t>
      </w:r>
      <w:r w:rsidRPr="001D421A">
        <w:rPr>
          <w:rFonts w:asciiTheme="minorHAnsi" w:hAnsiTheme="minorHAnsi" w:cs="Arial"/>
          <w:i/>
          <w:iCs/>
          <w:color w:val="221E1F"/>
          <w:lang w:eastAsia="en-US"/>
        </w:rPr>
        <w:t xml:space="preserve">Thromb Haemost </w:t>
      </w:r>
      <w:r w:rsidRPr="001D421A">
        <w:rPr>
          <w:rFonts w:asciiTheme="minorHAnsi" w:hAnsiTheme="minorHAnsi" w:cs="Arial"/>
          <w:color w:val="221E1F"/>
          <w:lang w:eastAsia="en-US"/>
        </w:rPr>
        <w:t>2010 Mar</w:t>
      </w:r>
      <w:proofErr w:type="gramStart"/>
      <w:r w:rsidRPr="001D421A">
        <w:rPr>
          <w:rFonts w:asciiTheme="minorHAnsi" w:hAnsiTheme="minorHAnsi" w:cs="Arial"/>
          <w:color w:val="221E1F"/>
          <w:lang w:eastAsia="en-US"/>
        </w:rPr>
        <w:t>;103</w:t>
      </w:r>
      <w:proofErr w:type="gramEnd"/>
      <w:r w:rsidRPr="001D421A">
        <w:rPr>
          <w:rFonts w:asciiTheme="minorHAnsi" w:hAnsiTheme="minorHAnsi" w:cs="Arial"/>
          <w:color w:val="221E1F"/>
          <w:lang w:eastAsia="en-US"/>
        </w:rPr>
        <w:t>(3):596-603.</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Wallny TA, Scholz DT, Oldenburg J, et al. Osteoporosis in haemophilia - an underestimated comorbidity?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2007</w:t>
      </w:r>
      <w:proofErr w:type="gramStart"/>
      <w:r w:rsidRPr="001D421A">
        <w:rPr>
          <w:rFonts w:asciiTheme="minorHAnsi" w:hAnsiTheme="minorHAnsi" w:cs="Arial"/>
          <w:color w:val="221E1F"/>
          <w:lang w:eastAsia="en-US"/>
        </w:rPr>
        <w:t>;13</w:t>
      </w:r>
      <w:proofErr w:type="gramEnd"/>
      <w:r w:rsidRPr="001D421A">
        <w:rPr>
          <w:rFonts w:asciiTheme="minorHAnsi" w:hAnsiTheme="minorHAnsi" w:cs="Arial"/>
          <w:color w:val="221E1F"/>
          <w:lang w:eastAsia="en-US"/>
        </w:rPr>
        <w:t xml:space="preserve">(1):79-84. </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Kovacs CS. Hemophilia, low bone mass, and osteopenia/osteoporosis. </w:t>
      </w:r>
      <w:r w:rsidRPr="001D421A">
        <w:rPr>
          <w:rFonts w:asciiTheme="minorHAnsi" w:hAnsiTheme="minorHAnsi" w:cs="Arial"/>
          <w:i/>
          <w:iCs/>
          <w:color w:val="221E1F"/>
          <w:lang w:eastAsia="en-US"/>
        </w:rPr>
        <w:t xml:space="preserve">Transfus Apher Sci </w:t>
      </w:r>
      <w:r w:rsidRPr="001D421A">
        <w:rPr>
          <w:rFonts w:asciiTheme="minorHAnsi" w:hAnsiTheme="minorHAnsi" w:cs="Arial"/>
          <w:color w:val="221E1F"/>
          <w:lang w:eastAsia="en-US"/>
        </w:rPr>
        <w:t>2008</w:t>
      </w:r>
      <w:proofErr w:type="gramStart"/>
      <w:r w:rsidRPr="001D421A">
        <w:rPr>
          <w:rFonts w:asciiTheme="minorHAnsi" w:hAnsiTheme="minorHAnsi" w:cs="Arial"/>
          <w:color w:val="221E1F"/>
          <w:lang w:eastAsia="en-US"/>
        </w:rPr>
        <w:t>;38</w:t>
      </w:r>
      <w:proofErr w:type="gramEnd"/>
      <w:r w:rsidRPr="001D421A">
        <w:rPr>
          <w:rFonts w:asciiTheme="minorHAnsi" w:hAnsiTheme="minorHAnsi" w:cs="Arial"/>
          <w:color w:val="221E1F"/>
          <w:lang w:eastAsia="en-US"/>
        </w:rPr>
        <w:t>(1):33-40.</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Scottish Dental Clinical Effectiveness Programme, Oral Health Management of Patients Prescribed Bisphosphonates: Dental Clinical Guidance. Dundee: Scottish Dental Clinical Effectiveness Programme, April 2011.</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Hofstede FG, Fijnvandraat K, Plug I, Kamphuisen PW, Rosendaal FR, Peters M. Obesity: a new disaster for haemophilic patients? A nationwide survey.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2008</w:t>
      </w:r>
      <w:proofErr w:type="gramStart"/>
      <w:r w:rsidRPr="001D421A">
        <w:rPr>
          <w:rFonts w:asciiTheme="minorHAnsi" w:hAnsiTheme="minorHAnsi" w:cs="Arial"/>
          <w:color w:val="221E1F"/>
          <w:lang w:eastAsia="en-US"/>
        </w:rPr>
        <w:t>;14</w:t>
      </w:r>
      <w:proofErr w:type="gramEnd"/>
      <w:r w:rsidRPr="001D421A">
        <w:rPr>
          <w:rFonts w:asciiTheme="minorHAnsi" w:hAnsiTheme="minorHAnsi" w:cs="Arial"/>
          <w:color w:val="221E1F"/>
          <w:lang w:eastAsia="en-US"/>
        </w:rPr>
        <w:t>(5):1035-38.</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041ED2">
        <w:rPr>
          <w:rFonts w:asciiTheme="minorHAnsi" w:hAnsiTheme="minorHAnsi" w:cs="Arial"/>
          <w:color w:val="221E1F"/>
          <w:lang w:val="fr-FR" w:eastAsia="en-US"/>
        </w:rPr>
        <w:t xml:space="preserve">Soucie JM, Cianfrini C, Janco RL, et al. </w:t>
      </w:r>
      <w:r w:rsidRPr="001D421A">
        <w:rPr>
          <w:rFonts w:asciiTheme="minorHAnsi" w:hAnsiTheme="minorHAnsi" w:cs="Arial"/>
          <w:color w:val="221E1F"/>
          <w:lang w:eastAsia="en-US"/>
        </w:rPr>
        <w:t xml:space="preserve">Joint range-of-motion limitations among young males with hemophilia: prevalence and risk factors. </w:t>
      </w:r>
      <w:r w:rsidRPr="001D421A">
        <w:rPr>
          <w:rFonts w:asciiTheme="minorHAnsi" w:hAnsiTheme="minorHAnsi" w:cs="Arial"/>
          <w:i/>
          <w:iCs/>
          <w:color w:val="221E1F"/>
          <w:lang w:eastAsia="en-US"/>
        </w:rPr>
        <w:t xml:space="preserve">Blood </w:t>
      </w:r>
      <w:r w:rsidRPr="001D421A">
        <w:rPr>
          <w:rFonts w:asciiTheme="minorHAnsi" w:hAnsiTheme="minorHAnsi" w:cs="Arial"/>
          <w:color w:val="221E1F"/>
          <w:lang w:eastAsia="en-US"/>
        </w:rPr>
        <w:t>2004</w:t>
      </w:r>
      <w:proofErr w:type="gramStart"/>
      <w:r w:rsidRPr="001D421A">
        <w:rPr>
          <w:rFonts w:asciiTheme="minorHAnsi" w:hAnsiTheme="minorHAnsi" w:cs="Arial"/>
          <w:color w:val="221E1F"/>
          <w:lang w:eastAsia="en-US"/>
        </w:rPr>
        <w:t>;103</w:t>
      </w:r>
      <w:proofErr w:type="gramEnd"/>
      <w:r w:rsidRPr="001D421A">
        <w:rPr>
          <w:rFonts w:asciiTheme="minorHAnsi" w:hAnsiTheme="minorHAnsi" w:cs="Arial"/>
          <w:color w:val="221E1F"/>
          <w:lang w:eastAsia="en-US"/>
        </w:rPr>
        <w:t>(7):2467-73.</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Carpenter SL, Chrisco M, Johnson E. The effect of overweight and obesity on joint damage in patients with moderate to severe hemophilia. </w:t>
      </w:r>
      <w:r w:rsidRPr="001D421A">
        <w:rPr>
          <w:rFonts w:asciiTheme="minorHAnsi" w:hAnsiTheme="minorHAnsi" w:cs="Arial"/>
          <w:i/>
          <w:iCs/>
          <w:color w:val="221E1F"/>
          <w:lang w:eastAsia="en-US"/>
        </w:rPr>
        <w:t xml:space="preserve">Blood </w:t>
      </w:r>
      <w:r w:rsidRPr="001D421A">
        <w:rPr>
          <w:rFonts w:asciiTheme="minorHAnsi" w:hAnsiTheme="minorHAnsi" w:cs="Arial"/>
          <w:color w:val="221E1F"/>
          <w:lang w:eastAsia="en-US"/>
        </w:rPr>
        <w:t>2006</w:t>
      </w:r>
      <w:proofErr w:type="gramStart"/>
      <w:r w:rsidRPr="001D421A">
        <w:rPr>
          <w:rFonts w:asciiTheme="minorHAnsi" w:hAnsiTheme="minorHAnsi" w:cs="Arial"/>
          <w:color w:val="221E1F"/>
          <w:lang w:eastAsia="en-US"/>
        </w:rPr>
        <w:t>;108:ASH</w:t>
      </w:r>
      <w:proofErr w:type="gramEnd"/>
      <w:r w:rsidRPr="001D421A">
        <w:rPr>
          <w:rFonts w:asciiTheme="minorHAnsi" w:hAnsiTheme="minorHAnsi" w:cs="Arial"/>
          <w:color w:val="221E1F"/>
          <w:lang w:eastAsia="en-US"/>
        </w:rPr>
        <w:t xml:space="preserve"> Annual Meeting Abstracts 4064.</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bCs/>
          <w:lang w:val="en-US" w:eastAsia="en-US"/>
        </w:rPr>
        <w:t>Pharmacokinetic analysis of anti-hemophilic factor in the obese patient.</w:t>
      </w:r>
      <w:hyperlink r:id="rId20" w:history="1">
        <w:r w:rsidRPr="001D421A">
          <w:rPr>
            <w:rFonts w:asciiTheme="minorHAnsi" w:hAnsiTheme="minorHAnsi" w:cs="Arial"/>
            <w:color w:val="262626"/>
            <w:lang w:val="en-US" w:eastAsia="en-US"/>
          </w:rPr>
          <w:t>Graham A</w:t>
        </w:r>
      </w:hyperlink>
      <w:r w:rsidRPr="001D421A">
        <w:rPr>
          <w:rFonts w:asciiTheme="minorHAnsi" w:hAnsiTheme="minorHAnsi" w:cs="Arial"/>
          <w:lang w:val="en-US" w:eastAsia="en-US"/>
        </w:rPr>
        <w:t xml:space="preserve">1, </w:t>
      </w:r>
      <w:hyperlink r:id="rId21" w:history="1">
        <w:r w:rsidRPr="001D421A">
          <w:rPr>
            <w:rFonts w:asciiTheme="minorHAnsi" w:hAnsiTheme="minorHAnsi" w:cs="Arial"/>
            <w:color w:val="262626"/>
            <w:lang w:val="en-US" w:eastAsia="en-US"/>
          </w:rPr>
          <w:t>Jaworski K</w:t>
        </w:r>
      </w:hyperlink>
      <w:r w:rsidRPr="001D421A">
        <w:rPr>
          <w:rFonts w:asciiTheme="minorHAnsi" w:hAnsiTheme="minorHAnsi" w:cs="Arial"/>
          <w:lang w:val="en-US" w:eastAsia="en-US"/>
        </w:rPr>
        <w:t>.</w:t>
      </w:r>
      <w:r w:rsidRPr="001D421A">
        <w:rPr>
          <w:rFonts w:asciiTheme="minorHAnsi" w:hAnsiTheme="minorHAnsi" w:cs="Arial"/>
          <w:color w:val="262626"/>
          <w:lang w:val="en-US" w:eastAsia="en-US"/>
        </w:rPr>
        <w:t xml:space="preserve"> Haemophilia.</w:t>
      </w:r>
      <w:r w:rsidRPr="001D421A">
        <w:rPr>
          <w:rFonts w:asciiTheme="minorHAnsi" w:hAnsiTheme="minorHAnsi" w:cs="Arial"/>
          <w:lang w:val="en-US" w:eastAsia="en-US"/>
        </w:rPr>
        <w:t xml:space="preserve"> 2014 Mar;20(2):226-9</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Biere-Rafi S, Baarslag MA, Peters M, Kruip MJ, Kraaijenhagen RA, Den Heijer M, Büller HR, Kamphuisen PW. Cardiovascular risk assessment in haemophilia patients. </w:t>
      </w:r>
      <w:r w:rsidRPr="001D421A">
        <w:rPr>
          <w:rFonts w:asciiTheme="minorHAnsi" w:hAnsiTheme="minorHAnsi" w:cs="Arial"/>
          <w:i/>
          <w:iCs/>
          <w:color w:val="221E1F"/>
          <w:lang w:eastAsia="en-US"/>
        </w:rPr>
        <w:t xml:space="preserve">Thromb Haemost </w:t>
      </w:r>
      <w:r w:rsidRPr="001D421A">
        <w:rPr>
          <w:rFonts w:asciiTheme="minorHAnsi" w:hAnsiTheme="minorHAnsi" w:cs="Arial"/>
          <w:color w:val="221E1F"/>
          <w:lang w:eastAsia="en-US"/>
        </w:rPr>
        <w:t>2011 Feb 1</w:t>
      </w:r>
      <w:proofErr w:type="gramStart"/>
      <w:r w:rsidRPr="001D421A">
        <w:rPr>
          <w:rFonts w:asciiTheme="minorHAnsi" w:hAnsiTheme="minorHAnsi" w:cs="Arial"/>
          <w:color w:val="221E1F"/>
          <w:lang w:eastAsia="en-US"/>
        </w:rPr>
        <w:t>;105</w:t>
      </w:r>
      <w:proofErr w:type="gramEnd"/>
      <w:r w:rsidRPr="001D421A">
        <w:rPr>
          <w:rFonts w:asciiTheme="minorHAnsi" w:hAnsiTheme="minorHAnsi" w:cs="Arial"/>
          <w:color w:val="221E1F"/>
          <w:lang w:eastAsia="en-US"/>
        </w:rPr>
        <w:t>(2):274-8.</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Lim MY, Pruthi RK. Cardiovascular disease risk factors: prevalence and management in adult hemophilia patients. </w:t>
      </w:r>
      <w:r w:rsidRPr="001D421A">
        <w:rPr>
          <w:rFonts w:asciiTheme="minorHAnsi" w:hAnsiTheme="minorHAnsi" w:cs="Arial"/>
          <w:i/>
          <w:iCs/>
          <w:color w:val="221E1F"/>
          <w:lang w:eastAsia="en-US"/>
        </w:rPr>
        <w:t xml:space="preserve">Blood Coagul Fibrinolysis </w:t>
      </w:r>
      <w:r w:rsidRPr="001D421A">
        <w:rPr>
          <w:rFonts w:asciiTheme="minorHAnsi" w:hAnsiTheme="minorHAnsi" w:cs="Arial"/>
          <w:color w:val="221E1F"/>
          <w:lang w:eastAsia="en-US"/>
        </w:rPr>
        <w:t>2011 Jul</w:t>
      </w:r>
      <w:proofErr w:type="gramStart"/>
      <w:r w:rsidRPr="001D421A">
        <w:rPr>
          <w:rFonts w:asciiTheme="minorHAnsi" w:hAnsiTheme="minorHAnsi" w:cs="Arial"/>
          <w:color w:val="221E1F"/>
          <w:lang w:eastAsia="en-US"/>
        </w:rPr>
        <w:t>;22</w:t>
      </w:r>
      <w:proofErr w:type="gramEnd"/>
      <w:r w:rsidRPr="001D421A">
        <w:rPr>
          <w:rFonts w:asciiTheme="minorHAnsi" w:hAnsiTheme="minorHAnsi" w:cs="Arial"/>
          <w:color w:val="221E1F"/>
          <w:lang w:eastAsia="en-US"/>
        </w:rPr>
        <w:t>(5):402-6.</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Walsh M, Macgregor D, Stuckless S, Barrett B, Kawaja M, Scully MF. Health-related quality of life in a cohort of adult patients with mild hemophilia A. </w:t>
      </w:r>
      <w:r w:rsidRPr="001D421A">
        <w:rPr>
          <w:rFonts w:asciiTheme="minorHAnsi" w:hAnsiTheme="minorHAnsi" w:cs="Arial"/>
          <w:i/>
          <w:iCs/>
          <w:color w:val="221E1F"/>
          <w:lang w:eastAsia="en-US"/>
        </w:rPr>
        <w:t xml:space="preserve">J Thromb Haemost </w:t>
      </w:r>
      <w:r w:rsidRPr="001D421A">
        <w:rPr>
          <w:rFonts w:asciiTheme="minorHAnsi" w:hAnsiTheme="minorHAnsi" w:cs="Arial"/>
          <w:color w:val="221E1F"/>
          <w:lang w:eastAsia="en-US"/>
        </w:rPr>
        <w:t>2008</w:t>
      </w:r>
      <w:proofErr w:type="gramStart"/>
      <w:r w:rsidRPr="001D421A">
        <w:rPr>
          <w:rFonts w:asciiTheme="minorHAnsi" w:hAnsiTheme="minorHAnsi" w:cs="Arial"/>
          <w:color w:val="221E1F"/>
          <w:lang w:eastAsia="en-US"/>
        </w:rPr>
        <w:t>;6</w:t>
      </w:r>
      <w:proofErr w:type="gramEnd"/>
      <w:r w:rsidRPr="001D421A">
        <w:rPr>
          <w:rFonts w:asciiTheme="minorHAnsi" w:hAnsiTheme="minorHAnsi" w:cs="Arial"/>
          <w:color w:val="221E1F"/>
          <w:lang w:eastAsia="en-US"/>
        </w:rPr>
        <w:t>(5):755-61.</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Rosendaal FR, Briet E, Stibbe J, van Herpen G, Leuven JA, Hofman A, Vandenbroucke JP. Haemophilia protects against ischaemic heart disease: a study of risk factors. </w:t>
      </w:r>
      <w:r w:rsidRPr="001D421A">
        <w:rPr>
          <w:rFonts w:asciiTheme="minorHAnsi" w:hAnsiTheme="minorHAnsi" w:cs="Arial"/>
          <w:i/>
          <w:iCs/>
          <w:color w:val="221E1F"/>
          <w:lang w:eastAsia="en-US"/>
        </w:rPr>
        <w:t xml:space="preserve">Br J Haematol </w:t>
      </w:r>
      <w:r w:rsidRPr="001D421A">
        <w:rPr>
          <w:rFonts w:asciiTheme="minorHAnsi" w:hAnsiTheme="minorHAnsi" w:cs="Arial"/>
          <w:color w:val="221E1F"/>
          <w:lang w:eastAsia="en-US"/>
        </w:rPr>
        <w:t>1990</w:t>
      </w:r>
      <w:proofErr w:type="gramStart"/>
      <w:r w:rsidRPr="001D421A">
        <w:rPr>
          <w:rFonts w:asciiTheme="minorHAnsi" w:hAnsiTheme="minorHAnsi" w:cs="Arial"/>
          <w:color w:val="221E1F"/>
          <w:lang w:eastAsia="en-US"/>
        </w:rPr>
        <w:t>;75</w:t>
      </w:r>
      <w:proofErr w:type="gramEnd"/>
      <w:r w:rsidRPr="001D421A">
        <w:rPr>
          <w:rFonts w:asciiTheme="minorHAnsi" w:hAnsiTheme="minorHAnsi" w:cs="Arial"/>
          <w:color w:val="221E1F"/>
          <w:lang w:eastAsia="en-US"/>
        </w:rPr>
        <w:t>(4):525-30.</w:t>
      </w:r>
    </w:p>
    <w:p w:rsidR="004B5AE5" w:rsidRPr="00021D04"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021D04">
        <w:rPr>
          <w:rFonts w:asciiTheme="minorHAnsi" w:hAnsiTheme="minorHAnsi" w:cs="Arial"/>
          <w:color w:val="221E1F"/>
          <w:lang w:eastAsia="en-US"/>
        </w:rPr>
        <w:t>Sullivan DR, Watts GF, Nicholls SJ, Barter P, Grenfell R, Chow CK, Tonkin A, Keech A.</w:t>
      </w:r>
      <w:r>
        <w:rPr>
          <w:rFonts w:asciiTheme="minorHAnsi" w:hAnsiTheme="minorHAnsi" w:cs="Arial"/>
          <w:color w:val="221E1F"/>
          <w:lang w:eastAsia="en-US"/>
        </w:rPr>
        <w:t xml:space="preserve"> </w:t>
      </w:r>
      <w:r w:rsidRPr="00021D04">
        <w:rPr>
          <w:rFonts w:asciiTheme="minorHAnsi" w:hAnsiTheme="minorHAnsi" w:cs="Arial"/>
          <w:color w:val="221E1F"/>
          <w:lang w:eastAsia="en-US"/>
        </w:rPr>
        <w:t>Clinical guidelines on hyperlipidaemia: recent developments, future challenges and the need for an Australian review.</w:t>
      </w:r>
      <w:r>
        <w:rPr>
          <w:rFonts w:asciiTheme="minorHAnsi" w:hAnsiTheme="minorHAnsi" w:cs="Arial"/>
          <w:color w:val="221E1F"/>
          <w:lang w:eastAsia="en-US"/>
        </w:rPr>
        <w:t xml:space="preserve"> </w:t>
      </w:r>
      <w:r w:rsidRPr="00021D04">
        <w:rPr>
          <w:rFonts w:asciiTheme="minorHAnsi" w:hAnsiTheme="minorHAnsi" w:cs="Arial"/>
          <w:color w:val="221E1F"/>
          <w:lang w:eastAsia="en-US"/>
        </w:rPr>
        <w:t>Heart Lung Circ. 2015 May</w:t>
      </w:r>
      <w:proofErr w:type="gramStart"/>
      <w:r w:rsidRPr="00021D04">
        <w:rPr>
          <w:rFonts w:asciiTheme="minorHAnsi" w:hAnsiTheme="minorHAnsi" w:cs="Arial"/>
          <w:color w:val="221E1F"/>
          <w:lang w:eastAsia="en-US"/>
        </w:rPr>
        <w:t>;24</w:t>
      </w:r>
      <w:proofErr w:type="gramEnd"/>
      <w:r w:rsidRPr="00021D04">
        <w:rPr>
          <w:rFonts w:asciiTheme="minorHAnsi" w:hAnsiTheme="minorHAnsi" w:cs="Arial"/>
          <w:color w:val="221E1F"/>
          <w:lang w:eastAsia="en-US"/>
        </w:rPr>
        <w:t>(5):495-502</w:t>
      </w:r>
      <w:r>
        <w:rPr>
          <w:rFonts w:asciiTheme="minorHAnsi" w:hAnsiTheme="minorHAnsi" w:cs="Arial"/>
          <w:color w:val="221E1F"/>
          <w:lang w:eastAsia="en-US"/>
        </w:rPr>
        <w:t>.</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Kulkarni R, Soucie JM, Evatt BL; Hemophilia Surveillance System Project Investigators. Prevalence and risk factors for heart disease among males with hemophilia. </w:t>
      </w:r>
      <w:r w:rsidRPr="001D421A">
        <w:rPr>
          <w:rFonts w:asciiTheme="minorHAnsi" w:hAnsiTheme="minorHAnsi" w:cs="Arial"/>
          <w:i/>
          <w:iCs/>
          <w:color w:val="221E1F"/>
          <w:lang w:eastAsia="en-US"/>
        </w:rPr>
        <w:t xml:space="preserve">Am J Hematol </w:t>
      </w:r>
      <w:r w:rsidRPr="001D421A">
        <w:rPr>
          <w:rFonts w:asciiTheme="minorHAnsi" w:hAnsiTheme="minorHAnsi" w:cs="Arial"/>
          <w:color w:val="221E1F"/>
          <w:lang w:eastAsia="en-US"/>
        </w:rPr>
        <w:t>2005</w:t>
      </w:r>
      <w:proofErr w:type="gramStart"/>
      <w:r w:rsidRPr="001D421A">
        <w:rPr>
          <w:rFonts w:asciiTheme="minorHAnsi" w:hAnsiTheme="minorHAnsi" w:cs="Arial"/>
          <w:color w:val="221E1F"/>
          <w:lang w:eastAsia="en-US"/>
        </w:rPr>
        <w:t>;79</w:t>
      </w:r>
      <w:proofErr w:type="gramEnd"/>
      <w:r w:rsidRPr="001D421A">
        <w:rPr>
          <w:rFonts w:asciiTheme="minorHAnsi" w:hAnsiTheme="minorHAnsi" w:cs="Arial"/>
          <w:color w:val="221E1F"/>
          <w:lang w:eastAsia="en-US"/>
        </w:rPr>
        <w:t>(1):36-42.</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lastRenderedPageBreak/>
        <w:t xml:space="preserve">Ragni MV, Moore CG. Atherosclerotic heart disease: prevalence and risk factors in hospitalized men with haemophilia A.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2011 Nov</w:t>
      </w:r>
      <w:proofErr w:type="gramStart"/>
      <w:r w:rsidRPr="001D421A">
        <w:rPr>
          <w:rFonts w:asciiTheme="minorHAnsi" w:hAnsiTheme="minorHAnsi" w:cs="Arial"/>
          <w:color w:val="221E1F"/>
          <w:lang w:eastAsia="en-US"/>
        </w:rPr>
        <w:t>;17</w:t>
      </w:r>
      <w:proofErr w:type="gramEnd"/>
      <w:r w:rsidRPr="001D421A">
        <w:rPr>
          <w:rFonts w:asciiTheme="minorHAnsi" w:hAnsiTheme="minorHAnsi" w:cs="Arial"/>
          <w:color w:val="221E1F"/>
          <w:lang w:eastAsia="en-US"/>
        </w:rPr>
        <w:t>(6):867-71.</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Girolami A, Ruzzon E, Fabris F, Varvarikis C, Sartori R, Girolami B. Myocardial infarction and other arterial occlusions in hemophilia </w:t>
      </w:r>
      <w:proofErr w:type="gramStart"/>
      <w:r w:rsidRPr="001D421A">
        <w:rPr>
          <w:rFonts w:asciiTheme="minorHAnsi" w:hAnsiTheme="minorHAnsi" w:cs="Arial"/>
          <w:color w:val="221E1F"/>
          <w:lang w:eastAsia="en-US"/>
        </w:rPr>
        <w:t>A</w:t>
      </w:r>
      <w:proofErr w:type="gramEnd"/>
      <w:r w:rsidRPr="001D421A">
        <w:rPr>
          <w:rFonts w:asciiTheme="minorHAnsi" w:hAnsiTheme="minorHAnsi" w:cs="Arial"/>
          <w:color w:val="221E1F"/>
          <w:lang w:eastAsia="en-US"/>
        </w:rPr>
        <w:t xml:space="preserve"> patients: a cardiological evaluation of all 42 cases reported in the literature. </w:t>
      </w:r>
      <w:r w:rsidRPr="001D421A">
        <w:rPr>
          <w:rFonts w:asciiTheme="minorHAnsi" w:hAnsiTheme="minorHAnsi" w:cs="Arial"/>
          <w:i/>
          <w:iCs/>
          <w:color w:val="221E1F"/>
          <w:lang w:eastAsia="en-US"/>
        </w:rPr>
        <w:t xml:space="preserve">Acta Haematol </w:t>
      </w:r>
      <w:r w:rsidRPr="001D421A">
        <w:rPr>
          <w:rFonts w:asciiTheme="minorHAnsi" w:hAnsiTheme="minorHAnsi" w:cs="Arial"/>
          <w:color w:val="221E1F"/>
          <w:lang w:eastAsia="en-US"/>
        </w:rPr>
        <w:t>2006</w:t>
      </w:r>
      <w:proofErr w:type="gramStart"/>
      <w:r w:rsidRPr="001D421A">
        <w:rPr>
          <w:rFonts w:asciiTheme="minorHAnsi" w:hAnsiTheme="minorHAnsi" w:cs="Arial"/>
          <w:color w:val="221E1F"/>
          <w:lang w:eastAsia="en-US"/>
        </w:rPr>
        <w:t>;116</w:t>
      </w:r>
      <w:proofErr w:type="gramEnd"/>
      <w:r w:rsidRPr="001D421A">
        <w:rPr>
          <w:rFonts w:asciiTheme="minorHAnsi" w:hAnsiTheme="minorHAnsi" w:cs="Arial"/>
          <w:color w:val="221E1F"/>
          <w:lang w:eastAsia="en-US"/>
        </w:rPr>
        <w:t>(2):120-5.</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Schutgens RE, Tuinenburg A, Roosendaal G, Guyomi SH, Mauser-Bunschoten EP. Treatment of ischaemic heart disease in haemophilia patients: an institutional guideline.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2009</w:t>
      </w:r>
      <w:proofErr w:type="gramStart"/>
      <w:r w:rsidRPr="001D421A">
        <w:rPr>
          <w:rFonts w:asciiTheme="minorHAnsi" w:hAnsiTheme="minorHAnsi" w:cs="Arial"/>
          <w:color w:val="221E1F"/>
          <w:lang w:eastAsia="en-US"/>
        </w:rPr>
        <w:t>;15</w:t>
      </w:r>
      <w:proofErr w:type="gramEnd"/>
      <w:r w:rsidRPr="001D421A">
        <w:rPr>
          <w:rFonts w:asciiTheme="minorHAnsi" w:hAnsiTheme="minorHAnsi" w:cs="Arial"/>
          <w:color w:val="221E1F"/>
          <w:lang w:eastAsia="en-US"/>
        </w:rPr>
        <w:t>(4):952-58.</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Mannucci PM, Schutgens RE, Santagostino E, Mauser-Bunschoten EP. How I treat age-related morbidities in elderly patients with hemophilia. </w:t>
      </w:r>
      <w:r w:rsidRPr="001D421A">
        <w:rPr>
          <w:rFonts w:asciiTheme="minorHAnsi" w:hAnsiTheme="minorHAnsi" w:cs="Arial"/>
          <w:i/>
          <w:iCs/>
          <w:color w:val="221E1F"/>
          <w:lang w:eastAsia="en-US"/>
        </w:rPr>
        <w:t xml:space="preserve">Blood </w:t>
      </w:r>
      <w:r w:rsidRPr="001D421A">
        <w:rPr>
          <w:rFonts w:asciiTheme="minorHAnsi" w:hAnsiTheme="minorHAnsi" w:cs="Arial"/>
          <w:color w:val="221E1F"/>
          <w:lang w:eastAsia="en-US"/>
        </w:rPr>
        <w:t>2009</w:t>
      </w:r>
      <w:proofErr w:type="gramStart"/>
      <w:r w:rsidRPr="001D421A">
        <w:rPr>
          <w:rFonts w:asciiTheme="minorHAnsi" w:hAnsiTheme="minorHAnsi" w:cs="Arial"/>
          <w:color w:val="221E1F"/>
          <w:lang w:eastAsia="en-US"/>
        </w:rPr>
        <w:t>;114</w:t>
      </w:r>
      <w:proofErr w:type="gramEnd"/>
      <w:r w:rsidRPr="001D421A">
        <w:rPr>
          <w:rFonts w:asciiTheme="minorHAnsi" w:hAnsiTheme="minorHAnsi" w:cs="Arial"/>
          <w:color w:val="221E1F"/>
          <w:lang w:eastAsia="en-US"/>
        </w:rPr>
        <w:t xml:space="preserve"> (26):5256-63.</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Tuinenburg A, Mauser-Bunschoten EP, Verhaar MC, Biesma DH, Schutgens RE. Cardiovascular disease in patients with hemophilia. </w:t>
      </w:r>
      <w:r w:rsidRPr="001D421A">
        <w:rPr>
          <w:rFonts w:asciiTheme="minorHAnsi" w:hAnsiTheme="minorHAnsi" w:cs="Arial"/>
          <w:i/>
          <w:iCs/>
          <w:color w:val="221E1F"/>
          <w:lang w:eastAsia="en-US"/>
        </w:rPr>
        <w:t xml:space="preserve">J Thromb Haemost </w:t>
      </w:r>
      <w:r w:rsidRPr="001D421A">
        <w:rPr>
          <w:rFonts w:asciiTheme="minorHAnsi" w:hAnsiTheme="minorHAnsi" w:cs="Arial"/>
          <w:color w:val="221E1F"/>
          <w:lang w:eastAsia="en-US"/>
        </w:rPr>
        <w:t>2009</w:t>
      </w:r>
      <w:proofErr w:type="gramStart"/>
      <w:r w:rsidRPr="001D421A">
        <w:rPr>
          <w:rFonts w:asciiTheme="minorHAnsi" w:hAnsiTheme="minorHAnsi" w:cs="Arial"/>
          <w:color w:val="221E1F"/>
          <w:lang w:eastAsia="en-US"/>
        </w:rPr>
        <w:t>;7</w:t>
      </w:r>
      <w:proofErr w:type="gramEnd"/>
      <w:r w:rsidRPr="001D421A">
        <w:rPr>
          <w:rFonts w:asciiTheme="minorHAnsi" w:hAnsiTheme="minorHAnsi" w:cs="Arial"/>
          <w:color w:val="221E1F"/>
          <w:lang w:eastAsia="en-US"/>
        </w:rPr>
        <w:t>(2):247-54.</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Coppola A, Tagliaferri A, Franchini M. The management of cardiovascular diseases in patients with hemophilia. </w:t>
      </w:r>
      <w:r w:rsidRPr="001D421A">
        <w:rPr>
          <w:rFonts w:asciiTheme="minorHAnsi" w:hAnsiTheme="minorHAnsi" w:cs="Arial"/>
          <w:i/>
          <w:iCs/>
          <w:color w:val="221E1F"/>
          <w:lang w:eastAsia="en-US"/>
        </w:rPr>
        <w:t xml:space="preserve">Semin Thromb Hemost </w:t>
      </w:r>
      <w:r w:rsidRPr="001D421A">
        <w:rPr>
          <w:rFonts w:asciiTheme="minorHAnsi" w:hAnsiTheme="minorHAnsi" w:cs="Arial"/>
          <w:color w:val="221E1F"/>
          <w:lang w:eastAsia="en-US"/>
        </w:rPr>
        <w:t>2010</w:t>
      </w:r>
      <w:proofErr w:type="gramStart"/>
      <w:r w:rsidRPr="001D421A">
        <w:rPr>
          <w:rFonts w:asciiTheme="minorHAnsi" w:hAnsiTheme="minorHAnsi" w:cs="Arial"/>
          <w:color w:val="221E1F"/>
          <w:lang w:eastAsia="en-US"/>
        </w:rPr>
        <w:t>;36</w:t>
      </w:r>
      <w:proofErr w:type="gramEnd"/>
      <w:r w:rsidRPr="001D421A">
        <w:rPr>
          <w:rFonts w:asciiTheme="minorHAnsi" w:hAnsiTheme="minorHAnsi" w:cs="Arial"/>
          <w:color w:val="221E1F"/>
          <w:lang w:eastAsia="en-US"/>
        </w:rPr>
        <w:t>(1):91-102.</w:t>
      </w:r>
    </w:p>
    <w:p w:rsidR="004B5AE5" w:rsidRPr="001D421A" w:rsidRDefault="004B5AE5" w:rsidP="001F54A9">
      <w:pPr>
        <w:numPr>
          <w:ilvl w:val="0"/>
          <w:numId w:val="43"/>
        </w:numPr>
        <w:autoSpaceDE w:val="0"/>
        <w:autoSpaceDN w:val="0"/>
        <w:adjustRightInd w:val="0"/>
        <w:spacing w:after="0" w:line="276" w:lineRule="auto"/>
        <w:ind w:left="567" w:hanging="567"/>
        <w:rPr>
          <w:rFonts w:asciiTheme="minorHAnsi" w:hAnsiTheme="minorHAnsi" w:cs="Arial"/>
          <w:color w:val="221E1F"/>
          <w:lang w:eastAsia="en-US"/>
        </w:rPr>
      </w:pPr>
      <w:r w:rsidRPr="001D421A">
        <w:rPr>
          <w:rFonts w:asciiTheme="minorHAnsi" w:hAnsiTheme="minorHAnsi" w:cs="Arial"/>
          <w:color w:val="221E1F"/>
          <w:lang w:eastAsia="en-US"/>
        </w:rPr>
        <w:t xml:space="preserve">Street A, Hill K, Sussex B, Warner M, Scully MF. Haemophilia and ageing. </w:t>
      </w:r>
      <w:r w:rsidRPr="001D421A">
        <w:rPr>
          <w:rFonts w:asciiTheme="minorHAnsi" w:hAnsiTheme="minorHAnsi" w:cs="Arial"/>
          <w:i/>
          <w:iCs/>
          <w:color w:val="221E1F"/>
          <w:lang w:eastAsia="en-US"/>
        </w:rPr>
        <w:t xml:space="preserve">Haemophilia </w:t>
      </w:r>
      <w:r w:rsidRPr="001D421A">
        <w:rPr>
          <w:rFonts w:asciiTheme="minorHAnsi" w:hAnsiTheme="minorHAnsi" w:cs="Arial"/>
          <w:color w:val="221E1F"/>
          <w:lang w:eastAsia="en-US"/>
        </w:rPr>
        <w:t>2006</w:t>
      </w:r>
      <w:proofErr w:type="gramStart"/>
      <w:r w:rsidRPr="001D421A">
        <w:rPr>
          <w:rFonts w:asciiTheme="minorHAnsi" w:hAnsiTheme="minorHAnsi" w:cs="Arial"/>
          <w:color w:val="221E1F"/>
          <w:lang w:eastAsia="en-US"/>
        </w:rPr>
        <w:t>;12</w:t>
      </w:r>
      <w:proofErr w:type="gramEnd"/>
      <w:r w:rsidRPr="001D421A">
        <w:rPr>
          <w:rFonts w:asciiTheme="minorHAnsi" w:hAnsiTheme="minorHAnsi" w:cs="Arial"/>
          <w:color w:val="221E1F"/>
          <w:lang w:eastAsia="en-US"/>
        </w:rPr>
        <w:t>(Suppl 3): 8-12.</w:t>
      </w:r>
    </w:p>
    <w:p w:rsidR="004B5AE5" w:rsidRDefault="004B5AE5">
      <w:pPr>
        <w:spacing w:after="200" w:line="276" w:lineRule="auto"/>
        <w:ind w:left="0"/>
      </w:pPr>
      <w:r>
        <w:br w:type="page"/>
      </w:r>
    </w:p>
    <w:p w:rsidR="004B5AE5" w:rsidRPr="00575C82" w:rsidRDefault="004B5AE5" w:rsidP="00041ED2">
      <w:pPr>
        <w:pStyle w:val="Heading2"/>
      </w:pPr>
      <w:bookmarkStart w:id="28" w:name="_Toc431484321"/>
      <w:r w:rsidRPr="00575C82">
        <w:rPr>
          <w:sz w:val="108"/>
          <w:szCs w:val="108"/>
        </w:rPr>
        <w:lastRenderedPageBreak/>
        <w:t>3</w:t>
      </w:r>
      <w:r w:rsidRPr="00D758BA">
        <w:rPr>
          <w:rFonts w:ascii="Avenir LT Std 45 Book" w:hAnsi="Avenir LT Std 45 Book"/>
          <w:sz w:val="108"/>
          <w:szCs w:val="108"/>
        </w:rPr>
        <w:t xml:space="preserve"> </w:t>
      </w:r>
      <w:r w:rsidRPr="00575C82">
        <w:t>LABORATORY DIAGNOSIS</w:t>
      </w:r>
      <w:bookmarkEnd w:id="28"/>
    </w:p>
    <w:p w:rsidR="004B5AE5" w:rsidRPr="00497699" w:rsidRDefault="004B5AE5" w:rsidP="004B5AE5">
      <w:pPr>
        <w:pStyle w:val="Default"/>
        <w:spacing w:after="222"/>
        <w:ind w:left="57" w:right="557"/>
        <w:rPr>
          <w:rFonts w:asciiTheme="minorHAnsi" w:hAnsiTheme="minorHAnsi"/>
          <w:b/>
          <w:bCs/>
          <w:color w:val="000000" w:themeColor="text1"/>
          <w:sz w:val="32"/>
          <w:szCs w:val="32"/>
        </w:rPr>
      </w:pPr>
      <w:r w:rsidRPr="00497699">
        <w:rPr>
          <w:rFonts w:asciiTheme="minorHAnsi" w:hAnsiTheme="minorHAnsi"/>
          <w:b/>
          <w:bCs/>
          <w:color w:val="000000" w:themeColor="text1"/>
          <w:sz w:val="32"/>
          <w:szCs w:val="32"/>
        </w:rPr>
        <w:t>Key practice 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8041"/>
      </w:tblGrid>
      <w:tr w:rsidR="004B5AE5" w:rsidRPr="00497699" w:rsidTr="00041ED2">
        <w:tc>
          <w:tcPr>
            <w:tcW w:w="1400" w:type="dxa"/>
            <w:shd w:val="clear" w:color="auto" w:fill="DBE5F1" w:themeFill="accent1" w:themeFillTint="33"/>
          </w:tcPr>
          <w:p w:rsidR="004B5AE5" w:rsidRPr="00497699" w:rsidRDefault="004B5AE5" w:rsidP="004B5AE5">
            <w:pPr>
              <w:spacing w:before="40" w:after="40"/>
              <w:rPr>
                <w:b/>
              </w:rPr>
            </w:pPr>
            <w:r w:rsidRPr="00497699">
              <w:rPr>
                <w:rStyle w:val="A8"/>
                <w:rFonts w:eastAsia="Calibri"/>
                <w:b/>
                <w:color w:val="221E1F"/>
                <w:sz w:val="22"/>
                <w:szCs w:val="24"/>
              </w:rPr>
              <w:t>No.</w:t>
            </w:r>
          </w:p>
        </w:tc>
        <w:tc>
          <w:tcPr>
            <w:tcW w:w="8041" w:type="dxa"/>
            <w:shd w:val="clear" w:color="auto" w:fill="DBE5F1" w:themeFill="accent1" w:themeFillTint="33"/>
          </w:tcPr>
          <w:p w:rsidR="004B5AE5" w:rsidRDefault="004B5AE5" w:rsidP="00041ED2">
            <w:pPr>
              <w:ind w:left="193"/>
              <w:rPr>
                <w:rStyle w:val="A8"/>
                <w:rFonts w:eastAsia="Calibri"/>
                <w:b/>
                <w:color w:val="221E1F"/>
                <w:sz w:val="22"/>
                <w:szCs w:val="24"/>
              </w:rPr>
            </w:pPr>
            <w:r>
              <w:rPr>
                <w:rStyle w:val="A8"/>
                <w:rFonts w:eastAsia="Calibri"/>
                <w:b/>
                <w:color w:val="221E1F"/>
                <w:sz w:val="22"/>
                <w:szCs w:val="24"/>
              </w:rPr>
              <w:t>Key Practice Point</w:t>
            </w:r>
          </w:p>
          <w:p w:rsidR="004B5AE5" w:rsidRPr="00497699" w:rsidRDefault="004B5AE5" w:rsidP="00041ED2">
            <w:pPr>
              <w:ind w:left="193"/>
              <w:rPr>
                <w:b/>
              </w:rPr>
            </w:pPr>
          </w:p>
        </w:tc>
      </w:tr>
      <w:tr w:rsidR="004B5AE5" w:rsidRPr="00497699" w:rsidTr="00041ED2">
        <w:tc>
          <w:tcPr>
            <w:tcW w:w="1400"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3.1</w:t>
            </w:r>
          </w:p>
        </w:tc>
        <w:tc>
          <w:tcPr>
            <w:tcW w:w="8041" w:type="dxa"/>
          </w:tcPr>
          <w:p w:rsidR="004B5AE5" w:rsidRPr="00497699" w:rsidRDefault="004B5AE5" w:rsidP="00041ED2">
            <w:pPr>
              <w:spacing w:before="40" w:after="40"/>
              <w:ind w:left="193"/>
              <w:rPr>
                <w:rStyle w:val="A8"/>
                <w:rFonts w:eastAsia="Calibri"/>
                <w:color w:val="221E1F"/>
                <w:sz w:val="22"/>
                <w:szCs w:val="24"/>
              </w:rPr>
            </w:pPr>
            <w:r w:rsidRPr="00575C82">
              <w:rPr>
                <w:rStyle w:val="A8"/>
                <w:rFonts w:eastAsia="Calibri"/>
                <w:color w:val="221E1F"/>
                <w:sz w:val="22"/>
                <w:szCs w:val="24"/>
              </w:rPr>
              <w:t>A correct diagnosis is essential in all patients with bleeding disorders to ensure appropriate treatment, as different bleeding disorders may have similar symptoms.</w:t>
            </w:r>
          </w:p>
        </w:tc>
      </w:tr>
      <w:tr w:rsidR="004B5AE5" w:rsidRPr="00497699" w:rsidTr="00041ED2">
        <w:trPr>
          <w:trHeight w:val="212"/>
        </w:trPr>
        <w:tc>
          <w:tcPr>
            <w:tcW w:w="1400"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3.2</w:t>
            </w:r>
          </w:p>
        </w:tc>
        <w:tc>
          <w:tcPr>
            <w:tcW w:w="8041" w:type="dxa"/>
          </w:tcPr>
          <w:p w:rsidR="004B5AE5" w:rsidRPr="00575C82" w:rsidRDefault="004B5AE5" w:rsidP="00041ED2">
            <w:pPr>
              <w:spacing w:before="40" w:after="40"/>
              <w:ind w:left="193"/>
              <w:rPr>
                <w:rStyle w:val="A8"/>
                <w:rFonts w:eastAsia="Calibri"/>
                <w:color w:val="221E1F"/>
                <w:sz w:val="22"/>
                <w:szCs w:val="24"/>
              </w:rPr>
            </w:pPr>
            <w:r w:rsidRPr="00575C82">
              <w:rPr>
                <w:rStyle w:val="A8"/>
                <w:rFonts w:eastAsia="Calibri"/>
                <w:color w:val="221E1F"/>
                <w:sz w:val="22"/>
                <w:szCs w:val="24"/>
              </w:rPr>
              <w:t xml:space="preserve">Accurate diagnosis can only be made with the support of a comprehensive and accurate laboratory service. This is dependent on the laboratory following strict protocols and procedures, which require: </w:t>
            </w:r>
          </w:p>
          <w:p w:rsidR="004B5AE5" w:rsidRPr="00575C82" w:rsidRDefault="004B5AE5" w:rsidP="00041ED2">
            <w:pPr>
              <w:spacing w:before="40" w:after="40"/>
              <w:ind w:left="193"/>
              <w:rPr>
                <w:rStyle w:val="A8"/>
                <w:rFonts w:eastAsia="Calibri"/>
                <w:color w:val="221E1F"/>
                <w:sz w:val="22"/>
                <w:szCs w:val="24"/>
              </w:rPr>
            </w:pPr>
            <w:r>
              <w:rPr>
                <w:rStyle w:val="A8"/>
                <w:rFonts w:eastAsia="Calibri"/>
                <w:color w:val="221E1F"/>
                <w:sz w:val="22"/>
                <w:szCs w:val="24"/>
              </w:rPr>
              <w:sym w:font="Wingdings" w:char="F09F"/>
            </w:r>
            <w:r>
              <w:rPr>
                <w:rStyle w:val="A8"/>
                <w:rFonts w:eastAsia="Calibri"/>
                <w:color w:val="221E1F"/>
                <w:sz w:val="22"/>
                <w:szCs w:val="24"/>
              </w:rPr>
              <w:t xml:space="preserve"> </w:t>
            </w:r>
            <w:r w:rsidRPr="00575C82">
              <w:rPr>
                <w:rStyle w:val="A8"/>
                <w:rFonts w:eastAsia="Calibri"/>
                <w:color w:val="221E1F"/>
                <w:sz w:val="22"/>
                <w:szCs w:val="24"/>
              </w:rPr>
              <w:t xml:space="preserve">knowledge and expertise in coagulation laboratory testing </w:t>
            </w:r>
          </w:p>
          <w:p w:rsidR="004B5AE5" w:rsidRPr="00575C82" w:rsidRDefault="004B5AE5" w:rsidP="00041ED2">
            <w:pPr>
              <w:spacing w:before="40" w:after="40"/>
              <w:ind w:left="193"/>
              <w:rPr>
                <w:rStyle w:val="A8"/>
                <w:rFonts w:eastAsia="Calibri"/>
                <w:color w:val="221E1F"/>
                <w:sz w:val="22"/>
                <w:szCs w:val="24"/>
              </w:rPr>
            </w:pPr>
            <w:r>
              <w:rPr>
                <w:rStyle w:val="A8"/>
                <w:rFonts w:eastAsia="Calibri"/>
                <w:color w:val="221E1F"/>
                <w:sz w:val="22"/>
                <w:szCs w:val="24"/>
              </w:rPr>
              <w:sym w:font="Wingdings" w:char="F09F"/>
            </w:r>
            <w:r>
              <w:rPr>
                <w:rStyle w:val="A8"/>
                <w:rFonts w:eastAsia="Calibri"/>
                <w:color w:val="221E1F"/>
                <w:sz w:val="22"/>
                <w:szCs w:val="24"/>
              </w:rPr>
              <w:t xml:space="preserve"> </w:t>
            </w:r>
            <w:r w:rsidRPr="00575C82">
              <w:rPr>
                <w:rStyle w:val="A8"/>
                <w:rFonts w:eastAsia="Calibri"/>
                <w:color w:val="221E1F"/>
                <w:sz w:val="22"/>
                <w:szCs w:val="24"/>
              </w:rPr>
              <w:t xml:space="preserve">use of the correct equipment and reagents </w:t>
            </w:r>
          </w:p>
          <w:p w:rsidR="004B5AE5" w:rsidRPr="00497699" w:rsidRDefault="004B5AE5" w:rsidP="00041ED2">
            <w:pPr>
              <w:spacing w:before="40" w:after="40"/>
              <w:ind w:left="193"/>
              <w:rPr>
                <w:rStyle w:val="A8"/>
                <w:rFonts w:eastAsia="Calibri"/>
                <w:color w:val="221E1F"/>
                <w:sz w:val="22"/>
                <w:szCs w:val="24"/>
              </w:rPr>
            </w:pPr>
            <w:r>
              <w:rPr>
                <w:rStyle w:val="A8"/>
                <w:rFonts w:eastAsia="Calibri"/>
                <w:color w:val="221E1F"/>
                <w:sz w:val="22"/>
                <w:szCs w:val="24"/>
              </w:rPr>
              <w:sym w:font="Wingdings" w:char="F09F"/>
            </w:r>
            <w:r>
              <w:rPr>
                <w:rStyle w:val="A8"/>
                <w:rFonts w:eastAsia="Calibri"/>
                <w:color w:val="221E1F"/>
                <w:sz w:val="22"/>
                <w:szCs w:val="24"/>
              </w:rPr>
              <w:t xml:space="preserve"> </w:t>
            </w:r>
            <w:r w:rsidRPr="00575C82">
              <w:rPr>
                <w:rStyle w:val="A8"/>
                <w:rFonts w:eastAsia="Calibri"/>
                <w:color w:val="221E1F"/>
                <w:sz w:val="22"/>
                <w:szCs w:val="24"/>
              </w:rPr>
              <w:t>quality assurance</w:t>
            </w:r>
          </w:p>
        </w:tc>
      </w:tr>
      <w:tr w:rsidR="004B5AE5" w:rsidRPr="00497699" w:rsidTr="00041ED2">
        <w:trPr>
          <w:trHeight w:val="242"/>
        </w:trPr>
        <w:tc>
          <w:tcPr>
            <w:tcW w:w="1400"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3.3</w:t>
            </w:r>
          </w:p>
        </w:tc>
        <w:tc>
          <w:tcPr>
            <w:tcW w:w="8041" w:type="dxa"/>
          </w:tcPr>
          <w:p w:rsidR="004B5AE5" w:rsidRPr="00497699" w:rsidRDefault="004B5AE5" w:rsidP="00041ED2">
            <w:pPr>
              <w:spacing w:before="40" w:after="40"/>
              <w:ind w:left="193"/>
              <w:rPr>
                <w:rStyle w:val="A8"/>
                <w:rFonts w:eastAsia="Calibri"/>
                <w:color w:val="221E1F"/>
                <w:sz w:val="22"/>
                <w:szCs w:val="24"/>
              </w:rPr>
            </w:pPr>
            <w:r w:rsidRPr="00575C82">
              <w:rPr>
                <w:rStyle w:val="A8"/>
                <w:rFonts w:eastAsia="Calibri"/>
                <w:color w:val="221E1F"/>
                <w:sz w:val="22"/>
                <w:szCs w:val="24"/>
              </w:rPr>
              <w:t xml:space="preserve">Laboratories are strongly advised to participate in an external quality assessment scheme (EQAS) to audit the effectiveness of the </w:t>
            </w:r>
            <w:r w:rsidR="00C83A3F" w:rsidRPr="00452638">
              <w:rPr>
                <w:rFonts w:cs="Times New Roman"/>
              </w:rPr>
              <w:t>internal quality control</w:t>
            </w:r>
            <w:r w:rsidR="00C83A3F" w:rsidRPr="00575C82">
              <w:rPr>
                <w:rStyle w:val="A8"/>
                <w:rFonts w:eastAsia="Calibri"/>
                <w:color w:val="221E1F"/>
                <w:sz w:val="22"/>
                <w:szCs w:val="24"/>
              </w:rPr>
              <w:t xml:space="preserve"> </w:t>
            </w:r>
            <w:r w:rsidR="00C83A3F">
              <w:rPr>
                <w:rStyle w:val="A8"/>
                <w:rFonts w:eastAsia="Calibri"/>
                <w:color w:val="221E1F"/>
                <w:sz w:val="22"/>
                <w:szCs w:val="24"/>
              </w:rPr>
              <w:t>(</w:t>
            </w:r>
            <w:r w:rsidRPr="00575C82">
              <w:rPr>
                <w:rStyle w:val="A8"/>
                <w:rFonts w:eastAsia="Calibri"/>
                <w:color w:val="221E1F"/>
                <w:sz w:val="22"/>
                <w:szCs w:val="24"/>
              </w:rPr>
              <w:t>IQC</w:t>
            </w:r>
            <w:r w:rsidR="00C83A3F">
              <w:rPr>
                <w:rStyle w:val="A8"/>
                <w:rFonts w:eastAsia="Calibri"/>
                <w:color w:val="221E1F"/>
                <w:sz w:val="22"/>
                <w:szCs w:val="24"/>
              </w:rPr>
              <w:t>)</w:t>
            </w:r>
            <w:r w:rsidRPr="00575C82">
              <w:rPr>
                <w:rStyle w:val="A8"/>
                <w:rFonts w:eastAsia="Calibri"/>
                <w:color w:val="221E1F"/>
                <w:sz w:val="22"/>
                <w:szCs w:val="24"/>
              </w:rPr>
              <w:t xml:space="preserve"> systems in place.  The minimum National Association of Testing Authorities (NATA) requirement is 1 EQAS.</w:t>
            </w:r>
          </w:p>
        </w:tc>
      </w:tr>
      <w:tr w:rsidR="004B5AE5" w:rsidRPr="00497699" w:rsidTr="00041ED2">
        <w:tc>
          <w:tcPr>
            <w:tcW w:w="1400"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3.4</w:t>
            </w:r>
          </w:p>
        </w:tc>
        <w:tc>
          <w:tcPr>
            <w:tcW w:w="8041" w:type="dxa"/>
          </w:tcPr>
          <w:p w:rsidR="004B5AE5" w:rsidRPr="00497699" w:rsidRDefault="004B5AE5" w:rsidP="00041ED2">
            <w:pPr>
              <w:spacing w:before="40" w:after="40"/>
              <w:ind w:left="193"/>
              <w:rPr>
                <w:rStyle w:val="A8"/>
                <w:rFonts w:eastAsia="Calibri"/>
                <w:color w:val="221E1F"/>
                <w:sz w:val="22"/>
                <w:szCs w:val="24"/>
              </w:rPr>
            </w:pPr>
            <w:r w:rsidRPr="00575C82">
              <w:rPr>
                <w:rStyle w:val="A8"/>
                <w:rFonts w:eastAsia="Calibri"/>
                <w:color w:val="221E1F"/>
                <w:sz w:val="22"/>
                <w:szCs w:val="24"/>
              </w:rPr>
              <w:t>The Royal College of Pathologists of Australia (RCPA) runs a comprehensive program for haemophilia, Von Willebrands disease and other haemostatic disorders in which all laboratories involved in the diagnosis of bleeding disorders should participate.</w:t>
            </w:r>
          </w:p>
        </w:tc>
      </w:tr>
      <w:tr w:rsidR="004B5AE5" w:rsidRPr="00497699" w:rsidTr="00041ED2">
        <w:trPr>
          <w:trHeight w:val="392"/>
        </w:trPr>
        <w:tc>
          <w:tcPr>
            <w:tcW w:w="1400"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3.5</w:t>
            </w:r>
          </w:p>
        </w:tc>
        <w:tc>
          <w:tcPr>
            <w:tcW w:w="8041" w:type="dxa"/>
          </w:tcPr>
          <w:p w:rsidR="004B5AE5" w:rsidRPr="00497699" w:rsidRDefault="004B5AE5" w:rsidP="00041ED2">
            <w:pPr>
              <w:spacing w:before="40" w:after="40"/>
              <w:ind w:left="193"/>
              <w:rPr>
                <w:rStyle w:val="A8"/>
                <w:rFonts w:eastAsia="Calibri"/>
                <w:color w:val="221E1F"/>
                <w:sz w:val="22"/>
                <w:szCs w:val="24"/>
              </w:rPr>
            </w:pPr>
            <w:r w:rsidRPr="00575C82">
              <w:rPr>
                <w:rStyle w:val="A8"/>
                <w:rFonts w:eastAsia="Calibri"/>
                <w:color w:val="221E1F"/>
                <w:sz w:val="22"/>
                <w:szCs w:val="24"/>
              </w:rPr>
              <w:t>Other national and international quality assess</w:t>
            </w:r>
            <w:r w:rsidRPr="00575C82">
              <w:rPr>
                <w:rStyle w:val="A8"/>
                <w:rFonts w:eastAsia="Calibri"/>
                <w:color w:val="221E1F"/>
                <w:sz w:val="22"/>
                <w:szCs w:val="24"/>
              </w:rPr>
              <w:softHyphen/>
              <w:t>ment schemes are also available.eg. External quality Control of diagnostic Assays and Tests Foundation (ECAT), the National External Quality Assessment Service (NEQAS).</w:t>
            </w:r>
            <w:r>
              <w:rPr>
                <w:rStyle w:val="A8"/>
                <w:rFonts w:eastAsia="Calibri"/>
                <w:color w:val="221E1F"/>
                <w:sz w:val="22"/>
                <w:szCs w:val="24"/>
              </w:rPr>
              <w:t xml:space="preserve"> </w:t>
            </w:r>
            <w:r w:rsidRPr="00575C82">
              <w:rPr>
                <w:rStyle w:val="A8"/>
                <w:rFonts w:eastAsia="Calibri"/>
                <w:color w:val="221E1F"/>
                <w:sz w:val="22"/>
                <w:szCs w:val="24"/>
              </w:rPr>
              <w:t>Most laboratories associated with HTCs should participate in an international EQAS.</w:t>
            </w:r>
          </w:p>
        </w:tc>
      </w:tr>
      <w:tr w:rsidR="004B5AE5" w:rsidRPr="00497699" w:rsidTr="00041ED2">
        <w:trPr>
          <w:trHeight w:val="392"/>
        </w:trPr>
        <w:tc>
          <w:tcPr>
            <w:tcW w:w="1400"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3.6</w:t>
            </w:r>
          </w:p>
        </w:tc>
        <w:tc>
          <w:tcPr>
            <w:tcW w:w="8041" w:type="dxa"/>
          </w:tcPr>
          <w:p w:rsidR="004B5AE5" w:rsidRPr="00575C82" w:rsidRDefault="004B5AE5" w:rsidP="00041ED2">
            <w:pPr>
              <w:spacing w:after="66"/>
              <w:ind w:left="193"/>
              <w:rPr>
                <w:rStyle w:val="A8"/>
                <w:rFonts w:eastAsia="Dotum"/>
                <w:color w:val="221E1F"/>
                <w:sz w:val="22"/>
                <w:lang w:eastAsia="en-US"/>
              </w:rPr>
            </w:pPr>
            <w:r w:rsidRPr="00575C82">
              <w:rPr>
                <w:rStyle w:val="A8"/>
                <w:rFonts w:eastAsia="Calibri"/>
                <w:color w:val="221E1F"/>
                <w:sz w:val="22"/>
                <w:szCs w:val="24"/>
              </w:rPr>
              <w:t>It is suggested that a chromogenic FVIII assay be performed on diagnostic samples where a diagnosis of mild haemophilia is suspected.</w:t>
            </w:r>
            <w:r w:rsidRPr="00AD41FD">
              <w:rPr>
                <w:rFonts w:ascii="Arial" w:hAnsi="Arial" w:cs="Arial"/>
                <w:color w:val="221E1F"/>
                <w:lang w:eastAsia="en-US"/>
              </w:rPr>
              <w:t xml:space="preserve"> </w:t>
            </w:r>
          </w:p>
        </w:tc>
      </w:tr>
      <w:tr w:rsidR="004B5AE5" w:rsidRPr="00497699" w:rsidTr="00041ED2">
        <w:trPr>
          <w:trHeight w:val="392"/>
        </w:trPr>
        <w:tc>
          <w:tcPr>
            <w:tcW w:w="1400"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3.7</w:t>
            </w:r>
          </w:p>
        </w:tc>
        <w:tc>
          <w:tcPr>
            <w:tcW w:w="8041" w:type="dxa"/>
          </w:tcPr>
          <w:p w:rsidR="004B5AE5" w:rsidRPr="00575C82" w:rsidRDefault="004B5AE5" w:rsidP="00041ED2">
            <w:pPr>
              <w:spacing w:after="66"/>
              <w:ind w:left="193"/>
              <w:rPr>
                <w:rStyle w:val="A8"/>
                <w:rFonts w:eastAsia="Dotum"/>
                <w:color w:val="221E1F"/>
                <w:sz w:val="22"/>
                <w:lang w:eastAsia="en-US"/>
              </w:rPr>
            </w:pPr>
            <w:r w:rsidRPr="00575C82">
              <w:rPr>
                <w:rStyle w:val="A8"/>
                <w:rFonts w:eastAsia="Calibri"/>
                <w:color w:val="221E1F"/>
                <w:sz w:val="22"/>
                <w:szCs w:val="24"/>
              </w:rPr>
              <w:t>The Nijmegen modification of the FVIII inhib</w:t>
            </w:r>
            <w:r w:rsidRPr="00575C82">
              <w:rPr>
                <w:rStyle w:val="A8"/>
                <w:rFonts w:eastAsia="Calibri"/>
                <w:color w:val="221E1F"/>
                <w:sz w:val="22"/>
                <w:szCs w:val="24"/>
              </w:rPr>
              <w:softHyphen/>
              <w:t>itor assay offers improved specificity and sensitivity over the original Bethesda assay.</w:t>
            </w:r>
            <w:r w:rsidRPr="00AD41FD">
              <w:rPr>
                <w:rFonts w:ascii="Arial" w:hAnsi="Arial" w:cs="Arial"/>
                <w:bCs/>
                <w:color w:val="221E1F"/>
                <w:lang w:eastAsia="en-US"/>
              </w:rPr>
              <w:t xml:space="preserve"> </w:t>
            </w:r>
          </w:p>
        </w:tc>
      </w:tr>
      <w:tr w:rsidR="004B5AE5" w:rsidRPr="00497699" w:rsidTr="00041ED2">
        <w:trPr>
          <w:trHeight w:val="392"/>
        </w:trPr>
        <w:tc>
          <w:tcPr>
            <w:tcW w:w="1400"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3.8</w:t>
            </w:r>
          </w:p>
        </w:tc>
        <w:tc>
          <w:tcPr>
            <w:tcW w:w="8041" w:type="dxa"/>
          </w:tcPr>
          <w:p w:rsidR="004B5AE5" w:rsidRPr="00575C82" w:rsidRDefault="004B5AE5" w:rsidP="00041ED2">
            <w:pPr>
              <w:spacing w:after="66"/>
              <w:ind w:left="193"/>
              <w:rPr>
                <w:rStyle w:val="A8"/>
                <w:rFonts w:eastAsia="Dotum"/>
                <w:i/>
                <w:iCs/>
                <w:color w:val="221E1F"/>
                <w:sz w:val="22"/>
                <w:lang w:eastAsia="en-US"/>
              </w:rPr>
            </w:pPr>
            <w:r w:rsidRPr="00575C82">
              <w:rPr>
                <w:rStyle w:val="A8"/>
                <w:rFonts w:eastAsia="Calibri"/>
                <w:color w:val="221E1F"/>
                <w:sz w:val="22"/>
                <w:szCs w:val="24"/>
              </w:rPr>
              <w:t xml:space="preserve">Detailed information on technical aspects and specific instructions on screening tests and factor assays, please consult the WFH’s Diagnosis of Hemophilia and Other Bleeding Disorders: A Laboratory Manual, Second edition </w:t>
            </w:r>
            <w:r w:rsidRPr="006244AD">
              <w:rPr>
                <w:rStyle w:val="A8"/>
                <w:rFonts w:eastAsia="Calibri"/>
                <w:color w:val="221E1F"/>
                <w:sz w:val="22"/>
                <w:szCs w:val="24"/>
                <w:vertAlign w:val="superscript"/>
              </w:rPr>
              <w:t>[1]</w:t>
            </w:r>
            <w:r w:rsidRPr="00575C82">
              <w:rPr>
                <w:rStyle w:val="A8"/>
                <w:rFonts w:eastAsia="Calibri"/>
                <w:color w:val="221E1F"/>
                <w:sz w:val="22"/>
                <w:szCs w:val="24"/>
              </w:rPr>
              <w:t xml:space="preserve"> and other refe</w:t>
            </w:r>
            <w:r>
              <w:rPr>
                <w:rStyle w:val="A8"/>
                <w:rFonts w:eastAsia="Calibri"/>
                <w:color w:val="221E1F"/>
                <w:sz w:val="22"/>
                <w:szCs w:val="24"/>
              </w:rPr>
              <w:t xml:space="preserve">rence documents. </w:t>
            </w:r>
            <w:r w:rsidRPr="006244AD">
              <w:rPr>
                <w:rStyle w:val="A8"/>
                <w:rFonts w:eastAsia="Calibri"/>
                <w:color w:val="221E1F"/>
                <w:sz w:val="22"/>
                <w:szCs w:val="24"/>
                <w:vertAlign w:val="superscript"/>
              </w:rPr>
              <w:t>[2,3]</w:t>
            </w:r>
            <w:r w:rsidRPr="00855AA9">
              <w:rPr>
                <w:rFonts w:ascii="Arial" w:hAnsi="Arial" w:cs="Arial"/>
                <w:i/>
                <w:iCs/>
                <w:color w:val="221E1F"/>
                <w:lang w:eastAsia="en-US"/>
              </w:rPr>
              <w:t xml:space="preserve"> </w:t>
            </w:r>
          </w:p>
        </w:tc>
      </w:tr>
    </w:tbl>
    <w:p w:rsidR="004B5AE5" w:rsidRPr="000B6011" w:rsidRDefault="004B5AE5" w:rsidP="004B5AE5">
      <w:pPr>
        <w:autoSpaceDE w:val="0"/>
        <w:autoSpaceDN w:val="0"/>
        <w:adjustRightInd w:val="0"/>
        <w:spacing w:after="0"/>
        <w:rPr>
          <w:rFonts w:asciiTheme="minorHAnsi" w:hAnsiTheme="minorHAnsi" w:cs="Arial"/>
          <w:b/>
          <w:sz w:val="28"/>
          <w:szCs w:val="28"/>
          <w:lang w:eastAsia="en-US"/>
        </w:rPr>
      </w:pPr>
    </w:p>
    <w:p w:rsidR="004B5AE5" w:rsidRPr="002C1CD8" w:rsidRDefault="004B5AE5" w:rsidP="001F54A9">
      <w:pPr>
        <w:pStyle w:val="Default"/>
        <w:spacing w:after="222"/>
        <w:ind w:right="557"/>
        <w:rPr>
          <w:rStyle w:val="A8"/>
          <w:rFonts w:asciiTheme="minorHAnsi" w:hAnsiTheme="minorHAnsi"/>
          <w:b/>
          <w:bCs/>
          <w:color w:val="000000" w:themeColor="text1"/>
        </w:rPr>
      </w:pPr>
      <w:r w:rsidRPr="002C1CD8">
        <w:rPr>
          <w:rStyle w:val="A8"/>
          <w:rFonts w:asciiTheme="minorHAnsi" w:hAnsiTheme="minorHAnsi"/>
          <w:b/>
          <w:bCs/>
          <w:color w:val="000000" w:themeColor="text1"/>
        </w:rPr>
        <w:t xml:space="preserve">Significant changes from the original WFH Guidelines </w:t>
      </w:r>
    </w:p>
    <w:p w:rsidR="004B5AE5" w:rsidRDefault="004B5AE5" w:rsidP="00041ED2">
      <w:pPr>
        <w:pStyle w:val="Default"/>
        <w:spacing w:after="222" w:line="276" w:lineRule="auto"/>
        <w:ind w:right="557"/>
        <w:rPr>
          <w:rStyle w:val="A8"/>
          <w:rFonts w:asciiTheme="minorHAnsi" w:hAnsiTheme="minorHAnsi"/>
          <w:bCs/>
          <w:color w:val="000000" w:themeColor="text1"/>
          <w:sz w:val="24"/>
        </w:rPr>
      </w:pPr>
      <w:r>
        <w:rPr>
          <w:rStyle w:val="A8"/>
          <w:rFonts w:asciiTheme="minorHAnsi" w:hAnsiTheme="minorHAnsi"/>
          <w:bCs/>
          <w:color w:val="000000" w:themeColor="text1"/>
          <w:sz w:val="24"/>
        </w:rPr>
        <w:t xml:space="preserve">Extensive governance structures overseen by the RCPA are in place regarding the quality of diagnostic services in Australia. It was felt that extensive guidance regarding pre-analytical and analytical aspects of the diagnosis </w:t>
      </w:r>
      <w:proofErr w:type="gramStart"/>
      <w:r>
        <w:rPr>
          <w:rStyle w:val="A8"/>
          <w:rFonts w:asciiTheme="minorHAnsi" w:hAnsiTheme="minorHAnsi"/>
          <w:bCs/>
          <w:color w:val="000000" w:themeColor="text1"/>
          <w:sz w:val="24"/>
        </w:rPr>
        <w:t>were</w:t>
      </w:r>
      <w:proofErr w:type="gramEnd"/>
      <w:r>
        <w:rPr>
          <w:rStyle w:val="A8"/>
          <w:rFonts w:asciiTheme="minorHAnsi" w:hAnsiTheme="minorHAnsi"/>
          <w:bCs/>
          <w:color w:val="000000" w:themeColor="text1"/>
          <w:sz w:val="24"/>
        </w:rPr>
        <w:t xml:space="preserve"> not required as part of these guidelines. A separate collaborative document in conjunction with the RCPA is however seen as a future priority.</w:t>
      </w:r>
      <w:r>
        <w:rPr>
          <w:rStyle w:val="A8"/>
          <w:rFonts w:asciiTheme="minorHAnsi" w:hAnsiTheme="minorHAnsi"/>
          <w:bCs/>
          <w:color w:val="000000" w:themeColor="text1"/>
          <w:sz w:val="24"/>
        </w:rPr>
        <w:br w:type="page"/>
      </w:r>
    </w:p>
    <w:p w:rsidR="004B5AE5" w:rsidRPr="00BA6D31" w:rsidRDefault="004B5AE5" w:rsidP="00041ED2">
      <w:pPr>
        <w:autoSpaceDE w:val="0"/>
        <w:autoSpaceDN w:val="0"/>
        <w:adjustRightInd w:val="0"/>
        <w:spacing w:before="560" w:after="140" w:line="281" w:lineRule="atLeast"/>
        <w:ind w:left="0"/>
        <w:rPr>
          <w:rFonts w:asciiTheme="minorHAnsi" w:hAnsiTheme="minorHAnsi" w:cs="Avenir LT Std 55 Roman"/>
          <w:color w:val="E31736"/>
          <w:sz w:val="28"/>
          <w:szCs w:val="28"/>
          <w:lang w:eastAsia="en-US"/>
        </w:rPr>
      </w:pPr>
      <w:r w:rsidRPr="00BA6D31">
        <w:rPr>
          <w:rFonts w:asciiTheme="minorHAnsi" w:hAnsiTheme="minorHAnsi" w:cs="Avenir LT Std 55 Roman"/>
          <w:b/>
          <w:bCs/>
          <w:color w:val="E31736"/>
          <w:sz w:val="28"/>
          <w:szCs w:val="28"/>
          <w:lang w:eastAsia="en-US"/>
        </w:rPr>
        <w:lastRenderedPageBreak/>
        <w:t xml:space="preserve">References </w:t>
      </w:r>
    </w:p>
    <w:p w:rsidR="004B5AE5" w:rsidRPr="00BA6D31" w:rsidRDefault="004B5AE5" w:rsidP="00041ED2">
      <w:pPr>
        <w:numPr>
          <w:ilvl w:val="0"/>
          <w:numId w:val="50"/>
        </w:numPr>
        <w:autoSpaceDE w:val="0"/>
        <w:autoSpaceDN w:val="0"/>
        <w:adjustRightInd w:val="0"/>
        <w:spacing w:after="0" w:line="276" w:lineRule="auto"/>
        <w:ind w:left="567" w:hanging="567"/>
        <w:rPr>
          <w:rFonts w:asciiTheme="minorHAnsi" w:hAnsiTheme="minorHAnsi" w:cs="Arial"/>
          <w:color w:val="221E1F"/>
          <w:lang w:eastAsia="en-US"/>
        </w:rPr>
      </w:pPr>
      <w:r w:rsidRPr="00BA6D31">
        <w:rPr>
          <w:rFonts w:asciiTheme="minorHAnsi" w:hAnsiTheme="minorHAnsi" w:cs="Arial"/>
          <w:color w:val="221E1F"/>
          <w:lang w:eastAsia="en-US"/>
        </w:rPr>
        <w:t xml:space="preserve">Kitchen S, McCraw A, Echenagucia M. Diagnosis of Hemophilia and Other Bleeding Disorders: A Laboratory Manual, 2nd edition. Montreal: World Federation of Hemophilia, 2010. </w:t>
      </w:r>
    </w:p>
    <w:p w:rsidR="004B5AE5" w:rsidRPr="00BA6D31" w:rsidRDefault="004B5AE5" w:rsidP="00041ED2">
      <w:pPr>
        <w:numPr>
          <w:ilvl w:val="0"/>
          <w:numId w:val="50"/>
        </w:numPr>
        <w:autoSpaceDE w:val="0"/>
        <w:autoSpaceDN w:val="0"/>
        <w:adjustRightInd w:val="0"/>
        <w:spacing w:after="0" w:line="276" w:lineRule="auto"/>
        <w:ind w:left="567" w:hanging="567"/>
        <w:rPr>
          <w:rFonts w:asciiTheme="minorHAnsi" w:hAnsiTheme="minorHAnsi" w:cs="Arial"/>
          <w:color w:val="221E1F"/>
          <w:lang w:eastAsia="en-US"/>
        </w:rPr>
      </w:pPr>
      <w:r w:rsidRPr="00BA6D31">
        <w:rPr>
          <w:rFonts w:asciiTheme="minorHAnsi" w:hAnsiTheme="minorHAnsi" w:cs="Arial"/>
          <w:color w:val="221E1F"/>
          <w:lang w:eastAsia="en-US"/>
        </w:rPr>
        <w:t>Clinical and Laboratory Standards Institute. Collection, Transport, and Processing of Blood Specimens for Testing Plasma-Based Coagulation Assays and Molecular Hemostasis Assays: Approved Guideline– Fifth edition. CLSI H21-A5, Wayne PA, Clinical and Laboratory Standards Institute 2008.</w:t>
      </w:r>
    </w:p>
    <w:p w:rsidR="004B5AE5" w:rsidRPr="00BA6D31" w:rsidRDefault="004B5AE5" w:rsidP="00041ED2">
      <w:pPr>
        <w:numPr>
          <w:ilvl w:val="0"/>
          <w:numId w:val="50"/>
        </w:numPr>
        <w:autoSpaceDE w:val="0"/>
        <w:autoSpaceDN w:val="0"/>
        <w:adjustRightInd w:val="0"/>
        <w:spacing w:after="0" w:line="276" w:lineRule="auto"/>
        <w:ind w:left="567" w:hanging="567"/>
        <w:rPr>
          <w:rFonts w:asciiTheme="minorHAnsi" w:hAnsiTheme="minorHAnsi" w:cs="Arial"/>
          <w:color w:val="221E1F"/>
          <w:lang w:eastAsia="en-US"/>
        </w:rPr>
      </w:pPr>
      <w:r w:rsidRPr="00BA6D31">
        <w:rPr>
          <w:rFonts w:asciiTheme="minorHAnsi" w:hAnsiTheme="minorHAnsi" w:cs="Arial"/>
          <w:color w:val="221E1F"/>
          <w:lang w:eastAsia="en-US"/>
        </w:rPr>
        <w:t xml:space="preserve">Collins PW, Chalmers E, Hart DP et al. Diagnosis and treatment of FVIII and IX inhibitors in congenital haemophilia: (4th Edition). Br J Haematol, 2013 (160); 153-170. </w:t>
      </w:r>
    </w:p>
    <w:p w:rsidR="004B5AE5" w:rsidRPr="000B6011" w:rsidRDefault="004B5AE5" w:rsidP="004B5AE5">
      <w:pPr>
        <w:ind w:left="993" w:hanging="426"/>
        <w:rPr>
          <w:rFonts w:asciiTheme="minorHAnsi" w:hAnsiTheme="minorHAnsi" w:cs="Arial"/>
        </w:rPr>
      </w:pPr>
    </w:p>
    <w:p w:rsidR="004B5AE5" w:rsidRDefault="004B5AE5">
      <w:pPr>
        <w:spacing w:after="200" w:line="276" w:lineRule="auto"/>
        <w:ind w:left="0"/>
      </w:pPr>
      <w:r>
        <w:br w:type="page"/>
      </w:r>
    </w:p>
    <w:p w:rsidR="004B5AE5" w:rsidRPr="00041ED2" w:rsidRDefault="004B5AE5" w:rsidP="00041ED2">
      <w:pPr>
        <w:pStyle w:val="Heading2"/>
      </w:pPr>
      <w:bookmarkStart w:id="29" w:name="_Toc431484322"/>
      <w:r>
        <w:rPr>
          <w:sz w:val="108"/>
          <w:szCs w:val="108"/>
        </w:rPr>
        <w:lastRenderedPageBreak/>
        <w:t xml:space="preserve">4 </w:t>
      </w:r>
      <w:r w:rsidRPr="00C5365F">
        <w:t>HAEMOSTATIC AGENTS</w:t>
      </w:r>
      <w:bookmarkEnd w:id="2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8041"/>
      </w:tblGrid>
      <w:tr w:rsidR="004B5AE5" w:rsidRPr="00497699" w:rsidTr="00041ED2">
        <w:tc>
          <w:tcPr>
            <w:tcW w:w="1258" w:type="dxa"/>
            <w:shd w:val="clear" w:color="auto" w:fill="DBE5F1" w:themeFill="accent1" w:themeFillTint="33"/>
          </w:tcPr>
          <w:p w:rsidR="004B5AE5" w:rsidRPr="00497699" w:rsidRDefault="004B5AE5" w:rsidP="004B5AE5">
            <w:pPr>
              <w:spacing w:before="40" w:after="40"/>
              <w:rPr>
                <w:b/>
              </w:rPr>
            </w:pPr>
            <w:r w:rsidRPr="00497699">
              <w:rPr>
                <w:rStyle w:val="A8"/>
                <w:rFonts w:eastAsia="Calibri" w:cs="Avenir LT Std 55 Roman"/>
                <w:b/>
                <w:color w:val="221E1F"/>
                <w:sz w:val="22"/>
                <w:szCs w:val="24"/>
              </w:rPr>
              <w:t>No.</w:t>
            </w:r>
          </w:p>
        </w:tc>
        <w:tc>
          <w:tcPr>
            <w:tcW w:w="8041" w:type="dxa"/>
            <w:shd w:val="clear" w:color="auto" w:fill="DBE5F1" w:themeFill="accent1" w:themeFillTint="33"/>
          </w:tcPr>
          <w:p w:rsidR="004B5AE5" w:rsidRPr="00497699" w:rsidRDefault="004B5AE5" w:rsidP="00041ED2">
            <w:pPr>
              <w:ind w:left="193"/>
              <w:rPr>
                <w:b/>
              </w:rPr>
            </w:pPr>
            <w:r w:rsidRPr="00497699">
              <w:rPr>
                <w:rStyle w:val="A8"/>
                <w:rFonts w:eastAsia="Calibri" w:cs="Avenir LT Std 55 Roman"/>
                <w:b/>
                <w:color w:val="221E1F"/>
                <w:sz w:val="22"/>
                <w:szCs w:val="24"/>
              </w:rPr>
              <w:t>Key Practice Point</w:t>
            </w:r>
          </w:p>
        </w:tc>
      </w:tr>
      <w:tr w:rsidR="004B5AE5" w:rsidRPr="00497699" w:rsidTr="00041ED2">
        <w:tc>
          <w:tcPr>
            <w:tcW w:w="1258"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4.1</w:t>
            </w:r>
          </w:p>
        </w:tc>
        <w:tc>
          <w:tcPr>
            <w:tcW w:w="8041" w:type="dxa"/>
          </w:tcPr>
          <w:p w:rsidR="004B5AE5" w:rsidRPr="00C5365F" w:rsidRDefault="004B5AE5" w:rsidP="00041ED2">
            <w:pPr>
              <w:spacing w:before="40" w:after="40"/>
              <w:ind w:left="193"/>
              <w:rPr>
                <w:rStyle w:val="A8"/>
                <w:rFonts w:eastAsia="Dotum" w:cs="Avenir LT Std 55 Roman"/>
                <w:sz w:val="24"/>
                <w:szCs w:val="24"/>
              </w:rPr>
            </w:pPr>
            <w:r w:rsidRPr="00C5365F">
              <w:rPr>
                <w:rStyle w:val="A8"/>
                <w:rFonts w:eastAsia="Dotum"/>
                <w:color w:val="221E1F"/>
                <w:sz w:val="22"/>
              </w:rPr>
              <w:t>Recombinant clotting factor concentrates where available should be used in preference to plasma derived products.</w:t>
            </w:r>
          </w:p>
        </w:tc>
      </w:tr>
      <w:tr w:rsidR="004B5AE5" w:rsidRPr="00497699" w:rsidTr="00041ED2">
        <w:trPr>
          <w:trHeight w:val="212"/>
        </w:trPr>
        <w:tc>
          <w:tcPr>
            <w:tcW w:w="1258"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4.2</w:t>
            </w:r>
          </w:p>
        </w:tc>
        <w:tc>
          <w:tcPr>
            <w:tcW w:w="8041" w:type="dxa"/>
          </w:tcPr>
          <w:p w:rsidR="004B5AE5" w:rsidRPr="00C5365F" w:rsidRDefault="004B5AE5" w:rsidP="00041ED2">
            <w:pPr>
              <w:spacing w:before="40" w:after="40"/>
              <w:ind w:left="193"/>
              <w:rPr>
                <w:rStyle w:val="A8"/>
                <w:rFonts w:eastAsia="Dotum" w:cs="Avenir LT Std 55 Roman"/>
                <w:sz w:val="24"/>
                <w:szCs w:val="24"/>
              </w:rPr>
            </w:pPr>
            <w:r w:rsidRPr="00C5365F">
              <w:rPr>
                <w:rStyle w:val="A8"/>
                <w:rFonts w:eastAsia="Dotum"/>
                <w:color w:val="221E1F"/>
                <w:sz w:val="22"/>
              </w:rPr>
              <w:t xml:space="preserve">In Australia recombinant clotting factor concentrates are available for </w:t>
            </w:r>
            <w:r>
              <w:rPr>
                <w:rStyle w:val="A8"/>
                <w:rFonts w:eastAsia="Dotum"/>
                <w:color w:val="221E1F"/>
                <w:sz w:val="22"/>
              </w:rPr>
              <w:t xml:space="preserve">the treatment of </w:t>
            </w:r>
            <w:r w:rsidR="0024116D">
              <w:rPr>
                <w:rStyle w:val="A8"/>
                <w:rFonts w:eastAsia="Dotum"/>
                <w:color w:val="221E1F"/>
                <w:sz w:val="22"/>
              </w:rPr>
              <w:t>h</w:t>
            </w:r>
            <w:r>
              <w:rPr>
                <w:rStyle w:val="A8"/>
                <w:rFonts w:eastAsia="Dotum"/>
                <w:color w:val="221E1F"/>
                <w:sz w:val="22"/>
              </w:rPr>
              <w:t xml:space="preserve">aemophilia A </w:t>
            </w:r>
            <w:r w:rsidRPr="00C5365F">
              <w:rPr>
                <w:rStyle w:val="A8"/>
                <w:rFonts w:eastAsia="Dotum"/>
                <w:color w:val="221E1F"/>
                <w:sz w:val="22"/>
              </w:rPr>
              <w:t xml:space="preserve">and </w:t>
            </w:r>
            <w:r w:rsidR="0024116D">
              <w:rPr>
                <w:rStyle w:val="A8"/>
                <w:rFonts w:eastAsia="Dotum"/>
                <w:color w:val="221E1F"/>
                <w:sz w:val="22"/>
              </w:rPr>
              <w:t>h</w:t>
            </w:r>
            <w:r w:rsidRPr="00C5365F">
              <w:rPr>
                <w:rStyle w:val="A8"/>
                <w:rFonts w:eastAsia="Dotum"/>
                <w:color w:val="221E1F"/>
                <w:sz w:val="22"/>
              </w:rPr>
              <w:t>aemophilia B. Plasma derived products should only be used in these patient groups for urgent treatment where recombinant products are not available. Plasma derived FVIII may be occasionally indicated for use in patients with factor VIII inhibitors undergoing tolerisation – the management of such patients should be discussed with the tolerisation advisory committee (TAC).</w:t>
            </w:r>
          </w:p>
        </w:tc>
      </w:tr>
      <w:tr w:rsidR="004B5AE5" w:rsidRPr="00497699" w:rsidTr="00041ED2">
        <w:trPr>
          <w:trHeight w:val="242"/>
        </w:trPr>
        <w:tc>
          <w:tcPr>
            <w:tcW w:w="1258" w:type="dxa"/>
            <w:shd w:val="clear" w:color="auto" w:fill="365F91" w:themeFill="accent1" w:themeFillShade="BF"/>
          </w:tcPr>
          <w:p w:rsidR="004B5AE5" w:rsidRPr="00A33356" w:rsidRDefault="004B5AE5"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4.3</w:t>
            </w:r>
          </w:p>
        </w:tc>
        <w:tc>
          <w:tcPr>
            <w:tcW w:w="8041" w:type="dxa"/>
          </w:tcPr>
          <w:p w:rsidR="004B5AE5" w:rsidRPr="00C5365F" w:rsidRDefault="004B5AE5" w:rsidP="00041ED2">
            <w:pPr>
              <w:spacing w:before="40" w:after="40"/>
              <w:ind w:left="193"/>
              <w:rPr>
                <w:rStyle w:val="A8"/>
                <w:rFonts w:eastAsia="Dotum" w:cs="Avenir LT Std 55 Roman"/>
                <w:sz w:val="24"/>
                <w:szCs w:val="24"/>
              </w:rPr>
            </w:pPr>
            <w:r w:rsidRPr="00C5365F">
              <w:rPr>
                <w:rStyle w:val="A8"/>
                <w:rFonts w:eastAsia="Dotum"/>
                <w:color w:val="221E1F"/>
                <w:sz w:val="22"/>
              </w:rPr>
              <w:t>The use of adjuvant therapy such as DDAVP and tranexamic acid should always be considered in responsive patients. DDAVP should be considered as first line therapy in patients with mild haemophilia provided the individual response has been demonstrated to be adequate to cover the haemostatic challenge being treated.</w:t>
            </w:r>
            <w:r w:rsidRPr="00C5365F">
              <w:rPr>
                <w:rFonts w:cs="Avenir LT Std 55 Roman"/>
                <w:sz w:val="24"/>
                <w:szCs w:val="24"/>
              </w:rPr>
              <w:t xml:space="preserve"> </w:t>
            </w:r>
          </w:p>
        </w:tc>
      </w:tr>
    </w:tbl>
    <w:p w:rsidR="004B5AE5" w:rsidRDefault="004B5AE5" w:rsidP="004B5AE5">
      <w:pPr>
        <w:pStyle w:val="Default"/>
        <w:spacing w:after="222"/>
        <w:ind w:left="113" w:right="557"/>
        <w:rPr>
          <w:rStyle w:val="A8"/>
          <w:rFonts w:asciiTheme="minorHAnsi" w:hAnsiTheme="minorHAnsi"/>
          <w:b/>
          <w:bCs/>
          <w:color w:val="000000" w:themeColor="text1"/>
          <w:szCs w:val="28"/>
        </w:rPr>
      </w:pPr>
    </w:p>
    <w:p w:rsidR="004B5AE5" w:rsidRPr="002C1CD8" w:rsidRDefault="004B5AE5" w:rsidP="00041ED2">
      <w:pPr>
        <w:pStyle w:val="Default"/>
        <w:spacing w:after="222"/>
        <w:ind w:right="557"/>
        <w:rPr>
          <w:rStyle w:val="A8"/>
          <w:rFonts w:asciiTheme="minorHAnsi" w:hAnsiTheme="minorHAnsi" w:cs="Tahoma"/>
          <w:b/>
          <w:bCs/>
          <w:color w:val="000000" w:themeColor="text1"/>
          <w:szCs w:val="28"/>
          <w:lang w:eastAsia="en-AU"/>
        </w:rPr>
      </w:pPr>
      <w:r w:rsidRPr="002C1CD8">
        <w:rPr>
          <w:rStyle w:val="A8"/>
          <w:rFonts w:asciiTheme="minorHAnsi" w:hAnsiTheme="minorHAnsi"/>
          <w:b/>
          <w:bCs/>
          <w:color w:val="000000" w:themeColor="text1"/>
          <w:szCs w:val="28"/>
        </w:rPr>
        <w:t xml:space="preserve">Significant changes from the original WFH Guidelines </w:t>
      </w:r>
    </w:p>
    <w:p w:rsidR="004B5AE5" w:rsidRDefault="004B5AE5" w:rsidP="00041ED2">
      <w:pPr>
        <w:pStyle w:val="Default"/>
        <w:numPr>
          <w:ilvl w:val="0"/>
          <w:numId w:val="42"/>
        </w:numPr>
        <w:spacing w:after="222"/>
        <w:ind w:left="567" w:right="557" w:hanging="567"/>
        <w:rPr>
          <w:rStyle w:val="A8"/>
          <w:rFonts w:asciiTheme="minorHAnsi" w:hAnsiTheme="minorHAnsi" w:cs="Tahoma"/>
          <w:bCs/>
          <w:color w:val="000000" w:themeColor="text1"/>
          <w:sz w:val="24"/>
          <w:szCs w:val="22"/>
          <w:lang w:eastAsia="en-AU"/>
        </w:rPr>
      </w:pPr>
      <w:r>
        <w:rPr>
          <w:rStyle w:val="A8"/>
          <w:rFonts w:asciiTheme="minorHAnsi" w:hAnsiTheme="minorHAnsi"/>
          <w:bCs/>
          <w:color w:val="000000" w:themeColor="text1"/>
          <w:sz w:val="24"/>
        </w:rPr>
        <w:t>Recombinant clotting factor concentrates are the treatment of choice for haemophilia A and haemophilia B in Australia</w:t>
      </w:r>
      <w:r w:rsidRPr="002C1CD8">
        <w:rPr>
          <w:rStyle w:val="A8"/>
          <w:rFonts w:asciiTheme="minorHAnsi" w:hAnsiTheme="minorHAnsi"/>
          <w:bCs/>
          <w:color w:val="000000" w:themeColor="text1"/>
          <w:sz w:val="24"/>
        </w:rPr>
        <w:t>.</w:t>
      </w:r>
    </w:p>
    <w:p w:rsidR="004B5AE5" w:rsidRDefault="004B5AE5" w:rsidP="00041ED2">
      <w:pPr>
        <w:pStyle w:val="Default"/>
        <w:numPr>
          <w:ilvl w:val="0"/>
          <w:numId w:val="42"/>
        </w:numPr>
        <w:spacing w:after="222"/>
        <w:ind w:left="567" w:right="557" w:hanging="567"/>
        <w:rPr>
          <w:rFonts w:asciiTheme="minorHAnsi" w:hAnsiTheme="minorHAnsi"/>
          <w:bCs/>
          <w:color w:val="000000" w:themeColor="text1"/>
        </w:rPr>
      </w:pPr>
      <w:r w:rsidRPr="003B55E6">
        <w:rPr>
          <w:rFonts w:asciiTheme="minorHAnsi" w:hAnsiTheme="minorHAnsi"/>
          <w:bCs/>
          <w:color w:val="000000" w:themeColor="text1"/>
        </w:rPr>
        <w:t>Where recombinant or specific plasma derived factor concentrates ar</w:t>
      </w:r>
      <w:r>
        <w:rPr>
          <w:rFonts w:asciiTheme="minorHAnsi" w:hAnsiTheme="minorHAnsi"/>
          <w:bCs/>
          <w:color w:val="000000" w:themeColor="text1"/>
        </w:rPr>
        <w:t>e available cryoprecipate or fresh frozen plasma</w:t>
      </w:r>
      <w:r w:rsidRPr="003B55E6">
        <w:rPr>
          <w:rFonts w:asciiTheme="minorHAnsi" w:hAnsiTheme="minorHAnsi"/>
          <w:bCs/>
          <w:color w:val="000000" w:themeColor="text1"/>
        </w:rPr>
        <w:t xml:space="preserve"> should not be used.</w:t>
      </w:r>
    </w:p>
    <w:p w:rsidR="004B5AE5" w:rsidRPr="003B55E6" w:rsidRDefault="004B5AE5" w:rsidP="00041ED2">
      <w:pPr>
        <w:pStyle w:val="Default"/>
        <w:numPr>
          <w:ilvl w:val="0"/>
          <w:numId w:val="42"/>
        </w:numPr>
        <w:spacing w:after="222"/>
        <w:ind w:left="567" w:right="557" w:hanging="567"/>
        <w:rPr>
          <w:rFonts w:asciiTheme="minorHAnsi" w:hAnsiTheme="minorHAnsi"/>
          <w:bCs/>
          <w:color w:val="000000" w:themeColor="text1"/>
        </w:rPr>
      </w:pPr>
      <w:r>
        <w:rPr>
          <w:rFonts w:asciiTheme="minorHAnsi" w:hAnsiTheme="minorHAnsi"/>
          <w:bCs/>
          <w:color w:val="000000" w:themeColor="text1"/>
        </w:rPr>
        <w:t>Intranasal desmopressin is not available for the treatment of bleeding disorders in Australia.</w:t>
      </w:r>
    </w:p>
    <w:p w:rsidR="004B5AE5" w:rsidRDefault="004B5AE5">
      <w:pPr>
        <w:spacing w:after="200" w:line="276" w:lineRule="auto"/>
        <w:ind w:left="0"/>
        <w:rPr>
          <w:rFonts w:asciiTheme="minorHAnsi" w:hAnsiTheme="minorHAnsi" w:cs="Avenir LT Std 55 Roman"/>
          <w:b/>
          <w:bCs/>
          <w:color w:val="E31736"/>
          <w:sz w:val="28"/>
          <w:lang w:eastAsia="en-US"/>
        </w:rPr>
      </w:pPr>
      <w:r>
        <w:rPr>
          <w:rFonts w:asciiTheme="minorHAnsi" w:hAnsiTheme="minorHAnsi" w:cs="Avenir LT Std 55 Roman"/>
          <w:b/>
          <w:bCs/>
          <w:color w:val="E31736"/>
          <w:sz w:val="28"/>
          <w:lang w:eastAsia="en-US"/>
        </w:rPr>
        <w:br w:type="page"/>
      </w:r>
    </w:p>
    <w:p w:rsidR="004B5AE5" w:rsidRPr="00041ED2" w:rsidRDefault="004B5AE5" w:rsidP="00041ED2">
      <w:pPr>
        <w:pStyle w:val="Heading3"/>
        <w:rPr>
          <w:rStyle w:val="A8"/>
          <w:b/>
        </w:rPr>
      </w:pPr>
      <w:bookmarkStart w:id="30" w:name="_Toc431484323"/>
      <w:r w:rsidRPr="00041ED2">
        <w:rPr>
          <w:rStyle w:val="A8"/>
        </w:rPr>
        <w:lastRenderedPageBreak/>
        <w:t>4.1 Clotting factor concentrates</w:t>
      </w:r>
      <w:bookmarkEnd w:id="30"/>
      <w:r w:rsidRPr="00041ED2">
        <w:rPr>
          <w:rStyle w:val="A8"/>
        </w:rPr>
        <w:t xml:space="preserve"> </w:t>
      </w:r>
    </w:p>
    <w:p w:rsidR="004B5AE5" w:rsidRDefault="004B5AE5" w:rsidP="00041ED2">
      <w:pPr>
        <w:autoSpaceDE w:val="0"/>
        <w:autoSpaceDN w:val="0"/>
        <w:adjustRightInd w:val="0"/>
        <w:spacing w:after="0"/>
        <w:ind w:left="1418" w:hanging="1418"/>
        <w:rPr>
          <w:rFonts w:asciiTheme="minorHAnsi" w:hAnsiTheme="minorHAnsi" w:cs="Arial"/>
          <w:b/>
          <w:bCs/>
          <w:color w:val="221E1F"/>
          <w:lang w:eastAsia="en-US"/>
        </w:rPr>
      </w:pPr>
      <w:r w:rsidRPr="00C5365F">
        <w:rPr>
          <w:rFonts w:asciiTheme="minorHAnsi" w:hAnsiTheme="minorHAnsi" w:cs="Arial"/>
          <w:bCs/>
          <w:color w:val="221E1F"/>
          <w:lang w:eastAsia="en-US"/>
        </w:rPr>
        <w:t>4.1</w:t>
      </w:r>
      <w:r>
        <w:rPr>
          <w:rFonts w:asciiTheme="minorHAnsi" w:hAnsiTheme="minorHAnsi" w:cs="Arial"/>
          <w:bCs/>
          <w:color w:val="221E1F"/>
          <w:lang w:eastAsia="en-US"/>
        </w:rPr>
        <w:t>.1</w:t>
      </w:r>
      <w:r>
        <w:rPr>
          <w:rFonts w:asciiTheme="minorHAnsi" w:hAnsiTheme="minorHAnsi" w:cs="Arial"/>
          <w:b/>
          <w:bCs/>
          <w:color w:val="221E1F"/>
          <w:lang w:eastAsia="en-US"/>
        </w:rPr>
        <w:t xml:space="preserve"> </w:t>
      </w:r>
      <w:r>
        <w:rPr>
          <w:rFonts w:asciiTheme="minorHAnsi" w:hAnsiTheme="minorHAnsi" w:cs="Arial"/>
          <w:b/>
          <w:bCs/>
          <w:color w:val="221E1F"/>
          <w:lang w:eastAsia="en-US"/>
        </w:rPr>
        <w:tab/>
        <w:t>T</w:t>
      </w:r>
      <w:r w:rsidRPr="00C5365F">
        <w:rPr>
          <w:rFonts w:asciiTheme="minorHAnsi" w:hAnsiTheme="minorHAnsi" w:cs="Arial"/>
          <w:b/>
          <w:bCs/>
          <w:color w:val="221E1F"/>
          <w:lang w:eastAsia="en-US"/>
        </w:rPr>
        <w:t>he WFH strongly recommends the use of viral-inactivated plasma-derived or recombinant concentrates in preference to cryoprecipitate or fresh frozen plasma for the treatment of haemo</w:t>
      </w:r>
      <w:r w:rsidRPr="00C5365F">
        <w:rPr>
          <w:rFonts w:asciiTheme="minorHAnsi" w:hAnsiTheme="minorHAnsi" w:cs="Arial"/>
          <w:b/>
          <w:bCs/>
          <w:color w:val="221E1F"/>
          <w:lang w:eastAsia="en-US"/>
        </w:rPr>
        <w:softHyphen/>
        <w:t xml:space="preserve">philia and other inherited bleeding disorders.  </w:t>
      </w:r>
      <w:r w:rsidRPr="00C5365F">
        <w:rPr>
          <w:rFonts w:asciiTheme="minorHAnsi" w:hAnsiTheme="minorHAnsi" w:cs="Arial"/>
          <w:b/>
          <w:bCs/>
          <w:color w:val="221E1F"/>
          <w:vertAlign w:val="superscript"/>
          <w:lang w:eastAsia="en-US"/>
        </w:rPr>
        <w:t>[1</w:t>
      </w:r>
      <w:proofErr w:type="gramStart"/>
      <w:r w:rsidRPr="00C5365F">
        <w:rPr>
          <w:rFonts w:asciiTheme="minorHAnsi" w:hAnsiTheme="minorHAnsi" w:cs="Arial"/>
          <w:b/>
          <w:bCs/>
          <w:color w:val="221E1F"/>
          <w:vertAlign w:val="superscript"/>
          <w:lang w:eastAsia="en-US"/>
        </w:rPr>
        <w:t>,2</w:t>
      </w:r>
      <w:proofErr w:type="gramEnd"/>
      <w:r w:rsidRPr="00C5365F">
        <w:rPr>
          <w:rFonts w:asciiTheme="minorHAnsi" w:hAnsiTheme="minorHAnsi" w:cs="Arial"/>
          <w:b/>
          <w:bCs/>
          <w:color w:val="221E1F"/>
          <w:vertAlign w:val="superscript"/>
          <w:lang w:eastAsia="en-US"/>
        </w:rPr>
        <w:t>]</w:t>
      </w:r>
      <w:r w:rsidRPr="00C5365F">
        <w:rPr>
          <w:rFonts w:asciiTheme="minorHAnsi" w:hAnsiTheme="minorHAnsi" w:cs="Arial"/>
          <w:b/>
          <w:bCs/>
          <w:color w:val="221E1F"/>
          <w:lang w:eastAsia="en-US"/>
        </w:rPr>
        <w:t xml:space="preserve"> </w:t>
      </w:r>
    </w:p>
    <w:p w:rsidR="004B5AE5" w:rsidRDefault="004B5AE5" w:rsidP="004B5AE5">
      <w:pPr>
        <w:autoSpaceDE w:val="0"/>
        <w:autoSpaceDN w:val="0"/>
        <w:adjustRightInd w:val="0"/>
        <w:spacing w:after="0"/>
        <w:ind w:left="1418" w:hanging="1305"/>
        <w:rPr>
          <w:rFonts w:asciiTheme="minorHAnsi" w:hAnsiTheme="minorHAnsi" w:cs="Avenir LT Std 55 Roman"/>
          <w:color w:val="E31736"/>
          <w:sz w:val="28"/>
          <w:szCs w:val="28"/>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4.1.2</w:t>
      </w:r>
      <w:r>
        <w:rPr>
          <w:rFonts w:asciiTheme="minorHAnsi" w:hAnsiTheme="minorHAnsi" w:cs="Arial"/>
          <w:color w:val="221E1F"/>
          <w:lang w:eastAsia="en-US"/>
        </w:rPr>
        <w:tab/>
        <w:t>T</w:t>
      </w:r>
      <w:r w:rsidRPr="00C5365F">
        <w:rPr>
          <w:rFonts w:asciiTheme="minorHAnsi" w:hAnsiTheme="minorHAnsi" w:cs="Arial"/>
          <w:color w:val="221E1F"/>
          <w:lang w:eastAsia="en-US"/>
        </w:rPr>
        <w:t xml:space="preserve">he comprehensive WFH </w:t>
      </w:r>
      <w:r w:rsidRPr="00C5365F">
        <w:rPr>
          <w:rFonts w:asciiTheme="minorHAnsi" w:hAnsiTheme="minorHAnsi" w:cs="Arial"/>
          <w:i/>
          <w:iCs/>
          <w:color w:val="221E1F"/>
          <w:lang w:eastAsia="en-US"/>
        </w:rPr>
        <w:t>Guide for the Assess</w:t>
      </w:r>
      <w:r w:rsidRPr="00C5365F">
        <w:rPr>
          <w:rFonts w:asciiTheme="minorHAnsi" w:hAnsiTheme="minorHAnsi" w:cs="Arial"/>
          <w:i/>
          <w:iCs/>
          <w:color w:val="221E1F"/>
          <w:lang w:eastAsia="en-US"/>
        </w:rPr>
        <w:softHyphen/>
        <w:t xml:space="preserve">ment of Clotting Factor Concentrates </w:t>
      </w:r>
      <w:r w:rsidRPr="00C5365F">
        <w:rPr>
          <w:rFonts w:asciiTheme="minorHAnsi" w:hAnsiTheme="minorHAnsi" w:cs="Arial"/>
          <w:color w:val="221E1F"/>
          <w:lang w:eastAsia="en-US"/>
        </w:rPr>
        <w:t xml:space="preserve">reviews factors </w:t>
      </w:r>
      <w:r>
        <w:rPr>
          <w:rFonts w:asciiTheme="minorHAnsi" w:hAnsiTheme="minorHAnsi" w:cs="Arial"/>
          <w:color w:val="221E1F"/>
          <w:lang w:eastAsia="en-US"/>
        </w:rPr>
        <w:tab/>
      </w:r>
      <w:r w:rsidRPr="00C5365F">
        <w:rPr>
          <w:rFonts w:asciiTheme="minorHAnsi" w:hAnsiTheme="minorHAnsi" w:cs="Arial"/>
          <w:color w:val="221E1F"/>
          <w:lang w:eastAsia="en-US"/>
        </w:rPr>
        <w:t>affecting the quality, safety, licensing, and assessment of plasma-derived products and the important principles involved in selecting suit</w:t>
      </w:r>
      <w:r w:rsidRPr="00C5365F">
        <w:rPr>
          <w:rFonts w:asciiTheme="minorHAnsi" w:hAnsiTheme="minorHAnsi" w:cs="Arial"/>
          <w:color w:val="221E1F"/>
          <w:lang w:eastAsia="en-US"/>
        </w:rPr>
        <w:softHyphen/>
        <w:t>able products for the treatment of haemo</w:t>
      </w:r>
      <w:r>
        <w:rPr>
          <w:rFonts w:asciiTheme="minorHAnsi" w:hAnsiTheme="minorHAnsi" w:cs="Arial"/>
          <w:color w:val="221E1F"/>
          <w:lang w:eastAsia="en-US"/>
        </w:rPr>
        <w:t xml:space="preserve">philia. </w:t>
      </w:r>
      <w:r w:rsidRPr="00C5365F">
        <w:rPr>
          <w:rFonts w:asciiTheme="minorHAnsi" w:hAnsiTheme="minorHAnsi" w:cs="Arial"/>
          <w:color w:val="221E1F"/>
          <w:vertAlign w:val="superscript"/>
          <w:lang w:eastAsia="en-US"/>
        </w:rPr>
        <w:t>[2]</w:t>
      </w:r>
      <w:r w:rsidRPr="00C5365F">
        <w:rPr>
          <w:rFonts w:asciiTheme="minorHAnsi" w:hAnsiTheme="minorHAnsi" w:cs="Arial"/>
          <w:color w:val="221E1F"/>
          <w:lang w:eastAsia="en-US"/>
        </w:rPr>
        <w:t xml:space="preserve"> </w:t>
      </w:r>
    </w:p>
    <w:p w:rsidR="004B5AE5" w:rsidRPr="00C5365F" w:rsidRDefault="004B5AE5" w:rsidP="004B5AE5">
      <w:pPr>
        <w:autoSpaceDE w:val="0"/>
        <w:autoSpaceDN w:val="0"/>
        <w:adjustRightInd w:val="0"/>
        <w:spacing w:after="0"/>
        <w:ind w:left="1418" w:hanging="1305"/>
        <w:rPr>
          <w:rFonts w:asciiTheme="minorHAnsi" w:hAnsiTheme="minorHAnsi" w:cs="Avenir LT Std 55 Roman"/>
          <w:color w:val="E31736"/>
          <w:sz w:val="28"/>
          <w:szCs w:val="28"/>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vertAlign w:val="superscript"/>
          <w:lang w:eastAsia="en-US"/>
        </w:rPr>
      </w:pPr>
      <w:r>
        <w:rPr>
          <w:rFonts w:asciiTheme="minorHAnsi" w:hAnsiTheme="minorHAnsi" w:cs="Arial"/>
          <w:color w:val="221E1F"/>
          <w:lang w:eastAsia="en-US"/>
        </w:rPr>
        <w:t>4.1.3</w:t>
      </w:r>
      <w:r>
        <w:rPr>
          <w:rFonts w:asciiTheme="minorHAnsi" w:hAnsiTheme="minorHAnsi" w:cs="Arial"/>
          <w:color w:val="221E1F"/>
          <w:lang w:eastAsia="en-US"/>
        </w:rPr>
        <w:tab/>
        <w:t>T</w:t>
      </w:r>
      <w:r w:rsidRPr="00C5365F">
        <w:rPr>
          <w:rFonts w:asciiTheme="minorHAnsi" w:hAnsiTheme="minorHAnsi" w:cs="Arial"/>
          <w:color w:val="221E1F"/>
          <w:lang w:eastAsia="en-US"/>
        </w:rPr>
        <w:t xml:space="preserve">he WFH also publishes and regularly updates a </w:t>
      </w:r>
      <w:r w:rsidRPr="00C5365F">
        <w:rPr>
          <w:rFonts w:asciiTheme="minorHAnsi" w:hAnsiTheme="minorHAnsi" w:cs="Arial"/>
          <w:i/>
          <w:iCs/>
          <w:color w:val="221E1F"/>
          <w:lang w:eastAsia="en-US"/>
        </w:rPr>
        <w:t>Registry of Clotting Factor Concentrates</w:t>
      </w:r>
      <w:r w:rsidRPr="00C5365F">
        <w:rPr>
          <w:rFonts w:asciiTheme="minorHAnsi" w:hAnsiTheme="minorHAnsi" w:cs="Arial"/>
          <w:color w:val="221E1F"/>
          <w:lang w:eastAsia="en-US"/>
        </w:rPr>
        <w:t>, which lists all currently available products and their manufacturing deta</w:t>
      </w:r>
      <w:r>
        <w:rPr>
          <w:rFonts w:asciiTheme="minorHAnsi" w:hAnsiTheme="minorHAnsi" w:cs="Arial"/>
          <w:color w:val="221E1F"/>
          <w:lang w:eastAsia="en-US"/>
        </w:rPr>
        <w:t xml:space="preserve">ils. </w:t>
      </w:r>
      <w:r w:rsidRPr="00C5365F">
        <w:rPr>
          <w:rFonts w:asciiTheme="minorHAnsi" w:hAnsiTheme="minorHAnsi" w:cs="Arial"/>
          <w:color w:val="221E1F"/>
          <w:vertAlign w:val="superscript"/>
          <w:lang w:eastAsia="en-US"/>
        </w:rPr>
        <w:t>[3]</w:t>
      </w:r>
    </w:p>
    <w:p w:rsidR="004B5AE5" w:rsidRPr="00C5365F"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4.1.4</w:t>
      </w:r>
      <w:r>
        <w:rPr>
          <w:rFonts w:asciiTheme="minorHAnsi" w:hAnsiTheme="minorHAnsi" w:cs="Arial"/>
          <w:color w:val="221E1F"/>
          <w:lang w:eastAsia="en-US"/>
        </w:rPr>
        <w:tab/>
      </w:r>
      <w:r w:rsidRPr="00C5365F">
        <w:rPr>
          <w:rFonts w:asciiTheme="minorHAnsi" w:hAnsiTheme="minorHAnsi" w:cs="Arial"/>
          <w:color w:val="221E1F"/>
          <w:lang w:eastAsia="en-US"/>
        </w:rPr>
        <w:t>Currently manufactured plasma-derived concen</w:t>
      </w:r>
      <w:r w:rsidRPr="00C5365F">
        <w:rPr>
          <w:rFonts w:asciiTheme="minorHAnsi" w:hAnsiTheme="minorHAnsi" w:cs="Arial"/>
          <w:color w:val="221E1F"/>
          <w:lang w:eastAsia="en-US"/>
        </w:rPr>
        <w:softHyphen/>
        <w:t xml:space="preserve">trates produced to Good Manufacturing Practice (GMP) standards have an exemplary safety record with respect to lipid-coated viruses, such as HIV and HCV. </w:t>
      </w:r>
    </w:p>
    <w:p w:rsidR="004B5AE5" w:rsidRPr="00C5365F"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4.1.5</w:t>
      </w:r>
      <w:r>
        <w:rPr>
          <w:rFonts w:asciiTheme="minorHAnsi" w:hAnsiTheme="minorHAnsi" w:cs="Arial"/>
          <w:color w:val="221E1F"/>
          <w:lang w:eastAsia="en-US"/>
        </w:rPr>
        <w:tab/>
      </w:r>
      <w:r w:rsidRPr="00C5365F">
        <w:rPr>
          <w:rFonts w:asciiTheme="minorHAnsi" w:hAnsiTheme="minorHAnsi" w:cs="Arial"/>
          <w:color w:val="221E1F"/>
          <w:lang w:eastAsia="en-US"/>
        </w:rPr>
        <w:t>Product safety is the result of efforts in several areas:</w:t>
      </w:r>
    </w:p>
    <w:p w:rsidR="004B5AE5" w:rsidRPr="00C5365F"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Pr="00C5365F" w:rsidRDefault="004B5AE5" w:rsidP="004B5AE5">
      <w:pPr>
        <w:pStyle w:val="ListParagraph"/>
        <w:numPr>
          <w:ilvl w:val="0"/>
          <w:numId w:val="53"/>
        </w:numPr>
        <w:autoSpaceDE w:val="0"/>
        <w:autoSpaceDN w:val="0"/>
        <w:adjustRightInd w:val="0"/>
        <w:spacing w:after="0" w:line="276" w:lineRule="auto"/>
        <w:ind w:left="1701" w:hanging="284"/>
        <w:rPr>
          <w:rFonts w:asciiTheme="minorHAnsi" w:hAnsiTheme="minorHAnsi" w:cs="Arial"/>
          <w:color w:val="221E1F"/>
          <w:lang w:eastAsia="en-US"/>
        </w:rPr>
      </w:pPr>
      <w:r w:rsidRPr="00C5365F">
        <w:rPr>
          <w:rFonts w:asciiTheme="minorHAnsi" w:hAnsiTheme="minorHAnsi" w:cs="Arial"/>
          <w:color w:val="221E1F"/>
          <w:lang w:eastAsia="en-US"/>
        </w:rPr>
        <w:t xml:space="preserve">improved donor selection (exclusion of at-risk donors) </w:t>
      </w:r>
    </w:p>
    <w:p w:rsidR="004B5AE5" w:rsidRPr="00C5365F" w:rsidRDefault="004B5AE5" w:rsidP="004B5AE5">
      <w:pPr>
        <w:pStyle w:val="ListParagraph"/>
        <w:numPr>
          <w:ilvl w:val="0"/>
          <w:numId w:val="53"/>
        </w:numPr>
        <w:autoSpaceDE w:val="0"/>
        <w:autoSpaceDN w:val="0"/>
        <w:adjustRightInd w:val="0"/>
        <w:spacing w:after="0" w:line="276" w:lineRule="auto"/>
        <w:ind w:left="1701" w:hanging="284"/>
        <w:rPr>
          <w:rFonts w:asciiTheme="minorHAnsi" w:hAnsiTheme="minorHAnsi" w:cs="Arial"/>
          <w:color w:val="221E1F"/>
          <w:lang w:eastAsia="en-US"/>
        </w:rPr>
      </w:pPr>
      <w:r w:rsidRPr="00C5365F">
        <w:rPr>
          <w:rFonts w:asciiTheme="minorHAnsi" w:hAnsiTheme="minorHAnsi" w:cs="Arial"/>
          <w:color w:val="221E1F"/>
          <w:lang w:eastAsia="en-US"/>
        </w:rPr>
        <w:t xml:space="preserve">improved screening tests of donations, including nucleic acid testing (NAT) </w:t>
      </w:r>
    </w:p>
    <w:p w:rsidR="004B5AE5" w:rsidRPr="00C5365F" w:rsidRDefault="004B5AE5" w:rsidP="004B5AE5">
      <w:pPr>
        <w:pStyle w:val="ListParagraph"/>
        <w:numPr>
          <w:ilvl w:val="0"/>
          <w:numId w:val="53"/>
        </w:numPr>
        <w:autoSpaceDE w:val="0"/>
        <w:autoSpaceDN w:val="0"/>
        <w:adjustRightInd w:val="0"/>
        <w:spacing w:after="0" w:line="276" w:lineRule="auto"/>
        <w:ind w:left="1701" w:hanging="284"/>
        <w:rPr>
          <w:rFonts w:asciiTheme="minorHAnsi" w:hAnsiTheme="minorHAnsi" w:cs="Arial"/>
          <w:color w:val="221E1F"/>
          <w:lang w:eastAsia="en-US"/>
        </w:rPr>
      </w:pPr>
      <w:proofErr w:type="gramStart"/>
      <w:r w:rsidRPr="00C5365F">
        <w:rPr>
          <w:rFonts w:asciiTheme="minorHAnsi" w:hAnsiTheme="minorHAnsi" w:cs="Arial"/>
          <w:color w:val="221E1F"/>
          <w:lang w:eastAsia="en-US"/>
        </w:rPr>
        <w:t>type</w:t>
      </w:r>
      <w:proofErr w:type="gramEnd"/>
      <w:r w:rsidRPr="00C5365F">
        <w:rPr>
          <w:rFonts w:asciiTheme="minorHAnsi" w:hAnsiTheme="minorHAnsi" w:cs="Arial"/>
          <w:color w:val="221E1F"/>
          <w:lang w:eastAsia="en-US"/>
        </w:rPr>
        <w:t xml:space="preserve"> and number of in-process viral ina</w:t>
      </w:r>
      <w:r>
        <w:rPr>
          <w:rFonts w:asciiTheme="minorHAnsi" w:hAnsiTheme="minorHAnsi" w:cs="Arial"/>
          <w:color w:val="221E1F"/>
          <w:lang w:eastAsia="en-US"/>
        </w:rPr>
        <w:t>ctiva</w:t>
      </w:r>
      <w:r>
        <w:rPr>
          <w:rFonts w:asciiTheme="minorHAnsi" w:hAnsiTheme="minorHAnsi" w:cs="Arial"/>
          <w:color w:val="221E1F"/>
          <w:lang w:eastAsia="en-US"/>
        </w:rPr>
        <w:softHyphen/>
        <w:t>tion and/or removal steps.</w:t>
      </w:r>
    </w:p>
    <w:p w:rsidR="004B5AE5" w:rsidRPr="00C5365F" w:rsidRDefault="004B5AE5" w:rsidP="004B5AE5">
      <w:pPr>
        <w:autoSpaceDE w:val="0"/>
        <w:autoSpaceDN w:val="0"/>
        <w:adjustRightInd w:val="0"/>
        <w:spacing w:after="0"/>
        <w:rPr>
          <w:rFonts w:asciiTheme="minorHAnsi" w:hAnsiTheme="minorHAnsi" w:cs="Arial"/>
          <w:color w:val="221E1F"/>
          <w:lang w:eastAsia="en-US"/>
        </w:rPr>
      </w:pPr>
    </w:p>
    <w:p w:rsidR="004B5AE5" w:rsidRPr="00C5365F" w:rsidRDefault="004B5AE5" w:rsidP="004B5AE5">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4.1.6</w:t>
      </w:r>
      <w:r>
        <w:rPr>
          <w:rFonts w:asciiTheme="minorHAnsi" w:hAnsiTheme="minorHAnsi" w:cs="Arial"/>
          <w:color w:val="221E1F"/>
          <w:lang w:eastAsia="en-US"/>
        </w:rPr>
        <w:tab/>
      </w:r>
      <w:r w:rsidRPr="00C5365F">
        <w:rPr>
          <w:rFonts w:asciiTheme="minorHAnsi" w:hAnsiTheme="minorHAnsi" w:cs="Arial"/>
          <w:color w:val="221E1F"/>
          <w:lang w:eastAsia="en-US"/>
        </w:rPr>
        <w:t>The risk of prion-mediated disease through plasma-derived products exists. In the absence of a reliable screening test for variant Creutzfeldt- Jakob disease (vCJD), and with no established manufacturing steps to inactivate the vCJD prion, this problem is currently being handled by excluding plasma from all donors perceived to be at risk. As new information evolves in this field, constant awareness of current scientific recommendations is needed for those involved in making decisions regarding choice of clotting factor concentrate for people with haemophilia.</w:t>
      </w:r>
    </w:p>
    <w:p w:rsidR="004B5AE5" w:rsidRPr="00C5365F" w:rsidRDefault="004B5AE5" w:rsidP="004B5AE5">
      <w:pPr>
        <w:autoSpaceDE w:val="0"/>
        <w:autoSpaceDN w:val="0"/>
        <w:adjustRightInd w:val="0"/>
        <w:spacing w:after="0"/>
        <w:rPr>
          <w:rFonts w:asciiTheme="minorHAnsi" w:hAnsiTheme="minorHAnsi" w:cs="Arial"/>
          <w:color w:val="221E1F"/>
          <w:lang w:eastAsia="en-US"/>
        </w:rPr>
      </w:pPr>
    </w:p>
    <w:p w:rsidR="004B5AE5" w:rsidRPr="00C5365F" w:rsidRDefault="004B5AE5" w:rsidP="004B5AE5">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4.1.7</w:t>
      </w:r>
      <w:r>
        <w:rPr>
          <w:rFonts w:asciiTheme="minorHAnsi" w:hAnsiTheme="minorHAnsi" w:cs="Arial"/>
          <w:color w:val="221E1F"/>
          <w:lang w:eastAsia="en-US"/>
        </w:rPr>
        <w:tab/>
      </w:r>
      <w:r w:rsidRPr="00C5365F">
        <w:rPr>
          <w:rFonts w:asciiTheme="minorHAnsi" w:hAnsiTheme="minorHAnsi" w:cs="Arial"/>
          <w:color w:val="221E1F"/>
          <w:lang w:eastAsia="en-US"/>
        </w:rPr>
        <w:t>While it recognised that the use of current commercially available plasma derived products are associated with a very low risk of transmission of infection due to the above measures, where suitable products are available it is recommended that Australian patients with bleeding disorders receive recombinant factor concentrates.</w:t>
      </w:r>
    </w:p>
    <w:p w:rsidR="004B5AE5" w:rsidRDefault="004B5AE5" w:rsidP="00041ED2">
      <w:pPr>
        <w:pStyle w:val="Heading4"/>
        <w:rPr>
          <w:lang w:eastAsia="en-US"/>
        </w:rPr>
      </w:pPr>
      <w:r w:rsidRPr="00B35E0C">
        <w:rPr>
          <w:lang w:eastAsia="en-US"/>
        </w:rPr>
        <w:t xml:space="preserve">Product selection </w:t>
      </w:r>
    </w:p>
    <w:p w:rsidR="004B5AE5" w:rsidRDefault="004B5AE5" w:rsidP="004B5AE5">
      <w:pPr>
        <w:autoSpaceDE w:val="0"/>
        <w:autoSpaceDN w:val="0"/>
        <w:adjustRightInd w:val="0"/>
        <w:spacing w:after="0"/>
        <w:ind w:left="1418"/>
        <w:rPr>
          <w:rFonts w:asciiTheme="minorHAnsi" w:hAnsiTheme="minorHAnsi" w:cs="Arial"/>
          <w:color w:val="221E1F"/>
          <w:lang w:eastAsia="en-US"/>
        </w:rPr>
      </w:pPr>
      <w:r w:rsidRPr="00C5365F">
        <w:rPr>
          <w:rFonts w:asciiTheme="minorHAnsi" w:hAnsiTheme="minorHAnsi" w:cs="Arial"/>
          <w:color w:val="221E1F"/>
          <w:lang w:eastAsia="en-US"/>
        </w:rPr>
        <w:t>When selecting plasma-derived concentrates, consid</w:t>
      </w:r>
      <w:r w:rsidRPr="00C5365F">
        <w:rPr>
          <w:rFonts w:asciiTheme="minorHAnsi" w:hAnsiTheme="minorHAnsi" w:cs="Arial"/>
          <w:color w:val="221E1F"/>
          <w:lang w:eastAsia="en-US"/>
        </w:rPr>
        <w:softHyphen/>
        <w:t>eration needs to be given to both the pla</w:t>
      </w:r>
      <w:r>
        <w:rPr>
          <w:rFonts w:asciiTheme="minorHAnsi" w:hAnsiTheme="minorHAnsi" w:cs="Arial"/>
          <w:color w:val="221E1F"/>
          <w:lang w:eastAsia="en-US"/>
        </w:rPr>
        <w:t xml:space="preserve">sma </w:t>
      </w:r>
      <w:r w:rsidRPr="00C5365F">
        <w:rPr>
          <w:rFonts w:asciiTheme="minorHAnsi" w:hAnsiTheme="minorHAnsi" w:cs="Arial"/>
          <w:color w:val="221E1F"/>
          <w:lang w:eastAsia="en-US"/>
        </w:rPr>
        <w:t xml:space="preserve">quality and the manufacturing process. Two issues deserve special consideration: </w:t>
      </w:r>
    </w:p>
    <w:p w:rsidR="004B5AE5" w:rsidRPr="00C5365F" w:rsidRDefault="004B5AE5" w:rsidP="004B5AE5">
      <w:pPr>
        <w:autoSpaceDE w:val="0"/>
        <w:autoSpaceDN w:val="0"/>
        <w:adjustRightInd w:val="0"/>
        <w:spacing w:after="0"/>
        <w:ind w:left="1418"/>
        <w:rPr>
          <w:rFonts w:asciiTheme="minorHAnsi" w:hAnsiTheme="minorHAnsi" w:cs="Arial"/>
          <w:color w:val="221E1F"/>
          <w:lang w:eastAsia="en-US"/>
        </w:rPr>
      </w:pPr>
    </w:p>
    <w:p w:rsidR="004B5AE5" w:rsidRPr="00B35E0C" w:rsidRDefault="004B5AE5" w:rsidP="004B5AE5">
      <w:pPr>
        <w:pStyle w:val="ListParagraph"/>
        <w:numPr>
          <w:ilvl w:val="0"/>
          <w:numId w:val="59"/>
        </w:numPr>
        <w:autoSpaceDE w:val="0"/>
        <w:autoSpaceDN w:val="0"/>
        <w:adjustRightInd w:val="0"/>
        <w:spacing w:after="0" w:line="276" w:lineRule="auto"/>
        <w:ind w:left="1701" w:hanging="284"/>
        <w:rPr>
          <w:rFonts w:asciiTheme="minorHAnsi" w:hAnsiTheme="minorHAnsi" w:cs="Arial"/>
          <w:color w:val="221E1F"/>
          <w:lang w:eastAsia="en-US"/>
        </w:rPr>
      </w:pPr>
      <w:r w:rsidRPr="00B35E0C">
        <w:rPr>
          <w:rFonts w:asciiTheme="minorHAnsi" w:hAnsiTheme="minorHAnsi" w:cs="Arial"/>
          <w:color w:val="221E1F"/>
          <w:lang w:eastAsia="en-US"/>
        </w:rPr>
        <w:t xml:space="preserve">Purity of product </w:t>
      </w:r>
    </w:p>
    <w:p w:rsidR="004B5AE5" w:rsidRPr="00B35E0C" w:rsidRDefault="004B5AE5" w:rsidP="004B5AE5">
      <w:pPr>
        <w:pStyle w:val="ListParagraph"/>
        <w:numPr>
          <w:ilvl w:val="0"/>
          <w:numId w:val="59"/>
        </w:numPr>
        <w:autoSpaceDE w:val="0"/>
        <w:autoSpaceDN w:val="0"/>
        <w:adjustRightInd w:val="0"/>
        <w:spacing w:after="0" w:line="276" w:lineRule="auto"/>
        <w:ind w:left="1701" w:hanging="284"/>
        <w:rPr>
          <w:rFonts w:asciiTheme="minorHAnsi" w:hAnsiTheme="minorHAnsi" w:cs="Arial"/>
          <w:color w:val="221E1F"/>
          <w:lang w:eastAsia="en-US"/>
        </w:rPr>
      </w:pPr>
      <w:r w:rsidRPr="00B35E0C">
        <w:rPr>
          <w:rFonts w:asciiTheme="minorHAnsi" w:hAnsiTheme="minorHAnsi" w:cs="Arial"/>
          <w:color w:val="221E1F"/>
          <w:lang w:eastAsia="en-US"/>
        </w:rPr>
        <w:t xml:space="preserve">Viral inactivation/elimination </w:t>
      </w:r>
    </w:p>
    <w:p w:rsidR="004B5AE5" w:rsidRDefault="004B5AE5" w:rsidP="00041ED2">
      <w:pPr>
        <w:pStyle w:val="Heading4"/>
        <w:rPr>
          <w:lang w:eastAsia="en-US"/>
        </w:rPr>
      </w:pPr>
      <w:r w:rsidRPr="00B35E0C">
        <w:rPr>
          <w:lang w:eastAsia="en-US"/>
        </w:rPr>
        <w:t xml:space="preserve">Purity </w:t>
      </w: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4.1.8</w:t>
      </w:r>
      <w:r>
        <w:rPr>
          <w:rFonts w:asciiTheme="minorHAnsi" w:hAnsiTheme="minorHAnsi" w:cs="Arial"/>
          <w:color w:val="221E1F"/>
          <w:lang w:eastAsia="en-US"/>
        </w:rPr>
        <w:tab/>
      </w:r>
      <w:r w:rsidRPr="00C5365F">
        <w:rPr>
          <w:rFonts w:asciiTheme="minorHAnsi" w:hAnsiTheme="minorHAnsi" w:cs="Arial"/>
          <w:color w:val="221E1F"/>
          <w:lang w:eastAsia="en-US"/>
        </w:rPr>
        <w:t xml:space="preserve">Purity of concentrates refers to the percentage of the desired ingredient (e.g. FVIII), relative to other ingredients present.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lastRenderedPageBreak/>
        <w:t>4.1.9</w:t>
      </w:r>
      <w:r>
        <w:rPr>
          <w:rFonts w:asciiTheme="minorHAnsi" w:hAnsiTheme="minorHAnsi" w:cs="Arial"/>
          <w:color w:val="221E1F"/>
          <w:lang w:eastAsia="en-US"/>
        </w:rPr>
        <w:tab/>
      </w:r>
      <w:r w:rsidRPr="00C5365F">
        <w:rPr>
          <w:rFonts w:asciiTheme="minorHAnsi" w:hAnsiTheme="minorHAnsi" w:cs="Arial"/>
          <w:color w:val="221E1F"/>
          <w:lang w:eastAsia="en-US"/>
        </w:rPr>
        <w:t xml:space="preserve">There is no universally agreed classification of products based on purity.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4.1.10</w:t>
      </w:r>
      <w:r>
        <w:rPr>
          <w:rFonts w:asciiTheme="minorHAnsi" w:hAnsiTheme="minorHAnsi" w:cs="Arial"/>
          <w:color w:val="221E1F"/>
          <w:lang w:eastAsia="en-US"/>
        </w:rPr>
        <w:tab/>
      </w:r>
      <w:r w:rsidRPr="00C5365F">
        <w:rPr>
          <w:rFonts w:asciiTheme="minorHAnsi" w:hAnsiTheme="minorHAnsi" w:cs="Arial"/>
          <w:color w:val="221E1F"/>
          <w:lang w:eastAsia="en-US"/>
        </w:rPr>
        <w:t xml:space="preserve">Concentrates on the market vary widely in their purity.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4.1.11</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Some</w:t>
      </w:r>
      <w:proofErr w:type="gramEnd"/>
      <w:r w:rsidRPr="00C5365F">
        <w:rPr>
          <w:rFonts w:asciiTheme="minorHAnsi" w:hAnsiTheme="minorHAnsi" w:cs="Arial"/>
          <w:color w:val="221E1F"/>
          <w:lang w:eastAsia="en-US"/>
        </w:rPr>
        <w:t xml:space="preserve"> products have high or very high purity at one stage of the production process but are subsequently st</w:t>
      </w:r>
      <w:r>
        <w:rPr>
          <w:rFonts w:asciiTheme="minorHAnsi" w:hAnsiTheme="minorHAnsi" w:cs="Arial"/>
          <w:color w:val="221E1F"/>
          <w:lang w:eastAsia="en-US"/>
        </w:rPr>
        <w:t>abilis</w:t>
      </w:r>
      <w:r w:rsidRPr="00C5365F">
        <w:rPr>
          <w:rFonts w:asciiTheme="minorHAnsi" w:hAnsiTheme="minorHAnsi" w:cs="Arial"/>
          <w:color w:val="221E1F"/>
          <w:lang w:eastAsia="en-US"/>
        </w:rPr>
        <w:t xml:space="preserve">ed by albumin, which lowers their final purity. Generally speaking, products with higher purity tend to be associated with low manufacturing yields. These concentrates are, therefore, costlier.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4.1.12</w:t>
      </w:r>
      <w:r>
        <w:rPr>
          <w:rFonts w:asciiTheme="minorHAnsi" w:hAnsiTheme="minorHAnsi" w:cs="Arial"/>
          <w:color w:val="221E1F"/>
          <w:lang w:eastAsia="en-US"/>
        </w:rPr>
        <w:tab/>
      </w:r>
      <w:r w:rsidRPr="00C5365F">
        <w:rPr>
          <w:rFonts w:asciiTheme="minorHAnsi" w:hAnsiTheme="minorHAnsi" w:cs="Arial"/>
          <w:color w:val="221E1F"/>
          <w:lang w:eastAsia="en-US"/>
        </w:rPr>
        <w:t>Concentrates of lower purity may give rise to allergic reactions</w:t>
      </w:r>
      <w:r>
        <w:rPr>
          <w:rFonts w:asciiTheme="minorHAnsi" w:hAnsiTheme="minorHAnsi" w:cs="Arial"/>
          <w:color w:val="221E1F"/>
          <w:lang w:eastAsia="en-US"/>
        </w:rPr>
        <w:t xml:space="preserve">. </w:t>
      </w:r>
      <w:r w:rsidRPr="00B35E0C">
        <w:rPr>
          <w:rFonts w:asciiTheme="minorHAnsi" w:hAnsiTheme="minorHAnsi" w:cs="Arial"/>
          <w:color w:val="221E1F"/>
          <w:vertAlign w:val="superscript"/>
          <w:lang w:eastAsia="en-US"/>
        </w:rPr>
        <w:t>[4</w:t>
      </w:r>
      <w:proofErr w:type="gramStart"/>
      <w:r w:rsidRPr="00B35E0C">
        <w:rPr>
          <w:rFonts w:asciiTheme="minorHAnsi" w:hAnsiTheme="minorHAnsi" w:cs="Arial"/>
          <w:color w:val="221E1F"/>
          <w:vertAlign w:val="superscript"/>
          <w:lang w:eastAsia="en-US"/>
        </w:rPr>
        <w:t>,5</w:t>
      </w:r>
      <w:proofErr w:type="gramEnd"/>
      <w:r w:rsidRPr="00B35E0C">
        <w:rPr>
          <w:rFonts w:asciiTheme="minorHAnsi" w:hAnsiTheme="minorHAnsi" w:cs="Arial"/>
          <w:color w:val="221E1F"/>
          <w:vertAlign w:val="superscript"/>
          <w:lang w:eastAsia="en-US"/>
        </w:rPr>
        <w:t>]</w:t>
      </w:r>
      <w:r w:rsidRPr="00C5365F">
        <w:rPr>
          <w:rFonts w:asciiTheme="minorHAnsi" w:hAnsiTheme="minorHAnsi" w:cs="Arial"/>
          <w:color w:val="221E1F"/>
          <w:lang w:eastAsia="en-US"/>
        </w:rPr>
        <w:t xml:space="preserve"> Patients who experience these repeatedly with a particular product may benefit from the administration of an antihista</w:t>
      </w:r>
      <w:r w:rsidRPr="00C5365F">
        <w:rPr>
          <w:rFonts w:asciiTheme="minorHAnsi" w:hAnsiTheme="minorHAnsi" w:cs="Arial"/>
          <w:color w:val="221E1F"/>
          <w:lang w:eastAsia="en-US"/>
        </w:rPr>
        <w:softHyphen/>
        <w:t xml:space="preserve">mine immediately prior to infusion or from use of a higher purity concentrate.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vertAlign w:val="superscript"/>
          <w:lang w:eastAsia="en-US"/>
        </w:rPr>
      </w:pPr>
      <w:r>
        <w:rPr>
          <w:rFonts w:asciiTheme="minorHAnsi" w:hAnsiTheme="minorHAnsi" w:cs="Arial"/>
          <w:color w:val="221E1F"/>
          <w:lang w:eastAsia="en-US"/>
        </w:rPr>
        <w:t>4.1.13</w:t>
      </w:r>
      <w:r>
        <w:rPr>
          <w:rFonts w:asciiTheme="minorHAnsi" w:hAnsiTheme="minorHAnsi" w:cs="Arial"/>
          <w:color w:val="221E1F"/>
          <w:lang w:eastAsia="en-US"/>
        </w:rPr>
        <w:tab/>
      </w:r>
      <w:r w:rsidRPr="00C5365F">
        <w:rPr>
          <w:rFonts w:asciiTheme="minorHAnsi" w:hAnsiTheme="minorHAnsi" w:cs="Arial"/>
          <w:color w:val="221E1F"/>
          <w:lang w:eastAsia="en-US"/>
        </w:rPr>
        <w:t>Plasma-derived FVIII concentrates may contain variable amounts of von Willebrand factor (VWF). It is therefore important to ascertain a product’s VWF content (as measured by ristocetin cofactor activity) if it is used for the treatment of VWD</w:t>
      </w:r>
      <w:r>
        <w:rPr>
          <w:rFonts w:asciiTheme="minorHAnsi" w:hAnsiTheme="minorHAnsi" w:cs="Arial"/>
          <w:color w:val="221E1F"/>
          <w:lang w:eastAsia="en-US"/>
        </w:rPr>
        <w:t xml:space="preserve">. </w:t>
      </w:r>
      <w:r w:rsidRPr="00B35E0C">
        <w:rPr>
          <w:rFonts w:asciiTheme="minorHAnsi" w:hAnsiTheme="minorHAnsi" w:cs="Arial"/>
          <w:color w:val="221E1F"/>
          <w:vertAlign w:val="superscript"/>
          <w:lang w:eastAsia="en-US"/>
        </w:rPr>
        <w:t>[6]</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b/>
          <w:bCs/>
          <w:color w:val="221E1F"/>
          <w:lang w:eastAsia="en-US"/>
        </w:rPr>
      </w:pPr>
      <w:r>
        <w:rPr>
          <w:rFonts w:asciiTheme="minorHAnsi" w:hAnsiTheme="minorHAnsi" w:cs="Arial"/>
          <w:color w:val="221E1F"/>
          <w:lang w:eastAsia="en-US"/>
        </w:rPr>
        <w:t>4.1.14</w:t>
      </w:r>
      <w:r>
        <w:rPr>
          <w:rFonts w:asciiTheme="minorHAnsi" w:hAnsiTheme="minorHAnsi" w:cs="Arial"/>
          <w:color w:val="221E1F"/>
          <w:lang w:eastAsia="en-US"/>
        </w:rPr>
        <w:tab/>
      </w:r>
      <w:proofErr w:type="gramStart"/>
      <w:r w:rsidRPr="00C5365F">
        <w:rPr>
          <w:rFonts w:asciiTheme="minorHAnsi" w:hAnsiTheme="minorHAnsi" w:cs="Arial"/>
          <w:b/>
          <w:bCs/>
          <w:color w:val="221E1F"/>
          <w:lang w:eastAsia="en-US"/>
        </w:rPr>
        <w:t>For</w:t>
      </w:r>
      <w:proofErr w:type="gramEnd"/>
      <w:r w:rsidRPr="00C5365F">
        <w:rPr>
          <w:rFonts w:asciiTheme="minorHAnsi" w:hAnsiTheme="minorHAnsi" w:cs="Arial"/>
          <w:b/>
          <w:bCs/>
          <w:color w:val="221E1F"/>
          <w:lang w:eastAsia="en-US"/>
        </w:rPr>
        <w:t xml:space="preserve"> treatment of FIX deficiency, a product containing only FIX is more appropriate than prothrombin complex concentrates, which also contain other clotting factors such as factors II, VII, and X, some of which may become acti</w:t>
      </w:r>
      <w:r w:rsidRPr="00C5365F">
        <w:rPr>
          <w:rFonts w:asciiTheme="minorHAnsi" w:hAnsiTheme="minorHAnsi" w:cs="Arial"/>
          <w:b/>
          <w:bCs/>
          <w:color w:val="221E1F"/>
          <w:lang w:eastAsia="en-US"/>
        </w:rPr>
        <w:softHyphen/>
        <w:t xml:space="preserve">vated during manufacture. Products containing activated clotting factors may predispose to thromboembolism. Recombinant FIX is available in Australia for the management of FIX deficiency and is the preferred product to be used in this patient population. Prothrombin complex concentrates should only be used in emergency situations where recombinant product is not available. </w:t>
      </w:r>
      <w:r w:rsidRPr="00B35E0C">
        <w:rPr>
          <w:rFonts w:asciiTheme="minorHAnsi" w:hAnsiTheme="minorHAnsi" w:cs="Arial"/>
          <w:b/>
          <w:bCs/>
          <w:color w:val="221E1F"/>
          <w:vertAlign w:val="superscript"/>
          <w:lang w:eastAsia="en-US"/>
        </w:rPr>
        <w:t>[7</w:t>
      </w:r>
      <w:proofErr w:type="gramStart"/>
      <w:r w:rsidRPr="00B35E0C">
        <w:rPr>
          <w:rFonts w:asciiTheme="minorHAnsi" w:hAnsiTheme="minorHAnsi" w:cs="Arial"/>
          <w:b/>
          <w:bCs/>
          <w:color w:val="221E1F"/>
          <w:vertAlign w:val="superscript"/>
          <w:lang w:eastAsia="en-US"/>
        </w:rPr>
        <w:t>,8</w:t>
      </w:r>
      <w:proofErr w:type="gramEnd"/>
      <w:r w:rsidRPr="00B35E0C">
        <w:rPr>
          <w:rFonts w:asciiTheme="minorHAnsi" w:hAnsiTheme="minorHAnsi" w:cs="Arial"/>
          <w:b/>
          <w:bCs/>
          <w:color w:val="221E1F"/>
          <w:vertAlign w:val="superscript"/>
          <w:lang w:eastAsia="en-US"/>
        </w:rPr>
        <w:t>]</w:t>
      </w:r>
      <w:r w:rsidRPr="00C5365F">
        <w:rPr>
          <w:rFonts w:asciiTheme="minorHAnsi" w:hAnsiTheme="minorHAnsi" w:cs="Arial"/>
          <w:b/>
          <w:bCs/>
          <w:color w:val="221E1F"/>
          <w:lang w:eastAsia="en-US"/>
        </w:rPr>
        <w:t xml:space="preserve">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4.1.15</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The</w:t>
      </w:r>
      <w:proofErr w:type="gramEnd"/>
      <w:r w:rsidRPr="00C5365F">
        <w:rPr>
          <w:rFonts w:asciiTheme="minorHAnsi" w:hAnsiTheme="minorHAnsi" w:cs="Arial"/>
          <w:color w:val="221E1F"/>
          <w:lang w:eastAsia="en-US"/>
        </w:rPr>
        <w:t xml:space="preserve"> viral safety of products is not related to purity, as long as adequate viral elimination measures are in place. </w:t>
      </w:r>
    </w:p>
    <w:p w:rsidR="004B5AE5" w:rsidRPr="00C5365F"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Heading4"/>
        <w:rPr>
          <w:lang w:eastAsia="en-US"/>
        </w:rPr>
      </w:pPr>
      <w:r w:rsidRPr="00B35E0C">
        <w:rPr>
          <w:lang w:eastAsia="en-US"/>
        </w:rPr>
        <w:t>Viral inactivation/elimination</w:t>
      </w:r>
    </w:p>
    <w:p w:rsidR="004B5AE5" w:rsidRDefault="004B5AE5" w:rsidP="00041ED2">
      <w:pPr>
        <w:autoSpaceDE w:val="0"/>
        <w:autoSpaceDN w:val="0"/>
        <w:adjustRightInd w:val="0"/>
        <w:spacing w:after="0"/>
        <w:ind w:left="1134" w:hanging="1134"/>
        <w:rPr>
          <w:rFonts w:asciiTheme="minorHAnsi" w:hAnsiTheme="minorHAnsi" w:cs="Arial"/>
          <w:color w:val="221E1F"/>
          <w:lang w:eastAsia="en-US"/>
        </w:rPr>
      </w:pPr>
      <w:r w:rsidRPr="00B35E0C">
        <w:rPr>
          <w:rFonts w:asciiTheme="minorHAnsi" w:hAnsiTheme="minorHAnsi" w:cs="Arial"/>
          <w:color w:val="221E1F"/>
          <w:lang w:eastAsia="en-US"/>
        </w:rPr>
        <w:t>4.1.16</w:t>
      </w:r>
      <w:r w:rsidR="00173B0C">
        <w:rPr>
          <w:rFonts w:asciiTheme="minorHAnsi" w:hAnsiTheme="minorHAnsi" w:cs="Arial"/>
          <w:b/>
          <w:color w:val="221E1F"/>
          <w:lang w:eastAsia="en-US"/>
        </w:rPr>
        <w:tab/>
      </w:r>
      <w:r w:rsidRPr="00C5365F">
        <w:rPr>
          <w:rFonts w:asciiTheme="minorHAnsi" w:hAnsiTheme="minorHAnsi" w:cs="Arial"/>
          <w:color w:val="221E1F"/>
          <w:lang w:eastAsia="en-US"/>
        </w:rPr>
        <w:t>In-process viral inactivation is the single largest contributor to the safety of plasma-derived concentrates</w:t>
      </w:r>
      <w:r>
        <w:rPr>
          <w:rFonts w:asciiTheme="minorHAnsi" w:hAnsiTheme="minorHAnsi" w:cs="Arial"/>
          <w:color w:val="221E1F"/>
          <w:lang w:eastAsia="en-US"/>
        </w:rPr>
        <w:t xml:space="preserve">. </w:t>
      </w:r>
      <w:r w:rsidRPr="00B35E0C">
        <w:rPr>
          <w:rFonts w:asciiTheme="minorHAnsi" w:hAnsiTheme="minorHAnsi" w:cs="Arial"/>
          <w:color w:val="221E1F"/>
          <w:vertAlign w:val="superscript"/>
          <w:lang w:eastAsia="en-US"/>
        </w:rPr>
        <w:t>[9]</w:t>
      </w:r>
      <w:r w:rsidRPr="00C5365F">
        <w:rPr>
          <w:rFonts w:asciiTheme="minorHAnsi" w:hAnsiTheme="minorHAnsi" w:cs="Arial"/>
          <w:color w:val="221E1F"/>
          <w:lang w:eastAsia="en-US"/>
        </w:rPr>
        <w:t xml:space="preserve"> </w:t>
      </w:r>
    </w:p>
    <w:p w:rsidR="004B5AE5" w:rsidRDefault="004B5AE5" w:rsidP="004B5AE5">
      <w:pPr>
        <w:autoSpaceDE w:val="0"/>
        <w:autoSpaceDN w:val="0"/>
        <w:adjustRightInd w:val="0"/>
        <w:spacing w:after="0"/>
        <w:ind w:left="1134" w:hanging="1021"/>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4.1.17</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There</w:t>
      </w:r>
      <w:proofErr w:type="gramEnd"/>
      <w:r w:rsidRPr="00C5365F">
        <w:rPr>
          <w:rFonts w:asciiTheme="minorHAnsi" w:hAnsiTheme="minorHAnsi" w:cs="Arial"/>
          <w:color w:val="221E1F"/>
          <w:lang w:eastAsia="en-US"/>
        </w:rPr>
        <w:t xml:space="preserve"> is a growing tendency to incorporate two specific viral-reducing steps in the manufacturing process of concentrates.</w:t>
      </w:r>
    </w:p>
    <w:p w:rsidR="004B5AE5" w:rsidRPr="00C5365F"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Pr="00C5365F" w:rsidRDefault="004B5AE5" w:rsidP="004B5AE5">
      <w:pPr>
        <w:pStyle w:val="ListParagraph"/>
        <w:numPr>
          <w:ilvl w:val="0"/>
          <w:numId w:val="54"/>
        </w:numPr>
        <w:autoSpaceDE w:val="0"/>
        <w:autoSpaceDN w:val="0"/>
        <w:adjustRightInd w:val="0"/>
        <w:spacing w:after="0" w:line="276" w:lineRule="auto"/>
        <w:ind w:left="1701" w:hanging="284"/>
        <w:rPr>
          <w:rFonts w:asciiTheme="minorHAnsi" w:hAnsiTheme="minorHAnsi" w:cs="Arial"/>
          <w:color w:val="221E1F"/>
          <w:lang w:eastAsia="en-US"/>
        </w:rPr>
      </w:pPr>
      <w:r w:rsidRPr="00C5365F">
        <w:rPr>
          <w:rFonts w:asciiTheme="minorHAnsi" w:hAnsiTheme="minorHAnsi" w:cs="Arial"/>
          <w:color w:val="221E1F"/>
          <w:lang w:eastAsia="en-US"/>
        </w:rPr>
        <w:t xml:space="preserve">Heat treatment is generally effective against a broad range of viruses, both with and without a lipid envelope, including HIV, HAV, HBV, and HCV. </w:t>
      </w:r>
    </w:p>
    <w:p w:rsidR="004B5AE5" w:rsidRDefault="004B5AE5" w:rsidP="004B5AE5">
      <w:pPr>
        <w:pStyle w:val="ListParagraph"/>
        <w:numPr>
          <w:ilvl w:val="0"/>
          <w:numId w:val="54"/>
        </w:numPr>
        <w:autoSpaceDE w:val="0"/>
        <w:autoSpaceDN w:val="0"/>
        <w:adjustRightInd w:val="0"/>
        <w:spacing w:after="0" w:line="276" w:lineRule="auto"/>
        <w:ind w:left="1701" w:hanging="284"/>
        <w:rPr>
          <w:rFonts w:asciiTheme="minorHAnsi" w:hAnsiTheme="minorHAnsi" w:cs="Arial"/>
          <w:color w:val="221E1F"/>
          <w:lang w:eastAsia="en-US"/>
        </w:rPr>
      </w:pPr>
      <w:r w:rsidRPr="00C5365F">
        <w:rPr>
          <w:rFonts w:asciiTheme="minorHAnsi" w:hAnsiTheme="minorHAnsi" w:cs="Arial"/>
          <w:color w:val="221E1F"/>
          <w:lang w:eastAsia="en-US"/>
        </w:rPr>
        <w:t xml:space="preserve">Solvent/detergent treatment is effective against HBV, HCV, and HIV but does not inactivate non-enveloped viruses such as HAV. </w:t>
      </w:r>
    </w:p>
    <w:p w:rsidR="004B5AE5" w:rsidRDefault="004B5AE5" w:rsidP="004B5AE5">
      <w:pPr>
        <w:pStyle w:val="ListParagraph"/>
        <w:autoSpaceDE w:val="0"/>
        <w:autoSpaceDN w:val="0"/>
        <w:adjustRightInd w:val="0"/>
        <w:spacing w:after="0"/>
        <w:ind w:left="1701"/>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4.1.18</w:t>
      </w:r>
      <w:r>
        <w:rPr>
          <w:rFonts w:asciiTheme="minorHAnsi" w:hAnsiTheme="minorHAnsi" w:cs="Arial"/>
          <w:color w:val="221E1F"/>
          <w:lang w:eastAsia="en-US"/>
        </w:rPr>
        <w:tab/>
      </w:r>
      <w:proofErr w:type="gramStart"/>
      <w:r w:rsidRPr="006F4FC9">
        <w:rPr>
          <w:rFonts w:asciiTheme="minorHAnsi" w:hAnsiTheme="minorHAnsi" w:cs="Arial"/>
          <w:color w:val="221E1F"/>
          <w:lang w:eastAsia="en-US"/>
        </w:rPr>
        <w:t>Some</w:t>
      </w:r>
      <w:proofErr w:type="gramEnd"/>
      <w:r w:rsidRPr="006F4FC9">
        <w:rPr>
          <w:rFonts w:asciiTheme="minorHAnsi" w:hAnsiTheme="minorHAnsi" w:cs="Arial"/>
          <w:color w:val="221E1F"/>
          <w:lang w:eastAsia="en-US"/>
        </w:rPr>
        <w:t xml:space="preserve"> viruses (such as human parvovirus B19) are relatively resistant to both types of process. None of the current methods can inactivate prions.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4.1.19</w:t>
      </w:r>
      <w:r>
        <w:rPr>
          <w:rFonts w:asciiTheme="minorHAnsi" w:hAnsiTheme="minorHAnsi" w:cs="Arial"/>
          <w:color w:val="221E1F"/>
          <w:lang w:eastAsia="en-US"/>
        </w:rPr>
        <w:tab/>
      </w:r>
      <w:r w:rsidRPr="00C5365F">
        <w:rPr>
          <w:rFonts w:asciiTheme="minorHAnsi" w:hAnsiTheme="minorHAnsi" w:cs="Arial"/>
          <w:color w:val="221E1F"/>
          <w:lang w:eastAsia="en-US"/>
        </w:rPr>
        <w:t>Nano (ultra) filtration can be used to remove small viruses such as parvovirus but filtration techniques currently in use do not eliminate</w:t>
      </w:r>
      <w:r>
        <w:rPr>
          <w:rFonts w:asciiTheme="minorHAnsi" w:hAnsiTheme="minorHAnsi" w:cs="Arial"/>
          <w:color w:val="221E1F"/>
          <w:lang w:eastAsia="en-US"/>
        </w:rPr>
        <w:t xml:space="preserve"> the risk of transmission. </w:t>
      </w:r>
      <w:r w:rsidRPr="006F4FC9">
        <w:rPr>
          <w:rFonts w:asciiTheme="minorHAnsi" w:hAnsiTheme="minorHAnsi" w:cs="Arial"/>
          <w:color w:val="221E1F"/>
          <w:vertAlign w:val="superscript"/>
          <w:lang w:eastAsia="en-US"/>
        </w:rPr>
        <w:t>[10]</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lastRenderedPageBreak/>
        <w:t>4.1.20</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A</w:t>
      </w:r>
      <w:proofErr w:type="gramEnd"/>
      <w:r w:rsidRPr="00C5365F">
        <w:rPr>
          <w:rFonts w:asciiTheme="minorHAnsi" w:hAnsiTheme="minorHAnsi" w:cs="Arial"/>
          <w:color w:val="221E1F"/>
          <w:lang w:eastAsia="en-US"/>
        </w:rPr>
        <w:t xml:space="preserve"> product created by a process that incorporates two viral redu</w:t>
      </w:r>
      <w:r>
        <w:rPr>
          <w:rFonts w:asciiTheme="minorHAnsi" w:hAnsiTheme="minorHAnsi" w:cs="Arial"/>
          <w:color w:val="221E1F"/>
          <w:lang w:eastAsia="en-US"/>
        </w:rPr>
        <w:t>ction steps should not automati</w:t>
      </w:r>
      <w:r w:rsidRPr="00C5365F">
        <w:rPr>
          <w:rFonts w:asciiTheme="minorHAnsi" w:hAnsiTheme="minorHAnsi" w:cs="Arial"/>
          <w:color w:val="221E1F"/>
          <w:lang w:eastAsia="en-US"/>
        </w:rPr>
        <w:t xml:space="preserve">cally be considered better than one that only has one specific viral inactivation step.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4.1.21</w:t>
      </w:r>
      <w:r>
        <w:rPr>
          <w:rFonts w:asciiTheme="minorHAnsi" w:hAnsiTheme="minorHAnsi" w:cs="Arial"/>
          <w:color w:val="221E1F"/>
          <w:lang w:eastAsia="en-US"/>
        </w:rPr>
        <w:tab/>
      </w:r>
      <w:r w:rsidRPr="00C5365F">
        <w:rPr>
          <w:rFonts w:asciiTheme="minorHAnsi" w:hAnsiTheme="minorHAnsi" w:cs="Arial"/>
          <w:color w:val="221E1F"/>
          <w:lang w:eastAsia="en-US"/>
        </w:rPr>
        <w:t>If only one step is used, this step should pref</w:t>
      </w:r>
      <w:r w:rsidRPr="00C5365F">
        <w:rPr>
          <w:rFonts w:asciiTheme="minorHAnsi" w:hAnsiTheme="minorHAnsi" w:cs="Arial"/>
          <w:color w:val="221E1F"/>
          <w:lang w:eastAsia="en-US"/>
        </w:rPr>
        <w:softHyphen/>
        <w:t xml:space="preserve">erably inactivate viruses with and without lipid envelopes.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Heading4"/>
        <w:rPr>
          <w:lang w:eastAsia="en-US"/>
        </w:rPr>
      </w:pPr>
      <w:r w:rsidRPr="00C5365F">
        <w:rPr>
          <w:lang w:eastAsia="en-US"/>
        </w:rPr>
        <w:t xml:space="preserve">FVIII concentrates </w:t>
      </w:r>
    </w:p>
    <w:p w:rsidR="004B5AE5" w:rsidRPr="00AD1113"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sidRPr="00AD1113">
        <w:rPr>
          <w:rFonts w:asciiTheme="minorHAnsi" w:hAnsiTheme="minorHAnsi" w:cs="Arial"/>
          <w:bCs/>
          <w:iCs/>
          <w:color w:val="221E1F"/>
          <w:lang w:eastAsia="en-US"/>
        </w:rPr>
        <w:t>4.1.22</w:t>
      </w:r>
      <w:r>
        <w:rPr>
          <w:rFonts w:asciiTheme="minorHAnsi" w:hAnsiTheme="minorHAnsi" w:cs="Arial"/>
          <w:bCs/>
          <w:iCs/>
          <w:color w:val="221E1F"/>
          <w:lang w:eastAsia="en-US"/>
        </w:rPr>
        <w:tab/>
      </w:r>
      <w:r w:rsidRPr="00E52A87">
        <w:rPr>
          <w:b/>
          <w:lang w:eastAsia="en-US"/>
        </w:rPr>
        <w:t>Recombinant FVIII concentrates are the treatment of choice for haemophilia A in the Australian setting.</w:t>
      </w:r>
      <w:r w:rsidRPr="00C5365F">
        <w:rPr>
          <w:lang w:eastAsia="en-US"/>
        </w:rPr>
        <w:t xml:space="preserve"> </w:t>
      </w:r>
    </w:p>
    <w:p w:rsidR="004B5AE5" w:rsidRDefault="004B5AE5" w:rsidP="004B5AE5">
      <w:pPr>
        <w:autoSpaceDE w:val="0"/>
        <w:autoSpaceDN w:val="0"/>
        <w:adjustRightInd w:val="0"/>
        <w:spacing w:after="0"/>
        <w:ind w:left="851"/>
        <w:rPr>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lang w:eastAsia="en-US"/>
        </w:rPr>
        <w:t>4.1.23</w:t>
      </w:r>
      <w:r>
        <w:rPr>
          <w:lang w:eastAsia="en-US"/>
        </w:rPr>
        <w:tab/>
      </w:r>
      <w:proofErr w:type="gramStart"/>
      <w:r w:rsidRPr="00C5365F">
        <w:rPr>
          <w:rFonts w:asciiTheme="minorHAnsi" w:hAnsiTheme="minorHAnsi" w:cs="Arial"/>
          <w:color w:val="221E1F"/>
          <w:lang w:eastAsia="en-US"/>
        </w:rPr>
        <w:t>All</w:t>
      </w:r>
      <w:proofErr w:type="gramEnd"/>
      <w:r w:rsidRPr="00C5365F">
        <w:rPr>
          <w:rFonts w:asciiTheme="minorHAnsi" w:hAnsiTheme="minorHAnsi" w:cs="Arial"/>
          <w:color w:val="221E1F"/>
          <w:lang w:eastAsia="en-US"/>
        </w:rPr>
        <w:t xml:space="preserve"> plasma-derived products currently in the market are listed in the WFH </w:t>
      </w:r>
      <w:r w:rsidRPr="00C5365F">
        <w:rPr>
          <w:rFonts w:asciiTheme="minorHAnsi" w:hAnsiTheme="minorHAnsi" w:cs="Arial"/>
          <w:i/>
          <w:iCs/>
          <w:color w:val="221E1F"/>
          <w:lang w:eastAsia="en-US"/>
        </w:rPr>
        <w:t>Registry of Clotting Factor Concentrates</w:t>
      </w:r>
      <w:r>
        <w:rPr>
          <w:rFonts w:asciiTheme="minorHAnsi" w:hAnsiTheme="minorHAnsi" w:cs="Arial"/>
          <w:i/>
          <w:iCs/>
          <w:color w:val="221E1F"/>
          <w:lang w:eastAsia="en-US"/>
        </w:rPr>
        <w:t>.</w:t>
      </w:r>
      <w:r w:rsidRPr="00C5365F">
        <w:rPr>
          <w:rFonts w:asciiTheme="minorHAnsi" w:hAnsiTheme="minorHAnsi" w:cs="Arial"/>
          <w:i/>
          <w:iCs/>
          <w:color w:val="221E1F"/>
          <w:lang w:eastAsia="en-US"/>
        </w:rPr>
        <w:t xml:space="preserve"> </w:t>
      </w:r>
      <w:r w:rsidRPr="005024F6">
        <w:rPr>
          <w:rFonts w:asciiTheme="minorHAnsi" w:hAnsiTheme="minorHAnsi" w:cs="Arial"/>
          <w:color w:val="221E1F"/>
          <w:vertAlign w:val="superscript"/>
          <w:lang w:eastAsia="en-US"/>
        </w:rPr>
        <w:t>[3]</w:t>
      </w:r>
      <w:r>
        <w:rPr>
          <w:rFonts w:asciiTheme="minorHAnsi" w:hAnsiTheme="minorHAnsi" w:cs="Arial"/>
          <w:color w:val="221E1F"/>
          <w:lang w:eastAsia="en-US"/>
        </w:rPr>
        <w:t xml:space="preserve"> </w:t>
      </w:r>
      <w:r w:rsidRPr="00C5365F">
        <w:rPr>
          <w:rFonts w:asciiTheme="minorHAnsi" w:hAnsiTheme="minorHAnsi" w:cs="Arial"/>
          <w:color w:val="221E1F"/>
          <w:lang w:eastAsia="en-US"/>
        </w:rPr>
        <w:t xml:space="preserve">Consult the product insert for specific details.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Pr="00E902E3" w:rsidRDefault="004B5AE5" w:rsidP="00041ED2">
      <w:pPr>
        <w:pStyle w:val="Heading4"/>
        <w:rPr>
          <w:lang w:eastAsia="en-US"/>
        </w:rPr>
      </w:pPr>
      <w:r w:rsidRPr="00E902E3">
        <w:rPr>
          <w:lang w:eastAsia="en-US"/>
        </w:rPr>
        <w:t xml:space="preserve">Dosage/administration </w:t>
      </w:r>
    </w:p>
    <w:p w:rsidR="004B5AE5" w:rsidRPr="00E902E3" w:rsidRDefault="004B5AE5" w:rsidP="00041ED2">
      <w:pPr>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color w:val="221E1F"/>
          <w:lang w:eastAsia="en-US"/>
        </w:rPr>
        <w:t>4.1.24</w:t>
      </w:r>
      <w:r w:rsidRPr="00E902E3">
        <w:rPr>
          <w:rFonts w:asciiTheme="minorHAnsi" w:hAnsiTheme="minorHAnsi" w:cs="Minion Pro"/>
          <w:color w:val="221E1F"/>
          <w:lang w:eastAsia="en-US"/>
        </w:rPr>
        <w:tab/>
        <w:t xml:space="preserve">Vials of factor concentrates are available in dosages ranging from approximately 250 to 3000 units each. </w:t>
      </w:r>
    </w:p>
    <w:p w:rsidR="004B5AE5" w:rsidRPr="00E902E3" w:rsidRDefault="004B5AE5" w:rsidP="004B5AE5">
      <w:pPr>
        <w:autoSpaceDE w:val="0"/>
        <w:autoSpaceDN w:val="0"/>
        <w:adjustRightInd w:val="0"/>
        <w:spacing w:after="0"/>
        <w:ind w:left="1418" w:hanging="1305"/>
        <w:rPr>
          <w:rFonts w:asciiTheme="minorHAnsi" w:hAnsiTheme="minorHAnsi" w:cs="Minion Pro"/>
          <w:color w:val="221E1F"/>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b/>
          <w:bCs/>
          <w:color w:val="221E1F"/>
          <w:lang w:eastAsia="en-US"/>
        </w:rPr>
      </w:pPr>
      <w:r>
        <w:rPr>
          <w:rFonts w:asciiTheme="minorHAnsi" w:hAnsiTheme="minorHAnsi" w:cs="Minion Pro"/>
          <w:bCs/>
          <w:color w:val="221E1F"/>
          <w:lang w:eastAsia="en-US"/>
        </w:rPr>
        <w:t>4.1.25</w:t>
      </w:r>
      <w:r w:rsidRPr="00E902E3">
        <w:rPr>
          <w:rFonts w:asciiTheme="minorHAnsi" w:hAnsiTheme="minorHAnsi" w:cs="Minion Pro"/>
          <w:b/>
          <w:bCs/>
          <w:color w:val="221E1F"/>
          <w:lang w:eastAsia="en-US"/>
        </w:rPr>
        <w:tab/>
      </w:r>
      <w:proofErr w:type="gramStart"/>
      <w:r w:rsidRPr="00E902E3">
        <w:rPr>
          <w:rFonts w:asciiTheme="minorHAnsi" w:hAnsiTheme="minorHAnsi" w:cs="Minion Pro"/>
          <w:b/>
          <w:bCs/>
          <w:color w:val="221E1F"/>
          <w:lang w:eastAsia="en-US"/>
        </w:rPr>
        <w:t>In</w:t>
      </w:r>
      <w:proofErr w:type="gramEnd"/>
      <w:r w:rsidRPr="00E902E3">
        <w:rPr>
          <w:rFonts w:asciiTheme="minorHAnsi" w:hAnsiTheme="minorHAnsi" w:cs="Minion Pro"/>
          <w:b/>
          <w:bCs/>
          <w:color w:val="221E1F"/>
          <w:lang w:eastAsia="en-US"/>
        </w:rPr>
        <w:t xml:space="preserve"> the absence of an inhibitor, each unit of FVIII per kilogram of body weight infused intravenously will raise the plasma FVIII level approximately 2 IU/dl.  </w:t>
      </w:r>
      <w:r w:rsidRPr="00E902E3">
        <w:rPr>
          <w:rFonts w:asciiTheme="minorHAnsi" w:hAnsiTheme="minorHAnsi" w:cs="Minion Pro"/>
          <w:b/>
          <w:bCs/>
          <w:color w:val="221E1F"/>
          <w:vertAlign w:val="superscript"/>
          <w:lang w:eastAsia="en-US"/>
        </w:rPr>
        <w:t>[11]</w:t>
      </w:r>
      <w:r w:rsidRPr="00E902E3">
        <w:rPr>
          <w:rFonts w:asciiTheme="minorHAnsi" w:hAnsiTheme="minorHAnsi" w:cs="Minion Pro"/>
          <w:b/>
          <w:bCs/>
          <w:color w:val="221E1F"/>
          <w:lang w:eastAsia="en-US"/>
        </w:rPr>
        <w:t xml:space="preserve"> </w:t>
      </w:r>
    </w:p>
    <w:p w:rsidR="004B5AE5" w:rsidRPr="00E902E3" w:rsidRDefault="004B5AE5" w:rsidP="004B5AE5">
      <w:pPr>
        <w:autoSpaceDE w:val="0"/>
        <w:autoSpaceDN w:val="0"/>
        <w:adjustRightInd w:val="0"/>
        <w:spacing w:after="0"/>
        <w:ind w:left="1418" w:hanging="1305"/>
        <w:rPr>
          <w:rFonts w:asciiTheme="minorHAnsi" w:hAnsiTheme="minorHAnsi" w:cs="Minion Pro"/>
          <w:b/>
          <w:bCs/>
          <w:color w:val="221E1F"/>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bCs/>
          <w:color w:val="221E1F"/>
          <w:lang w:eastAsia="en-US"/>
        </w:rPr>
        <w:t>4.1.26</w:t>
      </w:r>
      <w:r w:rsidRPr="00E902E3">
        <w:rPr>
          <w:rFonts w:asciiTheme="minorHAnsi" w:hAnsiTheme="minorHAnsi" w:cs="Minion Pro"/>
          <w:bCs/>
          <w:color w:val="221E1F"/>
          <w:lang w:eastAsia="en-US"/>
        </w:rPr>
        <w:tab/>
      </w:r>
      <w:proofErr w:type="gramStart"/>
      <w:r w:rsidRPr="00E902E3">
        <w:rPr>
          <w:rFonts w:asciiTheme="minorHAnsi" w:hAnsiTheme="minorHAnsi" w:cs="Minion Pro"/>
          <w:color w:val="221E1F"/>
          <w:lang w:eastAsia="en-US"/>
        </w:rPr>
        <w:t>The</w:t>
      </w:r>
      <w:proofErr w:type="gramEnd"/>
      <w:r w:rsidRPr="00E902E3">
        <w:rPr>
          <w:rFonts w:asciiTheme="minorHAnsi" w:hAnsiTheme="minorHAnsi" w:cs="Minion Pro"/>
          <w:color w:val="221E1F"/>
          <w:lang w:eastAsia="en-US"/>
        </w:rPr>
        <w:t xml:space="preserve"> half-life of FVIII is approximately 8-12 hours.</w:t>
      </w:r>
    </w:p>
    <w:p w:rsidR="004B5AE5" w:rsidRPr="00E902E3" w:rsidRDefault="004B5AE5" w:rsidP="004B5AE5">
      <w:pPr>
        <w:autoSpaceDE w:val="0"/>
        <w:autoSpaceDN w:val="0"/>
        <w:adjustRightInd w:val="0"/>
        <w:spacing w:after="0"/>
        <w:ind w:left="1418" w:hanging="1305"/>
        <w:rPr>
          <w:rFonts w:asciiTheme="minorHAnsi" w:hAnsiTheme="minorHAnsi" w:cs="Minion Pro"/>
          <w:b/>
          <w:bCs/>
          <w:color w:val="221E1F"/>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b/>
          <w:bCs/>
          <w:color w:val="221E1F"/>
          <w:vertAlign w:val="superscript"/>
          <w:lang w:eastAsia="en-US"/>
        </w:rPr>
      </w:pPr>
      <w:r>
        <w:rPr>
          <w:rFonts w:asciiTheme="minorHAnsi" w:hAnsiTheme="minorHAnsi" w:cs="Minion Pro"/>
          <w:bCs/>
          <w:color w:val="221E1F"/>
          <w:lang w:eastAsia="en-US"/>
        </w:rPr>
        <w:t>4.1.27</w:t>
      </w:r>
      <w:r w:rsidRPr="00E902E3">
        <w:rPr>
          <w:rFonts w:asciiTheme="minorHAnsi" w:hAnsiTheme="minorHAnsi" w:cs="Minion Pro"/>
          <w:b/>
          <w:bCs/>
          <w:color w:val="221E1F"/>
          <w:lang w:eastAsia="en-US"/>
        </w:rPr>
        <w:tab/>
      </w:r>
      <w:r>
        <w:rPr>
          <w:rFonts w:asciiTheme="minorHAnsi" w:hAnsiTheme="minorHAnsi" w:cs="Minion Pro"/>
          <w:b/>
          <w:bCs/>
          <w:color w:val="221E1F"/>
          <w:lang w:eastAsia="en-US"/>
        </w:rPr>
        <w:t>Where clinically indicated t</w:t>
      </w:r>
      <w:r w:rsidRPr="00E902E3">
        <w:rPr>
          <w:rFonts w:asciiTheme="minorHAnsi" w:hAnsiTheme="minorHAnsi" w:cs="Minion Pro"/>
          <w:b/>
          <w:bCs/>
          <w:color w:val="221E1F"/>
          <w:lang w:eastAsia="en-US"/>
        </w:rPr>
        <w:t xml:space="preserve">he patient’s factor level should be measured </w:t>
      </w:r>
      <w:r>
        <w:rPr>
          <w:rFonts w:asciiTheme="minorHAnsi" w:hAnsiTheme="minorHAnsi" w:cs="Minion Pro"/>
          <w:b/>
          <w:bCs/>
          <w:color w:val="221E1F"/>
          <w:lang w:eastAsia="en-US"/>
        </w:rPr>
        <w:t xml:space="preserve">approximately </w:t>
      </w:r>
      <w:r w:rsidRPr="00E902E3">
        <w:rPr>
          <w:rFonts w:asciiTheme="minorHAnsi" w:hAnsiTheme="minorHAnsi" w:cs="Minion Pro"/>
          <w:b/>
          <w:bCs/>
          <w:color w:val="221E1F"/>
          <w:lang w:eastAsia="en-US"/>
        </w:rPr>
        <w:t>15 minutes after the infusion to ve</w:t>
      </w:r>
      <w:r>
        <w:rPr>
          <w:rFonts w:asciiTheme="minorHAnsi" w:hAnsiTheme="minorHAnsi" w:cs="Minion Pro"/>
          <w:b/>
          <w:bCs/>
          <w:color w:val="221E1F"/>
          <w:lang w:eastAsia="en-US"/>
        </w:rPr>
        <w:t>rify the calcu</w:t>
      </w:r>
      <w:r w:rsidRPr="00E902E3">
        <w:rPr>
          <w:rFonts w:asciiTheme="minorHAnsi" w:hAnsiTheme="minorHAnsi" w:cs="Minion Pro"/>
          <w:b/>
          <w:bCs/>
          <w:color w:val="221E1F"/>
          <w:lang w:eastAsia="en-US"/>
        </w:rPr>
        <w:t xml:space="preserve">lated dose.  </w:t>
      </w:r>
      <w:r w:rsidRPr="00E902E3">
        <w:rPr>
          <w:rFonts w:asciiTheme="minorHAnsi" w:hAnsiTheme="minorHAnsi" w:cs="Minion Pro"/>
          <w:b/>
          <w:bCs/>
          <w:color w:val="221E1F"/>
          <w:vertAlign w:val="superscript"/>
          <w:lang w:eastAsia="en-US"/>
        </w:rPr>
        <w:t>[11]</w:t>
      </w:r>
    </w:p>
    <w:p w:rsidR="004B5AE5" w:rsidRPr="00E902E3" w:rsidRDefault="004B5AE5" w:rsidP="004B5AE5">
      <w:pPr>
        <w:autoSpaceDE w:val="0"/>
        <w:autoSpaceDN w:val="0"/>
        <w:adjustRightInd w:val="0"/>
        <w:spacing w:after="0"/>
        <w:ind w:left="1418" w:hanging="1305"/>
        <w:rPr>
          <w:rFonts w:asciiTheme="minorHAnsi" w:hAnsiTheme="minorHAnsi" w:cs="Minion Pro"/>
          <w:b/>
          <w:bCs/>
          <w:color w:val="221E1F"/>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b/>
          <w:bCs/>
          <w:color w:val="221E1F"/>
          <w:lang w:eastAsia="en-US"/>
        </w:rPr>
      </w:pPr>
      <w:r>
        <w:rPr>
          <w:rFonts w:asciiTheme="minorHAnsi" w:hAnsiTheme="minorHAnsi" w:cs="Minion Pro"/>
          <w:bCs/>
          <w:color w:val="221E1F"/>
          <w:lang w:eastAsia="en-US"/>
        </w:rPr>
        <w:t>4.1.28</w:t>
      </w:r>
      <w:r w:rsidRPr="00E902E3">
        <w:rPr>
          <w:rFonts w:asciiTheme="minorHAnsi" w:hAnsiTheme="minorHAnsi" w:cs="Minion Pro"/>
          <w:b/>
          <w:bCs/>
          <w:color w:val="221E1F"/>
          <w:lang w:eastAsia="en-US"/>
        </w:rPr>
        <w:tab/>
      </w:r>
      <w:proofErr w:type="gramStart"/>
      <w:r w:rsidRPr="00E902E3">
        <w:rPr>
          <w:rFonts w:asciiTheme="minorHAnsi" w:hAnsiTheme="minorHAnsi" w:cs="Minion Pro"/>
          <w:color w:val="221E1F"/>
          <w:lang w:eastAsia="en-US"/>
        </w:rPr>
        <w:t>The</w:t>
      </w:r>
      <w:proofErr w:type="gramEnd"/>
      <w:r w:rsidRPr="00E902E3">
        <w:rPr>
          <w:rFonts w:asciiTheme="minorHAnsi" w:hAnsiTheme="minorHAnsi" w:cs="Minion Pro"/>
          <w:color w:val="221E1F"/>
          <w:lang w:eastAsia="en-US"/>
        </w:rPr>
        <w:t xml:space="preserve"> dose is calculated by multiplying the patient’s weight in kilograms by the factor level in IU/dl desired, multiplied by 0.5. </w:t>
      </w:r>
    </w:p>
    <w:p w:rsidR="004B5AE5" w:rsidRPr="00E902E3" w:rsidRDefault="004B5AE5" w:rsidP="004B5AE5">
      <w:pPr>
        <w:autoSpaceDE w:val="0"/>
        <w:autoSpaceDN w:val="0"/>
        <w:adjustRightInd w:val="0"/>
        <w:spacing w:before="140" w:after="0"/>
        <w:ind w:left="1418"/>
        <w:jc w:val="both"/>
        <w:rPr>
          <w:rFonts w:asciiTheme="minorHAnsi" w:hAnsiTheme="minorHAnsi" w:cs="Minion Pro"/>
          <w:i/>
          <w:iCs/>
          <w:color w:val="221E1F"/>
          <w:lang w:eastAsia="en-US"/>
        </w:rPr>
      </w:pPr>
      <w:r w:rsidRPr="00E902E3">
        <w:rPr>
          <w:rFonts w:asciiTheme="minorHAnsi" w:hAnsiTheme="minorHAnsi" w:cs="Minion Pro"/>
          <w:b/>
          <w:bCs/>
          <w:i/>
          <w:iCs/>
          <w:color w:val="221E1F"/>
          <w:lang w:eastAsia="en-US"/>
        </w:rPr>
        <w:t xml:space="preserve">Example: </w:t>
      </w:r>
      <w:r w:rsidRPr="00E902E3">
        <w:rPr>
          <w:rFonts w:asciiTheme="minorHAnsi" w:hAnsiTheme="minorHAnsi" w:cs="Minion Pro"/>
          <w:i/>
          <w:iCs/>
          <w:color w:val="221E1F"/>
          <w:lang w:eastAsia="en-US"/>
        </w:rPr>
        <w:t>50 kg × 40 (IU/dl level desired) × 0.5 = 1,000 units of FV</w:t>
      </w:r>
      <w:r w:rsidR="00173B0C">
        <w:rPr>
          <w:rFonts w:asciiTheme="minorHAnsi" w:hAnsiTheme="minorHAnsi" w:cs="Minion Pro"/>
          <w:i/>
          <w:iCs/>
          <w:color w:val="221E1F"/>
          <w:lang w:eastAsia="en-US"/>
        </w:rPr>
        <w:t>III. Refer to Table 7-1</w:t>
      </w:r>
      <w:r w:rsidRPr="00E902E3">
        <w:rPr>
          <w:rFonts w:asciiTheme="minorHAnsi" w:hAnsiTheme="minorHAnsi" w:cs="Minion Pro"/>
          <w:i/>
          <w:iCs/>
          <w:color w:val="221E1F"/>
          <w:lang w:eastAsia="en-US"/>
        </w:rPr>
        <w:t xml:space="preserve"> for suggested factor level and duration of replace</w:t>
      </w:r>
      <w:r w:rsidRPr="00E902E3">
        <w:rPr>
          <w:rFonts w:asciiTheme="minorHAnsi" w:hAnsiTheme="minorHAnsi" w:cs="Minion Pro"/>
          <w:i/>
          <w:iCs/>
          <w:color w:val="221E1F"/>
          <w:lang w:eastAsia="en-US"/>
        </w:rPr>
        <w:softHyphen/>
        <w:t>ment required based on type of haemorrhage.</w:t>
      </w:r>
    </w:p>
    <w:p w:rsidR="004B5AE5" w:rsidRPr="00C35702" w:rsidRDefault="004B5AE5" w:rsidP="00041ED2">
      <w:pPr>
        <w:autoSpaceDE w:val="0"/>
        <w:autoSpaceDN w:val="0"/>
        <w:adjustRightInd w:val="0"/>
        <w:spacing w:before="140" w:after="0"/>
        <w:ind w:left="1418" w:hanging="1418"/>
        <w:jc w:val="both"/>
        <w:rPr>
          <w:rFonts w:asciiTheme="minorHAnsi" w:hAnsiTheme="minorHAnsi" w:cs="Minion Pro"/>
          <w:b/>
          <w:bCs/>
          <w:color w:val="221E1F"/>
          <w:sz w:val="23"/>
          <w:szCs w:val="23"/>
          <w:vertAlign w:val="superscript"/>
          <w:lang w:eastAsia="en-US"/>
        </w:rPr>
      </w:pPr>
      <w:r>
        <w:rPr>
          <w:rFonts w:asciiTheme="minorHAnsi" w:hAnsiTheme="minorHAnsi" w:cs="Minion Pro"/>
          <w:iCs/>
          <w:color w:val="221E1F"/>
          <w:lang w:eastAsia="en-US"/>
        </w:rPr>
        <w:t>4.1.29</w:t>
      </w:r>
      <w:r w:rsidRPr="00C35702">
        <w:rPr>
          <w:rFonts w:asciiTheme="minorHAnsi" w:hAnsiTheme="minorHAnsi" w:cs="Minion Pro"/>
          <w:iCs/>
          <w:color w:val="221E1F"/>
          <w:sz w:val="23"/>
          <w:szCs w:val="23"/>
          <w:lang w:eastAsia="en-US"/>
        </w:rPr>
        <w:tab/>
      </w:r>
      <w:r w:rsidRPr="00C5365F">
        <w:rPr>
          <w:rFonts w:asciiTheme="minorHAnsi" w:hAnsiTheme="minorHAnsi" w:cs="Minion Pro"/>
          <w:b/>
          <w:bCs/>
          <w:color w:val="221E1F"/>
          <w:sz w:val="23"/>
          <w:szCs w:val="23"/>
          <w:lang w:eastAsia="en-US"/>
        </w:rPr>
        <w:t xml:space="preserve">FVIII should be infused by slow IV injection at a rate not to exceed 3 ml per minute in adults or as specified in the product information leaflet.  </w:t>
      </w:r>
      <w:r w:rsidRPr="00C35702">
        <w:rPr>
          <w:rFonts w:asciiTheme="minorHAnsi" w:hAnsiTheme="minorHAnsi" w:cs="Minion Pro"/>
          <w:b/>
          <w:bCs/>
          <w:color w:val="221E1F"/>
          <w:sz w:val="23"/>
          <w:szCs w:val="23"/>
          <w:vertAlign w:val="superscript"/>
          <w:lang w:eastAsia="en-US"/>
        </w:rPr>
        <w:t>[12]</w:t>
      </w:r>
    </w:p>
    <w:p w:rsidR="004B5AE5" w:rsidRDefault="004B5AE5" w:rsidP="004B5AE5">
      <w:pPr>
        <w:autoSpaceDE w:val="0"/>
        <w:autoSpaceDN w:val="0"/>
        <w:adjustRightInd w:val="0"/>
        <w:spacing w:after="0"/>
        <w:ind w:left="851"/>
        <w:rPr>
          <w:rFonts w:asciiTheme="minorHAnsi" w:hAnsiTheme="minorHAnsi" w:cs="Minion Pro"/>
          <w:color w:val="221E1F"/>
          <w:sz w:val="23"/>
          <w:szCs w:val="23"/>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color w:val="221E1F"/>
          <w:lang w:eastAsia="en-US"/>
        </w:rPr>
        <w:t>4.1.30</w:t>
      </w:r>
      <w:r w:rsidRPr="00E902E3">
        <w:rPr>
          <w:rFonts w:asciiTheme="minorHAnsi" w:hAnsiTheme="minorHAnsi" w:cs="Minion Pro"/>
          <w:color w:val="221E1F"/>
          <w:lang w:eastAsia="en-US"/>
        </w:rPr>
        <w:tab/>
        <w:t>Subsequent doses should ideally be based on the half-life of FVIII</w:t>
      </w:r>
      <w:r>
        <w:rPr>
          <w:rFonts w:asciiTheme="minorHAnsi" w:hAnsiTheme="minorHAnsi" w:cs="Minion Pro"/>
          <w:color w:val="221E1F"/>
          <w:lang w:eastAsia="en-US"/>
        </w:rPr>
        <w:t xml:space="preserve"> and on the recovery in an indi</w:t>
      </w:r>
      <w:r w:rsidRPr="00E902E3">
        <w:rPr>
          <w:rFonts w:asciiTheme="minorHAnsi" w:hAnsiTheme="minorHAnsi" w:cs="Minion Pro"/>
          <w:color w:val="221E1F"/>
          <w:lang w:eastAsia="en-US"/>
        </w:rPr>
        <w:t>vidual patient for a particular product.</w:t>
      </w:r>
    </w:p>
    <w:p w:rsidR="004B5AE5" w:rsidRPr="00E902E3" w:rsidRDefault="004B5AE5" w:rsidP="004B5AE5">
      <w:pPr>
        <w:autoSpaceDE w:val="0"/>
        <w:autoSpaceDN w:val="0"/>
        <w:adjustRightInd w:val="0"/>
        <w:spacing w:after="0"/>
        <w:ind w:left="1418" w:hanging="1305"/>
        <w:rPr>
          <w:rFonts w:asciiTheme="minorHAnsi" w:hAnsiTheme="minorHAnsi" w:cs="Minion Pro"/>
          <w:color w:val="221E1F"/>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color w:val="221E1F"/>
          <w:lang w:eastAsia="en-US"/>
        </w:rPr>
        <w:t>4.1.31</w:t>
      </w:r>
      <w:r w:rsidRPr="00E902E3">
        <w:rPr>
          <w:rFonts w:asciiTheme="minorHAnsi" w:hAnsiTheme="minorHAnsi" w:cs="Minion Pro"/>
          <w:color w:val="221E1F"/>
          <w:lang w:eastAsia="en-US"/>
        </w:rPr>
        <w:tab/>
      </w:r>
      <w:proofErr w:type="gramStart"/>
      <w:r w:rsidRPr="00E902E3">
        <w:rPr>
          <w:rFonts w:asciiTheme="minorHAnsi" w:hAnsiTheme="minorHAnsi" w:cs="Minion Pro"/>
          <w:color w:val="221E1F"/>
          <w:lang w:eastAsia="en-US"/>
        </w:rPr>
        <w:t>It</w:t>
      </w:r>
      <w:proofErr w:type="gramEnd"/>
      <w:r w:rsidRPr="00E902E3">
        <w:rPr>
          <w:rFonts w:asciiTheme="minorHAnsi" w:hAnsiTheme="minorHAnsi" w:cs="Minion Pro"/>
          <w:color w:val="221E1F"/>
          <w:lang w:eastAsia="en-US"/>
        </w:rPr>
        <w:t xml:space="preserve"> is best to use the entire vial of FVIII once recon</w:t>
      </w:r>
      <w:r w:rsidRPr="00E902E3">
        <w:rPr>
          <w:rFonts w:asciiTheme="minorHAnsi" w:hAnsiTheme="minorHAnsi" w:cs="Minion Pro"/>
          <w:color w:val="221E1F"/>
          <w:lang w:eastAsia="en-US"/>
        </w:rPr>
        <w:softHyphen/>
        <w:t>stituted</w:t>
      </w:r>
      <w:r>
        <w:rPr>
          <w:rFonts w:asciiTheme="minorHAnsi" w:hAnsiTheme="minorHAnsi" w:cs="Minion Pro"/>
          <w:color w:val="221E1F"/>
          <w:lang w:eastAsia="en-US"/>
        </w:rPr>
        <w:t xml:space="preserve"> by rounding up the dose to the nearest vial size</w:t>
      </w:r>
      <w:r w:rsidRPr="00E902E3">
        <w:rPr>
          <w:rFonts w:asciiTheme="minorHAnsi" w:hAnsiTheme="minorHAnsi" w:cs="Minion Pro"/>
          <w:color w:val="221E1F"/>
          <w:lang w:eastAsia="en-US"/>
        </w:rPr>
        <w:t xml:space="preserve">, though many products have been shown to have extended stability after reconstitution. </w:t>
      </w:r>
    </w:p>
    <w:p w:rsidR="004B5AE5" w:rsidRPr="00E902E3" w:rsidRDefault="004B5AE5" w:rsidP="004B5AE5">
      <w:pPr>
        <w:autoSpaceDE w:val="0"/>
        <w:autoSpaceDN w:val="0"/>
        <w:adjustRightInd w:val="0"/>
        <w:spacing w:after="0"/>
        <w:ind w:left="1418" w:hanging="1305"/>
        <w:rPr>
          <w:rFonts w:asciiTheme="minorHAnsi" w:hAnsiTheme="minorHAnsi" w:cs="Minion Pro"/>
          <w:color w:val="221E1F"/>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b/>
          <w:bCs/>
          <w:color w:val="221E1F"/>
          <w:lang w:eastAsia="en-US"/>
        </w:rPr>
      </w:pPr>
      <w:r>
        <w:rPr>
          <w:rFonts w:asciiTheme="minorHAnsi" w:hAnsiTheme="minorHAnsi" w:cs="Minion Pro"/>
          <w:color w:val="221E1F"/>
          <w:lang w:eastAsia="en-US"/>
        </w:rPr>
        <w:t>4.1.32</w:t>
      </w:r>
      <w:r w:rsidRPr="00E902E3">
        <w:rPr>
          <w:rFonts w:asciiTheme="minorHAnsi" w:hAnsiTheme="minorHAnsi" w:cs="Minion Pro"/>
          <w:color w:val="221E1F"/>
          <w:lang w:eastAsia="en-US"/>
        </w:rPr>
        <w:tab/>
      </w:r>
      <w:r w:rsidRPr="00E902E3">
        <w:rPr>
          <w:rFonts w:asciiTheme="minorHAnsi" w:hAnsiTheme="minorHAnsi" w:cs="Minion Pro"/>
          <w:b/>
          <w:bCs/>
          <w:color w:val="221E1F"/>
          <w:lang w:eastAsia="en-US"/>
        </w:rPr>
        <w:t xml:space="preserve">Continuous infusion avoids peaks and troughs and is considered by some to be advantageous and more convenient. However, patients must be monitored frequently for pump failure.  </w:t>
      </w:r>
      <w:r w:rsidRPr="00E902E3">
        <w:rPr>
          <w:rFonts w:asciiTheme="minorHAnsi" w:hAnsiTheme="minorHAnsi" w:cs="Minion Pro"/>
          <w:b/>
          <w:bCs/>
          <w:color w:val="221E1F"/>
          <w:vertAlign w:val="superscript"/>
          <w:lang w:eastAsia="en-US"/>
        </w:rPr>
        <w:t>[13</w:t>
      </w:r>
      <w:proofErr w:type="gramStart"/>
      <w:r w:rsidRPr="00E902E3">
        <w:rPr>
          <w:rFonts w:asciiTheme="minorHAnsi" w:hAnsiTheme="minorHAnsi" w:cs="Minion Pro"/>
          <w:b/>
          <w:bCs/>
          <w:color w:val="221E1F"/>
          <w:vertAlign w:val="superscript"/>
          <w:lang w:eastAsia="en-US"/>
        </w:rPr>
        <w:t>,14</w:t>
      </w:r>
      <w:proofErr w:type="gramEnd"/>
      <w:r w:rsidRPr="00E902E3">
        <w:rPr>
          <w:rFonts w:asciiTheme="minorHAnsi" w:hAnsiTheme="minorHAnsi" w:cs="Minion Pro"/>
          <w:b/>
          <w:bCs/>
          <w:color w:val="221E1F"/>
          <w:vertAlign w:val="superscript"/>
          <w:lang w:eastAsia="en-US"/>
        </w:rPr>
        <w:t>]</w:t>
      </w:r>
      <w:r w:rsidRPr="00E902E3">
        <w:rPr>
          <w:rFonts w:asciiTheme="minorHAnsi" w:hAnsiTheme="minorHAnsi" w:cs="Minion Pro"/>
          <w:b/>
          <w:bCs/>
          <w:color w:val="221E1F"/>
          <w:lang w:eastAsia="en-US"/>
        </w:rPr>
        <w:t xml:space="preserve"> </w:t>
      </w:r>
    </w:p>
    <w:p w:rsidR="004B5AE5" w:rsidRPr="00E902E3" w:rsidRDefault="004B5AE5" w:rsidP="004B5AE5">
      <w:pPr>
        <w:autoSpaceDE w:val="0"/>
        <w:autoSpaceDN w:val="0"/>
        <w:adjustRightInd w:val="0"/>
        <w:spacing w:after="0"/>
        <w:ind w:left="1418" w:hanging="1305"/>
        <w:rPr>
          <w:rFonts w:asciiTheme="minorHAnsi" w:hAnsiTheme="minorHAnsi" w:cs="Minion Pro"/>
          <w:color w:val="221E1F"/>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color w:val="221E1F"/>
          <w:lang w:eastAsia="en-US"/>
        </w:rPr>
        <w:t>4.1.33</w:t>
      </w:r>
      <w:r w:rsidRPr="00E902E3">
        <w:rPr>
          <w:rFonts w:asciiTheme="minorHAnsi" w:hAnsiTheme="minorHAnsi" w:cs="Minion Pro"/>
          <w:color w:val="221E1F"/>
          <w:lang w:eastAsia="en-US"/>
        </w:rPr>
        <w:tab/>
        <w:t xml:space="preserve">Continuous infusion may lead to a reduction in the total quantity of clotting factor concentrates used and can be more cost-effective in patients with severe haemophilia. </w:t>
      </w:r>
      <w:r w:rsidRPr="00E902E3">
        <w:rPr>
          <w:rFonts w:asciiTheme="minorHAnsi" w:hAnsiTheme="minorHAnsi" w:cs="Minion Pro"/>
          <w:color w:val="221E1F"/>
          <w:vertAlign w:val="superscript"/>
          <w:lang w:eastAsia="en-US"/>
        </w:rPr>
        <w:lastRenderedPageBreak/>
        <w:t xml:space="preserve">[15] </w:t>
      </w:r>
      <w:r w:rsidRPr="00E902E3">
        <w:rPr>
          <w:rFonts w:asciiTheme="minorHAnsi" w:hAnsiTheme="minorHAnsi" w:cs="Minion Pro"/>
          <w:color w:val="221E1F"/>
          <w:lang w:eastAsia="en-US"/>
        </w:rPr>
        <w:t>However, this cost-effectiveness comparison can depend on the doses used for continuous and intermittent bolus infu</w:t>
      </w:r>
      <w:r w:rsidRPr="00E902E3">
        <w:rPr>
          <w:rFonts w:asciiTheme="minorHAnsi" w:hAnsiTheme="minorHAnsi" w:cs="Minion Pro"/>
          <w:color w:val="221E1F"/>
          <w:lang w:eastAsia="en-US"/>
        </w:rPr>
        <w:softHyphen/>
        <w:t xml:space="preserve">sions. </w:t>
      </w:r>
      <w:r w:rsidRPr="00E902E3">
        <w:rPr>
          <w:rFonts w:asciiTheme="minorHAnsi" w:hAnsiTheme="minorHAnsi" w:cs="Minion Pro"/>
          <w:color w:val="221E1F"/>
          <w:vertAlign w:val="superscript"/>
          <w:lang w:eastAsia="en-US"/>
        </w:rPr>
        <w:t>[16]</w:t>
      </w:r>
    </w:p>
    <w:p w:rsidR="004B5AE5" w:rsidRPr="00E902E3" w:rsidRDefault="004B5AE5" w:rsidP="004B5AE5">
      <w:pPr>
        <w:autoSpaceDE w:val="0"/>
        <w:autoSpaceDN w:val="0"/>
        <w:adjustRightInd w:val="0"/>
        <w:spacing w:after="0"/>
        <w:ind w:left="1418" w:hanging="1305"/>
        <w:rPr>
          <w:rFonts w:asciiTheme="minorHAnsi" w:hAnsiTheme="minorHAnsi" w:cs="Minion Pro"/>
          <w:color w:val="221E1F"/>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color w:val="221E1F"/>
          <w:lang w:eastAsia="en-US"/>
        </w:rPr>
        <w:t>4.1.34</w:t>
      </w:r>
      <w:r w:rsidRPr="00E902E3">
        <w:rPr>
          <w:rFonts w:asciiTheme="minorHAnsi" w:hAnsiTheme="minorHAnsi" w:cs="Minion Pro"/>
          <w:color w:val="221E1F"/>
          <w:lang w:eastAsia="en-US"/>
        </w:rPr>
        <w:tab/>
        <w:t xml:space="preserve">Dose for continuous infusion is adjusted based on frequent factor assays and calculation of clearance. Since FVIII concentrates of very high purity are stable in IV solutions for at least 24-48 hours at room temperature with less than 10% loss of potency, continuous infusion for a similar number of hours is possible. </w:t>
      </w:r>
    </w:p>
    <w:p w:rsidR="00D10E64" w:rsidRDefault="00D10E64" w:rsidP="00041ED2">
      <w:pPr>
        <w:autoSpaceDE w:val="0"/>
        <w:autoSpaceDN w:val="0"/>
        <w:adjustRightInd w:val="0"/>
        <w:spacing w:after="0"/>
        <w:ind w:left="1418" w:hanging="1305"/>
        <w:rPr>
          <w:rFonts w:asciiTheme="minorHAnsi" w:hAnsiTheme="minorHAnsi" w:cs="Minion Pro"/>
          <w:b/>
          <w:i/>
          <w:iCs/>
          <w:color w:val="221E1F"/>
          <w:lang w:eastAsia="en-US"/>
        </w:rPr>
      </w:pPr>
    </w:p>
    <w:p w:rsidR="004B5AE5" w:rsidRPr="00041ED2" w:rsidRDefault="004B5AE5" w:rsidP="00041ED2">
      <w:pPr>
        <w:pStyle w:val="Heading4"/>
        <w:rPr>
          <w:lang w:eastAsia="en-US"/>
        </w:rPr>
      </w:pPr>
      <w:r w:rsidRPr="00413A54">
        <w:rPr>
          <w:lang w:eastAsia="en-US"/>
        </w:rPr>
        <w:t xml:space="preserve">FIX concentrates </w:t>
      </w:r>
    </w:p>
    <w:p w:rsidR="004B5AE5" w:rsidRPr="00E902E3" w:rsidRDefault="004B5AE5" w:rsidP="00041ED2">
      <w:pPr>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color w:val="221E1F"/>
          <w:lang w:eastAsia="en-US"/>
        </w:rPr>
        <w:t>4.1.35</w:t>
      </w:r>
      <w:r w:rsidRPr="00E902E3">
        <w:rPr>
          <w:rFonts w:asciiTheme="minorHAnsi" w:hAnsiTheme="minorHAnsi" w:cs="Minion Pro"/>
          <w:color w:val="221E1F"/>
          <w:lang w:eastAsia="en-US"/>
        </w:rPr>
        <w:tab/>
      </w:r>
      <w:r w:rsidRPr="00E902E3">
        <w:rPr>
          <w:rFonts w:asciiTheme="minorHAnsi" w:hAnsiTheme="minorHAnsi" w:cs="Minion Pro"/>
          <w:color w:val="221E1F"/>
          <w:lang w:eastAsia="en-US"/>
        </w:rPr>
        <w:tab/>
      </w:r>
      <w:r w:rsidRPr="00E52A87">
        <w:rPr>
          <w:rFonts w:asciiTheme="minorHAnsi" w:hAnsiTheme="minorHAnsi" w:cs="Minion Pro"/>
          <w:b/>
          <w:color w:val="221E1F"/>
          <w:lang w:eastAsia="en-US"/>
        </w:rPr>
        <w:t>Recombinant FIX concentrates are the treatment of choice for haemophilia B.</w:t>
      </w:r>
      <w:r w:rsidRPr="00E902E3">
        <w:rPr>
          <w:rFonts w:asciiTheme="minorHAnsi" w:hAnsiTheme="minorHAnsi" w:cs="Minion Pro"/>
          <w:color w:val="221E1F"/>
          <w:lang w:eastAsia="en-US"/>
        </w:rPr>
        <w:t xml:space="preserve"> </w:t>
      </w:r>
    </w:p>
    <w:p w:rsidR="004B5AE5" w:rsidRPr="00E902E3" w:rsidRDefault="004B5AE5" w:rsidP="004B5AE5">
      <w:pPr>
        <w:autoSpaceDE w:val="0"/>
        <w:autoSpaceDN w:val="0"/>
        <w:adjustRightInd w:val="0"/>
        <w:spacing w:after="0"/>
        <w:ind w:left="1418" w:hanging="1305"/>
        <w:rPr>
          <w:rFonts w:asciiTheme="minorHAnsi" w:hAnsiTheme="minorHAnsi" w:cs="Minion Pro"/>
          <w:color w:val="221E1F"/>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color w:val="221E1F"/>
          <w:lang w:eastAsia="en-US"/>
        </w:rPr>
        <w:t>4.1.36</w:t>
      </w:r>
      <w:r w:rsidRPr="00E902E3">
        <w:rPr>
          <w:rFonts w:asciiTheme="minorHAnsi" w:hAnsiTheme="minorHAnsi" w:cs="Minion Pro"/>
          <w:color w:val="221E1F"/>
          <w:lang w:eastAsia="en-US"/>
        </w:rPr>
        <w:tab/>
      </w:r>
      <w:proofErr w:type="gramStart"/>
      <w:r w:rsidRPr="00E902E3">
        <w:rPr>
          <w:rFonts w:asciiTheme="minorHAnsi" w:hAnsiTheme="minorHAnsi" w:cs="Minion Pro"/>
          <w:color w:val="221E1F"/>
          <w:lang w:eastAsia="en-US"/>
        </w:rPr>
        <w:t>All</w:t>
      </w:r>
      <w:proofErr w:type="gramEnd"/>
      <w:r w:rsidRPr="00E902E3">
        <w:rPr>
          <w:rFonts w:asciiTheme="minorHAnsi" w:hAnsiTheme="minorHAnsi" w:cs="Minion Pro"/>
          <w:color w:val="221E1F"/>
          <w:lang w:eastAsia="en-US"/>
        </w:rPr>
        <w:t xml:space="preserve"> plasma-derived products currently in the market are listed in the WFH </w:t>
      </w:r>
      <w:r w:rsidRPr="00E902E3">
        <w:rPr>
          <w:rFonts w:asciiTheme="minorHAnsi" w:hAnsiTheme="minorHAnsi" w:cs="Minion Pro"/>
          <w:i/>
          <w:iCs/>
          <w:color w:val="221E1F"/>
          <w:lang w:eastAsia="en-US"/>
        </w:rPr>
        <w:t xml:space="preserve">Registry of Clotting Factor Concentrates. </w:t>
      </w:r>
      <w:r w:rsidRPr="00E902E3">
        <w:rPr>
          <w:rFonts w:asciiTheme="minorHAnsi" w:hAnsiTheme="minorHAnsi" w:cs="Minion Pro"/>
          <w:color w:val="221E1F"/>
          <w:vertAlign w:val="superscript"/>
          <w:lang w:eastAsia="en-US"/>
        </w:rPr>
        <w:t>[3]</w:t>
      </w:r>
      <w:r w:rsidRPr="00E902E3">
        <w:rPr>
          <w:rFonts w:asciiTheme="minorHAnsi" w:hAnsiTheme="minorHAnsi" w:cs="Minion Pro"/>
          <w:color w:val="221E1F"/>
          <w:lang w:eastAsia="en-US"/>
        </w:rPr>
        <w:t xml:space="preserve"> Consult the product information guide for specific details.  </w:t>
      </w:r>
    </w:p>
    <w:p w:rsidR="004B5AE5" w:rsidRPr="00E902E3" w:rsidRDefault="004B5AE5" w:rsidP="004B5AE5">
      <w:pPr>
        <w:autoSpaceDE w:val="0"/>
        <w:autoSpaceDN w:val="0"/>
        <w:adjustRightInd w:val="0"/>
        <w:spacing w:after="0"/>
        <w:ind w:left="1418" w:hanging="1305"/>
        <w:rPr>
          <w:rFonts w:asciiTheme="minorHAnsi" w:hAnsiTheme="minorHAnsi" w:cs="Minion Pro"/>
          <w:color w:val="221E1F"/>
          <w:lang w:eastAsia="en-US"/>
        </w:rPr>
      </w:pPr>
    </w:p>
    <w:p w:rsidR="004B5AE5" w:rsidRPr="00E902E3" w:rsidRDefault="004B5AE5" w:rsidP="00041ED2">
      <w:pPr>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color w:val="221E1F"/>
          <w:lang w:eastAsia="en-US"/>
        </w:rPr>
        <w:t>4.1.37</w:t>
      </w:r>
      <w:r w:rsidRPr="00E902E3">
        <w:rPr>
          <w:rFonts w:asciiTheme="minorHAnsi" w:hAnsiTheme="minorHAnsi" w:cs="Minion Pro"/>
          <w:color w:val="221E1F"/>
          <w:lang w:eastAsia="en-US"/>
        </w:rPr>
        <w:tab/>
        <w:t>FIX concentrates fall into two classes:</w:t>
      </w:r>
    </w:p>
    <w:p w:rsidR="004B5AE5" w:rsidRPr="00E902E3" w:rsidRDefault="004B5AE5" w:rsidP="004B5AE5">
      <w:pPr>
        <w:autoSpaceDE w:val="0"/>
        <w:autoSpaceDN w:val="0"/>
        <w:adjustRightInd w:val="0"/>
        <w:spacing w:after="0"/>
        <w:ind w:left="1418" w:hanging="1305"/>
        <w:rPr>
          <w:rFonts w:asciiTheme="minorHAnsi" w:hAnsiTheme="minorHAnsi" w:cs="Minion Pro"/>
          <w:color w:val="221E1F"/>
          <w:lang w:eastAsia="en-US"/>
        </w:rPr>
      </w:pPr>
    </w:p>
    <w:p w:rsidR="004B5AE5" w:rsidRPr="00E902E3" w:rsidRDefault="004B5AE5" w:rsidP="004B5AE5">
      <w:pPr>
        <w:pStyle w:val="ListParagraph"/>
        <w:numPr>
          <w:ilvl w:val="0"/>
          <w:numId w:val="55"/>
        </w:numPr>
        <w:autoSpaceDE w:val="0"/>
        <w:autoSpaceDN w:val="0"/>
        <w:adjustRightInd w:val="0"/>
        <w:spacing w:after="0" w:line="276" w:lineRule="auto"/>
        <w:ind w:left="1701" w:hanging="284"/>
        <w:rPr>
          <w:rFonts w:asciiTheme="minorHAnsi" w:hAnsiTheme="minorHAnsi" w:cs="Minion Pro"/>
          <w:color w:val="221E1F"/>
          <w:lang w:eastAsia="en-US"/>
        </w:rPr>
      </w:pPr>
      <w:r w:rsidRPr="00E902E3">
        <w:rPr>
          <w:rFonts w:asciiTheme="minorHAnsi" w:hAnsiTheme="minorHAnsi" w:cs="Minion Pro"/>
          <w:color w:val="221E1F"/>
          <w:lang w:eastAsia="en-US"/>
        </w:rPr>
        <w:t xml:space="preserve">Pure FIX concentrates, which may be plasma-derived or recombinant. </w:t>
      </w:r>
    </w:p>
    <w:p w:rsidR="004B5AE5" w:rsidRPr="00E902E3" w:rsidRDefault="004B5AE5" w:rsidP="004B5AE5">
      <w:pPr>
        <w:pStyle w:val="ListParagraph"/>
        <w:numPr>
          <w:ilvl w:val="0"/>
          <w:numId w:val="55"/>
        </w:numPr>
        <w:autoSpaceDE w:val="0"/>
        <w:autoSpaceDN w:val="0"/>
        <w:adjustRightInd w:val="0"/>
        <w:spacing w:after="0" w:line="276" w:lineRule="auto"/>
        <w:ind w:left="1701" w:hanging="284"/>
        <w:rPr>
          <w:rFonts w:asciiTheme="minorHAnsi" w:hAnsiTheme="minorHAnsi" w:cs="Minion Pro"/>
          <w:color w:val="221E1F"/>
          <w:lang w:eastAsia="en-US"/>
        </w:rPr>
      </w:pPr>
      <w:r w:rsidRPr="00E902E3">
        <w:rPr>
          <w:rFonts w:asciiTheme="minorHAnsi" w:hAnsiTheme="minorHAnsi" w:cs="Minion Pro"/>
          <w:color w:val="221E1F"/>
          <w:lang w:eastAsia="en-US"/>
        </w:rPr>
        <w:t>FIX concentrates that also contain factors II, VII, IX, and X, also known as prothrombin complex concentrates (PCCs).</w:t>
      </w:r>
    </w:p>
    <w:p w:rsidR="004B5AE5" w:rsidRPr="00E902E3" w:rsidRDefault="004B5AE5" w:rsidP="004B5AE5">
      <w:pPr>
        <w:pStyle w:val="ListParagraph"/>
        <w:autoSpaceDE w:val="0"/>
        <w:autoSpaceDN w:val="0"/>
        <w:adjustRightInd w:val="0"/>
        <w:spacing w:after="0"/>
        <w:ind w:left="1701"/>
        <w:rPr>
          <w:rFonts w:asciiTheme="minorHAnsi" w:hAnsiTheme="minorHAnsi" w:cs="Minion Pro"/>
          <w:color w:val="221E1F"/>
          <w:lang w:eastAsia="en-US"/>
        </w:rPr>
      </w:pPr>
    </w:p>
    <w:p w:rsidR="004B5AE5" w:rsidRPr="00E902E3" w:rsidRDefault="004B5AE5" w:rsidP="00041ED2">
      <w:pPr>
        <w:pStyle w:val="ListParagraph"/>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color w:val="221E1F"/>
          <w:lang w:eastAsia="en-US"/>
        </w:rPr>
        <w:t>4.1.38</w:t>
      </w:r>
      <w:r w:rsidRPr="00E902E3">
        <w:rPr>
          <w:rFonts w:asciiTheme="minorHAnsi" w:hAnsiTheme="minorHAnsi" w:cs="Minion Pro"/>
          <w:color w:val="221E1F"/>
          <w:lang w:eastAsia="en-US"/>
        </w:rPr>
        <w:tab/>
      </w:r>
      <w:proofErr w:type="gramStart"/>
      <w:r w:rsidRPr="00E902E3">
        <w:rPr>
          <w:rFonts w:asciiTheme="minorHAnsi" w:hAnsiTheme="minorHAnsi" w:cs="Minion Pro"/>
          <w:b/>
          <w:bCs/>
          <w:color w:val="221E1F"/>
          <w:lang w:eastAsia="en-US"/>
        </w:rPr>
        <w:t>The</w:t>
      </w:r>
      <w:proofErr w:type="gramEnd"/>
      <w:r w:rsidRPr="00E902E3">
        <w:rPr>
          <w:rFonts w:asciiTheme="minorHAnsi" w:hAnsiTheme="minorHAnsi" w:cs="Minion Pro"/>
          <w:b/>
          <w:bCs/>
          <w:color w:val="221E1F"/>
          <w:lang w:eastAsia="en-US"/>
        </w:rPr>
        <w:t xml:space="preserve"> use of a pure FIX concentrates is preferable for the treatment of haemophilia B as opposed to PCC.  </w:t>
      </w:r>
      <w:r w:rsidRPr="00E902E3">
        <w:rPr>
          <w:rFonts w:asciiTheme="minorHAnsi" w:hAnsiTheme="minorHAnsi" w:cs="Minion Pro"/>
          <w:b/>
          <w:bCs/>
          <w:color w:val="221E1F"/>
          <w:vertAlign w:val="superscript"/>
          <w:lang w:eastAsia="en-US"/>
        </w:rPr>
        <w:t>[7</w:t>
      </w:r>
      <w:proofErr w:type="gramStart"/>
      <w:r w:rsidRPr="00E902E3">
        <w:rPr>
          <w:rFonts w:asciiTheme="minorHAnsi" w:hAnsiTheme="minorHAnsi" w:cs="Minion Pro"/>
          <w:b/>
          <w:bCs/>
          <w:color w:val="221E1F"/>
          <w:vertAlign w:val="superscript"/>
          <w:lang w:eastAsia="en-US"/>
        </w:rPr>
        <w:t>,8</w:t>
      </w:r>
      <w:proofErr w:type="gramEnd"/>
      <w:r w:rsidRPr="00E902E3">
        <w:rPr>
          <w:rFonts w:asciiTheme="minorHAnsi" w:hAnsiTheme="minorHAnsi" w:cs="Minion Pro"/>
          <w:b/>
          <w:bCs/>
          <w:color w:val="221E1F"/>
          <w:vertAlign w:val="superscript"/>
          <w:lang w:eastAsia="en-US"/>
        </w:rPr>
        <w:t>]</w:t>
      </w:r>
      <w:r w:rsidRPr="00E902E3">
        <w:rPr>
          <w:rFonts w:asciiTheme="minorHAnsi" w:hAnsiTheme="minorHAnsi" w:cs="Minion Pro"/>
          <w:b/>
          <w:bCs/>
          <w:color w:val="221E1F"/>
          <w:lang w:eastAsia="en-US"/>
        </w:rPr>
        <w:t xml:space="preserve"> </w:t>
      </w:r>
      <w:r w:rsidRPr="00E902E3">
        <w:rPr>
          <w:rFonts w:asciiTheme="minorHAnsi" w:hAnsiTheme="minorHAnsi" w:cs="Minion Pro"/>
          <w:color w:val="221E1F"/>
          <w:lang w:eastAsia="en-US"/>
        </w:rPr>
        <w:t>Prothrombinex HT, the only currently available PCC in Australia, should onl</w:t>
      </w:r>
      <w:r w:rsidR="0024116D">
        <w:rPr>
          <w:rFonts w:asciiTheme="minorHAnsi" w:hAnsiTheme="minorHAnsi" w:cs="Minion Pro"/>
          <w:color w:val="221E1F"/>
          <w:lang w:eastAsia="en-US"/>
        </w:rPr>
        <w:t>y be used for the treatment of h</w:t>
      </w:r>
      <w:r w:rsidRPr="00E902E3">
        <w:rPr>
          <w:rFonts w:asciiTheme="minorHAnsi" w:hAnsiTheme="minorHAnsi" w:cs="Minion Pro"/>
          <w:color w:val="221E1F"/>
          <w:lang w:eastAsia="en-US"/>
        </w:rPr>
        <w:t>aemophilia B where emergency replacement of FIX is required and a pure FIX concentrate is not available.</w:t>
      </w:r>
    </w:p>
    <w:p w:rsidR="004B5AE5" w:rsidRPr="00E902E3" w:rsidRDefault="004B5AE5" w:rsidP="004B5AE5">
      <w:pPr>
        <w:pStyle w:val="ListParagraph"/>
        <w:autoSpaceDE w:val="0"/>
        <w:autoSpaceDN w:val="0"/>
        <w:adjustRightInd w:val="0"/>
        <w:spacing w:after="0"/>
        <w:ind w:left="851"/>
        <w:rPr>
          <w:rFonts w:asciiTheme="minorHAnsi" w:hAnsiTheme="minorHAnsi" w:cs="Minion Pro"/>
          <w:color w:val="221E1F"/>
          <w:lang w:eastAsia="en-US"/>
        </w:rPr>
      </w:pPr>
    </w:p>
    <w:p w:rsidR="004B5AE5" w:rsidRPr="00E902E3" w:rsidRDefault="004B5AE5" w:rsidP="00041ED2">
      <w:pPr>
        <w:pStyle w:val="ListParagraph"/>
        <w:autoSpaceDE w:val="0"/>
        <w:autoSpaceDN w:val="0"/>
        <w:adjustRightInd w:val="0"/>
        <w:spacing w:after="0"/>
        <w:ind w:left="1418" w:hanging="1418"/>
        <w:rPr>
          <w:rFonts w:asciiTheme="minorHAnsi" w:hAnsiTheme="minorHAnsi" w:cs="Minion Pro"/>
          <w:color w:val="221E1F"/>
          <w:lang w:eastAsia="en-US"/>
        </w:rPr>
      </w:pPr>
      <w:r>
        <w:rPr>
          <w:rFonts w:asciiTheme="minorHAnsi" w:hAnsiTheme="minorHAnsi" w:cs="Minion Pro"/>
          <w:color w:val="221E1F"/>
          <w:lang w:eastAsia="en-US"/>
        </w:rPr>
        <w:t>4.1.39</w:t>
      </w:r>
      <w:r w:rsidRPr="00E902E3">
        <w:rPr>
          <w:rFonts w:asciiTheme="minorHAnsi" w:hAnsiTheme="minorHAnsi" w:cs="Minion Pro"/>
          <w:color w:val="221E1F"/>
          <w:lang w:eastAsia="en-US"/>
        </w:rPr>
        <w:tab/>
        <w:t>Pure FIX products are free of the risks of throm</w:t>
      </w:r>
      <w:r w:rsidRPr="00E902E3">
        <w:rPr>
          <w:rFonts w:asciiTheme="minorHAnsi" w:hAnsiTheme="minorHAnsi" w:cs="Minion Pro"/>
          <w:color w:val="221E1F"/>
          <w:lang w:eastAsia="en-US"/>
        </w:rPr>
        <w:softHyphen/>
        <w:t>bosis or disseminated intravascular coagulation (DIC), which may occur with large doses of PCCs.</w:t>
      </w:r>
    </w:p>
    <w:p w:rsidR="004B5AE5" w:rsidRPr="00E902E3" w:rsidRDefault="004B5AE5" w:rsidP="004B5AE5">
      <w:pPr>
        <w:autoSpaceDE w:val="0"/>
        <w:autoSpaceDN w:val="0"/>
        <w:adjustRightInd w:val="0"/>
        <w:spacing w:after="0"/>
        <w:ind w:left="851" w:hanging="284"/>
        <w:rPr>
          <w:rFonts w:asciiTheme="minorHAnsi" w:hAnsiTheme="minorHAnsi" w:cs="Minion Pro"/>
          <w:color w:val="221E1F"/>
          <w:lang w:eastAsia="en-US"/>
        </w:rPr>
      </w:pPr>
    </w:p>
    <w:p w:rsidR="004B5AE5" w:rsidRPr="00041ED2" w:rsidRDefault="004B5AE5" w:rsidP="00041ED2">
      <w:pPr>
        <w:pStyle w:val="Heading4"/>
        <w:rPr>
          <w:b w:val="0"/>
          <w:lang w:eastAsia="en-US"/>
        </w:rPr>
      </w:pPr>
      <w:r w:rsidRPr="00413A54">
        <w:rPr>
          <w:lang w:eastAsia="en-US"/>
        </w:rPr>
        <w:t>Dosage/administration</w:t>
      </w: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4.1.40</w:t>
      </w:r>
      <w:r>
        <w:rPr>
          <w:rFonts w:asciiTheme="minorHAnsi" w:hAnsiTheme="minorHAnsi" w:cs="Arial"/>
          <w:color w:val="221E1F"/>
          <w:lang w:eastAsia="en-US"/>
        </w:rPr>
        <w:tab/>
      </w:r>
      <w:r w:rsidRPr="00C5365F">
        <w:rPr>
          <w:rFonts w:asciiTheme="minorHAnsi" w:hAnsiTheme="minorHAnsi" w:cs="Arial"/>
          <w:color w:val="221E1F"/>
          <w:lang w:eastAsia="en-US"/>
        </w:rPr>
        <w:t xml:space="preserve">Vials of FIX concentrates are available in doses ranging from approximately 250 to </w:t>
      </w:r>
      <w:r>
        <w:rPr>
          <w:rFonts w:asciiTheme="minorHAnsi" w:hAnsiTheme="minorHAnsi" w:cs="Arial"/>
          <w:color w:val="221E1F"/>
          <w:lang w:eastAsia="en-US"/>
        </w:rPr>
        <w:t>3</w:t>
      </w:r>
      <w:r w:rsidRPr="00C5365F">
        <w:rPr>
          <w:rFonts w:asciiTheme="minorHAnsi" w:hAnsiTheme="minorHAnsi" w:cs="Arial"/>
          <w:color w:val="221E1F"/>
          <w:lang w:eastAsia="en-US"/>
        </w:rPr>
        <w:t xml:space="preserve">000 units each.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b/>
          <w:bCs/>
          <w:color w:val="221E1F"/>
          <w:lang w:eastAsia="en-US"/>
        </w:rPr>
      </w:pPr>
      <w:r>
        <w:rPr>
          <w:rFonts w:asciiTheme="minorHAnsi" w:hAnsiTheme="minorHAnsi" w:cs="Arial"/>
          <w:color w:val="221E1F"/>
          <w:lang w:eastAsia="en-US"/>
        </w:rPr>
        <w:t>4.1.41</w:t>
      </w:r>
      <w:r>
        <w:rPr>
          <w:rFonts w:asciiTheme="minorHAnsi" w:hAnsiTheme="minorHAnsi" w:cs="Arial"/>
          <w:color w:val="221E1F"/>
          <w:lang w:eastAsia="en-US"/>
        </w:rPr>
        <w:tab/>
      </w:r>
      <w:proofErr w:type="gramStart"/>
      <w:r w:rsidRPr="00C5365F">
        <w:rPr>
          <w:rFonts w:asciiTheme="minorHAnsi" w:hAnsiTheme="minorHAnsi" w:cs="Arial"/>
          <w:b/>
          <w:bCs/>
          <w:color w:val="221E1F"/>
          <w:lang w:eastAsia="en-US"/>
        </w:rPr>
        <w:t>In</w:t>
      </w:r>
      <w:proofErr w:type="gramEnd"/>
      <w:r w:rsidRPr="00C5365F">
        <w:rPr>
          <w:rFonts w:asciiTheme="minorHAnsi" w:hAnsiTheme="minorHAnsi" w:cs="Arial"/>
          <w:b/>
          <w:bCs/>
          <w:color w:val="221E1F"/>
          <w:lang w:eastAsia="en-US"/>
        </w:rPr>
        <w:t xml:space="preserve"> absence of an inhibitor, each unit of FIX per kilogram of body weight infused intravenously will raise the plasma FIX level approximately 1 IU/dl.  </w:t>
      </w:r>
      <w:r w:rsidRPr="00E902E3">
        <w:rPr>
          <w:rFonts w:asciiTheme="minorHAnsi" w:hAnsiTheme="minorHAnsi" w:cs="Arial"/>
          <w:b/>
          <w:bCs/>
          <w:color w:val="221E1F"/>
          <w:vertAlign w:val="superscript"/>
          <w:lang w:eastAsia="en-US"/>
        </w:rPr>
        <w:t>[11]</w:t>
      </w:r>
      <w:r w:rsidRPr="00C5365F">
        <w:rPr>
          <w:rFonts w:asciiTheme="minorHAnsi" w:hAnsiTheme="minorHAnsi" w:cs="Arial"/>
          <w:b/>
          <w:bCs/>
          <w:color w:val="221E1F"/>
          <w:lang w:eastAsia="en-US"/>
        </w:rPr>
        <w:t xml:space="preserve">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4.1.42</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The</w:t>
      </w:r>
      <w:proofErr w:type="gramEnd"/>
      <w:r w:rsidRPr="00C5365F">
        <w:rPr>
          <w:rFonts w:asciiTheme="minorHAnsi" w:hAnsiTheme="minorHAnsi" w:cs="Arial"/>
          <w:color w:val="221E1F"/>
          <w:lang w:eastAsia="en-US"/>
        </w:rPr>
        <w:t xml:space="preserve"> half-life is approximately 18–24 hours.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b/>
          <w:bCs/>
          <w:color w:val="221E1F"/>
          <w:lang w:eastAsia="en-US"/>
        </w:rPr>
      </w:pPr>
      <w:r>
        <w:rPr>
          <w:rFonts w:asciiTheme="minorHAnsi" w:hAnsiTheme="minorHAnsi" w:cs="Arial"/>
          <w:color w:val="221E1F"/>
          <w:lang w:eastAsia="en-US"/>
        </w:rPr>
        <w:t>4.1.43</w:t>
      </w:r>
      <w:r>
        <w:rPr>
          <w:rFonts w:asciiTheme="minorHAnsi" w:hAnsiTheme="minorHAnsi" w:cs="Arial"/>
          <w:color w:val="221E1F"/>
          <w:lang w:eastAsia="en-US"/>
        </w:rPr>
        <w:tab/>
      </w:r>
      <w:r w:rsidRPr="00E52A87">
        <w:rPr>
          <w:rFonts w:asciiTheme="minorHAnsi" w:hAnsiTheme="minorHAnsi" w:cs="Arial"/>
          <w:b/>
          <w:color w:val="221E1F"/>
          <w:lang w:eastAsia="en-US"/>
        </w:rPr>
        <w:t xml:space="preserve">Where clinically indicated </w:t>
      </w:r>
      <w:r w:rsidRPr="00E52A87">
        <w:rPr>
          <w:rFonts w:asciiTheme="minorHAnsi" w:hAnsiTheme="minorHAnsi" w:cs="Arial"/>
          <w:b/>
          <w:bCs/>
          <w:color w:val="221E1F"/>
          <w:lang w:eastAsia="en-US"/>
        </w:rPr>
        <w:t>the</w:t>
      </w:r>
      <w:r w:rsidRPr="00C5365F">
        <w:rPr>
          <w:rFonts w:asciiTheme="minorHAnsi" w:hAnsiTheme="minorHAnsi" w:cs="Arial"/>
          <w:b/>
          <w:bCs/>
          <w:color w:val="221E1F"/>
          <w:lang w:eastAsia="en-US"/>
        </w:rPr>
        <w:t xml:space="preserve"> patient’s FIX level should be measured approximately 15 minutes after infusion to verify calculated doses.  </w:t>
      </w:r>
      <w:r w:rsidRPr="00E902E3">
        <w:rPr>
          <w:rFonts w:asciiTheme="minorHAnsi" w:hAnsiTheme="minorHAnsi" w:cs="Arial"/>
          <w:b/>
          <w:bCs/>
          <w:color w:val="221E1F"/>
          <w:vertAlign w:val="superscript"/>
          <w:lang w:eastAsia="en-US"/>
        </w:rPr>
        <w:t>[11]</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vertAlign w:val="superscript"/>
          <w:lang w:eastAsia="en-US"/>
        </w:rPr>
      </w:pPr>
      <w:r>
        <w:rPr>
          <w:rFonts w:asciiTheme="minorHAnsi" w:hAnsiTheme="minorHAnsi" w:cs="Arial"/>
          <w:color w:val="221E1F"/>
          <w:lang w:eastAsia="en-US"/>
        </w:rPr>
        <w:t>4.1.44</w:t>
      </w:r>
      <w:r>
        <w:rPr>
          <w:rFonts w:asciiTheme="minorHAnsi" w:hAnsiTheme="minorHAnsi" w:cs="Arial"/>
          <w:color w:val="221E1F"/>
          <w:lang w:eastAsia="en-US"/>
        </w:rPr>
        <w:tab/>
      </w:r>
      <w:r w:rsidRPr="00C5365F">
        <w:rPr>
          <w:rFonts w:asciiTheme="minorHAnsi" w:hAnsiTheme="minorHAnsi" w:cs="Arial"/>
          <w:color w:val="221E1F"/>
          <w:lang w:eastAsia="en-US"/>
        </w:rPr>
        <w:t>Recombinant FIX (rFIX) has a lower recovery than plasma-derived products, such that each unit of FIX per kg body weight infused will raise the FIX activity by approximately 0.8 IU/dl in adults and 0.7 IU/dl in children under 15 years of age. The reason for the lower recovery of rFIX is not entirely clear</w:t>
      </w:r>
      <w:r>
        <w:rPr>
          <w:rFonts w:asciiTheme="minorHAnsi" w:hAnsiTheme="minorHAnsi" w:cs="Arial"/>
          <w:color w:val="221E1F"/>
          <w:lang w:eastAsia="en-US"/>
        </w:rPr>
        <w:t xml:space="preserve">. </w:t>
      </w:r>
      <w:r w:rsidRPr="00E902E3">
        <w:rPr>
          <w:rFonts w:asciiTheme="minorHAnsi" w:hAnsiTheme="minorHAnsi" w:cs="Arial"/>
          <w:color w:val="221E1F"/>
          <w:vertAlign w:val="superscript"/>
          <w:lang w:eastAsia="en-US"/>
        </w:rPr>
        <w:t>[17]</w:t>
      </w:r>
    </w:p>
    <w:p w:rsidR="00AF50AF" w:rsidRDefault="00AF50AF" w:rsidP="00041ED2">
      <w:pPr>
        <w:autoSpaceDE w:val="0"/>
        <w:autoSpaceDN w:val="0"/>
        <w:adjustRightInd w:val="0"/>
        <w:spacing w:after="0"/>
        <w:ind w:left="1418" w:hanging="1418"/>
        <w:rPr>
          <w:rFonts w:asciiTheme="minorHAnsi" w:hAnsiTheme="minorHAnsi" w:cs="Arial"/>
          <w:color w:val="221E1F"/>
          <w:vertAlign w:val="superscript"/>
          <w:lang w:eastAsia="en-US"/>
        </w:rPr>
      </w:pPr>
    </w:p>
    <w:p w:rsidR="00AF50AF" w:rsidRDefault="00AF50AF" w:rsidP="00041ED2">
      <w:pPr>
        <w:autoSpaceDE w:val="0"/>
        <w:autoSpaceDN w:val="0"/>
        <w:adjustRightInd w:val="0"/>
        <w:spacing w:after="0"/>
        <w:ind w:left="1418" w:hanging="1418"/>
        <w:rPr>
          <w:rFonts w:asciiTheme="minorHAnsi" w:hAnsiTheme="minorHAnsi" w:cs="Arial"/>
          <w:color w:val="221E1F"/>
          <w:lang w:eastAsia="en-US"/>
        </w:rPr>
      </w:pP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Pr="00C5365F"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lastRenderedPageBreak/>
        <w:t>4.1.45</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To</w:t>
      </w:r>
      <w:proofErr w:type="gramEnd"/>
      <w:r w:rsidRPr="00C5365F">
        <w:rPr>
          <w:rFonts w:asciiTheme="minorHAnsi" w:hAnsiTheme="minorHAnsi" w:cs="Arial"/>
          <w:color w:val="221E1F"/>
          <w:lang w:eastAsia="en-US"/>
        </w:rPr>
        <w:t xml:space="preserve"> calculate dosage, multiply the patient’s weight in kilograms by the factor level desired. </w:t>
      </w:r>
    </w:p>
    <w:p w:rsidR="004B5AE5" w:rsidRPr="00C5365F" w:rsidRDefault="004B5AE5" w:rsidP="004B5AE5">
      <w:pPr>
        <w:autoSpaceDE w:val="0"/>
        <w:autoSpaceDN w:val="0"/>
        <w:adjustRightInd w:val="0"/>
        <w:spacing w:before="140" w:after="0"/>
        <w:ind w:left="1418"/>
        <w:jc w:val="both"/>
        <w:rPr>
          <w:rFonts w:asciiTheme="minorHAnsi" w:hAnsiTheme="minorHAnsi" w:cs="Arial"/>
          <w:i/>
          <w:iCs/>
          <w:color w:val="221E1F"/>
          <w:lang w:eastAsia="en-US"/>
        </w:rPr>
      </w:pPr>
      <w:r w:rsidRPr="00C5365F">
        <w:rPr>
          <w:rFonts w:asciiTheme="minorHAnsi" w:hAnsiTheme="minorHAnsi" w:cs="Arial"/>
          <w:b/>
          <w:bCs/>
          <w:i/>
          <w:iCs/>
          <w:color w:val="221E1F"/>
          <w:lang w:eastAsia="en-US"/>
        </w:rPr>
        <w:t xml:space="preserve">Example: </w:t>
      </w:r>
      <w:r w:rsidRPr="00C5365F">
        <w:rPr>
          <w:rFonts w:asciiTheme="minorHAnsi" w:hAnsiTheme="minorHAnsi" w:cs="Arial"/>
          <w:i/>
          <w:iCs/>
          <w:color w:val="221E1F"/>
          <w:lang w:eastAsia="en-US"/>
        </w:rPr>
        <w:t>50 kg × 40 (IU/dl level desired) = 2000 units of plasma-derived FIX. For rFIX, the dosage will be 2000 ÷ 0.8 (or 2000 × 1.25) = 2500 units for adults, and 2000 ÷ 0.7 (or 2000 × 1.43) = 2860 units for children</w:t>
      </w:r>
      <w:r w:rsidR="00173B0C">
        <w:rPr>
          <w:rFonts w:asciiTheme="minorHAnsi" w:hAnsiTheme="minorHAnsi" w:cs="Arial"/>
          <w:i/>
          <w:iCs/>
          <w:color w:val="221E1F"/>
          <w:lang w:eastAsia="en-US"/>
        </w:rPr>
        <w:t>. Refer to Table 7-1</w:t>
      </w:r>
      <w:r w:rsidRPr="00C5365F">
        <w:rPr>
          <w:rFonts w:asciiTheme="minorHAnsi" w:hAnsiTheme="minorHAnsi" w:cs="Arial"/>
          <w:i/>
          <w:iCs/>
          <w:color w:val="221E1F"/>
          <w:lang w:eastAsia="en-US"/>
        </w:rPr>
        <w:t xml:space="preserve"> for suggested factor level and duration of replacement therapy based on type of haemorrhage. </w:t>
      </w:r>
    </w:p>
    <w:p w:rsidR="004B5AE5" w:rsidRPr="00C5365F" w:rsidRDefault="004B5AE5" w:rsidP="004B5AE5">
      <w:pPr>
        <w:autoSpaceDE w:val="0"/>
        <w:autoSpaceDN w:val="0"/>
        <w:adjustRightInd w:val="0"/>
        <w:spacing w:before="140" w:after="0"/>
        <w:ind w:left="709"/>
        <w:jc w:val="both"/>
        <w:rPr>
          <w:rFonts w:asciiTheme="minorHAnsi" w:hAnsiTheme="minorHAnsi" w:cs="Arial"/>
          <w:color w:val="221E1F"/>
          <w:lang w:eastAsia="en-US"/>
        </w:rPr>
      </w:pPr>
    </w:p>
    <w:p w:rsidR="004B5AE5" w:rsidRDefault="004B5AE5" w:rsidP="00041ED2">
      <w:pPr>
        <w:autoSpaceDE w:val="0"/>
        <w:autoSpaceDN w:val="0"/>
        <w:adjustRightInd w:val="0"/>
        <w:spacing w:after="0"/>
        <w:ind w:left="1247" w:hanging="1247"/>
        <w:rPr>
          <w:rFonts w:asciiTheme="minorHAnsi" w:hAnsiTheme="minorHAnsi" w:cs="Arial"/>
          <w:b/>
          <w:bCs/>
          <w:color w:val="221E1F"/>
          <w:lang w:eastAsia="en-US"/>
        </w:rPr>
      </w:pPr>
      <w:r>
        <w:rPr>
          <w:rFonts w:asciiTheme="minorHAnsi" w:hAnsiTheme="minorHAnsi" w:cs="Arial"/>
          <w:color w:val="221E1F"/>
          <w:lang w:eastAsia="en-US"/>
        </w:rPr>
        <w:t>4.1.46</w:t>
      </w:r>
      <w:r>
        <w:rPr>
          <w:rFonts w:asciiTheme="minorHAnsi" w:hAnsiTheme="minorHAnsi" w:cs="Arial"/>
          <w:color w:val="221E1F"/>
          <w:lang w:eastAsia="en-US"/>
        </w:rPr>
        <w:tab/>
      </w:r>
      <w:r w:rsidRPr="00C5365F">
        <w:rPr>
          <w:rFonts w:asciiTheme="minorHAnsi" w:hAnsiTheme="minorHAnsi" w:cs="Arial"/>
          <w:b/>
          <w:bCs/>
          <w:color w:val="221E1F"/>
          <w:lang w:eastAsia="en-US"/>
        </w:rPr>
        <w:t xml:space="preserve">FIX concentrates should be infused by slow IV injection at a rate not to exceed a volume of 3 ml per minute in adults or as recommended in the product information leaflet. </w:t>
      </w:r>
      <w:r w:rsidRPr="00E902E3">
        <w:rPr>
          <w:rFonts w:asciiTheme="minorHAnsi" w:hAnsiTheme="minorHAnsi" w:cs="Arial"/>
          <w:b/>
          <w:bCs/>
          <w:color w:val="221E1F"/>
          <w:vertAlign w:val="superscript"/>
          <w:lang w:eastAsia="en-US"/>
        </w:rPr>
        <w:t>[12]</w:t>
      </w:r>
      <w:r w:rsidRPr="00C5365F">
        <w:rPr>
          <w:rFonts w:asciiTheme="minorHAnsi" w:hAnsiTheme="minorHAnsi" w:cs="Arial"/>
          <w:b/>
          <w:bCs/>
          <w:color w:val="221E1F"/>
          <w:lang w:eastAsia="en-US"/>
        </w:rPr>
        <w:t xml:space="preserve"> </w:t>
      </w:r>
    </w:p>
    <w:p w:rsidR="004B5AE5" w:rsidRDefault="004B5AE5" w:rsidP="004B5AE5">
      <w:pPr>
        <w:autoSpaceDE w:val="0"/>
        <w:autoSpaceDN w:val="0"/>
        <w:adjustRightInd w:val="0"/>
        <w:spacing w:after="0"/>
        <w:ind w:left="1247" w:hanging="1134"/>
        <w:rPr>
          <w:rFonts w:asciiTheme="minorHAnsi" w:hAnsiTheme="minorHAnsi" w:cs="Arial"/>
          <w:color w:val="221E1F"/>
          <w:lang w:eastAsia="en-US"/>
        </w:rPr>
      </w:pPr>
    </w:p>
    <w:p w:rsidR="004B5AE5" w:rsidRDefault="004B5AE5" w:rsidP="00041ED2">
      <w:pPr>
        <w:autoSpaceDE w:val="0"/>
        <w:autoSpaceDN w:val="0"/>
        <w:adjustRightInd w:val="0"/>
        <w:spacing w:after="0"/>
        <w:ind w:left="1247" w:hanging="1247"/>
        <w:rPr>
          <w:rFonts w:asciiTheme="minorHAnsi" w:hAnsiTheme="minorHAnsi" w:cs="Arial"/>
          <w:b/>
          <w:bCs/>
          <w:color w:val="221E1F"/>
          <w:lang w:eastAsia="en-US"/>
        </w:rPr>
      </w:pPr>
      <w:r>
        <w:rPr>
          <w:rFonts w:asciiTheme="minorHAnsi" w:hAnsiTheme="minorHAnsi" w:cs="Arial"/>
          <w:color w:val="221E1F"/>
          <w:lang w:eastAsia="en-US"/>
        </w:rPr>
        <w:t>4.1.47</w:t>
      </w:r>
      <w:r>
        <w:rPr>
          <w:rFonts w:asciiTheme="minorHAnsi" w:hAnsiTheme="minorHAnsi" w:cs="Arial"/>
          <w:color w:val="221E1F"/>
          <w:lang w:eastAsia="en-US"/>
        </w:rPr>
        <w:tab/>
      </w:r>
      <w:proofErr w:type="gramStart"/>
      <w:r w:rsidRPr="00C5365F">
        <w:rPr>
          <w:rFonts w:asciiTheme="minorHAnsi" w:hAnsiTheme="minorHAnsi" w:cs="Arial"/>
          <w:b/>
          <w:bCs/>
          <w:color w:val="221E1F"/>
          <w:lang w:eastAsia="en-US"/>
        </w:rPr>
        <w:t>If</w:t>
      </w:r>
      <w:proofErr w:type="gramEnd"/>
      <w:r w:rsidRPr="00C5365F">
        <w:rPr>
          <w:rFonts w:asciiTheme="minorHAnsi" w:hAnsiTheme="minorHAnsi" w:cs="Arial"/>
          <w:b/>
          <w:bCs/>
          <w:color w:val="221E1F"/>
          <w:lang w:eastAsia="en-US"/>
        </w:rPr>
        <w:t xml:space="preserve"> used, PCCs should generally be infused at half this rate. Consult the product information leaflet for instructions.  </w:t>
      </w:r>
      <w:r w:rsidRPr="00E902E3">
        <w:rPr>
          <w:rFonts w:asciiTheme="minorHAnsi" w:hAnsiTheme="minorHAnsi" w:cs="Arial"/>
          <w:b/>
          <w:bCs/>
          <w:color w:val="221E1F"/>
          <w:vertAlign w:val="superscript"/>
          <w:lang w:eastAsia="en-US"/>
        </w:rPr>
        <w:t xml:space="preserve">[18] </w:t>
      </w:r>
    </w:p>
    <w:p w:rsidR="004B5AE5" w:rsidRDefault="004B5AE5" w:rsidP="004B5AE5">
      <w:pPr>
        <w:autoSpaceDE w:val="0"/>
        <w:autoSpaceDN w:val="0"/>
        <w:adjustRightInd w:val="0"/>
        <w:spacing w:after="0"/>
        <w:ind w:left="1247" w:hanging="1134"/>
        <w:rPr>
          <w:rFonts w:asciiTheme="minorHAnsi" w:hAnsiTheme="minorHAnsi" w:cs="Arial"/>
          <w:color w:val="221E1F"/>
          <w:lang w:eastAsia="en-US"/>
        </w:rPr>
      </w:pPr>
    </w:p>
    <w:p w:rsidR="004B5AE5" w:rsidRDefault="004B5AE5" w:rsidP="00041ED2">
      <w:pPr>
        <w:autoSpaceDE w:val="0"/>
        <w:autoSpaceDN w:val="0"/>
        <w:adjustRightInd w:val="0"/>
        <w:spacing w:after="0"/>
        <w:ind w:left="1247" w:hanging="1247"/>
        <w:rPr>
          <w:rFonts w:asciiTheme="minorHAnsi" w:hAnsiTheme="minorHAnsi" w:cs="Arial"/>
          <w:color w:val="221E1F"/>
          <w:lang w:eastAsia="en-US"/>
        </w:rPr>
      </w:pPr>
      <w:r>
        <w:rPr>
          <w:rFonts w:asciiTheme="minorHAnsi" w:hAnsiTheme="minorHAnsi" w:cs="Arial"/>
          <w:color w:val="221E1F"/>
          <w:lang w:eastAsia="en-US"/>
        </w:rPr>
        <w:t>4.1.48</w:t>
      </w:r>
      <w:r>
        <w:rPr>
          <w:rFonts w:asciiTheme="minorHAnsi" w:hAnsiTheme="minorHAnsi" w:cs="Arial"/>
          <w:color w:val="221E1F"/>
          <w:lang w:eastAsia="en-US"/>
        </w:rPr>
        <w:tab/>
      </w:r>
      <w:r w:rsidRPr="00C5365F">
        <w:rPr>
          <w:rFonts w:asciiTheme="minorHAnsi" w:hAnsiTheme="minorHAnsi" w:cs="Arial"/>
          <w:color w:val="221E1F"/>
          <w:lang w:eastAsia="en-US"/>
        </w:rPr>
        <w:t>Purified FIX concentrates may also be admin</w:t>
      </w:r>
      <w:r w:rsidRPr="00C5365F">
        <w:rPr>
          <w:rFonts w:asciiTheme="minorHAnsi" w:hAnsiTheme="minorHAnsi" w:cs="Arial"/>
          <w:color w:val="221E1F"/>
          <w:lang w:eastAsia="en-US"/>
        </w:rPr>
        <w:softHyphen/>
        <w:t xml:space="preserve">istered by continuous infusion (as with FVIII concentrates). </w:t>
      </w:r>
    </w:p>
    <w:p w:rsidR="004B5AE5" w:rsidRDefault="004B5AE5" w:rsidP="004B5AE5">
      <w:pPr>
        <w:autoSpaceDE w:val="0"/>
        <w:autoSpaceDN w:val="0"/>
        <w:adjustRightInd w:val="0"/>
        <w:spacing w:after="0"/>
        <w:ind w:left="1247" w:hanging="1134"/>
        <w:rPr>
          <w:rFonts w:asciiTheme="minorHAnsi" w:hAnsiTheme="minorHAnsi" w:cs="Arial"/>
          <w:color w:val="221E1F"/>
          <w:lang w:eastAsia="en-US"/>
        </w:rPr>
      </w:pPr>
    </w:p>
    <w:p w:rsidR="004B5AE5" w:rsidRPr="00C5365F" w:rsidRDefault="004B5AE5" w:rsidP="00041ED2">
      <w:pPr>
        <w:autoSpaceDE w:val="0"/>
        <w:autoSpaceDN w:val="0"/>
        <w:adjustRightInd w:val="0"/>
        <w:spacing w:after="0"/>
        <w:ind w:left="1247" w:hanging="1247"/>
        <w:rPr>
          <w:rFonts w:asciiTheme="minorHAnsi" w:hAnsiTheme="minorHAnsi" w:cs="Arial"/>
          <w:color w:val="221E1F"/>
          <w:lang w:eastAsia="en-US"/>
        </w:rPr>
      </w:pPr>
      <w:r>
        <w:rPr>
          <w:rFonts w:asciiTheme="minorHAnsi" w:hAnsiTheme="minorHAnsi" w:cs="Arial"/>
          <w:color w:val="221E1F"/>
          <w:lang w:eastAsia="en-US"/>
        </w:rPr>
        <w:t>4.1.49</w:t>
      </w:r>
      <w:r>
        <w:rPr>
          <w:rFonts w:asciiTheme="minorHAnsi" w:hAnsiTheme="minorHAnsi" w:cs="Arial"/>
          <w:color w:val="221E1F"/>
          <w:lang w:eastAsia="en-US"/>
        </w:rPr>
        <w:tab/>
      </w:r>
      <w:r w:rsidRPr="00C5365F">
        <w:rPr>
          <w:rFonts w:asciiTheme="minorHAnsi" w:hAnsiTheme="minorHAnsi" w:cs="Arial"/>
          <w:color w:val="221E1F"/>
          <w:lang w:eastAsia="en-US"/>
        </w:rPr>
        <w:t>Allergic reactions may occur with infusions of FIX concentrates in patients with anti-FIX inhib</w:t>
      </w:r>
      <w:r w:rsidRPr="00C5365F">
        <w:rPr>
          <w:rFonts w:asciiTheme="minorHAnsi" w:hAnsiTheme="minorHAnsi" w:cs="Arial"/>
          <w:color w:val="221E1F"/>
          <w:lang w:eastAsia="en-US"/>
        </w:rPr>
        <w:softHyphen/>
        <w:t>itors. In such patients, infusions may need to be covered with hydrocortisone</w:t>
      </w:r>
      <w:r>
        <w:rPr>
          <w:rFonts w:asciiTheme="minorHAnsi" w:hAnsiTheme="minorHAnsi" w:cs="Arial"/>
          <w:color w:val="221E1F"/>
          <w:lang w:eastAsia="en-US"/>
        </w:rPr>
        <w:t xml:space="preserve">. </w:t>
      </w:r>
      <w:r w:rsidRPr="00A7274B">
        <w:rPr>
          <w:rFonts w:asciiTheme="minorHAnsi" w:hAnsiTheme="minorHAnsi" w:cs="Arial"/>
          <w:color w:val="221E1F"/>
          <w:vertAlign w:val="superscript"/>
          <w:lang w:eastAsia="en-US"/>
        </w:rPr>
        <w:t xml:space="preserve">[19] </w:t>
      </w:r>
      <w:r w:rsidRPr="00C5365F">
        <w:rPr>
          <w:rFonts w:asciiTheme="minorHAnsi" w:hAnsiTheme="minorHAnsi" w:cs="Arial"/>
          <w:color w:val="221E1F"/>
          <w:lang w:eastAsia="en-US"/>
        </w:rPr>
        <w:t xml:space="preserve">Changing the brand of clotting factor concentrate sometimes reduces symptoms. </w:t>
      </w:r>
    </w:p>
    <w:p w:rsidR="004B5AE5" w:rsidRPr="00C5365F" w:rsidRDefault="004B5AE5" w:rsidP="004B5AE5">
      <w:pPr>
        <w:autoSpaceDE w:val="0"/>
        <w:autoSpaceDN w:val="0"/>
        <w:adjustRightInd w:val="0"/>
        <w:spacing w:after="0"/>
        <w:ind w:left="709" w:hanging="425"/>
        <w:rPr>
          <w:rFonts w:asciiTheme="minorHAnsi" w:hAnsiTheme="minorHAnsi" w:cs="Arial"/>
          <w:color w:val="221E1F"/>
          <w:lang w:eastAsia="en-US"/>
        </w:rPr>
      </w:pPr>
    </w:p>
    <w:p w:rsidR="004B5AE5" w:rsidRPr="00041ED2" w:rsidRDefault="004B5AE5" w:rsidP="00041ED2">
      <w:pPr>
        <w:pStyle w:val="Heading3"/>
        <w:rPr>
          <w:rStyle w:val="A8"/>
          <w:b/>
        </w:rPr>
      </w:pPr>
      <w:bookmarkStart w:id="31" w:name="_Toc431484324"/>
      <w:r w:rsidRPr="00041ED2">
        <w:rPr>
          <w:rStyle w:val="A8"/>
        </w:rPr>
        <w:t>4.2 Other plasma products</w:t>
      </w:r>
      <w:bookmarkEnd w:id="31"/>
      <w:r w:rsidRPr="00041ED2">
        <w:rPr>
          <w:rStyle w:val="A8"/>
        </w:rPr>
        <w:t xml:space="preserve"> </w:t>
      </w:r>
    </w:p>
    <w:p w:rsidR="004B5AE5" w:rsidRDefault="004B5AE5" w:rsidP="00041ED2">
      <w:pPr>
        <w:autoSpaceDE w:val="0"/>
        <w:autoSpaceDN w:val="0"/>
        <w:adjustRightInd w:val="0"/>
        <w:spacing w:after="0"/>
        <w:ind w:left="1418" w:hanging="1418"/>
        <w:rPr>
          <w:rFonts w:asciiTheme="minorHAnsi" w:hAnsiTheme="minorHAnsi" w:cs="Arial"/>
          <w:b/>
          <w:bCs/>
          <w:color w:val="221E1F"/>
          <w:lang w:eastAsia="en-US"/>
        </w:rPr>
      </w:pPr>
      <w:r>
        <w:rPr>
          <w:rFonts w:asciiTheme="minorHAnsi" w:hAnsiTheme="minorHAnsi" w:cs="Arial"/>
          <w:b/>
          <w:bCs/>
          <w:color w:val="221E1F"/>
          <w:lang w:eastAsia="en-US"/>
        </w:rPr>
        <w:t>4.2.1</w:t>
      </w:r>
      <w:r>
        <w:rPr>
          <w:rFonts w:asciiTheme="minorHAnsi" w:hAnsiTheme="minorHAnsi" w:cs="Arial"/>
          <w:b/>
          <w:bCs/>
          <w:color w:val="221E1F"/>
          <w:lang w:eastAsia="en-US"/>
        </w:rPr>
        <w:tab/>
      </w:r>
      <w:r w:rsidRPr="00C5365F">
        <w:rPr>
          <w:rFonts w:asciiTheme="minorHAnsi" w:hAnsiTheme="minorHAnsi" w:cs="Arial"/>
          <w:b/>
          <w:bCs/>
          <w:color w:val="221E1F"/>
          <w:lang w:eastAsia="en-US"/>
        </w:rPr>
        <w:t>The WFH supports the use of coagulation factor concentrates in preference to cryoprecipitate or fresh frozen plasma (FFP) due to concerns about their quality and safety. Where recombinant or specific plasma derived factor concentrates are available cryoprecipate or FFP should not be used</w:t>
      </w:r>
      <w:r>
        <w:rPr>
          <w:rFonts w:asciiTheme="minorHAnsi" w:hAnsiTheme="minorHAnsi" w:cs="Arial"/>
          <w:b/>
          <w:bCs/>
          <w:color w:val="221E1F"/>
          <w:lang w:eastAsia="en-US"/>
        </w:rPr>
        <w:t xml:space="preserve">. </w:t>
      </w:r>
      <w:r w:rsidRPr="00A7274B">
        <w:rPr>
          <w:rFonts w:asciiTheme="minorHAnsi" w:hAnsiTheme="minorHAnsi" w:cs="Arial"/>
          <w:b/>
          <w:bCs/>
          <w:color w:val="221E1F"/>
          <w:vertAlign w:val="superscript"/>
          <w:lang w:eastAsia="en-US"/>
        </w:rPr>
        <w:t>[1</w:t>
      </w:r>
      <w:proofErr w:type="gramStart"/>
      <w:r w:rsidRPr="00A7274B">
        <w:rPr>
          <w:rFonts w:asciiTheme="minorHAnsi" w:hAnsiTheme="minorHAnsi" w:cs="Arial"/>
          <w:b/>
          <w:bCs/>
          <w:color w:val="221E1F"/>
          <w:vertAlign w:val="superscript"/>
          <w:lang w:eastAsia="en-US"/>
        </w:rPr>
        <w:t>,2</w:t>
      </w:r>
      <w:proofErr w:type="gramEnd"/>
      <w:r w:rsidRPr="00A7274B">
        <w:rPr>
          <w:rFonts w:asciiTheme="minorHAnsi" w:hAnsiTheme="minorHAnsi" w:cs="Arial"/>
          <w:b/>
          <w:bCs/>
          <w:color w:val="221E1F"/>
          <w:vertAlign w:val="superscript"/>
          <w:lang w:eastAsia="en-US"/>
        </w:rPr>
        <w:t>]</w:t>
      </w:r>
      <w:r w:rsidRPr="00C5365F">
        <w:rPr>
          <w:rFonts w:asciiTheme="minorHAnsi" w:hAnsiTheme="minorHAnsi" w:cs="Arial"/>
          <w:b/>
          <w:bCs/>
          <w:color w:val="221E1F"/>
          <w:lang w:eastAsia="en-US"/>
        </w:rPr>
        <w:t xml:space="preserve">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4.2.2</w:t>
      </w:r>
      <w:r>
        <w:rPr>
          <w:rFonts w:asciiTheme="minorHAnsi" w:hAnsiTheme="minorHAnsi" w:cs="Arial"/>
          <w:color w:val="221E1F"/>
          <w:lang w:eastAsia="en-US"/>
        </w:rPr>
        <w:tab/>
      </w:r>
      <w:r w:rsidRPr="00C5365F">
        <w:rPr>
          <w:rFonts w:asciiTheme="minorHAnsi" w:hAnsiTheme="minorHAnsi" w:cs="Arial"/>
          <w:color w:val="221E1F"/>
          <w:lang w:eastAsia="en-US"/>
        </w:rPr>
        <w:t>Cryoprecipitate and FFP are not subjected to viral inactivation proce</w:t>
      </w:r>
      <w:r>
        <w:rPr>
          <w:rFonts w:asciiTheme="minorHAnsi" w:hAnsiTheme="minorHAnsi" w:cs="Arial"/>
          <w:color w:val="221E1F"/>
          <w:lang w:eastAsia="en-US"/>
        </w:rPr>
        <w:t>dures (such as heat or solvent/</w:t>
      </w:r>
      <w:r w:rsidRPr="00C5365F">
        <w:rPr>
          <w:rFonts w:asciiTheme="minorHAnsi" w:hAnsiTheme="minorHAnsi" w:cs="Arial"/>
          <w:color w:val="221E1F"/>
          <w:lang w:eastAsia="en-US"/>
        </w:rPr>
        <w:t>detergent treatment), leading to an increased risk of transmission of viral pathogens, which is significant with repeated infusions</w:t>
      </w:r>
      <w:r>
        <w:rPr>
          <w:rFonts w:asciiTheme="minorHAnsi" w:hAnsiTheme="minorHAnsi" w:cs="Arial"/>
          <w:color w:val="221E1F"/>
          <w:lang w:eastAsia="en-US"/>
        </w:rPr>
        <w:t xml:space="preserve">. </w:t>
      </w:r>
      <w:r w:rsidRPr="00A7274B">
        <w:rPr>
          <w:rFonts w:asciiTheme="minorHAnsi" w:hAnsiTheme="minorHAnsi" w:cs="Arial"/>
          <w:color w:val="221E1F"/>
          <w:vertAlign w:val="superscript"/>
          <w:lang w:eastAsia="en-US"/>
        </w:rPr>
        <w:t>[1]</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4.2.3</w:t>
      </w:r>
      <w:r>
        <w:rPr>
          <w:rFonts w:asciiTheme="minorHAnsi" w:hAnsiTheme="minorHAnsi" w:cs="Arial"/>
          <w:color w:val="221E1F"/>
          <w:lang w:eastAsia="en-US"/>
        </w:rPr>
        <w:tab/>
      </w:r>
      <w:r w:rsidRPr="00C5365F">
        <w:rPr>
          <w:rFonts w:asciiTheme="minorHAnsi" w:hAnsiTheme="minorHAnsi" w:cs="Arial"/>
          <w:color w:val="221E1F"/>
          <w:lang w:eastAsia="en-US"/>
        </w:rPr>
        <w:t>Certain steps</w:t>
      </w:r>
      <w:r>
        <w:rPr>
          <w:rFonts w:asciiTheme="minorHAnsi" w:hAnsiTheme="minorHAnsi" w:cs="Arial"/>
          <w:color w:val="221E1F"/>
          <w:lang w:eastAsia="en-US"/>
        </w:rPr>
        <w:t xml:space="preserve"> </w:t>
      </w:r>
      <w:r w:rsidRPr="00C5365F">
        <w:rPr>
          <w:rFonts w:asciiTheme="minorHAnsi" w:hAnsiTheme="minorHAnsi" w:cs="Arial"/>
          <w:color w:val="221E1F"/>
          <w:lang w:eastAsia="en-US"/>
        </w:rPr>
        <w:t>have</w:t>
      </w:r>
      <w:r>
        <w:rPr>
          <w:rFonts w:asciiTheme="minorHAnsi" w:hAnsiTheme="minorHAnsi" w:cs="Arial"/>
          <w:color w:val="221E1F"/>
          <w:lang w:eastAsia="en-US"/>
        </w:rPr>
        <w:t xml:space="preserve"> been taken to minimis</w:t>
      </w:r>
      <w:r w:rsidRPr="00C5365F">
        <w:rPr>
          <w:rFonts w:asciiTheme="minorHAnsi" w:hAnsiTheme="minorHAnsi" w:cs="Arial"/>
          <w:color w:val="221E1F"/>
          <w:lang w:eastAsia="en-US"/>
        </w:rPr>
        <w:t xml:space="preserve">e the risk of transmission of viral pathogens. These include: </w:t>
      </w:r>
    </w:p>
    <w:p w:rsidR="004B5AE5" w:rsidRPr="00C5365F"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4B5AE5">
      <w:pPr>
        <w:pStyle w:val="ListParagraph"/>
        <w:numPr>
          <w:ilvl w:val="0"/>
          <w:numId w:val="56"/>
        </w:numPr>
        <w:autoSpaceDE w:val="0"/>
        <w:autoSpaceDN w:val="0"/>
        <w:adjustRightInd w:val="0"/>
        <w:spacing w:after="0" w:line="276" w:lineRule="auto"/>
        <w:ind w:left="1701" w:hanging="284"/>
        <w:rPr>
          <w:rFonts w:asciiTheme="minorHAnsi" w:hAnsiTheme="minorHAnsi" w:cs="Arial"/>
          <w:color w:val="221E1F"/>
          <w:lang w:eastAsia="en-US"/>
        </w:rPr>
      </w:pPr>
      <w:r w:rsidRPr="00C5365F">
        <w:rPr>
          <w:rFonts w:asciiTheme="minorHAnsi" w:hAnsiTheme="minorHAnsi" w:cs="Arial"/>
          <w:color w:val="221E1F"/>
          <w:lang w:eastAsia="en-US"/>
        </w:rPr>
        <w:t>Nucleic acid testing (NAT) to detect viruses—a technology that has a potentially much greater relevance for the production of cryoprecipi</w:t>
      </w:r>
      <w:r w:rsidRPr="00C5365F">
        <w:rPr>
          <w:rFonts w:asciiTheme="minorHAnsi" w:hAnsiTheme="minorHAnsi" w:cs="Arial"/>
          <w:color w:val="221E1F"/>
          <w:lang w:eastAsia="en-US"/>
        </w:rPr>
        <w:softHyphen/>
        <w:t>tate than for factor concentrates, as the latter are subjected to viral inactivation steps</w:t>
      </w:r>
      <w:r>
        <w:rPr>
          <w:rFonts w:asciiTheme="minorHAnsi" w:hAnsiTheme="minorHAnsi" w:cs="Arial"/>
          <w:color w:val="221E1F"/>
          <w:lang w:eastAsia="en-US"/>
        </w:rPr>
        <w:t xml:space="preserve">. </w:t>
      </w:r>
      <w:r w:rsidRPr="00A7274B">
        <w:rPr>
          <w:rFonts w:asciiTheme="minorHAnsi" w:hAnsiTheme="minorHAnsi" w:cs="Arial"/>
          <w:color w:val="221E1F"/>
          <w:vertAlign w:val="superscript"/>
          <w:lang w:eastAsia="en-US"/>
        </w:rPr>
        <w:t>[20]</w:t>
      </w:r>
      <w:r w:rsidRPr="00C5365F">
        <w:rPr>
          <w:rFonts w:asciiTheme="minorHAnsi" w:hAnsiTheme="minorHAnsi" w:cs="Arial"/>
          <w:color w:val="221E1F"/>
          <w:lang w:eastAsia="en-US"/>
        </w:rPr>
        <w:t xml:space="preserve"> </w:t>
      </w:r>
    </w:p>
    <w:p w:rsidR="004B5AE5" w:rsidRDefault="004B5AE5" w:rsidP="004B5AE5">
      <w:pPr>
        <w:pStyle w:val="ListParagraph"/>
        <w:autoSpaceDE w:val="0"/>
        <w:autoSpaceDN w:val="0"/>
        <w:adjustRightInd w:val="0"/>
        <w:spacing w:after="0"/>
        <w:ind w:left="1701"/>
        <w:rPr>
          <w:rFonts w:asciiTheme="minorHAnsi" w:hAnsiTheme="minorHAnsi" w:cs="Arial"/>
          <w:color w:val="221E1F"/>
          <w:lang w:eastAsia="en-US"/>
        </w:rPr>
      </w:pPr>
    </w:p>
    <w:p w:rsidR="004B5AE5" w:rsidRPr="00A7274B"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4.2.4</w:t>
      </w:r>
      <w:r>
        <w:rPr>
          <w:rFonts w:asciiTheme="minorHAnsi" w:hAnsiTheme="minorHAnsi" w:cs="Arial"/>
          <w:color w:val="221E1F"/>
          <w:lang w:eastAsia="en-US"/>
        </w:rPr>
        <w:tab/>
      </w:r>
      <w:r>
        <w:rPr>
          <w:rFonts w:asciiTheme="minorHAnsi" w:hAnsiTheme="minorHAnsi" w:cs="Arial"/>
          <w:color w:val="221E1F"/>
          <w:lang w:eastAsia="en-US"/>
        </w:rPr>
        <w:tab/>
      </w:r>
      <w:r w:rsidRPr="00A7274B">
        <w:rPr>
          <w:rFonts w:asciiTheme="minorHAnsi" w:hAnsiTheme="minorHAnsi" w:cs="Arial"/>
          <w:color w:val="221E1F"/>
          <w:lang w:eastAsia="en-US"/>
        </w:rPr>
        <w:t>Allergic reactions are more common following infusion of cryoprecipitate than concentrate</w:t>
      </w:r>
      <w:r>
        <w:rPr>
          <w:rFonts w:asciiTheme="minorHAnsi" w:hAnsiTheme="minorHAnsi" w:cs="Arial"/>
          <w:color w:val="221E1F"/>
          <w:lang w:eastAsia="en-US"/>
        </w:rPr>
        <w:t xml:space="preserve">. </w:t>
      </w:r>
      <w:r w:rsidRPr="00A7274B">
        <w:rPr>
          <w:rFonts w:asciiTheme="minorHAnsi" w:hAnsiTheme="minorHAnsi" w:cs="Arial"/>
          <w:color w:val="221E1F"/>
          <w:vertAlign w:val="superscript"/>
          <w:lang w:eastAsia="en-US"/>
        </w:rPr>
        <w:t>[21]</w:t>
      </w:r>
    </w:p>
    <w:p w:rsidR="004B5AE5" w:rsidRPr="00C5365F" w:rsidRDefault="004B5AE5" w:rsidP="004B5AE5">
      <w:pPr>
        <w:autoSpaceDE w:val="0"/>
        <w:autoSpaceDN w:val="0"/>
        <w:adjustRightInd w:val="0"/>
        <w:spacing w:after="0"/>
        <w:rPr>
          <w:rFonts w:asciiTheme="minorHAnsi" w:hAnsiTheme="minorHAnsi" w:cs="Arial"/>
          <w:color w:val="221E1F"/>
          <w:lang w:eastAsia="en-US"/>
        </w:rPr>
      </w:pPr>
    </w:p>
    <w:p w:rsidR="004B5AE5" w:rsidRPr="00A7274B" w:rsidRDefault="004B5AE5" w:rsidP="00041ED2">
      <w:pPr>
        <w:pStyle w:val="Heading4"/>
        <w:rPr>
          <w:lang w:eastAsia="en-US"/>
        </w:rPr>
      </w:pPr>
      <w:r w:rsidRPr="00C5365F">
        <w:rPr>
          <w:lang w:eastAsia="en-US"/>
        </w:rPr>
        <w:t xml:space="preserve">Fresh frozen plasma (FFP) </w:t>
      </w: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4.2.5</w:t>
      </w:r>
      <w:r>
        <w:rPr>
          <w:rFonts w:asciiTheme="minorHAnsi" w:hAnsiTheme="minorHAnsi" w:cs="Arial"/>
          <w:color w:val="221E1F"/>
          <w:lang w:eastAsia="en-US"/>
        </w:rPr>
        <w:tab/>
      </w:r>
      <w:r w:rsidRPr="00C5365F">
        <w:rPr>
          <w:rFonts w:asciiTheme="minorHAnsi" w:hAnsiTheme="minorHAnsi" w:cs="Arial"/>
          <w:color w:val="221E1F"/>
          <w:lang w:eastAsia="en-US"/>
        </w:rPr>
        <w:t xml:space="preserve">As FFP contains all the coagulation factors, it is sometimes used to treat coagulation factor deficiencies.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b/>
          <w:bCs/>
          <w:color w:val="221E1F"/>
          <w:lang w:eastAsia="en-US"/>
        </w:rPr>
      </w:pPr>
      <w:r>
        <w:rPr>
          <w:rFonts w:asciiTheme="minorHAnsi" w:hAnsiTheme="minorHAnsi" w:cs="Arial"/>
          <w:color w:val="221E1F"/>
          <w:lang w:eastAsia="en-US"/>
        </w:rPr>
        <w:t>4.2.6</w:t>
      </w:r>
      <w:r>
        <w:rPr>
          <w:rFonts w:asciiTheme="minorHAnsi" w:hAnsiTheme="minorHAnsi" w:cs="Arial"/>
          <w:color w:val="221E1F"/>
          <w:lang w:eastAsia="en-US"/>
        </w:rPr>
        <w:tab/>
      </w:r>
      <w:r w:rsidRPr="00C5365F">
        <w:rPr>
          <w:rFonts w:asciiTheme="minorHAnsi" w:hAnsiTheme="minorHAnsi" w:cs="Arial"/>
          <w:b/>
          <w:bCs/>
          <w:color w:val="221E1F"/>
          <w:lang w:eastAsia="en-US"/>
        </w:rPr>
        <w:t xml:space="preserve">Cryoprecipitate is preferable to FFP for the treatment of haemophilia A. </w:t>
      </w:r>
      <w:r w:rsidRPr="00A7274B">
        <w:rPr>
          <w:rFonts w:asciiTheme="minorHAnsi" w:hAnsiTheme="minorHAnsi" w:cs="Arial"/>
          <w:b/>
          <w:bCs/>
          <w:color w:val="221E1F"/>
          <w:vertAlign w:val="superscript"/>
          <w:lang w:eastAsia="en-US"/>
        </w:rPr>
        <w:t>[22]</w:t>
      </w:r>
      <w:r w:rsidRPr="00C5365F">
        <w:rPr>
          <w:rFonts w:asciiTheme="minorHAnsi" w:hAnsiTheme="minorHAnsi" w:cs="Arial"/>
          <w:b/>
          <w:bCs/>
          <w:color w:val="221E1F"/>
          <w:lang w:eastAsia="en-US"/>
        </w:rPr>
        <w:t xml:space="preserve">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lastRenderedPageBreak/>
        <w:t>4.2.7</w:t>
      </w:r>
      <w:r>
        <w:rPr>
          <w:rFonts w:asciiTheme="minorHAnsi" w:hAnsiTheme="minorHAnsi" w:cs="Arial"/>
          <w:color w:val="221E1F"/>
          <w:lang w:eastAsia="en-US"/>
        </w:rPr>
        <w:tab/>
      </w:r>
      <w:r w:rsidRPr="00C5365F">
        <w:rPr>
          <w:rFonts w:asciiTheme="minorHAnsi" w:hAnsiTheme="minorHAnsi" w:cs="Arial"/>
          <w:b/>
          <w:bCs/>
          <w:color w:val="221E1F"/>
          <w:lang w:eastAsia="en-US"/>
        </w:rPr>
        <w:t>Due to concerns about the safety and quality of FFP, its use is not recommended, if avoidable</w:t>
      </w:r>
      <w:r>
        <w:rPr>
          <w:rFonts w:asciiTheme="minorHAnsi" w:hAnsiTheme="minorHAnsi" w:cs="Arial"/>
          <w:b/>
          <w:bCs/>
          <w:color w:val="221E1F"/>
          <w:lang w:eastAsia="en-US"/>
        </w:rPr>
        <w:t xml:space="preserve">. </w:t>
      </w:r>
      <w:r w:rsidRPr="00A7274B">
        <w:rPr>
          <w:rFonts w:asciiTheme="minorHAnsi" w:hAnsiTheme="minorHAnsi" w:cs="Arial"/>
          <w:b/>
          <w:bCs/>
          <w:color w:val="221E1F"/>
          <w:vertAlign w:val="superscript"/>
          <w:lang w:eastAsia="en-US"/>
        </w:rPr>
        <w:t>[23]</w:t>
      </w:r>
      <w:r w:rsidRPr="00C5365F">
        <w:rPr>
          <w:rFonts w:asciiTheme="minorHAnsi" w:hAnsiTheme="minorHAnsi" w:cs="Arial"/>
          <w:b/>
          <w:bCs/>
          <w:color w:val="221E1F"/>
          <w:lang w:eastAsia="en-US"/>
        </w:rPr>
        <w:t xml:space="preserve"> </w:t>
      </w:r>
      <w:r w:rsidRPr="00C5365F">
        <w:rPr>
          <w:rFonts w:asciiTheme="minorHAnsi" w:hAnsiTheme="minorHAnsi" w:cs="Arial"/>
          <w:color w:val="221E1F"/>
          <w:lang w:eastAsia="en-US"/>
        </w:rPr>
        <w:t>However, as FFP and cryo-poor plasma contain FIX, they can be used for the treatment of haemophilia B.</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Pr="00C5365F"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4.2.8</w:t>
      </w:r>
      <w:r>
        <w:rPr>
          <w:rFonts w:asciiTheme="minorHAnsi" w:hAnsiTheme="minorHAnsi" w:cs="Arial"/>
          <w:color w:val="221E1F"/>
          <w:lang w:eastAsia="en-US"/>
        </w:rPr>
        <w:tab/>
      </w:r>
      <w:r w:rsidRPr="00C5365F">
        <w:rPr>
          <w:rFonts w:asciiTheme="minorHAnsi" w:hAnsiTheme="minorHAnsi" w:cs="Arial"/>
          <w:color w:val="221E1F"/>
          <w:lang w:eastAsia="en-US"/>
        </w:rPr>
        <w:t xml:space="preserve">In </w:t>
      </w:r>
      <w:r w:rsidRPr="00A7274B">
        <w:rPr>
          <w:rFonts w:asciiTheme="minorHAnsi" w:hAnsiTheme="minorHAnsi" w:cs="Arial"/>
          <w:lang w:eastAsia="en-US"/>
        </w:rPr>
        <w:t>Australia,</w:t>
      </w:r>
      <w:r w:rsidRPr="00A7274B" w:rsidDel="00B46E5B">
        <w:rPr>
          <w:rFonts w:asciiTheme="minorHAnsi" w:hAnsiTheme="minorHAnsi" w:cs="Arial"/>
          <w:lang w:eastAsia="en-US"/>
        </w:rPr>
        <w:t xml:space="preserve"> </w:t>
      </w:r>
      <w:r w:rsidRPr="00A7274B">
        <w:rPr>
          <w:rFonts w:asciiTheme="minorHAnsi" w:hAnsiTheme="minorHAnsi" w:cs="Arial"/>
          <w:lang w:eastAsia="en-US"/>
        </w:rPr>
        <w:t>it</w:t>
      </w:r>
      <w:r w:rsidRPr="00C5365F">
        <w:rPr>
          <w:rFonts w:asciiTheme="minorHAnsi" w:hAnsiTheme="minorHAnsi" w:cs="Arial"/>
          <w:color w:val="221E1F"/>
          <w:lang w:eastAsia="en-US"/>
        </w:rPr>
        <w:t xml:space="preserve"> is possible to apply some forms of virucidal treatment to p</w:t>
      </w:r>
      <w:r>
        <w:rPr>
          <w:rFonts w:asciiTheme="minorHAnsi" w:hAnsiTheme="minorHAnsi" w:cs="Arial"/>
          <w:color w:val="221E1F"/>
          <w:lang w:eastAsia="en-US"/>
        </w:rPr>
        <w:t>acks of FFP (including solvent/</w:t>
      </w:r>
      <w:r w:rsidRPr="00C5365F">
        <w:rPr>
          <w:rFonts w:asciiTheme="minorHAnsi" w:hAnsiTheme="minorHAnsi" w:cs="Arial"/>
          <w:color w:val="221E1F"/>
          <w:lang w:eastAsia="en-US"/>
        </w:rPr>
        <w:t>detergent treatment) and the use of treated packs is recommended. However, virucidal treatment may have some impact on coagulation factors. The large scale</w:t>
      </w:r>
      <w:r>
        <w:rPr>
          <w:rFonts w:asciiTheme="minorHAnsi" w:hAnsiTheme="minorHAnsi" w:cs="Arial"/>
          <w:color w:val="221E1F"/>
          <w:lang w:eastAsia="en-US"/>
        </w:rPr>
        <w:t xml:space="preserve"> preparation of pooled solvent/</w:t>
      </w:r>
      <w:r w:rsidRPr="00C5365F">
        <w:rPr>
          <w:rFonts w:asciiTheme="minorHAnsi" w:hAnsiTheme="minorHAnsi" w:cs="Arial"/>
          <w:color w:val="221E1F"/>
          <w:lang w:eastAsia="en-US"/>
        </w:rPr>
        <w:t>detergent-treated plasma has also been shown to reduce the proportion of the largest multimers of VWF</w:t>
      </w:r>
      <w:r>
        <w:rPr>
          <w:rFonts w:asciiTheme="minorHAnsi" w:hAnsiTheme="minorHAnsi" w:cs="Arial"/>
          <w:color w:val="221E1F"/>
          <w:lang w:eastAsia="en-US"/>
        </w:rPr>
        <w:t xml:space="preserve">. </w:t>
      </w:r>
      <w:r w:rsidRPr="00A7274B">
        <w:rPr>
          <w:rFonts w:asciiTheme="minorHAnsi" w:hAnsiTheme="minorHAnsi" w:cs="Arial"/>
          <w:color w:val="221E1F"/>
          <w:vertAlign w:val="superscript"/>
          <w:lang w:eastAsia="en-US"/>
        </w:rPr>
        <w:t>[24</w:t>
      </w:r>
      <w:proofErr w:type="gramStart"/>
      <w:r w:rsidRPr="00A7274B">
        <w:rPr>
          <w:rFonts w:asciiTheme="minorHAnsi" w:hAnsiTheme="minorHAnsi" w:cs="Arial"/>
          <w:color w:val="221E1F"/>
          <w:vertAlign w:val="superscript"/>
          <w:lang w:eastAsia="en-US"/>
        </w:rPr>
        <w:t>,25</w:t>
      </w:r>
      <w:proofErr w:type="gramEnd"/>
      <w:r w:rsidRPr="00A7274B">
        <w:rPr>
          <w:rFonts w:asciiTheme="minorHAnsi" w:hAnsiTheme="minorHAnsi" w:cs="Arial"/>
          <w:color w:val="221E1F"/>
          <w:vertAlign w:val="superscript"/>
          <w:lang w:eastAsia="en-US"/>
        </w:rPr>
        <w:t>]</w:t>
      </w:r>
      <w:r w:rsidRPr="00C5365F">
        <w:rPr>
          <w:rFonts w:asciiTheme="minorHAnsi" w:hAnsiTheme="minorHAnsi" w:cs="Arial"/>
          <w:color w:val="221E1F"/>
          <w:lang w:eastAsia="en-US"/>
        </w:rPr>
        <w:t xml:space="preserve"> </w:t>
      </w:r>
    </w:p>
    <w:p w:rsidR="004B5AE5" w:rsidRPr="00BD1761" w:rsidRDefault="004B5AE5" w:rsidP="00041ED2">
      <w:pPr>
        <w:pStyle w:val="Heading4"/>
        <w:rPr>
          <w:lang w:eastAsia="en-US"/>
        </w:rPr>
      </w:pPr>
      <w:r w:rsidRPr="00BD1761">
        <w:rPr>
          <w:lang w:eastAsia="en-US"/>
        </w:rPr>
        <w:t>Dosage/administration</w:t>
      </w: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4.2.9</w:t>
      </w:r>
      <w:r>
        <w:rPr>
          <w:rFonts w:asciiTheme="minorHAnsi" w:hAnsiTheme="minorHAnsi" w:cs="Arial"/>
          <w:color w:val="221E1F"/>
          <w:lang w:eastAsia="en-US"/>
        </w:rPr>
        <w:tab/>
      </w:r>
      <w:r w:rsidRPr="00C5365F">
        <w:rPr>
          <w:rFonts w:asciiTheme="minorHAnsi" w:hAnsiTheme="minorHAnsi" w:cs="Arial"/>
          <w:color w:val="221E1F"/>
          <w:lang w:eastAsia="en-US"/>
        </w:rPr>
        <w:t>One ml of fresh frozen plasma</w:t>
      </w:r>
      <w:r w:rsidR="00173B0C">
        <w:rPr>
          <w:rFonts w:asciiTheme="minorHAnsi" w:hAnsiTheme="minorHAnsi" w:cs="Arial"/>
          <w:color w:val="221E1F"/>
          <w:lang w:eastAsia="en-US"/>
        </w:rPr>
        <w:t xml:space="preserve"> (FFP)</w:t>
      </w:r>
      <w:r w:rsidRPr="00C5365F">
        <w:rPr>
          <w:rFonts w:asciiTheme="minorHAnsi" w:hAnsiTheme="minorHAnsi" w:cs="Arial"/>
          <w:color w:val="221E1F"/>
          <w:lang w:eastAsia="en-US"/>
        </w:rPr>
        <w:t xml:space="preserve"> contains 1 unit of factor activity.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4.2.10</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It</w:t>
      </w:r>
      <w:proofErr w:type="gramEnd"/>
      <w:r w:rsidRPr="00C5365F">
        <w:rPr>
          <w:rFonts w:asciiTheme="minorHAnsi" w:hAnsiTheme="minorHAnsi" w:cs="Arial"/>
          <w:color w:val="221E1F"/>
          <w:lang w:eastAsia="en-US"/>
        </w:rPr>
        <w:t xml:space="preserve"> is generally difficult to achieve FVIII levels higher than 30 IU/dl with FFP alone.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Pr="00C5365F"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4.2.11</w:t>
      </w:r>
      <w:r>
        <w:rPr>
          <w:rFonts w:asciiTheme="minorHAnsi" w:hAnsiTheme="minorHAnsi" w:cs="Arial"/>
          <w:color w:val="221E1F"/>
          <w:lang w:eastAsia="en-US"/>
        </w:rPr>
        <w:tab/>
      </w:r>
      <w:r w:rsidRPr="00C5365F">
        <w:rPr>
          <w:rFonts w:asciiTheme="minorHAnsi" w:hAnsiTheme="minorHAnsi" w:cs="Arial"/>
          <w:color w:val="221E1F"/>
          <w:lang w:eastAsia="en-US"/>
        </w:rPr>
        <w:t xml:space="preserve">FIX levels above 25 IU/dl are difficult to achieve. </w:t>
      </w:r>
      <w:r w:rsidRPr="00C5365F">
        <w:rPr>
          <w:rFonts w:asciiTheme="minorHAnsi" w:hAnsiTheme="minorHAnsi" w:cs="Arial"/>
          <w:b/>
          <w:bCs/>
          <w:color w:val="221E1F"/>
          <w:lang w:eastAsia="en-US"/>
        </w:rPr>
        <w:t xml:space="preserve">An acceptable starting dose is 15−20 ml/kg. </w:t>
      </w:r>
      <w:r w:rsidRPr="00BD1761">
        <w:rPr>
          <w:rFonts w:asciiTheme="minorHAnsi" w:hAnsiTheme="minorHAnsi" w:cs="Arial"/>
          <w:b/>
          <w:bCs/>
          <w:color w:val="221E1F"/>
          <w:vertAlign w:val="superscript"/>
          <w:lang w:eastAsia="en-US"/>
        </w:rPr>
        <w:t xml:space="preserve"> [22]</w:t>
      </w:r>
    </w:p>
    <w:p w:rsidR="004B5AE5" w:rsidRPr="00C5365F" w:rsidRDefault="004B5AE5" w:rsidP="00041ED2">
      <w:pPr>
        <w:pStyle w:val="Heading4"/>
        <w:rPr>
          <w:lang w:eastAsia="en-US"/>
        </w:rPr>
      </w:pPr>
      <w:r w:rsidRPr="00C5365F">
        <w:rPr>
          <w:lang w:eastAsia="en-US"/>
        </w:rPr>
        <w:t>Cryoprecipitate</w:t>
      </w: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4.2.12</w:t>
      </w:r>
      <w:r>
        <w:rPr>
          <w:rFonts w:asciiTheme="minorHAnsi" w:hAnsiTheme="minorHAnsi" w:cs="Arial"/>
          <w:color w:val="221E1F"/>
          <w:lang w:eastAsia="en-US"/>
        </w:rPr>
        <w:tab/>
      </w:r>
      <w:r w:rsidRPr="00C5365F">
        <w:rPr>
          <w:rFonts w:asciiTheme="minorHAnsi" w:hAnsiTheme="minorHAnsi" w:cs="Arial"/>
          <w:color w:val="221E1F"/>
          <w:lang w:eastAsia="en-US"/>
        </w:rPr>
        <w:t>Cryoprecipitate is prepared by slow thawing of fresh frozen plasma (FFP) at 4°C for 10-24 hours. It appears as an insoluble precipitate and is sepa</w:t>
      </w:r>
      <w:r w:rsidRPr="00C5365F">
        <w:rPr>
          <w:rFonts w:asciiTheme="minorHAnsi" w:hAnsiTheme="minorHAnsi" w:cs="Arial"/>
          <w:color w:val="221E1F"/>
          <w:lang w:eastAsia="en-US"/>
        </w:rPr>
        <w:softHyphen/>
        <w:t>rated by centrifugation.</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4.2.13</w:t>
      </w:r>
      <w:r>
        <w:rPr>
          <w:rFonts w:asciiTheme="minorHAnsi" w:hAnsiTheme="minorHAnsi" w:cs="Arial"/>
          <w:color w:val="221E1F"/>
          <w:lang w:eastAsia="en-US"/>
        </w:rPr>
        <w:tab/>
      </w:r>
      <w:r w:rsidRPr="00C5365F">
        <w:rPr>
          <w:rFonts w:asciiTheme="minorHAnsi" w:hAnsiTheme="minorHAnsi" w:cs="Arial"/>
          <w:color w:val="221E1F"/>
          <w:lang w:eastAsia="en-US"/>
        </w:rPr>
        <w:t xml:space="preserve">Cryoprecipitate contains significant quantities of FVIII (about 3-5 IU/ml), VWF, fibrinogen, and FXIII </w:t>
      </w:r>
      <w:r w:rsidRPr="00C5365F">
        <w:rPr>
          <w:rFonts w:asciiTheme="minorHAnsi" w:hAnsiTheme="minorHAnsi" w:cs="Arial"/>
          <w:i/>
          <w:iCs/>
          <w:color w:val="221E1F"/>
          <w:lang w:eastAsia="en-US"/>
        </w:rPr>
        <w:t>but not FIX or FXI</w:t>
      </w:r>
      <w:r w:rsidRPr="00C5365F">
        <w:rPr>
          <w:rFonts w:asciiTheme="minorHAnsi" w:hAnsiTheme="minorHAnsi" w:cs="Arial"/>
          <w:color w:val="221E1F"/>
          <w:lang w:eastAsia="en-US"/>
        </w:rPr>
        <w:t>. The resultant super</w:t>
      </w:r>
      <w:r w:rsidRPr="00C5365F">
        <w:rPr>
          <w:rFonts w:asciiTheme="minorHAnsi" w:hAnsiTheme="minorHAnsi" w:cs="Arial"/>
          <w:color w:val="221E1F"/>
          <w:lang w:eastAsia="en-US"/>
        </w:rPr>
        <w:softHyphen/>
        <w:t xml:space="preserve">natant is called cryo-poor plasma and contains other coagulation factors such as factors VII, IX, X, and XI. </w:t>
      </w:r>
    </w:p>
    <w:p w:rsidR="004B5AE5"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Pr="00C5365F" w:rsidRDefault="004B5AE5" w:rsidP="00041ED2">
      <w:pPr>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4.2.14</w:t>
      </w:r>
      <w:r>
        <w:rPr>
          <w:rFonts w:asciiTheme="minorHAnsi" w:hAnsiTheme="minorHAnsi" w:cs="Arial"/>
          <w:color w:val="221E1F"/>
          <w:lang w:eastAsia="en-US"/>
        </w:rPr>
        <w:tab/>
      </w:r>
      <w:r w:rsidRPr="00C5365F">
        <w:rPr>
          <w:rFonts w:asciiTheme="minorHAnsi" w:hAnsiTheme="minorHAnsi" w:cs="Arial"/>
          <w:b/>
          <w:bCs/>
          <w:color w:val="221E1F"/>
          <w:lang w:eastAsia="en-US"/>
        </w:rPr>
        <w:t>Due to concerns about the safety and quality of cryoprecipitate, its use in the treatment of congenital bleeding disorders is not recom</w:t>
      </w:r>
      <w:r w:rsidRPr="00C5365F">
        <w:rPr>
          <w:rFonts w:asciiTheme="minorHAnsi" w:hAnsiTheme="minorHAnsi" w:cs="Arial"/>
          <w:b/>
          <w:bCs/>
          <w:color w:val="221E1F"/>
          <w:lang w:eastAsia="en-US"/>
        </w:rPr>
        <w:softHyphen/>
        <w:t>mended and can only be justified in situations where clotting factor concentrates are not avail</w:t>
      </w:r>
      <w:r w:rsidRPr="00C5365F">
        <w:rPr>
          <w:rFonts w:asciiTheme="minorHAnsi" w:hAnsiTheme="minorHAnsi" w:cs="Arial"/>
          <w:b/>
          <w:bCs/>
          <w:color w:val="221E1F"/>
          <w:lang w:eastAsia="en-US"/>
        </w:rPr>
        <w:softHyphen/>
        <w:t xml:space="preserve">able. </w:t>
      </w:r>
      <w:r w:rsidRPr="00BD1761">
        <w:rPr>
          <w:rFonts w:asciiTheme="minorHAnsi" w:hAnsiTheme="minorHAnsi" w:cs="Arial"/>
          <w:b/>
          <w:bCs/>
          <w:color w:val="221E1F"/>
          <w:vertAlign w:val="superscript"/>
          <w:lang w:eastAsia="en-US"/>
        </w:rPr>
        <w:t>[1</w:t>
      </w:r>
      <w:proofErr w:type="gramStart"/>
      <w:r w:rsidRPr="00BD1761">
        <w:rPr>
          <w:rFonts w:asciiTheme="minorHAnsi" w:hAnsiTheme="minorHAnsi" w:cs="Arial"/>
          <w:b/>
          <w:bCs/>
          <w:color w:val="221E1F"/>
          <w:vertAlign w:val="superscript"/>
          <w:lang w:eastAsia="en-US"/>
        </w:rPr>
        <w:t>,22,26</w:t>
      </w:r>
      <w:proofErr w:type="gramEnd"/>
      <w:r w:rsidRPr="00BD1761">
        <w:rPr>
          <w:rFonts w:asciiTheme="minorHAnsi" w:hAnsiTheme="minorHAnsi" w:cs="Arial"/>
          <w:b/>
          <w:bCs/>
          <w:color w:val="221E1F"/>
          <w:vertAlign w:val="superscript"/>
          <w:lang w:eastAsia="en-US"/>
        </w:rPr>
        <w:t>]</w:t>
      </w:r>
    </w:p>
    <w:p w:rsidR="004B5AE5" w:rsidRDefault="004B5AE5" w:rsidP="00041ED2">
      <w:pPr>
        <w:pStyle w:val="Heading4"/>
        <w:rPr>
          <w:lang w:eastAsia="en-US"/>
        </w:rPr>
      </w:pPr>
      <w:r w:rsidRPr="00BD1761">
        <w:rPr>
          <w:lang w:eastAsia="en-US"/>
        </w:rPr>
        <w:t>Dosage/administration</w:t>
      </w:r>
    </w:p>
    <w:p w:rsidR="004B5AE5" w:rsidRDefault="004B5AE5" w:rsidP="00041ED2">
      <w:pPr>
        <w:autoSpaceDE w:val="0"/>
        <w:autoSpaceDN w:val="0"/>
        <w:adjustRightInd w:val="0"/>
        <w:spacing w:before="280" w:after="0"/>
        <w:ind w:left="1531" w:hanging="1531"/>
        <w:rPr>
          <w:rFonts w:asciiTheme="minorHAnsi" w:hAnsiTheme="minorHAnsi" w:cs="Arial"/>
          <w:color w:val="221E1F"/>
          <w:lang w:eastAsia="en-US"/>
        </w:rPr>
      </w:pPr>
      <w:r w:rsidRPr="00BD1761">
        <w:rPr>
          <w:rFonts w:asciiTheme="minorHAnsi" w:hAnsiTheme="minorHAnsi" w:cs="Arial"/>
          <w:color w:val="221E1F"/>
          <w:lang w:eastAsia="en-US"/>
        </w:rPr>
        <w:t>4.2.15</w:t>
      </w:r>
      <w:r>
        <w:rPr>
          <w:rFonts w:asciiTheme="minorHAnsi" w:hAnsiTheme="minorHAnsi" w:cs="Arial"/>
          <w:b/>
          <w:color w:val="221E1F"/>
          <w:lang w:eastAsia="en-US"/>
        </w:rPr>
        <w:tab/>
      </w:r>
      <w:proofErr w:type="gramStart"/>
      <w:r w:rsidRPr="00C5365F">
        <w:rPr>
          <w:rFonts w:asciiTheme="minorHAnsi" w:hAnsiTheme="minorHAnsi" w:cs="Arial"/>
          <w:color w:val="221E1F"/>
          <w:lang w:eastAsia="en-US"/>
        </w:rPr>
        <w:t>A</w:t>
      </w:r>
      <w:proofErr w:type="gramEnd"/>
      <w:r w:rsidRPr="00C5365F">
        <w:rPr>
          <w:rFonts w:asciiTheme="minorHAnsi" w:hAnsiTheme="minorHAnsi" w:cs="Arial"/>
          <w:color w:val="221E1F"/>
          <w:lang w:eastAsia="en-US"/>
        </w:rPr>
        <w:t xml:space="preserve"> bag of cryoprecipitate made from one unit of FFP (200-250ml) may contain 70–80 units of FVIII in a volume of 30–40 ml. </w:t>
      </w:r>
    </w:p>
    <w:p w:rsidR="004B5AE5" w:rsidRPr="00BD1761" w:rsidRDefault="004B5AE5" w:rsidP="004B5AE5">
      <w:pPr>
        <w:autoSpaceDE w:val="0"/>
        <w:autoSpaceDN w:val="0"/>
        <w:adjustRightInd w:val="0"/>
        <w:spacing w:before="280" w:after="0"/>
        <w:ind w:left="1418" w:hanging="1418"/>
        <w:rPr>
          <w:rFonts w:asciiTheme="minorHAnsi" w:hAnsiTheme="minorHAnsi" w:cs="Arial"/>
          <w:b/>
          <w:color w:val="221E1F"/>
          <w:lang w:eastAsia="en-US"/>
        </w:rPr>
      </w:pPr>
    </w:p>
    <w:p w:rsidR="004B5AE5" w:rsidRPr="00041ED2" w:rsidRDefault="004B5AE5" w:rsidP="00041ED2">
      <w:pPr>
        <w:pStyle w:val="Heading3"/>
        <w:rPr>
          <w:rStyle w:val="A8"/>
          <w:b/>
        </w:rPr>
      </w:pPr>
      <w:bookmarkStart w:id="32" w:name="_Toc431484325"/>
      <w:r w:rsidRPr="00041ED2">
        <w:rPr>
          <w:rStyle w:val="A8"/>
        </w:rPr>
        <w:t>4.3 Other pharmacological options</w:t>
      </w:r>
      <w:bookmarkEnd w:id="32"/>
      <w:r w:rsidRPr="00041ED2">
        <w:rPr>
          <w:rStyle w:val="A8"/>
        </w:rPr>
        <w:t xml:space="preserve"> </w:t>
      </w: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sidRPr="00BD1761">
        <w:rPr>
          <w:rFonts w:asciiTheme="minorHAnsi" w:hAnsiTheme="minorHAnsi" w:cs="Arial"/>
          <w:color w:val="221E1F"/>
          <w:lang w:eastAsia="en-US"/>
        </w:rPr>
        <w:t>4.3.1</w:t>
      </w:r>
      <w:r>
        <w:rPr>
          <w:rFonts w:asciiTheme="minorHAnsi" w:hAnsiTheme="minorHAnsi" w:cs="Arial"/>
          <w:color w:val="221E1F"/>
          <w:sz w:val="23"/>
          <w:lang w:eastAsia="en-US"/>
        </w:rPr>
        <w:tab/>
      </w:r>
      <w:r w:rsidRPr="007B2468">
        <w:rPr>
          <w:rFonts w:asciiTheme="minorHAnsi" w:hAnsiTheme="minorHAnsi" w:cs="Arial"/>
          <w:color w:val="221E1F"/>
          <w:lang w:eastAsia="en-US"/>
        </w:rPr>
        <w:t>In addition to conventional coagulation factor concentrates, other agents can be of great value in a significant proportion of cases. These include:</w:t>
      </w:r>
    </w:p>
    <w:p w:rsidR="004B5AE5" w:rsidRPr="007B2468" w:rsidRDefault="004B5AE5" w:rsidP="004B5AE5">
      <w:pPr>
        <w:autoSpaceDE w:val="0"/>
        <w:autoSpaceDN w:val="0"/>
        <w:adjustRightInd w:val="0"/>
        <w:spacing w:after="0"/>
        <w:ind w:left="1418" w:hanging="1305"/>
        <w:rPr>
          <w:rFonts w:asciiTheme="minorHAnsi" w:hAnsiTheme="minorHAnsi" w:cs="Arial"/>
          <w:color w:val="221E1F"/>
          <w:lang w:eastAsia="en-US"/>
        </w:rPr>
      </w:pPr>
    </w:p>
    <w:p w:rsidR="004B5AE5" w:rsidRPr="007B2468" w:rsidRDefault="004B5AE5" w:rsidP="004B5AE5">
      <w:pPr>
        <w:pStyle w:val="ListParagraph"/>
        <w:numPr>
          <w:ilvl w:val="0"/>
          <w:numId w:val="58"/>
        </w:numPr>
        <w:autoSpaceDE w:val="0"/>
        <w:autoSpaceDN w:val="0"/>
        <w:adjustRightInd w:val="0"/>
        <w:spacing w:after="0" w:line="276" w:lineRule="auto"/>
        <w:ind w:left="1701" w:hanging="284"/>
        <w:rPr>
          <w:rFonts w:asciiTheme="minorHAnsi" w:hAnsiTheme="minorHAnsi" w:cs="Arial"/>
          <w:color w:val="221E1F"/>
          <w:lang w:eastAsia="en-US"/>
        </w:rPr>
      </w:pPr>
      <w:r w:rsidRPr="007B2468">
        <w:rPr>
          <w:rFonts w:asciiTheme="minorHAnsi" w:hAnsiTheme="minorHAnsi" w:cs="Arial"/>
          <w:color w:val="221E1F"/>
          <w:lang w:eastAsia="en-US"/>
        </w:rPr>
        <w:t>desmopressin</w:t>
      </w:r>
    </w:p>
    <w:p w:rsidR="004B5AE5" w:rsidRPr="007B2468" w:rsidRDefault="004B5AE5" w:rsidP="004B5AE5">
      <w:pPr>
        <w:pStyle w:val="ListParagraph"/>
        <w:numPr>
          <w:ilvl w:val="0"/>
          <w:numId w:val="58"/>
        </w:numPr>
        <w:autoSpaceDE w:val="0"/>
        <w:autoSpaceDN w:val="0"/>
        <w:adjustRightInd w:val="0"/>
        <w:spacing w:after="0" w:line="276" w:lineRule="auto"/>
        <w:ind w:left="1701" w:hanging="284"/>
        <w:rPr>
          <w:rFonts w:asciiTheme="minorHAnsi" w:hAnsiTheme="minorHAnsi" w:cs="Arial"/>
          <w:color w:val="221E1F"/>
          <w:lang w:eastAsia="en-US"/>
        </w:rPr>
      </w:pPr>
      <w:r w:rsidRPr="007B2468">
        <w:rPr>
          <w:rFonts w:asciiTheme="minorHAnsi" w:hAnsiTheme="minorHAnsi" w:cs="Arial"/>
          <w:color w:val="221E1F"/>
          <w:lang w:eastAsia="en-US"/>
        </w:rPr>
        <w:t>tranexamic acid</w:t>
      </w:r>
    </w:p>
    <w:p w:rsidR="004B5AE5" w:rsidRDefault="004B5AE5" w:rsidP="004B5AE5">
      <w:pPr>
        <w:numPr>
          <w:ilvl w:val="1"/>
          <w:numId w:val="51"/>
        </w:numPr>
        <w:autoSpaceDE w:val="0"/>
        <w:autoSpaceDN w:val="0"/>
        <w:adjustRightInd w:val="0"/>
        <w:spacing w:after="0" w:line="276" w:lineRule="auto"/>
        <w:ind w:left="0"/>
        <w:rPr>
          <w:rFonts w:asciiTheme="minorHAnsi" w:hAnsiTheme="minorHAnsi" w:cs="Minion Pro"/>
          <w:color w:val="221E1F"/>
          <w:sz w:val="23"/>
          <w:szCs w:val="23"/>
          <w:lang w:eastAsia="en-US"/>
        </w:rPr>
      </w:pPr>
    </w:p>
    <w:p w:rsidR="004B5AE5" w:rsidRDefault="004B5AE5" w:rsidP="00041ED2">
      <w:pPr>
        <w:pStyle w:val="Heading4"/>
        <w:rPr>
          <w:rFonts w:cs="Minion Pro"/>
          <w:sz w:val="23"/>
          <w:szCs w:val="23"/>
          <w:lang w:eastAsia="en-US"/>
        </w:rPr>
      </w:pPr>
      <w:r w:rsidRPr="00BD1761">
        <w:rPr>
          <w:lang w:eastAsia="en-US"/>
        </w:rPr>
        <w:t>Desmopressin (DDAVP)</w:t>
      </w:r>
    </w:p>
    <w:p w:rsidR="004B5AE5" w:rsidRDefault="004B5AE5" w:rsidP="00041ED2">
      <w:pPr>
        <w:autoSpaceDE w:val="0"/>
        <w:autoSpaceDN w:val="0"/>
        <w:adjustRightInd w:val="0"/>
        <w:spacing w:after="0"/>
        <w:ind w:left="1418" w:hanging="1418"/>
        <w:rPr>
          <w:rFonts w:asciiTheme="minorHAnsi" w:hAnsiTheme="minorHAnsi" w:cs="Arial"/>
          <w:color w:val="221E1F"/>
          <w:vertAlign w:val="superscript"/>
          <w:lang w:eastAsia="en-US"/>
        </w:rPr>
      </w:pPr>
      <w:r w:rsidRPr="00BD1761">
        <w:rPr>
          <w:rFonts w:asciiTheme="minorHAnsi" w:hAnsiTheme="minorHAnsi" w:cs="Minion Pro"/>
          <w:color w:val="221E1F"/>
          <w:lang w:eastAsia="en-US"/>
        </w:rPr>
        <w:t>4.3.2</w:t>
      </w:r>
      <w:r>
        <w:rPr>
          <w:rFonts w:asciiTheme="minorHAnsi" w:hAnsiTheme="minorHAnsi" w:cs="Minion Pro"/>
          <w:color w:val="221E1F"/>
          <w:sz w:val="23"/>
          <w:szCs w:val="23"/>
          <w:lang w:eastAsia="en-US"/>
        </w:rPr>
        <w:tab/>
      </w:r>
      <w:r w:rsidRPr="00C5365F">
        <w:rPr>
          <w:rFonts w:asciiTheme="minorHAnsi" w:hAnsiTheme="minorHAnsi" w:cs="Arial"/>
          <w:color w:val="221E1F"/>
          <w:lang w:eastAsia="en-US"/>
        </w:rPr>
        <w:t>Desmopressin (1-deamino-8-D-arginine vaso</w:t>
      </w:r>
      <w:r w:rsidRPr="00C5365F">
        <w:rPr>
          <w:rFonts w:asciiTheme="minorHAnsi" w:hAnsiTheme="minorHAnsi" w:cs="Arial"/>
          <w:color w:val="221E1F"/>
          <w:lang w:eastAsia="en-US"/>
        </w:rPr>
        <w:softHyphen/>
        <w:t>pressin, also known as DDAVP) is a synthetic analogue of vasopressin that boosts plasma levels of FVIII and VWF</w:t>
      </w:r>
      <w:r>
        <w:rPr>
          <w:rFonts w:asciiTheme="minorHAnsi" w:hAnsiTheme="minorHAnsi" w:cs="Arial"/>
          <w:color w:val="221E1F"/>
          <w:lang w:eastAsia="en-US"/>
        </w:rPr>
        <w:t xml:space="preserve">. </w:t>
      </w:r>
      <w:r w:rsidRPr="00BD1761">
        <w:rPr>
          <w:rFonts w:asciiTheme="minorHAnsi" w:hAnsiTheme="minorHAnsi" w:cs="Arial"/>
          <w:color w:val="221E1F"/>
          <w:vertAlign w:val="superscript"/>
          <w:lang w:eastAsia="en-US"/>
        </w:rPr>
        <w:t>[28]</w:t>
      </w:r>
    </w:p>
    <w:p w:rsidR="004B5AE5" w:rsidRDefault="004B5AE5" w:rsidP="004B5AE5">
      <w:pPr>
        <w:autoSpaceDE w:val="0"/>
        <w:autoSpaceDN w:val="0"/>
        <w:adjustRightInd w:val="0"/>
        <w:spacing w:after="0"/>
        <w:ind w:left="1418" w:hanging="1305"/>
        <w:rPr>
          <w:rFonts w:asciiTheme="minorHAnsi" w:hAnsiTheme="minorHAnsi" w:cs="Minion Pro"/>
          <w:color w:val="221E1F"/>
          <w:sz w:val="23"/>
          <w:szCs w:val="23"/>
          <w:lang w:eastAsia="en-US"/>
        </w:rPr>
      </w:pPr>
    </w:p>
    <w:p w:rsidR="004B5AE5" w:rsidRDefault="004B5AE5" w:rsidP="00041ED2">
      <w:pPr>
        <w:autoSpaceDE w:val="0"/>
        <w:autoSpaceDN w:val="0"/>
        <w:adjustRightInd w:val="0"/>
        <w:spacing w:after="0"/>
        <w:ind w:left="1418" w:hanging="1418"/>
        <w:rPr>
          <w:rFonts w:asciiTheme="minorHAnsi" w:hAnsiTheme="minorHAnsi" w:cs="Arial"/>
          <w:b/>
          <w:bCs/>
          <w:color w:val="221E1F"/>
          <w:vertAlign w:val="superscript"/>
          <w:lang w:eastAsia="en-US"/>
        </w:rPr>
      </w:pPr>
      <w:r w:rsidRPr="00BD1761">
        <w:rPr>
          <w:rFonts w:asciiTheme="minorHAnsi" w:hAnsiTheme="minorHAnsi" w:cs="Minion Pro"/>
          <w:color w:val="221E1F"/>
          <w:lang w:eastAsia="en-US"/>
        </w:rPr>
        <w:lastRenderedPageBreak/>
        <w:t>4.3.3</w:t>
      </w:r>
      <w:r>
        <w:rPr>
          <w:rFonts w:asciiTheme="minorHAnsi" w:hAnsiTheme="minorHAnsi" w:cs="Minion Pro"/>
          <w:color w:val="221E1F"/>
          <w:sz w:val="23"/>
          <w:szCs w:val="23"/>
          <w:lang w:eastAsia="en-US"/>
        </w:rPr>
        <w:tab/>
      </w:r>
      <w:r w:rsidRPr="00C5365F">
        <w:rPr>
          <w:rFonts w:asciiTheme="minorHAnsi" w:hAnsiTheme="minorHAnsi" w:cs="Arial"/>
          <w:b/>
          <w:bCs/>
          <w:color w:val="221E1F"/>
          <w:lang w:eastAsia="en-US"/>
        </w:rPr>
        <w:t xml:space="preserve">DDAVP may be the treatment of choice for patients with mild or moderate haemophilia A when FVIII can be raised to an appropriate therapeutic level because it avoids the expense and potential hazards of using a clotting factor concentrate. </w:t>
      </w:r>
      <w:r w:rsidRPr="00BD1761">
        <w:rPr>
          <w:rFonts w:asciiTheme="minorHAnsi" w:hAnsiTheme="minorHAnsi" w:cs="Arial"/>
          <w:b/>
          <w:bCs/>
          <w:color w:val="221E1F"/>
          <w:vertAlign w:val="superscript"/>
          <w:lang w:eastAsia="en-US"/>
        </w:rPr>
        <w:t>[28</w:t>
      </w:r>
      <w:proofErr w:type="gramStart"/>
      <w:r w:rsidRPr="00BD1761">
        <w:rPr>
          <w:rFonts w:asciiTheme="minorHAnsi" w:hAnsiTheme="minorHAnsi" w:cs="Arial"/>
          <w:b/>
          <w:bCs/>
          <w:color w:val="221E1F"/>
          <w:vertAlign w:val="superscript"/>
          <w:lang w:eastAsia="en-US"/>
        </w:rPr>
        <w:t>,29</w:t>
      </w:r>
      <w:proofErr w:type="gramEnd"/>
      <w:r w:rsidRPr="00BD1761">
        <w:rPr>
          <w:rFonts w:asciiTheme="minorHAnsi" w:hAnsiTheme="minorHAnsi" w:cs="Arial"/>
          <w:b/>
          <w:bCs/>
          <w:color w:val="221E1F"/>
          <w:vertAlign w:val="superscript"/>
          <w:lang w:eastAsia="en-US"/>
        </w:rPr>
        <w:t>]</w:t>
      </w:r>
    </w:p>
    <w:p w:rsidR="004B5AE5" w:rsidRDefault="004B5AE5" w:rsidP="004B5AE5">
      <w:pPr>
        <w:autoSpaceDE w:val="0"/>
        <w:autoSpaceDN w:val="0"/>
        <w:adjustRightInd w:val="0"/>
        <w:spacing w:after="0"/>
        <w:ind w:left="1418" w:hanging="1305"/>
        <w:rPr>
          <w:rFonts w:asciiTheme="minorHAnsi" w:hAnsiTheme="minorHAnsi" w:cs="Minion Pro"/>
          <w:color w:val="221E1F"/>
          <w:sz w:val="23"/>
          <w:szCs w:val="23"/>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sidRPr="00BD1761">
        <w:rPr>
          <w:rFonts w:asciiTheme="minorHAnsi" w:hAnsiTheme="minorHAnsi" w:cs="Minion Pro"/>
          <w:color w:val="221E1F"/>
          <w:lang w:eastAsia="en-US"/>
        </w:rPr>
        <w:t>4.3.4</w:t>
      </w:r>
      <w:r>
        <w:rPr>
          <w:rFonts w:asciiTheme="minorHAnsi" w:hAnsiTheme="minorHAnsi" w:cs="Minion Pro"/>
          <w:color w:val="221E1F"/>
          <w:sz w:val="23"/>
          <w:szCs w:val="23"/>
          <w:lang w:eastAsia="en-US"/>
        </w:rPr>
        <w:tab/>
      </w:r>
      <w:r w:rsidRPr="00C5365F">
        <w:rPr>
          <w:rFonts w:asciiTheme="minorHAnsi" w:hAnsiTheme="minorHAnsi" w:cs="Arial"/>
          <w:color w:val="221E1F"/>
          <w:lang w:eastAsia="en-US"/>
        </w:rPr>
        <w:t xml:space="preserve">Desmopressin </w:t>
      </w:r>
      <w:r w:rsidRPr="00C5365F">
        <w:rPr>
          <w:rFonts w:asciiTheme="minorHAnsi" w:hAnsiTheme="minorHAnsi" w:cs="Arial"/>
          <w:i/>
          <w:iCs/>
          <w:color w:val="221E1F"/>
          <w:lang w:eastAsia="en-US"/>
        </w:rPr>
        <w:t xml:space="preserve">does not affect FIX levels </w:t>
      </w:r>
      <w:r w:rsidRPr="00C5365F">
        <w:rPr>
          <w:rFonts w:asciiTheme="minorHAnsi" w:hAnsiTheme="minorHAnsi" w:cs="Arial"/>
          <w:color w:val="221E1F"/>
          <w:lang w:eastAsia="en-US"/>
        </w:rPr>
        <w:t xml:space="preserve">and is of no value in haemophilia B. </w:t>
      </w:r>
    </w:p>
    <w:p w:rsidR="004B5AE5" w:rsidRDefault="004B5AE5" w:rsidP="004B5AE5">
      <w:pPr>
        <w:autoSpaceDE w:val="0"/>
        <w:autoSpaceDN w:val="0"/>
        <w:adjustRightInd w:val="0"/>
        <w:spacing w:after="0"/>
        <w:ind w:left="1418" w:hanging="1305"/>
        <w:rPr>
          <w:rFonts w:asciiTheme="minorHAnsi" w:hAnsiTheme="minorHAnsi" w:cs="Minion Pro"/>
          <w:color w:val="221E1F"/>
          <w:sz w:val="23"/>
          <w:szCs w:val="23"/>
          <w:lang w:eastAsia="en-US"/>
        </w:rPr>
      </w:pPr>
    </w:p>
    <w:p w:rsidR="004B5AE5" w:rsidRDefault="004B5AE5" w:rsidP="00041ED2">
      <w:pPr>
        <w:autoSpaceDE w:val="0"/>
        <w:autoSpaceDN w:val="0"/>
        <w:adjustRightInd w:val="0"/>
        <w:spacing w:after="0"/>
        <w:ind w:left="1418" w:hanging="1418"/>
        <w:rPr>
          <w:rFonts w:asciiTheme="minorHAnsi" w:hAnsiTheme="minorHAnsi" w:cs="Arial"/>
          <w:b/>
          <w:bCs/>
          <w:color w:val="221E1F"/>
          <w:vertAlign w:val="superscript"/>
          <w:lang w:eastAsia="en-US"/>
        </w:rPr>
      </w:pPr>
      <w:r w:rsidRPr="00BD1761">
        <w:rPr>
          <w:rFonts w:asciiTheme="minorHAnsi" w:hAnsiTheme="minorHAnsi" w:cs="Minion Pro"/>
          <w:color w:val="221E1F"/>
          <w:lang w:eastAsia="en-US"/>
        </w:rPr>
        <w:t>4.3.5</w:t>
      </w:r>
      <w:r>
        <w:rPr>
          <w:rFonts w:asciiTheme="minorHAnsi" w:hAnsiTheme="minorHAnsi" w:cs="Minion Pro"/>
          <w:color w:val="221E1F"/>
          <w:sz w:val="23"/>
          <w:szCs w:val="23"/>
          <w:lang w:eastAsia="en-US"/>
        </w:rPr>
        <w:tab/>
      </w:r>
      <w:r w:rsidRPr="00C5365F">
        <w:rPr>
          <w:rFonts w:asciiTheme="minorHAnsi" w:hAnsiTheme="minorHAnsi" w:cs="Arial"/>
          <w:b/>
          <w:bCs/>
          <w:color w:val="221E1F"/>
          <w:lang w:eastAsia="en-US"/>
        </w:rPr>
        <w:t xml:space="preserve">Each patient’s response should be tested prior to therapeutic use, </w:t>
      </w:r>
      <w:r>
        <w:rPr>
          <w:rFonts w:asciiTheme="minorHAnsi" w:hAnsiTheme="minorHAnsi" w:cs="Arial"/>
          <w:b/>
          <w:bCs/>
          <w:color w:val="221E1F"/>
          <w:lang w:eastAsia="en-US"/>
        </w:rPr>
        <w:t>as there are significant differ</w:t>
      </w:r>
      <w:r w:rsidRPr="00C5365F">
        <w:rPr>
          <w:rFonts w:asciiTheme="minorHAnsi" w:hAnsiTheme="minorHAnsi" w:cs="Arial"/>
          <w:b/>
          <w:bCs/>
          <w:color w:val="221E1F"/>
          <w:lang w:eastAsia="en-US"/>
        </w:rPr>
        <w:t xml:space="preserve">ences between individuals. The response to intranasal desmopressin is more variable and therefore less predictable. </w:t>
      </w:r>
      <w:r w:rsidRPr="00BD1761">
        <w:rPr>
          <w:rFonts w:asciiTheme="minorHAnsi" w:hAnsiTheme="minorHAnsi" w:cs="Arial"/>
          <w:b/>
          <w:bCs/>
          <w:color w:val="221E1F"/>
          <w:vertAlign w:val="superscript"/>
          <w:lang w:eastAsia="en-US"/>
        </w:rPr>
        <w:t>[28</w:t>
      </w:r>
      <w:proofErr w:type="gramStart"/>
      <w:r w:rsidRPr="00BD1761">
        <w:rPr>
          <w:rFonts w:asciiTheme="minorHAnsi" w:hAnsiTheme="minorHAnsi" w:cs="Arial"/>
          <w:b/>
          <w:bCs/>
          <w:color w:val="221E1F"/>
          <w:vertAlign w:val="superscript"/>
          <w:lang w:eastAsia="en-US"/>
        </w:rPr>
        <w:t>,29</w:t>
      </w:r>
      <w:proofErr w:type="gramEnd"/>
      <w:r w:rsidRPr="00BD1761">
        <w:rPr>
          <w:rFonts w:asciiTheme="minorHAnsi" w:hAnsiTheme="minorHAnsi" w:cs="Arial"/>
          <w:b/>
          <w:bCs/>
          <w:color w:val="221E1F"/>
          <w:vertAlign w:val="superscript"/>
          <w:lang w:eastAsia="en-US"/>
        </w:rPr>
        <w:t>]</w:t>
      </w:r>
    </w:p>
    <w:p w:rsidR="004B5AE5" w:rsidRDefault="004B5AE5" w:rsidP="004B5AE5">
      <w:pPr>
        <w:autoSpaceDE w:val="0"/>
        <w:autoSpaceDN w:val="0"/>
        <w:adjustRightInd w:val="0"/>
        <w:spacing w:after="0"/>
        <w:ind w:left="1418" w:hanging="1305"/>
        <w:rPr>
          <w:rFonts w:asciiTheme="minorHAnsi" w:hAnsiTheme="minorHAnsi" w:cs="Minion Pro"/>
          <w:color w:val="221E1F"/>
          <w:sz w:val="23"/>
          <w:szCs w:val="23"/>
          <w:lang w:eastAsia="en-US"/>
        </w:rPr>
      </w:pPr>
    </w:p>
    <w:p w:rsidR="004B5AE5" w:rsidRDefault="004B5AE5" w:rsidP="00041ED2">
      <w:pPr>
        <w:autoSpaceDE w:val="0"/>
        <w:autoSpaceDN w:val="0"/>
        <w:adjustRightInd w:val="0"/>
        <w:spacing w:after="0"/>
        <w:ind w:left="1418" w:hanging="1418"/>
        <w:rPr>
          <w:rFonts w:asciiTheme="minorHAnsi" w:hAnsiTheme="minorHAnsi" w:cs="Arial"/>
          <w:b/>
          <w:bCs/>
          <w:color w:val="221E1F"/>
          <w:vertAlign w:val="superscript"/>
          <w:lang w:eastAsia="en-US"/>
        </w:rPr>
      </w:pPr>
      <w:r w:rsidRPr="00BD1761">
        <w:rPr>
          <w:rFonts w:asciiTheme="minorHAnsi" w:hAnsiTheme="minorHAnsi" w:cs="Minion Pro"/>
          <w:color w:val="221E1F"/>
          <w:lang w:eastAsia="en-US"/>
        </w:rPr>
        <w:t>4.3.6</w:t>
      </w:r>
      <w:r>
        <w:rPr>
          <w:rFonts w:asciiTheme="minorHAnsi" w:hAnsiTheme="minorHAnsi" w:cs="Minion Pro"/>
          <w:color w:val="221E1F"/>
          <w:sz w:val="23"/>
          <w:szCs w:val="23"/>
          <w:lang w:eastAsia="en-US"/>
        </w:rPr>
        <w:tab/>
      </w:r>
      <w:r w:rsidRPr="00C5365F">
        <w:rPr>
          <w:rFonts w:asciiTheme="minorHAnsi" w:hAnsiTheme="minorHAnsi" w:cs="Arial"/>
          <w:b/>
          <w:bCs/>
          <w:color w:val="221E1F"/>
          <w:lang w:eastAsia="en-US"/>
        </w:rPr>
        <w:t xml:space="preserve">DDAVP is particularly useful in the treatment or prevention of bleeding in carriers of haemophilia. </w:t>
      </w:r>
      <w:r w:rsidRPr="00BD1761">
        <w:rPr>
          <w:rFonts w:asciiTheme="minorHAnsi" w:hAnsiTheme="minorHAnsi" w:cs="Arial"/>
          <w:b/>
          <w:bCs/>
          <w:color w:val="221E1F"/>
          <w:vertAlign w:val="superscript"/>
          <w:lang w:eastAsia="en-US"/>
        </w:rPr>
        <w:t>[30]</w:t>
      </w:r>
    </w:p>
    <w:p w:rsidR="004B5AE5" w:rsidRDefault="004B5AE5" w:rsidP="004B5AE5">
      <w:pPr>
        <w:autoSpaceDE w:val="0"/>
        <w:autoSpaceDN w:val="0"/>
        <w:adjustRightInd w:val="0"/>
        <w:spacing w:after="0"/>
        <w:ind w:left="1418" w:hanging="1305"/>
        <w:rPr>
          <w:rFonts w:asciiTheme="minorHAnsi" w:hAnsiTheme="minorHAnsi" w:cs="Minion Pro"/>
          <w:color w:val="221E1F"/>
          <w:sz w:val="23"/>
          <w:szCs w:val="23"/>
          <w:lang w:eastAsia="en-US"/>
        </w:rPr>
      </w:pPr>
    </w:p>
    <w:p w:rsidR="004B5AE5" w:rsidRDefault="004B5AE5" w:rsidP="00041ED2">
      <w:pPr>
        <w:autoSpaceDE w:val="0"/>
        <w:autoSpaceDN w:val="0"/>
        <w:adjustRightInd w:val="0"/>
        <w:spacing w:after="0"/>
        <w:ind w:left="1418" w:hanging="1418"/>
        <w:rPr>
          <w:rFonts w:asciiTheme="minorHAnsi" w:hAnsiTheme="minorHAnsi" w:cs="Arial"/>
          <w:b/>
          <w:bCs/>
          <w:color w:val="221E1F"/>
          <w:vertAlign w:val="superscript"/>
          <w:lang w:eastAsia="en-US"/>
        </w:rPr>
      </w:pPr>
      <w:r w:rsidRPr="00BD1761">
        <w:rPr>
          <w:rFonts w:asciiTheme="minorHAnsi" w:hAnsiTheme="minorHAnsi" w:cs="Minion Pro"/>
          <w:color w:val="221E1F"/>
          <w:lang w:eastAsia="en-US"/>
        </w:rPr>
        <w:t>4.3.7</w:t>
      </w:r>
      <w:r>
        <w:rPr>
          <w:rFonts w:asciiTheme="minorHAnsi" w:hAnsiTheme="minorHAnsi" w:cs="Minion Pro"/>
          <w:color w:val="221E1F"/>
          <w:sz w:val="23"/>
          <w:szCs w:val="23"/>
          <w:lang w:eastAsia="en-US"/>
        </w:rPr>
        <w:tab/>
      </w:r>
      <w:r w:rsidRPr="00C5365F">
        <w:rPr>
          <w:rFonts w:asciiTheme="minorHAnsi" w:hAnsiTheme="minorHAnsi" w:cs="Arial"/>
          <w:b/>
          <w:bCs/>
          <w:color w:val="221E1F"/>
          <w:lang w:eastAsia="en-US"/>
        </w:rPr>
        <w:t xml:space="preserve">Although DDAVP is not licensed for use in pregnancy, there is evidence that it can be safely used during delivery and in the post-partum period in an otherwise normal pregnancy. Its use should be avoided in pre-eclampsia and eclampsia because of the already high levels of VWF.  </w:t>
      </w:r>
      <w:r w:rsidRPr="00BD1761">
        <w:rPr>
          <w:rFonts w:asciiTheme="minorHAnsi" w:hAnsiTheme="minorHAnsi" w:cs="Arial"/>
          <w:b/>
          <w:bCs/>
          <w:color w:val="221E1F"/>
          <w:vertAlign w:val="superscript"/>
          <w:lang w:eastAsia="en-US"/>
        </w:rPr>
        <w:t>[31</w:t>
      </w:r>
      <w:proofErr w:type="gramStart"/>
      <w:r w:rsidRPr="00BD1761">
        <w:rPr>
          <w:rFonts w:asciiTheme="minorHAnsi" w:hAnsiTheme="minorHAnsi" w:cs="Arial"/>
          <w:b/>
          <w:bCs/>
          <w:color w:val="221E1F"/>
          <w:vertAlign w:val="superscript"/>
          <w:lang w:eastAsia="en-US"/>
        </w:rPr>
        <w:t>,32</w:t>
      </w:r>
      <w:proofErr w:type="gramEnd"/>
      <w:r w:rsidRPr="00BD1761">
        <w:rPr>
          <w:rFonts w:asciiTheme="minorHAnsi" w:hAnsiTheme="minorHAnsi" w:cs="Arial"/>
          <w:b/>
          <w:bCs/>
          <w:color w:val="221E1F"/>
          <w:vertAlign w:val="superscript"/>
          <w:lang w:eastAsia="en-US"/>
        </w:rPr>
        <w:t>]</w:t>
      </w:r>
    </w:p>
    <w:p w:rsidR="004B5AE5" w:rsidRDefault="004B5AE5" w:rsidP="004B5AE5">
      <w:pPr>
        <w:autoSpaceDE w:val="0"/>
        <w:autoSpaceDN w:val="0"/>
        <w:adjustRightInd w:val="0"/>
        <w:spacing w:after="0"/>
        <w:ind w:left="1418" w:hanging="1305"/>
        <w:rPr>
          <w:rFonts w:asciiTheme="minorHAnsi" w:hAnsiTheme="minorHAnsi" w:cs="Minion Pro"/>
          <w:color w:val="221E1F"/>
          <w:sz w:val="23"/>
          <w:szCs w:val="23"/>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sidRPr="00BD1761">
        <w:rPr>
          <w:rFonts w:asciiTheme="minorHAnsi" w:hAnsiTheme="minorHAnsi" w:cs="Minion Pro"/>
          <w:color w:val="221E1F"/>
          <w:lang w:eastAsia="en-US"/>
        </w:rPr>
        <w:t>4.3.8</w:t>
      </w:r>
      <w:r>
        <w:rPr>
          <w:rFonts w:asciiTheme="minorHAnsi" w:hAnsiTheme="minorHAnsi" w:cs="Minion Pro"/>
          <w:color w:val="221E1F"/>
          <w:sz w:val="23"/>
          <w:szCs w:val="23"/>
          <w:lang w:eastAsia="en-US"/>
        </w:rPr>
        <w:tab/>
      </w:r>
      <w:r w:rsidRPr="00C5365F">
        <w:rPr>
          <w:rFonts w:asciiTheme="minorHAnsi" w:hAnsiTheme="minorHAnsi" w:cs="Arial"/>
          <w:color w:val="221E1F"/>
          <w:lang w:eastAsia="en-US"/>
        </w:rPr>
        <w:t>Obvious advantages of DDAVP over plasma prod</w:t>
      </w:r>
      <w:r w:rsidRPr="00C5365F">
        <w:rPr>
          <w:rFonts w:asciiTheme="minorHAnsi" w:hAnsiTheme="minorHAnsi" w:cs="Arial"/>
          <w:color w:val="221E1F"/>
          <w:lang w:eastAsia="en-US"/>
        </w:rPr>
        <w:softHyphen/>
        <w:t xml:space="preserve">ucts are the much lower cost and the absence of any risk of transmission of viral infections. </w:t>
      </w:r>
    </w:p>
    <w:p w:rsidR="004B5AE5" w:rsidRDefault="004B5AE5" w:rsidP="004B5AE5">
      <w:pPr>
        <w:autoSpaceDE w:val="0"/>
        <w:autoSpaceDN w:val="0"/>
        <w:adjustRightInd w:val="0"/>
        <w:spacing w:after="0"/>
        <w:ind w:left="1418" w:hanging="1305"/>
        <w:rPr>
          <w:rFonts w:asciiTheme="minorHAnsi" w:hAnsiTheme="minorHAnsi" w:cs="Minion Pro"/>
          <w:color w:val="221E1F"/>
          <w:sz w:val="23"/>
          <w:szCs w:val="23"/>
          <w:lang w:eastAsia="en-US"/>
        </w:rPr>
      </w:pPr>
    </w:p>
    <w:p w:rsidR="004B5AE5" w:rsidRDefault="004B5AE5" w:rsidP="00041ED2">
      <w:pPr>
        <w:autoSpaceDE w:val="0"/>
        <w:autoSpaceDN w:val="0"/>
        <w:adjustRightInd w:val="0"/>
        <w:spacing w:after="0"/>
        <w:ind w:left="1418" w:hanging="1418"/>
        <w:rPr>
          <w:rFonts w:asciiTheme="minorHAnsi" w:hAnsiTheme="minorHAnsi" w:cs="Arial"/>
          <w:color w:val="221E1F"/>
          <w:lang w:eastAsia="en-US"/>
        </w:rPr>
      </w:pPr>
      <w:r w:rsidRPr="00BD1761">
        <w:rPr>
          <w:rFonts w:asciiTheme="minorHAnsi" w:hAnsiTheme="minorHAnsi" w:cs="Minion Pro"/>
          <w:color w:val="221E1F"/>
          <w:lang w:eastAsia="en-US"/>
        </w:rPr>
        <w:t>4.3.9</w:t>
      </w:r>
      <w:r>
        <w:rPr>
          <w:rFonts w:asciiTheme="minorHAnsi" w:hAnsiTheme="minorHAnsi" w:cs="Minion Pro"/>
          <w:color w:val="221E1F"/>
          <w:sz w:val="23"/>
          <w:szCs w:val="23"/>
          <w:lang w:eastAsia="en-US"/>
        </w:rPr>
        <w:tab/>
      </w:r>
      <w:r w:rsidRPr="00C5365F">
        <w:rPr>
          <w:rFonts w:asciiTheme="minorHAnsi" w:hAnsiTheme="minorHAnsi" w:cs="Arial"/>
          <w:color w:val="221E1F"/>
          <w:lang w:eastAsia="en-US"/>
        </w:rPr>
        <w:t>DDAVP may also be useful to control bleeding and reduce the prolongation of bleeding time associated with disorders of haemostasis, including some congenital platelet disorders.</w:t>
      </w:r>
    </w:p>
    <w:p w:rsidR="004B5AE5" w:rsidRDefault="004B5AE5" w:rsidP="004B5AE5">
      <w:pPr>
        <w:autoSpaceDE w:val="0"/>
        <w:autoSpaceDN w:val="0"/>
        <w:adjustRightInd w:val="0"/>
        <w:spacing w:after="0"/>
        <w:ind w:left="1418" w:hanging="1305"/>
        <w:rPr>
          <w:rFonts w:asciiTheme="minorHAnsi" w:hAnsiTheme="minorHAnsi" w:cs="Minion Pro"/>
          <w:color w:val="221E1F"/>
          <w:sz w:val="23"/>
          <w:szCs w:val="23"/>
          <w:lang w:eastAsia="en-US"/>
        </w:rPr>
      </w:pPr>
    </w:p>
    <w:p w:rsidR="004B5AE5" w:rsidRPr="00BD1761" w:rsidRDefault="004B5AE5" w:rsidP="00041ED2">
      <w:pPr>
        <w:autoSpaceDE w:val="0"/>
        <w:autoSpaceDN w:val="0"/>
        <w:adjustRightInd w:val="0"/>
        <w:spacing w:after="0"/>
        <w:ind w:left="1418" w:hanging="1418"/>
        <w:rPr>
          <w:rFonts w:asciiTheme="minorHAnsi" w:hAnsiTheme="minorHAnsi" w:cs="Minion Pro"/>
          <w:color w:val="221E1F"/>
          <w:sz w:val="23"/>
          <w:szCs w:val="23"/>
          <w:lang w:eastAsia="en-US"/>
        </w:rPr>
      </w:pPr>
      <w:r w:rsidRPr="00BD1761">
        <w:rPr>
          <w:rFonts w:asciiTheme="minorHAnsi" w:hAnsiTheme="minorHAnsi" w:cs="Minion Pro"/>
          <w:color w:val="221E1F"/>
          <w:lang w:eastAsia="en-US"/>
        </w:rPr>
        <w:t>4.3.10</w:t>
      </w:r>
      <w:r>
        <w:rPr>
          <w:rFonts w:asciiTheme="minorHAnsi" w:hAnsiTheme="minorHAnsi" w:cs="Minion Pro"/>
          <w:color w:val="221E1F"/>
          <w:sz w:val="23"/>
          <w:szCs w:val="23"/>
          <w:lang w:eastAsia="en-US"/>
        </w:rPr>
        <w:tab/>
      </w:r>
      <w:proofErr w:type="gramStart"/>
      <w:r w:rsidRPr="00C5365F">
        <w:rPr>
          <w:rFonts w:asciiTheme="minorHAnsi" w:hAnsiTheme="minorHAnsi" w:cs="Arial"/>
          <w:color w:val="221E1F"/>
          <w:lang w:eastAsia="en-US"/>
        </w:rPr>
        <w:t>The</w:t>
      </w:r>
      <w:proofErr w:type="gramEnd"/>
      <w:r w:rsidRPr="00C5365F">
        <w:rPr>
          <w:rFonts w:asciiTheme="minorHAnsi" w:hAnsiTheme="minorHAnsi" w:cs="Arial"/>
          <w:color w:val="221E1F"/>
          <w:lang w:eastAsia="en-US"/>
        </w:rPr>
        <w:t xml:space="preserve"> decision to use DDAVP must be based on both the baseline concentration of FVIII, the increment achieved, and the duration of treat</w:t>
      </w:r>
      <w:r w:rsidRPr="00C5365F">
        <w:rPr>
          <w:rFonts w:asciiTheme="minorHAnsi" w:hAnsiTheme="minorHAnsi" w:cs="Arial"/>
          <w:color w:val="221E1F"/>
          <w:lang w:eastAsia="en-US"/>
        </w:rPr>
        <w:softHyphen/>
        <w:t xml:space="preserve">ment required. </w:t>
      </w:r>
    </w:p>
    <w:p w:rsidR="004B5AE5" w:rsidRDefault="004B5AE5" w:rsidP="00041ED2">
      <w:pPr>
        <w:pStyle w:val="Heading4"/>
        <w:rPr>
          <w:lang w:eastAsia="en-US"/>
        </w:rPr>
      </w:pPr>
      <w:r w:rsidRPr="00BD1761">
        <w:rPr>
          <w:lang w:eastAsia="en-US"/>
        </w:rPr>
        <w:t xml:space="preserve">Dosage/administration </w:t>
      </w:r>
    </w:p>
    <w:p w:rsidR="004B5AE5" w:rsidRDefault="004B5AE5" w:rsidP="004B5AE5">
      <w:pPr>
        <w:autoSpaceDE w:val="0"/>
        <w:autoSpaceDN w:val="0"/>
        <w:adjustRightInd w:val="0"/>
        <w:spacing w:before="280" w:after="0"/>
        <w:ind w:left="1418" w:hanging="1418"/>
        <w:rPr>
          <w:rFonts w:asciiTheme="minorHAnsi" w:hAnsiTheme="minorHAnsi" w:cs="Arial"/>
          <w:color w:val="221E1F"/>
          <w:lang w:eastAsia="en-US"/>
        </w:rPr>
      </w:pPr>
      <w:r>
        <w:rPr>
          <w:rFonts w:asciiTheme="minorHAnsi" w:hAnsiTheme="minorHAnsi" w:cs="Arial"/>
          <w:iCs/>
          <w:color w:val="221E1F"/>
          <w:lang w:eastAsia="en-US"/>
        </w:rPr>
        <w:t>4.3.11</w:t>
      </w:r>
      <w:r>
        <w:rPr>
          <w:rFonts w:asciiTheme="minorHAnsi" w:hAnsiTheme="minorHAnsi" w:cs="Arial"/>
          <w:iCs/>
          <w:color w:val="221E1F"/>
          <w:lang w:eastAsia="en-US"/>
        </w:rPr>
        <w:tab/>
      </w:r>
      <w:proofErr w:type="gramStart"/>
      <w:r w:rsidRPr="00C5365F">
        <w:rPr>
          <w:rFonts w:asciiTheme="minorHAnsi" w:hAnsiTheme="minorHAnsi" w:cs="Arial"/>
          <w:color w:val="221E1F"/>
          <w:lang w:eastAsia="en-US"/>
        </w:rPr>
        <w:t>Though</w:t>
      </w:r>
      <w:proofErr w:type="gramEnd"/>
      <w:r w:rsidRPr="00C5365F">
        <w:rPr>
          <w:rFonts w:asciiTheme="minorHAnsi" w:hAnsiTheme="minorHAnsi" w:cs="Arial"/>
          <w:color w:val="221E1F"/>
          <w:lang w:eastAsia="en-US"/>
        </w:rPr>
        <w:t xml:space="preserve"> desmopressin is given subcutaneously in most patients, it can also be administered by intravenous infusion or by nasal spray. It is important to choose the correct preparation of desmopressin because some lower-dose prepara</w:t>
      </w:r>
      <w:r w:rsidRPr="00C5365F">
        <w:rPr>
          <w:rFonts w:asciiTheme="minorHAnsi" w:hAnsiTheme="minorHAnsi" w:cs="Arial"/>
          <w:color w:val="221E1F"/>
          <w:lang w:eastAsia="en-US"/>
        </w:rPr>
        <w:softHyphen/>
        <w:t>tions are u</w:t>
      </w:r>
      <w:r>
        <w:rPr>
          <w:rFonts w:asciiTheme="minorHAnsi" w:hAnsiTheme="minorHAnsi" w:cs="Arial"/>
          <w:color w:val="221E1F"/>
          <w:lang w:eastAsia="en-US"/>
        </w:rPr>
        <w:t>sed for other medical purposes.</w:t>
      </w:r>
    </w:p>
    <w:p w:rsidR="004B5AE5" w:rsidRPr="00BD1761" w:rsidRDefault="004B5AE5" w:rsidP="004B5AE5">
      <w:pPr>
        <w:autoSpaceDE w:val="0"/>
        <w:autoSpaceDN w:val="0"/>
        <w:adjustRightInd w:val="0"/>
        <w:spacing w:before="280" w:after="0"/>
        <w:ind w:left="1418" w:hanging="1418"/>
        <w:rPr>
          <w:rFonts w:asciiTheme="minorHAnsi" w:hAnsiTheme="minorHAnsi" w:cs="Arial"/>
          <w:color w:val="221E1F"/>
          <w:lang w:eastAsia="en-US"/>
        </w:rPr>
      </w:pPr>
      <w:r>
        <w:rPr>
          <w:rFonts w:asciiTheme="minorHAnsi" w:hAnsiTheme="minorHAnsi" w:cs="Arial"/>
          <w:color w:val="221E1F"/>
          <w:lang w:eastAsia="en-US"/>
        </w:rPr>
        <w:t>4.3.12</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Appropriate</w:t>
      </w:r>
      <w:proofErr w:type="gramEnd"/>
      <w:r w:rsidRPr="00C5365F">
        <w:rPr>
          <w:rFonts w:asciiTheme="minorHAnsi" w:hAnsiTheme="minorHAnsi" w:cs="Arial"/>
          <w:color w:val="221E1F"/>
          <w:lang w:eastAsia="en-US"/>
        </w:rPr>
        <w:t xml:space="preserve"> preparations available in Australia include</w:t>
      </w:r>
    </w:p>
    <w:p w:rsidR="004B5AE5" w:rsidRDefault="004B5AE5" w:rsidP="004B5AE5">
      <w:pPr>
        <w:pStyle w:val="ListParagraph"/>
        <w:autoSpaceDE w:val="0"/>
        <w:autoSpaceDN w:val="0"/>
        <w:adjustRightInd w:val="0"/>
        <w:spacing w:after="0"/>
        <w:ind w:left="1701"/>
        <w:rPr>
          <w:rFonts w:asciiTheme="minorHAnsi" w:hAnsiTheme="minorHAnsi" w:cs="Arial"/>
          <w:color w:val="221E1F"/>
          <w:lang w:eastAsia="en-US"/>
        </w:rPr>
      </w:pPr>
    </w:p>
    <w:p w:rsidR="004B5AE5" w:rsidRPr="00C5365F" w:rsidRDefault="004B5AE5" w:rsidP="004B5AE5">
      <w:pPr>
        <w:pStyle w:val="ListParagraph"/>
        <w:numPr>
          <w:ilvl w:val="0"/>
          <w:numId w:val="57"/>
        </w:numPr>
        <w:autoSpaceDE w:val="0"/>
        <w:autoSpaceDN w:val="0"/>
        <w:adjustRightInd w:val="0"/>
        <w:spacing w:after="0" w:line="276" w:lineRule="auto"/>
        <w:ind w:left="1701" w:hanging="284"/>
        <w:rPr>
          <w:rFonts w:asciiTheme="minorHAnsi" w:hAnsiTheme="minorHAnsi" w:cs="Arial"/>
          <w:color w:val="221E1F"/>
          <w:lang w:eastAsia="en-US"/>
        </w:rPr>
      </w:pPr>
      <w:r w:rsidRPr="00C5365F">
        <w:rPr>
          <w:rFonts w:asciiTheme="minorHAnsi" w:hAnsiTheme="minorHAnsi" w:cs="Arial"/>
          <w:color w:val="221E1F"/>
          <w:lang w:eastAsia="en-US"/>
        </w:rPr>
        <w:t xml:space="preserve">4 μg/ml for intravenous use </w:t>
      </w:r>
    </w:p>
    <w:p w:rsidR="004B5AE5" w:rsidRDefault="004B5AE5" w:rsidP="004B5AE5">
      <w:pPr>
        <w:pStyle w:val="ListParagraph"/>
        <w:numPr>
          <w:ilvl w:val="0"/>
          <w:numId w:val="57"/>
        </w:numPr>
        <w:autoSpaceDE w:val="0"/>
        <w:autoSpaceDN w:val="0"/>
        <w:adjustRightInd w:val="0"/>
        <w:spacing w:after="0" w:line="276" w:lineRule="auto"/>
        <w:ind w:left="1701" w:hanging="284"/>
        <w:rPr>
          <w:rFonts w:asciiTheme="minorHAnsi" w:hAnsiTheme="minorHAnsi" w:cs="Arial"/>
          <w:color w:val="221E1F"/>
          <w:lang w:eastAsia="en-US"/>
        </w:rPr>
      </w:pPr>
      <w:r w:rsidRPr="00C5365F">
        <w:rPr>
          <w:rFonts w:asciiTheme="minorHAnsi" w:hAnsiTheme="minorHAnsi" w:cs="Arial"/>
          <w:color w:val="221E1F"/>
          <w:lang w:eastAsia="en-US"/>
        </w:rPr>
        <w:t xml:space="preserve">15 μg /ml for intravenous and subcutaneous use </w:t>
      </w:r>
    </w:p>
    <w:p w:rsidR="004B5AE5" w:rsidRDefault="004B5AE5" w:rsidP="004B5AE5">
      <w:pPr>
        <w:pStyle w:val="ListParagraph"/>
        <w:autoSpaceDE w:val="0"/>
        <w:autoSpaceDN w:val="0"/>
        <w:adjustRightInd w:val="0"/>
        <w:spacing w:after="0"/>
        <w:ind w:left="1701"/>
        <w:rPr>
          <w:rFonts w:asciiTheme="minorHAnsi" w:hAnsiTheme="minorHAnsi" w:cs="Arial"/>
          <w:color w:val="221E1F"/>
          <w:lang w:eastAsia="en-US"/>
        </w:rPr>
      </w:pPr>
    </w:p>
    <w:p w:rsidR="004B5AE5" w:rsidRDefault="004B5AE5" w:rsidP="004B5AE5">
      <w:pPr>
        <w:pStyle w:val="ListParagraph"/>
        <w:autoSpaceDE w:val="0"/>
        <w:autoSpaceDN w:val="0"/>
        <w:adjustRightInd w:val="0"/>
        <w:spacing w:after="0"/>
        <w:ind w:left="1418" w:hanging="1305"/>
        <w:rPr>
          <w:rFonts w:asciiTheme="minorHAnsi" w:hAnsiTheme="minorHAnsi" w:cs="Arial"/>
          <w:b/>
          <w:bCs/>
          <w:color w:val="221E1F"/>
          <w:lang w:eastAsia="en-US"/>
        </w:rPr>
      </w:pPr>
      <w:r>
        <w:rPr>
          <w:rFonts w:asciiTheme="minorHAnsi" w:hAnsiTheme="minorHAnsi" w:cs="Arial"/>
          <w:color w:val="221E1F"/>
          <w:lang w:eastAsia="en-US"/>
        </w:rPr>
        <w:t>4.3.13</w:t>
      </w:r>
      <w:r>
        <w:rPr>
          <w:rFonts w:asciiTheme="minorHAnsi" w:hAnsiTheme="minorHAnsi" w:cs="Arial"/>
          <w:color w:val="221E1F"/>
          <w:lang w:eastAsia="en-US"/>
        </w:rPr>
        <w:tab/>
      </w:r>
      <w:proofErr w:type="gramStart"/>
      <w:r w:rsidRPr="00BD1761">
        <w:rPr>
          <w:rFonts w:asciiTheme="minorHAnsi" w:hAnsiTheme="minorHAnsi" w:cs="Arial"/>
          <w:b/>
          <w:bCs/>
          <w:color w:val="221E1F"/>
          <w:lang w:eastAsia="en-US"/>
        </w:rPr>
        <w:t>A</w:t>
      </w:r>
      <w:proofErr w:type="gramEnd"/>
      <w:r w:rsidRPr="00BD1761">
        <w:rPr>
          <w:rFonts w:asciiTheme="minorHAnsi" w:hAnsiTheme="minorHAnsi" w:cs="Arial"/>
          <w:b/>
          <w:bCs/>
          <w:color w:val="221E1F"/>
          <w:lang w:eastAsia="en-US"/>
        </w:rPr>
        <w:t xml:space="preserve"> single dose of 0.3 μg /kg body weight, either by intravenous or subcutaneous route, can be expected to boost the level of FVIII three- to six-fold.  </w:t>
      </w:r>
      <w:r w:rsidRPr="00BD1761">
        <w:rPr>
          <w:rFonts w:asciiTheme="minorHAnsi" w:hAnsiTheme="minorHAnsi" w:cs="Arial"/>
          <w:b/>
          <w:bCs/>
          <w:color w:val="221E1F"/>
          <w:vertAlign w:val="superscript"/>
          <w:lang w:eastAsia="en-US"/>
        </w:rPr>
        <w:t>[28</w:t>
      </w:r>
      <w:proofErr w:type="gramStart"/>
      <w:r w:rsidRPr="00BD1761">
        <w:rPr>
          <w:rFonts w:asciiTheme="minorHAnsi" w:hAnsiTheme="minorHAnsi" w:cs="Arial"/>
          <w:b/>
          <w:bCs/>
          <w:color w:val="221E1F"/>
          <w:vertAlign w:val="superscript"/>
          <w:lang w:eastAsia="en-US"/>
        </w:rPr>
        <w:t>,33</w:t>
      </w:r>
      <w:proofErr w:type="gramEnd"/>
      <w:r w:rsidRPr="00BD1761">
        <w:rPr>
          <w:rFonts w:asciiTheme="minorHAnsi" w:hAnsiTheme="minorHAnsi" w:cs="Arial"/>
          <w:b/>
          <w:bCs/>
          <w:color w:val="221E1F"/>
          <w:vertAlign w:val="superscript"/>
          <w:lang w:eastAsia="en-US"/>
        </w:rPr>
        <w:t>]</w:t>
      </w:r>
      <w:r w:rsidRPr="00BD1761">
        <w:rPr>
          <w:rFonts w:asciiTheme="minorHAnsi" w:hAnsiTheme="minorHAnsi" w:cs="Arial"/>
          <w:b/>
          <w:bCs/>
          <w:color w:val="221E1F"/>
          <w:lang w:eastAsia="en-US"/>
        </w:rPr>
        <w:t xml:space="preserve">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4.3.14</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For</w:t>
      </w:r>
      <w:proofErr w:type="gramEnd"/>
      <w:r w:rsidRPr="00C5365F">
        <w:rPr>
          <w:rFonts w:asciiTheme="minorHAnsi" w:hAnsiTheme="minorHAnsi" w:cs="Arial"/>
          <w:color w:val="221E1F"/>
          <w:lang w:eastAsia="en-US"/>
        </w:rPr>
        <w:t xml:space="preserve"> intravenous use, DDAVP is usually diluted in at least 50–100 ml of physiological saline and given by slow intravenous infusion over 20–30 minutes.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4.3.15</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The</w:t>
      </w:r>
      <w:proofErr w:type="gramEnd"/>
      <w:r w:rsidRPr="00C5365F">
        <w:rPr>
          <w:rFonts w:asciiTheme="minorHAnsi" w:hAnsiTheme="minorHAnsi" w:cs="Arial"/>
          <w:color w:val="221E1F"/>
          <w:lang w:eastAsia="en-US"/>
        </w:rPr>
        <w:t xml:space="preserve"> peak response is seen approximately 60 minutes after administration either intravenously or subcutaneously.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b/>
          <w:bCs/>
          <w:color w:val="221E1F"/>
          <w:lang w:eastAsia="en-US"/>
        </w:rPr>
      </w:pPr>
      <w:r>
        <w:rPr>
          <w:rFonts w:asciiTheme="minorHAnsi" w:hAnsiTheme="minorHAnsi" w:cs="Arial"/>
          <w:color w:val="221E1F"/>
          <w:lang w:eastAsia="en-US"/>
        </w:rPr>
        <w:t>4.3.16</w:t>
      </w:r>
      <w:r>
        <w:rPr>
          <w:rFonts w:asciiTheme="minorHAnsi" w:hAnsiTheme="minorHAnsi" w:cs="Arial"/>
          <w:color w:val="221E1F"/>
          <w:lang w:eastAsia="en-US"/>
        </w:rPr>
        <w:tab/>
      </w:r>
      <w:proofErr w:type="gramStart"/>
      <w:r w:rsidRPr="00C5365F">
        <w:rPr>
          <w:rFonts w:asciiTheme="minorHAnsi" w:hAnsiTheme="minorHAnsi" w:cs="Arial"/>
          <w:b/>
          <w:bCs/>
          <w:color w:val="221E1F"/>
          <w:lang w:eastAsia="en-US"/>
        </w:rPr>
        <w:t>Closely</w:t>
      </w:r>
      <w:proofErr w:type="gramEnd"/>
      <w:r w:rsidRPr="00C5365F">
        <w:rPr>
          <w:rFonts w:asciiTheme="minorHAnsi" w:hAnsiTheme="minorHAnsi" w:cs="Arial"/>
          <w:b/>
          <w:bCs/>
          <w:color w:val="221E1F"/>
          <w:lang w:eastAsia="en-US"/>
        </w:rPr>
        <w:t xml:space="preserve"> spaced repetitive use of DDAVP over several days may result in decreased response (tachyphylaxis). Factor concentrates may be needed when higher factor levels are required for a prolonged period.  </w:t>
      </w:r>
      <w:r w:rsidRPr="00C51360">
        <w:rPr>
          <w:rFonts w:asciiTheme="minorHAnsi" w:hAnsiTheme="minorHAnsi" w:cs="Arial"/>
          <w:b/>
          <w:bCs/>
          <w:color w:val="221E1F"/>
          <w:vertAlign w:val="superscript"/>
          <w:lang w:eastAsia="en-US"/>
        </w:rPr>
        <w:t>[34]</w:t>
      </w:r>
      <w:r w:rsidRPr="00C5365F">
        <w:rPr>
          <w:rFonts w:asciiTheme="minorHAnsi" w:hAnsiTheme="minorHAnsi" w:cs="Arial"/>
          <w:b/>
          <w:bCs/>
          <w:color w:val="221E1F"/>
          <w:lang w:eastAsia="en-US"/>
        </w:rPr>
        <w:t xml:space="preserve">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4.3.17</w:t>
      </w:r>
      <w:r>
        <w:rPr>
          <w:rFonts w:asciiTheme="minorHAnsi" w:hAnsiTheme="minorHAnsi" w:cs="Arial"/>
          <w:color w:val="221E1F"/>
          <w:lang w:eastAsia="en-US"/>
        </w:rPr>
        <w:tab/>
      </w:r>
      <w:r w:rsidRPr="00C5365F">
        <w:rPr>
          <w:rFonts w:asciiTheme="minorHAnsi" w:hAnsiTheme="minorHAnsi" w:cs="Arial"/>
          <w:color w:val="221E1F"/>
          <w:lang w:eastAsia="en-US"/>
        </w:rPr>
        <w:t xml:space="preserve">Rapid infusion may result in tachycardia, flushing, tremor, and abdominal discomfort.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b/>
          <w:bCs/>
          <w:color w:val="221E1F"/>
          <w:lang w:eastAsia="en-US"/>
        </w:rPr>
      </w:pPr>
      <w:r>
        <w:rPr>
          <w:rFonts w:asciiTheme="minorHAnsi" w:hAnsiTheme="minorHAnsi" w:cs="Arial"/>
          <w:color w:val="221E1F"/>
          <w:lang w:eastAsia="en-US"/>
        </w:rPr>
        <w:t>4.3.18</w:t>
      </w:r>
      <w:r>
        <w:rPr>
          <w:rFonts w:asciiTheme="minorHAnsi" w:hAnsiTheme="minorHAnsi" w:cs="Arial"/>
          <w:color w:val="221E1F"/>
          <w:lang w:eastAsia="en-US"/>
        </w:rPr>
        <w:tab/>
      </w:r>
      <w:r w:rsidRPr="00C5365F">
        <w:rPr>
          <w:rFonts w:asciiTheme="minorHAnsi" w:hAnsiTheme="minorHAnsi" w:cs="Arial"/>
          <w:b/>
          <w:bCs/>
          <w:color w:val="221E1F"/>
          <w:lang w:eastAsia="en-US"/>
        </w:rPr>
        <w:t xml:space="preserve">As a result of its antidiuretic activity, water retention and hyponatremia can be a problem. When repeated doses are given, the plasma osmolality or sodium concentration should be measured.  </w:t>
      </w:r>
      <w:r w:rsidRPr="00C51360">
        <w:rPr>
          <w:rFonts w:asciiTheme="minorHAnsi" w:hAnsiTheme="minorHAnsi" w:cs="Arial"/>
          <w:b/>
          <w:bCs/>
          <w:color w:val="221E1F"/>
          <w:vertAlign w:val="superscript"/>
          <w:lang w:eastAsia="en-US"/>
        </w:rPr>
        <w:t>[28</w:t>
      </w:r>
      <w:proofErr w:type="gramStart"/>
      <w:r w:rsidRPr="00C51360">
        <w:rPr>
          <w:rFonts w:asciiTheme="minorHAnsi" w:hAnsiTheme="minorHAnsi" w:cs="Arial"/>
          <w:b/>
          <w:bCs/>
          <w:color w:val="221E1F"/>
          <w:vertAlign w:val="superscript"/>
          <w:lang w:eastAsia="en-US"/>
        </w:rPr>
        <w:t>,37</w:t>
      </w:r>
      <w:proofErr w:type="gramEnd"/>
      <w:r w:rsidRPr="00C51360">
        <w:rPr>
          <w:rFonts w:asciiTheme="minorHAnsi" w:hAnsiTheme="minorHAnsi" w:cs="Arial"/>
          <w:b/>
          <w:bCs/>
          <w:color w:val="221E1F"/>
          <w:vertAlign w:val="superscript"/>
          <w:lang w:eastAsia="en-US"/>
        </w:rPr>
        <w:t>]</w:t>
      </w:r>
      <w:r w:rsidRPr="00C5365F">
        <w:rPr>
          <w:rFonts w:asciiTheme="minorHAnsi" w:hAnsiTheme="minorHAnsi" w:cs="Arial"/>
          <w:b/>
          <w:bCs/>
          <w:color w:val="221E1F"/>
          <w:lang w:eastAsia="en-US"/>
        </w:rPr>
        <w:t xml:space="preserve">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4.3.19</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Although</w:t>
      </w:r>
      <w:proofErr w:type="gramEnd"/>
      <w:r w:rsidRPr="00C5365F">
        <w:rPr>
          <w:rFonts w:asciiTheme="minorHAnsi" w:hAnsiTheme="minorHAnsi" w:cs="Arial"/>
          <w:color w:val="221E1F"/>
          <w:lang w:eastAsia="en-US"/>
        </w:rPr>
        <w:t xml:space="preserve"> uncommon in most adults, careful, regular assessment is needed in the post operative setting to avoid potentially life threatening hyponatraemia.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b/>
          <w:bCs/>
          <w:color w:val="221E1F"/>
          <w:lang w:eastAsia="en-US"/>
        </w:rPr>
      </w:pPr>
      <w:r>
        <w:rPr>
          <w:rFonts w:asciiTheme="minorHAnsi" w:hAnsiTheme="minorHAnsi" w:cs="Arial"/>
          <w:color w:val="221E1F"/>
          <w:lang w:eastAsia="en-US"/>
        </w:rPr>
        <w:t>4.3.20</w:t>
      </w:r>
      <w:r>
        <w:rPr>
          <w:rFonts w:asciiTheme="minorHAnsi" w:hAnsiTheme="minorHAnsi" w:cs="Arial"/>
          <w:color w:val="221E1F"/>
          <w:lang w:eastAsia="en-US"/>
        </w:rPr>
        <w:tab/>
      </w:r>
      <w:r w:rsidRPr="00C5365F">
        <w:rPr>
          <w:rFonts w:asciiTheme="minorHAnsi" w:hAnsiTheme="minorHAnsi" w:cs="Arial"/>
          <w:b/>
          <w:bCs/>
          <w:color w:val="221E1F"/>
          <w:lang w:eastAsia="en-US"/>
        </w:rPr>
        <w:t>Due to water retention, DDVAP should be used with caution in</w:t>
      </w:r>
      <w:r>
        <w:rPr>
          <w:rFonts w:asciiTheme="minorHAnsi" w:hAnsiTheme="minorHAnsi" w:cs="Arial"/>
          <w:b/>
          <w:bCs/>
          <w:color w:val="221E1F"/>
          <w:lang w:eastAsia="en-US"/>
        </w:rPr>
        <w:t xml:space="preserve"> young children and is contrain</w:t>
      </w:r>
      <w:r w:rsidRPr="00C5365F">
        <w:rPr>
          <w:rFonts w:asciiTheme="minorHAnsi" w:hAnsiTheme="minorHAnsi" w:cs="Arial"/>
          <w:b/>
          <w:bCs/>
          <w:color w:val="221E1F"/>
          <w:lang w:eastAsia="en-US"/>
        </w:rPr>
        <w:t xml:space="preserve">dicated in children under two years of age who are at particular risk of seizures secondary to cerebral edema due to water retention.  </w:t>
      </w:r>
      <w:r w:rsidRPr="00C51360">
        <w:rPr>
          <w:rFonts w:asciiTheme="minorHAnsi" w:hAnsiTheme="minorHAnsi" w:cs="Arial"/>
          <w:b/>
          <w:bCs/>
          <w:color w:val="221E1F"/>
          <w:vertAlign w:val="superscript"/>
          <w:lang w:eastAsia="en-US"/>
        </w:rPr>
        <w:t>[38</w:t>
      </w:r>
      <w:proofErr w:type="gramStart"/>
      <w:r w:rsidRPr="00C51360">
        <w:rPr>
          <w:rFonts w:asciiTheme="minorHAnsi" w:hAnsiTheme="minorHAnsi" w:cs="Arial"/>
          <w:b/>
          <w:bCs/>
          <w:color w:val="221E1F"/>
          <w:vertAlign w:val="superscript"/>
          <w:lang w:eastAsia="en-US"/>
        </w:rPr>
        <w:t>,39</w:t>
      </w:r>
      <w:proofErr w:type="gramEnd"/>
      <w:r w:rsidRPr="00C51360">
        <w:rPr>
          <w:rFonts w:asciiTheme="minorHAnsi" w:hAnsiTheme="minorHAnsi" w:cs="Arial"/>
          <w:b/>
          <w:bCs/>
          <w:color w:val="221E1F"/>
          <w:vertAlign w:val="superscript"/>
          <w:lang w:eastAsia="en-US"/>
        </w:rPr>
        <w:t>]</w:t>
      </w:r>
      <w:r w:rsidRPr="00C5365F">
        <w:rPr>
          <w:rFonts w:asciiTheme="minorHAnsi" w:hAnsiTheme="minorHAnsi" w:cs="Arial"/>
          <w:b/>
          <w:bCs/>
          <w:color w:val="221E1F"/>
          <w:lang w:eastAsia="en-US"/>
        </w:rPr>
        <w:t xml:space="preserve">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b/>
          <w:bCs/>
          <w:color w:val="221E1F"/>
          <w:lang w:eastAsia="en-US"/>
        </w:rPr>
      </w:pPr>
      <w:r>
        <w:rPr>
          <w:rFonts w:asciiTheme="minorHAnsi" w:hAnsiTheme="minorHAnsi" w:cs="Arial"/>
          <w:color w:val="221E1F"/>
          <w:lang w:eastAsia="en-US"/>
        </w:rPr>
        <w:t>4.3.21</w:t>
      </w:r>
      <w:r>
        <w:rPr>
          <w:rFonts w:asciiTheme="minorHAnsi" w:hAnsiTheme="minorHAnsi" w:cs="Arial"/>
          <w:color w:val="221E1F"/>
          <w:lang w:eastAsia="en-US"/>
        </w:rPr>
        <w:tab/>
      </w:r>
      <w:proofErr w:type="gramStart"/>
      <w:r w:rsidRPr="00C5365F">
        <w:rPr>
          <w:rFonts w:asciiTheme="minorHAnsi" w:hAnsiTheme="minorHAnsi" w:cs="Arial"/>
          <w:b/>
          <w:bCs/>
          <w:color w:val="221E1F"/>
          <w:lang w:eastAsia="en-US"/>
        </w:rPr>
        <w:t>There</w:t>
      </w:r>
      <w:proofErr w:type="gramEnd"/>
      <w:r w:rsidRPr="00C5365F">
        <w:rPr>
          <w:rFonts w:asciiTheme="minorHAnsi" w:hAnsiTheme="minorHAnsi" w:cs="Arial"/>
          <w:b/>
          <w:bCs/>
          <w:color w:val="221E1F"/>
          <w:lang w:eastAsia="en-US"/>
        </w:rPr>
        <w:t xml:space="preserve"> are case reports of thrombosis (including myocardial infarction) after infusion of DDAVP. It should be used with caution in patients with a history, or who are at risk, of cardiovascular disease, particularly the elderly</w:t>
      </w:r>
      <w:r w:rsidRPr="00C5365F">
        <w:rPr>
          <w:rFonts w:asciiTheme="minorHAnsi" w:hAnsiTheme="minorHAnsi" w:cs="Arial"/>
          <w:color w:val="221E1F"/>
          <w:lang w:eastAsia="en-US"/>
        </w:rPr>
        <w:t xml:space="preserve">. </w:t>
      </w:r>
      <w:r w:rsidRPr="00C5365F">
        <w:rPr>
          <w:rFonts w:asciiTheme="minorHAnsi" w:hAnsiTheme="minorHAnsi" w:cs="Arial"/>
          <w:b/>
          <w:bCs/>
          <w:color w:val="221E1F"/>
          <w:lang w:eastAsia="en-US"/>
        </w:rPr>
        <w:t xml:space="preserve"> </w:t>
      </w:r>
      <w:r w:rsidRPr="00C51360">
        <w:rPr>
          <w:rFonts w:asciiTheme="minorHAnsi" w:hAnsiTheme="minorHAnsi" w:cs="Arial"/>
          <w:b/>
          <w:bCs/>
          <w:color w:val="221E1F"/>
          <w:vertAlign w:val="superscript"/>
          <w:lang w:eastAsia="en-US"/>
        </w:rPr>
        <w:t>[33]</w:t>
      </w:r>
      <w:r w:rsidRPr="00C5365F">
        <w:rPr>
          <w:rFonts w:asciiTheme="minorHAnsi" w:hAnsiTheme="minorHAnsi" w:cs="Arial"/>
          <w:b/>
          <w:bCs/>
          <w:color w:val="221E1F"/>
          <w:lang w:eastAsia="en-US"/>
        </w:rPr>
        <w:t xml:space="preserve"> </w:t>
      </w:r>
    </w:p>
    <w:p w:rsidR="004B5AE5" w:rsidRDefault="004B5AE5" w:rsidP="004B5AE5">
      <w:pPr>
        <w:pStyle w:val="ListParagraph"/>
        <w:autoSpaceDE w:val="0"/>
        <w:autoSpaceDN w:val="0"/>
        <w:adjustRightInd w:val="0"/>
        <w:spacing w:after="0"/>
        <w:ind w:left="1418" w:hanging="1305"/>
        <w:rPr>
          <w:rFonts w:asciiTheme="minorHAnsi" w:hAnsiTheme="minorHAnsi" w:cs="Arial"/>
          <w:b/>
          <w:bCs/>
          <w:color w:val="221E1F"/>
          <w:lang w:eastAsia="en-US"/>
        </w:rPr>
      </w:pPr>
    </w:p>
    <w:p w:rsidR="004B5AE5" w:rsidRDefault="004B5AE5" w:rsidP="00041ED2">
      <w:pPr>
        <w:pStyle w:val="Heading4"/>
        <w:rPr>
          <w:lang w:eastAsia="en-US"/>
        </w:rPr>
      </w:pPr>
      <w:r w:rsidRPr="00C5365F">
        <w:rPr>
          <w:lang w:eastAsia="en-US"/>
        </w:rPr>
        <w:t xml:space="preserve">Tranexamic acid </w:t>
      </w:r>
    </w:p>
    <w:p w:rsidR="004B5AE5"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bCs/>
          <w:iCs/>
          <w:color w:val="221E1F"/>
          <w:lang w:eastAsia="en-US"/>
        </w:rPr>
        <w:t>4.3.22</w:t>
      </w:r>
      <w:r>
        <w:rPr>
          <w:rFonts w:asciiTheme="minorHAnsi" w:hAnsiTheme="minorHAnsi" w:cs="Arial"/>
          <w:bCs/>
          <w:iCs/>
          <w:color w:val="221E1F"/>
          <w:lang w:eastAsia="en-US"/>
        </w:rPr>
        <w:tab/>
      </w:r>
      <w:r w:rsidRPr="00C5365F">
        <w:rPr>
          <w:rFonts w:asciiTheme="minorHAnsi" w:hAnsiTheme="minorHAnsi" w:cs="Arial"/>
          <w:color w:val="221E1F"/>
          <w:lang w:eastAsia="en-US"/>
        </w:rPr>
        <w:t>Tranexamic acid is an antifibrinolytic agent that competitively inh</w:t>
      </w:r>
      <w:r>
        <w:rPr>
          <w:rFonts w:asciiTheme="minorHAnsi" w:hAnsiTheme="minorHAnsi" w:cs="Arial"/>
          <w:color w:val="221E1F"/>
          <w:lang w:eastAsia="en-US"/>
        </w:rPr>
        <w:t>ibits the activation of plasmin</w:t>
      </w:r>
      <w:r w:rsidRPr="00C5365F">
        <w:rPr>
          <w:rFonts w:asciiTheme="minorHAnsi" w:hAnsiTheme="minorHAnsi" w:cs="Arial"/>
          <w:color w:val="221E1F"/>
          <w:lang w:eastAsia="en-US"/>
        </w:rPr>
        <w:t xml:space="preserve">ogen to plasmin. </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Pr>
          <w:rFonts w:asciiTheme="minorHAnsi" w:hAnsiTheme="minorHAnsi" w:cs="Arial"/>
          <w:color w:val="221E1F"/>
          <w:lang w:eastAsia="en-US"/>
        </w:rPr>
        <w:t>4.3.23</w:t>
      </w:r>
      <w:r>
        <w:rPr>
          <w:rFonts w:asciiTheme="minorHAnsi" w:hAnsiTheme="minorHAnsi" w:cs="Arial"/>
          <w:color w:val="221E1F"/>
          <w:lang w:eastAsia="en-US"/>
        </w:rPr>
        <w:tab/>
      </w:r>
      <w:proofErr w:type="gramStart"/>
      <w:r w:rsidRPr="00C5365F">
        <w:rPr>
          <w:rFonts w:asciiTheme="minorHAnsi" w:hAnsiTheme="minorHAnsi" w:cs="Arial"/>
          <w:color w:val="221E1F"/>
          <w:lang w:eastAsia="en-US"/>
        </w:rPr>
        <w:t>It</w:t>
      </w:r>
      <w:proofErr w:type="gramEnd"/>
      <w:r w:rsidRPr="00C5365F">
        <w:rPr>
          <w:rFonts w:asciiTheme="minorHAnsi" w:hAnsiTheme="minorHAnsi" w:cs="Arial"/>
          <w:color w:val="221E1F"/>
          <w:lang w:eastAsia="en-US"/>
        </w:rPr>
        <w:t xml:space="preserve"> promotes clot stability and is useful as adjunc</w:t>
      </w:r>
      <w:r w:rsidRPr="00C5365F">
        <w:rPr>
          <w:rFonts w:asciiTheme="minorHAnsi" w:hAnsiTheme="minorHAnsi" w:cs="Arial"/>
          <w:color w:val="221E1F"/>
          <w:lang w:eastAsia="en-US"/>
        </w:rPr>
        <w:softHyphen/>
        <w:t>tive therapy in haemophilia and some other bleeding disorders</w:t>
      </w:r>
      <w:r>
        <w:rPr>
          <w:rFonts w:asciiTheme="minorHAnsi" w:hAnsiTheme="minorHAnsi" w:cs="Arial"/>
          <w:color w:val="221E1F"/>
          <w:lang w:eastAsia="en-US"/>
        </w:rPr>
        <w:t xml:space="preserve">. </w:t>
      </w:r>
      <w:r w:rsidRPr="00C51360">
        <w:rPr>
          <w:rFonts w:asciiTheme="minorHAnsi" w:hAnsiTheme="minorHAnsi" w:cs="Arial"/>
          <w:color w:val="221E1F"/>
          <w:vertAlign w:val="superscript"/>
          <w:lang w:eastAsia="en-US"/>
        </w:rPr>
        <w:t>[40]</w:t>
      </w:r>
    </w:p>
    <w:p w:rsidR="004B5AE5" w:rsidRDefault="004B5AE5" w:rsidP="004B5AE5">
      <w:pPr>
        <w:pStyle w:val="ListParagraph"/>
        <w:autoSpaceDE w:val="0"/>
        <w:autoSpaceDN w:val="0"/>
        <w:adjustRightInd w:val="0"/>
        <w:spacing w:after="0"/>
        <w:ind w:left="1418" w:hanging="1305"/>
        <w:rPr>
          <w:rFonts w:asciiTheme="minorHAnsi" w:hAnsiTheme="minorHAnsi" w:cs="Arial"/>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b/>
          <w:bCs/>
          <w:color w:val="221E1F"/>
          <w:lang w:eastAsia="en-US"/>
        </w:rPr>
      </w:pPr>
      <w:r>
        <w:rPr>
          <w:rFonts w:asciiTheme="minorHAnsi" w:hAnsiTheme="minorHAnsi" w:cs="Arial"/>
          <w:color w:val="221E1F"/>
          <w:lang w:eastAsia="en-US"/>
        </w:rPr>
        <w:t>4.3.24</w:t>
      </w:r>
      <w:r>
        <w:rPr>
          <w:rFonts w:asciiTheme="minorHAnsi" w:hAnsiTheme="minorHAnsi" w:cs="Arial"/>
          <w:color w:val="221E1F"/>
          <w:lang w:eastAsia="en-US"/>
        </w:rPr>
        <w:tab/>
      </w:r>
      <w:r w:rsidRPr="00C5365F">
        <w:rPr>
          <w:rFonts w:asciiTheme="minorHAnsi" w:hAnsiTheme="minorHAnsi" w:cs="Arial"/>
          <w:b/>
          <w:bCs/>
          <w:color w:val="221E1F"/>
          <w:lang w:eastAsia="en-US"/>
        </w:rPr>
        <w:t>Regular treatment with tranexamic acid alone is of no value in the prevention of h</w:t>
      </w:r>
      <w:r>
        <w:rPr>
          <w:rFonts w:asciiTheme="minorHAnsi" w:hAnsiTheme="minorHAnsi" w:cs="Arial"/>
          <w:b/>
          <w:bCs/>
          <w:color w:val="221E1F"/>
          <w:lang w:eastAsia="en-US"/>
        </w:rPr>
        <w:t>a</w:t>
      </w:r>
      <w:r w:rsidRPr="00C5365F">
        <w:rPr>
          <w:rFonts w:asciiTheme="minorHAnsi" w:hAnsiTheme="minorHAnsi" w:cs="Arial"/>
          <w:b/>
          <w:bCs/>
          <w:color w:val="221E1F"/>
          <w:lang w:eastAsia="en-US"/>
        </w:rPr>
        <w:t xml:space="preserve">emarthroses in haemophilia.  </w:t>
      </w:r>
      <w:r w:rsidRPr="00C51360">
        <w:rPr>
          <w:rFonts w:asciiTheme="minorHAnsi" w:hAnsiTheme="minorHAnsi" w:cs="Arial"/>
          <w:b/>
          <w:bCs/>
          <w:color w:val="221E1F"/>
          <w:vertAlign w:val="superscript"/>
          <w:lang w:eastAsia="en-US"/>
        </w:rPr>
        <w:t>[40]</w:t>
      </w:r>
      <w:r w:rsidRPr="00C5365F">
        <w:rPr>
          <w:rFonts w:asciiTheme="minorHAnsi" w:hAnsiTheme="minorHAnsi" w:cs="Arial"/>
          <w:b/>
          <w:bCs/>
          <w:color w:val="221E1F"/>
          <w:lang w:eastAsia="en-US"/>
        </w:rPr>
        <w:t xml:space="preserve"> </w:t>
      </w:r>
    </w:p>
    <w:p w:rsidR="004B5AE5" w:rsidRDefault="004B5AE5" w:rsidP="004B5AE5">
      <w:pPr>
        <w:pStyle w:val="ListParagraph"/>
        <w:autoSpaceDE w:val="0"/>
        <w:autoSpaceDN w:val="0"/>
        <w:adjustRightInd w:val="0"/>
        <w:spacing w:after="0"/>
        <w:ind w:left="1418" w:hanging="1305"/>
        <w:rPr>
          <w:rFonts w:asciiTheme="minorHAnsi" w:hAnsiTheme="minorHAnsi" w:cs="Arial"/>
          <w:b/>
          <w:bCs/>
          <w:color w:val="221E1F"/>
          <w:lang w:eastAsia="en-US"/>
        </w:rPr>
      </w:pPr>
    </w:p>
    <w:p w:rsidR="004B5AE5" w:rsidRDefault="004B5AE5" w:rsidP="00041ED2">
      <w:pPr>
        <w:pStyle w:val="ListParagraph"/>
        <w:autoSpaceDE w:val="0"/>
        <w:autoSpaceDN w:val="0"/>
        <w:adjustRightInd w:val="0"/>
        <w:spacing w:after="0"/>
        <w:ind w:left="1418" w:hanging="1418"/>
        <w:rPr>
          <w:rFonts w:asciiTheme="minorHAnsi" w:hAnsiTheme="minorHAnsi" w:cs="Arial"/>
          <w:b/>
          <w:bCs/>
          <w:color w:val="221E1F"/>
          <w:lang w:eastAsia="en-US"/>
        </w:rPr>
      </w:pPr>
      <w:r w:rsidRPr="00C51360">
        <w:rPr>
          <w:rFonts w:asciiTheme="minorHAnsi" w:hAnsiTheme="minorHAnsi" w:cs="Arial"/>
          <w:bCs/>
          <w:color w:val="221E1F"/>
          <w:lang w:eastAsia="en-US"/>
        </w:rPr>
        <w:t>4.3.25</w:t>
      </w:r>
      <w:r>
        <w:rPr>
          <w:rFonts w:asciiTheme="minorHAnsi" w:hAnsiTheme="minorHAnsi" w:cs="Arial"/>
          <w:b/>
          <w:bCs/>
          <w:color w:val="221E1F"/>
          <w:lang w:eastAsia="en-US"/>
        </w:rPr>
        <w:tab/>
      </w:r>
      <w:proofErr w:type="gramStart"/>
      <w:r w:rsidRPr="00C5365F">
        <w:rPr>
          <w:rFonts w:asciiTheme="minorHAnsi" w:hAnsiTheme="minorHAnsi" w:cs="Arial"/>
          <w:b/>
          <w:bCs/>
          <w:color w:val="221E1F"/>
          <w:lang w:eastAsia="en-US"/>
        </w:rPr>
        <w:t>It</w:t>
      </w:r>
      <w:proofErr w:type="gramEnd"/>
      <w:r w:rsidRPr="00C5365F">
        <w:rPr>
          <w:rFonts w:asciiTheme="minorHAnsi" w:hAnsiTheme="minorHAnsi" w:cs="Arial"/>
          <w:b/>
          <w:bCs/>
          <w:color w:val="221E1F"/>
          <w:lang w:eastAsia="en-US"/>
        </w:rPr>
        <w:t xml:space="preserve"> is valuable, however, in controlling bleeding from skin and mucosal surfaces (e.g. oral bleeding, epistaxis, menorrhagia).  </w:t>
      </w:r>
      <w:r w:rsidRPr="00C51360">
        <w:rPr>
          <w:rFonts w:asciiTheme="minorHAnsi" w:hAnsiTheme="minorHAnsi" w:cs="Arial"/>
          <w:b/>
          <w:bCs/>
          <w:color w:val="221E1F"/>
          <w:vertAlign w:val="superscript"/>
          <w:lang w:eastAsia="en-US"/>
        </w:rPr>
        <w:t>[41-43]</w:t>
      </w:r>
      <w:r w:rsidRPr="00C5365F">
        <w:rPr>
          <w:rFonts w:asciiTheme="minorHAnsi" w:hAnsiTheme="minorHAnsi" w:cs="Arial"/>
          <w:b/>
          <w:bCs/>
          <w:color w:val="221E1F"/>
          <w:lang w:eastAsia="en-US"/>
        </w:rPr>
        <w:t xml:space="preserve"> </w:t>
      </w:r>
    </w:p>
    <w:p w:rsidR="004B5AE5" w:rsidRDefault="004B5AE5" w:rsidP="004B5AE5">
      <w:pPr>
        <w:pStyle w:val="ListParagraph"/>
        <w:autoSpaceDE w:val="0"/>
        <w:autoSpaceDN w:val="0"/>
        <w:adjustRightInd w:val="0"/>
        <w:spacing w:after="0"/>
        <w:ind w:left="1418" w:hanging="1305"/>
        <w:rPr>
          <w:rFonts w:asciiTheme="minorHAnsi" w:hAnsiTheme="minorHAnsi" w:cs="Arial"/>
          <w:b/>
          <w:bCs/>
          <w:color w:val="221E1F"/>
          <w:lang w:eastAsia="en-US"/>
        </w:rPr>
      </w:pPr>
    </w:p>
    <w:p w:rsidR="004B5AE5" w:rsidRPr="00C5365F" w:rsidRDefault="004B5AE5" w:rsidP="00041ED2">
      <w:pPr>
        <w:pStyle w:val="ListParagraph"/>
        <w:autoSpaceDE w:val="0"/>
        <w:autoSpaceDN w:val="0"/>
        <w:adjustRightInd w:val="0"/>
        <w:spacing w:after="0"/>
        <w:ind w:left="1418" w:hanging="1418"/>
        <w:rPr>
          <w:rFonts w:asciiTheme="minorHAnsi" w:hAnsiTheme="minorHAnsi" w:cs="Arial"/>
          <w:color w:val="221E1F"/>
          <w:lang w:eastAsia="en-US"/>
        </w:rPr>
      </w:pPr>
      <w:r w:rsidRPr="00C51360">
        <w:rPr>
          <w:rFonts w:asciiTheme="minorHAnsi" w:hAnsiTheme="minorHAnsi" w:cs="Arial"/>
          <w:bCs/>
          <w:color w:val="221E1F"/>
          <w:lang w:eastAsia="en-US"/>
        </w:rPr>
        <w:t>4.3.26</w:t>
      </w:r>
      <w:r>
        <w:rPr>
          <w:rFonts w:asciiTheme="minorHAnsi" w:hAnsiTheme="minorHAnsi" w:cs="Arial"/>
          <w:b/>
          <w:bCs/>
          <w:color w:val="221E1F"/>
          <w:lang w:eastAsia="en-US"/>
        </w:rPr>
        <w:tab/>
      </w:r>
      <w:r w:rsidRPr="00C5365F">
        <w:rPr>
          <w:rFonts w:asciiTheme="minorHAnsi" w:hAnsiTheme="minorHAnsi" w:cs="Arial"/>
          <w:b/>
          <w:bCs/>
          <w:color w:val="221E1F"/>
          <w:lang w:eastAsia="en-US"/>
        </w:rPr>
        <w:t xml:space="preserve">Tranexamic acid is particularly valuable in the setting of dental surgery and may be used to control oral bleeding associated with eruption or shedding of teeth.  </w:t>
      </w:r>
      <w:r w:rsidRPr="00C51360">
        <w:rPr>
          <w:rFonts w:asciiTheme="minorHAnsi" w:hAnsiTheme="minorHAnsi" w:cs="Arial"/>
          <w:b/>
          <w:bCs/>
          <w:color w:val="221E1F"/>
          <w:vertAlign w:val="superscript"/>
          <w:lang w:eastAsia="en-US"/>
        </w:rPr>
        <w:t>[42</w:t>
      </w:r>
      <w:proofErr w:type="gramStart"/>
      <w:r w:rsidRPr="00C51360">
        <w:rPr>
          <w:rFonts w:asciiTheme="minorHAnsi" w:hAnsiTheme="minorHAnsi" w:cs="Arial"/>
          <w:b/>
          <w:bCs/>
          <w:color w:val="221E1F"/>
          <w:vertAlign w:val="superscript"/>
          <w:lang w:eastAsia="en-US"/>
        </w:rPr>
        <w:t>,44</w:t>
      </w:r>
      <w:proofErr w:type="gramEnd"/>
      <w:r w:rsidRPr="00C51360">
        <w:rPr>
          <w:rFonts w:asciiTheme="minorHAnsi" w:hAnsiTheme="minorHAnsi" w:cs="Arial"/>
          <w:b/>
          <w:bCs/>
          <w:color w:val="221E1F"/>
          <w:vertAlign w:val="superscript"/>
          <w:lang w:eastAsia="en-US"/>
        </w:rPr>
        <w:t>]</w:t>
      </w:r>
      <w:r w:rsidRPr="00C5365F">
        <w:rPr>
          <w:rFonts w:asciiTheme="minorHAnsi" w:hAnsiTheme="minorHAnsi" w:cs="Arial"/>
          <w:b/>
          <w:bCs/>
          <w:color w:val="221E1F"/>
          <w:lang w:eastAsia="en-US"/>
        </w:rPr>
        <w:t xml:space="preserve"> </w:t>
      </w:r>
    </w:p>
    <w:p w:rsidR="004B5AE5" w:rsidRPr="00C5365F" w:rsidRDefault="004B5AE5" w:rsidP="004B5AE5">
      <w:pPr>
        <w:autoSpaceDE w:val="0"/>
        <w:autoSpaceDN w:val="0"/>
        <w:adjustRightInd w:val="0"/>
        <w:spacing w:after="0"/>
        <w:ind w:left="851" w:hanging="284"/>
        <w:rPr>
          <w:rFonts w:asciiTheme="minorHAnsi" w:hAnsiTheme="minorHAnsi" w:cs="Minion Pro"/>
          <w:color w:val="221E1F"/>
          <w:sz w:val="23"/>
          <w:szCs w:val="23"/>
          <w:lang w:eastAsia="en-US"/>
        </w:rPr>
      </w:pPr>
    </w:p>
    <w:p w:rsidR="004B5AE5" w:rsidRDefault="004B5AE5" w:rsidP="00041ED2">
      <w:pPr>
        <w:pStyle w:val="Heading4"/>
        <w:rPr>
          <w:lang w:eastAsia="en-US"/>
        </w:rPr>
      </w:pPr>
      <w:r w:rsidRPr="00C51360">
        <w:rPr>
          <w:lang w:eastAsia="en-US"/>
        </w:rPr>
        <w:t xml:space="preserve">Dosage/administration </w:t>
      </w:r>
    </w:p>
    <w:p w:rsidR="004B5AE5" w:rsidRDefault="004B5AE5" w:rsidP="00041ED2">
      <w:pPr>
        <w:autoSpaceDE w:val="0"/>
        <w:autoSpaceDN w:val="0"/>
        <w:adjustRightInd w:val="0"/>
        <w:spacing w:before="280" w:after="0"/>
        <w:ind w:left="1418" w:hanging="1418"/>
        <w:rPr>
          <w:rFonts w:asciiTheme="minorHAnsi" w:hAnsiTheme="minorHAnsi" w:cs="Arial"/>
          <w:b/>
          <w:color w:val="221E1F"/>
          <w:lang w:eastAsia="en-US"/>
        </w:rPr>
      </w:pPr>
      <w:r w:rsidRPr="00C51360">
        <w:rPr>
          <w:rFonts w:asciiTheme="minorHAnsi" w:hAnsiTheme="minorHAnsi" w:cs="Arial"/>
          <w:color w:val="221E1F"/>
          <w:lang w:eastAsia="en-US"/>
        </w:rPr>
        <w:t>4.3.27</w:t>
      </w:r>
      <w:r>
        <w:rPr>
          <w:rFonts w:asciiTheme="minorHAnsi" w:hAnsiTheme="minorHAnsi" w:cs="Arial"/>
          <w:color w:val="221E1F"/>
          <w:lang w:eastAsia="en-US"/>
        </w:rPr>
        <w:tab/>
      </w:r>
      <w:r w:rsidRPr="00C51360">
        <w:rPr>
          <w:rFonts w:asciiTheme="minorHAnsi" w:hAnsiTheme="minorHAnsi" w:cs="Arial"/>
          <w:color w:val="221E1F"/>
          <w:lang w:eastAsia="en-US"/>
        </w:rPr>
        <w:t>Tranexamic</w:t>
      </w:r>
      <w:r w:rsidRPr="00C5365F">
        <w:rPr>
          <w:rFonts w:asciiTheme="minorHAnsi" w:hAnsiTheme="minorHAnsi" w:cs="Arial"/>
          <w:color w:val="221E1F"/>
          <w:lang w:eastAsia="en-US"/>
        </w:rPr>
        <w:t xml:space="preserve"> acid is usually given as an oral tablet, 25mg/kg or up to 1.5 </w:t>
      </w:r>
      <w:proofErr w:type="gramStart"/>
      <w:r w:rsidRPr="00C5365F">
        <w:rPr>
          <w:rFonts w:asciiTheme="minorHAnsi" w:hAnsiTheme="minorHAnsi" w:cs="Arial"/>
          <w:color w:val="221E1F"/>
          <w:lang w:eastAsia="en-US"/>
        </w:rPr>
        <w:t>gms</w:t>
      </w:r>
      <w:proofErr w:type="gramEnd"/>
      <w:r w:rsidRPr="00C5365F">
        <w:rPr>
          <w:rFonts w:asciiTheme="minorHAnsi" w:hAnsiTheme="minorHAnsi" w:cs="Arial"/>
          <w:color w:val="221E1F"/>
          <w:lang w:eastAsia="en-US"/>
        </w:rPr>
        <w:t xml:space="preserve"> in adults, three to four times daily. It can also be given by intravenous infusion two to three times daily, and is also available as a mouthwash. </w:t>
      </w:r>
    </w:p>
    <w:p w:rsidR="004B5AE5" w:rsidRDefault="004B5AE5" w:rsidP="00041ED2">
      <w:pPr>
        <w:autoSpaceDE w:val="0"/>
        <w:autoSpaceDN w:val="0"/>
        <w:adjustRightInd w:val="0"/>
        <w:spacing w:before="280" w:after="0"/>
        <w:ind w:left="1418" w:hanging="1418"/>
        <w:rPr>
          <w:rFonts w:asciiTheme="minorHAnsi" w:hAnsiTheme="minorHAnsi" w:cs="Arial"/>
          <w:b/>
          <w:color w:val="221E1F"/>
          <w:lang w:eastAsia="en-US"/>
        </w:rPr>
      </w:pPr>
      <w:r w:rsidRPr="00C51360">
        <w:rPr>
          <w:rFonts w:asciiTheme="minorHAnsi" w:hAnsiTheme="minorHAnsi" w:cs="Arial"/>
          <w:color w:val="221E1F"/>
          <w:lang w:eastAsia="en-US"/>
        </w:rPr>
        <w:t>4.3.28</w:t>
      </w:r>
      <w:r>
        <w:rPr>
          <w:rFonts w:asciiTheme="minorHAnsi" w:hAnsiTheme="minorHAnsi" w:cs="Arial"/>
          <w:b/>
          <w:color w:val="221E1F"/>
          <w:lang w:eastAsia="en-US"/>
        </w:rPr>
        <w:tab/>
      </w:r>
      <w:r w:rsidRPr="00C5365F">
        <w:rPr>
          <w:rFonts w:asciiTheme="minorHAnsi" w:hAnsiTheme="minorHAnsi" w:cs="Arial"/>
          <w:color w:val="221E1F"/>
          <w:lang w:eastAsia="en-US"/>
        </w:rPr>
        <w:t xml:space="preserve">Gastrointestinal upset (nausea, vomiting, or diarrhoea) may rarely occur as a side effect, but these symptoms usually resolve if the dosage is reduced. When administered intravenously, it must be infused slowly as rapid injection may result in dizziness and hypotension. </w:t>
      </w:r>
    </w:p>
    <w:p w:rsidR="004B5AE5" w:rsidRDefault="004B5AE5" w:rsidP="00041ED2">
      <w:pPr>
        <w:autoSpaceDE w:val="0"/>
        <w:autoSpaceDN w:val="0"/>
        <w:adjustRightInd w:val="0"/>
        <w:spacing w:before="280" w:after="0"/>
        <w:ind w:left="1418" w:hanging="1418"/>
        <w:rPr>
          <w:rFonts w:asciiTheme="minorHAnsi" w:hAnsiTheme="minorHAnsi" w:cs="Arial"/>
          <w:b/>
          <w:color w:val="221E1F"/>
          <w:lang w:eastAsia="en-US"/>
        </w:rPr>
      </w:pPr>
      <w:r w:rsidRPr="00C51360">
        <w:rPr>
          <w:rFonts w:asciiTheme="minorHAnsi" w:hAnsiTheme="minorHAnsi" w:cs="Arial"/>
          <w:color w:val="221E1F"/>
          <w:lang w:eastAsia="en-US"/>
        </w:rPr>
        <w:t>4.3.29</w:t>
      </w:r>
      <w:r>
        <w:rPr>
          <w:rFonts w:asciiTheme="minorHAnsi" w:hAnsiTheme="minorHAnsi" w:cs="Arial"/>
          <w:b/>
          <w:color w:val="221E1F"/>
          <w:lang w:eastAsia="en-US"/>
        </w:rPr>
        <w:tab/>
      </w:r>
      <w:r w:rsidRPr="00C5365F">
        <w:rPr>
          <w:rFonts w:asciiTheme="minorHAnsi" w:hAnsiTheme="minorHAnsi" w:cs="Arial"/>
          <w:color w:val="221E1F"/>
          <w:lang w:eastAsia="en-US"/>
        </w:rPr>
        <w:t>Tranexamic acid can be constituted as a suspension for topical use on bleeding mucosal lesions particularly in the oral cavity.</w:t>
      </w:r>
    </w:p>
    <w:p w:rsidR="004B5AE5" w:rsidRDefault="004B5AE5" w:rsidP="00041ED2">
      <w:pPr>
        <w:autoSpaceDE w:val="0"/>
        <w:autoSpaceDN w:val="0"/>
        <w:adjustRightInd w:val="0"/>
        <w:spacing w:before="280" w:after="0"/>
        <w:ind w:left="1418" w:hanging="1418"/>
        <w:rPr>
          <w:rFonts w:asciiTheme="minorHAnsi" w:hAnsiTheme="minorHAnsi" w:cs="Arial"/>
          <w:b/>
          <w:color w:val="221E1F"/>
          <w:lang w:eastAsia="en-US"/>
        </w:rPr>
      </w:pPr>
      <w:r w:rsidRPr="00C51360">
        <w:rPr>
          <w:rFonts w:asciiTheme="minorHAnsi" w:hAnsiTheme="minorHAnsi" w:cs="Arial"/>
          <w:color w:val="221E1F"/>
          <w:lang w:eastAsia="en-US"/>
        </w:rPr>
        <w:t>4.3.30</w:t>
      </w:r>
      <w:r>
        <w:rPr>
          <w:rFonts w:asciiTheme="minorHAnsi" w:hAnsiTheme="minorHAnsi" w:cs="Arial"/>
          <w:b/>
          <w:color w:val="221E1F"/>
          <w:lang w:eastAsia="en-US"/>
        </w:rPr>
        <w:tab/>
      </w:r>
      <w:r w:rsidRPr="00C5365F">
        <w:rPr>
          <w:rFonts w:asciiTheme="minorHAnsi" w:hAnsiTheme="minorHAnsi" w:cs="Arial"/>
          <w:color w:val="221E1F"/>
          <w:lang w:eastAsia="en-US"/>
        </w:rPr>
        <w:t>Tranexamic acid is commonly prescribed for seven days following dental extractions to prevent post-operative bleeding.</w:t>
      </w:r>
    </w:p>
    <w:p w:rsidR="004B5AE5" w:rsidRDefault="004B5AE5" w:rsidP="00041ED2">
      <w:pPr>
        <w:autoSpaceDE w:val="0"/>
        <w:autoSpaceDN w:val="0"/>
        <w:adjustRightInd w:val="0"/>
        <w:spacing w:before="280" w:after="0"/>
        <w:ind w:left="1418" w:hanging="1418"/>
        <w:rPr>
          <w:rFonts w:asciiTheme="minorHAnsi" w:hAnsiTheme="minorHAnsi" w:cs="Arial"/>
          <w:b/>
          <w:color w:val="221E1F"/>
          <w:lang w:eastAsia="en-US"/>
        </w:rPr>
      </w:pPr>
      <w:r w:rsidRPr="00C51360">
        <w:rPr>
          <w:rFonts w:asciiTheme="minorHAnsi" w:hAnsiTheme="minorHAnsi" w:cs="Arial"/>
          <w:color w:val="221E1F"/>
          <w:lang w:eastAsia="en-US"/>
        </w:rPr>
        <w:lastRenderedPageBreak/>
        <w:t>4.3.31</w:t>
      </w:r>
      <w:r>
        <w:rPr>
          <w:rFonts w:asciiTheme="minorHAnsi" w:hAnsiTheme="minorHAnsi" w:cs="Arial"/>
          <w:b/>
          <w:color w:val="221E1F"/>
          <w:lang w:eastAsia="en-US"/>
        </w:rPr>
        <w:tab/>
      </w:r>
      <w:r w:rsidRPr="00C5365F">
        <w:rPr>
          <w:rFonts w:asciiTheme="minorHAnsi" w:hAnsiTheme="minorHAnsi" w:cs="Arial"/>
          <w:color w:val="221E1F"/>
          <w:lang w:eastAsia="en-US"/>
        </w:rPr>
        <w:t>Tranexamic acid is excreted by the kidneys and the dose must be r</w:t>
      </w:r>
      <w:r>
        <w:rPr>
          <w:rFonts w:asciiTheme="minorHAnsi" w:hAnsiTheme="minorHAnsi" w:cs="Arial"/>
          <w:color w:val="221E1F"/>
          <w:lang w:eastAsia="en-US"/>
        </w:rPr>
        <w:t>educed if there is renal impair</w:t>
      </w:r>
      <w:r w:rsidRPr="00C5365F">
        <w:rPr>
          <w:rFonts w:asciiTheme="minorHAnsi" w:hAnsiTheme="minorHAnsi" w:cs="Arial"/>
          <w:color w:val="221E1F"/>
          <w:lang w:eastAsia="en-US"/>
        </w:rPr>
        <w:t>ment in order to avoid toxic accumulation.</w:t>
      </w:r>
    </w:p>
    <w:p w:rsidR="004B5AE5" w:rsidRDefault="004B5AE5" w:rsidP="00041ED2">
      <w:pPr>
        <w:autoSpaceDE w:val="0"/>
        <w:autoSpaceDN w:val="0"/>
        <w:adjustRightInd w:val="0"/>
        <w:spacing w:before="280" w:after="0"/>
        <w:ind w:left="1418" w:hanging="1418"/>
        <w:rPr>
          <w:rFonts w:asciiTheme="minorHAnsi" w:hAnsiTheme="minorHAnsi" w:cs="Arial"/>
          <w:b/>
          <w:color w:val="221E1F"/>
          <w:lang w:eastAsia="en-US"/>
        </w:rPr>
      </w:pPr>
      <w:r w:rsidRPr="00C51360">
        <w:rPr>
          <w:rFonts w:asciiTheme="minorHAnsi" w:hAnsiTheme="minorHAnsi" w:cs="Arial"/>
          <w:color w:val="221E1F"/>
          <w:lang w:eastAsia="en-US"/>
        </w:rPr>
        <w:t>4.3.32</w:t>
      </w:r>
      <w:r>
        <w:rPr>
          <w:rFonts w:asciiTheme="minorHAnsi" w:hAnsiTheme="minorHAnsi" w:cs="Arial"/>
          <w:b/>
          <w:color w:val="221E1F"/>
          <w:lang w:eastAsia="en-US"/>
        </w:rPr>
        <w:tab/>
      </w:r>
      <w:proofErr w:type="gramStart"/>
      <w:r w:rsidRPr="00C5365F">
        <w:rPr>
          <w:rFonts w:asciiTheme="minorHAnsi" w:hAnsiTheme="minorHAnsi" w:cs="Arial"/>
          <w:i/>
          <w:iCs/>
          <w:color w:val="221E1F"/>
          <w:lang w:eastAsia="en-US"/>
        </w:rPr>
        <w:t>The</w:t>
      </w:r>
      <w:proofErr w:type="gramEnd"/>
      <w:r w:rsidRPr="00C5365F">
        <w:rPr>
          <w:rFonts w:asciiTheme="minorHAnsi" w:hAnsiTheme="minorHAnsi" w:cs="Arial"/>
          <w:i/>
          <w:iCs/>
          <w:color w:val="221E1F"/>
          <w:lang w:eastAsia="en-US"/>
        </w:rPr>
        <w:t xml:space="preserve"> use of tranexamic acid is contraindicated for the treatment of haematuria </w:t>
      </w:r>
      <w:r w:rsidRPr="00C5365F">
        <w:rPr>
          <w:rFonts w:asciiTheme="minorHAnsi" w:hAnsiTheme="minorHAnsi" w:cs="Arial"/>
          <w:color w:val="221E1F"/>
          <w:lang w:eastAsia="en-US"/>
        </w:rPr>
        <w:t>as its use may prevent dissolution of clots in the ureters, leading to serious obstructive uropathy and potential perma</w:t>
      </w:r>
      <w:r w:rsidRPr="00C5365F">
        <w:rPr>
          <w:rFonts w:asciiTheme="minorHAnsi" w:hAnsiTheme="minorHAnsi" w:cs="Arial"/>
          <w:color w:val="221E1F"/>
          <w:lang w:eastAsia="en-US"/>
        </w:rPr>
        <w:softHyphen/>
        <w:t xml:space="preserve">nent loss of renal function. </w:t>
      </w:r>
    </w:p>
    <w:p w:rsidR="004B5AE5" w:rsidRDefault="004B5AE5" w:rsidP="00041ED2">
      <w:pPr>
        <w:autoSpaceDE w:val="0"/>
        <w:autoSpaceDN w:val="0"/>
        <w:adjustRightInd w:val="0"/>
        <w:spacing w:before="280" w:after="0"/>
        <w:ind w:left="1418" w:hanging="1418"/>
        <w:rPr>
          <w:rFonts w:asciiTheme="minorHAnsi" w:hAnsiTheme="minorHAnsi" w:cs="Arial"/>
          <w:b/>
          <w:color w:val="221E1F"/>
          <w:lang w:eastAsia="en-US"/>
        </w:rPr>
      </w:pPr>
      <w:r w:rsidRPr="00C51360">
        <w:rPr>
          <w:rFonts w:asciiTheme="minorHAnsi" w:hAnsiTheme="minorHAnsi" w:cs="Arial"/>
          <w:color w:val="221E1F"/>
          <w:lang w:eastAsia="en-US"/>
        </w:rPr>
        <w:t>4.3.33</w:t>
      </w:r>
      <w:r>
        <w:rPr>
          <w:rFonts w:asciiTheme="minorHAnsi" w:hAnsiTheme="minorHAnsi" w:cs="Arial"/>
          <w:b/>
          <w:color w:val="221E1F"/>
          <w:lang w:eastAsia="en-US"/>
        </w:rPr>
        <w:tab/>
      </w:r>
      <w:proofErr w:type="gramStart"/>
      <w:r w:rsidRPr="00C5365F">
        <w:rPr>
          <w:rFonts w:asciiTheme="minorHAnsi" w:hAnsiTheme="minorHAnsi" w:cs="Arial"/>
          <w:color w:val="221E1F"/>
          <w:lang w:eastAsia="en-US"/>
        </w:rPr>
        <w:t>Similarly</w:t>
      </w:r>
      <w:proofErr w:type="gramEnd"/>
      <w:r w:rsidRPr="00C5365F">
        <w:rPr>
          <w:rFonts w:asciiTheme="minorHAnsi" w:hAnsiTheme="minorHAnsi" w:cs="Arial"/>
          <w:color w:val="221E1F"/>
          <w:lang w:eastAsia="en-US"/>
        </w:rPr>
        <w:t>, the drug is contraindicated in the setting of thoracic surgery, where it may result in the development of insoluble h</w:t>
      </w:r>
      <w:r>
        <w:rPr>
          <w:rFonts w:asciiTheme="minorHAnsi" w:hAnsiTheme="minorHAnsi" w:cs="Arial"/>
          <w:color w:val="221E1F"/>
          <w:lang w:eastAsia="en-US"/>
        </w:rPr>
        <w:t>a</w:t>
      </w:r>
      <w:r w:rsidRPr="00C5365F">
        <w:rPr>
          <w:rFonts w:asciiTheme="minorHAnsi" w:hAnsiTheme="minorHAnsi" w:cs="Arial"/>
          <w:color w:val="221E1F"/>
          <w:lang w:eastAsia="en-US"/>
        </w:rPr>
        <w:t xml:space="preserve">ematomas. </w:t>
      </w:r>
    </w:p>
    <w:p w:rsidR="004B5AE5" w:rsidRDefault="004B5AE5" w:rsidP="00041ED2">
      <w:pPr>
        <w:autoSpaceDE w:val="0"/>
        <w:autoSpaceDN w:val="0"/>
        <w:adjustRightInd w:val="0"/>
        <w:spacing w:before="280" w:after="0"/>
        <w:ind w:left="1418" w:hanging="1418"/>
        <w:rPr>
          <w:rFonts w:asciiTheme="minorHAnsi" w:hAnsiTheme="minorHAnsi" w:cs="Arial"/>
          <w:b/>
          <w:color w:val="221E1F"/>
          <w:lang w:eastAsia="en-US"/>
        </w:rPr>
      </w:pPr>
      <w:r w:rsidRPr="00C51360">
        <w:rPr>
          <w:rFonts w:asciiTheme="minorHAnsi" w:hAnsiTheme="minorHAnsi" w:cs="Arial"/>
          <w:color w:val="221E1F"/>
          <w:lang w:eastAsia="en-US"/>
        </w:rPr>
        <w:t>4.3.34</w:t>
      </w:r>
      <w:r>
        <w:rPr>
          <w:rFonts w:asciiTheme="minorHAnsi" w:hAnsiTheme="minorHAnsi" w:cs="Arial"/>
          <w:b/>
          <w:color w:val="221E1F"/>
          <w:lang w:eastAsia="en-US"/>
        </w:rPr>
        <w:tab/>
      </w:r>
      <w:r w:rsidRPr="00C5365F">
        <w:rPr>
          <w:rFonts w:asciiTheme="minorHAnsi" w:hAnsiTheme="minorHAnsi" w:cs="Arial"/>
          <w:b/>
          <w:bCs/>
          <w:color w:val="221E1F"/>
          <w:lang w:eastAsia="en-US"/>
        </w:rPr>
        <w:t xml:space="preserve">Tranexamic acid may be given alone or together with standard doses of coagulation factor concentrates. </w:t>
      </w:r>
      <w:r w:rsidRPr="00C51360">
        <w:rPr>
          <w:rFonts w:asciiTheme="minorHAnsi" w:hAnsiTheme="minorHAnsi" w:cs="Arial"/>
          <w:b/>
          <w:bCs/>
          <w:color w:val="221E1F"/>
          <w:vertAlign w:val="superscript"/>
          <w:lang w:eastAsia="en-US"/>
        </w:rPr>
        <w:t>[45]</w:t>
      </w:r>
    </w:p>
    <w:p w:rsidR="004B5AE5" w:rsidRDefault="004B5AE5" w:rsidP="00041ED2">
      <w:pPr>
        <w:autoSpaceDE w:val="0"/>
        <w:autoSpaceDN w:val="0"/>
        <w:adjustRightInd w:val="0"/>
        <w:spacing w:before="280" w:after="0"/>
        <w:ind w:left="1418" w:hanging="1418"/>
        <w:rPr>
          <w:rFonts w:asciiTheme="minorHAnsi" w:hAnsiTheme="minorHAnsi" w:cs="Arial"/>
          <w:b/>
          <w:bCs/>
          <w:color w:val="221E1F"/>
          <w:lang w:eastAsia="en-US"/>
        </w:rPr>
      </w:pPr>
      <w:r w:rsidRPr="00C51360">
        <w:rPr>
          <w:rFonts w:asciiTheme="minorHAnsi" w:hAnsiTheme="minorHAnsi" w:cs="Arial"/>
          <w:color w:val="221E1F"/>
          <w:lang w:eastAsia="en-US"/>
        </w:rPr>
        <w:t>4.3.35</w:t>
      </w:r>
      <w:r>
        <w:rPr>
          <w:rFonts w:asciiTheme="minorHAnsi" w:hAnsiTheme="minorHAnsi" w:cs="Arial"/>
          <w:b/>
          <w:color w:val="221E1F"/>
          <w:lang w:eastAsia="en-US"/>
        </w:rPr>
        <w:tab/>
      </w:r>
      <w:r w:rsidRPr="00C5365F">
        <w:rPr>
          <w:rFonts w:asciiTheme="minorHAnsi" w:hAnsiTheme="minorHAnsi" w:cs="Arial"/>
          <w:b/>
          <w:bCs/>
          <w:color w:val="221E1F"/>
          <w:lang w:eastAsia="en-US"/>
        </w:rPr>
        <w:t xml:space="preserve">Tranexamic acid should </w:t>
      </w:r>
      <w:r w:rsidRPr="00C5365F">
        <w:rPr>
          <w:rFonts w:asciiTheme="minorHAnsi" w:hAnsiTheme="minorHAnsi" w:cs="Arial"/>
          <w:b/>
          <w:bCs/>
          <w:i/>
          <w:iCs/>
          <w:color w:val="221E1F"/>
          <w:lang w:eastAsia="en-US"/>
        </w:rPr>
        <w:t xml:space="preserve">not </w:t>
      </w:r>
      <w:r w:rsidRPr="00C5365F">
        <w:rPr>
          <w:rFonts w:asciiTheme="minorHAnsi" w:hAnsiTheme="minorHAnsi" w:cs="Arial"/>
          <w:b/>
          <w:bCs/>
          <w:color w:val="221E1F"/>
          <w:lang w:eastAsia="en-US"/>
        </w:rPr>
        <w:t xml:space="preserve">be given to patients with FIX deficiency receiving prothrombin complex concentrates, as this will exacerbate the risk of thromboembolism.  </w:t>
      </w:r>
      <w:r w:rsidRPr="00C51360">
        <w:rPr>
          <w:rFonts w:asciiTheme="minorHAnsi" w:hAnsiTheme="minorHAnsi" w:cs="Arial"/>
          <w:b/>
          <w:bCs/>
          <w:color w:val="221E1F"/>
          <w:vertAlign w:val="superscript"/>
          <w:lang w:eastAsia="en-US"/>
        </w:rPr>
        <w:t>[46]</w:t>
      </w:r>
    </w:p>
    <w:p w:rsidR="004B5AE5" w:rsidRDefault="004B5AE5" w:rsidP="00041ED2">
      <w:pPr>
        <w:autoSpaceDE w:val="0"/>
        <w:autoSpaceDN w:val="0"/>
        <w:adjustRightInd w:val="0"/>
        <w:spacing w:before="280" w:after="0"/>
        <w:ind w:left="1418" w:hanging="1418"/>
        <w:rPr>
          <w:rFonts w:asciiTheme="minorHAnsi" w:hAnsiTheme="minorHAnsi" w:cs="Arial"/>
          <w:b/>
          <w:bCs/>
          <w:color w:val="221E1F"/>
          <w:lang w:eastAsia="en-US"/>
        </w:rPr>
      </w:pPr>
      <w:r w:rsidRPr="00C51360">
        <w:rPr>
          <w:rFonts w:asciiTheme="minorHAnsi" w:hAnsiTheme="minorHAnsi" w:cs="Arial"/>
          <w:bCs/>
          <w:color w:val="221E1F"/>
          <w:lang w:eastAsia="en-US"/>
        </w:rPr>
        <w:t>4.3.36</w:t>
      </w:r>
      <w:r>
        <w:rPr>
          <w:rFonts w:asciiTheme="minorHAnsi" w:hAnsiTheme="minorHAnsi" w:cs="Arial"/>
          <w:b/>
          <w:bCs/>
          <w:color w:val="221E1F"/>
          <w:lang w:eastAsia="en-US"/>
        </w:rPr>
        <w:tab/>
      </w:r>
      <w:r w:rsidRPr="00C5365F">
        <w:rPr>
          <w:rFonts w:asciiTheme="minorHAnsi" w:hAnsiTheme="minorHAnsi" w:cs="Arial"/>
          <w:b/>
          <w:bCs/>
          <w:color w:val="221E1F"/>
          <w:lang w:eastAsia="en-US"/>
        </w:rPr>
        <w:t>If treatment with both agents is deemed neces</w:t>
      </w:r>
      <w:r w:rsidRPr="00C5365F">
        <w:rPr>
          <w:rFonts w:asciiTheme="minorHAnsi" w:hAnsiTheme="minorHAnsi" w:cs="Arial"/>
          <w:b/>
          <w:bCs/>
          <w:color w:val="221E1F"/>
          <w:lang w:eastAsia="en-US"/>
        </w:rPr>
        <w:softHyphen/>
        <w:t xml:space="preserve">sary, it is recommended that at least 12 hours elapse between the last dose of APCC and the administration of tranexamic acid. </w:t>
      </w:r>
      <w:r w:rsidRPr="00C51360">
        <w:rPr>
          <w:rFonts w:asciiTheme="minorHAnsi" w:hAnsiTheme="minorHAnsi" w:cs="Arial"/>
          <w:b/>
          <w:bCs/>
          <w:color w:val="221E1F"/>
          <w:vertAlign w:val="superscript"/>
          <w:lang w:eastAsia="en-US"/>
        </w:rPr>
        <w:t>[46]</w:t>
      </w:r>
    </w:p>
    <w:p w:rsidR="004B5AE5" w:rsidRPr="00C51360" w:rsidRDefault="004B5AE5" w:rsidP="00041ED2">
      <w:pPr>
        <w:autoSpaceDE w:val="0"/>
        <w:autoSpaceDN w:val="0"/>
        <w:adjustRightInd w:val="0"/>
        <w:spacing w:before="280" w:after="0"/>
        <w:ind w:left="1418" w:hanging="1418"/>
        <w:rPr>
          <w:rFonts w:asciiTheme="minorHAnsi" w:hAnsiTheme="minorHAnsi" w:cs="Arial"/>
          <w:b/>
          <w:color w:val="221E1F"/>
          <w:lang w:eastAsia="en-US"/>
        </w:rPr>
      </w:pPr>
      <w:r w:rsidRPr="00C51360">
        <w:rPr>
          <w:rFonts w:asciiTheme="minorHAnsi" w:hAnsiTheme="minorHAnsi" w:cs="Arial"/>
          <w:bCs/>
          <w:color w:val="221E1F"/>
          <w:lang w:eastAsia="en-US"/>
        </w:rPr>
        <w:t>4.3.37</w:t>
      </w:r>
      <w:r>
        <w:rPr>
          <w:rFonts w:asciiTheme="minorHAnsi" w:hAnsiTheme="minorHAnsi" w:cs="Arial"/>
          <w:b/>
          <w:bCs/>
          <w:color w:val="221E1F"/>
          <w:lang w:eastAsia="en-US"/>
        </w:rPr>
        <w:tab/>
      </w:r>
      <w:r w:rsidRPr="00C5365F">
        <w:rPr>
          <w:rFonts w:asciiTheme="minorHAnsi" w:hAnsiTheme="minorHAnsi" w:cs="Arial"/>
          <w:b/>
          <w:bCs/>
          <w:color w:val="221E1F"/>
          <w:lang w:eastAsia="en-US"/>
        </w:rPr>
        <w:t xml:space="preserve">In contrast, thromboembolism is less likely when tranexamic acid is used in combination with rFVIIa to enhance haemostasis.  </w:t>
      </w:r>
      <w:r w:rsidRPr="00C51360">
        <w:rPr>
          <w:rFonts w:asciiTheme="minorHAnsi" w:hAnsiTheme="minorHAnsi" w:cs="Arial"/>
          <w:b/>
          <w:bCs/>
          <w:color w:val="221E1F"/>
          <w:vertAlign w:val="superscript"/>
          <w:lang w:eastAsia="en-US"/>
        </w:rPr>
        <w:t>[47]</w:t>
      </w:r>
    </w:p>
    <w:p w:rsidR="00484EFC" w:rsidRDefault="00484EFC">
      <w:pPr>
        <w:spacing w:after="200" w:line="276" w:lineRule="auto"/>
        <w:ind w:left="0"/>
        <w:rPr>
          <w:rFonts w:asciiTheme="minorHAnsi" w:hAnsiTheme="minorHAnsi" w:cs="Minion Pro"/>
          <w:strike/>
          <w:color w:val="221E1F"/>
          <w:sz w:val="23"/>
          <w:szCs w:val="23"/>
          <w:lang w:eastAsia="en-US"/>
        </w:rPr>
      </w:pPr>
      <w:r>
        <w:rPr>
          <w:rFonts w:asciiTheme="minorHAnsi" w:hAnsiTheme="minorHAnsi" w:cs="Minion Pro"/>
          <w:strike/>
          <w:color w:val="221E1F"/>
          <w:sz w:val="23"/>
          <w:szCs w:val="23"/>
          <w:lang w:eastAsia="en-US"/>
        </w:rPr>
        <w:br w:type="page"/>
      </w:r>
    </w:p>
    <w:p w:rsidR="004B5AE5" w:rsidRPr="00C5365F" w:rsidRDefault="004B5AE5" w:rsidP="00041ED2">
      <w:pPr>
        <w:autoSpaceDE w:val="0"/>
        <w:autoSpaceDN w:val="0"/>
        <w:adjustRightInd w:val="0"/>
        <w:spacing w:before="480" w:after="140"/>
        <w:ind w:left="283" w:hanging="283"/>
        <w:rPr>
          <w:rFonts w:asciiTheme="minorHAnsi" w:hAnsiTheme="minorHAnsi" w:cs="Avenir LT Std 55 Roman"/>
          <w:color w:val="E31736"/>
          <w:sz w:val="28"/>
          <w:szCs w:val="28"/>
          <w:lang w:eastAsia="en-US"/>
        </w:rPr>
      </w:pPr>
      <w:r w:rsidRPr="00C5365F">
        <w:rPr>
          <w:rFonts w:asciiTheme="minorHAnsi" w:hAnsiTheme="minorHAnsi" w:cs="Avenir LT Std 55 Roman"/>
          <w:b/>
          <w:bCs/>
          <w:color w:val="E31736"/>
          <w:sz w:val="28"/>
          <w:szCs w:val="28"/>
          <w:lang w:eastAsia="en-US"/>
        </w:rPr>
        <w:lastRenderedPageBreak/>
        <w:t>References</w:t>
      </w:r>
    </w:p>
    <w:p w:rsidR="004B5AE5" w:rsidRPr="00C5365F" w:rsidRDefault="004B5AE5" w:rsidP="00041ED2">
      <w:pPr>
        <w:numPr>
          <w:ilvl w:val="0"/>
          <w:numId w:val="52"/>
        </w:numPr>
        <w:autoSpaceDE w:val="0"/>
        <w:autoSpaceDN w:val="0"/>
        <w:adjustRightInd w:val="0"/>
        <w:spacing w:after="0" w:line="276" w:lineRule="auto"/>
        <w:ind w:left="567" w:hanging="567"/>
        <w:rPr>
          <w:rFonts w:asciiTheme="minorHAnsi" w:hAnsiTheme="minorHAnsi" w:cs="Arial"/>
          <w:color w:val="221E1F"/>
          <w:lang w:eastAsia="en-US"/>
        </w:rPr>
      </w:pPr>
      <w:r w:rsidRPr="00C5365F">
        <w:rPr>
          <w:rFonts w:asciiTheme="minorHAnsi" w:hAnsiTheme="minorHAnsi" w:cs="Arial"/>
          <w:color w:val="221E1F"/>
          <w:lang w:eastAsia="en-US"/>
        </w:rPr>
        <w:t xml:space="preserve">Evatt BL, Austin H, </w:t>
      </w:r>
      <w:proofErr w:type="gramStart"/>
      <w:r w:rsidRPr="00C5365F">
        <w:rPr>
          <w:rFonts w:asciiTheme="minorHAnsi" w:hAnsiTheme="minorHAnsi" w:cs="Arial"/>
          <w:color w:val="221E1F"/>
          <w:lang w:eastAsia="en-US"/>
        </w:rPr>
        <w:t>Leon</w:t>
      </w:r>
      <w:proofErr w:type="gramEnd"/>
      <w:r w:rsidRPr="00C5365F">
        <w:rPr>
          <w:rFonts w:asciiTheme="minorHAnsi" w:hAnsiTheme="minorHAnsi" w:cs="Arial"/>
          <w:color w:val="221E1F"/>
          <w:lang w:eastAsia="en-US"/>
        </w:rPr>
        <w:t xml:space="preserve"> G, Ruiz-Sáez A, de Bosch N. Haemophilia therapy: assessing the cumulative risk of HIV exposure by cryoprecipitate.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1999</w:t>
      </w:r>
      <w:proofErr w:type="gramStart"/>
      <w:r w:rsidRPr="00C5365F">
        <w:rPr>
          <w:rFonts w:asciiTheme="minorHAnsi" w:hAnsiTheme="minorHAnsi" w:cs="Arial"/>
          <w:color w:val="221E1F"/>
          <w:lang w:eastAsia="en-US"/>
        </w:rPr>
        <w:t>;5</w:t>
      </w:r>
      <w:proofErr w:type="gramEnd"/>
      <w:r w:rsidRPr="00C5365F">
        <w:rPr>
          <w:rFonts w:asciiTheme="minorHAnsi" w:hAnsiTheme="minorHAnsi" w:cs="Arial"/>
          <w:color w:val="221E1F"/>
          <w:lang w:eastAsia="en-US"/>
        </w:rPr>
        <w:t>(5):295-300.</w:t>
      </w:r>
    </w:p>
    <w:p w:rsidR="004B5AE5" w:rsidRPr="00C5365F" w:rsidRDefault="004B5AE5" w:rsidP="00041ED2">
      <w:pPr>
        <w:numPr>
          <w:ilvl w:val="0"/>
          <w:numId w:val="52"/>
        </w:numPr>
        <w:autoSpaceDE w:val="0"/>
        <w:autoSpaceDN w:val="0"/>
        <w:adjustRightInd w:val="0"/>
        <w:spacing w:after="0" w:line="276" w:lineRule="auto"/>
        <w:ind w:left="567" w:hanging="567"/>
        <w:rPr>
          <w:rFonts w:asciiTheme="minorHAnsi" w:hAnsiTheme="minorHAnsi" w:cs="Arial"/>
          <w:color w:val="221E1F"/>
          <w:lang w:eastAsia="en-US"/>
        </w:rPr>
      </w:pPr>
      <w:r w:rsidRPr="00C5365F">
        <w:rPr>
          <w:rFonts w:asciiTheme="minorHAnsi" w:hAnsiTheme="minorHAnsi" w:cs="Arial"/>
          <w:color w:val="221E1F"/>
          <w:lang w:eastAsia="en-US"/>
        </w:rPr>
        <w:t>Farrugia A. Guide for the assessment of clotting factor concentrates, 2nd ed. Montreal: World Federation of Hemophilia, 2008.</w:t>
      </w:r>
    </w:p>
    <w:p w:rsidR="004B5AE5" w:rsidRPr="00C5365F" w:rsidRDefault="004B5AE5" w:rsidP="00041ED2">
      <w:pPr>
        <w:numPr>
          <w:ilvl w:val="0"/>
          <w:numId w:val="52"/>
        </w:numPr>
        <w:autoSpaceDE w:val="0"/>
        <w:autoSpaceDN w:val="0"/>
        <w:adjustRightInd w:val="0"/>
        <w:spacing w:after="0" w:line="276" w:lineRule="auto"/>
        <w:ind w:left="567" w:hanging="567"/>
        <w:rPr>
          <w:rFonts w:asciiTheme="minorHAnsi" w:hAnsiTheme="minorHAnsi" w:cs="Arial"/>
          <w:color w:val="221E1F"/>
          <w:lang w:eastAsia="en-US"/>
        </w:rPr>
      </w:pPr>
      <w:r w:rsidRPr="00C5365F">
        <w:rPr>
          <w:rFonts w:asciiTheme="minorHAnsi" w:hAnsiTheme="minorHAnsi" w:cs="Arial"/>
          <w:color w:val="221E1F"/>
          <w:lang w:eastAsia="en-US"/>
        </w:rPr>
        <w:t xml:space="preserve">Brooker M. Registry of Clotting Factor Concentrates, 9th edition. Facts and Figures monograph no 6. Montreal: World Federation of Hemophilia, 2012. </w:t>
      </w:r>
    </w:p>
    <w:p w:rsidR="004B5AE5" w:rsidRPr="00C5365F" w:rsidRDefault="004B5AE5" w:rsidP="00041ED2">
      <w:pPr>
        <w:numPr>
          <w:ilvl w:val="0"/>
          <w:numId w:val="52"/>
        </w:numPr>
        <w:autoSpaceDE w:val="0"/>
        <w:autoSpaceDN w:val="0"/>
        <w:adjustRightInd w:val="0"/>
        <w:spacing w:after="0" w:line="276" w:lineRule="auto"/>
        <w:ind w:left="567" w:hanging="567"/>
        <w:rPr>
          <w:rFonts w:asciiTheme="minorHAnsi" w:hAnsiTheme="minorHAnsi" w:cs="Arial"/>
          <w:color w:val="221E1F"/>
          <w:lang w:eastAsia="en-US"/>
        </w:rPr>
      </w:pPr>
      <w:r w:rsidRPr="00C5365F">
        <w:rPr>
          <w:rFonts w:asciiTheme="minorHAnsi" w:hAnsiTheme="minorHAnsi" w:cs="Arial"/>
          <w:color w:val="221E1F"/>
          <w:lang w:eastAsia="en-US"/>
        </w:rPr>
        <w:t>Brettler DB, Forsberg AD, Levine PH, Petillo J, Lamon K, Sullivan JL. Factor VIII</w:t>
      </w:r>
      <w:proofErr w:type="gramStart"/>
      <w:r w:rsidRPr="00C5365F">
        <w:rPr>
          <w:rFonts w:asciiTheme="minorHAnsi" w:hAnsiTheme="minorHAnsi" w:cs="Arial"/>
          <w:color w:val="221E1F"/>
          <w:lang w:eastAsia="en-US"/>
        </w:rPr>
        <w:t>:C</w:t>
      </w:r>
      <w:proofErr w:type="gramEnd"/>
      <w:r w:rsidRPr="00C5365F">
        <w:rPr>
          <w:rFonts w:asciiTheme="minorHAnsi" w:hAnsiTheme="minorHAnsi" w:cs="Arial"/>
          <w:color w:val="221E1F"/>
          <w:lang w:eastAsia="en-US"/>
        </w:rPr>
        <w:t xml:space="preserve"> concentrate purified from plasma using monoclonal antibodies: human studies. </w:t>
      </w:r>
      <w:r w:rsidRPr="00C5365F">
        <w:rPr>
          <w:rFonts w:asciiTheme="minorHAnsi" w:hAnsiTheme="minorHAnsi" w:cs="Arial"/>
          <w:i/>
          <w:iCs/>
          <w:color w:val="221E1F"/>
          <w:lang w:eastAsia="en-US"/>
        </w:rPr>
        <w:t xml:space="preserve">Blood </w:t>
      </w:r>
      <w:r w:rsidRPr="00C5365F">
        <w:rPr>
          <w:rFonts w:asciiTheme="minorHAnsi" w:hAnsiTheme="minorHAnsi" w:cs="Arial"/>
          <w:color w:val="221E1F"/>
          <w:lang w:eastAsia="en-US"/>
        </w:rPr>
        <w:t>1989 May 15</w:t>
      </w:r>
      <w:proofErr w:type="gramStart"/>
      <w:r w:rsidRPr="00C5365F">
        <w:rPr>
          <w:rFonts w:asciiTheme="minorHAnsi" w:hAnsiTheme="minorHAnsi" w:cs="Arial"/>
          <w:color w:val="221E1F"/>
          <w:lang w:eastAsia="en-US"/>
        </w:rPr>
        <w:t>;73</w:t>
      </w:r>
      <w:proofErr w:type="gramEnd"/>
      <w:r w:rsidRPr="00C5365F">
        <w:rPr>
          <w:rFonts w:asciiTheme="minorHAnsi" w:hAnsiTheme="minorHAnsi" w:cs="Arial"/>
          <w:color w:val="221E1F"/>
          <w:lang w:eastAsia="en-US"/>
        </w:rPr>
        <w:t>(7):1859-63.</w:t>
      </w:r>
    </w:p>
    <w:p w:rsidR="004B5AE5" w:rsidRPr="00C5365F" w:rsidRDefault="004B5AE5" w:rsidP="00041ED2">
      <w:pPr>
        <w:numPr>
          <w:ilvl w:val="0"/>
          <w:numId w:val="52"/>
        </w:numPr>
        <w:autoSpaceDE w:val="0"/>
        <w:autoSpaceDN w:val="0"/>
        <w:adjustRightInd w:val="0"/>
        <w:spacing w:after="0" w:line="276" w:lineRule="auto"/>
        <w:ind w:left="567" w:hanging="567"/>
        <w:rPr>
          <w:rFonts w:asciiTheme="minorHAnsi" w:hAnsiTheme="minorHAnsi" w:cs="Arial"/>
          <w:color w:val="221E1F"/>
          <w:lang w:eastAsia="en-US"/>
        </w:rPr>
      </w:pPr>
      <w:r w:rsidRPr="00C5365F">
        <w:rPr>
          <w:rFonts w:asciiTheme="minorHAnsi" w:hAnsiTheme="minorHAnsi" w:cs="Arial"/>
          <w:color w:val="221E1F"/>
          <w:lang w:val="de-DE" w:eastAsia="en-US"/>
        </w:rPr>
        <w:t xml:space="preserve">Recht M, Pollmann H, Tagliaferri A, Musso R, Janco R, Neuman WR. </w:t>
      </w:r>
      <w:r w:rsidRPr="00C5365F">
        <w:rPr>
          <w:rFonts w:asciiTheme="minorHAnsi" w:hAnsiTheme="minorHAnsi" w:cs="Arial"/>
          <w:color w:val="221E1F"/>
          <w:lang w:eastAsia="en-US"/>
        </w:rPr>
        <w:t xml:space="preserve">A retrospective study to describe the incidence of moderate to severe allergic reactions to factor IX in subjects with haemophilia B.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2011 May</w:t>
      </w:r>
      <w:proofErr w:type="gramStart"/>
      <w:r w:rsidRPr="00C5365F">
        <w:rPr>
          <w:rFonts w:asciiTheme="minorHAnsi" w:hAnsiTheme="minorHAnsi" w:cs="Arial"/>
          <w:color w:val="221E1F"/>
          <w:lang w:eastAsia="en-US"/>
        </w:rPr>
        <w:t>;17</w:t>
      </w:r>
      <w:proofErr w:type="gramEnd"/>
      <w:r w:rsidRPr="00C5365F">
        <w:rPr>
          <w:rFonts w:asciiTheme="minorHAnsi" w:hAnsiTheme="minorHAnsi" w:cs="Arial"/>
          <w:color w:val="221E1F"/>
          <w:lang w:eastAsia="en-US"/>
        </w:rPr>
        <w:t>(3):494-9.</w:t>
      </w:r>
    </w:p>
    <w:p w:rsidR="004B5AE5" w:rsidRPr="00C5365F" w:rsidRDefault="004B5AE5" w:rsidP="00041ED2">
      <w:pPr>
        <w:numPr>
          <w:ilvl w:val="0"/>
          <w:numId w:val="52"/>
        </w:numPr>
        <w:autoSpaceDE w:val="0"/>
        <w:autoSpaceDN w:val="0"/>
        <w:adjustRightInd w:val="0"/>
        <w:spacing w:after="0" w:line="276" w:lineRule="auto"/>
        <w:ind w:left="567" w:hanging="567"/>
        <w:rPr>
          <w:rFonts w:asciiTheme="minorHAnsi" w:hAnsiTheme="minorHAnsi" w:cs="Arial"/>
          <w:color w:val="221E1F"/>
          <w:lang w:eastAsia="en-US"/>
        </w:rPr>
      </w:pPr>
      <w:r w:rsidRPr="00C5365F">
        <w:rPr>
          <w:rFonts w:asciiTheme="minorHAnsi" w:hAnsiTheme="minorHAnsi" w:cs="Arial"/>
          <w:color w:val="221E1F"/>
          <w:lang w:eastAsia="en-US"/>
        </w:rPr>
        <w:t xml:space="preserve">Federici AB, Mannucci PM. Management of inherited von Willebrand disease in 2007. </w:t>
      </w:r>
      <w:r w:rsidRPr="00C5365F">
        <w:rPr>
          <w:rFonts w:asciiTheme="minorHAnsi" w:hAnsiTheme="minorHAnsi" w:cs="Arial"/>
          <w:i/>
          <w:iCs/>
          <w:color w:val="221E1F"/>
          <w:lang w:eastAsia="en-US"/>
        </w:rPr>
        <w:t xml:space="preserve">Ann Med </w:t>
      </w:r>
      <w:r w:rsidRPr="00C5365F">
        <w:rPr>
          <w:rFonts w:asciiTheme="minorHAnsi" w:hAnsiTheme="minorHAnsi" w:cs="Arial"/>
          <w:color w:val="221E1F"/>
          <w:lang w:eastAsia="en-US"/>
        </w:rPr>
        <w:t>2007</w:t>
      </w:r>
      <w:proofErr w:type="gramStart"/>
      <w:r w:rsidRPr="00C5365F">
        <w:rPr>
          <w:rFonts w:asciiTheme="minorHAnsi" w:hAnsiTheme="minorHAnsi" w:cs="Arial"/>
          <w:color w:val="221E1F"/>
          <w:lang w:eastAsia="en-US"/>
        </w:rPr>
        <w:t>;39</w:t>
      </w:r>
      <w:proofErr w:type="gramEnd"/>
      <w:r w:rsidRPr="00C5365F">
        <w:rPr>
          <w:rFonts w:asciiTheme="minorHAnsi" w:hAnsiTheme="minorHAnsi" w:cs="Arial"/>
          <w:color w:val="221E1F"/>
          <w:lang w:eastAsia="en-US"/>
        </w:rPr>
        <w:t xml:space="preserve">(5):346-58. </w:t>
      </w:r>
    </w:p>
    <w:p w:rsidR="004B5AE5" w:rsidRPr="00C5365F" w:rsidRDefault="004B5AE5" w:rsidP="00041ED2">
      <w:pPr>
        <w:numPr>
          <w:ilvl w:val="0"/>
          <w:numId w:val="52"/>
        </w:numPr>
        <w:autoSpaceDE w:val="0"/>
        <w:autoSpaceDN w:val="0"/>
        <w:adjustRightInd w:val="0"/>
        <w:spacing w:after="0" w:line="276" w:lineRule="auto"/>
        <w:ind w:left="567" w:hanging="567"/>
        <w:rPr>
          <w:rFonts w:asciiTheme="minorHAnsi" w:hAnsiTheme="minorHAnsi" w:cs="Arial"/>
          <w:color w:val="221E1F"/>
          <w:lang w:eastAsia="en-US"/>
        </w:rPr>
      </w:pPr>
      <w:r w:rsidRPr="00041ED2">
        <w:rPr>
          <w:rFonts w:asciiTheme="minorHAnsi" w:hAnsiTheme="minorHAnsi" w:cs="Arial"/>
          <w:color w:val="221E1F"/>
          <w:lang w:eastAsia="en-US"/>
        </w:rPr>
        <w:t xml:space="preserve">Kim HC, McMillan CW, White GC, et al. </w:t>
      </w:r>
      <w:r w:rsidRPr="00C5365F">
        <w:rPr>
          <w:rFonts w:asciiTheme="minorHAnsi" w:hAnsiTheme="minorHAnsi" w:cs="Arial"/>
          <w:color w:val="221E1F"/>
          <w:lang w:eastAsia="en-US"/>
        </w:rPr>
        <w:t xml:space="preserve">Purified factor IX using monoclonal immunoaffinity technique: clinical trials in hemophilia B and comparison to prothrombin complex concentrates. </w:t>
      </w:r>
      <w:r w:rsidRPr="00C5365F">
        <w:rPr>
          <w:rFonts w:asciiTheme="minorHAnsi" w:hAnsiTheme="minorHAnsi" w:cs="Arial"/>
          <w:i/>
          <w:iCs/>
          <w:color w:val="221E1F"/>
          <w:lang w:eastAsia="en-US"/>
        </w:rPr>
        <w:t xml:space="preserve">Blood </w:t>
      </w:r>
      <w:r w:rsidRPr="00C5365F">
        <w:rPr>
          <w:rFonts w:asciiTheme="minorHAnsi" w:hAnsiTheme="minorHAnsi" w:cs="Arial"/>
          <w:color w:val="221E1F"/>
          <w:lang w:eastAsia="en-US"/>
        </w:rPr>
        <w:t>1992</w:t>
      </w:r>
      <w:proofErr w:type="gramStart"/>
      <w:r w:rsidRPr="00C5365F">
        <w:rPr>
          <w:rFonts w:asciiTheme="minorHAnsi" w:hAnsiTheme="minorHAnsi" w:cs="Arial"/>
          <w:color w:val="221E1F"/>
          <w:lang w:eastAsia="en-US"/>
        </w:rPr>
        <w:t>;79</w:t>
      </w:r>
      <w:proofErr w:type="gramEnd"/>
      <w:r w:rsidRPr="00C5365F">
        <w:rPr>
          <w:rFonts w:asciiTheme="minorHAnsi" w:hAnsiTheme="minorHAnsi" w:cs="Arial"/>
          <w:color w:val="221E1F"/>
          <w:lang w:eastAsia="en-US"/>
        </w:rPr>
        <w:t xml:space="preserve">(3):568-75.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Lippi G, Franchini M. Pathogenesis of venous thromboembolism: when the cup runneth over. </w:t>
      </w:r>
      <w:r w:rsidRPr="00C5365F">
        <w:rPr>
          <w:rFonts w:asciiTheme="minorHAnsi" w:hAnsiTheme="minorHAnsi" w:cs="Arial"/>
          <w:i/>
          <w:iCs/>
          <w:color w:val="221E1F"/>
          <w:lang w:eastAsia="en-US"/>
        </w:rPr>
        <w:t xml:space="preserve">Semin Thromb Hemost </w:t>
      </w:r>
      <w:r w:rsidRPr="00C5365F">
        <w:rPr>
          <w:rFonts w:asciiTheme="minorHAnsi" w:hAnsiTheme="minorHAnsi" w:cs="Arial"/>
          <w:color w:val="221E1F"/>
          <w:lang w:eastAsia="en-US"/>
        </w:rPr>
        <w:t>2008</w:t>
      </w:r>
      <w:proofErr w:type="gramStart"/>
      <w:r w:rsidRPr="00C5365F">
        <w:rPr>
          <w:rFonts w:asciiTheme="minorHAnsi" w:hAnsiTheme="minorHAnsi" w:cs="Arial"/>
          <w:color w:val="221E1F"/>
          <w:lang w:eastAsia="en-US"/>
        </w:rPr>
        <w:t>;34</w:t>
      </w:r>
      <w:proofErr w:type="gramEnd"/>
      <w:r w:rsidRPr="00C5365F">
        <w:rPr>
          <w:rFonts w:asciiTheme="minorHAnsi" w:hAnsiTheme="minorHAnsi" w:cs="Arial"/>
          <w:color w:val="221E1F"/>
          <w:lang w:eastAsia="en-US"/>
        </w:rPr>
        <w:t xml:space="preserve">(8):747-61.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Giangrande PL. Blood products for hemophilia: past, present and future. </w:t>
      </w:r>
      <w:r w:rsidRPr="00C5365F">
        <w:rPr>
          <w:rFonts w:asciiTheme="minorHAnsi" w:hAnsiTheme="minorHAnsi" w:cs="Arial"/>
          <w:i/>
          <w:iCs/>
          <w:color w:val="221E1F"/>
          <w:lang w:eastAsia="en-US"/>
        </w:rPr>
        <w:t xml:space="preserve">BioDrugs </w:t>
      </w:r>
      <w:r w:rsidRPr="00C5365F">
        <w:rPr>
          <w:rFonts w:asciiTheme="minorHAnsi" w:hAnsiTheme="minorHAnsi" w:cs="Arial"/>
          <w:color w:val="221E1F"/>
          <w:lang w:eastAsia="en-US"/>
        </w:rPr>
        <w:t>2004</w:t>
      </w:r>
      <w:proofErr w:type="gramStart"/>
      <w:r w:rsidRPr="00C5365F">
        <w:rPr>
          <w:rFonts w:asciiTheme="minorHAnsi" w:hAnsiTheme="minorHAnsi" w:cs="Arial"/>
          <w:color w:val="221E1F"/>
          <w:lang w:eastAsia="en-US"/>
        </w:rPr>
        <w:t>;18</w:t>
      </w:r>
      <w:proofErr w:type="gramEnd"/>
      <w:r w:rsidRPr="00C5365F">
        <w:rPr>
          <w:rFonts w:asciiTheme="minorHAnsi" w:hAnsiTheme="minorHAnsi" w:cs="Arial"/>
          <w:color w:val="221E1F"/>
          <w:lang w:eastAsia="en-US"/>
        </w:rPr>
        <w:t xml:space="preserve">(4):225-34.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Burnouf T, Radosevich M. Nanofiltration of plasma-derived biopharmaceutical products.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2003 Jan</w:t>
      </w:r>
      <w:proofErr w:type="gramStart"/>
      <w:r w:rsidRPr="00C5365F">
        <w:rPr>
          <w:rFonts w:asciiTheme="minorHAnsi" w:hAnsiTheme="minorHAnsi" w:cs="Arial"/>
          <w:color w:val="221E1F"/>
          <w:lang w:eastAsia="en-US"/>
        </w:rPr>
        <w:t>;9</w:t>
      </w:r>
      <w:proofErr w:type="gramEnd"/>
      <w:r w:rsidRPr="00C5365F">
        <w:rPr>
          <w:rFonts w:asciiTheme="minorHAnsi" w:hAnsiTheme="minorHAnsi" w:cs="Arial"/>
          <w:color w:val="221E1F"/>
          <w:lang w:eastAsia="en-US"/>
        </w:rPr>
        <w:t xml:space="preserve">(1):24-37.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Björkman S, Berntorp E. Pharmacokinetics of coagulation factors: clinical relevance for patients with haemophilia. </w:t>
      </w:r>
      <w:r w:rsidRPr="00C5365F">
        <w:rPr>
          <w:rFonts w:asciiTheme="minorHAnsi" w:hAnsiTheme="minorHAnsi" w:cs="Arial"/>
          <w:i/>
          <w:iCs/>
          <w:color w:val="221E1F"/>
          <w:lang w:eastAsia="en-US"/>
        </w:rPr>
        <w:t xml:space="preserve">Clin Pharmacokinet </w:t>
      </w:r>
      <w:r w:rsidRPr="00C5365F">
        <w:rPr>
          <w:rFonts w:asciiTheme="minorHAnsi" w:hAnsiTheme="minorHAnsi" w:cs="Arial"/>
          <w:color w:val="221E1F"/>
          <w:lang w:eastAsia="en-US"/>
        </w:rPr>
        <w:t>2001</w:t>
      </w:r>
      <w:proofErr w:type="gramStart"/>
      <w:r w:rsidRPr="00C5365F">
        <w:rPr>
          <w:rFonts w:asciiTheme="minorHAnsi" w:hAnsiTheme="minorHAnsi" w:cs="Arial"/>
          <w:color w:val="221E1F"/>
          <w:lang w:eastAsia="en-US"/>
        </w:rPr>
        <w:t>;40</w:t>
      </w:r>
      <w:proofErr w:type="gramEnd"/>
      <w:r w:rsidRPr="00C5365F">
        <w:rPr>
          <w:rFonts w:asciiTheme="minorHAnsi" w:hAnsiTheme="minorHAnsi" w:cs="Arial"/>
          <w:color w:val="221E1F"/>
          <w:lang w:eastAsia="en-US"/>
        </w:rPr>
        <w:t xml:space="preserve">(11):815-32.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Hemophilia of Georgia. Protocols for the treatment of hemophilia and von willebrand disease. Hemophilia of Georgia, 2012. http://www.hog.org/publications/page/ protocols-for-the-treatment-of-hemophilia-and-von-willebrand-disease-2 (Accessed June 6 2012).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Batorova A, Martinowitz U. Intermittent injections vs. continuous infusion of factor VIII in haemophilia patients undergoing major surgery. </w:t>
      </w:r>
      <w:r w:rsidRPr="00C5365F">
        <w:rPr>
          <w:rFonts w:asciiTheme="minorHAnsi" w:hAnsiTheme="minorHAnsi" w:cs="Arial"/>
          <w:i/>
          <w:iCs/>
          <w:color w:val="221E1F"/>
          <w:lang w:eastAsia="en-US"/>
        </w:rPr>
        <w:t xml:space="preserve">Br J Haematol </w:t>
      </w:r>
      <w:r w:rsidRPr="00C5365F">
        <w:rPr>
          <w:rFonts w:asciiTheme="minorHAnsi" w:hAnsiTheme="minorHAnsi" w:cs="Arial"/>
          <w:color w:val="221E1F"/>
          <w:lang w:eastAsia="en-US"/>
        </w:rPr>
        <w:t>2000</w:t>
      </w:r>
      <w:proofErr w:type="gramStart"/>
      <w:r w:rsidRPr="00C5365F">
        <w:rPr>
          <w:rFonts w:asciiTheme="minorHAnsi" w:hAnsiTheme="minorHAnsi" w:cs="Arial"/>
          <w:color w:val="221E1F"/>
          <w:lang w:eastAsia="en-US"/>
        </w:rPr>
        <w:t>;110</w:t>
      </w:r>
      <w:proofErr w:type="gramEnd"/>
      <w:r w:rsidRPr="00C5365F">
        <w:rPr>
          <w:rFonts w:asciiTheme="minorHAnsi" w:hAnsiTheme="minorHAnsi" w:cs="Arial"/>
          <w:color w:val="221E1F"/>
          <w:lang w:eastAsia="en-US"/>
        </w:rPr>
        <w:t xml:space="preserve">(3):715–20.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val="fr-FR" w:eastAsia="en-US"/>
        </w:rPr>
        <w:t xml:space="preserve">Martinowitz U, Luboshitz J, Bashari D, et al. </w:t>
      </w:r>
      <w:r w:rsidRPr="00C5365F">
        <w:rPr>
          <w:rFonts w:asciiTheme="minorHAnsi" w:hAnsiTheme="minorHAnsi" w:cs="Arial"/>
          <w:color w:val="221E1F"/>
          <w:lang w:eastAsia="en-US"/>
        </w:rPr>
        <w:t xml:space="preserve">Stability, efficacy, and safety of continuously infused sucrose-formulated recombinant factor VIII (rFVIII-FS) during surgery in patients with severe haemophilia.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2009</w:t>
      </w:r>
      <w:proofErr w:type="gramStart"/>
      <w:r w:rsidRPr="00C5365F">
        <w:rPr>
          <w:rFonts w:asciiTheme="minorHAnsi" w:hAnsiTheme="minorHAnsi" w:cs="Arial"/>
          <w:color w:val="221E1F"/>
          <w:lang w:eastAsia="en-US"/>
        </w:rPr>
        <w:t>;15</w:t>
      </w:r>
      <w:proofErr w:type="gramEnd"/>
      <w:r w:rsidRPr="00C5365F">
        <w:rPr>
          <w:rFonts w:asciiTheme="minorHAnsi" w:hAnsiTheme="minorHAnsi" w:cs="Arial"/>
          <w:color w:val="221E1F"/>
          <w:lang w:eastAsia="en-US"/>
        </w:rPr>
        <w:t xml:space="preserve">(3):676-85.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Martinowitz U, Schulman S, Gitel S, et al. Adjusted dose continuous infusion of factor VIII in patients with haemophilia A. </w:t>
      </w:r>
      <w:r w:rsidRPr="00C5365F">
        <w:rPr>
          <w:rFonts w:asciiTheme="minorHAnsi" w:hAnsiTheme="minorHAnsi" w:cs="Arial"/>
          <w:i/>
          <w:iCs/>
          <w:color w:val="221E1F"/>
          <w:lang w:eastAsia="en-US"/>
        </w:rPr>
        <w:t xml:space="preserve">Br J Haematol </w:t>
      </w:r>
      <w:r w:rsidRPr="00C5365F">
        <w:rPr>
          <w:rFonts w:asciiTheme="minorHAnsi" w:hAnsiTheme="minorHAnsi" w:cs="Arial"/>
          <w:color w:val="221E1F"/>
          <w:lang w:eastAsia="en-US"/>
        </w:rPr>
        <w:t xml:space="preserve">1992;82(4):729-34.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Mathews V, Viswabandya A, Baidya S, George B, Nair S, Chandy M, Srivastava A. Surgery for hemophilia in developing countries. </w:t>
      </w:r>
      <w:r w:rsidRPr="00C5365F">
        <w:rPr>
          <w:rFonts w:asciiTheme="minorHAnsi" w:hAnsiTheme="minorHAnsi" w:cs="Arial"/>
          <w:i/>
          <w:iCs/>
          <w:color w:val="221E1F"/>
          <w:lang w:eastAsia="en-US"/>
        </w:rPr>
        <w:t xml:space="preserve">Semin Thromb Hemost </w:t>
      </w:r>
      <w:r w:rsidRPr="00C5365F">
        <w:rPr>
          <w:rFonts w:asciiTheme="minorHAnsi" w:hAnsiTheme="minorHAnsi" w:cs="Arial"/>
          <w:color w:val="221E1F"/>
          <w:lang w:eastAsia="en-US"/>
        </w:rPr>
        <w:t>2005 Nov</w:t>
      </w:r>
      <w:proofErr w:type="gramStart"/>
      <w:r w:rsidRPr="00C5365F">
        <w:rPr>
          <w:rFonts w:asciiTheme="minorHAnsi" w:hAnsiTheme="minorHAnsi" w:cs="Arial"/>
          <w:color w:val="221E1F"/>
          <w:lang w:eastAsia="en-US"/>
        </w:rPr>
        <w:t>;31</w:t>
      </w:r>
      <w:proofErr w:type="gramEnd"/>
      <w:r w:rsidRPr="00C5365F">
        <w:rPr>
          <w:rFonts w:asciiTheme="minorHAnsi" w:hAnsiTheme="minorHAnsi" w:cs="Arial"/>
          <w:color w:val="221E1F"/>
          <w:lang w:eastAsia="en-US"/>
        </w:rPr>
        <w:t xml:space="preserve">(5):538-43.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Poon MC, Lillicrap D, Hensman C, Card R, Scully MF. Recombinant FIX recovery and inhibitor safety: A Canadian post-licensure surveillance study. </w:t>
      </w:r>
      <w:r w:rsidRPr="00C5365F">
        <w:rPr>
          <w:rFonts w:asciiTheme="minorHAnsi" w:hAnsiTheme="minorHAnsi" w:cs="Arial"/>
          <w:i/>
          <w:iCs/>
          <w:color w:val="221E1F"/>
          <w:lang w:eastAsia="en-US"/>
        </w:rPr>
        <w:t xml:space="preserve">Thromb Hemost </w:t>
      </w:r>
      <w:r w:rsidRPr="00C5365F">
        <w:rPr>
          <w:rFonts w:asciiTheme="minorHAnsi" w:hAnsiTheme="minorHAnsi" w:cs="Arial"/>
          <w:color w:val="221E1F"/>
          <w:lang w:eastAsia="en-US"/>
        </w:rPr>
        <w:t>2002</w:t>
      </w:r>
      <w:proofErr w:type="gramStart"/>
      <w:r w:rsidRPr="00C5365F">
        <w:rPr>
          <w:rFonts w:asciiTheme="minorHAnsi" w:hAnsiTheme="minorHAnsi" w:cs="Arial"/>
          <w:color w:val="221E1F"/>
          <w:lang w:eastAsia="en-US"/>
        </w:rPr>
        <w:t>;87:431</w:t>
      </w:r>
      <w:proofErr w:type="gramEnd"/>
      <w:r w:rsidRPr="00C5365F">
        <w:rPr>
          <w:rFonts w:asciiTheme="minorHAnsi" w:hAnsiTheme="minorHAnsi" w:cs="Arial"/>
          <w:color w:val="221E1F"/>
          <w:lang w:eastAsia="en-US"/>
        </w:rPr>
        <w:t xml:space="preserve">-5.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Ruiz-Sáez A, Hong A, Arguello A, Echenagucia M, Boadas A, Fabbrizzi F, Minichilli F, Bosch NB. Pharmacokinetics, thrombogenicity and safety of a double viral inactivated factor IX concentrate compared with a prothrombin complex concentrate.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2005</w:t>
      </w:r>
      <w:proofErr w:type="gramStart"/>
      <w:r w:rsidRPr="00C5365F">
        <w:rPr>
          <w:rFonts w:asciiTheme="minorHAnsi" w:hAnsiTheme="minorHAnsi" w:cs="Arial"/>
          <w:color w:val="221E1F"/>
          <w:lang w:eastAsia="en-US"/>
        </w:rPr>
        <w:t>;11</w:t>
      </w:r>
      <w:proofErr w:type="gramEnd"/>
      <w:r w:rsidRPr="00C5365F">
        <w:rPr>
          <w:rFonts w:asciiTheme="minorHAnsi" w:hAnsiTheme="minorHAnsi" w:cs="Arial"/>
          <w:color w:val="221E1F"/>
          <w:lang w:eastAsia="en-US"/>
        </w:rPr>
        <w:t xml:space="preserve">(6):583-8.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Shibata M, Shima M, Misu H, et al. Management of haemophilia B inhibitor patients with anaphylactic reactions to FIX concentrates.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2003</w:t>
      </w:r>
      <w:proofErr w:type="gramStart"/>
      <w:r w:rsidRPr="00C5365F">
        <w:rPr>
          <w:rFonts w:asciiTheme="minorHAnsi" w:hAnsiTheme="minorHAnsi" w:cs="Arial"/>
          <w:color w:val="221E1F"/>
          <w:lang w:eastAsia="en-US"/>
        </w:rPr>
        <w:t>;9</w:t>
      </w:r>
      <w:proofErr w:type="gramEnd"/>
      <w:r w:rsidRPr="00C5365F">
        <w:rPr>
          <w:rFonts w:asciiTheme="minorHAnsi" w:hAnsiTheme="minorHAnsi" w:cs="Arial"/>
          <w:color w:val="221E1F"/>
          <w:lang w:eastAsia="en-US"/>
        </w:rPr>
        <w:t xml:space="preserve">(3):269-71.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lastRenderedPageBreak/>
        <w:t xml:space="preserve">Chamberland ME. Surveillance for transfusion-transmitted viral infections in the United States. </w:t>
      </w:r>
      <w:r w:rsidRPr="00C5365F">
        <w:rPr>
          <w:rFonts w:asciiTheme="minorHAnsi" w:hAnsiTheme="minorHAnsi" w:cs="Arial"/>
          <w:i/>
          <w:iCs/>
          <w:color w:val="221E1F"/>
          <w:lang w:eastAsia="en-US"/>
        </w:rPr>
        <w:t xml:space="preserve">Biologicals </w:t>
      </w:r>
      <w:r w:rsidRPr="00C5365F">
        <w:rPr>
          <w:rFonts w:asciiTheme="minorHAnsi" w:hAnsiTheme="minorHAnsi" w:cs="Arial"/>
          <w:color w:val="221E1F"/>
          <w:lang w:eastAsia="en-US"/>
        </w:rPr>
        <w:t>1998 Jun</w:t>
      </w:r>
      <w:proofErr w:type="gramStart"/>
      <w:r w:rsidRPr="00C5365F">
        <w:rPr>
          <w:rFonts w:asciiTheme="minorHAnsi" w:hAnsiTheme="minorHAnsi" w:cs="Arial"/>
          <w:color w:val="221E1F"/>
          <w:lang w:eastAsia="en-US"/>
        </w:rPr>
        <w:t>;26</w:t>
      </w:r>
      <w:proofErr w:type="gramEnd"/>
      <w:r w:rsidRPr="00C5365F">
        <w:rPr>
          <w:rFonts w:asciiTheme="minorHAnsi" w:hAnsiTheme="minorHAnsi" w:cs="Arial"/>
          <w:color w:val="221E1F"/>
          <w:lang w:eastAsia="en-US"/>
        </w:rPr>
        <w:t xml:space="preserve">(2):85-8.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O’Shaughnesy DF, Atterbury C, Bolton Maggs P, et al. Guideline for the use of fresh frozen plasma, cryoprecipitate and cryosupernatant. </w:t>
      </w:r>
      <w:r w:rsidRPr="00C5365F">
        <w:rPr>
          <w:rFonts w:asciiTheme="minorHAnsi" w:hAnsiTheme="minorHAnsi" w:cs="Arial"/>
          <w:i/>
          <w:iCs/>
          <w:color w:val="221E1F"/>
          <w:lang w:eastAsia="en-US"/>
        </w:rPr>
        <w:t xml:space="preserve">Br J Haematol </w:t>
      </w:r>
      <w:r w:rsidRPr="00C5365F">
        <w:rPr>
          <w:rFonts w:asciiTheme="minorHAnsi" w:hAnsiTheme="minorHAnsi" w:cs="Arial"/>
          <w:color w:val="221E1F"/>
          <w:lang w:eastAsia="en-US"/>
        </w:rPr>
        <w:t>2004</w:t>
      </w:r>
      <w:proofErr w:type="gramStart"/>
      <w:r w:rsidRPr="00C5365F">
        <w:rPr>
          <w:rFonts w:asciiTheme="minorHAnsi" w:hAnsiTheme="minorHAnsi" w:cs="Arial"/>
          <w:color w:val="221E1F"/>
          <w:lang w:eastAsia="en-US"/>
        </w:rPr>
        <w:t>;126</w:t>
      </w:r>
      <w:proofErr w:type="gramEnd"/>
      <w:r w:rsidRPr="00C5365F">
        <w:rPr>
          <w:rFonts w:asciiTheme="minorHAnsi" w:hAnsiTheme="minorHAnsi" w:cs="Arial"/>
          <w:color w:val="221E1F"/>
          <w:lang w:eastAsia="en-US"/>
        </w:rPr>
        <w:t xml:space="preserve">(1):11-28.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Stanworth SJ. The evidence-based use of FFP and cryoprecipitate for abnormalities of coagulation tests and clinical coagulopathy. </w:t>
      </w:r>
      <w:r w:rsidRPr="00C5365F">
        <w:rPr>
          <w:rFonts w:asciiTheme="minorHAnsi" w:hAnsiTheme="minorHAnsi" w:cs="Arial"/>
          <w:i/>
          <w:iCs/>
          <w:color w:val="221E1F"/>
          <w:lang w:eastAsia="en-US"/>
        </w:rPr>
        <w:t xml:space="preserve">Hematology Am Soc Hematol Educ Program </w:t>
      </w:r>
      <w:r w:rsidRPr="00C5365F">
        <w:rPr>
          <w:rFonts w:asciiTheme="minorHAnsi" w:hAnsiTheme="minorHAnsi" w:cs="Arial"/>
          <w:color w:val="221E1F"/>
          <w:lang w:eastAsia="en-US"/>
        </w:rPr>
        <w:t xml:space="preserve">2007:179-86.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Kasper CK. Products for clotting factor replacement in developing countries. </w:t>
      </w:r>
      <w:r w:rsidRPr="00C5365F">
        <w:rPr>
          <w:rFonts w:asciiTheme="minorHAnsi" w:hAnsiTheme="minorHAnsi" w:cs="Arial"/>
          <w:i/>
          <w:iCs/>
          <w:color w:val="221E1F"/>
          <w:lang w:eastAsia="en-US"/>
        </w:rPr>
        <w:t xml:space="preserve">Semin Thromb Hemost </w:t>
      </w:r>
      <w:r w:rsidRPr="00C5365F">
        <w:rPr>
          <w:rFonts w:asciiTheme="minorHAnsi" w:hAnsiTheme="minorHAnsi" w:cs="Arial"/>
          <w:color w:val="221E1F"/>
          <w:lang w:eastAsia="en-US"/>
        </w:rPr>
        <w:t>2005 Nov</w:t>
      </w:r>
      <w:proofErr w:type="gramStart"/>
      <w:r w:rsidRPr="00C5365F">
        <w:rPr>
          <w:rFonts w:asciiTheme="minorHAnsi" w:hAnsiTheme="minorHAnsi" w:cs="Arial"/>
          <w:color w:val="221E1F"/>
          <w:lang w:eastAsia="en-US"/>
        </w:rPr>
        <w:t>;31</w:t>
      </w:r>
      <w:proofErr w:type="gramEnd"/>
      <w:r w:rsidRPr="00C5365F">
        <w:rPr>
          <w:rFonts w:asciiTheme="minorHAnsi" w:hAnsiTheme="minorHAnsi" w:cs="Arial"/>
          <w:color w:val="221E1F"/>
          <w:lang w:eastAsia="en-US"/>
        </w:rPr>
        <w:t xml:space="preserve">(5):507-12.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Budde U, Drewke E. Von Willebrand factor multimers in virus-inactivated plasmas and F VIII concentrates. </w:t>
      </w:r>
      <w:r w:rsidRPr="00C5365F">
        <w:rPr>
          <w:rFonts w:asciiTheme="minorHAnsi" w:hAnsiTheme="minorHAnsi" w:cs="Arial"/>
          <w:i/>
          <w:iCs/>
          <w:color w:val="221E1F"/>
          <w:lang w:eastAsia="en-US"/>
        </w:rPr>
        <w:t xml:space="preserve">Beitr Infusionsther Transfusionsmed </w:t>
      </w:r>
      <w:r w:rsidRPr="00C5365F">
        <w:rPr>
          <w:rFonts w:asciiTheme="minorHAnsi" w:hAnsiTheme="minorHAnsi" w:cs="Arial"/>
          <w:color w:val="221E1F"/>
          <w:lang w:eastAsia="en-US"/>
        </w:rPr>
        <w:t>1994</w:t>
      </w:r>
      <w:proofErr w:type="gramStart"/>
      <w:r w:rsidRPr="00C5365F">
        <w:rPr>
          <w:rFonts w:asciiTheme="minorHAnsi" w:hAnsiTheme="minorHAnsi" w:cs="Arial"/>
          <w:color w:val="221E1F"/>
          <w:lang w:eastAsia="en-US"/>
        </w:rPr>
        <w:t>;32:408</w:t>
      </w:r>
      <w:proofErr w:type="gramEnd"/>
      <w:r w:rsidRPr="00C5365F">
        <w:rPr>
          <w:rFonts w:asciiTheme="minorHAnsi" w:hAnsiTheme="minorHAnsi" w:cs="Arial"/>
          <w:color w:val="221E1F"/>
          <w:lang w:eastAsia="en-US"/>
        </w:rPr>
        <w:t xml:space="preserve">-14.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Chin S, Williams B, Gottlieb P, Margolis-Nunno H, Ben-Hur E, Hamman J, Jin R, Dubovi E, Horowitz B. Virucidal short wavelength ultraviolet light treatment of plasma and factor VIII concentrate: protection of proteins by antioxidants. </w:t>
      </w:r>
      <w:r w:rsidRPr="00C5365F">
        <w:rPr>
          <w:rFonts w:asciiTheme="minorHAnsi" w:hAnsiTheme="minorHAnsi" w:cs="Arial"/>
          <w:i/>
          <w:iCs/>
          <w:color w:val="221E1F"/>
          <w:lang w:eastAsia="en-US"/>
        </w:rPr>
        <w:t xml:space="preserve">Blood </w:t>
      </w:r>
      <w:r w:rsidRPr="00C5365F">
        <w:rPr>
          <w:rFonts w:asciiTheme="minorHAnsi" w:hAnsiTheme="minorHAnsi" w:cs="Arial"/>
          <w:color w:val="221E1F"/>
          <w:lang w:eastAsia="en-US"/>
        </w:rPr>
        <w:t>1995 Dec 1</w:t>
      </w:r>
      <w:proofErr w:type="gramStart"/>
      <w:r w:rsidRPr="00C5365F">
        <w:rPr>
          <w:rFonts w:asciiTheme="minorHAnsi" w:hAnsiTheme="minorHAnsi" w:cs="Arial"/>
          <w:color w:val="221E1F"/>
          <w:lang w:eastAsia="en-US"/>
        </w:rPr>
        <w:t>;86</w:t>
      </w:r>
      <w:proofErr w:type="gramEnd"/>
      <w:r w:rsidRPr="00C5365F">
        <w:rPr>
          <w:rFonts w:asciiTheme="minorHAnsi" w:hAnsiTheme="minorHAnsi" w:cs="Arial"/>
          <w:color w:val="221E1F"/>
          <w:lang w:eastAsia="en-US"/>
        </w:rPr>
        <w:t xml:space="preserve">(11):4331-6.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041ED2">
        <w:rPr>
          <w:rFonts w:asciiTheme="minorHAnsi" w:hAnsiTheme="minorHAnsi" w:cs="Arial"/>
          <w:color w:val="221E1F"/>
          <w:lang w:eastAsia="en-US"/>
        </w:rPr>
        <w:t xml:space="preserve">Chuansumrit A, Isarangkura P, Chantanakajornfung A, et al. </w:t>
      </w:r>
      <w:r w:rsidRPr="00C5365F">
        <w:rPr>
          <w:rFonts w:asciiTheme="minorHAnsi" w:hAnsiTheme="minorHAnsi" w:cs="Arial"/>
          <w:color w:val="221E1F"/>
          <w:lang w:eastAsia="en-US"/>
        </w:rPr>
        <w:t xml:space="preserve">The efficacy and safety of lyophilized cryoprecipitate in hemophilia A. </w:t>
      </w:r>
      <w:r w:rsidRPr="00C5365F">
        <w:rPr>
          <w:rFonts w:asciiTheme="minorHAnsi" w:hAnsiTheme="minorHAnsi" w:cs="Arial"/>
          <w:i/>
          <w:iCs/>
          <w:color w:val="221E1F"/>
          <w:lang w:eastAsia="en-US"/>
        </w:rPr>
        <w:t xml:space="preserve">J Med Assoc Thai </w:t>
      </w:r>
      <w:r w:rsidRPr="00C5365F">
        <w:rPr>
          <w:rFonts w:asciiTheme="minorHAnsi" w:hAnsiTheme="minorHAnsi" w:cs="Arial"/>
          <w:color w:val="221E1F"/>
          <w:lang w:eastAsia="en-US"/>
        </w:rPr>
        <w:t>1999</w:t>
      </w:r>
      <w:proofErr w:type="gramStart"/>
      <w:r w:rsidRPr="00C5365F">
        <w:rPr>
          <w:rFonts w:asciiTheme="minorHAnsi" w:hAnsiTheme="minorHAnsi" w:cs="Arial"/>
          <w:color w:val="221E1F"/>
          <w:lang w:eastAsia="en-US"/>
        </w:rPr>
        <w:t>;82</w:t>
      </w:r>
      <w:proofErr w:type="gramEnd"/>
      <w:r w:rsidRPr="00C5365F">
        <w:rPr>
          <w:rFonts w:asciiTheme="minorHAnsi" w:hAnsiTheme="minorHAnsi" w:cs="Arial"/>
          <w:color w:val="221E1F"/>
          <w:lang w:eastAsia="en-US"/>
        </w:rPr>
        <w:t xml:space="preserve">(Suppl 1):S69-73.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El-Ekiaby M, Sayed MA, Caron C, et al. Solvent-detergent filtered (S/D-F) fresh frozen plasma and cryoprecipitate minipools prepared in a newly designed integral disposable processing bag system. </w:t>
      </w:r>
      <w:r w:rsidRPr="00C5365F">
        <w:rPr>
          <w:rFonts w:asciiTheme="minorHAnsi" w:hAnsiTheme="minorHAnsi" w:cs="Arial"/>
          <w:i/>
          <w:iCs/>
          <w:color w:val="221E1F"/>
          <w:lang w:eastAsia="en-US"/>
        </w:rPr>
        <w:t xml:space="preserve">Transfus Med </w:t>
      </w:r>
      <w:r w:rsidRPr="00C5365F">
        <w:rPr>
          <w:rFonts w:asciiTheme="minorHAnsi" w:hAnsiTheme="minorHAnsi" w:cs="Arial"/>
          <w:color w:val="221E1F"/>
          <w:lang w:eastAsia="en-US"/>
        </w:rPr>
        <w:t>2010</w:t>
      </w:r>
      <w:proofErr w:type="gramStart"/>
      <w:r w:rsidRPr="00C5365F">
        <w:rPr>
          <w:rFonts w:asciiTheme="minorHAnsi" w:hAnsiTheme="minorHAnsi" w:cs="Arial"/>
          <w:color w:val="221E1F"/>
          <w:lang w:eastAsia="en-US"/>
        </w:rPr>
        <w:t>;20:48</w:t>
      </w:r>
      <w:proofErr w:type="gramEnd"/>
      <w:r w:rsidRPr="00C5365F">
        <w:rPr>
          <w:rFonts w:asciiTheme="minorHAnsi" w:hAnsiTheme="minorHAnsi" w:cs="Arial"/>
          <w:color w:val="221E1F"/>
          <w:lang w:eastAsia="en-US"/>
        </w:rPr>
        <w:t xml:space="preserve">-61.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Mannucci PM. Desmopressin (DDAVP) in the treatment of bleeding disorders: the first 20 years. </w:t>
      </w:r>
      <w:r w:rsidRPr="00C5365F">
        <w:rPr>
          <w:rFonts w:asciiTheme="minorHAnsi" w:hAnsiTheme="minorHAnsi" w:cs="Arial"/>
          <w:i/>
          <w:iCs/>
          <w:color w:val="221E1F"/>
          <w:lang w:eastAsia="en-US"/>
        </w:rPr>
        <w:t xml:space="preserve">Blood </w:t>
      </w:r>
      <w:r w:rsidRPr="00C5365F">
        <w:rPr>
          <w:rFonts w:asciiTheme="minorHAnsi" w:hAnsiTheme="minorHAnsi" w:cs="Arial"/>
          <w:color w:val="221E1F"/>
          <w:lang w:eastAsia="en-US"/>
        </w:rPr>
        <w:t>1997</w:t>
      </w:r>
      <w:proofErr w:type="gramStart"/>
      <w:r w:rsidRPr="00C5365F">
        <w:rPr>
          <w:rFonts w:asciiTheme="minorHAnsi" w:hAnsiTheme="minorHAnsi" w:cs="Arial"/>
          <w:color w:val="221E1F"/>
          <w:lang w:eastAsia="en-US"/>
        </w:rPr>
        <w:t>;90</w:t>
      </w:r>
      <w:proofErr w:type="gramEnd"/>
      <w:r w:rsidRPr="00C5365F">
        <w:rPr>
          <w:rFonts w:asciiTheme="minorHAnsi" w:hAnsiTheme="minorHAnsi" w:cs="Arial"/>
          <w:color w:val="221E1F"/>
          <w:lang w:eastAsia="en-US"/>
        </w:rPr>
        <w:t xml:space="preserve">(7):2515-21.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val="fr-FR" w:eastAsia="en-US"/>
        </w:rPr>
        <w:t xml:space="preserve">Franchini M, Rossetti G, Tagliaferri A, et al. </w:t>
      </w:r>
      <w:r w:rsidRPr="00C5365F">
        <w:rPr>
          <w:rFonts w:asciiTheme="minorHAnsi" w:hAnsiTheme="minorHAnsi" w:cs="Arial"/>
          <w:color w:val="221E1F"/>
          <w:lang w:eastAsia="en-US"/>
        </w:rPr>
        <w:t xml:space="preserve">Dental procedures in adult patients with hereditary bleeding disorders: 10 years experience in three Italian Hemophilia Centers.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2005</w:t>
      </w:r>
      <w:proofErr w:type="gramStart"/>
      <w:r w:rsidRPr="00C5365F">
        <w:rPr>
          <w:rFonts w:asciiTheme="minorHAnsi" w:hAnsiTheme="minorHAnsi" w:cs="Arial"/>
          <w:color w:val="221E1F"/>
          <w:lang w:eastAsia="en-US"/>
        </w:rPr>
        <w:t>;11:504</w:t>
      </w:r>
      <w:proofErr w:type="gramEnd"/>
      <w:r w:rsidRPr="00C5365F">
        <w:rPr>
          <w:rFonts w:asciiTheme="minorHAnsi" w:hAnsiTheme="minorHAnsi" w:cs="Arial"/>
          <w:color w:val="221E1F"/>
          <w:lang w:eastAsia="en-US"/>
        </w:rPr>
        <w:t xml:space="preserve">–9.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Leissinger C, Becton D, Cornell C Jr, Cox Gill J. High-dose DDAVP intranasal spray (Stimate) for the prevention and treatment of bleeding in patients with mild haemophilia A, mild or moderate type 1 von Willebrand disease and symptomatic carriers of haemophilia A.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 xml:space="preserve">2001;7(3):258-66.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Mannucci PM. Use of desmopressin (DDAVP) during early pregnancy in factor VIII-deficient women. </w:t>
      </w:r>
      <w:r w:rsidRPr="00C5365F">
        <w:rPr>
          <w:rFonts w:asciiTheme="minorHAnsi" w:hAnsiTheme="minorHAnsi" w:cs="Arial"/>
          <w:i/>
          <w:iCs/>
          <w:color w:val="221E1F"/>
          <w:lang w:eastAsia="en-US"/>
        </w:rPr>
        <w:t xml:space="preserve">Blood </w:t>
      </w:r>
      <w:r w:rsidRPr="00C5365F">
        <w:rPr>
          <w:rFonts w:asciiTheme="minorHAnsi" w:hAnsiTheme="minorHAnsi" w:cs="Arial"/>
          <w:color w:val="221E1F"/>
          <w:lang w:eastAsia="en-US"/>
        </w:rPr>
        <w:t>2005</w:t>
      </w:r>
      <w:proofErr w:type="gramStart"/>
      <w:r w:rsidRPr="00C5365F">
        <w:rPr>
          <w:rFonts w:asciiTheme="minorHAnsi" w:hAnsiTheme="minorHAnsi" w:cs="Arial"/>
          <w:color w:val="221E1F"/>
          <w:lang w:eastAsia="en-US"/>
        </w:rPr>
        <w:t>;105</w:t>
      </w:r>
      <w:proofErr w:type="gramEnd"/>
      <w:r w:rsidRPr="00C5365F">
        <w:rPr>
          <w:rFonts w:asciiTheme="minorHAnsi" w:hAnsiTheme="minorHAnsi" w:cs="Arial"/>
          <w:color w:val="221E1F"/>
          <w:lang w:eastAsia="en-US"/>
        </w:rPr>
        <w:t xml:space="preserve">(8):3382.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Trigg DE, Stergiotou I, Peitsidis P, Kadir RA. A Systematic Review: The use of desmopressin for treatment and prophylaxis of bleeding disorders in pregnancy.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2012</w:t>
      </w:r>
      <w:proofErr w:type="gramStart"/>
      <w:r w:rsidRPr="00C5365F">
        <w:rPr>
          <w:rFonts w:asciiTheme="minorHAnsi" w:hAnsiTheme="minorHAnsi" w:cs="Arial"/>
          <w:color w:val="221E1F"/>
          <w:lang w:eastAsia="en-US"/>
        </w:rPr>
        <w:t>;18</w:t>
      </w:r>
      <w:proofErr w:type="gramEnd"/>
      <w:r w:rsidRPr="00C5365F">
        <w:rPr>
          <w:rFonts w:asciiTheme="minorHAnsi" w:hAnsiTheme="minorHAnsi" w:cs="Arial"/>
          <w:color w:val="221E1F"/>
          <w:lang w:eastAsia="en-US"/>
        </w:rPr>
        <w:t xml:space="preserve">(1):25-33.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Castaman G. Desmopressin for the treatment of haemophilia.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2008</w:t>
      </w:r>
      <w:proofErr w:type="gramStart"/>
      <w:r w:rsidRPr="00C5365F">
        <w:rPr>
          <w:rFonts w:asciiTheme="minorHAnsi" w:hAnsiTheme="minorHAnsi" w:cs="Arial"/>
          <w:color w:val="221E1F"/>
          <w:lang w:eastAsia="en-US"/>
        </w:rPr>
        <w:t>;14</w:t>
      </w:r>
      <w:proofErr w:type="gramEnd"/>
      <w:r w:rsidRPr="00C5365F">
        <w:rPr>
          <w:rFonts w:asciiTheme="minorHAnsi" w:hAnsiTheme="minorHAnsi" w:cs="Arial"/>
          <w:color w:val="221E1F"/>
          <w:lang w:eastAsia="en-US"/>
        </w:rPr>
        <w:t>(Suppl 1):15-20.</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Mannucci PM, Bettega D, Cattaneo M. Patterns of development of tachyphylaxis in patients with haemophilia and von Willebrand disease after repeated doses of desmopressin (DDAVP). </w:t>
      </w:r>
      <w:r w:rsidRPr="00C5365F">
        <w:rPr>
          <w:rFonts w:asciiTheme="minorHAnsi" w:hAnsiTheme="minorHAnsi" w:cs="Arial"/>
          <w:i/>
          <w:iCs/>
          <w:color w:val="221E1F"/>
          <w:lang w:eastAsia="en-US"/>
        </w:rPr>
        <w:t xml:space="preserve">Br J Haematol </w:t>
      </w:r>
      <w:r w:rsidRPr="00C5365F">
        <w:rPr>
          <w:rFonts w:asciiTheme="minorHAnsi" w:hAnsiTheme="minorHAnsi" w:cs="Arial"/>
          <w:color w:val="221E1F"/>
          <w:lang w:eastAsia="en-US"/>
        </w:rPr>
        <w:t>1992</w:t>
      </w:r>
      <w:proofErr w:type="gramStart"/>
      <w:r w:rsidRPr="00C5365F">
        <w:rPr>
          <w:rFonts w:asciiTheme="minorHAnsi" w:hAnsiTheme="minorHAnsi" w:cs="Arial"/>
          <w:color w:val="221E1F"/>
          <w:lang w:eastAsia="en-US"/>
        </w:rPr>
        <w:t>;82</w:t>
      </w:r>
      <w:proofErr w:type="gramEnd"/>
      <w:r w:rsidRPr="00C5365F">
        <w:rPr>
          <w:rFonts w:asciiTheme="minorHAnsi" w:hAnsiTheme="minorHAnsi" w:cs="Arial"/>
          <w:color w:val="221E1F"/>
          <w:lang w:eastAsia="en-US"/>
        </w:rPr>
        <w:t>(1):87-93.</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Khair K, Baker K, Mathias M, et al. Intranasal desmopressin (Octim): a safe and efficacious treatment option for children with bleeding disorders.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2007</w:t>
      </w:r>
      <w:proofErr w:type="gramStart"/>
      <w:r w:rsidRPr="00C5365F">
        <w:rPr>
          <w:rFonts w:asciiTheme="minorHAnsi" w:hAnsiTheme="minorHAnsi" w:cs="Arial"/>
          <w:color w:val="221E1F"/>
          <w:lang w:eastAsia="en-US"/>
        </w:rPr>
        <w:t>;13</w:t>
      </w:r>
      <w:proofErr w:type="gramEnd"/>
      <w:r w:rsidRPr="00C5365F">
        <w:rPr>
          <w:rFonts w:asciiTheme="minorHAnsi" w:hAnsiTheme="minorHAnsi" w:cs="Arial"/>
          <w:color w:val="221E1F"/>
          <w:lang w:eastAsia="en-US"/>
        </w:rPr>
        <w:t>(5):548-51.</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proofErr w:type="gramStart"/>
      <w:r w:rsidRPr="00C5365F">
        <w:rPr>
          <w:rFonts w:asciiTheme="minorHAnsi" w:hAnsiTheme="minorHAnsi" w:cs="Arial"/>
          <w:color w:val="221E1F"/>
          <w:lang w:eastAsia="en-US"/>
        </w:rPr>
        <w:t>Rose</w:t>
      </w:r>
      <w:proofErr w:type="gramEnd"/>
      <w:r w:rsidRPr="00C5365F">
        <w:rPr>
          <w:rFonts w:asciiTheme="minorHAnsi" w:hAnsiTheme="minorHAnsi" w:cs="Arial"/>
          <w:color w:val="221E1F"/>
          <w:lang w:eastAsia="en-US"/>
        </w:rPr>
        <w:t xml:space="preserve"> EH, Aledort LM. Nasal spray desmopressin (DDAVP) for mild hemophilia A and von Willebrand disease. </w:t>
      </w:r>
      <w:r w:rsidRPr="00C5365F">
        <w:rPr>
          <w:rFonts w:asciiTheme="minorHAnsi" w:hAnsiTheme="minorHAnsi" w:cs="Arial"/>
          <w:i/>
          <w:iCs/>
          <w:color w:val="221E1F"/>
          <w:lang w:eastAsia="en-US"/>
        </w:rPr>
        <w:t xml:space="preserve">Ann Intern Med </w:t>
      </w:r>
      <w:r w:rsidRPr="00C5365F">
        <w:rPr>
          <w:rFonts w:asciiTheme="minorHAnsi" w:hAnsiTheme="minorHAnsi" w:cs="Arial"/>
          <w:color w:val="221E1F"/>
          <w:lang w:eastAsia="en-US"/>
        </w:rPr>
        <w:t>1991</w:t>
      </w:r>
      <w:proofErr w:type="gramStart"/>
      <w:r w:rsidRPr="00C5365F">
        <w:rPr>
          <w:rFonts w:asciiTheme="minorHAnsi" w:hAnsiTheme="minorHAnsi" w:cs="Arial"/>
          <w:color w:val="221E1F"/>
          <w:lang w:eastAsia="en-US"/>
        </w:rPr>
        <w:t>;114</w:t>
      </w:r>
      <w:proofErr w:type="gramEnd"/>
      <w:r w:rsidRPr="00C5365F">
        <w:rPr>
          <w:rFonts w:asciiTheme="minorHAnsi" w:hAnsiTheme="minorHAnsi" w:cs="Arial"/>
          <w:color w:val="221E1F"/>
          <w:lang w:eastAsia="en-US"/>
        </w:rPr>
        <w:t>(7):563-8.</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Sica DA, Gehr TWG. Desmopressin: safety considerations in patients with chronic renal disease. </w:t>
      </w:r>
      <w:r w:rsidRPr="00C5365F">
        <w:rPr>
          <w:rFonts w:asciiTheme="minorHAnsi" w:hAnsiTheme="minorHAnsi" w:cs="Arial"/>
          <w:i/>
          <w:iCs/>
          <w:color w:val="221E1F"/>
          <w:lang w:eastAsia="en-US"/>
        </w:rPr>
        <w:t xml:space="preserve">Drug Safety </w:t>
      </w:r>
      <w:r w:rsidRPr="00C5365F">
        <w:rPr>
          <w:rFonts w:asciiTheme="minorHAnsi" w:hAnsiTheme="minorHAnsi" w:cs="Arial"/>
          <w:color w:val="221E1F"/>
          <w:lang w:eastAsia="en-US"/>
        </w:rPr>
        <w:t>2006</w:t>
      </w:r>
      <w:proofErr w:type="gramStart"/>
      <w:r w:rsidRPr="00C5365F">
        <w:rPr>
          <w:rFonts w:asciiTheme="minorHAnsi" w:hAnsiTheme="minorHAnsi" w:cs="Arial"/>
          <w:color w:val="221E1F"/>
          <w:lang w:eastAsia="en-US"/>
        </w:rPr>
        <w:t>;29:553</w:t>
      </w:r>
      <w:proofErr w:type="gramEnd"/>
      <w:r w:rsidRPr="00C5365F">
        <w:rPr>
          <w:rFonts w:asciiTheme="minorHAnsi" w:hAnsiTheme="minorHAnsi" w:cs="Arial"/>
          <w:color w:val="221E1F"/>
          <w:lang w:eastAsia="en-US"/>
        </w:rPr>
        <w:t>–556.</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Das P, Carcao M, Hitzler J. DDAVP-induced hyponatremia in young children. </w:t>
      </w:r>
      <w:r w:rsidRPr="00C5365F">
        <w:rPr>
          <w:rFonts w:asciiTheme="minorHAnsi" w:hAnsiTheme="minorHAnsi" w:cs="Arial"/>
          <w:i/>
          <w:iCs/>
          <w:color w:val="221E1F"/>
          <w:lang w:eastAsia="en-US"/>
        </w:rPr>
        <w:t xml:space="preserve">J Pediatr Hematol Oncol </w:t>
      </w:r>
      <w:r w:rsidRPr="00C5365F">
        <w:rPr>
          <w:rFonts w:asciiTheme="minorHAnsi" w:hAnsiTheme="minorHAnsi" w:cs="Arial"/>
          <w:color w:val="221E1F"/>
          <w:lang w:eastAsia="en-US"/>
        </w:rPr>
        <w:t>2005</w:t>
      </w:r>
      <w:proofErr w:type="gramStart"/>
      <w:r w:rsidRPr="00C5365F">
        <w:rPr>
          <w:rFonts w:asciiTheme="minorHAnsi" w:hAnsiTheme="minorHAnsi" w:cs="Arial"/>
          <w:color w:val="221E1F"/>
          <w:lang w:eastAsia="en-US"/>
        </w:rPr>
        <w:t>;27</w:t>
      </w:r>
      <w:proofErr w:type="gramEnd"/>
      <w:r w:rsidRPr="00C5365F">
        <w:rPr>
          <w:rFonts w:asciiTheme="minorHAnsi" w:hAnsiTheme="minorHAnsi" w:cs="Arial"/>
          <w:color w:val="221E1F"/>
          <w:lang w:eastAsia="en-US"/>
        </w:rPr>
        <w:t>(6):330-2.</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Smith TJ, Gill JC, Ambruso DR, Hathaway WE. Hyponatremia and seizures in young children given DDAVP. </w:t>
      </w:r>
      <w:r w:rsidRPr="00C5365F">
        <w:rPr>
          <w:rFonts w:asciiTheme="minorHAnsi" w:hAnsiTheme="minorHAnsi" w:cs="Arial"/>
          <w:i/>
          <w:iCs/>
          <w:color w:val="221E1F"/>
          <w:lang w:eastAsia="en-US"/>
        </w:rPr>
        <w:t xml:space="preserve">Am J Hematol </w:t>
      </w:r>
      <w:r w:rsidRPr="00C5365F">
        <w:rPr>
          <w:rFonts w:asciiTheme="minorHAnsi" w:hAnsiTheme="minorHAnsi" w:cs="Arial"/>
          <w:color w:val="221E1F"/>
          <w:lang w:eastAsia="en-US"/>
        </w:rPr>
        <w:t>1989</w:t>
      </w:r>
      <w:proofErr w:type="gramStart"/>
      <w:r w:rsidRPr="00C5365F">
        <w:rPr>
          <w:rFonts w:asciiTheme="minorHAnsi" w:hAnsiTheme="minorHAnsi" w:cs="Arial"/>
          <w:color w:val="221E1F"/>
          <w:lang w:eastAsia="en-US"/>
        </w:rPr>
        <w:t>;31</w:t>
      </w:r>
      <w:proofErr w:type="gramEnd"/>
      <w:r w:rsidRPr="00C5365F">
        <w:rPr>
          <w:rFonts w:asciiTheme="minorHAnsi" w:hAnsiTheme="minorHAnsi" w:cs="Arial"/>
          <w:color w:val="221E1F"/>
          <w:lang w:eastAsia="en-US"/>
        </w:rPr>
        <w:t>(3):199-202.</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lastRenderedPageBreak/>
        <w:t xml:space="preserve">Mannucci PM. Hemostatic drugs. </w:t>
      </w:r>
      <w:r w:rsidRPr="00C5365F">
        <w:rPr>
          <w:rFonts w:asciiTheme="minorHAnsi" w:hAnsiTheme="minorHAnsi" w:cs="Arial"/>
          <w:i/>
          <w:iCs/>
          <w:color w:val="221E1F"/>
          <w:lang w:eastAsia="en-US"/>
        </w:rPr>
        <w:t xml:space="preserve">N Engl J Med </w:t>
      </w:r>
      <w:r w:rsidRPr="00C5365F">
        <w:rPr>
          <w:rFonts w:asciiTheme="minorHAnsi" w:hAnsiTheme="minorHAnsi" w:cs="Arial"/>
          <w:color w:val="221E1F"/>
          <w:lang w:eastAsia="en-US"/>
        </w:rPr>
        <w:t>1998 Jul 23</w:t>
      </w:r>
      <w:proofErr w:type="gramStart"/>
      <w:r w:rsidRPr="00C5365F">
        <w:rPr>
          <w:rFonts w:asciiTheme="minorHAnsi" w:hAnsiTheme="minorHAnsi" w:cs="Arial"/>
          <w:color w:val="221E1F"/>
          <w:lang w:eastAsia="en-US"/>
        </w:rPr>
        <w:t>;339</w:t>
      </w:r>
      <w:proofErr w:type="gramEnd"/>
      <w:r w:rsidRPr="00C5365F">
        <w:rPr>
          <w:rFonts w:asciiTheme="minorHAnsi" w:hAnsiTheme="minorHAnsi" w:cs="Arial"/>
          <w:color w:val="221E1F"/>
          <w:lang w:eastAsia="en-US"/>
        </w:rPr>
        <w:t>(4):245-53.</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Coetzee MJ. The use of topical crushed tranexamic acid tablets to control bleeding after dental surgery and from skin ulcers in haemophilia.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2007</w:t>
      </w:r>
      <w:proofErr w:type="gramStart"/>
      <w:r w:rsidRPr="00C5365F">
        <w:rPr>
          <w:rFonts w:asciiTheme="minorHAnsi" w:hAnsiTheme="minorHAnsi" w:cs="Arial"/>
          <w:color w:val="221E1F"/>
          <w:lang w:eastAsia="en-US"/>
        </w:rPr>
        <w:t>;13</w:t>
      </w:r>
      <w:proofErr w:type="gramEnd"/>
      <w:r w:rsidRPr="00C5365F">
        <w:rPr>
          <w:rFonts w:asciiTheme="minorHAnsi" w:hAnsiTheme="minorHAnsi" w:cs="Arial"/>
          <w:color w:val="221E1F"/>
          <w:lang w:eastAsia="en-US"/>
        </w:rPr>
        <w:t>(4):443-4.</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val="de-DE" w:eastAsia="en-US"/>
        </w:rPr>
        <w:t xml:space="preserve">Frachon X, Pommereuil M, Berthier AM, et al. </w:t>
      </w:r>
      <w:r w:rsidRPr="00C5365F">
        <w:rPr>
          <w:rFonts w:asciiTheme="minorHAnsi" w:hAnsiTheme="minorHAnsi" w:cs="Arial"/>
          <w:color w:val="221E1F"/>
          <w:lang w:eastAsia="en-US"/>
        </w:rPr>
        <w:t xml:space="preserve">Management options for dental extraction in hemophiliacs: a study of 55 extractions (2000-2002). </w:t>
      </w:r>
      <w:r w:rsidRPr="00C5365F">
        <w:rPr>
          <w:rFonts w:asciiTheme="minorHAnsi" w:hAnsiTheme="minorHAnsi" w:cs="Arial"/>
          <w:i/>
          <w:iCs/>
          <w:color w:val="221E1F"/>
          <w:lang w:eastAsia="en-US"/>
        </w:rPr>
        <w:t xml:space="preserve">Oral Surg Oral Med Oral Pathol Oral Radiol Endod </w:t>
      </w:r>
      <w:r w:rsidRPr="00C5365F">
        <w:rPr>
          <w:rFonts w:asciiTheme="minorHAnsi" w:hAnsiTheme="minorHAnsi" w:cs="Arial"/>
          <w:color w:val="221E1F"/>
          <w:lang w:eastAsia="en-US"/>
        </w:rPr>
        <w:t>2005</w:t>
      </w:r>
      <w:proofErr w:type="gramStart"/>
      <w:r w:rsidRPr="00C5365F">
        <w:rPr>
          <w:rFonts w:asciiTheme="minorHAnsi" w:hAnsiTheme="minorHAnsi" w:cs="Arial"/>
          <w:color w:val="221E1F"/>
          <w:lang w:eastAsia="en-US"/>
        </w:rPr>
        <w:t>;99</w:t>
      </w:r>
      <w:proofErr w:type="gramEnd"/>
      <w:r w:rsidRPr="00C5365F">
        <w:rPr>
          <w:rFonts w:asciiTheme="minorHAnsi" w:hAnsiTheme="minorHAnsi" w:cs="Arial"/>
          <w:color w:val="221E1F"/>
          <w:lang w:eastAsia="en-US"/>
        </w:rPr>
        <w:t>(3):270-5.</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val="fr-FR" w:eastAsia="en-US"/>
        </w:rPr>
        <w:t xml:space="preserve">Kouides PA, Byams VR, Philipp CS, et al. </w:t>
      </w:r>
      <w:r w:rsidRPr="00C5365F">
        <w:rPr>
          <w:rFonts w:asciiTheme="minorHAnsi" w:hAnsiTheme="minorHAnsi" w:cs="Arial"/>
          <w:color w:val="221E1F"/>
          <w:lang w:eastAsia="en-US"/>
        </w:rPr>
        <w:t xml:space="preserve">Multisite management study of menorrhagia with abnormal laboratory haemostasis: a prospective crossover study of intranasal desmopressin and oral tranexamic acid. </w:t>
      </w:r>
      <w:r w:rsidRPr="00C5365F">
        <w:rPr>
          <w:rFonts w:asciiTheme="minorHAnsi" w:hAnsiTheme="minorHAnsi" w:cs="Arial"/>
          <w:i/>
          <w:iCs/>
          <w:color w:val="221E1F"/>
          <w:lang w:eastAsia="en-US"/>
        </w:rPr>
        <w:t xml:space="preserve">Br J Haematol </w:t>
      </w:r>
      <w:r w:rsidRPr="00C5365F">
        <w:rPr>
          <w:rFonts w:asciiTheme="minorHAnsi" w:hAnsiTheme="minorHAnsi" w:cs="Arial"/>
          <w:color w:val="221E1F"/>
          <w:lang w:eastAsia="en-US"/>
        </w:rPr>
        <w:t>2009</w:t>
      </w:r>
      <w:proofErr w:type="gramStart"/>
      <w:r w:rsidRPr="00C5365F">
        <w:rPr>
          <w:rFonts w:asciiTheme="minorHAnsi" w:hAnsiTheme="minorHAnsi" w:cs="Arial"/>
          <w:color w:val="221E1F"/>
          <w:lang w:eastAsia="en-US"/>
        </w:rPr>
        <w:t>;145</w:t>
      </w:r>
      <w:proofErr w:type="gramEnd"/>
      <w:r w:rsidRPr="00C5365F">
        <w:rPr>
          <w:rFonts w:asciiTheme="minorHAnsi" w:hAnsiTheme="minorHAnsi" w:cs="Arial"/>
          <w:color w:val="221E1F"/>
          <w:lang w:eastAsia="en-US"/>
        </w:rPr>
        <w:t xml:space="preserve">(2):212-20.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Franchini M, Zaffanello M, Lippi G. The use of desmopressin in mild hemophilia A. </w:t>
      </w:r>
      <w:r w:rsidRPr="00C5365F">
        <w:rPr>
          <w:rFonts w:asciiTheme="minorHAnsi" w:hAnsiTheme="minorHAnsi" w:cs="Arial"/>
          <w:i/>
          <w:iCs/>
          <w:color w:val="221E1F"/>
          <w:lang w:eastAsia="en-US"/>
        </w:rPr>
        <w:t xml:space="preserve">Blood Coagul Fibrinolysis </w:t>
      </w:r>
      <w:r w:rsidRPr="00C5365F">
        <w:rPr>
          <w:rFonts w:asciiTheme="minorHAnsi" w:hAnsiTheme="minorHAnsi" w:cs="Arial"/>
          <w:color w:val="221E1F"/>
          <w:lang w:eastAsia="en-US"/>
        </w:rPr>
        <w:t>2010</w:t>
      </w:r>
      <w:proofErr w:type="gramStart"/>
      <w:r w:rsidRPr="00C5365F">
        <w:rPr>
          <w:rFonts w:asciiTheme="minorHAnsi" w:hAnsiTheme="minorHAnsi" w:cs="Arial"/>
          <w:color w:val="221E1F"/>
          <w:lang w:eastAsia="en-US"/>
        </w:rPr>
        <w:t>;21</w:t>
      </w:r>
      <w:proofErr w:type="gramEnd"/>
      <w:r w:rsidRPr="00C5365F">
        <w:rPr>
          <w:rFonts w:asciiTheme="minorHAnsi" w:hAnsiTheme="minorHAnsi" w:cs="Arial"/>
          <w:color w:val="221E1F"/>
          <w:lang w:eastAsia="en-US"/>
        </w:rPr>
        <w:t>(7):615-9.</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val="de-DE" w:eastAsia="en-US"/>
        </w:rPr>
        <w:t xml:space="preserve">Hvas AM, Sorensen HT, Norengaard L, et al. </w:t>
      </w:r>
      <w:r w:rsidRPr="00C5365F">
        <w:rPr>
          <w:rFonts w:asciiTheme="minorHAnsi" w:hAnsiTheme="minorHAnsi" w:cs="Arial"/>
          <w:color w:val="221E1F"/>
          <w:lang w:eastAsia="en-US"/>
        </w:rPr>
        <w:t>Tranexamic acid combined with recombinant factor VIII increases clot resistance to accelerated fibrinolysis in severe hemophilia A</w:t>
      </w:r>
      <w:r w:rsidRPr="00C5365F">
        <w:rPr>
          <w:rFonts w:asciiTheme="minorHAnsi" w:hAnsiTheme="minorHAnsi" w:cs="Arial"/>
          <w:i/>
          <w:iCs/>
          <w:color w:val="221E1F"/>
          <w:lang w:eastAsia="en-US"/>
        </w:rPr>
        <w:t xml:space="preserve">. J Thromb Haemost </w:t>
      </w:r>
      <w:r w:rsidRPr="00C5365F">
        <w:rPr>
          <w:rFonts w:asciiTheme="minorHAnsi" w:hAnsiTheme="minorHAnsi" w:cs="Arial"/>
          <w:color w:val="221E1F"/>
          <w:lang w:eastAsia="en-US"/>
        </w:rPr>
        <w:t xml:space="preserve">2007;5(12):2408-14. </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Luu H, Ewenstein B. FEIBA safety profile in multiple modes of clinical and home-therapy application.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2004 Sep</w:t>
      </w:r>
      <w:proofErr w:type="gramStart"/>
      <w:r w:rsidRPr="00C5365F">
        <w:rPr>
          <w:rFonts w:asciiTheme="minorHAnsi" w:hAnsiTheme="minorHAnsi" w:cs="Arial"/>
          <w:color w:val="221E1F"/>
          <w:lang w:eastAsia="en-US"/>
        </w:rPr>
        <w:t>;10</w:t>
      </w:r>
      <w:proofErr w:type="gramEnd"/>
      <w:r w:rsidRPr="00C5365F">
        <w:rPr>
          <w:rFonts w:asciiTheme="minorHAnsi" w:hAnsiTheme="minorHAnsi" w:cs="Arial"/>
          <w:color w:val="221E1F"/>
          <w:lang w:eastAsia="en-US"/>
        </w:rPr>
        <w:t xml:space="preserve"> (Suppl 2):10-6.</w:t>
      </w:r>
    </w:p>
    <w:p w:rsidR="004B5AE5" w:rsidRPr="00C5365F" w:rsidRDefault="004B5AE5" w:rsidP="00041ED2">
      <w:pPr>
        <w:numPr>
          <w:ilvl w:val="0"/>
          <w:numId w:val="52"/>
        </w:numPr>
        <w:autoSpaceDE w:val="0"/>
        <w:autoSpaceDN w:val="0"/>
        <w:adjustRightInd w:val="0"/>
        <w:spacing w:after="0" w:line="276" w:lineRule="auto"/>
        <w:ind w:left="567" w:hanging="709"/>
        <w:rPr>
          <w:rFonts w:asciiTheme="minorHAnsi" w:hAnsiTheme="minorHAnsi" w:cs="Arial"/>
          <w:color w:val="221E1F"/>
          <w:lang w:eastAsia="en-US"/>
        </w:rPr>
      </w:pPr>
      <w:r w:rsidRPr="00C5365F">
        <w:rPr>
          <w:rFonts w:asciiTheme="minorHAnsi" w:hAnsiTheme="minorHAnsi" w:cs="Arial"/>
          <w:color w:val="221E1F"/>
          <w:lang w:eastAsia="en-US"/>
        </w:rPr>
        <w:t xml:space="preserve">Giangrande PL, Wilde JT, Madan B, et al. Consensus protocol for the use of recombinant activated factor VII in elective orthopaedic surgery in haemophilic patients with inhibitors. </w:t>
      </w:r>
      <w:r w:rsidRPr="00C5365F">
        <w:rPr>
          <w:rFonts w:asciiTheme="minorHAnsi" w:hAnsiTheme="minorHAnsi" w:cs="Arial"/>
          <w:i/>
          <w:iCs/>
          <w:color w:val="221E1F"/>
          <w:lang w:eastAsia="en-US"/>
        </w:rPr>
        <w:t xml:space="preserve">Haemophilia </w:t>
      </w:r>
      <w:r w:rsidRPr="00C5365F">
        <w:rPr>
          <w:rFonts w:asciiTheme="minorHAnsi" w:hAnsiTheme="minorHAnsi" w:cs="Arial"/>
          <w:color w:val="221E1F"/>
          <w:lang w:eastAsia="en-US"/>
        </w:rPr>
        <w:t>2009;15(2):501-8</w:t>
      </w:r>
    </w:p>
    <w:p w:rsidR="004B5AE5" w:rsidRPr="00C5365F" w:rsidRDefault="004B5AE5" w:rsidP="004B5AE5">
      <w:pPr>
        <w:rPr>
          <w:rFonts w:asciiTheme="minorHAnsi" w:hAnsiTheme="minorHAnsi" w:cs="Arial"/>
        </w:rPr>
      </w:pPr>
    </w:p>
    <w:p w:rsidR="004B5AE5" w:rsidRDefault="004B5AE5">
      <w:pPr>
        <w:spacing w:after="200" w:line="276" w:lineRule="auto"/>
        <w:ind w:left="0"/>
      </w:pPr>
      <w:r>
        <w:br w:type="page"/>
      </w:r>
    </w:p>
    <w:p w:rsidR="00484EFC" w:rsidRPr="00041ED2" w:rsidRDefault="00484EFC" w:rsidP="00041ED2">
      <w:pPr>
        <w:pStyle w:val="Heading2"/>
      </w:pPr>
      <w:bookmarkStart w:id="33" w:name="_Toc431484326"/>
      <w:r>
        <w:rPr>
          <w:sz w:val="108"/>
          <w:szCs w:val="108"/>
        </w:rPr>
        <w:lastRenderedPageBreak/>
        <w:t xml:space="preserve">5 </w:t>
      </w:r>
      <w:r w:rsidRPr="004B228A">
        <w:t>TREATMENT OF SPECIFIC HAEMORRHAGES</w:t>
      </w:r>
      <w:bookmarkEnd w:id="33"/>
    </w:p>
    <w:p w:rsidR="00484EFC" w:rsidRPr="00497699" w:rsidRDefault="00484EFC" w:rsidP="00484EFC">
      <w:pPr>
        <w:pStyle w:val="Default"/>
        <w:spacing w:after="222"/>
        <w:ind w:left="57" w:right="557"/>
        <w:rPr>
          <w:rFonts w:asciiTheme="minorHAnsi" w:hAnsiTheme="minorHAnsi"/>
          <w:b/>
          <w:bCs/>
          <w:color w:val="000000" w:themeColor="text1"/>
          <w:sz w:val="32"/>
          <w:szCs w:val="32"/>
        </w:rPr>
      </w:pPr>
      <w:r w:rsidRPr="00497699">
        <w:rPr>
          <w:rFonts w:asciiTheme="minorHAnsi" w:hAnsiTheme="minorHAnsi"/>
          <w:b/>
          <w:bCs/>
          <w:color w:val="000000" w:themeColor="text1"/>
          <w:sz w:val="32"/>
          <w:szCs w:val="32"/>
        </w:rPr>
        <w:t>Key practice points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8041"/>
      </w:tblGrid>
      <w:tr w:rsidR="00484EFC" w:rsidRPr="00497699" w:rsidTr="00041ED2">
        <w:tc>
          <w:tcPr>
            <w:tcW w:w="992" w:type="dxa"/>
            <w:shd w:val="clear" w:color="auto" w:fill="DBE5F1" w:themeFill="accent1" w:themeFillTint="33"/>
          </w:tcPr>
          <w:p w:rsidR="00484EFC" w:rsidRPr="00497699" w:rsidRDefault="00484EFC" w:rsidP="00484EFC">
            <w:pPr>
              <w:spacing w:before="40" w:after="40"/>
              <w:rPr>
                <w:b/>
              </w:rPr>
            </w:pPr>
            <w:r w:rsidRPr="00497699">
              <w:rPr>
                <w:rStyle w:val="A8"/>
                <w:rFonts w:eastAsia="Calibri"/>
                <w:b/>
                <w:color w:val="221E1F"/>
                <w:sz w:val="22"/>
                <w:szCs w:val="24"/>
              </w:rPr>
              <w:t>No.</w:t>
            </w:r>
          </w:p>
        </w:tc>
        <w:tc>
          <w:tcPr>
            <w:tcW w:w="9101" w:type="dxa"/>
            <w:shd w:val="clear" w:color="auto" w:fill="DBE5F1" w:themeFill="accent1" w:themeFillTint="33"/>
          </w:tcPr>
          <w:p w:rsidR="00484EFC" w:rsidRDefault="00484EFC" w:rsidP="00041ED2">
            <w:pPr>
              <w:ind w:left="193"/>
              <w:rPr>
                <w:rStyle w:val="A8"/>
                <w:rFonts w:ascii="Avenir LT Std 55 Roman" w:eastAsia="Calibri" w:hAnsi="Avenir LT Std 55 Roman" w:cs="Avenir LT Std 55 Roman"/>
                <w:b/>
                <w:color w:val="221E1F"/>
                <w:sz w:val="22"/>
                <w:szCs w:val="24"/>
                <w:lang w:eastAsia="en-US"/>
              </w:rPr>
            </w:pPr>
            <w:r>
              <w:rPr>
                <w:rStyle w:val="A8"/>
                <w:rFonts w:eastAsia="Calibri"/>
                <w:b/>
                <w:color w:val="221E1F"/>
                <w:sz w:val="22"/>
                <w:szCs w:val="24"/>
              </w:rPr>
              <w:t>Key Practice Point</w:t>
            </w:r>
          </w:p>
          <w:p w:rsidR="00484EFC" w:rsidRPr="00497699" w:rsidRDefault="00484EFC" w:rsidP="00041ED2">
            <w:pPr>
              <w:ind w:left="193"/>
              <w:rPr>
                <w:b/>
              </w:rPr>
            </w:pPr>
          </w:p>
        </w:tc>
      </w:tr>
      <w:tr w:rsidR="00484EFC" w:rsidRPr="00497699" w:rsidTr="00041ED2">
        <w:tc>
          <w:tcPr>
            <w:tcW w:w="992" w:type="dxa"/>
            <w:shd w:val="clear" w:color="auto" w:fill="365F91" w:themeFill="accent1" w:themeFillShade="BF"/>
          </w:tcPr>
          <w:p w:rsidR="00484EFC" w:rsidRPr="00A33356" w:rsidRDefault="00484EFC"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5.1</w:t>
            </w:r>
          </w:p>
        </w:tc>
        <w:tc>
          <w:tcPr>
            <w:tcW w:w="9101" w:type="dxa"/>
          </w:tcPr>
          <w:p w:rsidR="00484EFC" w:rsidRPr="00497699" w:rsidRDefault="00484EFC" w:rsidP="00041ED2">
            <w:pPr>
              <w:spacing w:before="40" w:after="40"/>
              <w:ind w:left="193"/>
              <w:rPr>
                <w:rStyle w:val="A8"/>
                <w:rFonts w:eastAsia="Calibri"/>
                <w:color w:val="221E1F"/>
                <w:sz w:val="22"/>
                <w:szCs w:val="24"/>
              </w:rPr>
            </w:pPr>
            <w:r w:rsidRPr="004B228A">
              <w:rPr>
                <w:rStyle w:val="A8"/>
                <w:rFonts w:eastAsia="Calibri"/>
                <w:color w:val="221E1F"/>
                <w:sz w:val="22"/>
                <w:szCs w:val="24"/>
              </w:rPr>
              <w:t xml:space="preserve">Bleeding in patients with haemophilia can occur at different sites each of which </w:t>
            </w:r>
            <w:proofErr w:type="gramStart"/>
            <w:r w:rsidRPr="004B228A">
              <w:rPr>
                <w:rStyle w:val="A8"/>
                <w:rFonts w:eastAsia="Calibri"/>
                <w:color w:val="221E1F"/>
                <w:sz w:val="22"/>
                <w:szCs w:val="24"/>
              </w:rPr>
              <w:t>require</w:t>
            </w:r>
            <w:proofErr w:type="gramEnd"/>
            <w:r w:rsidRPr="004B228A">
              <w:rPr>
                <w:rStyle w:val="A8"/>
                <w:rFonts w:eastAsia="Calibri"/>
                <w:color w:val="221E1F"/>
                <w:sz w:val="22"/>
                <w:szCs w:val="24"/>
              </w:rPr>
              <w:t xml:space="preserve"> specific management.</w:t>
            </w:r>
          </w:p>
        </w:tc>
      </w:tr>
      <w:tr w:rsidR="00484EFC" w:rsidRPr="00497699" w:rsidTr="00041ED2">
        <w:trPr>
          <w:trHeight w:val="212"/>
        </w:trPr>
        <w:tc>
          <w:tcPr>
            <w:tcW w:w="992" w:type="dxa"/>
            <w:shd w:val="clear" w:color="auto" w:fill="365F91" w:themeFill="accent1" w:themeFillShade="BF"/>
          </w:tcPr>
          <w:p w:rsidR="00484EFC" w:rsidRPr="00A33356" w:rsidRDefault="00484EFC"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5.2</w:t>
            </w:r>
          </w:p>
        </w:tc>
        <w:tc>
          <w:tcPr>
            <w:tcW w:w="9101" w:type="dxa"/>
          </w:tcPr>
          <w:p w:rsidR="00484EFC" w:rsidRPr="00497699" w:rsidRDefault="00484EFC" w:rsidP="00041ED2">
            <w:pPr>
              <w:spacing w:before="40" w:after="40"/>
              <w:ind w:left="193"/>
              <w:rPr>
                <w:rStyle w:val="A8"/>
                <w:rFonts w:eastAsia="Calibri"/>
                <w:color w:val="221E1F"/>
                <w:sz w:val="22"/>
                <w:szCs w:val="24"/>
              </w:rPr>
            </w:pPr>
            <w:r w:rsidRPr="004B228A">
              <w:rPr>
                <w:rStyle w:val="A8"/>
                <w:rFonts w:eastAsia="Calibri"/>
                <w:color w:val="221E1F"/>
                <w:sz w:val="22"/>
                <w:szCs w:val="24"/>
              </w:rPr>
              <w:t>It is important that individuals with bleeding disorders and their families be educated about the symptoms and signs of bleeding disorders and understand the benefit of prompt treatment.</w:t>
            </w:r>
          </w:p>
        </w:tc>
      </w:tr>
      <w:tr w:rsidR="00484EFC" w:rsidRPr="00497699" w:rsidTr="00041ED2">
        <w:trPr>
          <w:trHeight w:val="242"/>
        </w:trPr>
        <w:tc>
          <w:tcPr>
            <w:tcW w:w="992" w:type="dxa"/>
            <w:shd w:val="clear" w:color="auto" w:fill="365F91" w:themeFill="accent1" w:themeFillShade="BF"/>
          </w:tcPr>
          <w:p w:rsidR="00484EFC" w:rsidRPr="00A33356" w:rsidRDefault="00484EFC"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5.3</w:t>
            </w:r>
          </w:p>
        </w:tc>
        <w:tc>
          <w:tcPr>
            <w:tcW w:w="9101" w:type="dxa"/>
          </w:tcPr>
          <w:p w:rsidR="00484EFC" w:rsidRPr="00497699" w:rsidRDefault="00484EFC" w:rsidP="00041ED2">
            <w:pPr>
              <w:spacing w:before="40" w:after="40"/>
              <w:ind w:left="193"/>
              <w:rPr>
                <w:rStyle w:val="A8"/>
                <w:rFonts w:eastAsia="Calibri"/>
                <w:color w:val="221E1F"/>
                <w:sz w:val="22"/>
                <w:szCs w:val="24"/>
              </w:rPr>
            </w:pPr>
            <w:r w:rsidRPr="004B228A">
              <w:rPr>
                <w:rStyle w:val="A8"/>
                <w:rFonts w:eastAsia="Calibri"/>
                <w:color w:val="221E1F"/>
                <w:sz w:val="22"/>
                <w:szCs w:val="24"/>
              </w:rPr>
              <w:t xml:space="preserve">All patients with bleeding disorders should have a management plan documented to be followed in the event of bleeding. This should ideally be documented on a treatment card generated from the ABDR </w:t>
            </w:r>
            <w:r>
              <w:rPr>
                <w:rStyle w:val="A8"/>
                <w:rFonts w:eastAsia="Calibri"/>
                <w:color w:val="221E1F"/>
                <w:sz w:val="22"/>
                <w:szCs w:val="24"/>
              </w:rPr>
              <w:t>(see ‘’Principles of Care’, Section 1.2).</w:t>
            </w:r>
          </w:p>
        </w:tc>
      </w:tr>
      <w:tr w:rsidR="00484EFC" w:rsidRPr="00497699" w:rsidTr="00041ED2">
        <w:tc>
          <w:tcPr>
            <w:tcW w:w="992" w:type="dxa"/>
            <w:shd w:val="clear" w:color="auto" w:fill="365F91" w:themeFill="accent1" w:themeFillShade="BF"/>
          </w:tcPr>
          <w:p w:rsidR="00484EFC" w:rsidRPr="00A33356" w:rsidRDefault="00484EFC"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5.4</w:t>
            </w:r>
          </w:p>
        </w:tc>
        <w:tc>
          <w:tcPr>
            <w:tcW w:w="9101" w:type="dxa"/>
          </w:tcPr>
          <w:p w:rsidR="00484EFC" w:rsidRPr="00497699" w:rsidRDefault="00484EFC" w:rsidP="00041ED2">
            <w:pPr>
              <w:spacing w:before="40" w:after="40"/>
              <w:ind w:left="193"/>
              <w:rPr>
                <w:rStyle w:val="A8"/>
                <w:rFonts w:eastAsia="Calibri"/>
                <w:color w:val="221E1F"/>
                <w:sz w:val="22"/>
                <w:szCs w:val="24"/>
              </w:rPr>
            </w:pPr>
            <w:r w:rsidRPr="004B228A">
              <w:rPr>
                <w:rStyle w:val="A8"/>
                <w:rFonts w:eastAsia="Calibri"/>
                <w:color w:val="221E1F"/>
                <w:sz w:val="22"/>
                <w:szCs w:val="24"/>
              </w:rPr>
              <w:t>As a general principle in case of large internal haemorrhage or repeated intermittent bleeding, haemoglobin should be checked and corrected while other measures are being planned. Measures of haemodynamic stability, such as pulse and blood pressure, should be moni</w:t>
            </w:r>
            <w:r w:rsidRPr="004B228A">
              <w:rPr>
                <w:rStyle w:val="A8"/>
                <w:rFonts w:eastAsia="Calibri"/>
                <w:color w:val="221E1F"/>
                <w:sz w:val="22"/>
                <w:szCs w:val="24"/>
              </w:rPr>
              <w:softHyphen/>
              <w:t xml:space="preserve">tored as indicated. </w:t>
            </w:r>
          </w:p>
        </w:tc>
      </w:tr>
      <w:tr w:rsidR="00484EFC" w:rsidRPr="00497699" w:rsidTr="00041ED2">
        <w:trPr>
          <w:trHeight w:val="392"/>
        </w:trPr>
        <w:tc>
          <w:tcPr>
            <w:tcW w:w="992" w:type="dxa"/>
            <w:shd w:val="clear" w:color="auto" w:fill="365F91" w:themeFill="accent1" w:themeFillShade="BF"/>
          </w:tcPr>
          <w:p w:rsidR="00484EFC" w:rsidRPr="00A33356" w:rsidRDefault="00484EFC"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5.5</w:t>
            </w:r>
          </w:p>
        </w:tc>
        <w:tc>
          <w:tcPr>
            <w:tcW w:w="9101" w:type="dxa"/>
          </w:tcPr>
          <w:p w:rsidR="00484EFC" w:rsidRPr="00497699" w:rsidRDefault="00484EFC" w:rsidP="00041ED2">
            <w:pPr>
              <w:spacing w:before="40" w:after="40"/>
              <w:ind w:left="193"/>
              <w:rPr>
                <w:rStyle w:val="A8"/>
                <w:rFonts w:eastAsia="Calibri"/>
                <w:color w:val="221E1F"/>
                <w:sz w:val="22"/>
                <w:szCs w:val="24"/>
              </w:rPr>
            </w:pPr>
            <w:r w:rsidRPr="004B228A">
              <w:rPr>
                <w:rStyle w:val="A8"/>
                <w:rFonts w:eastAsia="Calibri"/>
                <w:color w:val="221E1F"/>
                <w:sz w:val="22"/>
                <w:szCs w:val="24"/>
              </w:rPr>
              <w:t>Appropriate rehabilitation is an important component of care following joint and muscle haemorrhage and ideally should be guided by a physiotherapist familiar with the management of bleeding disorder patients</w:t>
            </w:r>
            <w:r>
              <w:rPr>
                <w:rStyle w:val="A8"/>
                <w:rFonts w:eastAsia="Calibri"/>
                <w:color w:val="221E1F"/>
                <w:sz w:val="22"/>
                <w:szCs w:val="24"/>
              </w:rPr>
              <w:t>.</w:t>
            </w:r>
          </w:p>
        </w:tc>
      </w:tr>
    </w:tbl>
    <w:p w:rsidR="00484EFC" w:rsidRDefault="00484EFC" w:rsidP="00484EFC">
      <w:pPr>
        <w:autoSpaceDE w:val="0"/>
        <w:autoSpaceDN w:val="0"/>
        <w:adjustRightInd w:val="0"/>
        <w:spacing w:after="0"/>
        <w:rPr>
          <w:rFonts w:asciiTheme="minorHAnsi" w:hAnsiTheme="minorHAnsi" w:cs="Avenir LT Std 55 Roman"/>
          <w:b/>
          <w:bCs/>
          <w:color w:val="E31736"/>
          <w:sz w:val="28"/>
          <w:lang w:eastAsia="en-US"/>
        </w:rPr>
      </w:pPr>
    </w:p>
    <w:p w:rsidR="00484EFC" w:rsidRPr="002C1CD8" w:rsidRDefault="00484EFC" w:rsidP="00041ED2">
      <w:pPr>
        <w:pStyle w:val="Default"/>
        <w:spacing w:after="222"/>
        <w:ind w:right="557"/>
        <w:rPr>
          <w:rStyle w:val="A8"/>
          <w:rFonts w:asciiTheme="minorHAnsi" w:hAnsiTheme="minorHAnsi" w:cs="Tahoma"/>
          <w:b/>
          <w:bCs/>
          <w:color w:val="000000" w:themeColor="text1"/>
          <w:szCs w:val="22"/>
          <w:lang w:eastAsia="en-AU"/>
        </w:rPr>
      </w:pPr>
      <w:r w:rsidRPr="002C1CD8">
        <w:rPr>
          <w:rStyle w:val="A8"/>
          <w:rFonts w:asciiTheme="minorHAnsi" w:hAnsiTheme="minorHAnsi"/>
          <w:b/>
          <w:bCs/>
          <w:color w:val="000000" w:themeColor="text1"/>
        </w:rPr>
        <w:t xml:space="preserve">Significant changes from the original WFH Guidelines </w:t>
      </w:r>
    </w:p>
    <w:p w:rsidR="00484EFC" w:rsidRPr="002C1CD8" w:rsidRDefault="00484EFC" w:rsidP="00041ED2">
      <w:pPr>
        <w:pStyle w:val="Default"/>
        <w:numPr>
          <w:ilvl w:val="0"/>
          <w:numId w:val="42"/>
        </w:numPr>
        <w:spacing w:after="222"/>
        <w:ind w:right="557" w:hanging="473"/>
        <w:rPr>
          <w:rStyle w:val="A8"/>
          <w:rFonts w:asciiTheme="minorHAnsi" w:hAnsiTheme="minorHAnsi" w:cs="Tahoma"/>
          <w:bCs/>
          <w:color w:val="000000" w:themeColor="text1"/>
          <w:sz w:val="24"/>
          <w:szCs w:val="22"/>
          <w:lang w:eastAsia="en-AU"/>
        </w:rPr>
      </w:pPr>
      <w:r>
        <w:rPr>
          <w:rStyle w:val="A8"/>
          <w:rFonts w:asciiTheme="minorHAnsi" w:hAnsiTheme="minorHAnsi"/>
          <w:bCs/>
          <w:color w:val="000000" w:themeColor="text1"/>
          <w:sz w:val="24"/>
        </w:rPr>
        <w:t>A summary of t</w:t>
      </w:r>
      <w:r w:rsidRPr="002C1CD8">
        <w:rPr>
          <w:rStyle w:val="A8"/>
          <w:rFonts w:asciiTheme="minorHAnsi" w:hAnsiTheme="minorHAnsi"/>
          <w:bCs/>
          <w:color w:val="000000" w:themeColor="text1"/>
          <w:sz w:val="24"/>
        </w:rPr>
        <w:t xml:space="preserve">he </w:t>
      </w:r>
      <w:r>
        <w:rPr>
          <w:rStyle w:val="A8"/>
          <w:rFonts w:asciiTheme="minorHAnsi" w:hAnsiTheme="minorHAnsi"/>
          <w:bCs/>
          <w:color w:val="000000" w:themeColor="text1"/>
          <w:sz w:val="24"/>
        </w:rPr>
        <w:t>findings of a systematic review evaluating the efficacy and safety of selective and non-selective non-steroidal anti-inflammatory medications, and joint aspiration in acute joint haemorrhage are incorporated</w:t>
      </w:r>
      <w:r w:rsidRPr="002C1CD8">
        <w:rPr>
          <w:rStyle w:val="A8"/>
          <w:rFonts w:asciiTheme="minorHAnsi" w:hAnsiTheme="minorHAnsi"/>
          <w:bCs/>
          <w:color w:val="000000" w:themeColor="text1"/>
          <w:sz w:val="24"/>
        </w:rPr>
        <w:t xml:space="preserve">. </w:t>
      </w:r>
    </w:p>
    <w:p w:rsidR="00484EFC" w:rsidRDefault="00484EFC">
      <w:pPr>
        <w:spacing w:after="200" w:line="276" w:lineRule="auto"/>
        <w:ind w:left="0"/>
        <w:rPr>
          <w:rFonts w:asciiTheme="minorHAnsi" w:hAnsiTheme="minorHAnsi" w:cs="Avenir LT Std 55 Roman"/>
          <w:b/>
          <w:bCs/>
          <w:color w:val="E31736"/>
          <w:sz w:val="28"/>
          <w:lang w:eastAsia="en-US"/>
        </w:rPr>
      </w:pPr>
      <w:r>
        <w:rPr>
          <w:rFonts w:asciiTheme="minorHAnsi" w:hAnsiTheme="minorHAnsi" w:cs="Avenir LT Std 55 Roman"/>
          <w:b/>
          <w:bCs/>
          <w:color w:val="E31736"/>
          <w:sz w:val="28"/>
          <w:lang w:eastAsia="en-US"/>
        </w:rPr>
        <w:br w:type="page"/>
      </w:r>
    </w:p>
    <w:p w:rsidR="00484EFC" w:rsidRPr="00041ED2" w:rsidRDefault="00484EFC" w:rsidP="00041ED2">
      <w:pPr>
        <w:pStyle w:val="Heading3"/>
        <w:rPr>
          <w:rStyle w:val="A8"/>
          <w:b/>
        </w:rPr>
      </w:pPr>
      <w:bookmarkStart w:id="34" w:name="_Toc431484327"/>
      <w:r w:rsidRPr="00041ED2">
        <w:rPr>
          <w:rStyle w:val="A8"/>
        </w:rPr>
        <w:lastRenderedPageBreak/>
        <w:t>5.1 Joint haemorrhage (haemarthrosis)</w:t>
      </w:r>
      <w:bookmarkEnd w:id="34"/>
      <w:r w:rsidRPr="00041ED2">
        <w:rPr>
          <w:rStyle w:val="A8"/>
        </w:rPr>
        <w:t xml:space="preserve"> </w:t>
      </w:r>
    </w:p>
    <w:p w:rsidR="00484EFC" w:rsidRDefault="00484EFC" w:rsidP="00484EFC">
      <w:pPr>
        <w:autoSpaceDE w:val="0"/>
        <w:autoSpaceDN w:val="0"/>
        <w:adjustRightInd w:val="0"/>
        <w:spacing w:after="0"/>
        <w:ind w:left="1418" w:hanging="1305"/>
        <w:rPr>
          <w:rFonts w:asciiTheme="minorHAnsi" w:hAnsiTheme="minorHAnsi"/>
        </w:rPr>
      </w:pPr>
      <w:r>
        <w:t>5.1.1</w:t>
      </w:r>
      <w:r>
        <w:tab/>
      </w:r>
      <w:r w:rsidRPr="004B228A">
        <w:t>A joint bleed is defined as an episode of bleeding that is typically associated with loss of range of motion, pain, or unusual sensation in the joint, swelling and warmth of the overlying skin.</w:t>
      </w:r>
      <w:r w:rsidRPr="004B228A">
        <w:rPr>
          <w:rFonts w:asciiTheme="minorHAnsi" w:hAnsiTheme="minorHAnsi"/>
        </w:rPr>
        <w:t xml:space="preserve"> </w:t>
      </w:r>
    </w:p>
    <w:p w:rsidR="00484EFC"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p>
    <w:p w:rsidR="00484EFC" w:rsidRDefault="00AF50AF" w:rsidP="00041ED2">
      <w:pPr>
        <w:autoSpaceDE w:val="0"/>
        <w:autoSpaceDN w:val="0"/>
        <w:adjustRightInd w:val="0"/>
        <w:spacing w:after="0"/>
        <w:ind w:left="1418" w:hanging="1418"/>
        <w:rPr>
          <w:rFonts w:asciiTheme="minorHAnsi" w:hAnsiTheme="minorHAnsi"/>
        </w:rPr>
      </w:pPr>
      <w:r>
        <w:t xml:space="preserve">  </w:t>
      </w:r>
      <w:r w:rsidR="00484EFC" w:rsidRPr="00AF50AF">
        <w:t>5.1.2</w:t>
      </w:r>
      <w:r w:rsidR="00484EFC" w:rsidRPr="00AF50AF">
        <w:tab/>
        <w:t>The onset of bleeding in joints is frequently described by patients as a tingling sensation</w:t>
      </w:r>
      <w:r w:rsidR="00484EFC" w:rsidRPr="004B228A">
        <w:rPr>
          <w:rFonts w:asciiTheme="minorHAnsi" w:hAnsiTheme="minorHAnsi" w:cs="Arial"/>
          <w:color w:val="221E1F"/>
          <w:lang w:eastAsia="en-US"/>
        </w:rPr>
        <w:t xml:space="preserve"> and tightness within the joint. This “aura” precedes the appearance of clinical signs. In infants and babies the onset can be non</w:t>
      </w:r>
      <w:r w:rsidR="00484EFC">
        <w:rPr>
          <w:rFonts w:asciiTheme="minorHAnsi" w:hAnsiTheme="minorHAnsi" w:cs="Arial"/>
          <w:color w:val="221E1F"/>
          <w:lang w:eastAsia="en-US"/>
        </w:rPr>
        <w:t>-</w:t>
      </w:r>
      <w:r w:rsidR="00484EFC" w:rsidRPr="004B228A">
        <w:rPr>
          <w:rFonts w:asciiTheme="minorHAnsi" w:hAnsiTheme="minorHAnsi" w:cs="Arial"/>
          <w:color w:val="221E1F"/>
          <w:lang w:eastAsia="en-US"/>
        </w:rPr>
        <w:t xml:space="preserve">verbal, </w:t>
      </w:r>
      <w:r w:rsidR="00484EFC" w:rsidRPr="004B228A">
        <w:rPr>
          <w:rFonts w:asciiTheme="minorHAnsi" w:hAnsiTheme="minorHAnsi"/>
        </w:rPr>
        <w:t xml:space="preserve">for example “favouring a limb”, refusing to weight </w:t>
      </w:r>
      <w:proofErr w:type="gramStart"/>
      <w:r w:rsidR="00484EFC" w:rsidRPr="004B228A">
        <w:rPr>
          <w:rFonts w:asciiTheme="minorHAnsi" w:hAnsiTheme="minorHAnsi"/>
        </w:rPr>
        <w:t>bear,</w:t>
      </w:r>
      <w:proofErr w:type="gramEnd"/>
      <w:r w:rsidR="00484EFC" w:rsidRPr="004B228A">
        <w:rPr>
          <w:rFonts w:asciiTheme="minorHAnsi" w:hAnsiTheme="minorHAnsi"/>
        </w:rPr>
        <w:t xml:space="preserve"> and irritability and crying.</w:t>
      </w:r>
    </w:p>
    <w:p w:rsidR="00484EFC"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sidRPr="004B228A">
        <w:rPr>
          <w:rFonts w:asciiTheme="minorHAnsi" w:hAnsiTheme="minorHAnsi" w:cs="Arial"/>
          <w:color w:val="221E1F"/>
          <w:lang w:eastAsia="en-US"/>
        </w:rPr>
        <w:t>5.1.3</w:t>
      </w:r>
      <w:r>
        <w:rPr>
          <w:rFonts w:asciiTheme="minorHAnsi" w:hAnsiTheme="minorHAnsi" w:cs="Avenir LT Std 55 Roman"/>
          <w:b/>
          <w:bCs/>
          <w:color w:val="E31736"/>
          <w:sz w:val="28"/>
          <w:szCs w:val="28"/>
          <w:lang w:eastAsia="en-US"/>
        </w:rPr>
        <w:tab/>
      </w:r>
      <w:r w:rsidRPr="004B228A">
        <w:rPr>
          <w:rFonts w:asciiTheme="minorHAnsi" w:hAnsiTheme="minorHAnsi" w:cs="Arial"/>
          <w:color w:val="221E1F"/>
          <w:lang w:eastAsia="en-US"/>
        </w:rPr>
        <w:t xml:space="preserve">The earliest clinical signs of a joint bleed are increased warmth over the area and discomfort with movement, particularly at the ends of range. </w:t>
      </w:r>
    </w:p>
    <w:p w:rsidR="00484EFC"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sidRPr="004B228A">
        <w:rPr>
          <w:rFonts w:asciiTheme="minorHAnsi" w:hAnsiTheme="minorHAnsi" w:cs="Arial"/>
          <w:color w:val="221E1F"/>
          <w:lang w:eastAsia="en-US"/>
        </w:rPr>
        <w:t>5.1.4</w:t>
      </w:r>
      <w:r>
        <w:rPr>
          <w:rFonts w:asciiTheme="minorHAnsi" w:hAnsiTheme="minorHAnsi" w:cs="Avenir LT Std 55 Roman"/>
          <w:b/>
          <w:bCs/>
          <w:color w:val="E31736"/>
          <w:sz w:val="28"/>
          <w:szCs w:val="28"/>
          <w:lang w:eastAsia="en-US"/>
        </w:rPr>
        <w:tab/>
      </w:r>
      <w:r w:rsidRPr="004B228A">
        <w:rPr>
          <w:rFonts w:asciiTheme="minorHAnsi" w:hAnsiTheme="minorHAnsi" w:cs="Arial"/>
          <w:color w:val="221E1F"/>
          <w:lang w:eastAsia="en-US"/>
        </w:rPr>
        <w:t>Later symptoms and signs include pain at rest, swelling, tenderness, and extreme loss of motion.</w:t>
      </w:r>
    </w:p>
    <w:p w:rsidR="00484EFC"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r w:rsidRPr="004B228A">
        <w:rPr>
          <w:rFonts w:asciiTheme="minorHAnsi" w:hAnsiTheme="minorHAnsi" w:cs="Arial"/>
          <w:color w:val="221E1F"/>
          <w:lang w:eastAsia="en-US"/>
        </w:rPr>
        <w:t xml:space="preserve"> </w:t>
      </w:r>
    </w:p>
    <w:p w:rsidR="00484EFC" w:rsidRDefault="00484EFC" w:rsidP="00484EFC">
      <w:pPr>
        <w:autoSpaceDE w:val="0"/>
        <w:autoSpaceDN w:val="0"/>
        <w:adjustRightInd w:val="0"/>
        <w:spacing w:after="0"/>
        <w:ind w:left="1418" w:hanging="1305"/>
        <w:rPr>
          <w:rFonts w:asciiTheme="minorHAnsi" w:hAnsiTheme="minorHAnsi" w:cs="Arial"/>
          <w:color w:val="221E1F"/>
          <w:vertAlign w:val="superscript"/>
          <w:lang w:eastAsia="en-US"/>
        </w:rPr>
      </w:pPr>
      <w:r w:rsidRPr="004B228A">
        <w:rPr>
          <w:rFonts w:asciiTheme="minorHAnsi" w:hAnsiTheme="minorHAnsi" w:cs="Arial"/>
          <w:color w:val="221E1F"/>
          <w:lang w:eastAsia="en-US"/>
        </w:rPr>
        <w:t>5.1.5</w:t>
      </w:r>
      <w:r>
        <w:rPr>
          <w:rFonts w:asciiTheme="minorHAnsi" w:hAnsiTheme="minorHAnsi" w:cs="Avenir LT Std 55 Roman"/>
          <w:b/>
          <w:bCs/>
          <w:color w:val="E31736"/>
          <w:sz w:val="28"/>
          <w:szCs w:val="28"/>
          <w:lang w:eastAsia="en-US"/>
        </w:rPr>
        <w:tab/>
      </w:r>
      <w:r w:rsidRPr="004B228A">
        <w:rPr>
          <w:rFonts w:asciiTheme="minorHAnsi" w:hAnsiTheme="minorHAnsi" w:cs="Arial"/>
          <w:color w:val="221E1F"/>
          <w:lang w:eastAsia="en-US"/>
        </w:rPr>
        <w:t>A re-bleed is defined as worsening of the condi</w:t>
      </w:r>
      <w:r w:rsidRPr="004B228A">
        <w:rPr>
          <w:rFonts w:asciiTheme="minorHAnsi" w:hAnsiTheme="minorHAnsi" w:cs="Arial"/>
          <w:color w:val="221E1F"/>
          <w:lang w:eastAsia="en-US"/>
        </w:rPr>
        <w:softHyphen/>
        <w:t>tion either on treatment or within 72 hours after stopping treatment</w:t>
      </w:r>
      <w:r>
        <w:rPr>
          <w:rFonts w:asciiTheme="minorHAnsi" w:hAnsiTheme="minorHAnsi" w:cs="Arial"/>
          <w:color w:val="221E1F"/>
          <w:lang w:eastAsia="en-US"/>
        </w:rPr>
        <w:t xml:space="preserve">. </w:t>
      </w:r>
      <w:r w:rsidRPr="004B228A">
        <w:rPr>
          <w:rFonts w:asciiTheme="minorHAnsi" w:hAnsiTheme="minorHAnsi" w:cs="Arial"/>
          <w:color w:val="221E1F"/>
          <w:vertAlign w:val="superscript"/>
          <w:lang w:eastAsia="en-US"/>
        </w:rPr>
        <w:t xml:space="preserve">[1] </w:t>
      </w:r>
    </w:p>
    <w:p w:rsidR="00484EFC"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sidRPr="004B228A">
        <w:rPr>
          <w:rFonts w:asciiTheme="minorHAnsi" w:hAnsiTheme="minorHAnsi" w:cs="Arial"/>
          <w:color w:val="221E1F"/>
          <w:lang w:eastAsia="en-US"/>
        </w:rPr>
        <w:t>5.1.6</w:t>
      </w:r>
      <w:r>
        <w:rPr>
          <w:rFonts w:asciiTheme="minorHAnsi" w:hAnsiTheme="minorHAnsi" w:cs="Avenir LT Std 55 Roman"/>
          <w:b/>
          <w:bCs/>
          <w:color w:val="E31736"/>
          <w:sz w:val="28"/>
          <w:szCs w:val="28"/>
          <w:lang w:eastAsia="en-US"/>
        </w:rPr>
        <w:tab/>
      </w:r>
      <w:r w:rsidRPr="004B228A">
        <w:rPr>
          <w:rFonts w:asciiTheme="minorHAnsi" w:hAnsiTheme="minorHAnsi" w:cs="Arial"/>
          <w:color w:val="221E1F"/>
          <w:lang w:eastAsia="en-US"/>
        </w:rPr>
        <w:t>A target joint is a joint in which 3 or more sponta</w:t>
      </w:r>
      <w:r w:rsidRPr="004B228A">
        <w:rPr>
          <w:rFonts w:asciiTheme="minorHAnsi" w:hAnsiTheme="minorHAnsi" w:cs="Arial"/>
          <w:color w:val="221E1F"/>
          <w:lang w:eastAsia="en-US"/>
        </w:rPr>
        <w:softHyphen/>
        <w:t xml:space="preserve">neous bleeds have occurred within a consecutive 6-month period. </w:t>
      </w:r>
    </w:p>
    <w:p w:rsidR="00484EFC"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sidRPr="004B228A">
        <w:rPr>
          <w:rFonts w:asciiTheme="minorHAnsi" w:hAnsiTheme="minorHAnsi" w:cs="Arial"/>
          <w:color w:val="221E1F"/>
          <w:lang w:eastAsia="en-US"/>
        </w:rPr>
        <w:t>5.1.7</w:t>
      </w:r>
      <w:r>
        <w:rPr>
          <w:rFonts w:asciiTheme="minorHAnsi" w:hAnsiTheme="minorHAnsi" w:cs="Avenir LT Std 55 Roman"/>
          <w:b/>
          <w:bCs/>
          <w:color w:val="E31736"/>
          <w:sz w:val="28"/>
          <w:szCs w:val="28"/>
          <w:lang w:eastAsia="en-US"/>
        </w:rPr>
        <w:tab/>
      </w:r>
      <w:r w:rsidRPr="004B228A">
        <w:rPr>
          <w:rFonts w:asciiTheme="minorHAnsi" w:hAnsiTheme="minorHAnsi" w:cs="Arial"/>
          <w:color w:val="221E1F"/>
          <w:lang w:eastAsia="en-US"/>
        </w:rPr>
        <w:t>Following a joint bleed, flexion is usually the most comfortable position, and any attempt to change this position causes more pain.</w:t>
      </w:r>
    </w:p>
    <w:p w:rsidR="00484EFC"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sidRPr="004B228A">
        <w:rPr>
          <w:rFonts w:asciiTheme="minorHAnsi" w:hAnsiTheme="minorHAnsi" w:cs="Arial"/>
          <w:color w:val="221E1F"/>
          <w:lang w:eastAsia="en-US"/>
        </w:rPr>
        <w:t>5.1.8</w:t>
      </w:r>
      <w:r w:rsidRPr="004B228A">
        <w:rPr>
          <w:rFonts w:asciiTheme="minorHAnsi" w:hAnsiTheme="minorHAnsi" w:cs="Arial"/>
          <w:color w:val="221E1F"/>
          <w:lang w:eastAsia="en-US"/>
        </w:rPr>
        <w:tab/>
        <w:t>Secondary muscle spasm follows as the patient tries to prevent motion and the joint appears “frozen”.</w:t>
      </w:r>
    </w:p>
    <w:p w:rsidR="00484EFC"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sidRPr="004B228A">
        <w:rPr>
          <w:rFonts w:asciiTheme="minorHAnsi" w:hAnsiTheme="minorHAnsi" w:cs="Arial"/>
          <w:color w:val="221E1F"/>
          <w:lang w:eastAsia="en-US"/>
        </w:rPr>
        <w:t>5.1.9</w:t>
      </w:r>
      <w:r>
        <w:rPr>
          <w:rFonts w:asciiTheme="minorHAnsi" w:hAnsiTheme="minorHAnsi" w:cs="Avenir LT Std 55 Roman"/>
          <w:b/>
          <w:bCs/>
          <w:color w:val="E31736"/>
          <w:sz w:val="28"/>
          <w:szCs w:val="28"/>
          <w:lang w:eastAsia="en-US"/>
        </w:rPr>
        <w:tab/>
      </w:r>
      <w:r w:rsidRPr="004B228A">
        <w:rPr>
          <w:rFonts w:asciiTheme="minorHAnsi" w:hAnsiTheme="minorHAnsi" w:cs="Arial"/>
          <w:color w:val="221E1F"/>
          <w:lang w:eastAsia="en-US"/>
        </w:rPr>
        <w:t>The goal of treatment of acute haemarthrosis is to stop the bleeding as soon as possible. This should ideally occur</w:t>
      </w:r>
      <w:r>
        <w:rPr>
          <w:rFonts w:asciiTheme="minorHAnsi" w:hAnsiTheme="minorHAnsi" w:cs="Arial"/>
          <w:color w:val="221E1F"/>
          <w:lang w:eastAsia="en-US"/>
        </w:rPr>
        <w:t xml:space="preserve"> as soon as the patient recognis</w:t>
      </w:r>
      <w:r w:rsidRPr="004B228A">
        <w:rPr>
          <w:rFonts w:asciiTheme="minorHAnsi" w:hAnsiTheme="minorHAnsi" w:cs="Arial"/>
          <w:color w:val="221E1F"/>
          <w:lang w:eastAsia="en-US"/>
        </w:rPr>
        <w:t xml:space="preserve">es the “aura” </w:t>
      </w:r>
      <w:r w:rsidRPr="004B228A">
        <w:rPr>
          <w:rFonts w:asciiTheme="minorHAnsi" w:hAnsiTheme="minorHAnsi"/>
        </w:rPr>
        <w:t>or it is recognised the child is not moving the joint or the limb</w:t>
      </w:r>
      <w:r w:rsidRPr="004B228A">
        <w:rPr>
          <w:rFonts w:asciiTheme="minorHAnsi" w:hAnsiTheme="minorHAnsi" w:cs="Arial"/>
          <w:color w:val="221E1F"/>
          <w:lang w:eastAsia="en-US"/>
        </w:rPr>
        <w:t>, rather than after the on</w:t>
      </w:r>
      <w:r>
        <w:rPr>
          <w:rFonts w:asciiTheme="minorHAnsi" w:hAnsiTheme="minorHAnsi" w:cs="Arial"/>
          <w:color w:val="221E1F"/>
          <w:lang w:eastAsia="en-US"/>
        </w:rPr>
        <w:t>set of overt swelling and pain.</w:t>
      </w: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5.1.10</w:t>
      </w:r>
      <w:r>
        <w:rPr>
          <w:rFonts w:asciiTheme="minorHAnsi" w:hAnsiTheme="minorHAnsi" w:cs="Arial"/>
          <w:color w:val="221E1F"/>
          <w:lang w:eastAsia="en-US"/>
        </w:rPr>
        <w:tab/>
      </w:r>
      <w:r w:rsidRPr="004B228A">
        <w:rPr>
          <w:rFonts w:asciiTheme="minorHAnsi" w:hAnsiTheme="minorHAnsi" w:cs="Arial"/>
          <w:color w:val="221E1F"/>
          <w:lang w:eastAsia="en-US"/>
        </w:rPr>
        <w:t xml:space="preserve">Evaluate the patient clinically. Usually, X-rays and ultrasound are not indicated </w:t>
      </w:r>
      <w:r w:rsidRPr="004B228A">
        <w:rPr>
          <w:rFonts w:asciiTheme="minorHAnsi" w:hAnsiTheme="minorHAnsi" w:cs="Arial"/>
        </w:rPr>
        <w:t>unless a history suggests significant trauma</w:t>
      </w:r>
      <w:r w:rsidRPr="004B228A">
        <w:rPr>
          <w:rFonts w:asciiTheme="minorHAnsi" w:hAnsiTheme="minorHAnsi" w:cs="Arial"/>
          <w:color w:val="221E1F"/>
          <w:lang w:eastAsia="en-US"/>
        </w:rPr>
        <w:t xml:space="preserve">. </w:t>
      </w:r>
    </w:p>
    <w:p w:rsidR="00484EFC"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p>
    <w:p w:rsidR="00484EFC" w:rsidRDefault="00484EFC" w:rsidP="00484EFC">
      <w:pPr>
        <w:autoSpaceDE w:val="0"/>
        <w:autoSpaceDN w:val="0"/>
        <w:adjustRightInd w:val="0"/>
        <w:spacing w:after="0"/>
        <w:ind w:left="1418" w:hanging="1305"/>
        <w:rPr>
          <w:rFonts w:asciiTheme="minorHAnsi" w:hAnsiTheme="minorHAnsi" w:cs="Arial"/>
          <w:b/>
          <w:bCs/>
          <w:color w:val="221E1F"/>
          <w:vertAlign w:val="superscript"/>
          <w:lang w:eastAsia="en-US"/>
        </w:rPr>
      </w:pPr>
      <w:r w:rsidRPr="004B228A">
        <w:rPr>
          <w:rFonts w:asciiTheme="minorHAnsi" w:hAnsiTheme="minorHAnsi" w:cs="Arial"/>
          <w:color w:val="221E1F"/>
          <w:lang w:eastAsia="en-US"/>
        </w:rPr>
        <w:t>5.1.11</w:t>
      </w:r>
      <w:r>
        <w:rPr>
          <w:rFonts w:asciiTheme="minorHAnsi" w:hAnsiTheme="minorHAnsi" w:cs="Avenir LT Std 55 Roman"/>
          <w:b/>
          <w:bCs/>
          <w:color w:val="E31736"/>
          <w:sz w:val="28"/>
          <w:szCs w:val="28"/>
          <w:lang w:eastAsia="en-US"/>
        </w:rPr>
        <w:tab/>
      </w:r>
      <w:r w:rsidRPr="004B228A">
        <w:rPr>
          <w:rFonts w:asciiTheme="minorHAnsi" w:hAnsiTheme="minorHAnsi" w:cs="Arial"/>
          <w:b/>
          <w:bCs/>
          <w:color w:val="221E1F"/>
          <w:lang w:eastAsia="en-US"/>
        </w:rPr>
        <w:t>Administer the appropriate dose of factor concentrate to raise the patient’s factor level suitably</w:t>
      </w:r>
      <w:r>
        <w:rPr>
          <w:rFonts w:asciiTheme="minorHAnsi" w:hAnsiTheme="minorHAnsi" w:cs="Arial"/>
          <w:b/>
          <w:bCs/>
          <w:color w:val="221E1F"/>
          <w:lang w:eastAsia="en-US"/>
        </w:rPr>
        <w:t xml:space="preserve"> (refer to Table</w:t>
      </w:r>
      <w:r w:rsidRPr="004B228A">
        <w:rPr>
          <w:rFonts w:asciiTheme="minorHAnsi" w:hAnsiTheme="minorHAnsi" w:cs="Arial"/>
          <w:b/>
          <w:bCs/>
          <w:color w:val="221E1F"/>
          <w:lang w:eastAsia="en-US"/>
        </w:rPr>
        <w:t xml:space="preserve"> 7-1). </w:t>
      </w:r>
      <w:r w:rsidRPr="004B228A">
        <w:rPr>
          <w:rFonts w:asciiTheme="minorHAnsi" w:hAnsiTheme="minorHAnsi" w:cs="Arial"/>
          <w:b/>
          <w:bCs/>
          <w:color w:val="221E1F"/>
          <w:vertAlign w:val="superscript"/>
          <w:lang w:eastAsia="en-US"/>
        </w:rPr>
        <w:t>[2-5]</w:t>
      </w:r>
    </w:p>
    <w:p w:rsidR="00484EFC"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sidRPr="004B228A">
        <w:rPr>
          <w:rFonts w:asciiTheme="minorHAnsi" w:hAnsiTheme="minorHAnsi" w:cs="Arial"/>
          <w:color w:val="221E1F"/>
          <w:lang w:eastAsia="en-US"/>
        </w:rPr>
        <w:t>5.1.12</w:t>
      </w:r>
      <w:r>
        <w:rPr>
          <w:rFonts w:asciiTheme="minorHAnsi" w:hAnsiTheme="minorHAnsi" w:cs="Avenir LT Std 55 Roman"/>
          <w:b/>
          <w:bCs/>
          <w:color w:val="E31736"/>
          <w:sz w:val="28"/>
          <w:szCs w:val="28"/>
          <w:lang w:eastAsia="en-US"/>
        </w:rPr>
        <w:tab/>
      </w:r>
      <w:proofErr w:type="gramStart"/>
      <w:r w:rsidRPr="004B228A">
        <w:rPr>
          <w:rFonts w:asciiTheme="minorHAnsi" w:hAnsiTheme="minorHAnsi" w:cs="Arial"/>
          <w:color w:val="221E1F"/>
          <w:lang w:eastAsia="en-US"/>
        </w:rPr>
        <w:t>The</w:t>
      </w:r>
      <w:proofErr w:type="gramEnd"/>
      <w:r w:rsidRPr="004B228A">
        <w:rPr>
          <w:rFonts w:asciiTheme="minorHAnsi" w:hAnsiTheme="minorHAnsi" w:cs="Arial"/>
          <w:color w:val="221E1F"/>
          <w:lang w:eastAsia="en-US"/>
        </w:rPr>
        <w:t xml:space="preserve"> definitions listed in Table 5-1 are recom</w:t>
      </w:r>
      <w:r w:rsidRPr="004B228A">
        <w:rPr>
          <w:rFonts w:asciiTheme="minorHAnsi" w:hAnsiTheme="minorHAnsi" w:cs="Arial"/>
          <w:color w:val="221E1F"/>
          <w:lang w:eastAsia="en-US"/>
        </w:rPr>
        <w:softHyphen/>
        <w:t>mended for the assessment of response to treatment of an acute haemarthrosis</w:t>
      </w:r>
      <w:r>
        <w:rPr>
          <w:rFonts w:asciiTheme="minorHAnsi" w:hAnsiTheme="minorHAnsi" w:cs="Arial"/>
          <w:color w:val="221E1F"/>
          <w:lang w:eastAsia="en-US"/>
        </w:rPr>
        <w:t xml:space="preserve">. </w:t>
      </w:r>
      <w:r w:rsidRPr="004B228A">
        <w:rPr>
          <w:rFonts w:asciiTheme="minorHAnsi" w:hAnsiTheme="minorHAnsi" w:cs="Arial"/>
          <w:color w:val="221E1F"/>
          <w:vertAlign w:val="superscript"/>
          <w:lang w:eastAsia="en-US"/>
        </w:rPr>
        <w:t>[1]</w:t>
      </w:r>
      <w:r w:rsidRPr="004B228A">
        <w:rPr>
          <w:rFonts w:asciiTheme="minorHAnsi" w:hAnsiTheme="minorHAnsi" w:cs="Arial"/>
          <w:color w:val="221E1F"/>
          <w:lang w:eastAsia="en-US"/>
        </w:rPr>
        <w:t xml:space="preserve"> </w:t>
      </w: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autoSpaceDE w:val="0"/>
        <w:autoSpaceDN w:val="0"/>
        <w:adjustRightInd w:val="0"/>
        <w:spacing w:after="0"/>
        <w:ind w:left="1418" w:hanging="1305"/>
        <w:rPr>
          <w:rFonts w:asciiTheme="minorHAnsi" w:hAnsiTheme="minorHAnsi" w:cs="Arial"/>
          <w:b/>
          <w:bCs/>
          <w:color w:val="221E1F"/>
          <w:vertAlign w:val="superscript"/>
          <w:lang w:eastAsia="en-US"/>
        </w:rPr>
      </w:pPr>
      <w:r w:rsidRPr="004B228A">
        <w:rPr>
          <w:rFonts w:asciiTheme="minorHAnsi" w:hAnsiTheme="minorHAnsi" w:cs="Arial"/>
          <w:bCs/>
          <w:color w:val="221E1F"/>
          <w:lang w:eastAsia="en-US"/>
        </w:rPr>
        <w:t>5.1.13</w:t>
      </w:r>
      <w:r>
        <w:rPr>
          <w:rFonts w:asciiTheme="minorHAnsi" w:hAnsiTheme="minorHAnsi" w:cs="Arial"/>
          <w:b/>
          <w:bCs/>
          <w:color w:val="221E1F"/>
          <w:lang w:eastAsia="en-US"/>
        </w:rPr>
        <w:tab/>
      </w:r>
      <w:r w:rsidRPr="004B228A">
        <w:rPr>
          <w:rFonts w:asciiTheme="minorHAnsi" w:hAnsiTheme="minorHAnsi" w:cs="Arial"/>
          <w:b/>
          <w:bCs/>
          <w:color w:val="221E1F"/>
          <w:lang w:eastAsia="en-US"/>
        </w:rPr>
        <w:t xml:space="preserve">Instruct the patient to avoid weight-bearing, apply compression, and elevate the affected joint.  </w:t>
      </w:r>
      <w:r w:rsidRPr="004B228A">
        <w:rPr>
          <w:rFonts w:asciiTheme="minorHAnsi" w:hAnsiTheme="minorHAnsi" w:cs="Arial"/>
          <w:b/>
          <w:bCs/>
          <w:color w:val="221E1F"/>
          <w:vertAlign w:val="superscript"/>
          <w:lang w:eastAsia="en-US"/>
        </w:rPr>
        <w:t>[4]</w:t>
      </w:r>
    </w:p>
    <w:p w:rsidR="00484EFC" w:rsidRDefault="00484EFC" w:rsidP="00484EFC">
      <w:pPr>
        <w:autoSpaceDE w:val="0"/>
        <w:autoSpaceDN w:val="0"/>
        <w:adjustRightInd w:val="0"/>
        <w:spacing w:after="0"/>
        <w:ind w:left="1418" w:hanging="1305"/>
        <w:rPr>
          <w:rFonts w:asciiTheme="minorHAnsi" w:hAnsiTheme="minorHAnsi" w:cs="Arial"/>
          <w:b/>
          <w:bCs/>
          <w:color w:val="221E1F"/>
          <w:vertAlign w:val="superscript"/>
          <w:lang w:eastAsia="en-US"/>
        </w:rPr>
      </w:pPr>
    </w:p>
    <w:p w:rsidR="00484EFC" w:rsidRDefault="00484EFC" w:rsidP="00484EFC">
      <w:pPr>
        <w:autoSpaceDE w:val="0"/>
        <w:autoSpaceDN w:val="0"/>
        <w:adjustRightInd w:val="0"/>
        <w:spacing w:after="0"/>
        <w:ind w:left="1418" w:hanging="1305"/>
        <w:rPr>
          <w:rFonts w:asciiTheme="minorHAnsi" w:hAnsiTheme="minorHAnsi" w:cs="Arial"/>
          <w:b/>
          <w:bCs/>
          <w:color w:val="221E1F"/>
          <w:lang w:eastAsia="en-US"/>
        </w:rPr>
      </w:pPr>
      <w:r>
        <w:rPr>
          <w:rFonts w:asciiTheme="minorHAnsi" w:hAnsiTheme="minorHAnsi" w:cs="Arial"/>
          <w:bCs/>
          <w:color w:val="221E1F"/>
          <w:lang w:eastAsia="en-US"/>
        </w:rPr>
        <w:t>5.1.14</w:t>
      </w:r>
      <w:r>
        <w:rPr>
          <w:rFonts w:asciiTheme="minorHAnsi" w:hAnsiTheme="minorHAnsi" w:cs="Arial"/>
          <w:bCs/>
          <w:color w:val="221E1F"/>
          <w:lang w:eastAsia="en-US"/>
        </w:rPr>
        <w:tab/>
      </w:r>
      <w:proofErr w:type="gramStart"/>
      <w:r w:rsidRPr="004B228A">
        <w:rPr>
          <w:rFonts w:asciiTheme="minorHAnsi" w:hAnsiTheme="minorHAnsi" w:cs="Arial"/>
          <w:b/>
          <w:bCs/>
          <w:color w:val="221E1F"/>
          <w:lang w:eastAsia="en-US"/>
        </w:rPr>
        <w:t>Appropriate</w:t>
      </w:r>
      <w:proofErr w:type="gramEnd"/>
      <w:r w:rsidRPr="004B228A">
        <w:rPr>
          <w:rFonts w:asciiTheme="minorHAnsi" w:hAnsiTheme="minorHAnsi" w:cs="Arial"/>
          <w:b/>
          <w:bCs/>
          <w:color w:val="221E1F"/>
          <w:lang w:eastAsia="en-US"/>
        </w:rPr>
        <w:t xml:space="preserve"> analgesia may also be prescribed. Paracetamol containing medications are recommended</w:t>
      </w:r>
      <w:r>
        <w:rPr>
          <w:rFonts w:asciiTheme="minorHAnsi" w:hAnsiTheme="minorHAnsi" w:cs="Arial"/>
          <w:b/>
          <w:bCs/>
          <w:color w:val="221E1F"/>
          <w:lang w:eastAsia="en-US"/>
        </w:rPr>
        <w:t xml:space="preserve"> as first line therapy with rapid escalation of analgesia if required (see section 1.9)</w:t>
      </w:r>
      <w:r w:rsidRPr="004B228A">
        <w:rPr>
          <w:rFonts w:asciiTheme="minorHAnsi" w:hAnsiTheme="minorHAnsi" w:cs="Arial"/>
          <w:b/>
          <w:bCs/>
          <w:color w:val="221E1F"/>
          <w:lang w:eastAsia="en-US"/>
        </w:rPr>
        <w:t xml:space="preserve">. Non-selective NSAIDs should be avoided (see </w:t>
      </w:r>
      <w:r>
        <w:rPr>
          <w:rFonts w:asciiTheme="minorHAnsi" w:hAnsiTheme="minorHAnsi" w:cs="Arial"/>
          <w:b/>
          <w:bCs/>
          <w:color w:val="221E1F"/>
          <w:lang w:eastAsia="en-US"/>
        </w:rPr>
        <w:t>‘Other NSAIDs should be avoided’, section 1.9.13</w:t>
      </w:r>
      <w:r w:rsidRPr="004B228A">
        <w:rPr>
          <w:rFonts w:asciiTheme="minorHAnsi" w:hAnsiTheme="minorHAnsi" w:cs="Arial"/>
          <w:b/>
          <w:bCs/>
          <w:color w:val="221E1F"/>
          <w:lang w:eastAsia="en-US"/>
        </w:rPr>
        <w:t>)</w:t>
      </w:r>
      <w:r>
        <w:rPr>
          <w:rFonts w:asciiTheme="minorHAnsi" w:hAnsiTheme="minorHAnsi" w:cs="Arial"/>
          <w:b/>
          <w:bCs/>
          <w:color w:val="221E1F"/>
          <w:lang w:eastAsia="en-US"/>
        </w:rPr>
        <w:t>.</w:t>
      </w:r>
    </w:p>
    <w:p w:rsidR="00484EFC" w:rsidRPr="004B228A" w:rsidRDefault="00484EFC" w:rsidP="00484EFC">
      <w:pPr>
        <w:autoSpaceDE w:val="0"/>
        <w:autoSpaceDN w:val="0"/>
        <w:adjustRightInd w:val="0"/>
        <w:spacing w:after="0"/>
        <w:ind w:left="1418" w:hanging="1305"/>
        <w:rPr>
          <w:rFonts w:asciiTheme="minorHAnsi" w:hAnsiTheme="minorHAnsi" w:cs="Avenir LT Std 55 Roman"/>
          <w:b/>
          <w:bCs/>
          <w:color w:val="E31736"/>
          <w:sz w:val="28"/>
          <w:szCs w:val="28"/>
          <w:lang w:eastAsia="en-US"/>
        </w:rPr>
      </w:pPr>
    </w:p>
    <w:p w:rsidR="00484EFC" w:rsidRDefault="000B0ED6" w:rsidP="000B0ED6">
      <w:pPr>
        <w:autoSpaceDE w:val="0"/>
        <w:autoSpaceDN w:val="0"/>
        <w:adjustRightInd w:val="0"/>
        <w:spacing w:after="57"/>
        <w:ind w:left="0"/>
        <w:rPr>
          <w:rFonts w:asciiTheme="minorHAnsi" w:hAnsiTheme="minorHAnsi" w:cs="Arial"/>
          <w:color w:val="221E1F"/>
          <w:lang w:eastAsia="en-US"/>
        </w:rPr>
      </w:pPr>
      <w:r>
        <w:rPr>
          <w:rFonts w:asciiTheme="minorHAnsi" w:hAnsiTheme="minorHAnsi" w:cs="Arial"/>
          <w:bCs/>
          <w:color w:val="221E1F"/>
          <w:lang w:eastAsia="en-US"/>
        </w:rPr>
        <w:t xml:space="preserve"> </w:t>
      </w:r>
      <w:r w:rsidR="00484EFC" w:rsidRPr="004B228A" w:rsidDel="0080338A">
        <w:rPr>
          <w:rFonts w:asciiTheme="minorHAnsi" w:hAnsiTheme="minorHAnsi" w:cs="Arial"/>
          <w:bCs/>
          <w:color w:val="221E1F"/>
          <w:lang w:eastAsia="en-US"/>
        </w:rPr>
        <w:t xml:space="preserve"> </w:t>
      </w:r>
      <w:r w:rsidR="00484EFC" w:rsidRPr="004B228A">
        <w:rPr>
          <w:rFonts w:asciiTheme="minorHAnsi" w:hAnsiTheme="minorHAnsi" w:cs="Arial"/>
          <w:bCs/>
          <w:color w:val="221E1F"/>
          <w:lang w:eastAsia="en-US"/>
        </w:rPr>
        <w:t>5.1.15</w:t>
      </w:r>
      <w:r w:rsidR="00484EFC">
        <w:rPr>
          <w:rFonts w:asciiTheme="minorHAnsi" w:hAnsiTheme="minorHAnsi" w:cs="Arial"/>
          <w:b/>
          <w:bCs/>
          <w:color w:val="221E1F"/>
          <w:lang w:eastAsia="en-US"/>
        </w:rPr>
        <w:tab/>
      </w:r>
      <w:r w:rsidR="00484EFC">
        <w:rPr>
          <w:rFonts w:asciiTheme="minorHAnsi" w:hAnsiTheme="minorHAnsi" w:cs="Arial"/>
          <w:b/>
          <w:bCs/>
          <w:color w:val="221E1F"/>
          <w:lang w:eastAsia="en-US"/>
        </w:rPr>
        <w:tab/>
      </w:r>
      <w:r w:rsidR="00484EFC">
        <w:rPr>
          <w:rFonts w:asciiTheme="minorHAnsi" w:hAnsiTheme="minorHAnsi" w:cs="Arial"/>
          <w:color w:val="221E1F"/>
          <w:lang w:eastAsia="en-US"/>
        </w:rPr>
        <w:t>Consider immobilis</w:t>
      </w:r>
      <w:r w:rsidR="00484EFC" w:rsidRPr="004B228A">
        <w:rPr>
          <w:rFonts w:asciiTheme="minorHAnsi" w:hAnsiTheme="minorHAnsi" w:cs="Arial"/>
          <w:color w:val="221E1F"/>
          <w:lang w:eastAsia="en-US"/>
        </w:rPr>
        <w:t>ing the joint with a splint until pain resolves.</w:t>
      </w:r>
    </w:p>
    <w:p w:rsidR="00484EFC" w:rsidRDefault="00484EFC" w:rsidP="00484EFC">
      <w:pPr>
        <w:autoSpaceDE w:val="0"/>
        <w:autoSpaceDN w:val="0"/>
        <w:adjustRightInd w:val="0"/>
        <w:spacing w:after="57"/>
        <w:ind w:left="113"/>
        <w:rPr>
          <w:rFonts w:asciiTheme="minorHAnsi" w:hAnsiTheme="minorHAnsi" w:cs="Arial"/>
          <w:color w:val="221E1F"/>
          <w:lang w:eastAsia="en-US"/>
        </w:rPr>
      </w:pPr>
    </w:p>
    <w:p w:rsidR="00484EFC" w:rsidRDefault="00484EFC" w:rsidP="00484EFC">
      <w:pPr>
        <w:autoSpaceDE w:val="0"/>
        <w:autoSpaceDN w:val="0"/>
        <w:adjustRightInd w:val="0"/>
        <w:spacing w:after="57"/>
        <w:ind w:left="1418" w:hanging="1305"/>
        <w:rPr>
          <w:rFonts w:asciiTheme="minorHAnsi" w:hAnsiTheme="minorHAnsi" w:cs="Arial"/>
          <w:color w:val="221E1F"/>
          <w:lang w:eastAsia="en-US"/>
        </w:rPr>
      </w:pPr>
      <w:r>
        <w:rPr>
          <w:rFonts w:asciiTheme="minorHAnsi" w:hAnsiTheme="minorHAnsi" w:cs="Arial"/>
          <w:color w:val="221E1F"/>
          <w:lang w:eastAsia="en-US"/>
        </w:rPr>
        <w:t>5.1.16</w:t>
      </w:r>
      <w:r>
        <w:rPr>
          <w:rFonts w:asciiTheme="minorHAnsi" w:hAnsiTheme="minorHAnsi" w:cs="Arial"/>
          <w:color w:val="221E1F"/>
          <w:lang w:eastAsia="en-US"/>
        </w:rPr>
        <w:tab/>
      </w:r>
      <w:r w:rsidRPr="004B228A">
        <w:rPr>
          <w:rFonts w:asciiTheme="minorHAnsi" w:hAnsiTheme="minorHAnsi" w:cs="Arial"/>
          <w:color w:val="221E1F"/>
          <w:lang w:eastAsia="en-US"/>
        </w:rPr>
        <w:t>Ice/cold packs may be applied around the joint for 15-20 minutes every four to six hours for pain relief, if found beneficial. Do not apply ice in direct contact with skin</w:t>
      </w:r>
      <w:r>
        <w:rPr>
          <w:rFonts w:asciiTheme="minorHAnsi" w:hAnsiTheme="minorHAnsi" w:cs="Arial"/>
          <w:color w:val="221E1F"/>
          <w:lang w:eastAsia="en-US"/>
        </w:rPr>
        <w:t xml:space="preserve">. </w:t>
      </w:r>
      <w:r w:rsidRPr="004B228A">
        <w:rPr>
          <w:rFonts w:asciiTheme="minorHAnsi" w:hAnsiTheme="minorHAnsi" w:cs="Arial"/>
          <w:color w:val="221E1F"/>
          <w:vertAlign w:val="superscript"/>
          <w:lang w:eastAsia="en-US"/>
        </w:rPr>
        <w:t>[39]</w:t>
      </w:r>
    </w:p>
    <w:p w:rsidR="00484EFC" w:rsidRDefault="00484EFC" w:rsidP="00484EFC">
      <w:pPr>
        <w:autoSpaceDE w:val="0"/>
        <w:autoSpaceDN w:val="0"/>
        <w:adjustRightInd w:val="0"/>
        <w:spacing w:after="57"/>
        <w:ind w:left="1418" w:hanging="1305"/>
        <w:rPr>
          <w:rFonts w:asciiTheme="minorHAnsi" w:hAnsiTheme="minorHAnsi" w:cs="Arial"/>
          <w:color w:val="221E1F"/>
          <w:lang w:eastAsia="en-US"/>
        </w:rPr>
      </w:pPr>
    </w:p>
    <w:p w:rsidR="00484EFC" w:rsidRDefault="00484EFC" w:rsidP="00484EFC">
      <w:pPr>
        <w:autoSpaceDE w:val="0"/>
        <w:autoSpaceDN w:val="0"/>
        <w:adjustRightInd w:val="0"/>
        <w:spacing w:after="57"/>
        <w:ind w:left="1418" w:hanging="1305"/>
        <w:rPr>
          <w:rFonts w:asciiTheme="minorHAnsi" w:hAnsiTheme="minorHAnsi" w:cs="Arial"/>
          <w:color w:val="221E1F"/>
          <w:lang w:eastAsia="en-US"/>
        </w:rPr>
      </w:pPr>
      <w:r>
        <w:rPr>
          <w:rFonts w:asciiTheme="minorHAnsi" w:hAnsiTheme="minorHAnsi" w:cs="Arial"/>
          <w:color w:val="221E1F"/>
          <w:lang w:eastAsia="en-US"/>
        </w:rPr>
        <w:t>5.1.17</w:t>
      </w:r>
      <w:r>
        <w:rPr>
          <w:rFonts w:asciiTheme="minorHAnsi" w:hAnsiTheme="minorHAnsi" w:cs="Arial"/>
          <w:color w:val="221E1F"/>
          <w:lang w:eastAsia="en-US"/>
        </w:rPr>
        <w:tab/>
      </w:r>
      <w:proofErr w:type="gramStart"/>
      <w:r w:rsidRPr="004B228A">
        <w:rPr>
          <w:rFonts w:asciiTheme="minorHAnsi" w:hAnsiTheme="minorHAnsi" w:cs="Arial"/>
          <w:b/>
          <w:bCs/>
          <w:color w:val="221E1F"/>
          <w:lang w:eastAsia="en-US"/>
        </w:rPr>
        <w:t>If</w:t>
      </w:r>
      <w:proofErr w:type="gramEnd"/>
      <w:r w:rsidRPr="004B228A">
        <w:rPr>
          <w:rFonts w:asciiTheme="minorHAnsi" w:hAnsiTheme="minorHAnsi" w:cs="Arial"/>
          <w:b/>
          <w:bCs/>
          <w:color w:val="221E1F"/>
          <w:lang w:eastAsia="en-US"/>
        </w:rPr>
        <w:t xml:space="preserve"> bleeding does not stop, a second infusion may be required. If so, repeat half the initial loading dose in 12 hours (haemophilia A) or 24 hours (haemophilia B). </w:t>
      </w:r>
      <w:r w:rsidRPr="004B228A">
        <w:rPr>
          <w:rFonts w:asciiTheme="minorHAnsi" w:hAnsiTheme="minorHAnsi" w:cs="Arial"/>
          <w:b/>
          <w:bCs/>
          <w:color w:val="221E1F"/>
          <w:vertAlign w:val="superscript"/>
          <w:lang w:eastAsia="en-US"/>
        </w:rPr>
        <w:t>[4]</w:t>
      </w:r>
    </w:p>
    <w:p w:rsidR="00484EFC" w:rsidRDefault="00484EFC" w:rsidP="00484EFC">
      <w:pPr>
        <w:autoSpaceDE w:val="0"/>
        <w:autoSpaceDN w:val="0"/>
        <w:adjustRightInd w:val="0"/>
        <w:spacing w:after="57"/>
        <w:ind w:left="1418" w:hanging="1305"/>
        <w:rPr>
          <w:rFonts w:asciiTheme="minorHAnsi" w:hAnsiTheme="minorHAnsi" w:cs="Arial"/>
          <w:color w:val="221E1F"/>
          <w:lang w:eastAsia="en-US"/>
        </w:rPr>
      </w:pPr>
    </w:p>
    <w:p w:rsidR="00484EFC" w:rsidRDefault="00484EFC" w:rsidP="00484EFC">
      <w:pPr>
        <w:autoSpaceDE w:val="0"/>
        <w:autoSpaceDN w:val="0"/>
        <w:adjustRightInd w:val="0"/>
        <w:spacing w:after="57"/>
        <w:ind w:left="1418" w:hanging="1305"/>
        <w:rPr>
          <w:rFonts w:asciiTheme="minorHAnsi" w:hAnsiTheme="minorHAnsi" w:cs="Arial"/>
          <w:color w:val="221E1F"/>
          <w:lang w:eastAsia="en-US"/>
        </w:rPr>
      </w:pPr>
      <w:r>
        <w:rPr>
          <w:rFonts w:asciiTheme="minorHAnsi" w:hAnsiTheme="minorHAnsi" w:cs="Arial"/>
          <w:color w:val="221E1F"/>
          <w:lang w:eastAsia="en-US"/>
        </w:rPr>
        <w:t>5.1.18</w:t>
      </w:r>
      <w:r>
        <w:rPr>
          <w:rFonts w:asciiTheme="minorHAnsi" w:hAnsiTheme="minorHAnsi" w:cs="Arial"/>
          <w:color w:val="221E1F"/>
          <w:lang w:eastAsia="en-US"/>
        </w:rPr>
        <w:tab/>
      </w:r>
      <w:proofErr w:type="gramStart"/>
      <w:r w:rsidRPr="004B228A">
        <w:rPr>
          <w:rFonts w:asciiTheme="minorHAnsi" w:hAnsiTheme="minorHAnsi" w:cs="Arial"/>
          <w:color w:val="221E1F"/>
          <w:lang w:eastAsia="en-US"/>
        </w:rPr>
        <w:t>Further</w:t>
      </w:r>
      <w:proofErr w:type="gramEnd"/>
      <w:r w:rsidRPr="004B228A">
        <w:rPr>
          <w:rFonts w:asciiTheme="minorHAnsi" w:hAnsiTheme="minorHAnsi" w:cs="Arial"/>
          <w:color w:val="221E1F"/>
          <w:lang w:eastAsia="en-US"/>
        </w:rPr>
        <w:t xml:space="preserve"> evaluation is necessary if the patient’s symptoms continue despite appropriate factor therapy. The presence of inhibitors, septic arthritis, or fracture should be considered if symptoms and findings persist.</w:t>
      </w:r>
    </w:p>
    <w:p w:rsidR="00484EFC" w:rsidRDefault="00484EFC" w:rsidP="00484EFC">
      <w:pPr>
        <w:autoSpaceDE w:val="0"/>
        <w:autoSpaceDN w:val="0"/>
        <w:adjustRightInd w:val="0"/>
        <w:spacing w:after="57"/>
        <w:ind w:left="1418" w:hanging="1305"/>
        <w:rPr>
          <w:rFonts w:asciiTheme="minorHAnsi" w:hAnsiTheme="minorHAnsi" w:cs="Arial"/>
          <w:color w:val="221E1F"/>
          <w:lang w:eastAsia="en-US"/>
        </w:rPr>
      </w:pPr>
    </w:p>
    <w:p w:rsidR="00484EFC" w:rsidRDefault="00484EFC" w:rsidP="00484EFC">
      <w:pPr>
        <w:autoSpaceDE w:val="0"/>
        <w:autoSpaceDN w:val="0"/>
        <w:adjustRightInd w:val="0"/>
        <w:spacing w:after="57"/>
        <w:ind w:left="1418" w:hanging="1305"/>
        <w:rPr>
          <w:rFonts w:asciiTheme="minorHAnsi" w:hAnsiTheme="minorHAnsi" w:cs="Arial"/>
          <w:b/>
          <w:bCs/>
          <w:color w:val="221E1F"/>
          <w:lang w:eastAsia="en-US"/>
        </w:rPr>
      </w:pPr>
      <w:r>
        <w:rPr>
          <w:rFonts w:asciiTheme="minorHAnsi" w:hAnsiTheme="minorHAnsi" w:cs="Arial"/>
          <w:color w:val="221E1F"/>
          <w:lang w:eastAsia="en-US"/>
        </w:rPr>
        <w:t>5.1.19</w:t>
      </w:r>
      <w:r>
        <w:rPr>
          <w:rFonts w:asciiTheme="minorHAnsi" w:hAnsiTheme="minorHAnsi" w:cs="Arial"/>
          <w:color w:val="221E1F"/>
          <w:lang w:eastAsia="en-US"/>
        </w:rPr>
        <w:tab/>
      </w:r>
      <w:r w:rsidRPr="004B228A">
        <w:rPr>
          <w:rFonts w:asciiTheme="minorHAnsi" w:hAnsiTheme="minorHAnsi" w:cs="Arial"/>
          <w:b/>
          <w:bCs/>
          <w:color w:val="221E1F"/>
          <w:lang w:eastAsia="en-US"/>
        </w:rPr>
        <w:t>Rehabilitation must be stressed as an active part of the management of acute joint bleeding episodes</w:t>
      </w:r>
      <w:proofErr w:type="gramStart"/>
      <w:r w:rsidRPr="004B228A">
        <w:rPr>
          <w:rFonts w:asciiTheme="minorHAnsi" w:hAnsiTheme="minorHAnsi" w:cs="Arial"/>
          <w:b/>
          <w:bCs/>
          <w:color w:val="221E1F"/>
          <w:lang w:eastAsia="en-US"/>
        </w:rPr>
        <w:t>.</w:t>
      </w:r>
      <w:r w:rsidRPr="004B228A">
        <w:rPr>
          <w:rFonts w:asciiTheme="minorHAnsi" w:hAnsiTheme="minorHAnsi" w:cs="Arial"/>
          <w:b/>
          <w:bCs/>
          <w:color w:val="221E1F"/>
          <w:vertAlign w:val="superscript"/>
          <w:lang w:eastAsia="en-US"/>
        </w:rPr>
        <w:t>[</w:t>
      </w:r>
      <w:proofErr w:type="gramEnd"/>
      <w:r w:rsidRPr="004B228A">
        <w:rPr>
          <w:rFonts w:asciiTheme="minorHAnsi" w:hAnsiTheme="minorHAnsi" w:cs="Arial"/>
          <w:b/>
          <w:bCs/>
          <w:color w:val="221E1F"/>
          <w:vertAlign w:val="superscript"/>
          <w:lang w:eastAsia="en-US"/>
        </w:rPr>
        <w:t>4,6,7]</w:t>
      </w:r>
      <w:r w:rsidRPr="004B228A">
        <w:rPr>
          <w:rFonts w:asciiTheme="minorHAnsi" w:hAnsiTheme="minorHAnsi" w:cs="Arial"/>
          <w:b/>
          <w:bCs/>
          <w:color w:val="221E1F"/>
          <w:lang w:eastAsia="en-US"/>
        </w:rPr>
        <w:t xml:space="preserve"> </w:t>
      </w:r>
    </w:p>
    <w:p w:rsidR="00484EFC" w:rsidRPr="004B228A" w:rsidRDefault="00484EFC" w:rsidP="00484EFC">
      <w:pPr>
        <w:autoSpaceDE w:val="0"/>
        <w:autoSpaceDN w:val="0"/>
        <w:adjustRightInd w:val="0"/>
        <w:spacing w:after="57"/>
        <w:ind w:left="1418" w:hanging="1305"/>
        <w:rPr>
          <w:rFonts w:asciiTheme="minorHAnsi" w:hAnsiTheme="minorHAnsi" w:cs="Arial"/>
          <w:color w:val="221E1F"/>
          <w:lang w:eastAsia="en-US"/>
        </w:rPr>
      </w:pPr>
    </w:p>
    <w:p w:rsidR="00484EFC" w:rsidRPr="004B228A" w:rsidRDefault="00484EFC" w:rsidP="00484EFC">
      <w:pPr>
        <w:pStyle w:val="ListParagraph"/>
        <w:numPr>
          <w:ilvl w:val="0"/>
          <w:numId w:val="61"/>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As soon as the pain and swelling begin to subside, the patient should be encouraged to change the position of the affected joint from a position of comfort to a position of function, gradually decreasing the flexion of the joint and striving for complete extension. </w:t>
      </w:r>
    </w:p>
    <w:p w:rsidR="00484EFC" w:rsidRPr="004B228A" w:rsidRDefault="00484EFC" w:rsidP="00484EFC">
      <w:pPr>
        <w:pStyle w:val="ListParagraph"/>
        <w:numPr>
          <w:ilvl w:val="0"/>
          <w:numId w:val="61"/>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This should be done as much as possible with active muscle contractions. Gentle passive assistance may be used initially and with caution if muscle inhibition is present. </w:t>
      </w:r>
    </w:p>
    <w:p w:rsidR="00484EFC" w:rsidRPr="004B228A" w:rsidRDefault="00484EFC" w:rsidP="00484EFC">
      <w:pPr>
        <w:pStyle w:val="ListParagraph"/>
        <w:numPr>
          <w:ilvl w:val="0"/>
          <w:numId w:val="61"/>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Early active muscle contro</w:t>
      </w:r>
      <w:r>
        <w:rPr>
          <w:rFonts w:asciiTheme="minorHAnsi" w:hAnsiTheme="minorHAnsi" w:cs="Arial"/>
          <w:color w:val="221E1F"/>
          <w:lang w:eastAsia="en-US"/>
        </w:rPr>
        <w:t>l must be encour</w:t>
      </w:r>
      <w:r>
        <w:rPr>
          <w:rFonts w:asciiTheme="minorHAnsi" w:hAnsiTheme="minorHAnsi" w:cs="Arial"/>
          <w:color w:val="221E1F"/>
          <w:lang w:eastAsia="en-US"/>
        </w:rPr>
        <w:softHyphen/>
        <w:t>aged to minimis</w:t>
      </w:r>
      <w:r w:rsidRPr="004B228A">
        <w:rPr>
          <w:rFonts w:asciiTheme="minorHAnsi" w:hAnsiTheme="minorHAnsi" w:cs="Arial"/>
          <w:color w:val="221E1F"/>
          <w:lang w:eastAsia="en-US"/>
        </w:rPr>
        <w:t xml:space="preserve">e muscle atrophy and prevent chronic loss of joint motion. </w:t>
      </w:r>
    </w:p>
    <w:p w:rsidR="00484EFC" w:rsidRPr="004B228A" w:rsidRDefault="00484EFC" w:rsidP="00484EFC">
      <w:pPr>
        <w:pStyle w:val="ListParagraph"/>
        <w:numPr>
          <w:ilvl w:val="0"/>
          <w:numId w:val="61"/>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Active exercises and proprioceptive training must be continued until complete pre-bleed joint range of motion and functioning are restored and signs of acute synovitis have dissi</w:t>
      </w:r>
      <w:r w:rsidRPr="004B228A">
        <w:rPr>
          <w:rFonts w:asciiTheme="minorHAnsi" w:hAnsiTheme="minorHAnsi" w:cs="Arial"/>
          <w:color w:val="221E1F"/>
          <w:lang w:eastAsia="en-US"/>
        </w:rPr>
        <w:softHyphen/>
        <w:t>pated</w:t>
      </w:r>
      <w:r>
        <w:rPr>
          <w:rFonts w:asciiTheme="minorHAnsi" w:hAnsiTheme="minorHAnsi" w:cs="Arial"/>
          <w:color w:val="221E1F"/>
          <w:lang w:eastAsia="en-US"/>
        </w:rPr>
        <w:t xml:space="preserve">. </w:t>
      </w:r>
      <w:r w:rsidRPr="004B228A">
        <w:rPr>
          <w:rFonts w:asciiTheme="minorHAnsi" w:hAnsiTheme="minorHAnsi" w:cs="Arial"/>
          <w:color w:val="221E1F"/>
          <w:vertAlign w:val="superscript"/>
          <w:lang w:eastAsia="en-US"/>
        </w:rPr>
        <w:t>[8]</w:t>
      </w:r>
    </w:p>
    <w:p w:rsidR="00484EFC" w:rsidRPr="004B228A" w:rsidRDefault="00484EFC" w:rsidP="00484EFC">
      <w:pPr>
        <w:pStyle w:val="ListParagraph"/>
        <w:numPr>
          <w:ilvl w:val="0"/>
          <w:numId w:val="61"/>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If exercises are progressed judiciously, factor replacement is not necessarily required before exercising. </w:t>
      </w:r>
    </w:p>
    <w:p w:rsidR="00484EFC" w:rsidRDefault="00484EFC" w:rsidP="00041ED2">
      <w:pPr>
        <w:autoSpaceDE w:val="0"/>
        <w:autoSpaceDN w:val="0"/>
        <w:adjustRightInd w:val="0"/>
        <w:spacing w:after="0"/>
        <w:ind w:left="0"/>
        <w:rPr>
          <w:rFonts w:asciiTheme="minorHAnsi" w:hAnsiTheme="minorHAnsi" w:cs="Minion Pro"/>
          <w:color w:val="221E1F"/>
          <w:sz w:val="23"/>
          <w:szCs w:val="23"/>
          <w:lang w:eastAsia="en-US"/>
        </w:rPr>
      </w:pPr>
    </w:p>
    <w:p w:rsidR="00484EFC" w:rsidRDefault="00484EFC" w:rsidP="00041ED2">
      <w:pPr>
        <w:autoSpaceDE w:val="0"/>
        <w:autoSpaceDN w:val="0"/>
        <w:adjustRightInd w:val="0"/>
        <w:spacing w:after="0"/>
        <w:ind w:left="0"/>
        <w:rPr>
          <w:rFonts w:asciiTheme="minorHAnsi" w:hAnsiTheme="minorHAnsi" w:cs="Minion Pro"/>
          <w:color w:val="221E1F"/>
          <w:sz w:val="23"/>
          <w:szCs w:val="23"/>
          <w:lang w:eastAsia="en-US"/>
        </w:rPr>
      </w:pPr>
    </w:p>
    <w:p w:rsidR="00484EFC" w:rsidRPr="004B228A" w:rsidRDefault="00484EFC" w:rsidP="00041ED2">
      <w:pPr>
        <w:autoSpaceDE w:val="0"/>
        <w:autoSpaceDN w:val="0"/>
        <w:adjustRightInd w:val="0"/>
        <w:spacing w:after="0"/>
        <w:ind w:left="0"/>
        <w:rPr>
          <w:rFonts w:asciiTheme="minorHAnsi" w:hAnsiTheme="minorHAnsi" w:cs="Arial"/>
          <w:b/>
          <w:bCs/>
          <w:color w:val="221E1F"/>
        </w:rPr>
      </w:pPr>
      <w:r w:rsidRPr="004B228A">
        <w:rPr>
          <w:rFonts w:asciiTheme="minorHAnsi" w:hAnsiTheme="minorHAnsi" w:cs="Arial"/>
          <w:b/>
          <w:bCs/>
          <w:color w:val="221E1F"/>
        </w:rPr>
        <w:t xml:space="preserve">TABLE 5-1: DEFINITION OF RESPONSE TO TREATMENT OF ACUTE HAEMARTHROSIS </w:t>
      </w:r>
      <w:r w:rsidRPr="004B228A">
        <w:rPr>
          <w:rFonts w:asciiTheme="minorHAnsi" w:hAnsiTheme="minorHAnsi" w:cs="Arial"/>
          <w:b/>
          <w:bCs/>
          <w:color w:val="221E1F"/>
          <w:vertAlign w:val="superscript"/>
        </w:rPr>
        <w:t>[1]</w:t>
      </w:r>
    </w:p>
    <w:tbl>
      <w:tblPr>
        <w:tblW w:w="0" w:type="auto"/>
        <w:tblLayout w:type="fixed"/>
        <w:tblCellMar>
          <w:left w:w="0" w:type="dxa"/>
          <w:right w:w="0" w:type="dxa"/>
        </w:tblCellMar>
        <w:tblLook w:val="01E0" w:firstRow="1" w:lastRow="1" w:firstColumn="1" w:lastColumn="1" w:noHBand="0" w:noVBand="0"/>
      </w:tblPr>
      <w:tblGrid>
        <w:gridCol w:w="1100"/>
        <w:gridCol w:w="8940"/>
      </w:tblGrid>
      <w:tr w:rsidR="00484EFC" w:rsidTr="00484EFC">
        <w:trPr>
          <w:trHeight w:hRule="exact" w:val="676"/>
        </w:trPr>
        <w:tc>
          <w:tcPr>
            <w:tcW w:w="1100" w:type="dxa"/>
            <w:tcBorders>
              <w:top w:val="single" w:sz="32" w:space="0" w:color="FFFFFF"/>
              <w:left w:val="nil"/>
              <w:bottom w:val="single" w:sz="32" w:space="0" w:color="FFFFFF"/>
              <w:right w:val="single" w:sz="32" w:space="0" w:color="FFFFFF"/>
            </w:tcBorders>
            <w:shd w:val="clear" w:color="auto" w:fill="E6E7E8"/>
          </w:tcPr>
          <w:p w:rsidR="00484EFC" w:rsidRDefault="00484EFC" w:rsidP="00484EFC">
            <w:pPr>
              <w:spacing w:before="7" w:after="0" w:line="190" w:lineRule="exact"/>
              <w:rPr>
                <w:sz w:val="19"/>
                <w:szCs w:val="19"/>
              </w:rPr>
            </w:pPr>
          </w:p>
          <w:p w:rsidR="00484EFC" w:rsidRDefault="00484EFC" w:rsidP="00484EFC">
            <w:pPr>
              <w:spacing w:after="0"/>
              <w:ind w:left="120" w:right="-20"/>
              <w:rPr>
                <w:rFonts w:ascii="Arial" w:eastAsia="Arial" w:hAnsi="Arial" w:cs="Arial"/>
                <w:sz w:val="18"/>
                <w:szCs w:val="18"/>
              </w:rPr>
            </w:pPr>
            <w:r>
              <w:rPr>
                <w:rFonts w:ascii="Arial" w:eastAsia="Arial" w:hAnsi="Arial" w:cs="Arial"/>
                <w:color w:val="231F20"/>
                <w:w w:val="105"/>
                <w:sz w:val="18"/>
                <w:szCs w:val="18"/>
              </w:rPr>
              <w:t>Excellent</w:t>
            </w:r>
          </w:p>
        </w:tc>
        <w:tc>
          <w:tcPr>
            <w:tcW w:w="8940" w:type="dxa"/>
            <w:tcBorders>
              <w:top w:val="single" w:sz="32" w:space="0" w:color="FFFFFF"/>
              <w:left w:val="single" w:sz="32" w:space="0" w:color="FFFFFF"/>
              <w:bottom w:val="single" w:sz="32" w:space="0" w:color="FFFFFF"/>
              <w:right w:val="nil"/>
            </w:tcBorders>
            <w:shd w:val="clear" w:color="auto" w:fill="E6E7E8"/>
          </w:tcPr>
          <w:p w:rsidR="00484EFC" w:rsidRDefault="00484EFC" w:rsidP="00484EFC">
            <w:pPr>
              <w:spacing w:before="87" w:after="0" w:line="255" w:lineRule="auto"/>
              <w:ind w:left="80" w:right="721"/>
              <w:rPr>
                <w:rFonts w:ascii="Arial" w:eastAsia="Arial" w:hAnsi="Arial" w:cs="Arial"/>
                <w:sz w:val="18"/>
                <w:szCs w:val="18"/>
              </w:rPr>
            </w:pPr>
            <w:r>
              <w:rPr>
                <w:rFonts w:ascii="Arial" w:eastAsia="Arial" w:hAnsi="Arial" w:cs="Arial"/>
                <w:color w:val="231F20"/>
                <w:sz w:val="18"/>
                <w:szCs w:val="18"/>
              </w:rPr>
              <w:t>Complete</w:t>
            </w:r>
            <w:r>
              <w:rPr>
                <w:rFonts w:ascii="Arial" w:eastAsia="Arial" w:hAnsi="Arial" w:cs="Arial"/>
                <w:color w:val="231F20"/>
                <w:spacing w:val="36"/>
                <w:sz w:val="18"/>
                <w:szCs w:val="18"/>
              </w:rPr>
              <w:t xml:space="preserve"> </w:t>
            </w:r>
            <w:r>
              <w:rPr>
                <w:rFonts w:ascii="Arial" w:eastAsia="Arial" w:hAnsi="Arial" w:cs="Arial"/>
                <w:color w:val="231F20"/>
                <w:sz w:val="18"/>
                <w:szCs w:val="18"/>
              </w:rPr>
              <w:t>pain</w:t>
            </w:r>
            <w:r>
              <w:rPr>
                <w:rFonts w:ascii="Arial" w:eastAsia="Arial" w:hAnsi="Arial" w:cs="Arial"/>
                <w:color w:val="231F20"/>
                <w:spacing w:val="8"/>
                <w:sz w:val="18"/>
                <w:szCs w:val="18"/>
              </w:rPr>
              <w:t xml:space="preserve"> </w:t>
            </w:r>
            <w:r>
              <w:rPr>
                <w:rFonts w:ascii="Arial" w:eastAsia="Arial" w:hAnsi="Arial" w:cs="Arial"/>
                <w:color w:val="231F20"/>
                <w:spacing w:val="-3"/>
                <w:sz w:val="18"/>
                <w:szCs w:val="18"/>
              </w:rPr>
              <w:t>r</w:t>
            </w:r>
            <w:r>
              <w:rPr>
                <w:rFonts w:ascii="Arial" w:eastAsia="Arial" w:hAnsi="Arial" w:cs="Arial"/>
                <w:color w:val="231F20"/>
                <w:sz w:val="18"/>
                <w:szCs w:val="18"/>
              </w:rPr>
              <w:t>elief</w:t>
            </w:r>
            <w:r>
              <w:rPr>
                <w:rFonts w:ascii="Arial" w:eastAsia="Arial" w:hAnsi="Arial" w:cs="Arial"/>
                <w:color w:val="231F20"/>
                <w:spacing w:val="18"/>
                <w:sz w:val="18"/>
                <w:szCs w:val="18"/>
              </w:rPr>
              <w:t xml:space="preserve"> </w:t>
            </w:r>
            <w:r>
              <w:rPr>
                <w:rFonts w:ascii="Arial" w:eastAsia="Arial" w:hAnsi="Arial" w:cs="Arial"/>
                <w:color w:val="231F20"/>
                <w:sz w:val="18"/>
                <w:szCs w:val="18"/>
              </w:rPr>
              <w:t>within</w:t>
            </w:r>
            <w:r>
              <w:rPr>
                <w:rFonts w:ascii="Arial" w:eastAsia="Arial" w:hAnsi="Arial" w:cs="Arial"/>
                <w:color w:val="231F20"/>
                <w:spacing w:val="28"/>
                <w:sz w:val="18"/>
                <w:szCs w:val="18"/>
              </w:rPr>
              <w:t xml:space="preserve"> </w:t>
            </w:r>
            <w:r>
              <w:rPr>
                <w:rFonts w:ascii="Arial" w:eastAsia="Arial" w:hAnsi="Arial" w:cs="Arial"/>
                <w:color w:val="231F20"/>
                <w:sz w:val="18"/>
                <w:szCs w:val="18"/>
              </w:rPr>
              <w:t>8</w:t>
            </w:r>
            <w:r>
              <w:rPr>
                <w:rFonts w:ascii="Arial" w:eastAsia="Arial" w:hAnsi="Arial" w:cs="Arial"/>
                <w:color w:val="231F20"/>
                <w:spacing w:val="5"/>
                <w:sz w:val="18"/>
                <w:szCs w:val="18"/>
              </w:rPr>
              <w:t xml:space="preserve"> </w:t>
            </w:r>
            <w:r>
              <w:rPr>
                <w:rFonts w:ascii="Arial" w:eastAsia="Arial" w:hAnsi="Arial" w:cs="Arial"/>
                <w:color w:val="231F20"/>
                <w:sz w:val="18"/>
                <w:szCs w:val="18"/>
              </w:rPr>
              <w:t>hours and/or</w:t>
            </w:r>
            <w:r>
              <w:rPr>
                <w:rFonts w:ascii="Arial" w:eastAsia="Arial" w:hAnsi="Arial" w:cs="Arial"/>
                <w:color w:val="231F20"/>
                <w:spacing w:val="31"/>
                <w:sz w:val="18"/>
                <w:szCs w:val="18"/>
              </w:rPr>
              <w:t xml:space="preserve"> </w:t>
            </w:r>
            <w:r>
              <w:rPr>
                <w:rFonts w:ascii="Arial" w:eastAsia="Arial" w:hAnsi="Arial" w:cs="Arial"/>
                <w:color w:val="231F20"/>
                <w:sz w:val="18"/>
                <w:szCs w:val="18"/>
              </w:rPr>
              <w:t>complete</w:t>
            </w:r>
            <w:r>
              <w:rPr>
                <w:rFonts w:ascii="Arial" w:eastAsia="Arial" w:hAnsi="Arial" w:cs="Arial"/>
                <w:color w:val="231F20"/>
                <w:spacing w:val="34"/>
                <w:sz w:val="18"/>
                <w:szCs w:val="18"/>
              </w:rPr>
              <w:t xml:space="preserve"> </w:t>
            </w:r>
            <w:r>
              <w:rPr>
                <w:rFonts w:ascii="Arial" w:eastAsia="Arial" w:hAnsi="Arial" w:cs="Arial"/>
                <w:color w:val="231F20"/>
                <w:spacing w:val="-3"/>
                <w:sz w:val="18"/>
                <w:szCs w:val="18"/>
              </w:rPr>
              <w:t>r</w:t>
            </w:r>
            <w:r>
              <w:rPr>
                <w:rFonts w:ascii="Arial" w:eastAsia="Arial" w:hAnsi="Arial" w:cs="Arial"/>
                <w:color w:val="231F20"/>
                <w:sz w:val="18"/>
                <w:szCs w:val="18"/>
              </w:rPr>
              <w:t>esolution</w:t>
            </w:r>
            <w:r>
              <w:rPr>
                <w:rFonts w:ascii="Arial" w:eastAsia="Arial" w:hAnsi="Arial" w:cs="Arial"/>
                <w:color w:val="231F20"/>
                <w:spacing w:val="22"/>
                <w:sz w:val="18"/>
                <w:szCs w:val="18"/>
              </w:rPr>
              <w:t xml:space="preserve"> </w:t>
            </w:r>
            <w:r>
              <w:rPr>
                <w:rFonts w:ascii="Arial" w:eastAsia="Arial" w:hAnsi="Arial" w:cs="Arial"/>
                <w:color w:val="231F20"/>
                <w:sz w:val="18"/>
                <w:szCs w:val="18"/>
              </w:rPr>
              <w:t>of</w:t>
            </w:r>
            <w:r>
              <w:rPr>
                <w:rFonts w:ascii="Arial" w:eastAsia="Arial" w:hAnsi="Arial" w:cs="Arial"/>
                <w:color w:val="231F20"/>
                <w:spacing w:val="17"/>
                <w:sz w:val="18"/>
                <w:szCs w:val="18"/>
              </w:rPr>
              <w:t xml:space="preserve"> </w:t>
            </w:r>
            <w:r>
              <w:rPr>
                <w:rFonts w:ascii="Arial" w:eastAsia="Arial" w:hAnsi="Arial" w:cs="Arial"/>
                <w:color w:val="231F20"/>
                <w:sz w:val="18"/>
                <w:szCs w:val="18"/>
              </w:rPr>
              <w:t>signs</w:t>
            </w:r>
            <w:r>
              <w:rPr>
                <w:rFonts w:ascii="Arial" w:eastAsia="Arial" w:hAnsi="Arial" w:cs="Arial"/>
                <w:color w:val="231F20"/>
                <w:spacing w:val="-12"/>
                <w:sz w:val="18"/>
                <w:szCs w:val="18"/>
              </w:rPr>
              <w:t xml:space="preserve"> </w:t>
            </w:r>
            <w:r>
              <w:rPr>
                <w:rFonts w:ascii="Arial" w:eastAsia="Arial" w:hAnsi="Arial" w:cs="Arial"/>
                <w:color w:val="231F20"/>
                <w:sz w:val="18"/>
                <w:szCs w:val="18"/>
              </w:rPr>
              <w:t>of</w:t>
            </w:r>
            <w:r>
              <w:rPr>
                <w:rFonts w:ascii="Arial" w:eastAsia="Arial" w:hAnsi="Arial" w:cs="Arial"/>
                <w:color w:val="231F20"/>
                <w:spacing w:val="17"/>
                <w:sz w:val="18"/>
                <w:szCs w:val="18"/>
              </w:rPr>
              <w:t xml:space="preserve"> </w:t>
            </w:r>
            <w:r>
              <w:rPr>
                <w:rFonts w:ascii="Arial" w:eastAsia="Arial" w:hAnsi="Arial" w:cs="Arial"/>
                <w:color w:val="231F20"/>
                <w:sz w:val="18"/>
                <w:szCs w:val="18"/>
              </w:rPr>
              <w:t>bleeding</w:t>
            </w:r>
            <w:r>
              <w:rPr>
                <w:rFonts w:ascii="Arial" w:eastAsia="Arial" w:hAnsi="Arial" w:cs="Arial"/>
                <w:color w:val="231F20"/>
                <w:spacing w:val="39"/>
                <w:sz w:val="18"/>
                <w:szCs w:val="18"/>
              </w:rPr>
              <w:t xml:space="preserve"> </w:t>
            </w:r>
            <w:r>
              <w:rPr>
                <w:rFonts w:ascii="Arial" w:eastAsia="Arial" w:hAnsi="Arial" w:cs="Arial"/>
                <w:color w:val="231F20"/>
                <w:sz w:val="18"/>
                <w:szCs w:val="18"/>
              </w:rPr>
              <w:t>after</w:t>
            </w:r>
            <w:r>
              <w:rPr>
                <w:rFonts w:ascii="Arial" w:eastAsia="Arial" w:hAnsi="Arial" w:cs="Arial"/>
                <w:color w:val="231F20"/>
                <w:spacing w:val="19"/>
                <w:sz w:val="18"/>
                <w:szCs w:val="18"/>
              </w:rPr>
              <w:t xml:space="preserve"> </w:t>
            </w:r>
            <w:r>
              <w:rPr>
                <w:rFonts w:ascii="Arial" w:eastAsia="Arial" w:hAnsi="Arial" w:cs="Arial"/>
                <w:color w:val="231F20"/>
                <w:sz w:val="18"/>
                <w:szCs w:val="18"/>
              </w:rPr>
              <w:t>the</w:t>
            </w:r>
            <w:r>
              <w:rPr>
                <w:rFonts w:ascii="Arial" w:eastAsia="Arial" w:hAnsi="Arial" w:cs="Arial"/>
                <w:color w:val="231F20"/>
                <w:spacing w:val="18"/>
                <w:sz w:val="18"/>
                <w:szCs w:val="18"/>
              </w:rPr>
              <w:t xml:space="preserve"> </w:t>
            </w:r>
            <w:r>
              <w:rPr>
                <w:rFonts w:ascii="Arial" w:eastAsia="Arial" w:hAnsi="Arial" w:cs="Arial"/>
                <w:color w:val="231F20"/>
                <w:w w:val="104"/>
                <w:sz w:val="18"/>
                <w:szCs w:val="18"/>
              </w:rPr>
              <w:t xml:space="preserve">initial </w:t>
            </w:r>
            <w:r>
              <w:rPr>
                <w:rFonts w:ascii="Arial" w:eastAsia="Arial" w:hAnsi="Arial" w:cs="Arial"/>
                <w:color w:val="231F20"/>
                <w:sz w:val="18"/>
                <w:szCs w:val="18"/>
              </w:rPr>
              <w:t>injection</w:t>
            </w:r>
            <w:r>
              <w:rPr>
                <w:rFonts w:ascii="Arial" w:eastAsia="Arial" w:hAnsi="Arial" w:cs="Arial"/>
                <w:color w:val="231F20"/>
                <w:spacing w:val="31"/>
                <w:sz w:val="18"/>
                <w:szCs w:val="18"/>
              </w:rPr>
              <w:t xml:space="preserve"> </w:t>
            </w:r>
            <w:r>
              <w:rPr>
                <w:rFonts w:ascii="Arial" w:eastAsia="Arial" w:hAnsi="Arial" w:cs="Arial"/>
                <w:color w:val="231F20"/>
                <w:sz w:val="18"/>
                <w:szCs w:val="18"/>
              </w:rPr>
              <w:t>and</w:t>
            </w:r>
            <w:r>
              <w:rPr>
                <w:rFonts w:ascii="Arial" w:eastAsia="Arial" w:hAnsi="Arial" w:cs="Arial"/>
                <w:color w:val="231F20"/>
                <w:spacing w:val="8"/>
                <w:sz w:val="18"/>
                <w:szCs w:val="18"/>
              </w:rPr>
              <w:t xml:space="preserve"> </w:t>
            </w:r>
            <w:r>
              <w:rPr>
                <w:rFonts w:ascii="Arial" w:eastAsia="Arial" w:hAnsi="Arial" w:cs="Arial"/>
                <w:color w:val="231F20"/>
                <w:sz w:val="18"/>
                <w:szCs w:val="18"/>
              </w:rPr>
              <w:t>not</w:t>
            </w:r>
            <w:r>
              <w:rPr>
                <w:rFonts w:ascii="Arial" w:eastAsia="Arial" w:hAnsi="Arial" w:cs="Arial"/>
                <w:color w:val="231F20"/>
                <w:spacing w:val="25"/>
                <w:sz w:val="18"/>
                <w:szCs w:val="18"/>
              </w:rPr>
              <w:t xml:space="preserve"> </w:t>
            </w:r>
            <w:r>
              <w:rPr>
                <w:rFonts w:ascii="Arial" w:eastAsia="Arial" w:hAnsi="Arial" w:cs="Arial"/>
                <w:color w:val="231F20"/>
                <w:spacing w:val="-3"/>
                <w:sz w:val="18"/>
                <w:szCs w:val="18"/>
              </w:rPr>
              <w:t>r</w:t>
            </w:r>
            <w:r>
              <w:rPr>
                <w:rFonts w:ascii="Arial" w:eastAsia="Arial" w:hAnsi="Arial" w:cs="Arial"/>
                <w:color w:val="231F20"/>
                <w:sz w:val="18"/>
                <w:szCs w:val="18"/>
              </w:rPr>
              <w:t>equiring</w:t>
            </w:r>
            <w:r>
              <w:rPr>
                <w:rFonts w:ascii="Arial" w:eastAsia="Arial" w:hAnsi="Arial" w:cs="Arial"/>
                <w:color w:val="231F20"/>
                <w:spacing w:val="34"/>
                <w:sz w:val="18"/>
                <w:szCs w:val="18"/>
              </w:rPr>
              <w:t xml:space="preserve"> </w:t>
            </w:r>
            <w:r>
              <w:rPr>
                <w:rFonts w:ascii="Arial" w:eastAsia="Arial" w:hAnsi="Arial" w:cs="Arial"/>
                <w:color w:val="231F20"/>
                <w:sz w:val="18"/>
                <w:szCs w:val="18"/>
              </w:rPr>
              <w:t>any</w:t>
            </w:r>
            <w:r>
              <w:rPr>
                <w:rFonts w:ascii="Arial" w:eastAsia="Arial" w:hAnsi="Arial" w:cs="Arial"/>
                <w:color w:val="231F20"/>
                <w:spacing w:val="-7"/>
                <w:sz w:val="18"/>
                <w:szCs w:val="18"/>
              </w:rPr>
              <w:t xml:space="preserve"> </w:t>
            </w:r>
            <w:r>
              <w:rPr>
                <w:rFonts w:ascii="Arial" w:eastAsia="Arial" w:hAnsi="Arial" w:cs="Arial"/>
                <w:color w:val="231F20"/>
                <w:sz w:val="18"/>
                <w:szCs w:val="18"/>
              </w:rPr>
              <w:t>further</w:t>
            </w:r>
            <w:r>
              <w:rPr>
                <w:rFonts w:ascii="Arial" w:eastAsia="Arial" w:hAnsi="Arial" w:cs="Arial"/>
                <w:color w:val="231F20"/>
                <w:spacing w:val="31"/>
                <w:sz w:val="18"/>
                <w:szCs w:val="18"/>
              </w:rPr>
              <w:t xml:space="preserve"> </w:t>
            </w:r>
            <w:r>
              <w:rPr>
                <w:rFonts w:ascii="Arial" w:eastAsia="Arial" w:hAnsi="Arial" w:cs="Arial"/>
                <w:color w:val="231F20"/>
                <w:spacing w:val="-3"/>
                <w:sz w:val="18"/>
                <w:szCs w:val="18"/>
              </w:rPr>
              <w:t>r</w:t>
            </w:r>
            <w:r>
              <w:rPr>
                <w:rFonts w:ascii="Arial" w:eastAsia="Arial" w:hAnsi="Arial" w:cs="Arial"/>
                <w:color w:val="231F20"/>
                <w:sz w:val="18"/>
                <w:szCs w:val="18"/>
              </w:rPr>
              <w:t>eplacement</w:t>
            </w:r>
            <w:r>
              <w:rPr>
                <w:rFonts w:ascii="Arial" w:eastAsia="Arial" w:hAnsi="Arial" w:cs="Arial"/>
                <w:color w:val="231F20"/>
                <w:spacing w:val="27"/>
                <w:sz w:val="18"/>
                <w:szCs w:val="18"/>
              </w:rPr>
              <w:t xml:space="preserve"> </w:t>
            </w:r>
            <w:r>
              <w:rPr>
                <w:rFonts w:ascii="Arial" w:eastAsia="Arial" w:hAnsi="Arial" w:cs="Arial"/>
                <w:color w:val="231F20"/>
                <w:sz w:val="18"/>
                <w:szCs w:val="18"/>
              </w:rPr>
              <w:t>therapy</w:t>
            </w:r>
            <w:r>
              <w:rPr>
                <w:rFonts w:ascii="Arial" w:eastAsia="Arial" w:hAnsi="Arial" w:cs="Arial"/>
                <w:color w:val="231F20"/>
                <w:spacing w:val="17"/>
                <w:sz w:val="18"/>
                <w:szCs w:val="18"/>
              </w:rPr>
              <w:t xml:space="preserve"> </w:t>
            </w:r>
            <w:r>
              <w:rPr>
                <w:rFonts w:ascii="Arial" w:eastAsia="Arial" w:hAnsi="Arial" w:cs="Arial"/>
                <w:color w:val="231F20"/>
                <w:sz w:val="18"/>
                <w:szCs w:val="18"/>
              </w:rPr>
              <w:t>within</w:t>
            </w:r>
            <w:r>
              <w:rPr>
                <w:rFonts w:ascii="Arial" w:eastAsia="Arial" w:hAnsi="Arial" w:cs="Arial"/>
                <w:color w:val="231F20"/>
                <w:spacing w:val="28"/>
                <w:sz w:val="18"/>
                <w:szCs w:val="18"/>
              </w:rPr>
              <w:t xml:space="preserve"> </w:t>
            </w:r>
            <w:r>
              <w:rPr>
                <w:rFonts w:ascii="Arial" w:eastAsia="Arial" w:hAnsi="Arial" w:cs="Arial"/>
                <w:color w:val="231F20"/>
                <w:sz w:val="18"/>
                <w:szCs w:val="18"/>
              </w:rPr>
              <w:t>72</w:t>
            </w:r>
            <w:r>
              <w:rPr>
                <w:rFonts w:ascii="Arial" w:eastAsia="Arial" w:hAnsi="Arial" w:cs="Arial"/>
                <w:color w:val="231F20"/>
                <w:spacing w:val="5"/>
                <w:sz w:val="18"/>
                <w:szCs w:val="18"/>
              </w:rPr>
              <w:t xml:space="preserve"> </w:t>
            </w:r>
            <w:r>
              <w:rPr>
                <w:rFonts w:ascii="Arial" w:eastAsia="Arial" w:hAnsi="Arial" w:cs="Arial"/>
                <w:color w:val="231F20"/>
                <w:sz w:val="18"/>
                <w:szCs w:val="18"/>
              </w:rPr>
              <w:t>hours.</w:t>
            </w:r>
          </w:p>
        </w:tc>
      </w:tr>
      <w:tr w:rsidR="00484EFC" w:rsidTr="00484EFC">
        <w:trPr>
          <w:trHeight w:hRule="exact" w:val="896"/>
        </w:trPr>
        <w:tc>
          <w:tcPr>
            <w:tcW w:w="1100" w:type="dxa"/>
            <w:tcBorders>
              <w:top w:val="single" w:sz="32" w:space="0" w:color="FFFFFF"/>
              <w:left w:val="nil"/>
              <w:bottom w:val="single" w:sz="32" w:space="0" w:color="FFFFFF"/>
              <w:right w:val="single" w:sz="32" w:space="0" w:color="FFFFFF"/>
            </w:tcBorders>
            <w:shd w:val="clear" w:color="auto" w:fill="E6E7E8"/>
          </w:tcPr>
          <w:p w:rsidR="00484EFC" w:rsidRDefault="00484EFC" w:rsidP="00484EFC">
            <w:pPr>
              <w:spacing w:before="7" w:after="0" w:line="100" w:lineRule="exact"/>
              <w:rPr>
                <w:sz w:val="10"/>
                <w:szCs w:val="10"/>
              </w:rPr>
            </w:pPr>
          </w:p>
          <w:p w:rsidR="00484EFC" w:rsidRDefault="00484EFC" w:rsidP="00484EFC">
            <w:pPr>
              <w:spacing w:after="0" w:line="200" w:lineRule="exact"/>
              <w:rPr>
                <w:sz w:val="20"/>
                <w:szCs w:val="20"/>
              </w:rPr>
            </w:pPr>
          </w:p>
          <w:p w:rsidR="00484EFC" w:rsidRDefault="00484EFC" w:rsidP="00484EFC">
            <w:pPr>
              <w:spacing w:after="0"/>
              <w:ind w:left="120" w:right="-20"/>
              <w:rPr>
                <w:rFonts w:ascii="Arial" w:eastAsia="Arial" w:hAnsi="Arial" w:cs="Arial"/>
                <w:sz w:val="18"/>
                <w:szCs w:val="18"/>
              </w:rPr>
            </w:pPr>
            <w:r>
              <w:rPr>
                <w:rFonts w:ascii="Arial" w:eastAsia="Arial" w:hAnsi="Arial" w:cs="Arial"/>
                <w:color w:val="231F20"/>
                <w:w w:val="107"/>
                <w:sz w:val="18"/>
                <w:szCs w:val="18"/>
              </w:rPr>
              <w:t>Good</w:t>
            </w:r>
          </w:p>
        </w:tc>
        <w:tc>
          <w:tcPr>
            <w:tcW w:w="8940" w:type="dxa"/>
            <w:tcBorders>
              <w:top w:val="single" w:sz="32" w:space="0" w:color="FFFFFF"/>
              <w:left w:val="single" w:sz="32" w:space="0" w:color="FFFFFF"/>
              <w:bottom w:val="single" w:sz="32" w:space="0" w:color="FFFFFF"/>
              <w:right w:val="nil"/>
            </w:tcBorders>
            <w:shd w:val="clear" w:color="auto" w:fill="E6E7E8"/>
          </w:tcPr>
          <w:p w:rsidR="00484EFC" w:rsidRDefault="00484EFC" w:rsidP="00484EFC">
            <w:pPr>
              <w:spacing w:before="87" w:after="0" w:line="255" w:lineRule="auto"/>
              <w:ind w:left="80" w:right="180"/>
              <w:rPr>
                <w:rFonts w:ascii="Arial" w:eastAsia="Arial" w:hAnsi="Arial" w:cs="Arial"/>
                <w:sz w:val="18"/>
                <w:szCs w:val="18"/>
              </w:rPr>
            </w:pPr>
            <w:r>
              <w:rPr>
                <w:rFonts w:ascii="Arial" w:eastAsia="Arial" w:hAnsi="Arial" w:cs="Arial"/>
                <w:color w:val="231F20"/>
                <w:sz w:val="18"/>
                <w:szCs w:val="18"/>
              </w:rPr>
              <w:t>Significant</w:t>
            </w:r>
            <w:r>
              <w:rPr>
                <w:rFonts w:ascii="Arial" w:eastAsia="Arial" w:hAnsi="Arial" w:cs="Arial"/>
                <w:color w:val="231F20"/>
                <w:spacing w:val="5"/>
                <w:sz w:val="18"/>
                <w:szCs w:val="18"/>
              </w:rPr>
              <w:t xml:space="preserve"> </w:t>
            </w:r>
            <w:r>
              <w:rPr>
                <w:rFonts w:ascii="Arial" w:eastAsia="Arial" w:hAnsi="Arial" w:cs="Arial"/>
                <w:color w:val="231F20"/>
                <w:sz w:val="18"/>
                <w:szCs w:val="18"/>
              </w:rPr>
              <w:t>pain</w:t>
            </w:r>
            <w:r>
              <w:rPr>
                <w:rFonts w:ascii="Arial" w:eastAsia="Arial" w:hAnsi="Arial" w:cs="Arial"/>
                <w:color w:val="231F20"/>
                <w:spacing w:val="8"/>
                <w:sz w:val="18"/>
                <w:szCs w:val="18"/>
              </w:rPr>
              <w:t xml:space="preserve"> </w:t>
            </w:r>
            <w:r>
              <w:rPr>
                <w:rFonts w:ascii="Arial" w:eastAsia="Arial" w:hAnsi="Arial" w:cs="Arial"/>
                <w:color w:val="231F20"/>
                <w:spacing w:val="-3"/>
                <w:sz w:val="18"/>
                <w:szCs w:val="18"/>
              </w:rPr>
              <w:t>r</w:t>
            </w:r>
            <w:r>
              <w:rPr>
                <w:rFonts w:ascii="Arial" w:eastAsia="Arial" w:hAnsi="Arial" w:cs="Arial"/>
                <w:color w:val="231F20"/>
                <w:sz w:val="18"/>
                <w:szCs w:val="18"/>
              </w:rPr>
              <w:t>elief</w:t>
            </w:r>
            <w:r>
              <w:rPr>
                <w:rFonts w:ascii="Arial" w:eastAsia="Arial" w:hAnsi="Arial" w:cs="Arial"/>
                <w:color w:val="231F20"/>
                <w:spacing w:val="18"/>
                <w:sz w:val="18"/>
                <w:szCs w:val="18"/>
              </w:rPr>
              <w:t xml:space="preserve"> </w:t>
            </w:r>
            <w:r>
              <w:rPr>
                <w:rFonts w:ascii="Arial" w:eastAsia="Arial" w:hAnsi="Arial" w:cs="Arial"/>
                <w:color w:val="231F20"/>
                <w:sz w:val="18"/>
                <w:szCs w:val="18"/>
              </w:rPr>
              <w:t>and/or</w:t>
            </w:r>
            <w:r>
              <w:rPr>
                <w:rFonts w:ascii="Arial" w:eastAsia="Arial" w:hAnsi="Arial" w:cs="Arial"/>
                <w:color w:val="231F20"/>
                <w:spacing w:val="31"/>
                <w:sz w:val="18"/>
                <w:szCs w:val="18"/>
              </w:rPr>
              <w:t xml:space="preserve"> </w:t>
            </w:r>
            <w:r>
              <w:rPr>
                <w:rFonts w:ascii="Arial" w:eastAsia="Arial" w:hAnsi="Arial" w:cs="Arial"/>
                <w:color w:val="231F20"/>
                <w:sz w:val="18"/>
                <w:szCs w:val="18"/>
              </w:rPr>
              <w:t>imp</w:t>
            </w:r>
            <w:r>
              <w:rPr>
                <w:rFonts w:ascii="Arial" w:eastAsia="Arial" w:hAnsi="Arial" w:cs="Arial"/>
                <w:color w:val="231F20"/>
                <w:spacing w:val="-3"/>
                <w:sz w:val="18"/>
                <w:szCs w:val="18"/>
              </w:rPr>
              <w:t>r</w:t>
            </w:r>
            <w:r>
              <w:rPr>
                <w:rFonts w:ascii="Arial" w:eastAsia="Arial" w:hAnsi="Arial" w:cs="Arial"/>
                <w:color w:val="231F20"/>
                <w:sz w:val="18"/>
                <w:szCs w:val="18"/>
              </w:rPr>
              <w:t>ovement</w:t>
            </w:r>
            <w:r>
              <w:rPr>
                <w:rFonts w:ascii="Arial" w:eastAsia="Arial" w:hAnsi="Arial" w:cs="Arial"/>
                <w:color w:val="231F20"/>
                <w:spacing w:val="36"/>
                <w:sz w:val="18"/>
                <w:szCs w:val="18"/>
              </w:rPr>
              <w:t xml:space="preserve"> </w:t>
            </w:r>
            <w:r>
              <w:rPr>
                <w:rFonts w:ascii="Arial" w:eastAsia="Arial" w:hAnsi="Arial" w:cs="Arial"/>
                <w:color w:val="231F20"/>
                <w:sz w:val="18"/>
                <w:szCs w:val="18"/>
              </w:rPr>
              <w:t>in</w:t>
            </w:r>
            <w:r>
              <w:rPr>
                <w:rFonts w:ascii="Arial" w:eastAsia="Arial" w:hAnsi="Arial" w:cs="Arial"/>
                <w:color w:val="231F20"/>
                <w:spacing w:val="8"/>
                <w:sz w:val="18"/>
                <w:szCs w:val="18"/>
              </w:rPr>
              <w:t xml:space="preserve"> </w:t>
            </w:r>
            <w:r>
              <w:rPr>
                <w:rFonts w:ascii="Arial" w:eastAsia="Arial" w:hAnsi="Arial" w:cs="Arial"/>
                <w:color w:val="231F20"/>
                <w:sz w:val="18"/>
                <w:szCs w:val="18"/>
              </w:rPr>
              <w:t>signs</w:t>
            </w:r>
            <w:r>
              <w:rPr>
                <w:rFonts w:ascii="Arial" w:eastAsia="Arial" w:hAnsi="Arial" w:cs="Arial"/>
                <w:color w:val="231F20"/>
                <w:spacing w:val="-12"/>
                <w:sz w:val="18"/>
                <w:szCs w:val="18"/>
              </w:rPr>
              <w:t xml:space="preserve"> </w:t>
            </w:r>
            <w:r>
              <w:rPr>
                <w:rFonts w:ascii="Arial" w:eastAsia="Arial" w:hAnsi="Arial" w:cs="Arial"/>
                <w:color w:val="231F20"/>
                <w:sz w:val="18"/>
                <w:szCs w:val="18"/>
              </w:rPr>
              <w:t>of</w:t>
            </w:r>
            <w:r>
              <w:rPr>
                <w:rFonts w:ascii="Arial" w:eastAsia="Arial" w:hAnsi="Arial" w:cs="Arial"/>
                <w:color w:val="231F20"/>
                <w:spacing w:val="17"/>
                <w:sz w:val="18"/>
                <w:szCs w:val="18"/>
              </w:rPr>
              <w:t xml:space="preserve"> </w:t>
            </w:r>
            <w:r>
              <w:rPr>
                <w:rFonts w:ascii="Arial" w:eastAsia="Arial" w:hAnsi="Arial" w:cs="Arial"/>
                <w:color w:val="231F20"/>
                <w:sz w:val="18"/>
                <w:szCs w:val="18"/>
              </w:rPr>
              <w:t>bleeding</w:t>
            </w:r>
            <w:r>
              <w:rPr>
                <w:rFonts w:ascii="Arial" w:eastAsia="Arial" w:hAnsi="Arial" w:cs="Arial"/>
                <w:color w:val="231F20"/>
                <w:spacing w:val="39"/>
                <w:sz w:val="18"/>
                <w:szCs w:val="18"/>
              </w:rPr>
              <w:t xml:space="preserve"> </w:t>
            </w:r>
            <w:r>
              <w:rPr>
                <w:rFonts w:ascii="Arial" w:eastAsia="Arial" w:hAnsi="Arial" w:cs="Arial"/>
                <w:color w:val="231F20"/>
                <w:sz w:val="18"/>
                <w:szCs w:val="18"/>
              </w:rPr>
              <w:t>within</w:t>
            </w:r>
            <w:r>
              <w:rPr>
                <w:rFonts w:ascii="Arial" w:eastAsia="Arial" w:hAnsi="Arial" w:cs="Arial"/>
                <w:color w:val="231F20"/>
                <w:spacing w:val="28"/>
                <w:sz w:val="18"/>
                <w:szCs w:val="18"/>
              </w:rPr>
              <w:t xml:space="preserve"> </w:t>
            </w:r>
            <w:r>
              <w:rPr>
                <w:rFonts w:ascii="Arial" w:eastAsia="Arial" w:hAnsi="Arial" w:cs="Arial"/>
                <w:color w:val="231F20"/>
                <w:sz w:val="18"/>
                <w:szCs w:val="18"/>
              </w:rPr>
              <w:t>app</w:t>
            </w:r>
            <w:r>
              <w:rPr>
                <w:rFonts w:ascii="Arial" w:eastAsia="Arial" w:hAnsi="Arial" w:cs="Arial"/>
                <w:color w:val="231F20"/>
                <w:spacing w:val="-3"/>
                <w:sz w:val="18"/>
                <w:szCs w:val="18"/>
              </w:rPr>
              <w:t>r</w:t>
            </w:r>
            <w:r>
              <w:rPr>
                <w:rFonts w:ascii="Arial" w:eastAsia="Arial" w:hAnsi="Arial" w:cs="Arial"/>
                <w:color w:val="231F20"/>
                <w:sz w:val="18"/>
                <w:szCs w:val="18"/>
              </w:rPr>
              <w:t>oximately</w:t>
            </w:r>
            <w:r>
              <w:rPr>
                <w:rFonts w:ascii="Arial" w:eastAsia="Arial" w:hAnsi="Arial" w:cs="Arial"/>
                <w:color w:val="231F20"/>
                <w:spacing w:val="35"/>
                <w:sz w:val="18"/>
                <w:szCs w:val="18"/>
              </w:rPr>
              <w:t xml:space="preserve"> </w:t>
            </w:r>
            <w:r>
              <w:rPr>
                <w:rFonts w:ascii="Arial" w:eastAsia="Arial" w:hAnsi="Arial" w:cs="Arial"/>
                <w:color w:val="231F20"/>
                <w:sz w:val="18"/>
                <w:szCs w:val="18"/>
              </w:rPr>
              <w:t>8</w:t>
            </w:r>
            <w:r>
              <w:rPr>
                <w:rFonts w:ascii="Arial" w:eastAsia="Arial" w:hAnsi="Arial" w:cs="Arial"/>
                <w:color w:val="231F20"/>
                <w:spacing w:val="5"/>
                <w:sz w:val="18"/>
                <w:szCs w:val="18"/>
              </w:rPr>
              <w:t xml:space="preserve"> </w:t>
            </w:r>
            <w:r>
              <w:rPr>
                <w:rFonts w:ascii="Arial" w:eastAsia="Arial" w:hAnsi="Arial" w:cs="Arial"/>
                <w:color w:val="231F20"/>
                <w:sz w:val="18"/>
                <w:szCs w:val="18"/>
              </w:rPr>
              <w:t>hours after</w:t>
            </w:r>
            <w:r>
              <w:rPr>
                <w:rFonts w:ascii="Arial" w:eastAsia="Arial" w:hAnsi="Arial" w:cs="Arial"/>
                <w:color w:val="231F20"/>
                <w:spacing w:val="19"/>
                <w:sz w:val="18"/>
                <w:szCs w:val="18"/>
              </w:rPr>
              <w:t xml:space="preserve"> </w:t>
            </w:r>
            <w:r>
              <w:rPr>
                <w:rFonts w:ascii="Arial" w:eastAsia="Arial" w:hAnsi="Arial" w:cs="Arial"/>
                <w:color w:val="231F20"/>
                <w:sz w:val="18"/>
                <w:szCs w:val="18"/>
              </w:rPr>
              <w:t>a</w:t>
            </w:r>
            <w:r>
              <w:rPr>
                <w:rFonts w:ascii="Arial" w:eastAsia="Arial" w:hAnsi="Arial" w:cs="Arial"/>
                <w:color w:val="231F20"/>
                <w:spacing w:val="-2"/>
                <w:sz w:val="18"/>
                <w:szCs w:val="18"/>
              </w:rPr>
              <w:t xml:space="preserve"> </w:t>
            </w:r>
            <w:r>
              <w:rPr>
                <w:rFonts w:ascii="Arial" w:eastAsia="Arial" w:hAnsi="Arial" w:cs="Arial"/>
                <w:color w:val="231F20"/>
                <w:sz w:val="18"/>
                <w:szCs w:val="18"/>
              </w:rPr>
              <w:t>single injection,</w:t>
            </w:r>
            <w:r>
              <w:rPr>
                <w:rFonts w:ascii="Arial" w:eastAsia="Arial" w:hAnsi="Arial" w:cs="Arial"/>
                <w:color w:val="231F20"/>
                <w:spacing w:val="26"/>
                <w:sz w:val="18"/>
                <w:szCs w:val="18"/>
              </w:rPr>
              <w:t xml:space="preserve"> </w:t>
            </w:r>
            <w:r>
              <w:rPr>
                <w:rFonts w:ascii="Arial" w:eastAsia="Arial" w:hAnsi="Arial" w:cs="Arial"/>
                <w:color w:val="231F20"/>
                <w:sz w:val="18"/>
                <w:szCs w:val="18"/>
              </w:rPr>
              <w:t>but</w:t>
            </w:r>
            <w:r>
              <w:rPr>
                <w:rFonts w:ascii="Arial" w:eastAsia="Arial" w:hAnsi="Arial" w:cs="Arial"/>
                <w:color w:val="231F20"/>
                <w:spacing w:val="28"/>
                <w:sz w:val="18"/>
                <w:szCs w:val="18"/>
              </w:rPr>
              <w:t xml:space="preserve"> </w:t>
            </w:r>
            <w:r>
              <w:rPr>
                <w:rFonts w:ascii="Arial" w:eastAsia="Arial" w:hAnsi="Arial" w:cs="Arial"/>
                <w:color w:val="231F20"/>
                <w:spacing w:val="-3"/>
                <w:sz w:val="18"/>
                <w:szCs w:val="18"/>
              </w:rPr>
              <w:t>r</w:t>
            </w:r>
            <w:r>
              <w:rPr>
                <w:rFonts w:ascii="Arial" w:eastAsia="Arial" w:hAnsi="Arial" w:cs="Arial"/>
                <w:color w:val="231F20"/>
                <w:sz w:val="18"/>
                <w:szCs w:val="18"/>
              </w:rPr>
              <w:t>equiring</w:t>
            </w:r>
            <w:r>
              <w:rPr>
                <w:rFonts w:ascii="Arial" w:eastAsia="Arial" w:hAnsi="Arial" w:cs="Arial"/>
                <w:color w:val="231F20"/>
                <w:spacing w:val="34"/>
                <w:sz w:val="18"/>
                <w:szCs w:val="18"/>
              </w:rPr>
              <w:t xml:space="preserve"> </w:t>
            </w:r>
            <w:r>
              <w:rPr>
                <w:rFonts w:ascii="Arial" w:eastAsia="Arial" w:hAnsi="Arial" w:cs="Arial"/>
                <w:color w:val="231F20"/>
                <w:sz w:val="18"/>
                <w:szCs w:val="18"/>
              </w:rPr>
              <w:t>mo</w:t>
            </w:r>
            <w:r>
              <w:rPr>
                <w:rFonts w:ascii="Arial" w:eastAsia="Arial" w:hAnsi="Arial" w:cs="Arial"/>
                <w:color w:val="231F20"/>
                <w:spacing w:val="-3"/>
                <w:sz w:val="18"/>
                <w:szCs w:val="18"/>
              </w:rPr>
              <w:t>r</w:t>
            </w:r>
            <w:r>
              <w:rPr>
                <w:rFonts w:ascii="Arial" w:eastAsia="Arial" w:hAnsi="Arial" w:cs="Arial"/>
                <w:color w:val="231F20"/>
                <w:sz w:val="18"/>
                <w:szCs w:val="18"/>
              </w:rPr>
              <w:t>e</w:t>
            </w:r>
            <w:r>
              <w:rPr>
                <w:rFonts w:ascii="Arial" w:eastAsia="Arial" w:hAnsi="Arial" w:cs="Arial"/>
                <w:color w:val="231F20"/>
                <w:spacing w:val="17"/>
                <w:sz w:val="18"/>
                <w:szCs w:val="18"/>
              </w:rPr>
              <w:t xml:space="preserve"> </w:t>
            </w:r>
            <w:r>
              <w:rPr>
                <w:rFonts w:ascii="Arial" w:eastAsia="Arial" w:hAnsi="Arial" w:cs="Arial"/>
                <w:color w:val="231F20"/>
                <w:sz w:val="18"/>
                <w:szCs w:val="18"/>
              </w:rPr>
              <w:t>than</w:t>
            </w:r>
            <w:r>
              <w:rPr>
                <w:rFonts w:ascii="Arial" w:eastAsia="Arial" w:hAnsi="Arial" w:cs="Arial"/>
                <w:color w:val="231F20"/>
                <w:spacing w:val="8"/>
                <w:sz w:val="18"/>
                <w:szCs w:val="18"/>
              </w:rPr>
              <w:t xml:space="preserve"> </w:t>
            </w:r>
            <w:r>
              <w:rPr>
                <w:rFonts w:ascii="Arial" w:eastAsia="Arial" w:hAnsi="Arial" w:cs="Arial"/>
                <w:color w:val="231F20"/>
                <w:sz w:val="18"/>
                <w:szCs w:val="18"/>
              </w:rPr>
              <w:t>one</w:t>
            </w:r>
            <w:r>
              <w:rPr>
                <w:rFonts w:ascii="Arial" w:eastAsia="Arial" w:hAnsi="Arial" w:cs="Arial"/>
                <w:color w:val="231F20"/>
                <w:spacing w:val="11"/>
                <w:sz w:val="18"/>
                <w:szCs w:val="18"/>
              </w:rPr>
              <w:t xml:space="preserve"> </w:t>
            </w:r>
            <w:r>
              <w:rPr>
                <w:rFonts w:ascii="Arial" w:eastAsia="Arial" w:hAnsi="Arial" w:cs="Arial"/>
                <w:color w:val="231F20"/>
                <w:sz w:val="18"/>
                <w:szCs w:val="18"/>
              </w:rPr>
              <w:t>dose</w:t>
            </w:r>
            <w:r>
              <w:rPr>
                <w:rFonts w:ascii="Arial" w:eastAsia="Arial" w:hAnsi="Arial" w:cs="Arial"/>
                <w:color w:val="231F20"/>
                <w:spacing w:val="5"/>
                <w:sz w:val="18"/>
                <w:szCs w:val="18"/>
              </w:rPr>
              <w:t xml:space="preserve"> </w:t>
            </w:r>
            <w:r>
              <w:rPr>
                <w:rFonts w:ascii="Arial" w:eastAsia="Arial" w:hAnsi="Arial" w:cs="Arial"/>
                <w:color w:val="231F20"/>
                <w:sz w:val="18"/>
                <w:szCs w:val="18"/>
              </w:rPr>
              <w:t>of</w:t>
            </w:r>
            <w:r>
              <w:rPr>
                <w:rFonts w:ascii="Arial" w:eastAsia="Arial" w:hAnsi="Arial" w:cs="Arial"/>
                <w:color w:val="231F20"/>
                <w:spacing w:val="17"/>
                <w:sz w:val="18"/>
                <w:szCs w:val="18"/>
              </w:rPr>
              <w:t xml:space="preserve"> </w:t>
            </w:r>
            <w:r>
              <w:rPr>
                <w:rFonts w:ascii="Arial" w:eastAsia="Arial" w:hAnsi="Arial" w:cs="Arial"/>
                <w:color w:val="231F20"/>
                <w:spacing w:val="-3"/>
                <w:sz w:val="18"/>
                <w:szCs w:val="18"/>
              </w:rPr>
              <w:t>r</w:t>
            </w:r>
            <w:r>
              <w:rPr>
                <w:rFonts w:ascii="Arial" w:eastAsia="Arial" w:hAnsi="Arial" w:cs="Arial"/>
                <w:color w:val="231F20"/>
                <w:sz w:val="18"/>
                <w:szCs w:val="18"/>
              </w:rPr>
              <w:t>eplacement</w:t>
            </w:r>
            <w:r>
              <w:rPr>
                <w:rFonts w:ascii="Arial" w:eastAsia="Arial" w:hAnsi="Arial" w:cs="Arial"/>
                <w:color w:val="231F20"/>
                <w:spacing w:val="27"/>
                <w:sz w:val="18"/>
                <w:szCs w:val="18"/>
              </w:rPr>
              <w:t xml:space="preserve"> </w:t>
            </w:r>
            <w:r>
              <w:rPr>
                <w:rFonts w:ascii="Arial" w:eastAsia="Arial" w:hAnsi="Arial" w:cs="Arial"/>
                <w:color w:val="231F20"/>
                <w:sz w:val="18"/>
                <w:szCs w:val="18"/>
              </w:rPr>
              <w:t>therapy</w:t>
            </w:r>
            <w:r>
              <w:rPr>
                <w:rFonts w:ascii="Arial" w:eastAsia="Arial" w:hAnsi="Arial" w:cs="Arial"/>
                <w:color w:val="231F20"/>
                <w:spacing w:val="17"/>
                <w:sz w:val="18"/>
                <w:szCs w:val="18"/>
              </w:rPr>
              <w:t xml:space="preserve"> </w:t>
            </w:r>
            <w:r>
              <w:rPr>
                <w:rFonts w:ascii="Arial" w:eastAsia="Arial" w:hAnsi="Arial" w:cs="Arial"/>
                <w:color w:val="231F20"/>
                <w:sz w:val="18"/>
                <w:szCs w:val="18"/>
              </w:rPr>
              <w:t>within</w:t>
            </w:r>
            <w:r>
              <w:rPr>
                <w:rFonts w:ascii="Arial" w:eastAsia="Arial" w:hAnsi="Arial" w:cs="Arial"/>
                <w:color w:val="231F20"/>
                <w:spacing w:val="28"/>
                <w:sz w:val="18"/>
                <w:szCs w:val="18"/>
              </w:rPr>
              <w:t xml:space="preserve"> </w:t>
            </w:r>
            <w:r>
              <w:rPr>
                <w:rFonts w:ascii="Arial" w:eastAsia="Arial" w:hAnsi="Arial" w:cs="Arial"/>
                <w:color w:val="231F20"/>
                <w:sz w:val="18"/>
                <w:szCs w:val="18"/>
              </w:rPr>
              <w:t>72</w:t>
            </w:r>
            <w:r>
              <w:rPr>
                <w:rFonts w:ascii="Arial" w:eastAsia="Arial" w:hAnsi="Arial" w:cs="Arial"/>
                <w:color w:val="231F20"/>
                <w:spacing w:val="5"/>
                <w:sz w:val="18"/>
                <w:szCs w:val="18"/>
              </w:rPr>
              <w:t xml:space="preserve"> </w:t>
            </w:r>
            <w:r>
              <w:rPr>
                <w:rFonts w:ascii="Arial" w:eastAsia="Arial" w:hAnsi="Arial" w:cs="Arial"/>
                <w:color w:val="231F20"/>
                <w:sz w:val="18"/>
                <w:szCs w:val="18"/>
              </w:rPr>
              <w:t>hours for</w:t>
            </w:r>
            <w:r>
              <w:rPr>
                <w:rFonts w:ascii="Arial" w:eastAsia="Arial" w:hAnsi="Arial" w:cs="Arial"/>
                <w:color w:val="231F20"/>
                <w:spacing w:val="22"/>
                <w:sz w:val="18"/>
                <w:szCs w:val="18"/>
              </w:rPr>
              <w:t xml:space="preserve"> </w:t>
            </w:r>
            <w:r>
              <w:rPr>
                <w:rFonts w:ascii="Arial" w:eastAsia="Arial" w:hAnsi="Arial" w:cs="Arial"/>
                <w:color w:val="231F20"/>
                <w:w w:val="104"/>
                <w:sz w:val="18"/>
                <w:szCs w:val="18"/>
              </w:rPr>
              <w:t xml:space="preserve">complete </w:t>
            </w:r>
            <w:r>
              <w:rPr>
                <w:rFonts w:ascii="Arial" w:eastAsia="Arial" w:hAnsi="Arial" w:cs="Arial"/>
                <w:color w:val="231F20"/>
                <w:spacing w:val="-3"/>
                <w:w w:val="105"/>
                <w:sz w:val="18"/>
                <w:szCs w:val="18"/>
              </w:rPr>
              <w:t>r</w:t>
            </w:r>
            <w:r>
              <w:rPr>
                <w:rFonts w:ascii="Arial" w:eastAsia="Arial" w:hAnsi="Arial" w:cs="Arial"/>
                <w:color w:val="231F20"/>
                <w:w w:val="102"/>
                <w:sz w:val="18"/>
                <w:szCs w:val="18"/>
              </w:rPr>
              <w:t>esolution.</w:t>
            </w:r>
          </w:p>
        </w:tc>
      </w:tr>
      <w:tr w:rsidR="00484EFC" w:rsidTr="00484EFC">
        <w:trPr>
          <w:trHeight w:hRule="exact" w:val="676"/>
        </w:trPr>
        <w:tc>
          <w:tcPr>
            <w:tcW w:w="1100" w:type="dxa"/>
            <w:tcBorders>
              <w:top w:val="single" w:sz="32" w:space="0" w:color="FFFFFF"/>
              <w:left w:val="nil"/>
              <w:bottom w:val="single" w:sz="32" w:space="0" w:color="FFFFFF"/>
              <w:right w:val="single" w:sz="32" w:space="0" w:color="FFFFFF"/>
            </w:tcBorders>
            <w:shd w:val="clear" w:color="auto" w:fill="E6E7E8"/>
          </w:tcPr>
          <w:p w:rsidR="00484EFC" w:rsidRDefault="00484EFC" w:rsidP="00484EFC">
            <w:pPr>
              <w:spacing w:before="7" w:after="0" w:line="190" w:lineRule="exact"/>
              <w:rPr>
                <w:sz w:val="19"/>
                <w:szCs w:val="19"/>
              </w:rPr>
            </w:pPr>
          </w:p>
          <w:p w:rsidR="00484EFC" w:rsidRDefault="00484EFC" w:rsidP="00484EFC">
            <w:pPr>
              <w:spacing w:after="0"/>
              <w:ind w:left="120" w:right="-20"/>
              <w:rPr>
                <w:rFonts w:ascii="Arial" w:eastAsia="Arial" w:hAnsi="Arial" w:cs="Arial"/>
                <w:sz w:val="18"/>
                <w:szCs w:val="18"/>
              </w:rPr>
            </w:pPr>
            <w:r>
              <w:rPr>
                <w:rFonts w:ascii="Arial" w:eastAsia="Arial" w:hAnsi="Arial" w:cs="Arial"/>
                <w:color w:val="231F20"/>
                <w:w w:val="109"/>
                <w:sz w:val="18"/>
                <w:szCs w:val="18"/>
              </w:rPr>
              <w:t>Moderate</w:t>
            </w:r>
          </w:p>
        </w:tc>
        <w:tc>
          <w:tcPr>
            <w:tcW w:w="8940" w:type="dxa"/>
            <w:tcBorders>
              <w:top w:val="single" w:sz="32" w:space="0" w:color="FFFFFF"/>
              <w:left w:val="single" w:sz="32" w:space="0" w:color="FFFFFF"/>
              <w:bottom w:val="single" w:sz="32" w:space="0" w:color="FFFFFF"/>
              <w:right w:val="nil"/>
            </w:tcBorders>
            <w:shd w:val="clear" w:color="auto" w:fill="E6E7E8"/>
          </w:tcPr>
          <w:p w:rsidR="00484EFC" w:rsidRDefault="00484EFC" w:rsidP="00484EFC">
            <w:pPr>
              <w:spacing w:before="87" w:after="0" w:line="255" w:lineRule="auto"/>
              <w:ind w:left="80" w:right="258"/>
              <w:rPr>
                <w:rFonts w:ascii="Arial" w:eastAsia="Arial" w:hAnsi="Arial" w:cs="Arial"/>
                <w:sz w:val="18"/>
                <w:szCs w:val="18"/>
              </w:rPr>
            </w:pPr>
            <w:r>
              <w:rPr>
                <w:rFonts w:ascii="Arial" w:eastAsia="Arial" w:hAnsi="Arial" w:cs="Arial"/>
                <w:color w:val="231F20"/>
                <w:sz w:val="18"/>
                <w:szCs w:val="18"/>
              </w:rPr>
              <w:t>Modest</w:t>
            </w:r>
            <w:r>
              <w:rPr>
                <w:rFonts w:ascii="Arial" w:eastAsia="Arial" w:hAnsi="Arial" w:cs="Arial"/>
                <w:color w:val="231F20"/>
                <w:spacing w:val="34"/>
                <w:sz w:val="18"/>
                <w:szCs w:val="18"/>
              </w:rPr>
              <w:t xml:space="preserve"> </w:t>
            </w:r>
            <w:r>
              <w:rPr>
                <w:rFonts w:ascii="Arial" w:eastAsia="Arial" w:hAnsi="Arial" w:cs="Arial"/>
                <w:color w:val="231F20"/>
                <w:sz w:val="18"/>
                <w:szCs w:val="18"/>
              </w:rPr>
              <w:t>pain</w:t>
            </w:r>
            <w:r>
              <w:rPr>
                <w:rFonts w:ascii="Arial" w:eastAsia="Arial" w:hAnsi="Arial" w:cs="Arial"/>
                <w:color w:val="231F20"/>
                <w:spacing w:val="8"/>
                <w:sz w:val="18"/>
                <w:szCs w:val="18"/>
              </w:rPr>
              <w:t xml:space="preserve"> </w:t>
            </w:r>
            <w:r>
              <w:rPr>
                <w:rFonts w:ascii="Arial" w:eastAsia="Arial" w:hAnsi="Arial" w:cs="Arial"/>
                <w:color w:val="231F20"/>
                <w:spacing w:val="-3"/>
                <w:sz w:val="18"/>
                <w:szCs w:val="18"/>
              </w:rPr>
              <w:t>r</w:t>
            </w:r>
            <w:r>
              <w:rPr>
                <w:rFonts w:ascii="Arial" w:eastAsia="Arial" w:hAnsi="Arial" w:cs="Arial"/>
                <w:color w:val="231F20"/>
                <w:sz w:val="18"/>
                <w:szCs w:val="18"/>
              </w:rPr>
              <w:t>elief</w:t>
            </w:r>
            <w:r>
              <w:rPr>
                <w:rFonts w:ascii="Arial" w:eastAsia="Arial" w:hAnsi="Arial" w:cs="Arial"/>
                <w:color w:val="231F20"/>
                <w:spacing w:val="18"/>
                <w:sz w:val="18"/>
                <w:szCs w:val="18"/>
              </w:rPr>
              <w:t xml:space="preserve"> </w:t>
            </w:r>
            <w:r>
              <w:rPr>
                <w:rFonts w:ascii="Arial" w:eastAsia="Arial" w:hAnsi="Arial" w:cs="Arial"/>
                <w:color w:val="231F20"/>
                <w:sz w:val="18"/>
                <w:szCs w:val="18"/>
              </w:rPr>
              <w:t>and/or</w:t>
            </w:r>
            <w:r>
              <w:rPr>
                <w:rFonts w:ascii="Arial" w:eastAsia="Arial" w:hAnsi="Arial" w:cs="Arial"/>
                <w:color w:val="231F20"/>
                <w:spacing w:val="31"/>
                <w:sz w:val="18"/>
                <w:szCs w:val="18"/>
              </w:rPr>
              <w:t xml:space="preserve"> </w:t>
            </w:r>
            <w:r>
              <w:rPr>
                <w:rFonts w:ascii="Arial" w:eastAsia="Arial" w:hAnsi="Arial" w:cs="Arial"/>
                <w:color w:val="231F20"/>
                <w:sz w:val="18"/>
                <w:szCs w:val="18"/>
              </w:rPr>
              <w:t>imp</w:t>
            </w:r>
            <w:r>
              <w:rPr>
                <w:rFonts w:ascii="Arial" w:eastAsia="Arial" w:hAnsi="Arial" w:cs="Arial"/>
                <w:color w:val="231F20"/>
                <w:spacing w:val="-3"/>
                <w:sz w:val="18"/>
                <w:szCs w:val="18"/>
              </w:rPr>
              <w:t>r</w:t>
            </w:r>
            <w:r>
              <w:rPr>
                <w:rFonts w:ascii="Arial" w:eastAsia="Arial" w:hAnsi="Arial" w:cs="Arial"/>
                <w:color w:val="231F20"/>
                <w:sz w:val="18"/>
                <w:szCs w:val="18"/>
              </w:rPr>
              <w:t>ovement</w:t>
            </w:r>
            <w:r>
              <w:rPr>
                <w:rFonts w:ascii="Arial" w:eastAsia="Arial" w:hAnsi="Arial" w:cs="Arial"/>
                <w:color w:val="231F20"/>
                <w:spacing w:val="36"/>
                <w:sz w:val="18"/>
                <w:szCs w:val="18"/>
              </w:rPr>
              <w:t xml:space="preserve"> </w:t>
            </w:r>
            <w:r>
              <w:rPr>
                <w:rFonts w:ascii="Arial" w:eastAsia="Arial" w:hAnsi="Arial" w:cs="Arial"/>
                <w:color w:val="231F20"/>
                <w:sz w:val="18"/>
                <w:szCs w:val="18"/>
              </w:rPr>
              <w:t>in</w:t>
            </w:r>
            <w:r>
              <w:rPr>
                <w:rFonts w:ascii="Arial" w:eastAsia="Arial" w:hAnsi="Arial" w:cs="Arial"/>
                <w:color w:val="231F20"/>
                <w:spacing w:val="8"/>
                <w:sz w:val="18"/>
                <w:szCs w:val="18"/>
              </w:rPr>
              <w:t xml:space="preserve"> </w:t>
            </w:r>
            <w:r>
              <w:rPr>
                <w:rFonts w:ascii="Arial" w:eastAsia="Arial" w:hAnsi="Arial" w:cs="Arial"/>
                <w:color w:val="231F20"/>
                <w:sz w:val="18"/>
                <w:szCs w:val="18"/>
              </w:rPr>
              <w:t>signs</w:t>
            </w:r>
            <w:r>
              <w:rPr>
                <w:rFonts w:ascii="Arial" w:eastAsia="Arial" w:hAnsi="Arial" w:cs="Arial"/>
                <w:color w:val="231F20"/>
                <w:spacing w:val="-12"/>
                <w:sz w:val="18"/>
                <w:szCs w:val="18"/>
              </w:rPr>
              <w:t xml:space="preserve"> </w:t>
            </w:r>
            <w:r>
              <w:rPr>
                <w:rFonts w:ascii="Arial" w:eastAsia="Arial" w:hAnsi="Arial" w:cs="Arial"/>
                <w:color w:val="231F20"/>
                <w:sz w:val="18"/>
                <w:szCs w:val="18"/>
              </w:rPr>
              <w:t>of</w:t>
            </w:r>
            <w:r>
              <w:rPr>
                <w:rFonts w:ascii="Arial" w:eastAsia="Arial" w:hAnsi="Arial" w:cs="Arial"/>
                <w:color w:val="231F20"/>
                <w:spacing w:val="17"/>
                <w:sz w:val="18"/>
                <w:szCs w:val="18"/>
              </w:rPr>
              <w:t xml:space="preserve"> </w:t>
            </w:r>
            <w:r>
              <w:rPr>
                <w:rFonts w:ascii="Arial" w:eastAsia="Arial" w:hAnsi="Arial" w:cs="Arial"/>
                <w:color w:val="231F20"/>
                <w:sz w:val="18"/>
                <w:szCs w:val="18"/>
              </w:rPr>
              <w:t>bleeding</w:t>
            </w:r>
            <w:r>
              <w:rPr>
                <w:rFonts w:ascii="Arial" w:eastAsia="Arial" w:hAnsi="Arial" w:cs="Arial"/>
                <w:color w:val="231F20"/>
                <w:spacing w:val="39"/>
                <w:sz w:val="18"/>
                <w:szCs w:val="18"/>
              </w:rPr>
              <w:t xml:space="preserve"> </w:t>
            </w:r>
            <w:r>
              <w:rPr>
                <w:rFonts w:ascii="Arial" w:eastAsia="Arial" w:hAnsi="Arial" w:cs="Arial"/>
                <w:color w:val="231F20"/>
                <w:sz w:val="18"/>
                <w:szCs w:val="18"/>
              </w:rPr>
              <w:t>within</w:t>
            </w:r>
            <w:r>
              <w:rPr>
                <w:rFonts w:ascii="Arial" w:eastAsia="Arial" w:hAnsi="Arial" w:cs="Arial"/>
                <w:color w:val="231F20"/>
                <w:spacing w:val="28"/>
                <w:sz w:val="18"/>
                <w:szCs w:val="18"/>
              </w:rPr>
              <w:t xml:space="preserve"> </w:t>
            </w:r>
            <w:r>
              <w:rPr>
                <w:rFonts w:ascii="Arial" w:eastAsia="Arial" w:hAnsi="Arial" w:cs="Arial"/>
                <w:color w:val="231F20"/>
                <w:sz w:val="18"/>
                <w:szCs w:val="18"/>
              </w:rPr>
              <w:t>app</w:t>
            </w:r>
            <w:r>
              <w:rPr>
                <w:rFonts w:ascii="Arial" w:eastAsia="Arial" w:hAnsi="Arial" w:cs="Arial"/>
                <w:color w:val="231F20"/>
                <w:spacing w:val="-3"/>
                <w:sz w:val="18"/>
                <w:szCs w:val="18"/>
              </w:rPr>
              <w:t>r</w:t>
            </w:r>
            <w:r>
              <w:rPr>
                <w:rFonts w:ascii="Arial" w:eastAsia="Arial" w:hAnsi="Arial" w:cs="Arial"/>
                <w:color w:val="231F20"/>
                <w:sz w:val="18"/>
                <w:szCs w:val="18"/>
              </w:rPr>
              <w:t>oximately</w:t>
            </w:r>
            <w:r>
              <w:rPr>
                <w:rFonts w:ascii="Arial" w:eastAsia="Arial" w:hAnsi="Arial" w:cs="Arial"/>
                <w:color w:val="231F20"/>
                <w:spacing w:val="35"/>
                <w:sz w:val="18"/>
                <w:szCs w:val="18"/>
              </w:rPr>
              <w:t xml:space="preserve"> </w:t>
            </w:r>
            <w:r>
              <w:rPr>
                <w:rFonts w:ascii="Arial" w:eastAsia="Arial" w:hAnsi="Arial" w:cs="Arial"/>
                <w:color w:val="231F20"/>
                <w:sz w:val="18"/>
                <w:szCs w:val="18"/>
              </w:rPr>
              <w:t>8</w:t>
            </w:r>
            <w:r>
              <w:rPr>
                <w:rFonts w:ascii="Arial" w:eastAsia="Arial" w:hAnsi="Arial" w:cs="Arial"/>
                <w:color w:val="231F20"/>
                <w:spacing w:val="5"/>
                <w:sz w:val="18"/>
                <w:szCs w:val="18"/>
              </w:rPr>
              <w:t xml:space="preserve"> </w:t>
            </w:r>
            <w:r>
              <w:rPr>
                <w:rFonts w:ascii="Arial" w:eastAsia="Arial" w:hAnsi="Arial" w:cs="Arial"/>
                <w:color w:val="231F20"/>
                <w:sz w:val="18"/>
                <w:szCs w:val="18"/>
              </w:rPr>
              <w:t>hours after</w:t>
            </w:r>
            <w:r>
              <w:rPr>
                <w:rFonts w:ascii="Arial" w:eastAsia="Arial" w:hAnsi="Arial" w:cs="Arial"/>
                <w:color w:val="231F20"/>
                <w:spacing w:val="19"/>
                <w:sz w:val="18"/>
                <w:szCs w:val="18"/>
              </w:rPr>
              <w:t xml:space="preserve"> </w:t>
            </w:r>
            <w:r>
              <w:rPr>
                <w:rFonts w:ascii="Arial" w:eastAsia="Arial" w:hAnsi="Arial" w:cs="Arial"/>
                <w:color w:val="231F20"/>
                <w:sz w:val="18"/>
                <w:szCs w:val="18"/>
              </w:rPr>
              <w:t>the</w:t>
            </w:r>
            <w:r>
              <w:rPr>
                <w:rFonts w:ascii="Arial" w:eastAsia="Arial" w:hAnsi="Arial" w:cs="Arial"/>
                <w:color w:val="231F20"/>
                <w:spacing w:val="18"/>
                <w:sz w:val="18"/>
                <w:szCs w:val="18"/>
              </w:rPr>
              <w:t xml:space="preserve"> </w:t>
            </w:r>
            <w:r>
              <w:rPr>
                <w:rFonts w:ascii="Arial" w:eastAsia="Arial" w:hAnsi="Arial" w:cs="Arial"/>
                <w:color w:val="231F20"/>
                <w:w w:val="104"/>
                <w:sz w:val="18"/>
                <w:szCs w:val="18"/>
              </w:rPr>
              <w:t xml:space="preserve">initial </w:t>
            </w:r>
            <w:r>
              <w:rPr>
                <w:rFonts w:ascii="Arial" w:eastAsia="Arial" w:hAnsi="Arial" w:cs="Arial"/>
                <w:color w:val="231F20"/>
                <w:sz w:val="18"/>
                <w:szCs w:val="18"/>
              </w:rPr>
              <w:t>injection</w:t>
            </w:r>
            <w:r>
              <w:rPr>
                <w:rFonts w:ascii="Arial" w:eastAsia="Arial" w:hAnsi="Arial" w:cs="Arial"/>
                <w:color w:val="231F20"/>
                <w:spacing w:val="31"/>
                <w:sz w:val="18"/>
                <w:szCs w:val="18"/>
              </w:rPr>
              <w:t xml:space="preserve"> </w:t>
            </w:r>
            <w:r>
              <w:rPr>
                <w:rFonts w:ascii="Arial" w:eastAsia="Arial" w:hAnsi="Arial" w:cs="Arial"/>
                <w:color w:val="231F20"/>
                <w:sz w:val="18"/>
                <w:szCs w:val="18"/>
              </w:rPr>
              <w:t>and</w:t>
            </w:r>
            <w:r>
              <w:rPr>
                <w:rFonts w:ascii="Arial" w:eastAsia="Arial" w:hAnsi="Arial" w:cs="Arial"/>
                <w:color w:val="231F20"/>
                <w:spacing w:val="8"/>
                <w:sz w:val="18"/>
                <w:szCs w:val="18"/>
              </w:rPr>
              <w:t xml:space="preserve"> </w:t>
            </w:r>
            <w:r>
              <w:rPr>
                <w:rFonts w:ascii="Arial" w:eastAsia="Arial" w:hAnsi="Arial" w:cs="Arial"/>
                <w:color w:val="231F20"/>
                <w:spacing w:val="-3"/>
                <w:sz w:val="18"/>
                <w:szCs w:val="18"/>
              </w:rPr>
              <w:t>r</w:t>
            </w:r>
            <w:r>
              <w:rPr>
                <w:rFonts w:ascii="Arial" w:eastAsia="Arial" w:hAnsi="Arial" w:cs="Arial"/>
                <w:color w:val="231F20"/>
                <w:sz w:val="18"/>
                <w:szCs w:val="18"/>
              </w:rPr>
              <w:t>equiring</w:t>
            </w:r>
            <w:r>
              <w:rPr>
                <w:rFonts w:ascii="Arial" w:eastAsia="Arial" w:hAnsi="Arial" w:cs="Arial"/>
                <w:color w:val="231F20"/>
                <w:spacing w:val="34"/>
                <w:sz w:val="18"/>
                <w:szCs w:val="18"/>
              </w:rPr>
              <w:t xml:space="preserve"> </w:t>
            </w:r>
            <w:r>
              <w:rPr>
                <w:rFonts w:ascii="Arial" w:eastAsia="Arial" w:hAnsi="Arial" w:cs="Arial"/>
                <w:color w:val="231F20"/>
                <w:sz w:val="18"/>
                <w:szCs w:val="18"/>
              </w:rPr>
              <w:t>mo</w:t>
            </w:r>
            <w:r>
              <w:rPr>
                <w:rFonts w:ascii="Arial" w:eastAsia="Arial" w:hAnsi="Arial" w:cs="Arial"/>
                <w:color w:val="231F20"/>
                <w:spacing w:val="-3"/>
                <w:sz w:val="18"/>
                <w:szCs w:val="18"/>
              </w:rPr>
              <w:t>r</w:t>
            </w:r>
            <w:r>
              <w:rPr>
                <w:rFonts w:ascii="Arial" w:eastAsia="Arial" w:hAnsi="Arial" w:cs="Arial"/>
                <w:color w:val="231F20"/>
                <w:sz w:val="18"/>
                <w:szCs w:val="18"/>
              </w:rPr>
              <w:t>e</w:t>
            </w:r>
            <w:r>
              <w:rPr>
                <w:rFonts w:ascii="Arial" w:eastAsia="Arial" w:hAnsi="Arial" w:cs="Arial"/>
                <w:color w:val="231F20"/>
                <w:spacing w:val="17"/>
                <w:sz w:val="18"/>
                <w:szCs w:val="18"/>
              </w:rPr>
              <w:t xml:space="preserve"> </w:t>
            </w:r>
            <w:r>
              <w:rPr>
                <w:rFonts w:ascii="Arial" w:eastAsia="Arial" w:hAnsi="Arial" w:cs="Arial"/>
                <w:color w:val="231F20"/>
                <w:sz w:val="18"/>
                <w:szCs w:val="18"/>
              </w:rPr>
              <w:t>than</w:t>
            </w:r>
            <w:r>
              <w:rPr>
                <w:rFonts w:ascii="Arial" w:eastAsia="Arial" w:hAnsi="Arial" w:cs="Arial"/>
                <w:color w:val="231F20"/>
                <w:spacing w:val="8"/>
                <w:sz w:val="18"/>
                <w:szCs w:val="18"/>
              </w:rPr>
              <w:t xml:space="preserve"> </w:t>
            </w:r>
            <w:r>
              <w:rPr>
                <w:rFonts w:ascii="Arial" w:eastAsia="Arial" w:hAnsi="Arial" w:cs="Arial"/>
                <w:color w:val="231F20"/>
                <w:sz w:val="18"/>
                <w:szCs w:val="18"/>
              </w:rPr>
              <w:t>one</w:t>
            </w:r>
            <w:r>
              <w:rPr>
                <w:rFonts w:ascii="Arial" w:eastAsia="Arial" w:hAnsi="Arial" w:cs="Arial"/>
                <w:color w:val="231F20"/>
                <w:spacing w:val="11"/>
                <w:sz w:val="18"/>
                <w:szCs w:val="18"/>
              </w:rPr>
              <w:t xml:space="preserve"> </w:t>
            </w:r>
            <w:r>
              <w:rPr>
                <w:rFonts w:ascii="Arial" w:eastAsia="Arial" w:hAnsi="Arial" w:cs="Arial"/>
                <w:color w:val="231F20"/>
                <w:sz w:val="18"/>
                <w:szCs w:val="18"/>
              </w:rPr>
              <w:t>injection</w:t>
            </w:r>
            <w:r>
              <w:rPr>
                <w:rFonts w:ascii="Arial" w:eastAsia="Arial" w:hAnsi="Arial" w:cs="Arial"/>
                <w:color w:val="231F20"/>
                <w:spacing w:val="31"/>
                <w:sz w:val="18"/>
                <w:szCs w:val="18"/>
              </w:rPr>
              <w:t xml:space="preserve"> </w:t>
            </w:r>
            <w:r>
              <w:rPr>
                <w:rFonts w:ascii="Arial" w:eastAsia="Arial" w:hAnsi="Arial" w:cs="Arial"/>
                <w:color w:val="231F20"/>
                <w:sz w:val="18"/>
                <w:szCs w:val="18"/>
              </w:rPr>
              <w:t>within</w:t>
            </w:r>
            <w:r>
              <w:rPr>
                <w:rFonts w:ascii="Arial" w:eastAsia="Arial" w:hAnsi="Arial" w:cs="Arial"/>
                <w:color w:val="231F20"/>
                <w:spacing w:val="28"/>
                <w:sz w:val="18"/>
                <w:szCs w:val="18"/>
              </w:rPr>
              <w:t xml:space="preserve"> </w:t>
            </w:r>
            <w:r>
              <w:rPr>
                <w:rFonts w:ascii="Arial" w:eastAsia="Arial" w:hAnsi="Arial" w:cs="Arial"/>
                <w:color w:val="231F20"/>
                <w:sz w:val="18"/>
                <w:szCs w:val="18"/>
              </w:rPr>
              <w:t>72</w:t>
            </w:r>
            <w:r>
              <w:rPr>
                <w:rFonts w:ascii="Arial" w:eastAsia="Arial" w:hAnsi="Arial" w:cs="Arial"/>
                <w:color w:val="231F20"/>
                <w:spacing w:val="5"/>
                <w:sz w:val="18"/>
                <w:szCs w:val="18"/>
              </w:rPr>
              <w:t xml:space="preserve"> </w:t>
            </w:r>
            <w:r>
              <w:rPr>
                <w:rFonts w:ascii="Arial" w:eastAsia="Arial" w:hAnsi="Arial" w:cs="Arial"/>
                <w:color w:val="231F20"/>
                <w:sz w:val="18"/>
                <w:szCs w:val="18"/>
              </w:rPr>
              <w:t>hours but</w:t>
            </w:r>
            <w:r>
              <w:rPr>
                <w:rFonts w:ascii="Arial" w:eastAsia="Arial" w:hAnsi="Arial" w:cs="Arial"/>
                <w:color w:val="231F20"/>
                <w:spacing w:val="28"/>
                <w:sz w:val="18"/>
                <w:szCs w:val="18"/>
              </w:rPr>
              <w:t xml:space="preserve"> </w:t>
            </w:r>
            <w:r>
              <w:rPr>
                <w:rFonts w:ascii="Arial" w:eastAsia="Arial" w:hAnsi="Arial" w:cs="Arial"/>
                <w:color w:val="231F20"/>
                <w:sz w:val="18"/>
                <w:szCs w:val="18"/>
              </w:rPr>
              <w:t>without</w:t>
            </w:r>
            <w:r>
              <w:rPr>
                <w:rFonts w:ascii="Arial" w:eastAsia="Arial" w:hAnsi="Arial" w:cs="Arial"/>
                <w:color w:val="231F20"/>
                <w:spacing w:val="45"/>
                <w:sz w:val="18"/>
                <w:szCs w:val="18"/>
              </w:rPr>
              <w:t xml:space="preserve"> </w:t>
            </w:r>
            <w:r>
              <w:rPr>
                <w:rFonts w:ascii="Arial" w:eastAsia="Arial" w:hAnsi="Arial" w:cs="Arial"/>
                <w:color w:val="231F20"/>
                <w:sz w:val="18"/>
                <w:szCs w:val="18"/>
              </w:rPr>
              <w:t>complete</w:t>
            </w:r>
            <w:r>
              <w:rPr>
                <w:rFonts w:ascii="Arial" w:eastAsia="Arial" w:hAnsi="Arial" w:cs="Arial"/>
                <w:color w:val="231F20"/>
                <w:spacing w:val="34"/>
                <w:sz w:val="18"/>
                <w:szCs w:val="18"/>
              </w:rPr>
              <w:t xml:space="preserve"> </w:t>
            </w:r>
            <w:r>
              <w:rPr>
                <w:rFonts w:ascii="Arial" w:eastAsia="Arial" w:hAnsi="Arial" w:cs="Arial"/>
                <w:color w:val="231F20"/>
                <w:spacing w:val="-3"/>
                <w:w w:val="105"/>
                <w:sz w:val="18"/>
                <w:szCs w:val="18"/>
              </w:rPr>
              <w:t>r</w:t>
            </w:r>
            <w:r>
              <w:rPr>
                <w:rFonts w:ascii="Arial" w:eastAsia="Arial" w:hAnsi="Arial" w:cs="Arial"/>
                <w:color w:val="231F20"/>
                <w:w w:val="102"/>
                <w:sz w:val="18"/>
                <w:szCs w:val="18"/>
              </w:rPr>
              <w:t>esolution.</w:t>
            </w:r>
          </w:p>
        </w:tc>
      </w:tr>
      <w:tr w:rsidR="00484EFC" w:rsidTr="00484EFC">
        <w:trPr>
          <w:trHeight w:hRule="exact" w:val="456"/>
        </w:trPr>
        <w:tc>
          <w:tcPr>
            <w:tcW w:w="1100" w:type="dxa"/>
            <w:tcBorders>
              <w:top w:val="single" w:sz="32" w:space="0" w:color="FFFFFF"/>
              <w:left w:val="nil"/>
              <w:bottom w:val="single" w:sz="32" w:space="0" w:color="FFFFFF"/>
              <w:right w:val="single" w:sz="32" w:space="0" w:color="FFFFFF"/>
            </w:tcBorders>
            <w:shd w:val="clear" w:color="auto" w:fill="E6E7E8"/>
          </w:tcPr>
          <w:p w:rsidR="00484EFC" w:rsidRDefault="00484EFC" w:rsidP="00484EFC">
            <w:pPr>
              <w:spacing w:before="87" w:after="0"/>
              <w:ind w:left="120" w:right="-20"/>
              <w:rPr>
                <w:rFonts w:ascii="Arial" w:eastAsia="Arial" w:hAnsi="Arial" w:cs="Arial"/>
                <w:sz w:val="18"/>
                <w:szCs w:val="18"/>
              </w:rPr>
            </w:pPr>
            <w:r>
              <w:rPr>
                <w:rFonts w:ascii="Arial" w:eastAsia="Arial" w:hAnsi="Arial" w:cs="Arial"/>
                <w:color w:val="231F20"/>
                <w:w w:val="106"/>
                <w:sz w:val="18"/>
                <w:szCs w:val="18"/>
              </w:rPr>
              <w:t>None</w:t>
            </w:r>
          </w:p>
        </w:tc>
        <w:tc>
          <w:tcPr>
            <w:tcW w:w="8940" w:type="dxa"/>
            <w:tcBorders>
              <w:top w:val="single" w:sz="32" w:space="0" w:color="FFFFFF"/>
              <w:left w:val="single" w:sz="32" w:space="0" w:color="FFFFFF"/>
              <w:bottom w:val="single" w:sz="32" w:space="0" w:color="FFFFFF"/>
              <w:right w:val="nil"/>
            </w:tcBorders>
            <w:shd w:val="clear" w:color="auto" w:fill="E6E7E8"/>
          </w:tcPr>
          <w:p w:rsidR="00484EFC" w:rsidRDefault="00484EFC" w:rsidP="00484EFC">
            <w:pPr>
              <w:spacing w:before="87" w:after="0"/>
              <w:ind w:left="80" w:right="-20"/>
              <w:rPr>
                <w:rFonts w:ascii="Arial" w:eastAsia="Arial" w:hAnsi="Arial" w:cs="Arial"/>
                <w:sz w:val="18"/>
                <w:szCs w:val="18"/>
              </w:rPr>
            </w:pPr>
            <w:r>
              <w:rPr>
                <w:rFonts w:ascii="Arial" w:eastAsia="Arial" w:hAnsi="Arial" w:cs="Arial"/>
                <w:color w:val="231F20"/>
                <w:sz w:val="18"/>
                <w:szCs w:val="18"/>
              </w:rPr>
              <w:t>No</w:t>
            </w:r>
            <w:r>
              <w:rPr>
                <w:rFonts w:ascii="Arial" w:eastAsia="Arial" w:hAnsi="Arial" w:cs="Arial"/>
                <w:color w:val="231F20"/>
                <w:spacing w:val="21"/>
                <w:sz w:val="18"/>
                <w:szCs w:val="18"/>
              </w:rPr>
              <w:t xml:space="preserve"> </w:t>
            </w:r>
            <w:r>
              <w:rPr>
                <w:rFonts w:ascii="Arial" w:eastAsia="Arial" w:hAnsi="Arial" w:cs="Arial"/>
                <w:color w:val="231F20"/>
                <w:sz w:val="18"/>
                <w:szCs w:val="18"/>
              </w:rPr>
              <w:t>or</w:t>
            </w:r>
            <w:r>
              <w:rPr>
                <w:rFonts w:ascii="Arial" w:eastAsia="Arial" w:hAnsi="Arial" w:cs="Arial"/>
                <w:color w:val="231F20"/>
                <w:spacing w:val="15"/>
                <w:sz w:val="18"/>
                <w:szCs w:val="18"/>
              </w:rPr>
              <w:t xml:space="preserve"> </w:t>
            </w:r>
            <w:r>
              <w:rPr>
                <w:rFonts w:ascii="Arial" w:eastAsia="Arial" w:hAnsi="Arial" w:cs="Arial"/>
                <w:color w:val="231F20"/>
                <w:sz w:val="18"/>
                <w:szCs w:val="18"/>
              </w:rPr>
              <w:t>minimal</w:t>
            </w:r>
            <w:r>
              <w:rPr>
                <w:rFonts w:ascii="Arial" w:eastAsia="Arial" w:hAnsi="Arial" w:cs="Arial"/>
                <w:color w:val="231F20"/>
                <w:spacing w:val="11"/>
                <w:sz w:val="18"/>
                <w:szCs w:val="18"/>
              </w:rPr>
              <w:t xml:space="preserve"> </w:t>
            </w:r>
            <w:r>
              <w:rPr>
                <w:rFonts w:ascii="Arial" w:eastAsia="Arial" w:hAnsi="Arial" w:cs="Arial"/>
                <w:color w:val="231F20"/>
                <w:sz w:val="18"/>
                <w:szCs w:val="18"/>
              </w:rPr>
              <w:t>imp</w:t>
            </w:r>
            <w:r>
              <w:rPr>
                <w:rFonts w:ascii="Arial" w:eastAsia="Arial" w:hAnsi="Arial" w:cs="Arial"/>
                <w:color w:val="231F20"/>
                <w:spacing w:val="-3"/>
                <w:sz w:val="18"/>
                <w:szCs w:val="18"/>
              </w:rPr>
              <w:t>r</w:t>
            </w:r>
            <w:r>
              <w:rPr>
                <w:rFonts w:ascii="Arial" w:eastAsia="Arial" w:hAnsi="Arial" w:cs="Arial"/>
                <w:color w:val="231F20"/>
                <w:sz w:val="18"/>
                <w:szCs w:val="18"/>
              </w:rPr>
              <w:t>ovement,</w:t>
            </w:r>
            <w:r>
              <w:rPr>
                <w:rFonts w:ascii="Arial" w:eastAsia="Arial" w:hAnsi="Arial" w:cs="Arial"/>
                <w:color w:val="231F20"/>
                <w:spacing w:val="37"/>
                <w:sz w:val="18"/>
                <w:szCs w:val="18"/>
              </w:rPr>
              <w:t xml:space="preserve"> </w:t>
            </w:r>
            <w:r>
              <w:rPr>
                <w:rFonts w:ascii="Arial" w:eastAsia="Arial" w:hAnsi="Arial" w:cs="Arial"/>
                <w:color w:val="231F20"/>
                <w:sz w:val="18"/>
                <w:szCs w:val="18"/>
              </w:rPr>
              <w:t>or</w:t>
            </w:r>
            <w:r>
              <w:rPr>
                <w:rFonts w:ascii="Arial" w:eastAsia="Arial" w:hAnsi="Arial" w:cs="Arial"/>
                <w:color w:val="231F20"/>
                <w:spacing w:val="15"/>
                <w:sz w:val="18"/>
                <w:szCs w:val="18"/>
              </w:rPr>
              <w:t xml:space="preserve"> </w:t>
            </w:r>
            <w:r>
              <w:rPr>
                <w:rFonts w:ascii="Arial" w:eastAsia="Arial" w:hAnsi="Arial" w:cs="Arial"/>
                <w:color w:val="231F20"/>
                <w:sz w:val="18"/>
                <w:szCs w:val="18"/>
              </w:rPr>
              <w:t>condition</w:t>
            </w:r>
            <w:r>
              <w:rPr>
                <w:rFonts w:ascii="Arial" w:eastAsia="Arial" w:hAnsi="Arial" w:cs="Arial"/>
                <w:color w:val="231F20"/>
                <w:spacing w:val="41"/>
                <w:sz w:val="18"/>
                <w:szCs w:val="18"/>
              </w:rPr>
              <w:t xml:space="preserve"> </w:t>
            </w:r>
            <w:r>
              <w:rPr>
                <w:rFonts w:ascii="Arial" w:eastAsia="Arial" w:hAnsi="Arial" w:cs="Arial"/>
                <w:color w:val="231F20"/>
                <w:sz w:val="18"/>
                <w:szCs w:val="18"/>
              </w:rPr>
              <w:t>worsens,</w:t>
            </w:r>
            <w:r>
              <w:rPr>
                <w:rFonts w:ascii="Arial" w:eastAsia="Arial" w:hAnsi="Arial" w:cs="Arial"/>
                <w:color w:val="231F20"/>
                <w:spacing w:val="-9"/>
                <w:sz w:val="18"/>
                <w:szCs w:val="18"/>
              </w:rPr>
              <w:t xml:space="preserve"> </w:t>
            </w:r>
            <w:r>
              <w:rPr>
                <w:rFonts w:ascii="Arial" w:eastAsia="Arial" w:hAnsi="Arial" w:cs="Arial"/>
                <w:color w:val="231F20"/>
                <w:sz w:val="18"/>
                <w:szCs w:val="18"/>
              </w:rPr>
              <w:t>within</w:t>
            </w:r>
            <w:r>
              <w:rPr>
                <w:rFonts w:ascii="Arial" w:eastAsia="Arial" w:hAnsi="Arial" w:cs="Arial"/>
                <w:color w:val="231F20"/>
                <w:spacing w:val="28"/>
                <w:sz w:val="18"/>
                <w:szCs w:val="18"/>
              </w:rPr>
              <w:t xml:space="preserve"> </w:t>
            </w:r>
            <w:r>
              <w:rPr>
                <w:rFonts w:ascii="Arial" w:eastAsia="Arial" w:hAnsi="Arial" w:cs="Arial"/>
                <w:color w:val="231F20"/>
                <w:sz w:val="18"/>
                <w:szCs w:val="18"/>
              </w:rPr>
              <w:t>app</w:t>
            </w:r>
            <w:r>
              <w:rPr>
                <w:rFonts w:ascii="Arial" w:eastAsia="Arial" w:hAnsi="Arial" w:cs="Arial"/>
                <w:color w:val="231F20"/>
                <w:spacing w:val="-3"/>
                <w:sz w:val="18"/>
                <w:szCs w:val="18"/>
              </w:rPr>
              <w:t>r</w:t>
            </w:r>
            <w:r>
              <w:rPr>
                <w:rFonts w:ascii="Arial" w:eastAsia="Arial" w:hAnsi="Arial" w:cs="Arial"/>
                <w:color w:val="231F20"/>
                <w:sz w:val="18"/>
                <w:szCs w:val="18"/>
              </w:rPr>
              <w:t>oximately</w:t>
            </w:r>
            <w:r>
              <w:rPr>
                <w:rFonts w:ascii="Arial" w:eastAsia="Arial" w:hAnsi="Arial" w:cs="Arial"/>
                <w:color w:val="231F20"/>
                <w:spacing w:val="35"/>
                <w:sz w:val="18"/>
                <w:szCs w:val="18"/>
              </w:rPr>
              <w:t xml:space="preserve"> </w:t>
            </w:r>
            <w:r>
              <w:rPr>
                <w:rFonts w:ascii="Arial" w:eastAsia="Arial" w:hAnsi="Arial" w:cs="Arial"/>
                <w:color w:val="231F20"/>
                <w:sz w:val="18"/>
                <w:szCs w:val="18"/>
              </w:rPr>
              <w:t>8</w:t>
            </w:r>
            <w:r>
              <w:rPr>
                <w:rFonts w:ascii="Arial" w:eastAsia="Arial" w:hAnsi="Arial" w:cs="Arial"/>
                <w:color w:val="231F20"/>
                <w:spacing w:val="5"/>
                <w:sz w:val="18"/>
                <w:szCs w:val="18"/>
              </w:rPr>
              <w:t xml:space="preserve"> </w:t>
            </w:r>
            <w:r>
              <w:rPr>
                <w:rFonts w:ascii="Arial" w:eastAsia="Arial" w:hAnsi="Arial" w:cs="Arial"/>
                <w:color w:val="231F20"/>
                <w:sz w:val="18"/>
                <w:szCs w:val="18"/>
              </w:rPr>
              <w:t>hours after</w:t>
            </w:r>
            <w:r>
              <w:rPr>
                <w:rFonts w:ascii="Arial" w:eastAsia="Arial" w:hAnsi="Arial" w:cs="Arial"/>
                <w:color w:val="231F20"/>
                <w:spacing w:val="19"/>
                <w:sz w:val="18"/>
                <w:szCs w:val="18"/>
              </w:rPr>
              <w:t xml:space="preserve"> </w:t>
            </w:r>
            <w:r>
              <w:rPr>
                <w:rFonts w:ascii="Arial" w:eastAsia="Arial" w:hAnsi="Arial" w:cs="Arial"/>
                <w:color w:val="231F20"/>
                <w:sz w:val="18"/>
                <w:szCs w:val="18"/>
              </w:rPr>
              <w:t>the</w:t>
            </w:r>
            <w:r>
              <w:rPr>
                <w:rFonts w:ascii="Arial" w:eastAsia="Arial" w:hAnsi="Arial" w:cs="Arial"/>
                <w:color w:val="231F20"/>
                <w:spacing w:val="18"/>
                <w:sz w:val="18"/>
                <w:szCs w:val="18"/>
              </w:rPr>
              <w:t xml:space="preserve"> </w:t>
            </w:r>
            <w:r>
              <w:rPr>
                <w:rFonts w:ascii="Arial" w:eastAsia="Arial" w:hAnsi="Arial" w:cs="Arial"/>
                <w:color w:val="231F20"/>
                <w:sz w:val="18"/>
                <w:szCs w:val="18"/>
              </w:rPr>
              <w:t>initial</w:t>
            </w:r>
            <w:r>
              <w:rPr>
                <w:rFonts w:ascii="Arial" w:eastAsia="Arial" w:hAnsi="Arial" w:cs="Arial"/>
                <w:color w:val="231F20"/>
                <w:spacing w:val="21"/>
                <w:sz w:val="18"/>
                <w:szCs w:val="18"/>
              </w:rPr>
              <w:t xml:space="preserve"> </w:t>
            </w:r>
            <w:r>
              <w:rPr>
                <w:rFonts w:ascii="Arial" w:eastAsia="Arial" w:hAnsi="Arial" w:cs="Arial"/>
                <w:color w:val="231F20"/>
                <w:w w:val="103"/>
                <w:sz w:val="18"/>
                <w:szCs w:val="18"/>
              </w:rPr>
              <w:t>injection.</w:t>
            </w:r>
          </w:p>
        </w:tc>
      </w:tr>
    </w:tbl>
    <w:p w:rsidR="00484EFC" w:rsidRPr="00764630" w:rsidRDefault="00484EFC" w:rsidP="00484EFC">
      <w:pPr>
        <w:autoSpaceDE w:val="0"/>
        <w:autoSpaceDN w:val="0"/>
        <w:adjustRightInd w:val="0"/>
        <w:spacing w:after="0"/>
        <w:ind w:left="567" w:hanging="567"/>
        <w:rPr>
          <w:rFonts w:asciiTheme="minorHAnsi" w:hAnsiTheme="minorHAnsi" w:cs="Arial"/>
          <w:color w:val="221E1F"/>
          <w:sz w:val="18"/>
          <w:szCs w:val="18"/>
        </w:rPr>
      </w:pPr>
      <w:r w:rsidRPr="00764630">
        <w:rPr>
          <w:rFonts w:asciiTheme="minorHAnsi" w:hAnsiTheme="minorHAnsi" w:cs="Arial"/>
          <w:color w:val="221E1F"/>
          <w:sz w:val="18"/>
          <w:szCs w:val="18"/>
        </w:rPr>
        <w:t xml:space="preserve">Note: </w:t>
      </w:r>
      <w:r>
        <w:rPr>
          <w:rFonts w:asciiTheme="minorHAnsi" w:hAnsiTheme="minorHAnsi" w:cs="Arial"/>
          <w:color w:val="221E1F"/>
          <w:sz w:val="18"/>
          <w:szCs w:val="18"/>
        </w:rPr>
        <w:t xml:space="preserve"> </w:t>
      </w:r>
      <w:r w:rsidRPr="00764630">
        <w:rPr>
          <w:rFonts w:asciiTheme="minorHAnsi" w:hAnsiTheme="minorHAnsi" w:cs="Arial"/>
          <w:color w:val="221E1F"/>
          <w:sz w:val="18"/>
          <w:szCs w:val="18"/>
        </w:rPr>
        <w:t xml:space="preserve"> </w:t>
      </w:r>
      <w:r>
        <w:rPr>
          <w:rFonts w:asciiTheme="minorHAnsi" w:hAnsiTheme="minorHAnsi" w:cs="Arial"/>
          <w:color w:val="221E1F"/>
          <w:sz w:val="18"/>
          <w:szCs w:val="18"/>
        </w:rPr>
        <w:t xml:space="preserve"> </w:t>
      </w:r>
      <w:r w:rsidRPr="00764630">
        <w:rPr>
          <w:rFonts w:asciiTheme="minorHAnsi" w:hAnsiTheme="minorHAnsi" w:cs="Arial"/>
          <w:color w:val="221E1F"/>
          <w:sz w:val="18"/>
          <w:szCs w:val="18"/>
        </w:rPr>
        <w:t>The above definitions of response to treatment of an acute haemarthrosis relate to inhibitor negative individuals with haemophilia. These definitions may require modification for inhibitor positive patients receiving bypassing agents as haemostatic cover or patients who receive factor concentrates with extended half-lives.</w:t>
      </w:r>
    </w:p>
    <w:p w:rsidR="000B0ED6" w:rsidRDefault="000B0ED6" w:rsidP="00041ED2">
      <w:pPr>
        <w:pStyle w:val="Heading4"/>
        <w:rPr>
          <w:lang w:eastAsia="en-US"/>
        </w:rPr>
      </w:pPr>
    </w:p>
    <w:p w:rsidR="00484EFC" w:rsidRDefault="00484EFC" w:rsidP="00041ED2">
      <w:pPr>
        <w:pStyle w:val="Heading4"/>
        <w:rPr>
          <w:lang w:eastAsia="en-US"/>
        </w:rPr>
      </w:pPr>
      <w:r w:rsidRPr="004B228A">
        <w:rPr>
          <w:lang w:eastAsia="en-US"/>
        </w:rPr>
        <w:lastRenderedPageBreak/>
        <w:t xml:space="preserve">Arthrocentesis </w:t>
      </w:r>
    </w:p>
    <w:p w:rsidR="00484EFC" w:rsidRPr="0048165F" w:rsidRDefault="00484EFC" w:rsidP="00484EFC">
      <w:pPr>
        <w:autoSpaceDE w:val="0"/>
        <w:autoSpaceDN w:val="0"/>
        <w:adjustRightInd w:val="0"/>
        <w:spacing w:before="420" w:after="0"/>
        <w:ind w:left="1418" w:hanging="1305"/>
        <w:rPr>
          <w:rFonts w:asciiTheme="minorHAnsi" w:hAnsiTheme="minorHAnsi" w:cs="Arial"/>
          <w:b/>
          <w:bCs/>
          <w:color w:val="221E1F"/>
          <w:lang w:eastAsia="en-US"/>
        </w:rPr>
      </w:pPr>
      <w:r>
        <w:rPr>
          <w:rFonts w:asciiTheme="minorHAnsi" w:hAnsiTheme="minorHAnsi" w:cs="Arial"/>
          <w:bCs/>
          <w:iCs/>
          <w:color w:val="221E1F"/>
          <w:lang w:eastAsia="en-US"/>
        </w:rPr>
        <w:t>5.1.20</w:t>
      </w:r>
      <w:r>
        <w:rPr>
          <w:rFonts w:asciiTheme="minorHAnsi" w:hAnsiTheme="minorHAnsi" w:cs="Arial"/>
          <w:bCs/>
          <w:iCs/>
          <w:color w:val="221E1F"/>
          <w:lang w:eastAsia="en-US"/>
        </w:rPr>
        <w:tab/>
      </w:r>
      <w:r w:rsidRPr="004B228A">
        <w:rPr>
          <w:rFonts w:asciiTheme="minorHAnsi" w:hAnsiTheme="minorHAnsi" w:cs="Arial"/>
          <w:b/>
          <w:bCs/>
          <w:color w:val="221E1F"/>
          <w:lang w:eastAsia="en-US"/>
        </w:rPr>
        <w:t>Arthrocentesis (removal of blood from a joint) may be considered in the following situations:</w:t>
      </w:r>
    </w:p>
    <w:p w:rsidR="00484EFC" w:rsidRPr="0048165F" w:rsidRDefault="00484EFC" w:rsidP="00484EFC">
      <w:pPr>
        <w:pStyle w:val="ListParagraph"/>
        <w:autoSpaceDE w:val="0"/>
        <w:autoSpaceDN w:val="0"/>
        <w:adjustRightInd w:val="0"/>
        <w:spacing w:after="0"/>
        <w:ind w:left="1335"/>
        <w:rPr>
          <w:rFonts w:asciiTheme="minorHAnsi" w:hAnsiTheme="minorHAnsi" w:cs="Arial"/>
          <w:color w:val="221E1F"/>
          <w:lang w:eastAsia="en-US"/>
        </w:rPr>
      </w:pPr>
    </w:p>
    <w:p w:rsidR="00484EFC" w:rsidRPr="004B228A" w:rsidRDefault="00484EFC" w:rsidP="00484EFC">
      <w:pPr>
        <w:pStyle w:val="ListParagraph"/>
        <w:numPr>
          <w:ilvl w:val="0"/>
          <w:numId w:val="62"/>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b/>
          <w:bCs/>
          <w:color w:val="221E1F"/>
          <w:lang w:eastAsia="en-US"/>
        </w:rPr>
        <w:t xml:space="preserve">a bleeding, tense, and painful joint which shows no improvement 24 hours after conservative treatment </w:t>
      </w:r>
    </w:p>
    <w:p w:rsidR="00484EFC" w:rsidRPr="004B228A" w:rsidRDefault="00484EFC" w:rsidP="00484EFC">
      <w:pPr>
        <w:pStyle w:val="ListParagraph"/>
        <w:numPr>
          <w:ilvl w:val="0"/>
          <w:numId w:val="62"/>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b/>
          <w:bCs/>
          <w:color w:val="221E1F"/>
          <w:lang w:eastAsia="en-US"/>
        </w:rPr>
        <w:t xml:space="preserve">joint pain that cannot be alleviated </w:t>
      </w:r>
    </w:p>
    <w:p w:rsidR="00484EFC" w:rsidRPr="004B228A" w:rsidRDefault="00484EFC" w:rsidP="00484EFC">
      <w:pPr>
        <w:pStyle w:val="ListParagraph"/>
        <w:numPr>
          <w:ilvl w:val="0"/>
          <w:numId w:val="62"/>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b/>
          <w:bCs/>
          <w:color w:val="221E1F"/>
          <w:lang w:eastAsia="en-US"/>
        </w:rPr>
        <w:t xml:space="preserve">evidence of neurovascular compromise of the limb </w:t>
      </w:r>
    </w:p>
    <w:p w:rsidR="00484EFC" w:rsidRPr="0048165F" w:rsidRDefault="00484EFC" w:rsidP="00484EFC">
      <w:pPr>
        <w:pStyle w:val="ListParagraph"/>
        <w:numPr>
          <w:ilvl w:val="0"/>
          <w:numId w:val="62"/>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b/>
          <w:bCs/>
          <w:color w:val="221E1F"/>
          <w:lang w:eastAsia="en-US"/>
        </w:rPr>
        <w:t>unusual increase in local or systemic temper</w:t>
      </w:r>
      <w:r w:rsidRPr="004B228A">
        <w:rPr>
          <w:rFonts w:asciiTheme="minorHAnsi" w:hAnsiTheme="minorHAnsi" w:cs="Arial"/>
          <w:b/>
          <w:bCs/>
          <w:color w:val="221E1F"/>
          <w:lang w:eastAsia="en-US"/>
        </w:rPr>
        <w:softHyphen/>
        <w:t xml:space="preserve">ature and other evidence of infection (septic arthritis) </w:t>
      </w:r>
      <w:r w:rsidRPr="0048165F">
        <w:rPr>
          <w:rFonts w:asciiTheme="minorHAnsi" w:hAnsiTheme="minorHAnsi" w:cs="Arial"/>
          <w:b/>
          <w:bCs/>
          <w:color w:val="221E1F"/>
          <w:vertAlign w:val="superscript"/>
          <w:lang w:eastAsia="en-US"/>
        </w:rPr>
        <w:t>[4,9,10]</w:t>
      </w:r>
      <w:r w:rsidRPr="004B228A">
        <w:rPr>
          <w:rFonts w:asciiTheme="minorHAnsi" w:hAnsiTheme="minorHAnsi" w:cs="Arial"/>
          <w:b/>
          <w:bCs/>
          <w:color w:val="221E1F"/>
          <w:lang w:eastAsia="en-US"/>
        </w:rPr>
        <w:t xml:space="preserve"> </w:t>
      </w:r>
    </w:p>
    <w:p w:rsidR="00484EFC" w:rsidRDefault="00484EFC" w:rsidP="00484EFC">
      <w:pPr>
        <w:pStyle w:val="ListParagraph"/>
        <w:autoSpaceDE w:val="0"/>
        <w:autoSpaceDN w:val="0"/>
        <w:adjustRightInd w:val="0"/>
        <w:spacing w:after="0"/>
        <w:ind w:left="1701"/>
        <w:rPr>
          <w:rFonts w:asciiTheme="minorHAnsi" w:hAnsiTheme="minorHAnsi" w:cs="Arial"/>
          <w:color w:val="221E1F"/>
          <w:lang w:eastAsia="en-US"/>
        </w:rPr>
      </w:pP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5.1.21</w:t>
      </w:r>
      <w:r>
        <w:rPr>
          <w:rFonts w:asciiTheme="minorHAnsi" w:hAnsiTheme="minorHAnsi" w:cs="Arial"/>
          <w:color w:val="221E1F"/>
          <w:lang w:eastAsia="en-US"/>
        </w:rPr>
        <w:tab/>
      </w:r>
      <w:r w:rsidRPr="0048165F">
        <w:rPr>
          <w:rFonts w:asciiTheme="minorHAnsi" w:hAnsiTheme="minorHAnsi" w:cs="Arial"/>
          <w:color w:val="221E1F"/>
          <w:lang w:eastAsia="en-US"/>
        </w:rPr>
        <w:t>Inhibitors should be considered as a reason for persistent bleeding despite adequate factor replacement. The presence of inhibitors must be ruled out before arthrocentesis is attempted.</w:t>
      </w: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5.1.22</w:t>
      </w:r>
      <w:r>
        <w:rPr>
          <w:rFonts w:asciiTheme="minorHAnsi" w:hAnsiTheme="minorHAnsi" w:cs="Arial"/>
          <w:color w:val="221E1F"/>
          <w:lang w:eastAsia="en-US"/>
        </w:rPr>
        <w:tab/>
      </w:r>
      <w:proofErr w:type="gramStart"/>
      <w:r w:rsidRPr="004B228A">
        <w:rPr>
          <w:rFonts w:asciiTheme="minorHAnsi" w:hAnsiTheme="minorHAnsi" w:cs="Arial"/>
          <w:color w:val="221E1F"/>
          <w:lang w:eastAsia="en-US"/>
        </w:rPr>
        <w:t>The</w:t>
      </w:r>
      <w:proofErr w:type="gramEnd"/>
      <w:r w:rsidRPr="004B228A">
        <w:rPr>
          <w:rFonts w:asciiTheme="minorHAnsi" w:hAnsiTheme="minorHAnsi" w:cs="Arial"/>
          <w:color w:val="221E1F"/>
          <w:lang w:eastAsia="en-US"/>
        </w:rPr>
        <w:t xml:space="preserve"> early removal of blood should theoretically reduce its damaging effects on the articular cartilage</w:t>
      </w:r>
      <w:r>
        <w:rPr>
          <w:rFonts w:asciiTheme="minorHAnsi" w:hAnsiTheme="minorHAnsi" w:cs="Arial"/>
          <w:color w:val="221E1F"/>
          <w:lang w:eastAsia="en-US"/>
        </w:rPr>
        <w:t xml:space="preserve">. </w:t>
      </w:r>
      <w:r w:rsidRPr="0048165F">
        <w:rPr>
          <w:rFonts w:asciiTheme="minorHAnsi" w:hAnsiTheme="minorHAnsi" w:cs="Arial"/>
          <w:color w:val="221E1F"/>
          <w:vertAlign w:val="superscript"/>
          <w:lang w:eastAsia="en-US"/>
        </w:rPr>
        <w:t>[10]</w:t>
      </w:r>
      <w:r w:rsidRPr="004B228A">
        <w:rPr>
          <w:rFonts w:asciiTheme="minorHAnsi" w:hAnsiTheme="minorHAnsi" w:cs="Arial"/>
          <w:color w:val="221E1F"/>
          <w:lang w:eastAsia="en-US"/>
        </w:rPr>
        <w:t xml:space="preserve"> If there is a large accumulation of blood, it will also decrease pain.</w:t>
      </w: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5.1.23</w:t>
      </w:r>
      <w:r>
        <w:rPr>
          <w:rFonts w:asciiTheme="minorHAnsi" w:hAnsiTheme="minorHAnsi" w:cs="Arial"/>
          <w:color w:val="221E1F"/>
          <w:lang w:eastAsia="en-US"/>
        </w:rPr>
        <w:tab/>
      </w:r>
      <w:r w:rsidRPr="004B228A">
        <w:rPr>
          <w:rFonts w:asciiTheme="minorHAnsi" w:hAnsiTheme="minorHAnsi" w:cs="Arial"/>
          <w:color w:val="221E1F"/>
          <w:lang w:eastAsia="en-US"/>
        </w:rPr>
        <w:t>Arthrocentesis is best done soon after a bleed under strictly aseptic conditions.</w:t>
      </w: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pStyle w:val="ListParagraph"/>
        <w:autoSpaceDE w:val="0"/>
        <w:autoSpaceDN w:val="0"/>
        <w:adjustRightInd w:val="0"/>
        <w:spacing w:after="0"/>
        <w:ind w:left="1418" w:hanging="1305"/>
        <w:rPr>
          <w:rFonts w:asciiTheme="minorHAnsi" w:hAnsiTheme="minorHAnsi" w:cs="Arial"/>
          <w:b/>
          <w:bCs/>
          <w:color w:val="221E1F"/>
          <w:vertAlign w:val="superscript"/>
          <w:lang w:eastAsia="en-US"/>
        </w:rPr>
      </w:pPr>
      <w:r>
        <w:rPr>
          <w:rFonts w:asciiTheme="minorHAnsi" w:hAnsiTheme="minorHAnsi" w:cs="Arial"/>
          <w:color w:val="221E1F"/>
          <w:lang w:eastAsia="en-US"/>
        </w:rPr>
        <w:t>5.1.24</w:t>
      </w:r>
      <w:r>
        <w:rPr>
          <w:rFonts w:asciiTheme="minorHAnsi" w:hAnsiTheme="minorHAnsi" w:cs="Arial"/>
          <w:color w:val="221E1F"/>
          <w:lang w:eastAsia="en-US"/>
        </w:rPr>
        <w:tab/>
      </w:r>
      <w:r w:rsidRPr="004B228A">
        <w:rPr>
          <w:rFonts w:asciiTheme="minorHAnsi" w:hAnsiTheme="minorHAnsi" w:cs="Arial"/>
          <w:b/>
          <w:bCs/>
          <w:color w:val="221E1F"/>
          <w:lang w:eastAsia="en-US"/>
        </w:rPr>
        <w:t xml:space="preserve">When necessary, arthrocentesis should be performed under factor levels of at least 30–50 IU/dl for 48–72 hours. Arthrocentesis should not be done in circumstances where such factor replacement is not available. In the presence of inhibitors, other appropriate haemostatic agents should be used for the procedure, as needed. </w:t>
      </w:r>
      <w:r w:rsidRPr="0048165F">
        <w:rPr>
          <w:rFonts w:asciiTheme="minorHAnsi" w:hAnsiTheme="minorHAnsi" w:cs="Arial"/>
          <w:b/>
          <w:bCs/>
          <w:color w:val="221E1F"/>
          <w:vertAlign w:val="superscript"/>
          <w:lang w:eastAsia="en-US"/>
        </w:rPr>
        <w:t>[4]</w:t>
      </w: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5.1.25</w:t>
      </w:r>
      <w:r>
        <w:rPr>
          <w:rFonts w:asciiTheme="minorHAnsi" w:hAnsiTheme="minorHAnsi" w:cs="Arial"/>
          <w:color w:val="221E1F"/>
          <w:lang w:eastAsia="en-US"/>
        </w:rPr>
        <w:tab/>
      </w:r>
      <w:proofErr w:type="gramStart"/>
      <w:r w:rsidRPr="004B228A">
        <w:rPr>
          <w:rFonts w:asciiTheme="minorHAnsi" w:hAnsiTheme="minorHAnsi" w:cs="Arial"/>
          <w:color w:val="221E1F"/>
          <w:lang w:eastAsia="en-US"/>
        </w:rPr>
        <w:t>A</w:t>
      </w:r>
      <w:proofErr w:type="gramEnd"/>
      <w:r w:rsidRPr="004B228A">
        <w:rPr>
          <w:rFonts w:asciiTheme="minorHAnsi" w:hAnsiTheme="minorHAnsi" w:cs="Arial"/>
          <w:color w:val="221E1F"/>
          <w:lang w:eastAsia="en-US"/>
        </w:rPr>
        <w:t xml:space="preserve"> large bore needle, at least 16-gauge, should be used. </w:t>
      </w: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5.1.26</w:t>
      </w:r>
      <w:r>
        <w:rPr>
          <w:rFonts w:asciiTheme="minorHAnsi" w:hAnsiTheme="minorHAnsi" w:cs="Arial"/>
          <w:color w:val="221E1F"/>
          <w:lang w:eastAsia="en-US"/>
        </w:rPr>
        <w:tab/>
      </w:r>
      <w:proofErr w:type="gramStart"/>
      <w:r>
        <w:rPr>
          <w:rFonts w:asciiTheme="minorHAnsi" w:hAnsiTheme="minorHAnsi" w:cs="Arial"/>
          <w:color w:val="221E1F"/>
          <w:lang w:eastAsia="en-US"/>
        </w:rPr>
        <w:t>The</w:t>
      </w:r>
      <w:proofErr w:type="gramEnd"/>
      <w:r>
        <w:rPr>
          <w:rFonts w:asciiTheme="minorHAnsi" w:hAnsiTheme="minorHAnsi" w:cs="Arial"/>
          <w:color w:val="221E1F"/>
          <w:lang w:eastAsia="en-US"/>
        </w:rPr>
        <w:t xml:space="preserve"> joint should be immobilis</w:t>
      </w:r>
      <w:r w:rsidRPr="004B228A">
        <w:rPr>
          <w:rFonts w:asciiTheme="minorHAnsi" w:hAnsiTheme="minorHAnsi" w:cs="Arial"/>
          <w:color w:val="221E1F"/>
          <w:lang w:eastAsia="en-US"/>
        </w:rPr>
        <w:t xml:space="preserve">ed with mild compression. </w:t>
      </w: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5.1.27</w:t>
      </w:r>
      <w:r>
        <w:rPr>
          <w:rFonts w:asciiTheme="minorHAnsi" w:hAnsiTheme="minorHAnsi" w:cs="Arial"/>
          <w:color w:val="221E1F"/>
          <w:lang w:eastAsia="en-US"/>
        </w:rPr>
        <w:tab/>
      </w:r>
      <w:r w:rsidRPr="004B228A">
        <w:rPr>
          <w:rFonts w:asciiTheme="minorHAnsi" w:hAnsiTheme="minorHAnsi" w:cs="Arial"/>
          <w:color w:val="221E1F"/>
          <w:lang w:eastAsia="en-US"/>
        </w:rPr>
        <w:t xml:space="preserve">Weight-bearing should be avoided for 24–48 hours. </w:t>
      </w:r>
    </w:p>
    <w:p w:rsidR="00484EFC"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p>
    <w:p w:rsidR="00484EFC" w:rsidRPr="004B228A" w:rsidRDefault="00484EFC" w:rsidP="00484EFC">
      <w:pPr>
        <w:pStyle w:val="ListParagraph"/>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5.1.28</w:t>
      </w:r>
      <w:r>
        <w:rPr>
          <w:rFonts w:asciiTheme="minorHAnsi" w:hAnsiTheme="minorHAnsi" w:cs="Arial"/>
          <w:color w:val="221E1F"/>
          <w:lang w:eastAsia="en-US"/>
        </w:rPr>
        <w:tab/>
      </w:r>
      <w:r w:rsidRPr="004B228A">
        <w:rPr>
          <w:rFonts w:asciiTheme="minorHAnsi" w:hAnsiTheme="minorHAnsi" w:cs="Arial"/>
          <w:color w:val="221E1F"/>
          <w:lang w:eastAsia="en-US"/>
        </w:rPr>
        <w:t>Physiotherapy should be initiated as described above.</w:t>
      </w:r>
    </w:p>
    <w:p w:rsidR="00484EFC" w:rsidRPr="004B228A" w:rsidRDefault="00484EFC" w:rsidP="00484EFC">
      <w:pPr>
        <w:pStyle w:val="Default"/>
        <w:spacing w:line="276" w:lineRule="auto"/>
        <w:rPr>
          <w:rFonts w:asciiTheme="minorHAnsi" w:hAnsiTheme="minorHAnsi"/>
        </w:rPr>
      </w:pPr>
    </w:p>
    <w:p w:rsidR="00484EFC" w:rsidRPr="004B228A" w:rsidRDefault="00484EFC" w:rsidP="00484EFC">
      <w:pPr>
        <w:autoSpaceDE w:val="0"/>
        <w:autoSpaceDN w:val="0"/>
        <w:adjustRightInd w:val="0"/>
        <w:spacing w:after="0"/>
        <w:ind w:left="1418"/>
        <w:rPr>
          <w:rFonts w:asciiTheme="minorHAnsi" w:hAnsiTheme="minorHAnsi" w:cs="Arial"/>
          <w:color w:val="211D1E"/>
          <w:lang w:eastAsia="en-US"/>
        </w:rPr>
      </w:pPr>
      <w:r w:rsidRPr="004B228A">
        <w:rPr>
          <w:rFonts w:asciiTheme="minorHAnsi" w:hAnsiTheme="minorHAnsi" w:cs="Arial"/>
          <w:color w:val="211D1E"/>
          <w:lang w:eastAsia="en-US"/>
        </w:rPr>
        <w:t xml:space="preserve">The routine use of joint aspiration with or without administration of intra-articular steroids in patients with acute haemarthrosis to limit active synovitis and reduce the risk of recurrent bleeding is unclear. </w:t>
      </w:r>
      <w:r w:rsidRPr="004B228A">
        <w:rPr>
          <w:rFonts w:asciiTheme="minorHAnsi" w:hAnsiTheme="minorHAnsi" w:cs="Arial"/>
          <w:color w:val="221E1F"/>
        </w:rPr>
        <w:t>A systematic review was performed to evaluate the efficacy of joint aspiration and intra-articular steroid injection in patients with haemophilia with and without pre-existing haemophilic arthropathy or synovitis. (</w:t>
      </w:r>
      <w:r w:rsidR="00C83A3F">
        <w:rPr>
          <w:rFonts w:asciiTheme="minorHAnsi" w:hAnsiTheme="minorHAnsi" w:cs="Arial"/>
          <w:color w:val="221E1F"/>
        </w:rPr>
        <w:t>Appendix C</w:t>
      </w:r>
      <w:r>
        <w:rPr>
          <w:rFonts w:asciiTheme="minorHAnsi" w:hAnsiTheme="minorHAnsi" w:cs="Arial"/>
          <w:color w:val="221E1F"/>
        </w:rPr>
        <w:t>)</w:t>
      </w:r>
      <w:r w:rsidRPr="004B228A">
        <w:rPr>
          <w:rFonts w:asciiTheme="minorHAnsi" w:hAnsiTheme="minorHAnsi" w:cs="Arial"/>
          <w:color w:val="221E1F"/>
        </w:rPr>
        <w:t xml:space="preserve"> The following conclusions were made after available evidence was assessed using the GRADE criteria;</w:t>
      </w:r>
    </w:p>
    <w:p w:rsidR="00484EFC" w:rsidRPr="004B228A" w:rsidRDefault="00484EFC" w:rsidP="00484EFC">
      <w:pPr>
        <w:pStyle w:val="Default"/>
        <w:spacing w:line="276" w:lineRule="auto"/>
        <w:rPr>
          <w:rFonts w:asciiTheme="minorHAnsi" w:hAnsiTheme="minorHAnsi"/>
        </w:rPr>
      </w:pPr>
    </w:p>
    <w:p w:rsidR="00484EFC" w:rsidRPr="00BE5BE5" w:rsidRDefault="00484EFC" w:rsidP="00041ED2">
      <w:pPr>
        <w:pStyle w:val="bullet"/>
        <w:numPr>
          <w:ilvl w:val="0"/>
          <w:numId w:val="68"/>
        </w:numPr>
        <w:spacing w:line="276" w:lineRule="auto"/>
        <w:ind w:left="1701" w:hanging="284"/>
        <w:jc w:val="left"/>
        <w:rPr>
          <w:rFonts w:asciiTheme="minorHAnsi" w:hAnsiTheme="minorHAnsi"/>
          <w:sz w:val="22"/>
          <w:szCs w:val="22"/>
          <w:lang w:eastAsia="en-AU"/>
        </w:rPr>
      </w:pPr>
      <w:r w:rsidRPr="00BE5BE5">
        <w:rPr>
          <w:rFonts w:asciiTheme="minorHAnsi" w:hAnsiTheme="minorHAnsi"/>
          <w:sz w:val="22"/>
          <w:szCs w:val="22"/>
          <w:lang w:eastAsia="en-AU"/>
        </w:rPr>
        <w:t>In patients with haemophilia A and haemarthrosis of the knee, it is uncertain whether joint aspiration leads to bleeding episodes compared with no joint aspiration because the certainty of the evidence is very low.</w:t>
      </w:r>
    </w:p>
    <w:p w:rsidR="00484EFC" w:rsidRPr="00BE5BE5" w:rsidRDefault="00484EFC" w:rsidP="00041ED2">
      <w:pPr>
        <w:pStyle w:val="bullet"/>
        <w:numPr>
          <w:ilvl w:val="0"/>
          <w:numId w:val="68"/>
        </w:numPr>
        <w:spacing w:line="276" w:lineRule="auto"/>
        <w:ind w:left="1701" w:hanging="284"/>
        <w:jc w:val="left"/>
        <w:rPr>
          <w:rFonts w:asciiTheme="minorHAnsi" w:hAnsiTheme="minorHAnsi"/>
          <w:sz w:val="22"/>
          <w:szCs w:val="22"/>
          <w:lang w:eastAsia="en-AU"/>
        </w:rPr>
      </w:pPr>
      <w:r w:rsidRPr="00BE5BE5">
        <w:rPr>
          <w:rFonts w:asciiTheme="minorHAnsi" w:hAnsiTheme="minorHAnsi"/>
          <w:sz w:val="22"/>
          <w:szCs w:val="22"/>
          <w:lang w:eastAsia="en-AU"/>
        </w:rPr>
        <w:t>In patients with haemophilia A and acute, tense knee haemarthrosis, it is uncertain whether early joint aspiration (performed in the first 24 hours after the onset of symptoms) leads to better resolution of acute knee haemarthroses compared with no joint aspiration because the certainty of the evidence is very low.</w:t>
      </w:r>
    </w:p>
    <w:p w:rsidR="00484EFC" w:rsidRPr="00BE5BE5" w:rsidRDefault="00484EFC" w:rsidP="00041ED2">
      <w:pPr>
        <w:pStyle w:val="bullet"/>
        <w:numPr>
          <w:ilvl w:val="0"/>
          <w:numId w:val="68"/>
        </w:numPr>
        <w:spacing w:line="276" w:lineRule="auto"/>
        <w:ind w:left="1701" w:hanging="284"/>
        <w:jc w:val="left"/>
        <w:rPr>
          <w:rFonts w:asciiTheme="minorHAnsi" w:hAnsiTheme="minorHAnsi"/>
          <w:sz w:val="22"/>
          <w:szCs w:val="22"/>
          <w:lang w:eastAsia="en-AU"/>
        </w:rPr>
      </w:pPr>
      <w:r w:rsidRPr="00BE5BE5">
        <w:rPr>
          <w:rFonts w:asciiTheme="minorHAnsi" w:hAnsiTheme="minorHAnsi"/>
          <w:sz w:val="22"/>
          <w:szCs w:val="22"/>
          <w:lang w:eastAsia="en-AU"/>
        </w:rPr>
        <w:lastRenderedPageBreak/>
        <w:t>In patients with haemophilia and haemophilic arthropathy, no studies were found that evaluated the effect of joint aspiration on recurrent haemarthrosis.</w:t>
      </w:r>
    </w:p>
    <w:p w:rsidR="00484EFC" w:rsidRPr="00BE5BE5" w:rsidRDefault="00484EFC" w:rsidP="00041ED2">
      <w:pPr>
        <w:pStyle w:val="bullet"/>
        <w:numPr>
          <w:ilvl w:val="0"/>
          <w:numId w:val="68"/>
        </w:numPr>
        <w:spacing w:line="276" w:lineRule="auto"/>
        <w:ind w:left="1701" w:hanging="284"/>
        <w:jc w:val="left"/>
        <w:rPr>
          <w:rFonts w:asciiTheme="minorHAnsi" w:hAnsiTheme="minorHAnsi"/>
          <w:sz w:val="22"/>
          <w:szCs w:val="22"/>
          <w:lang w:eastAsia="en-AU"/>
        </w:rPr>
      </w:pPr>
      <w:r w:rsidRPr="00BE5BE5">
        <w:rPr>
          <w:rFonts w:asciiTheme="minorHAnsi" w:hAnsiTheme="minorHAnsi"/>
          <w:sz w:val="22"/>
          <w:szCs w:val="22"/>
          <w:lang w:eastAsia="en-AU"/>
        </w:rPr>
        <w:t>In patients with haemophilia and haemophilic arthropathy, no studies were found that evaluated the effect of joint aspiration on development of a target joint.</w:t>
      </w:r>
    </w:p>
    <w:p w:rsidR="00484EFC" w:rsidRPr="00BE5BE5" w:rsidRDefault="00484EFC" w:rsidP="00041ED2">
      <w:pPr>
        <w:pStyle w:val="bullet"/>
        <w:numPr>
          <w:ilvl w:val="0"/>
          <w:numId w:val="68"/>
        </w:numPr>
        <w:spacing w:line="276" w:lineRule="auto"/>
        <w:ind w:left="1701" w:hanging="284"/>
        <w:jc w:val="left"/>
        <w:rPr>
          <w:rFonts w:asciiTheme="minorHAnsi" w:hAnsiTheme="minorHAnsi"/>
          <w:sz w:val="22"/>
          <w:szCs w:val="22"/>
          <w:lang w:eastAsia="en-AU"/>
        </w:rPr>
      </w:pPr>
      <w:r w:rsidRPr="00BE5BE5">
        <w:rPr>
          <w:rFonts w:asciiTheme="minorHAnsi" w:hAnsiTheme="minorHAnsi"/>
          <w:sz w:val="22"/>
          <w:szCs w:val="22"/>
          <w:lang w:eastAsia="en-AU"/>
        </w:rPr>
        <w:t>In patients with haemophilia A and haemarthrosis of the knee, it is uncertain whether joint aspiration (performed in the first 48 hours after the onset of symptoms) improves range of movement compared with no joint aspiration because the certainty of the evidence is very low.</w:t>
      </w:r>
    </w:p>
    <w:p w:rsidR="00484EFC" w:rsidRPr="00BE5BE5" w:rsidRDefault="00484EFC" w:rsidP="00041ED2">
      <w:pPr>
        <w:pStyle w:val="bullet"/>
        <w:numPr>
          <w:ilvl w:val="0"/>
          <w:numId w:val="68"/>
        </w:numPr>
        <w:spacing w:line="276" w:lineRule="auto"/>
        <w:ind w:left="1701" w:hanging="284"/>
        <w:jc w:val="left"/>
        <w:rPr>
          <w:rFonts w:asciiTheme="minorHAnsi" w:hAnsiTheme="minorHAnsi"/>
          <w:sz w:val="22"/>
          <w:szCs w:val="22"/>
          <w:lang w:eastAsia="en-AU"/>
        </w:rPr>
      </w:pPr>
      <w:r w:rsidRPr="00BE5BE5">
        <w:rPr>
          <w:rFonts w:asciiTheme="minorHAnsi" w:hAnsiTheme="minorHAnsi"/>
          <w:sz w:val="22"/>
          <w:szCs w:val="22"/>
          <w:lang w:eastAsia="en-AU"/>
        </w:rPr>
        <w:t>In patients with haemophilia and haemophilic arthropathy, no studies were found that evaluated the effect of intra-articular steroid on recurrent haemarthrosis.</w:t>
      </w:r>
    </w:p>
    <w:p w:rsidR="00484EFC" w:rsidRPr="00BE5BE5" w:rsidRDefault="00484EFC" w:rsidP="00041ED2">
      <w:pPr>
        <w:pStyle w:val="bullet"/>
        <w:numPr>
          <w:ilvl w:val="0"/>
          <w:numId w:val="68"/>
        </w:numPr>
        <w:spacing w:line="276" w:lineRule="auto"/>
        <w:ind w:left="1701" w:hanging="284"/>
        <w:jc w:val="left"/>
        <w:rPr>
          <w:rFonts w:asciiTheme="minorHAnsi" w:hAnsiTheme="minorHAnsi"/>
          <w:sz w:val="22"/>
          <w:szCs w:val="22"/>
          <w:lang w:eastAsia="en-AU"/>
        </w:rPr>
      </w:pPr>
      <w:r w:rsidRPr="00BE5BE5">
        <w:rPr>
          <w:rFonts w:asciiTheme="minorHAnsi" w:hAnsiTheme="minorHAnsi"/>
          <w:sz w:val="22"/>
          <w:szCs w:val="22"/>
          <w:lang w:eastAsia="en-AU"/>
        </w:rPr>
        <w:t>In patients with haemophilia and haemophilic arthropathy, no studies were found that evaluated the effect of intra-articular steroid on development of a target joint.</w:t>
      </w:r>
    </w:p>
    <w:p w:rsidR="00484EFC" w:rsidRPr="00BE5BE5" w:rsidRDefault="00484EFC" w:rsidP="00041ED2">
      <w:pPr>
        <w:pStyle w:val="bullet"/>
        <w:numPr>
          <w:ilvl w:val="0"/>
          <w:numId w:val="68"/>
        </w:numPr>
        <w:spacing w:line="276" w:lineRule="auto"/>
        <w:ind w:left="1701" w:hanging="284"/>
        <w:jc w:val="left"/>
        <w:rPr>
          <w:rFonts w:asciiTheme="minorHAnsi" w:hAnsiTheme="minorHAnsi"/>
          <w:sz w:val="22"/>
          <w:szCs w:val="22"/>
          <w:lang w:eastAsia="en-AU"/>
        </w:rPr>
      </w:pPr>
      <w:r w:rsidRPr="00BE5BE5">
        <w:rPr>
          <w:rFonts w:asciiTheme="minorHAnsi" w:hAnsiTheme="minorHAnsi"/>
          <w:sz w:val="22"/>
          <w:szCs w:val="22"/>
          <w:lang w:eastAsia="en-AU"/>
        </w:rPr>
        <w:t>In patients with haemophilia and haemophilic arthropathy, no studies were found that evaluated the effect of intra-articular steroid on bleeding rates/events.</w:t>
      </w:r>
    </w:p>
    <w:p w:rsidR="00484EFC" w:rsidRPr="00BE5BE5" w:rsidRDefault="00484EFC" w:rsidP="00041ED2">
      <w:pPr>
        <w:pStyle w:val="bullet"/>
        <w:numPr>
          <w:ilvl w:val="0"/>
          <w:numId w:val="68"/>
        </w:numPr>
        <w:spacing w:line="276" w:lineRule="auto"/>
        <w:ind w:left="1701" w:hanging="284"/>
        <w:jc w:val="left"/>
        <w:rPr>
          <w:rFonts w:asciiTheme="minorHAnsi" w:hAnsiTheme="minorHAnsi"/>
          <w:sz w:val="22"/>
          <w:szCs w:val="22"/>
          <w:lang w:eastAsia="en-AU"/>
        </w:rPr>
      </w:pPr>
      <w:r w:rsidRPr="00BE5BE5">
        <w:rPr>
          <w:rFonts w:asciiTheme="minorHAnsi" w:hAnsiTheme="minorHAnsi"/>
          <w:sz w:val="22"/>
          <w:szCs w:val="22"/>
          <w:lang w:eastAsia="en-AU"/>
        </w:rPr>
        <w:t>In patients with haemophilia and haemophilic arthropathy, no studies were found that evaluated the effect of intra-articular steroid on development of or change in arthropathy.</w:t>
      </w:r>
    </w:p>
    <w:p w:rsidR="00484EFC" w:rsidRPr="004B228A" w:rsidRDefault="00484EFC">
      <w:pPr>
        <w:pStyle w:val="bullet"/>
        <w:numPr>
          <w:ilvl w:val="0"/>
          <w:numId w:val="0"/>
        </w:numPr>
        <w:spacing w:line="276" w:lineRule="auto"/>
        <w:rPr>
          <w:rFonts w:asciiTheme="minorHAnsi" w:hAnsiTheme="minorHAnsi"/>
          <w:lang w:eastAsia="en-AU"/>
        </w:rPr>
      </w:pPr>
    </w:p>
    <w:p w:rsidR="00484EFC" w:rsidRPr="004B228A" w:rsidRDefault="00484EFC" w:rsidP="00041ED2">
      <w:pPr>
        <w:ind w:left="1417"/>
        <w:rPr>
          <w:rFonts w:asciiTheme="minorHAnsi" w:hAnsiTheme="minorHAnsi"/>
        </w:rPr>
      </w:pPr>
      <w:r w:rsidRPr="004B228A">
        <w:rPr>
          <w:rFonts w:asciiTheme="minorHAnsi" w:hAnsiTheme="minorHAnsi"/>
        </w:rPr>
        <w:t>Further research is therefore required to evaluate the routine use of joint aspiration +/- the administration of intra-articular steroid in the management of acute haemarthrosis.</w:t>
      </w:r>
    </w:p>
    <w:p w:rsidR="00484EFC" w:rsidRPr="00041ED2" w:rsidRDefault="00484EFC" w:rsidP="00041ED2">
      <w:pPr>
        <w:pStyle w:val="Heading3"/>
        <w:rPr>
          <w:rStyle w:val="A8"/>
        </w:rPr>
      </w:pPr>
      <w:bookmarkStart w:id="35" w:name="_Toc431484328"/>
      <w:r w:rsidRPr="00041ED2">
        <w:rPr>
          <w:rFonts w:eastAsia="Calibri"/>
        </w:rPr>
        <w:t>5.2</w:t>
      </w:r>
      <w:r w:rsidRPr="00041ED2">
        <w:rPr>
          <w:rStyle w:val="A8"/>
          <w:rFonts w:eastAsia="Calibri"/>
          <w:b/>
        </w:rPr>
        <w:t xml:space="preserve"> </w:t>
      </w:r>
      <w:r w:rsidRPr="00041ED2">
        <w:rPr>
          <w:rStyle w:val="A8"/>
        </w:rPr>
        <w:t>Muscle haemorrhage</w:t>
      </w:r>
      <w:bookmarkEnd w:id="35"/>
      <w:r w:rsidRPr="00041ED2">
        <w:rPr>
          <w:rStyle w:val="A8"/>
        </w:rPr>
        <w:t xml:space="preserve"> </w:t>
      </w:r>
    </w:p>
    <w:p w:rsidR="00484EFC" w:rsidRDefault="00484EFC" w:rsidP="00484EFC">
      <w:pPr>
        <w:ind w:left="1418" w:hanging="1305"/>
        <w:rPr>
          <w:rFonts w:asciiTheme="minorHAnsi" w:hAnsiTheme="minorHAnsi" w:cs="Arial"/>
          <w:color w:val="221E1F"/>
        </w:rPr>
      </w:pPr>
      <w:r w:rsidRPr="0048165F">
        <w:rPr>
          <w:rFonts w:asciiTheme="minorHAnsi" w:hAnsiTheme="minorHAnsi" w:cs="Arial"/>
          <w:color w:val="221E1F"/>
        </w:rPr>
        <w:t>5.2.1</w:t>
      </w:r>
      <w:r>
        <w:rPr>
          <w:rFonts w:asciiTheme="minorHAnsi" w:hAnsiTheme="minorHAnsi" w:cs="Arial"/>
          <w:color w:val="221E1F"/>
        </w:rPr>
        <w:tab/>
      </w:r>
      <w:r w:rsidRPr="004B228A">
        <w:rPr>
          <w:rFonts w:asciiTheme="minorHAnsi" w:hAnsiTheme="minorHAnsi" w:cs="Arial"/>
          <w:color w:val="221E1F"/>
        </w:rPr>
        <w:t xml:space="preserve">Muscle bleeds can occur in any muscle of the body, usually from a direct blow or a sudden stretch. </w:t>
      </w:r>
    </w:p>
    <w:p w:rsidR="00484EFC" w:rsidRDefault="00484EFC" w:rsidP="00484EFC">
      <w:pPr>
        <w:ind w:left="1418" w:hanging="1305"/>
        <w:rPr>
          <w:rFonts w:asciiTheme="minorHAnsi" w:hAnsiTheme="minorHAnsi" w:cs="Arial"/>
          <w:color w:val="221E1F"/>
        </w:rPr>
      </w:pPr>
      <w:r>
        <w:rPr>
          <w:rStyle w:val="A8"/>
          <w:rFonts w:asciiTheme="minorHAnsi" w:eastAsia="Dotum" w:hAnsiTheme="minorHAnsi"/>
          <w:color w:val="221E1F"/>
          <w:sz w:val="22"/>
        </w:rPr>
        <w:t>5.2.2</w:t>
      </w:r>
      <w:r>
        <w:rPr>
          <w:rStyle w:val="A8"/>
          <w:rFonts w:asciiTheme="minorHAnsi" w:eastAsia="Dotum" w:hAnsiTheme="minorHAnsi"/>
          <w:color w:val="221E1F"/>
          <w:sz w:val="22"/>
        </w:rPr>
        <w:tab/>
      </w:r>
      <w:r w:rsidRPr="004B228A">
        <w:rPr>
          <w:rFonts w:asciiTheme="minorHAnsi" w:hAnsiTheme="minorHAnsi" w:cs="Arial"/>
          <w:color w:val="221E1F"/>
        </w:rPr>
        <w:t>A muscle bleed is defined as an episode of bleeding into a muscle, determined clinically and/or by imaging studies, generally associated with pain and/or swelling and functional impair</w:t>
      </w:r>
      <w:r w:rsidRPr="004B228A">
        <w:rPr>
          <w:rFonts w:asciiTheme="minorHAnsi" w:hAnsiTheme="minorHAnsi" w:cs="Arial"/>
          <w:color w:val="221E1F"/>
        </w:rPr>
        <w:softHyphen/>
        <w:t>ment e.g. a limp associated with a calf bleed</w:t>
      </w:r>
      <w:r>
        <w:rPr>
          <w:rFonts w:asciiTheme="minorHAnsi" w:hAnsiTheme="minorHAnsi" w:cs="Arial"/>
          <w:color w:val="221E1F"/>
        </w:rPr>
        <w:t xml:space="preserve">. </w:t>
      </w:r>
      <w:r w:rsidRPr="0048165F">
        <w:rPr>
          <w:rFonts w:asciiTheme="minorHAnsi" w:hAnsiTheme="minorHAnsi" w:cs="Arial"/>
          <w:color w:val="221E1F"/>
          <w:vertAlign w:val="superscript"/>
        </w:rPr>
        <w:t xml:space="preserve">[1] </w:t>
      </w:r>
    </w:p>
    <w:p w:rsidR="00484EFC" w:rsidRDefault="00484EFC" w:rsidP="00484EFC">
      <w:pPr>
        <w:ind w:left="1418" w:hanging="1305"/>
        <w:rPr>
          <w:rFonts w:asciiTheme="minorHAnsi" w:hAnsiTheme="minorHAnsi" w:cs="Arial"/>
          <w:color w:val="221E1F"/>
        </w:rPr>
      </w:pPr>
      <w:r>
        <w:rPr>
          <w:rFonts w:asciiTheme="minorHAnsi" w:hAnsiTheme="minorHAnsi" w:cs="Arial"/>
          <w:color w:val="221E1F"/>
        </w:rPr>
        <w:t>5.2.3</w:t>
      </w:r>
      <w:r>
        <w:rPr>
          <w:rFonts w:asciiTheme="minorHAnsi" w:hAnsiTheme="minorHAnsi" w:cs="Arial"/>
          <w:color w:val="221E1F"/>
        </w:rPr>
        <w:tab/>
      </w:r>
      <w:r w:rsidRPr="004B228A">
        <w:rPr>
          <w:rFonts w:asciiTheme="minorHAnsi" w:hAnsiTheme="minorHAnsi" w:cs="Arial"/>
          <w:color w:val="221E1F"/>
        </w:rPr>
        <w:t>Early identification and proper management of muscle bleeds</w:t>
      </w:r>
      <w:r>
        <w:rPr>
          <w:rFonts w:asciiTheme="minorHAnsi" w:hAnsiTheme="minorHAnsi" w:cs="Arial"/>
          <w:color w:val="221E1F"/>
        </w:rPr>
        <w:t xml:space="preserve"> are important to prevent perma</w:t>
      </w:r>
      <w:r w:rsidRPr="004B228A">
        <w:rPr>
          <w:rFonts w:asciiTheme="minorHAnsi" w:hAnsiTheme="minorHAnsi" w:cs="Arial"/>
          <w:color w:val="221E1F"/>
        </w:rPr>
        <w:t xml:space="preserve">nent contracture, re-bleeding, and formation of pseudotumours. </w:t>
      </w:r>
    </w:p>
    <w:p w:rsidR="00484EFC" w:rsidRPr="0048165F" w:rsidRDefault="00484EFC" w:rsidP="00484EFC">
      <w:pPr>
        <w:ind w:left="1418" w:hanging="1305"/>
        <w:rPr>
          <w:rFonts w:asciiTheme="minorHAnsi" w:hAnsiTheme="minorHAnsi"/>
        </w:rPr>
      </w:pPr>
      <w:r>
        <w:rPr>
          <w:rFonts w:asciiTheme="minorHAnsi" w:hAnsiTheme="minorHAnsi" w:cs="Arial"/>
          <w:color w:val="221E1F"/>
        </w:rPr>
        <w:t>5.2.4</w:t>
      </w:r>
      <w:r>
        <w:rPr>
          <w:rFonts w:asciiTheme="minorHAnsi" w:hAnsiTheme="minorHAnsi" w:cs="Arial"/>
          <w:color w:val="221E1F"/>
        </w:rPr>
        <w:tab/>
      </w:r>
      <w:r w:rsidRPr="004B228A">
        <w:rPr>
          <w:rFonts w:asciiTheme="minorHAnsi" w:hAnsiTheme="minorHAnsi" w:cs="Arial"/>
          <w:color w:val="221E1F"/>
        </w:rPr>
        <w:t>Sites of muscle bleeding that are associated with neurovascular compromise, such as the deep flexor muscle groups of the limbs, require imme</w:t>
      </w:r>
      <w:r w:rsidRPr="004B228A">
        <w:rPr>
          <w:rFonts w:asciiTheme="minorHAnsi" w:hAnsiTheme="minorHAnsi" w:cs="Arial"/>
          <w:color w:val="221E1F"/>
        </w:rPr>
        <w:softHyphen/>
        <w:t>diate management to prevent permanent damage and loss of function. These groups include:</w:t>
      </w:r>
    </w:p>
    <w:p w:rsidR="00484EFC" w:rsidRPr="004B228A" w:rsidRDefault="00484EFC" w:rsidP="00484EFC">
      <w:pPr>
        <w:pStyle w:val="Default"/>
        <w:numPr>
          <w:ilvl w:val="0"/>
          <w:numId w:val="63"/>
        </w:numPr>
        <w:spacing w:after="222" w:line="276" w:lineRule="auto"/>
        <w:ind w:left="1701" w:hanging="284"/>
        <w:rPr>
          <w:rFonts w:asciiTheme="minorHAnsi" w:hAnsiTheme="minorHAnsi" w:cs="Arial"/>
          <w:color w:val="221E1F"/>
          <w:sz w:val="22"/>
          <w:szCs w:val="22"/>
        </w:rPr>
      </w:pPr>
      <w:r w:rsidRPr="004B228A">
        <w:rPr>
          <w:rFonts w:asciiTheme="minorHAnsi" w:hAnsiTheme="minorHAnsi" w:cs="Arial"/>
          <w:color w:val="221E1F"/>
          <w:sz w:val="22"/>
          <w:szCs w:val="22"/>
        </w:rPr>
        <w:t>the iliopsoas muscle (risk of femorocutaneous, crural, and femoral nerve palsy)</w:t>
      </w:r>
    </w:p>
    <w:p w:rsidR="00484EFC" w:rsidRPr="004B228A" w:rsidRDefault="00484EFC" w:rsidP="00484EFC">
      <w:pPr>
        <w:pStyle w:val="Default"/>
        <w:numPr>
          <w:ilvl w:val="0"/>
          <w:numId w:val="63"/>
        </w:numPr>
        <w:spacing w:after="222" w:line="276" w:lineRule="auto"/>
        <w:ind w:left="1701" w:hanging="284"/>
        <w:rPr>
          <w:rFonts w:asciiTheme="minorHAnsi" w:hAnsiTheme="minorHAnsi" w:cs="Arial"/>
          <w:color w:val="221E1F"/>
          <w:sz w:val="22"/>
          <w:szCs w:val="22"/>
        </w:rPr>
      </w:pPr>
      <w:r w:rsidRPr="004B228A">
        <w:rPr>
          <w:rFonts w:asciiTheme="minorHAnsi" w:hAnsiTheme="minorHAnsi" w:cs="Arial"/>
          <w:color w:val="221E1F"/>
          <w:sz w:val="22"/>
          <w:szCs w:val="22"/>
        </w:rPr>
        <w:t>the superior-posterior and deep posterior compartments of the lower leg (risk of poste</w:t>
      </w:r>
      <w:r w:rsidRPr="004B228A">
        <w:rPr>
          <w:rFonts w:asciiTheme="minorHAnsi" w:hAnsiTheme="minorHAnsi" w:cs="Arial"/>
          <w:color w:val="221E1F"/>
          <w:sz w:val="22"/>
          <w:szCs w:val="22"/>
        </w:rPr>
        <w:softHyphen/>
        <w:t>rior tibial and deep peroneal nerve injury)</w:t>
      </w:r>
    </w:p>
    <w:p w:rsidR="00484EFC" w:rsidRDefault="00484EFC" w:rsidP="00484EFC">
      <w:pPr>
        <w:pStyle w:val="Default"/>
        <w:numPr>
          <w:ilvl w:val="0"/>
          <w:numId w:val="63"/>
        </w:numPr>
        <w:spacing w:line="276" w:lineRule="auto"/>
        <w:ind w:left="1701" w:hanging="284"/>
        <w:rPr>
          <w:rFonts w:asciiTheme="minorHAnsi" w:hAnsiTheme="minorHAnsi" w:cs="Arial"/>
          <w:color w:val="221E1F"/>
          <w:sz w:val="22"/>
          <w:szCs w:val="22"/>
        </w:rPr>
      </w:pPr>
      <w:r w:rsidRPr="004B228A">
        <w:rPr>
          <w:rFonts w:asciiTheme="minorHAnsi" w:hAnsiTheme="minorHAnsi" w:cs="Arial"/>
          <w:color w:val="221E1F"/>
          <w:sz w:val="22"/>
          <w:szCs w:val="22"/>
        </w:rPr>
        <w:t>the flexor group of forearm muscles (risk of Volkmann’s ischemic contracture)</w:t>
      </w:r>
    </w:p>
    <w:p w:rsidR="00484EFC" w:rsidRPr="004B228A" w:rsidRDefault="00484EFC" w:rsidP="00484EFC">
      <w:pPr>
        <w:pStyle w:val="Default"/>
        <w:spacing w:line="276" w:lineRule="auto"/>
        <w:ind w:left="1701"/>
        <w:rPr>
          <w:rFonts w:asciiTheme="minorHAnsi" w:hAnsiTheme="minorHAnsi" w:cs="Arial"/>
          <w:color w:val="221E1F"/>
          <w:sz w:val="22"/>
          <w:szCs w:val="22"/>
        </w:rPr>
      </w:pPr>
    </w:p>
    <w:p w:rsidR="00484EFC" w:rsidRDefault="00484EFC" w:rsidP="00484EFC">
      <w:pPr>
        <w:pStyle w:val="Default"/>
        <w:spacing w:line="276" w:lineRule="auto"/>
        <w:ind w:left="1418" w:hanging="1305"/>
        <w:rPr>
          <w:rFonts w:asciiTheme="minorHAnsi" w:hAnsiTheme="minorHAnsi" w:cs="Arial"/>
          <w:color w:val="221E1F"/>
          <w:sz w:val="22"/>
          <w:szCs w:val="22"/>
        </w:rPr>
      </w:pPr>
      <w:r>
        <w:rPr>
          <w:rFonts w:asciiTheme="minorHAnsi" w:hAnsiTheme="minorHAnsi" w:cs="Arial"/>
          <w:color w:val="221E1F"/>
          <w:sz w:val="22"/>
          <w:szCs w:val="22"/>
        </w:rPr>
        <w:t>5.2.5</w:t>
      </w:r>
      <w:r>
        <w:rPr>
          <w:rFonts w:asciiTheme="minorHAnsi" w:hAnsiTheme="minorHAnsi" w:cs="Arial"/>
          <w:color w:val="221E1F"/>
          <w:sz w:val="22"/>
          <w:szCs w:val="22"/>
        </w:rPr>
        <w:tab/>
      </w:r>
      <w:r w:rsidRPr="004B228A">
        <w:rPr>
          <w:rFonts w:asciiTheme="minorHAnsi" w:hAnsiTheme="minorHAnsi" w:cs="Arial"/>
          <w:color w:val="221E1F"/>
          <w:sz w:val="22"/>
          <w:szCs w:val="22"/>
        </w:rPr>
        <w:t xml:space="preserve">Bleeding can also occur in more superficial muscles such as the biceps brachii, hamstrings (triceps surae), gastrocnemius, quadriceps, and the gluteal muscles. </w:t>
      </w:r>
    </w:p>
    <w:p w:rsidR="000B0ED6" w:rsidRDefault="000B0ED6" w:rsidP="00484EFC">
      <w:pPr>
        <w:pStyle w:val="Default"/>
        <w:spacing w:line="276" w:lineRule="auto"/>
        <w:ind w:left="1418" w:hanging="1305"/>
        <w:rPr>
          <w:rFonts w:asciiTheme="minorHAnsi" w:hAnsiTheme="minorHAnsi" w:cs="Arial"/>
          <w:color w:val="221E1F"/>
          <w:sz w:val="22"/>
          <w:szCs w:val="22"/>
        </w:rPr>
      </w:pPr>
    </w:p>
    <w:p w:rsidR="000B0ED6" w:rsidRDefault="000B0ED6" w:rsidP="00484EFC">
      <w:pPr>
        <w:pStyle w:val="Default"/>
        <w:spacing w:line="276" w:lineRule="auto"/>
        <w:ind w:left="1418" w:hanging="1305"/>
        <w:rPr>
          <w:rFonts w:asciiTheme="minorHAnsi" w:hAnsiTheme="minorHAnsi" w:cs="Arial"/>
          <w:color w:val="221E1F"/>
          <w:sz w:val="22"/>
          <w:szCs w:val="22"/>
        </w:rPr>
      </w:pPr>
    </w:p>
    <w:p w:rsidR="00484EFC" w:rsidRDefault="00484EFC" w:rsidP="00484EFC">
      <w:pPr>
        <w:pStyle w:val="Default"/>
        <w:spacing w:line="276" w:lineRule="auto"/>
        <w:ind w:left="1418" w:hanging="1305"/>
        <w:rPr>
          <w:rFonts w:asciiTheme="minorHAnsi" w:hAnsiTheme="minorHAnsi" w:cs="Arial"/>
          <w:color w:val="221E1F"/>
          <w:sz w:val="22"/>
          <w:szCs w:val="22"/>
        </w:rPr>
      </w:pPr>
    </w:p>
    <w:p w:rsidR="00484EFC" w:rsidRDefault="00484EFC" w:rsidP="00484EFC">
      <w:pPr>
        <w:pStyle w:val="Default"/>
        <w:spacing w:line="276" w:lineRule="auto"/>
        <w:ind w:left="1418" w:hanging="1305"/>
        <w:rPr>
          <w:rFonts w:asciiTheme="minorHAnsi" w:hAnsiTheme="minorHAnsi" w:cs="Arial"/>
          <w:color w:val="221E1F"/>
          <w:sz w:val="22"/>
          <w:szCs w:val="22"/>
        </w:rPr>
      </w:pPr>
      <w:r>
        <w:rPr>
          <w:rFonts w:asciiTheme="minorHAnsi" w:hAnsiTheme="minorHAnsi" w:cs="Arial"/>
          <w:color w:val="221E1F"/>
          <w:sz w:val="22"/>
          <w:szCs w:val="22"/>
        </w:rPr>
        <w:lastRenderedPageBreak/>
        <w:t>5.2.6</w:t>
      </w:r>
      <w:r>
        <w:rPr>
          <w:rFonts w:asciiTheme="minorHAnsi" w:hAnsiTheme="minorHAnsi" w:cs="Arial"/>
          <w:color w:val="221E1F"/>
          <w:sz w:val="22"/>
          <w:szCs w:val="22"/>
        </w:rPr>
        <w:tab/>
      </w:r>
      <w:r w:rsidRPr="004B228A">
        <w:rPr>
          <w:rFonts w:asciiTheme="minorHAnsi" w:hAnsiTheme="minorHAnsi" w:cs="Arial"/>
          <w:color w:val="221E1F"/>
          <w:sz w:val="22"/>
          <w:szCs w:val="22"/>
        </w:rPr>
        <w:t>Symptoms of muscle bleeds are:</w:t>
      </w:r>
    </w:p>
    <w:p w:rsidR="00484EFC" w:rsidRPr="004B228A" w:rsidRDefault="00484EFC" w:rsidP="00484EFC">
      <w:pPr>
        <w:pStyle w:val="Default"/>
        <w:spacing w:line="276" w:lineRule="auto"/>
        <w:ind w:left="1418" w:hanging="1305"/>
        <w:rPr>
          <w:rFonts w:asciiTheme="minorHAnsi" w:hAnsiTheme="minorHAnsi" w:cs="Arial"/>
          <w:color w:val="221E1F"/>
          <w:sz w:val="22"/>
          <w:szCs w:val="22"/>
        </w:rPr>
      </w:pPr>
    </w:p>
    <w:p w:rsidR="00484EFC" w:rsidRPr="004B228A" w:rsidRDefault="00484EFC" w:rsidP="00484EFC">
      <w:pPr>
        <w:pStyle w:val="Default"/>
        <w:numPr>
          <w:ilvl w:val="0"/>
          <w:numId w:val="69"/>
        </w:numPr>
        <w:spacing w:line="276" w:lineRule="auto"/>
        <w:ind w:left="1701" w:hanging="284"/>
        <w:rPr>
          <w:rFonts w:asciiTheme="minorHAnsi" w:hAnsiTheme="minorHAnsi" w:cs="Arial"/>
          <w:color w:val="221E1F"/>
          <w:sz w:val="22"/>
          <w:szCs w:val="22"/>
        </w:rPr>
      </w:pPr>
      <w:r w:rsidRPr="004B228A">
        <w:rPr>
          <w:rFonts w:asciiTheme="minorHAnsi" w:hAnsiTheme="minorHAnsi" w:cs="Arial"/>
          <w:color w:val="221E1F"/>
          <w:sz w:val="22"/>
          <w:szCs w:val="22"/>
        </w:rPr>
        <w:t>aching in the muscle</w:t>
      </w:r>
    </w:p>
    <w:p w:rsidR="00484EFC" w:rsidRPr="004B228A" w:rsidRDefault="00484EFC" w:rsidP="00484EFC">
      <w:pPr>
        <w:pStyle w:val="Default"/>
        <w:numPr>
          <w:ilvl w:val="0"/>
          <w:numId w:val="64"/>
        </w:numPr>
        <w:spacing w:line="276" w:lineRule="auto"/>
        <w:ind w:left="1701" w:hanging="284"/>
        <w:rPr>
          <w:rFonts w:asciiTheme="minorHAnsi" w:hAnsiTheme="minorHAnsi" w:cs="Arial"/>
          <w:color w:val="221E1F"/>
          <w:sz w:val="22"/>
          <w:szCs w:val="22"/>
        </w:rPr>
      </w:pPr>
      <w:r w:rsidRPr="004B228A">
        <w:rPr>
          <w:rFonts w:asciiTheme="minorHAnsi" w:hAnsiTheme="minorHAnsi" w:cs="Arial"/>
          <w:color w:val="221E1F"/>
          <w:sz w:val="22"/>
          <w:szCs w:val="22"/>
        </w:rPr>
        <w:t xml:space="preserve">maintenance of the limb in a position of comfort </w:t>
      </w:r>
    </w:p>
    <w:p w:rsidR="00484EFC" w:rsidRPr="004B228A" w:rsidRDefault="00484EFC" w:rsidP="00484EFC">
      <w:pPr>
        <w:pStyle w:val="Default"/>
        <w:numPr>
          <w:ilvl w:val="0"/>
          <w:numId w:val="64"/>
        </w:numPr>
        <w:spacing w:line="276" w:lineRule="auto"/>
        <w:ind w:left="1701" w:hanging="284"/>
        <w:rPr>
          <w:rFonts w:asciiTheme="minorHAnsi" w:hAnsiTheme="minorHAnsi" w:cs="Arial"/>
          <w:color w:val="221E1F"/>
          <w:sz w:val="22"/>
          <w:szCs w:val="22"/>
        </w:rPr>
      </w:pPr>
      <w:r w:rsidRPr="004B228A">
        <w:rPr>
          <w:rFonts w:asciiTheme="minorHAnsi" w:hAnsiTheme="minorHAnsi" w:cs="Arial"/>
          <w:color w:val="221E1F"/>
          <w:sz w:val="22"/>
          <w:szCs w:val="22"/>
        </w:rPr>
        <w:t>severe pain if the muscle is stretched</w:t>
      </w:r>
    </w:p>
    <w:p w:rsidR="00484EFC" w:rsidRPr="004B228A" w:rsidRDefault="00484EFC" w:rsidP="00484EFC">
      <w:pPr>
        <w:pStyle w:val="Default"/>
        <w:numPr>
          <w:ilvl w:val="0"/>
          <w:numId w:val="64"/>
        </w:numPr>
        <w:spacing w:line="276" w:lineRule="auto"/>
        <w:ind w:left="1701" w:hanging="284"/>
        <w:rPr>
          <w:rFonts w:asciiTheme="minorHAnsi" w:hAnsiTheme="minorHAnsi" w:cs="Arial"/>
          <w:color w:val="221E1F"/>
          <w:sz w:val="22"/>
          <w:szCs w:val="22"/>
        </w:rPr>
      </w:pPr>
      <w:r w:rsidRPr="004B228A">
        <w:rPr>
          <w:rFonts w:asciiTheme="minorHAnsi" w:hAnsiTheme="minorHAnsi" w:cs="Arial"/>
          <w:color w:val="221E1F"/>
          <w:sz w:val="22"/>
          <w:szCs w:val="22"/>
        </w:rPr>
        <w:t>pain if the muscle is made to actively contract</w:t>
      </w:r>
    </w:p>
    <w:p w:rsidR="00484EFC" w:rsidRPr="004B228A" w:rsidRDefault="00484EFC" w:rsidP="00484EFC">
      <w:pPr>
        <w:pStyle w:val="Default"/>
        <w:numPr>
          <w:ilvl w:val="0"/>
          <w:numId w:val="64"/>
        </w:numPr>
        <w:spacing w:line="276" w:lineRule="auto"/>
        <w:ind w:left="1701" w:hanging="284"/>
        <w:rPr>
          <w:rFonts w:asciiTheme="minorHAnsi" w:hAnsiTheme="minorHAnsi" w:cs="Arial"/>
          <w:color w:val="221E1F"/>
          <w:sz w:val="22"/>
          <w:szCs w:val="22"/>
        </w:rPr>
      </w:pPr>
      <w:r w:rsidRPr="004B228A">
        <w:rPr>
          <w:rFonts w:asciiTheme="minorHAnsi" w:hAnsiTheme="minorHAnsi" w:cs="Arial"/>
          <w:color w:val="221E1F"/>
          <w:sz w:val="22"/>
          <w:szCs w:val="22"/>
        </w:rPr>
        <w:t>tension and tenderness upon palpation and possible swelling</w:t>
      </w:r>
    </w:p>
    <w:p w:rsidR="00484EFC" w:rsidRDefault="00484EFC" w:rsidP="00484EFC">
      <w:pPr>
        <w:pStyle w:val="Default"/>
        <w:spacing w:line="276" w:lineRule="auto"/>
        <w:ind w:left="709" w:hanging="425"/>
        <w:rPr>
          <w:rFonts w:asciiTheme="minorHAnsi" w:hAnsiTheme="minorHAnsi" w:cs="Arial"/>
          <w:color w:val="221E1F"/>
          <w:sz w:val="22"/>
          <w:szCs w:val="22"/>
        </w:rPr>
      </w:pPr>
    </w:p>
    <w:p w:rsidR="00484EFC" w:rsidRPr="004B228A" w:rsidRDefault="00484EFC" w:rsidP="00484EFC">
      <w:pPr>
        <w:pStyle w:val="Default"/>
        <w:spacing w:line="276" w:lineRule="auto"/>
        <w:ind w:left="1418" w:hanging="1305"/>
        <w:rPr>
          <w:rFonts w:asciiTheme="minorHAnsi" w:hAnsiTheme="minorHAnsi" w:cs="Arial"/>
          <w:b/>
          <w:bCs/>
          <w:color w:val="221E1F"/>
          <w:sz w:val="22"/>
          <w:szCs w:val="22"/>
        </w:rPr>
      </w:pPr>
      <w:r>
        <w:rPr>
          <w:rFonts w:asciiTheme="minorHAnsi" w:hAnsiTheme="minorHAnsi" w:cs="Arial"/>
          <w:color w:val="221E1F"/>
          <w:sz w:val="22"/>
          <w:szCs w:val="22"/>
        </w:rPr>
        <w:t>5.2.7</w:t>
      </w:r>
      <w:r>
        <w:rPr>
          <w:rFonts w:asciiTheme="minorHAnsi" w:hAnsiTheme="minorHAnsi" w:cs="Arial"/>
          <w:color w:val="221E1F"/>
          <w:sz w:val="22"/>
          <w:szCs w:val="22"/>
        </w:rPr>
        <w:tab/>
      </w:r>
      <w:r w:rsidRPr="004B228A">
        <w:rPr>
          <w:rFonts w:asciiTheme="minorHAnsi" w:hAnsiTheme="minorHAnsi" w:cs="Arial"/>
          <w:b/>
          <w:bCs/>
          <w:color w:val="221E1F"/>
          <w:sz w:val="22"/>
          <w:szCs w:val="22"/>
        </w:rPr>
        <w:t>Raise the patient’s factor level as soon as possible, i</w:t>
      </w:r>
      <w:r>
        <w:rPr>
          <w:rFonts w:asciiTheme="minorHAnsi" w:hAnsiTheme="minorHAnsi" w:cs="Arial"/>
          <w:b/>
          <w:bCs/>
          <w:color w:val="221E1F"/>
          <w:sz w:val="22"/>
          <w:szCs w:val="22"/>
        </w:rPr>
        <w:t>deally when the patient recognis</w:t>
      </w:r>
      <w:r w:rsidRPr="004B228A">
        <w:rPr>
          <w:rFonts w:asciiTheme="minorHAnsi" w:hAnsiTheme="minorHAnsi" w:cs="Arial"/>
          <w:b/>
          <w:bCs/>
          <w:color w:val="221E1F"/>
          <w:sz w:val="22"/>
          <w:szCs w:val="22"/>
        </w:rPr>
        <w:t>es the first signs of discomfort or after trauma. If there is neurovascular compromise, main</w:t>
      </w:r>
      <w:r w:rsidRPr="004B228A">
        <w:rPr>
          <w:rFonts w:asciiTheme="minorHAnsi" w:hAnsiTheme="minorHAnsi" w:cs="Arial"/>
          <w:b/>
          <w:bCs/>
          <w:color w:val="221E1F"/>
          <w:sz w:val="22"/>
          <w:szCs w:val="22"/>
        </w:rPr>
        <w:softHyphen/>
        <w:t>tain the levels for five to seven days or longer, as symptoms</w:t>
      </w:r>
      <w:r>
        <w:rPr>
          <w:rFonts w:asciiTheme="minorHAnsi" w:hAnsiTheme="minorHAnsi" w:cs="Arial"/>
          <w:b/>
          <w:bCs/>
          <w:color w:val="221E1F"/>
          <w:sz w:val="22"/>
          <w:szCs w:val="22"/>
        </w:rPr>
        <w:t xml:space="preserve"> indicate (refer to Table 7-1).</w:t>
      </w:r>
      <w:r w:rsidRPr="004B228A">
        <w:rPr>
          <w:rFonts w:asciiTheme="minorHAnsi" w:hAnsiTheme="minorHAnsi" w:cs="Arial"/>
          <w:b/>
          <w:bCs/>
          <w:color w:val="221E1F"/>
          <w:sz w:val="22"/>
          <w:szCs w:val="22"/>
        </w:rPr>
        <w:t xml:space="preserve">  </w:t>
      </w:r>
      <w:r w:rsidRPr="00A808C6">
        <w:rPr>
          <w:rFonts w:asciiTheme="minorHAnsi" w:hAnsiTheme="minorHAnsi" w:cs="Arial"/>
          <w:b/>
          <w:bCs/>
          <w:color w:val="221E1F"/>
          <w:sz w:val="22"/>
          <w:szCs w:val="22"/>
          <w:vertAlign w:val="superscript"/>
        </w:rPr>
        <w:t>[11-13]</w:t>
      </w:r>
    </w:p>
    <w:p w:rsidR="00484EFC" w:rsidRPr="004B228A" w:rsidRDefault="00484EFC" w:rsidP="00484EFC">
      <w:pPr>
        <w:pStyle w:val="Default"/>
        <w:spacing w:line="276" w:lineRule="auto"/>
        <w:ind w:left="709" w:hanging="425"/>
        <w:rPr>
          <w:rFonts w:asciiTheme="minorHAnsi" w:hAnsiTheme="minorHAnsi" w:cs="Arial"/>
          <w:color w:val="221E1F"/>
          <w:sz w:val="22"/>
          <w:szCs w:val="22"/>
        </w:rPr>
      </w:pPr>
    </w:p>
    <w:p w:rsidR="00484EFC" w:rsidRPr="004B228A" w:rsidRDefault="00484EFC" w:rsidP="00484EFC">
      <w:pPr>
        <w:pStyle w:val="Default"/>
        <w:spacing w:line="276" w:lineRule="auto"/>
        <w:ind w:left="1418" w:hanging="1305"/>
        <w:rPr>
          <w:rFonts w:asciiTheme="minorHAnsi" w:hAnsiTheme="minorHAnsi" w:cs="Arial"/>
          <w:color w:val="221E1F"/>
          <w:sz w:val="22"/>
          <w:szCs w:val="22"/>
        </w:rPr>
      </w:pPr>
      <w:r>
        <w:rPr>
          <w:rStyle w:val="A8"/>
          <w:rFonts w:asciiTheme="minorHAnsi" w:hAnsiTheme="minorHAnsi"/>
          <w:color w:val="221E1F"/>
          <w:sz w:val="22"/>
          <w:szCs w:val="22"/>
        </w:rPr>
        <w:t>5.2.8</w:t>
      </w:r>
      <w:r>
        <w:rPr>
          <w:rStyle w:val="A8"/>
          <w:rFonts w:asciiTheme="minorHAnsi" w:hAnsiTheme="minorHAnsi"/>
          <w:color w:val="221E1F"/>
          <w:sz w:val="22"/>
          <w:szCs w:val="22"/>
        </w:rPr>
        <w:tab/>
      </w:r>
      <w:r w:rsidRPr="004B228A">
        <w:rPr>
          <w:rFonts w:asciiTheme="minorHAnsi" w:hAnsiTheme="minorHAnsi" w:cs="Arial"/>
          <w:color w:val="221E1F"/>
          <w:sz w:val="22"/>
          <w:szCs w:val="22"/>
        </w:rPr>
        <w:t xml:space="preserve">Rest the injured part and elevate the limb. </w:t>
      </w:r>
    </w:p>
    <w:p w:rsidR="00484EFC" w:rsidRDefault="00484EFC" w:rsidP="00484EFC">
      <w:pPr>
        <w:pStyle w:val="Default"/>
        <w:spacing w:line="276" w:lineRule="auto"/>
        <w:ind w:left="709" w:hanging="425"/>
        <w:rPr>
          <w:rFonts w:asciiTheme="minorHAnsi" w:hAnsiTheme="minorHAnsi" w:cs="Arial"/>
          <w:color w:val="221E1F"/>
          <w:sz w:val="22"/>
          <w:szCs w:val="22"/>
        </w:rPr>
      </w:pPr>
    </w:p>
    <w:p w:rsidR="00484EFC" w:rsidRPr="004B228A" w:rsidRDefault="00484EFC" w:rsidP="00484EFC">
      <w:pPr>
        <w:pStyle w:val="Default"/>
        <w:spacing w:line="276" w:lineRule="auto"/>
        <w:ind w:left="1418" w:hanging="1305"/>
        <w:rPr>
          <w:rFonts w:asciiTheme="minorHAnsi" w:hAnsiTheme="minorHAnsi" w:cs="Arial"/>
          <w:color w:val="221E1F"/>
          <w:sz w:val="22"/>
          <w:szCs w:val="22"/>
        </w:rPr>
      </w:pPr>
      <w:r>
        <w:rPr>
          <w:rFonts w:asciiTheme="minorHAnsi" w:hAnsiTheme="minorHAnsi" w:cs="Arial"/>
          <w:color w:val="221E1F"/>
          <w:sz w:val="22"/>
          <w:szCs w:val="22"/>
        </w:rPr>
        <w:t>5.2.9</w:t>
      </w:r>
      <w:r>
        <w:rPr>
          <w:rFonts w:asciiTheme="minorHAnsi" w:hAnsiTheme="minorHAnsi" w:cs="Arial"/>
          <w:color w:val="221E1F"/>
          <w:sz w:val="22"/>
          <w:szCs w:val="22"/>
        </w:rPr>
        <w:tab/>
      </w:r>
      <w:r w:rsidRPr="004B228A">
        <w:rPr>
          <w:rFonts w:asciiTheme="minorHAnsi" w:hAnsiTheme="minorHAnsi" w:cs="Arial"/>
          <w:color w:val="221E1F"/>
          <w:sz w:val="22"/>
          <w:szCs w:val="22"/>
        </w:rPr>
        <w:t>Splint the muscle in a position of comfort and adjust to a position of function as pain allows.</w:t>
      </w:r>
    </w:p>
    <w:p w:rsidR="00484EFC" w:rsidRPr="004B228A" w:rsidRDefault="00484EFC" w:rsidP="00484EFC">
      <w:pPr>
        <w:pStyle w:val="Default"/>
        <w:spacing w:line="276" w:lineRule="auto"/>
        <w:ind w:left="709" w:hanging="425"/>
        <w:rPr>
          <w:rFonts w:asciiTheme="minorHAnsi" w:hAnsiTheme="minorHAnsi" w:cs="Arial"/>
          <w:color w:val="221E1F"/>
          <w:sz w:val="22"/>
          <w:szCs w:val="22"/>
        </w:rPr>
      </w:pPr>
      <w:r w:rsidRPr="004B228A">
        <w:rPr>
          <w:rFonts w:asciiTheme="minorHAnsi" w:hAnsiTheme="minorHAnsi" w:cs="Arial"/>
          <w:color w:val="221E1F"/>
          <w:sz w:val="22"/>
          <w:szCs w:val="22"/>
        </w:rPr>
        <w:t xml:space="preserve"> </w:t>
      </w:r>
    </w:p>
    <w:p w:rsidR="00484EFC" w:rsidRPr="004B228A" w:rsidRDefault="00484EFC" w:rsidP="00484EFC">
      <w:pPr>
        <w:pStyle w:val="Default"/>
        <w:spacing w:line="276" w:lineRule="auto"/>
        <w:ind w:left="1418" w:hanging="1305"/>
        <w:rPr>
          <w:rFonts w:asciiTheme="minorHAnsi" w:hAnsiTheme="minorHAnsi" w:cs="Arial"/>
          <w:color w:val="221E1F"/>
          <w:sz w:val="22"/>
          <w:szCs w:val="22"/>
        </w:rPr>
      </w:pPr>
      <w:r>
        <w:rPr>
          <w:rStyle w:val="A8"/>
          <w:rFonts w:asciiTheme="minorHAnsi" w:hAnsiTheme="minorHAnsi"/>
          <w:color w:val="221E1F"/>
          <w:sz w:val="22"/>
          <w:szCs w:val="22"/>
        </w:rPr>
        <w:t>5.2.10</w:t>
      </w:r>
      <w:r>
        <w:rPr>
          <w:rStyle w:val="A8"/>
          <w:rFonts w:asciiTheme="minorHAnsi" w:hAnsiTheme="minorHAnsi"/>
          <w:color w:val="221E1F"/>
          <w:sz w:val="22"/>
          <w:szCs w:val="22"/>
        </w:rPr>
        <w:tab/>
      </w:r>
      <w:r w:rsidRPr="004B228A">
        <w:rPr>
          <w:rFonts w:asciiTheme="minorHAnsi" w:hAnsiTheme="minorHAnsi" w:cs="Arial"/>
          <w:color w:val="221E1F"/>
          <w:sz w:val="22"/>
          <w:szCs w:val="22"/>
        </w:rPr>
        <w:t>Ice/cold packs may be applied around the muscle for 15-20 minutes every four to six hours for pain relief if found beneficial. Do not apply ice in direct contact with skin</w:t>
      </w:r>
      <w:r>
        <w:rPr>
          <w:rFonts w:asciiTheme="minorHAnsi" w:hAnsiTheme="minorHAnsi" w:cs="Arial"/>
          <w:color w:val="221E1F"/>
          <w:sz w:val="22"/>
          <w:szCs w:val="22"/>
        </w:rPr>
        <w:t>.</w:t>
      </w:r>
    </w:p>
    <w:p w:rsidR="00484EFC" w:rsidRDefault="00484EFC" w:rsidP="00484EFC">
      <w:pPr>
        <w:pStyle w:val="Default"/>
        <w:spacing w:line="276" w:lineRule="auto"/>
        <w:ind w:left="709" w:hanging="425"/>
        <w:rPr>
          <w:rFonts w:asciiTheme="minorHAnsi" w:hAnsiTheme="minorHAnsi" w:cs="Arial"/>
          <w:color w:val="221E1F"/>
          <w:sz w:val="22"/>
          <w:szCs w:val="22"/>
        </w:rPr>
      </w:pPr>
    </w:p>
    <w:p w:rsidR="00484EFC" w:rsidRDefault="00484EFC" w:rsidP="00484EFC">
      <w:pPr>
        <w:pStyle w:val="Default"/>
        <w:spacing w:line="276" w:lineRule="auto"/>
        <w:ind w:left="1418" w:hanging="1305"/>
        <w:rPr>
          <w:rFonts w:asciiTheme="minorHAnsi" w:hAnsiTheme="minorHAnsi" w:cs="Arial"/>
          <w:b/>
          <w:bCs/>
          <w:color w:val="221E1F"/>
          <w:sz w:val="22"/>
          <w:szCs w:val="22"/>
        </w:rPr>
      </w:pPr>
      <w:r>
        <w:rPr>
          <w:rFonts w:asciiTheme="minorHAnsi" w:hAnsiTheme="minorHAnsi" w:cs="Arial"/>
          <w:color w:val="221E1F"/>
          <w:sz w:val="22"/>
          <w:szCs w:val="22"/>
        </w:rPr>
        <w:t>5.2.11</w:t>
      </w:r>
      <w:r>
        <w:rPr>
          <w:rFonts w:asciiTheme="minorHAnsi" w:hAnsiTheme="minorHAnsi" w:cs="Arial"/>
          <w:color w:val="221E1F"/>
          <w:sz w:val="22"/>
          <w:szCs w:val="22"/>
        </w:rPr>
        <w:tab/>
      </w:r>
      <w:r>
        <w:rPr>
          <w:rFonts w:asciiTheme="minorHAnsi" w:hAnsiTheme="minorHAnsi" w:cs="Arial"/>
          <w:color w:val="221E1F"/>
          <w:sz w:val="22"/>
          <w:szCs w:val="22"/>
        </w:rPr>
        <w:tab/>
      </w:r>
      <w:r w:rsidRPr="004B228A">
        <w:rPr>
          <w:rFonts w:asciiTheme="minorHAnsi" w:hAnsiTheme="minorHAnsi" w:cs="Arial"/>
          <w:b/>
          <w:bCs/>
          <w:color w:val="221E1F"/>
          <w:sz w:val="22"/>
          <w:szCs w:val="22"/>
        </w:rPr>
        <w:t xml:space="preserve">Repeat infusions are often required for two to three days or much longer in case of bleeds at critical sites causing compartment syndromes and if extensive rehabilitation is required. </w:t>
      </w:r>
      <w:r w:rsidRPr="00A808C6">
        <w:rPr>
          <w:rFonts w:asciiTheme="minorHAnsi" w:hAnsiTheme="minorHAnsi" w:cs="Arial"/>
          <w:b/>
          <w:bCs/>
          <w:color w:val="221E1F"/>
          <w:sz w:val="22"/>
          <w:szCs w:val="22"/>
          <w:vertAlign w:val="superscript"/>
        </w:rPr>
        <w:t>[14</w:t>
      </w:r>
      <w:proofErr w:type="gramStart"/>
      <w:r w:rsidRPr="00A808C6">
        <w:rPr>
          <w:rFonts w:asciiTheme="minorHAnsi" w:hAnsiTheme="minorHAnsi" w:cs="Arial"/>
          <w:b/>
          <w:bCs/>
          <w:color w:val="221E1F"/>
          <w:sz w:val="22"/>
          <w:szCs w:val="22"/>
          <w:vertAlign w:val="superscript"/>
        </w:rPr>
        <w:t>,15</w:t>
      </w:r>
      <w:proofErr w:type="gramEnd"/>
      <w:r w:rsidRPr="00A808C6">
        <w:rPr>
          <w:rFonts w:asciiTheme="minorHAnsi" w:hAnsiTheme="minorHAnsi" w:cs="Arial"/>
          <w:b/>
          <w:bCs/>
          <w:color w:val="221E1F"/>
          <w:sz w:val="22"/>
          <w:szCs w:val="22"/>
          <w:vertAlign w:val="superscript"/>
        </w:rPr>
        <w:t>]</w:t>
      </w:r>
    </w:p>
    <w:p w:rsidR="00484EFC" w:rsidRDefault="00484EFC" w:rsidP="00484EFC">
      <w:pPr>
        <w:pStyle w:val="Default"/>
        <w:spacing w:line="276" w:lineRule="auto"/>
        <w:ind w:left="1418" w:hanging="1305"/>
        <w:rPr>
          <w:rFonts w:asciiTheme="minorHAnsi" w:hAnsiTheme="minorHAnsi" w:cs="Arial"/>
          <w:b/>
          <w:bCs/>
          <w:color w:val="221E1F"/>
          <w:sz w:val="22"/>
          <w:szCs w:val="22"/>
        </w:rPr>
      </w:pPr>
    </w:p>
    <w:p w:rsidR="00484EFC" w:rsidRDefault="00484EFC" w:rsidP="00484EFC">
      <w:pPr>
        <w:pStyle w:val="Default"/>
        <w:spacing w:line="276" w:lineRule="auto"/>
        <w:ind w:left="1418" w:hanging="1305"/>
        <w:rPr>
          <w:rFonts w:asciiTheme="minorHAnsi" w:hAnsiTheme="minorHAnsi" w:cs="Arial"/>
          <w:b/>
          <w:bCs/>
          <w:color w:val="221E1F"/>
          <w:sz w:val="22"/>
          <w:szCs w:val="22"/>
          <w:vertAlign w:val="superscript"/>
        </w:rPr>
      </w:pPr>
      <w:r w:rsidRPr="00A808C6">
        <w:rPr>
          <w:rFonts w:asciiTheme="minorHAnsi" w:hAnsiTheme="minorHAnsi" w:cs="Arial"/>
          <w:bCs/>
          <w:color w:val="221E1F"/>
          <w:sz w:val="22"/>
          <w:szCs w:val="22"/>
        </w:rPr>
        <w:t>5.2.12</w:t>
      </w:r>
      <w:r w:rsidRPr="00A808C6">
        <w:rPr>
          <w:rFonts w:asciiTheme="minorHAnsi" w:hAnsiTheme="minorHAnsi" w:cs="Arial"/>
          <w:b/>
          <w:bCs/>
          <w:color w:val="221E1F"/>
          <w:sz w:val="22"/>
          <w:szCs w:val="22"/>
        </w:rPr>
        <w:tab/>
      </w:r>
      <w:r w:rsidRPr="00A808C6">
        <w:rPr>
          <w:rFonts w:asciiTheme="minorHAnsi" w:hAnsiTheme="minorHAnsi" w:cs="Arial"/>
          <w:b/>
          <w:bCs/>
          <w:color w:val="221E1F"/>
          <w:sz w:val="22"/>
          <w:szCs w:val="22"/>
        </w:rPr>
        <w:tab/>
      </w:r>
      <w:proofErr w:type="gramStart"/>
      <w:r w:rsidRPr="00A808C6">
        <w:rPr>
          <w:rFonts w:asciiTheme="minorHAnsi" w:hAnsiTheme="minorHAnsi" w:cs="Arial"/>
          <w:b/>
          <w:bCs/>
          <w:color w:val="221E1F"/>
          <w:sz w:val="22"/>
          <w:szCs w:val="22"/>
        </w:rPr>
        <w:t>The</w:t>
      </w:r>
      <w:proofErr w:type="gramEnd"/>
      <w:r w:rsidRPr="00A808C6">
        <w:rPr>
          <w:rFonts w:asciiTheme="minorHAnsi" w:hAnsiTheme="minorHAnsi" w:cs="Arial"/>
          <w:b/>
          <w:bCs/>
          <w:color w:val="221E1F"/>
          <w:sz w:val="22"/>
          <w:szCs w:val="22"/>
        </w:rPr>
        <w:t xml:space="preserve"> patient should be monitored continuously for neurovascular compromise; fasciotomy may be required in some such cases. </w:t>
      </w:r>
      <w:r w:rsidRPr="00A808C6">
        <w:rPr>
          <w:rFonts w:asciiTheme="minorHAnsi" w:hAnsiTheme="minorHAnsi" w:cs="Arial"/>
          <w:b/>
          <w:bCs/>
          <w:color w:val="221E1F"/>
          <w:sz w:val="22"/>
          <w:szCs w:val="22"/>
          <w:vertAlign w:val="superscript"/>
        </w:rPr>
        <w:t>[16</w:t>
      </w:r>
      <w:proofErr w:type="gramStart"/>
      <w:r w:rsidRPr="00A808C6">
        <w:rPr>
          <w:rFonts w:asciiTheme="minorHAnsi" w:hAnsiTheme="minorHAnsi" w:cs="Arial"/>
          <w:b/>
          <w:bCs/>
          <w:color w:val="221E1F"/>
          <w:sz w:val="22"/>
          <w:szCs w:val="22"/>
          <w:vertAlign w:val="superscript"/>
        </w:rPr>
        <w:t>,17</w:t>
      </w:r>
      <w:proofErr w:type="gramEnd"/>
      <w:r w:rsidRPr="00A808C6">
        <w:rPr>
          <w:rFonts w:asciiTheme="minorHAnsi" w:hAnsiTheme="minorHAnsi" w:cs="Arial"/>
          <w:b/>
          <w:bCs/>
          <w:color w:val="221E1F"/>
          <w:sz w:val="22"/>
          <w:szCs w:val="22"/>
          <w:vertAlign w:val="superscript"/>
        </w:rPr>
        <w:t>]</w:t>
      </w:r>
    </w:p>
    <w:p w:rsidR="00484EFC" w:rsidRPr="00A808C6" w:rsidRDefault="00484EFC" w:rsidP="00484EFC">
      <w:pPr>
        <w:pStyle w:val="Default"/>
        <w:spacing w:line="276" w:lineRule="auto"/>
        <w:ind w:left="1418" w:hanging="1305"/>
        <w:rPr>
          <w:rFonts w:asciiTheme="minorHAnsi" w:hAnsiTheme="minorHAnsi" w:cs="Arial"/>
          <w:color w:val="221E1F"/>
          <w:sz w:val="22"/>
          <w:szCs w:val="22"/>
        </w:rPr>
      </w:pPr>
    </w:p>
    <w:p w:rsidR="00484EFC" w:rsidRDefault="00484EFC" w:rsidP="00484EFC">
      <w:pPr>
        <w:autoSpaceDE w:val="0"/>
        <w:autoSpaceDN w:val="0"/>
        <w:adjustRightInd w:val="0"/>
        <w:spacing w:after="66"/>
        <w:ind w:left="1418" w:hanging="1305"/>
        <w:rPr>
          <w:rFonts w:asciiTheme="minorHAnsi" w:hAnsiTheme="minorHAnsi" w:cs="Arial"/>
          <w:color w:val="221E1F"/>
          <w:lang w:eastAsia="en-US"/>
        </w:rPr>
      </w:pPr>
      <w:r w:rsidRPr="00A808C6">
        <w:rPr>
          <w:rFonts w:asciiTheme="minorHAnsi" w:hAnsiTheme="minorHAnsi" w:cs="Arial"/>
          <w:bCs/>
          <w:color w:val="221E1F"/>
          <w:lang w:eastAsia="en-US"/>
        </w:rPr>
        <w:t>5.2.13</w:t>
      </w:r>
      <w:r>
        <w:rPr>
          <w:rFonts w:asciiTheme="minorHAnsi" w:hAnsiTheme="minorHAnsi" w:cs="Arial"/>
          <w:b/>
          <w:bCs/>
          <w:color w:val="221E1F"/>
          <w:lang w:eastAsia="en-US"/>
        </w:rPr>
        <w:tab/>
      </w:r>
      <w:r w:rsidRPr="004B228A">
        <w:rPr>
          <w:rFonts w:asciiTheme="minorHAnsi" w:hAnsiTheme="minorHAnsi" w:cs="Arial"/>
          <w:color w:val="221E1F"/>
          <w:lang w:eastAsia="en-US"/>
        </w:rPr>
        <w:t>Haemoglobin level should be checked and corrected if needed as muscle bleeds can result in significant blood loss.</w:t>
      </w:r>
    </w:p>
    <w:p w:rsidR="00484EFC" w:rsidRPr="004B228A" w:rsidRDefault="00484EFC" w:rsidP="00484EFC">
      <w:pPr>
        <w:autoSpaceDE w:val="0"/>
        <w:autoSpaceDN w:val="0"/>
        <w:adjustRightInd w:val="0"/>
        <w:spacing w:after="66"/>
        <w:ind w:left="1418" w:hanging="1305"/>
        <w:rPr>
          <w:rFonts w:asciiTheme="minorHAnsi" w:hAnsiTheme="minorHAnsi" w:cs="Arial"/>
          <w:color w:val="221E1F"/>
          <w:lang w:eastAsia="en-US"/>
        </w:rPr>
      </w:pPr>
    </w:p>
    <w:p w:rsidR="00484EFC" w:rsidRDefault="00484EFC" w:rsidP="00484EFC">
      <w:pPr>
        <w:autoSpaceDE w:val="0"/>
        <w:autoSpaceDN w:val="0"/>
        <w:adjustRightInd w:val="0"/>
        <w:spacing w:after="66"/>
        <w:ind w:left="1418" w:hanging="1305"/>
        <w:rPr>
          <w:rFonts w:asciiTheme="minorHAnsi" w:hAnsiTheme="minorHAnsi" w:cs="Arial"/>
          <w:b/>
          <w:bCs/>
          <w:color w:val="221E1F"/>
          <w:lang w:eastAsia="en-US"/>
        </w:rPr>
      </w:pPr>
      <w:r>
        <w:rPr>
          <w:rFonts w:asciiTheme="minorHAnsi" w:hAnsiTheme="minorHAnsi" w:cs="Arial"/>
          <w:color w:val="221E1F"/>
          <w:lang w:eastAsia="en-US"/>
        </w:rPr>
        <w:t>5.2.14</w:t>
      </w:r>
      <w:r>
        <w:rPr>
          <w:rFonts w:asciiTheme="minorHAnsi" w:hAnsiTheme="minorHAnsi" w:cs="Arial"/>
          <w:color w:val="221E1F"/>
          <w:lang w:eastAsia="en-US"/>
        </w:rPr>
        <w:tab/>
      </w:r>
      <w:r w:rsidRPr="004B228A">
        <w:rPr>
          <w:rFonts w:asciiTheme="minorHAnsi" w:hAnsiTheme="minorHAnsi" w:cs="Arial"/>
          <w:b/>
          <w:bCs/>
          <w:color w:val="221E1F"/>
          <w:lang w:eastAsia="en-US"/>
        </w:rPr>
        <w:t>Physiotherapy should begin as soon as pain subsides and should be progressed gradually to restore full muscle length, strength, and func</w:t>
      </w:r>
      <w:r w:rsidRPr="004B228A">
        <w:rPr>
          <w:rFonts w:asciiTheme="minorHAnsi" w:hAnsiTheme="minorHAnsi" w:cs="Arial"/>
          <w:b/>
          <w:bCs/>
          <w:color w:val="221E1F"/>
          <w:lang w:eastAsia="en-US"/>
        </w:rPr>
        <w:softHyphen/>
        <w:t xml:space="preserve">tion. </w:t>
      </w:r>
      <w:r w:rsidRPr="00A808C6">
        <w:rPr>
          <w:rFonts w:asciiTheme="minorHAnsi" w:hAnsiTheme="minorHAnsi" w:cs="Arial"/>
          <w:b/>
          <w:bCs/>
          <w:color w:val="221E1F"/>
          <w:vertAlign w:val="superscript"/>
          <w:lang w:eastAsia="en-US"/>
        </w:rPr>
        <w:t>[12</w:t>
      </w:r>
      <w:proofErr w:type="gramStart"/>
      <w:r w:rsidRPr="00A808C6">
        <w:rPr>
          <w:rFonts w:asciiTheme="minorHAnsi" w:hAnsiTheme="minorHAnsi" w:cs="Arial"/>
          <w:b/>
          <w:bCs/>
          <w:color w:val="221E1F"/>
          <w:vertAlign w:val="superscript"/>
          <w:lang w:eastAsia="en-US"/>
        </w:rPr>
        <w:t>,18</w:t>
      </w:r>
      <w:proofErr w:type="gramEnd"/>
      <w:r w:rsidRPr="00A808C6">
        <w:rPr>
          <w:rFonts w:asciiTheme="minorHAnsi" w:hAnsiTheme="minorHAnsi" w:cs="Arial"/>
          <w:b/>
          <w:bCs/>
          <w:color w:val="221E1F"/>
          <w:vertAlign w:val="superscript"/>
          <w:lang w:eastAsia="en-US"/>
        </w:rPr>
        <w:t>]</w:t>
      </w:r>
      <w:r w:rsidRPr="004B228A">
        <w:rPr>
          <w:rFonts w:asciiTheme="minorHAnsi" w:hAnsiTheme="minorHAnsi" w:cs="Arial"/>
          <w:b/>
          <w:bCs/>
          <w:color w:val="221E1F"/>
          <w:lang w:eastAsia="en-US"/>
        </w:rPr>
        <w:t xml:space="preserve"> </w:t>
      </w:r>
    </w:p>
    <w:p w:rsidR="00484EFC" w:rsidRDefault="00484EFC" w:rsidP="00484EFC">
      <w:pPr>
        <w:autoSpaceDE w:val="0"/>
        <w:autoSpaceDN w:val="0"/>
        <w:adjustRightInd w:val="0"/>
        <w:spacing w:after="66"/>
        <w:ind w:left="1418" w:hanging="1305"/>
        <w:rPr>
          <w:rFonts w:asciiTheme="minorHAnsi" w:hAnsiTheme="minorHAnsi" w:cs="Arial"/>
          <w:b/>
          <w:bCs/>
          <w:color w:val="221E1F"/>
          <w:lang w:eastAsia="en-US"/>
        </w:rPr>
      </w:pPr>
    </w:p>
    <w:p w:rsidR="00484EFC" w:rsidRDefault="00484EFC" w:rsidP="00484EFC">
      <w:pPr>
        <w:autoSpaceDE w:val="0"/>
        <w:autoSpaceDN w:val="0"/>
        <w:adjustRightInd w:val="0"/>
        <w:spacing w:after="66"/>
        <w:ind w:left="1418" w:hanging="1305"/>
        <w:rPr>
          <w:rFonts w:asciiTheme="minorHAnsi" w:hAnsiTheme="minorHAnsi" w:cs="Arial"/>
          <w:color w:val="221E1F"/>
          <w:lang w:eastAsia="en-US"/>
        </w:rPr>
      </w:pPr>
      <w:r w:rsidRPr="00A808C6">
        <w:rPr>
          <w:rFonts w:asciiTheme="minorHAnsi" w:hAnsiTheme="minorHAnsi" w:cs="Arial"/>
          <w:bCs/>
          <w:color w:val="221E1F"/>
          <w:lang w:eastAsia="en-US"/>
        </w:rPr>
        <w:t>5.2.15</w:t>
      </w:r>
      <w:r>
        <w:rPr>
          <w:rFonts w:asciiTheme="minorHAnsi" w:hAnsiTheme="minorHAnsi" w:cs="Arial"/>
          <w:b/>
          <w:bCs/>
          <w:color w:val="221E1F"/>
          <w:lang w:eastAsia="en-US"/>
        </w:rPr>
        <w:tab/>
      </w:r>
      <w:r w:rsidRPr="004B228A">
        <w:rPr>
          <w:rFonts w:asciiTheme="minorHAnsi" w:hAnsiTheme="minorHAnsi" w:cs="Arial"/>
          <w:color w:val="221E1F"/>
          <w:lang w:eastAsia="en-US"/>
        </w:rPr>
        <w:t>Factor coverage during this process is prudent, unless the physiotherapist is experienced with haemophilia management. Serial casting or splinting may be required. Supportive bracing will be required if there has been nerve damage.</w:t>
      </w:r>
    </w:p>
    <w:p w:rsidR="00484EFC" w:rsidRDefault="00484EFC" w:rsidP="00484EFC">
      <w:pPr>
        <w:autoSpaceDE w:val="0"/>
        <w:autoSpaceDN w:val="0"/>
        <w:adjustRightInd w:val="0"/>
        <w:spacing w:after="66"/>
        <w:ind w:left="1418" w:hanging="1305"/>
        <w:rPr>
          <w:rFonts w:asciiTheme="minorHAnsi" w:hAnsiTheme="minorHAnsi" w:cs="Arial"/>
          <w:color w:val="221E1F"/>
          <w:lang w:eastAsia="en-US"/>
        </w:rPr>
      </w:pPr>
    </w:p>
    <w:p w:rsidR="00484EFC" w:rsidRPr="004B228A" w:rsidRDefault="00484EFC" w:rsidP="00484EFC">
      <w:pPr>
        <w:autoSpaceDE w:val="0"/>
        <w:autoSpaceDN w:val="0"/>
        <w:adjustRightInd w:val="0"/>
        <w:spacing w:after="66"/>
        <w:ind w:left="1418" w:hanging="1305"/>
        <w:rPr>
          <w:rFonts w:asciiTheme="minorHAnsi" w:hAnsiTheme="minorHAnsi" w:cs="Arial"/>
          <w:color w:val="221E1F"/>
          <w:lang w:eastAsia="en-US"/>
        </w:rPr>
      </w:pPr>
      <w:r>
        <w:rPr>
          <w:rFonts w:asciiTheme="minorHAnsi" w:hAnsiTheme="minorHAnsi" w:cs="Arial"/>
          <w:color w:val="221E1F"/>
          <w:lang w:eastAsia="en-US"/>
        </w:rPr>
        <w:t>5.2.16</w:t>
      </w:r>
      <w:r>
        <w:rPr>
          <w:rFonts w:asciiTheme="minorHAnsi" w:hAnsiTheme="minorHAnsi" w:cs="Arial"/>
          <w:color w:val="221E1F"/>
          <w:lang w:eastAsia="en-US"/>
        </w:rPr>
        <w:tab/>
      </w:r>
      <w:r w:rsidRPr="004B228A">
        <w:rPr>
          <w:rFonts w:asciiTheme="minorHAnsi" w:hAnsiTheme="minorHAnsi" w:cs="Arial"/>
          <w:color w:val="221E1F"/>
          <w:lang w:eastAsia="en-US"/>
        </w:rPr>
        <w:t>Increasing pain during physical therapy can suggest re-bleeding and shou</w:t>
      </w:r>
      <w:r>
        <w:rPr>
          <w:rFonts w:asciiTheme="minorHAnsi" w:hAnsiTheme="minorHAnsi" w:cs="Arial"/>
          <w:color w:val="221E1F"/>
          <w:lang w:eastAsia="en-US"/>
        </w:rPr>
        <w:t xml:space="preserve">ld be regularly evaluated. </w:t>
      </w:r>
      <w:r w:rsidRPr="00A808C6">
        <w:rPr>
          <w:rFonts w:asciiTheme="minorHAnsi" w:hAnsiTheme="minorHAnsi" w:cs="Arial"/>
          <w:color w:val="221E1F"/>
          <w:vertAlign w:val="superscript"/>
          <w:lang w:eastAsia="en-US"/>
        </w:rPr>
        <w:t>[19]</w:t>
      </w:r>
      <w:r w:rsidRPr="004B228A">
        <w:rPr>
          <w:rFonts w:asciiTheme="minorHAnsi" w:hAnsiTheme="minorHAnsi" w:cs="Arial"/>
          <w:color w:val="221E1F"/>
          <w:lang w:eastAsia="en-US"/>
        </w:rPr>
        <w:t xml:space="preserve"> </w:t>
      </w:r>
    </w:p>
    <w:p w:rsidR="00484EFC" w:rsidRPr="00A808C6" w:rsidRDefault="00484EFC" w:rsidP="00041ED2">
      <w:pPr>
        <w:pStyle w:val="Heading4"/>
        <w:rPr>
          <w:lang w:eastAsia="en-US"/>
        </w:rPr>
      </w:pPr>
      <w:r w:rsidRPr="004B228A">
        <w:rPr>
          <w:lang w:eastAsia="en-US"/>
        </w:rPr>
        <w:t xml:space="preserve">Iliopsoas haemorrhage </w:t>
      </w:r>
    </w:p>
    <w:p w:rsidR="00484EFC" w:rsidRDefault="00484EFC" w:rsidP="00484EFC">
      <w:pPr>
        <w:autoSpaceDE w:val="0"/>
        <w:autoSpaceDN w:val="0"/>
        <w:adjustRightInd w:val="0"/>
        <w:spacing w:after="0"/>
        <w:ind w:left="567"/>
        <w:rPr>
          <w:rFonts w:asciiTheme="minorHAnsi" w:hAnsiTheme="minorHAnsi" w:cs="Arial"/>
          <w:color w:val="221E1F"/>
          <w:lang w:eastAsia="en-US"/>
        </w:rPr>
      </w:pPr>
    </w:p>
    <w:p w:rsidR="00484EFC" w:rsidRPr="004B228A" w:rsidRDefault="00484EFC" w:rsidP="00484EFC">
      <w:pPr>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5.2.17</w:t>
      </w:r>
      <w:r>
        <w:rPr>
          <w:rFonts w:asciiTheme="minorHAnsi" w:hAnsiTheme="minorHAnsi" w:cs="Arial"/>
          <w:color w:val="221E1F"/>
          <w:lang w:eastAsia="en-US"/>
        </w:rPr>
        <w:tab/>
      </w:r>
      <w:proofErr w:type="gramStart"/>
      <w:r w:rsidRPr="004B228A">
        <w:rPr>
          <w:rFonts w:asciiTheme="minorHAnsi" w:hAnsiTheme="minorHAnsi" w:cs="Arial"/>
          <w:color w:val="221E1F"/>
          <w:lang w:eastAsia="en-US"/>
        </w:rPr>
        <w:t>This</w:t>
      </w:r>
      <w:proofErr w:type="gramEnd"/>
      <w:r w:rsidRPr="004B228A">
        <w:rPr>
          <w:rFonts w:asciiTheme="minorHAnsi" w:hAnsiTheme="minorHAnsi" w:cs="Arial"/>
          <w:color w:val="221E1F"/>
          <w:lang w:eastAsia="en-US"/>
        </w:rPr>
        <w:t xml:space="preserve"> type of muscle haemorrhage has a unique presentation. Signs may include pain in the lower abdomen, groin, and/or lower back and pain on extension, but not on rotation, of the hip joint. There may be parasthesia in the medial aspect of the thigh or </w:t>
      </w:r>
      <w:r w:rsidRPr="004B228A">
        <w:rPr>
          <w:rFonts w:asciiTheme="minorHAnsi" w:hAnsiTheme="minorHAnsi" w:cs="Arial"/>
          <w:color w:val="221E1F"/>
          <w:lang w:eastAsia="en-US"/>
        </w:rPr>
        <w:lastRenderedPageBreak/>
        <w:t>other signs of femoral nerve compres</w:t>
      </w:r>
      <w:r w:rsidRPr="004B228A">
        <w:rPr>
          <w:rFonts w:asciiTheme="minorHAnsi" w:hAnsiTheme="minorHAnsi" w:cs="Arial"/>
          <w:color w:val="221E1F"/>
          <w:lang w:eastAsia="en-US"/>
        </w:rPr>
        <w:softHyphen/>
        <w:t>sion such as loss of patellar reflex and quadriceps weakness. The symptoms may mimic acute appendicitis, including a positive Blumberg’s sign.</w:t>
      </w:r>
    </w:p>
    <w:p w:rsidR="00484EFC" w:rsidRPr="004B228A" w:rsidRDefault="00484EFC" w:rsidP="00484EFC">
      <w:pPr>
        <w:autoSpaceDE w:val="0"/>
        <w:autoSpaceDN w:val="0"/>
        <w:adjustRightInd w:val="0"/>
        <w:spacing w:after="0"/>
        <w:ind w:left="567"/>
        <w:rPr>
          <w:rFonts w:asciiTheme="minorHAnsi" w:hAnsiTheme="minorHAnsi" w:cs="Arial"/>
          <w:color w:val="221E1F"/>
          <w:lang w:eastAsia="en-US"/>
        </w:rPr>
      </w:pPr>
      <w:r w:rsidRPr="004B228A">
        <w:rPr>
          <w:rFonts w:asciiTheme="minorHAnsi" w:hAnsiTheme="minorHAnsi" w:cs="Arial"/>
          <w:color w:val="221E1F"/>
          <w:lang w:eastAsia="en-US"/>
        </w:rPr>
        <w:t xml:space="preserve"> </w:t>
      </w:r>
    </w:p>
    <w:p w:rsidR="00484EFC" w:rsidRPr="004B228A" w:rsidRDefault="00484EFC" w:rsidP="00484EFC">
      <w:pPr>
        <w:autoSpaceDE w:val="0"/>
        <w:autoSpaceDN w:val="0"/>
        <w:adjustRightInd w:val="0"/>
        <w:spacing w:after="0"/>
        <w:ind w:left="1418" w:hanging="1305"/>
        <w:rPr>
          <w:rFonts w:asciiTheme="minorHAnsi" w:hAnsiTheme="minorHAnsi" w:cs="Arial"/>
          <w:color w:val="221E1F"/>
          <w:lang w:eastAsia="en-US"/>
        </w:rPr>
      </w:pPr>
      <w:r w:rsidRPr="00A808C6">
        <w:rPr>
          <w:rFonts w:asciiTheme="minorHAnsi" w:hAnsiTheme="minorHAnsi" w:cs="Arial"/>
          <w:bCs/>
          <w:color w:val="221E1F"/>
          <w:lang w:eastAsia="en-US"/>
        </w:rPr>
        <w:t>5.2.18</w:t>
      </w:r>
      <w:r>
        <w:rPr>
          <w:rFonts w:asciiTheme="minorHAnsi" w:hAnsiTheme="minorHAnsi" w:cs="Arial"/>
          <w:b/>
          <w:bCs/>
          <w:color w:val="221E1F"/>
          <w:lang w:eastAsia="en-US"/>
        </w:rPr>
        <w:tab/>
      </w:r>
      <w:proofErr w:type="gramStart"/>
      <w:r w:rsidRPr="004B228A">
        <w:rPr>
          <w:rFonts w:asciiTheme="minorHAnsi" w:hAnsiTheme="minorHAnsi" w:cs="Arial"/>
          <w:b/>
          <w:bCs/>
          <w:color w:val="221E1F"/>
          <w:lang w:eastAsia="en-US"/>
        </w:rPr>
        <w:t>Immediately</w:t>
      </w:r>
      <w:proofErr w:type="gramEnd"/>
      <w:r w:rsidRPr="004B228A">
        <w:rPr>
          <w:rFonts w:asciiTheme="minorHAnsi" w:hAnsiTheme="minorHAnsi" w:cs="Arial"/>
          <w:b/>
          <w:bCs/>
          <w:color w:val="221E1F"/>
          <w:lang w:eastAsia="en-US"/>
        </w:rPr>
        <w:t xml:space="preserve"> raise the patient’s factor level. Maintain the levels for five to seven days or </w:t>
      </w:r>
      <w:proofErr w:type="gramStart"/>
      <w:r w:rsidRPr="004B228A">
        <w:rPr>
          <w:rFonts w:asciiTheme="minorHAnsi" w:hAnsiTheme="minorHAnsi" w:cs="Arial"/>
          <w:b/>
          <w:bCs/>
          <w:color w:val="221E1F"/>
          <w:lang w:eastAsia="en-US"/>
        </w:rPr>
        <w:t>longer,</w:t>
      </w:r>
      <w:proofErr w:type="gramEnd"/>
      <w:r w:rsidRPr="004B228A">
        <w:rPr>
          <w:rFonts w:asciiTheme="minorHAnsi" w:hAnsiTheme="minorHAnsi" w:cs="Arial"/>
          <w:b/>
          <w:bCs/>
          <w:color w:val="221E1F"/>
          <w:lang w:eastAsia="en-US"/>
        </w:rPr>
        <w:t xml:space="preserve"> as sy</w:t>
      </w:r>
      <w:r>
        <w:rPr>
          <w:rFonts w:asciiTheme="minorHAnsi" w:hAnsiTheme="minorHAnsi" w:cs="Arial"/>
          <w:b/>
          <w:bCs/>
          <w:color w:val="221E1F"/>
          <w:lang w:eastAsia="en-US"/>
        </w:rPr>
        <w:t>mptoms indicate (refer to Table</w:t>
      </w:r>
      <w:r w:rsidRPr="004B228A">
        <w:rPr>
          <w:rFonts w:asciiTheme="minorHAnsi" w:hAnsiTheme="minorHAnsi" w:cs="Arial"/>
          <w:b/>
          <w:bCs/>
          <w:color w:val="221E1F"/>
          <w:lang w:eastAsia="en-US"/>
        </w:rPr>
        <w:t xml:space="preserve"> 7-1). </w:t>
      </w:r>
      <w:r w:rsidRPr="00A808C6">
        <w:rPr>
          <w:rFonts w:asciiTheme="minorHAnsi" w:hAnsiTheme="minorHAnsi" w:cs="Arial"/>
          <w:b/>
          <w:bCs/>
          <w:color w:val="221E1F"/>
          <w:vertAlign w:val="superscript"/>
          <w:lang w:eastAsia="en-US"/>
        </w:rPr>
        <w:t xml:space="preserve"> [20-22]</w:t>
      </w:r>
    </w:p>
    <w:p w:rsidR="00484EFC" w:rsidRDefault="00484EFC" w:rsidP="00484EFC">
      <w:pPr>
        <w:autoSpaceDE w:val="0"/>
        <w:autoSpaceDN w:val="0"/>
        <w:adjustRightInd w:val="0"/>
        <w:spacing w:after="0"/>
        <w:ind w:left="1418" w:hanging="1305"/>
        <w:rPr>
          <w:rFonts w:asciiTheme="minorHAnsi" w:hAnsiTheme="minorHAnsi" w:cs="Arial"/>
          <w:bCs/>
          <w:color w:val="221E1F"/>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proofErr w:type="gramStart"/>
      <w:r w:rsidRPr="00A808C6">
        <w:rPr>
          <w:rFonts w:asciiTheme="minorHAnsi" w:hAnsiTheme="minorHAnsi" w:cs="Arial"/>
          <w:bCs/>
          <w:color w:val="221E1F"/>
          <w:lang w:eastAsia="en-US"/>
        </w:rPr>
        <w:t>5.2.19</w:t>
      </w:r>
      <w:r>
        <w:rPr>
          <w:rFonts w:asciiTheme="minorHAnsi" w:hAnsiTheme="minorHAnsi" w:cs="Arial"/>
          <w:b/>
          <w:bCs/>
          <w:color w:val="221E1F"/>
          <w:lang w:eastAsia="en-US"/>
        </w:rPr>
        <w:tab/>
        <w:t>Consider hospitalis</w:t>
      </w:r>
      <w:r w:rsidRPr="004B228A">
        <w:rPr>
          <w:rFonts w:asciiTheme="minorHAnsi" w:hAnsiTheme="minorHAnsi" w:cs="Arial"/>
          <w:b/>
          <w:bCs/>
          <w:color w:val="221E1F"/>
          <w:lang w:eastAsia="en-US"/>
        </w:rPr>
        <w:t>ation for observation and control of pain.</w:t>
      </w:r>
      <w:proofErr w:type="gramEnd"/>
      <w:r w:rsidRPr="004B228A">
        <w:rPr>
          <w:rFonts w:asciiTheme="minorHAnsi" w:hAnsiTheme="minorHAnsi" w:cs="Arial"/>
          <w:b/>
          <w:bCs/>
          <w:color w:val="221E1F"/>
          <w:lang w:eastAsia="en-US"/>
        </w:rPr>
        <w:t xml:space="preserve"> Maintain </w:t>
      </w:r>
      <w:r w:rsidRPr="004B228A">
        <w:rPr>
          <w:rFonts w:asciiTheme="minorHAnsi" w:hAnsiTheme="minorHAnsi" w:cs="Arial"/>
          <w:b/>
          <w:bCs/>
          <w:i/>
          <w:iCs/>
          <w:color w:val="221E1F"/>
          <w:lang w:eastAsia="en-US"/>
        </w:rPr>
        <w:t xml:space="preserve">strict </w:t>
      </w:r>
      <w:r w:rsidRPr="004B228A">
        <w:rPr>
          <w:rFonts w:asciiTheme="minorHAnsi" w:hAnsiTheme="minorHAnsi" w:cs="Arial"/>
          <w:b/>
          <w:bCs/>
          <w:color w:val="221E1F"/>
          <w:lang w:eastAsia="en-US"/>
        </w:rPr>
        <w:t xml:space="preserve">bed rest. Ambulation with crutches is </w:t>
      </w:r>
      <w:r w:rsidRPr="004B228A">
        <w:rPr>
          <w:rFonts w:asciiTheme="minorHAnsi" w:hAnsiTheme="minorHAnsi" w:cs="Arial"/>
          <w:b/>
          <w:bCs/>
          <w:i/>
          <w:iCs/>
          <w:color w:val="221E1F"/>
          <w:lang w:eastAsia="en-US"/>
        </w:rPr>
        <w:t xml:space="preserve">not </w:t>
      </w:r>
      <w:r w:rsidRPr="004B228A">
        <w:rPr>
          <w:rFonts w:asciiTheme="minorHAnsi" w:hAnsiTheme="minorHAnsi" w:cs="Arial"/>
          <w:b/>
          <w:bCs/>
          <w:color w:val="221E1F"/>
          <w:lang w:eastAsia="en-US"/>
        </w:rPr>
        <w:t xml:space="preserve">permitted, as ambulation requires contraction of the muscle. </w:t>
      </w:r>
      <w:r w:rsidRPr="00A808C6">
        <w:rPr>
          <w:rFonts w:asciiTheme="minorHAnsi" w:hAnsiTheme="minorHAnsi" w:cs="Arial"/>
          <w:b/>
          <w:bCs/>
          <w:color w:val="221E1F"/>
          <w:vertAlign w:val="superscript"/>
          <w:lang w:eastAsia="en-US"/>
        </w:rPr>
        <w:t>[20-22]</w:t>
      </w: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5.2.20</w:t>
      </w:r>
      <w:r>
        <w:rPr>
          <w:rFonts w:asciiTheme="minorHAnsi" w:hAnsiTheme="minorHAnsi" w:cs="Arial"/>
          <w:color w:val="221E1F"/>
          <w:lang w:eastAsia="en-US"/>
        </w:rPr>
        <w:tab/>
      </w:r>
      <w:proofErr w:type="gramStart"/>
      <w:r w:rsidRPr="004B228A">
        <w:rPr>
          <w:rFonts w:asciiTheme="minorHAnsi" w:hAnsiTheme="minorHAnsi" w:cs="Arial"/>
          <w:b/>
          <w:bCs/>
          <w:color w:val="221E1F"/>
          <w:lang w:eastAsia="en-US"/>
        </w:rPr>
        <w:t>It</w:t>
      </w:r>
      <w:proofErr w:type="gramEnd"/>
      <w:r w:rsidRPr="004B228A">
        <w:rPr>
          <w:rFonts w:asciiTheme="minorHAnsi" w:hAnsiTheme="minorHAnsi" w:cs="Arial"/>
          <w:b/>
          <w:bCs/>
          <w:color w:val="221E1F"/>
          <w:lang w:eastAsia="en-US"/>
        </w:rPr>
        <w:t xml:space="preserve"> is useful to confirm the diagnosis by medical imaging (ultrasonography, CT scan or MRI). If clinically indicated imaging may be required to monitor recovery</w:t>
      </w:r>
      <w:r w:rsidRPr="004B228A">
        <w:rPr>
          <w:rStyle w:val="CommentReference"/>
          <w:rFonts w:asciiTheme="minorHAnsi" w:eastAsiaTheme="majorEastAsia" w:hAnsiTheme="minorHAnsi"/>
        </w:rPr>
        <w:t xml:space="preserve">. </w:t>
      </w:r>
      <w:r w:rsidRPr="008637C4">
        <w:rPr>
          <w:rFonts w:asciiTheme="minorHAnsi" w:hAnsiTheme="minorHAnsi" w:cs="Arial"/>
          <w:b/>
          <w:bCs/>
          <w:color w:val="221E1F"/>
          <w:vertAlign w:val="superscript"/>
          <w:lang w:eastAsia="en-US"/>
        </w:rPr>
        <w:t>[20-22]</w:t>
      </w:r>
      <w:r w:rsidRPr="004B228A">
        <w:rPr>
          <w:rFonts w:asciiTheme="minorHAnsi" w:hAnsiTheme="minorHAnsi" w:cs="Arial"/>
          <w:b/>
          <w:bCs/>
          <w:color w:val="221E1F"/>
          <w:lang w:eastAsia="en-US"/>
        </w:rPr>
        <w:t xml:space="preserve"> </w:t>
      </w: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5.2.21</w:t>
      </w:r>
      <w:r>
        <w:rPr>
          <w:rFonts w:asciiTheme="minorHAnsi" w:hAnsiTheme="minorHAnsi" w:cs="Arial"/>
          <w:color w:val="221E1F"/>
          <w:lang w:eastAsia="en-US"/>
        </w:rPr>
        <w:tab/>
      </w:r>
      <w:r w:rsidRPr="004B228A">
        <w:rPr>
          <w:rFonts w:asciiTheme="minorHAnsi" w:hAnsiTheme="minorHAnsi" w:cs="Arial"/>
          <w:b/>
          <w:bCs/>
          <w:color w:val="221E1F"/>
          <w:lang w:eastAsia="en-US"/>
        </w:rPr>
        <w:t xml:space="preserve">Limit the patient’s activity until pain resolves and hip extension improves. A carefully supervised program of physiotherapy is </w:t>
      </w:r>
      <w:proofErr w:type="gramStart"/>
      <w:r w:rsidRPr="004B228A">
        <w:rPr>
          <w:rFonts w:asciiTheme="minorHAnsi" w:hAnsiTheme="minorHAnsi" w:cs="Arial"/>
          <w:b/>
          <w:bCs/>
          <w:color w:val="221E1F"/>
          <w:lang w:eastAsia="en-US"/>
        </w:rPr>
        <w:t>key</w:t>
      </w:r>
      <w:proofErr w:type="gramEnd"/>
      <w:r w:rsidRPr="004B228A">
        <w:rPr>
          <w:rFonts w:asciiTheme="minorHAnsi" w:hAnsiTheme="minorHAnsi" w:cs="Arial"/>
          <w:b/>
          <w:bCs/>
          <w:color w:val="221E1F"/>
          <w:lang w:eastAsia="en-US"/>
        </w:rPr>
        <w:t xml:space="preserve"> to restoring full activity and function and preventing re-bleeding. Restoration of complete hip extension before returning to full activity is recommended. </w:t>
      </w:r>
      <w:r w:rsidRPr="008637C4">
        <w:rPr>
          <w:rFonts w:asciiTheme="minorHAnsi" w:hAnsiTheme="minorHAnsi" w:cs="Arial"/>
          <w:b/>
          <w:bCs/>
          <w:color w:val="221E1F"/>
          <w:vertAlign w:val="superscript"/>
          <w:lang w:eastAsia="en-US"/>
        </w:rPr>
        <w:t>[20-22]</w:t>
      </w: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p>
    <w:p w:rsidR="00484EFC" w:rsidRPr="006550A7" w:rsidRDefault="00484EFC" w:rsidP="00041ED2">
      <w:pPr>
        <w:pStyle w:val="Default"/>
        <w:spacing w:after="219" w:line="276" w:lineRule="auto"/>
        <w:ind w:left="1418" w:hanging="1305"/>
        <w:rPr>
          <w:rFonts w:asciiTheme="minorHAnsi" w:hAnsiTheme="minorHAnsi" w:cs="Arial"/>
          <w:color w:val="221E1F"/>
        </w:rPr>
      </w:pPr>
      <w:r w:rsidRPr="00041ED2">
        <w:rPr>
          <w:rFonts w:asciiTheme="minorHAnsi" w:hAnsiTheme="minorHAnsi" w:cs="Arial"/>
          <w:color w:val="221E1F"/>
          <w:sz w:val="22"/>
          <w:szCs w:val="22"/>
        </w:rPr>
        <w:t>5.2.22</w:t>
      </w:r>
      <w:r w:rsidRPr="00041ED2">
        <w:rPr>
          <w:rFonts w:asciiTheme="minorHAnsi" w:hAnsiTheme="minorHAnsi" w:cs="Arial"/>
          <w:color w:val="221E1F"/>
          <w:sz w:val="22"/>
          <w:szCs w:val="22"/>
        </w:rPr>
        <w:tab/>
      </w:r>
      <w:proofErr w:type="gramStart"/>
      <w:r w:rsidRPr="00041ED2">
        <w:rPr>
          <w:rFonts w:asciiTheme="minorHAnsi" w:hAnsiTheme="minorHAnsi" w:cs="Arial"/>
          <w:color w:val="221E1F"/>
          <w:sz w:val="22"/>
          <w:szCs w:val="22"/>
        </w:rPr>
        <w:t>If</w:t>
      </w:r>
      <w:proofErr w:type="gramEnd"/>
      <w:r w:rsidRPr="00041ED2">
        <w:rPr>
          <w:rFonts w:asciiTheme="minorHAnsi" w:hAnsiTheme="minorHAnsi" w:cs="Arial"/>
          <w:color w:val="221E1F"/>
          <w:sz w:val="22"/>
          <w:szCs w:val="22"/>
        </w:rPr>
        <w:t xml:space="preserve"> residual neuromuscular deficits persist, further orthotic support may be necessary. </w:t>
      </w:r>
    </w:p>
    <w:p w:rsidR="00484EFC" w:rsidRPr="00041ED2" w:rsidRDefault="00484EFC" w:rsidP="00041ED2">
      <w:pPr>
        <w:pStyle w:val="Heading3"/>
        <w:rPr>
          <w:rStyle w:val="A8"/>
          <w:b/>
        </w:rPr>
      </w:pPr>
      <w:bookmarkStart w:id="36" w:name="_Toc431484329"/>
      <w:r w:rsidRPr="00041ED2">
        <w:rPr>
          <w:rStyle w:val="A8"/>
        </w:rPr>
        <w:t>5.3</w:t>
      </w:r>
      <w:r w:rsidRPr="00D10E64">
        <w:rPr>
          <w:rStyle w:val="A8"/>
          <w:b/>
        </w:rPr>
        <w:t xml:space="preserve"> </w:t>
      </w:r>
      <w:r w:rsidRPr="00041ED2">
        <w:rPr>
          <w:rStyle w:val="A8"/>
        </w:rPr>
        <w:t>Central nervous system haemorrhage/head trauma</w:t>
      </w:r>
      <w:bookmarkEnd w:id="36"/>
      <w:r w:rsidRPr="00041ED2">
        <w:rPr>
          <w:rStyle w:val="A8"/>
        </w:rPr>
        <w:t xml:space="preserve"> </w:t>
      </w:r>
    </w:p>
    <w:p w:rsidR="00484EFC"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5.3.1</w:t>
      </w:r>
      <w:r>
        <w:rPr>
          <w:rFonts w:asciiTheme="minorHAnsi" w:hAnsiTheme="minorHAnsi" w:cs="Arial"/>
          <w:color w:val="221E1F"/>
          <w:sz w:val="22"/>
          <w:szCs w:val="22"/>
        </w:rPr>
        <w:tab/>
      </w:r>
      <w:r w:rsidRPr="007161C6">
        <w:rPr>
          <w:rFonts w:asciiTheme="minorHAnsi" w:hAnsiTheme="minorHAnsi" w:cs="Arial"/>
          <w:b/>
          <w:color w:val="221E1F"/>
          <w:sz w:val="22"/>
          <w:szCs w:val="22"/>
        </w:rPr>
        <w:t>This</w:t>
      </w:r>
      <w:r w:rsidRPr="007161C6">
        <w:rPr>
          <w:rFonts w:asciiTheme="minorHAnsi" w:hAnsiTheme="minorHAnsi" w:cs="Arial"/>
          <w:color w:val="221E1F"/>
          <w:sz w:val="22"/>
          <w:szCs w:val="22"/>
        </w:rPr>
        <w:t xml:space="preserve"> </w:t>
      </w:r>
      <w:r w:rsidRPr="004B228A">
        <w:rPr>
          <w:rFonts w:asciiTheme="minorHAnsi" w:hAnsiTheme="minorHAnsi" w:cs="Arial"/>
          <w:b/>
          <w:iCs/>
          <w:color w:val="221E1F"/>
          <w:sz w:val="22"/>
          <w:szCs w:val="22"/>
        </w:rPr>
        <w:t xml:space="preserve">is a medical emergency. Treat first then investigate with relevant scans and blood </w:t>
      </w:r>
      <w:proofErr w:type="gramStart"/>
      <w:r w:rsidRPr="004B228A">
        <w:rPr>
          <w:rFonts w:asciiTheme="minorHAnsi" w:hAnsiTheme="minorHAnsi" w:cs="Arial"/>
          <w:b/>
          <w:iCs/>
          <w:color w:val="221E1F"/>
          <w:sz w:val="22"/>
          <w:szCs w:val="22"/>
        </w:rPr>
        <w:t xml:space="preserve">tests </w:t>
      </w:r>
      <w:r w:rsidRPr="004B228A">
        <w:rPr>
          <w:rFonts w:asciiTheme="minorHAnsi" w:hAnsiTheme="minorHAnsi" w:cs="Arial"/>
          <w:i/>
          <w:iCs/>
          <w:color w:val="221E1F"/>
          <w:sz w:val="22"/>
          <w:szCs w:val="22"/>
        </w:rPr>
        <w:t>.</w:t>
      </w:r>
      <w:proofErr w:type="gramEnd"/>
      <w:r w:rsidRPr="004B228A">
        <w:rPr>
          <w:rFonts w:asciiTheme="minorHAnsi" w:hAnsiTheme="minorHAnsi" w:cs="Arial"/>
          <w:i/>
          <w:iCs/>
          <w:color w:val="221E1F"/>
          <w:sz w:val="22"/>
          <w:szCs w:val="22"/>
        </w:rPr>
        <w:t xml:space="preserve"> </w:t>
      </w:r>
    </w:p>
    <w:p w:rsidR="00484EFC" w:rsidRDefault="00484EFC" w:rsidP="00484EFC">
      <w:pPr>
        <w:pStyle w:val="Default"/>
        <w:spacing w:after="219" w:line="276" w:lineRule="auto"/>
        <w:ind w:left="1418" w:hanging="1305"/>
        <w:rPr>
          <w:rFonts w:asciiTheme="minorHAnsi" w:hAnsiTheme="minorHAnsi" w:cs="Arial"/>
          <w:color w:val="221E1F"/>
          <w:sz w:val="22"/>
          <w:szCs w:val="22"/>
        </w:rPr>
      </w:pPr>
      <w:r w:rsidRPr="007161C6">
        <w:rPr>
          <w:rFonts w:asciiTheme="minorHAnsi" w:hAnsiTheme="minorHAnsi" w:cs="Arial"/>
          <w:color w:val="221E1F"/>
          <w:sz w:val="22"/>
          <w:szCs w:val="22"/>
        </w:rPr>
        <w:t>5.3.2</w:t>
      </w:r>
      <w:r>
        <w:rPr>
          <w:rFonts w:asciiTheme="minorHAnsi" w:hAnsiTheme="minorHAnsi"/>
          <w:color w:val="E31736"/>
          <w:sz w:val="28"/>
          <w:szCs w:val="28"/>
        </w:rPr>
        <w:tab/>
      </w:r>
      <w:r w:rsidRPr="004B228A">
        <w:rPr>
          <w:rFonts w:asciiTheme="minorHAnsi" w:hAnsiTheme="minorHAnsi" w:cs="Arial"/>
          <w:color w:val="221E1F"/>
          <w:sz w:val="22"/>
          <w:szCs w:val="22"/>
        </w:rPr>
        <w:t>All post-traumatic head injuries, confirmed or suspected, and significant headaches, with or without vomiting, must be treated as intracranial bleeds. Sudden severe pain in the back may be associated with bleeding around the spinal cord. Do not wait for further symptoms to develop or for labora</w:t>
      </w:r>
      <w:r>
        <w:rPr>
          <w:rFonts w:asciiTheme="minorHAnsi" w:hAnsiTheme="minorHAnsi" w:cs="Arial"/>
          <w:color w:val="221E1F"/>
          <w:sz w:val="22"/>
          <w:szCs w:val="22"/>
        </w:rPr>
        <w:t>tory or radio</w:t>
      </w:r>
      <w:r>
        <w:rPr>
          <w:rFonts w:asciiTheme="minorHAnsi" w:hAnsiTheme="minorHAnsi" w:cs="Arial"/>
          <w:color w:val="221E1F"/>
          <w:sz w:val="22"/>
          <w:szCs w:val="22"/>
        </w:rPr>
        <w:softHyphen/>
        <w:t>logic evaluation.</w:t>
      </w:r>
    </w:p>
    <w:p w:rsidR="00484EFC" w:rsidRDefault="00484EFC" w:rsidP="00484EFC">
      <w:pPr>
        <w:pStyle w:val="Default"/>
        <w:spacing w:after="219" w:line="276" w:lineRule="auto"/>
        <w:ind w:left="1418" w:hanging="1305"/>
        <w:rPr>
          <w:rFonts w:asciiTheme="minorHAnsi" w:hAnsiTheme="minorHAnsi" w:cs="Arial"/>
          <w:b/>
          <w:bCs/>
          <w:color w:val="221E1F"/>
          <w:sz w:val="22"/>
          <w:szCs w:val="22"/>
        </w:rPr>
      </w:pPr>
      <w:r>
        <w:rPr>
          <w:rFonts w:asciiTheme="minorHAnsi" w:hAnsiTheme="minorHAnsi" w:cs="Arial"/>
          <w:color w:val="221E1F"/>
          <w:sz w:val="22"/>
          <w:szCs w:val="22"/>
        </w:rPr>
        <w:t>5.3.3</w:t>
      </w:r>
      <w:r>
        <w:rPr>
          <w:rFonts w:asciiTheme="minorHAnsi" w:hAnsiTheme="minorHAnsi" w:cs="Arial"/>
          <w:color w:val="221E1F"/>
          <w:sz w:val="22"/>
          <w:szCs w:val="22"/>
        </w:rPr>
        <w:tab/>
      </w:r>
      <w:r w:rsidRPr="004B228A">
        <w:rPr>
          <w:rFonts w:asciiTheme="minorHAnsi" w:hAnsiTheme="minorHAnsi" w:cs="Arial"/>
          <w:b/>
          <w:bCs/>
          <w:i/>
          <w:iCs/>
          <w:color w:val="221E1F"/>
          <w:sz w:val="22"/>
          <w:szCs w:val="22"/>
        </w:rPr>
        <w:t xml:space="preserve">Immediately </w:t>
      </w:r>
      <w:r w:rsidRPr="004B228A">
        <w:rPr>
          <w:rFonts w:asciiTheme="minorHAnsi" w:hAnsiTheme="minorHAnsi" w:cs="Arial"/>
          <w:b/>
          <w:bCs/>
          <w:color w:val="221E1F"/>
          <w:sz w:val="22"/>
          <w:szCs w:val="22"/>
        </w:rPr>
        <w:t>raise the patient’s factor level when significant trauma or early symptoms occur. Further doses will depend on imaging results. Maintain factor level until aetiology is defined. If a bleed is confirmed, maintain the appropriate factor level for 10-14 days</w:t>
      </w:r>
      <w:r>
        <w:rPr>
          <w:rFonts w:asciiTheme="minorHAnsi" w:hAnsiTheme="minorHAnsi" w:cs="Arial"/>
          <w:b/>
          <w:bCs/>
          <w:color w:val="221E1F"/>
          <w:sz w:val="22"/>
          <w:szCs w:val="22"/>
        </w:rPr>
        <w:t xml:space="preserve"> (refer to Table 7-1). </w:t>
      </w:r>
      <w:r w:rsidRPr="007161C6">
        <w:rPr>
          <w:rFonts w:asciiTheme="minorHAnsi" w:hAnsiTheme="minorHAnsi" w:cs="Arial"/>
          <w:b/>
          <w:bCs/>
          <w:color w:val="221E1F"/>
          <w:sz w:val="22"/>
          <w:szCs w:val="22"/>
          <w:vertAlign w:val="superscript"/>
        </w:rPr>
        <w:t>[23</w:t>
      </w:r>
      <w:proofErr w:type="gramStart"/>
      <w:r w:rsidRPr="007161C6">
        <w:rPr>
          <w:rFonts w:asciiTheme="minorHAnsi" w:hAnsiTheme="minorHAnsi" w:cs="Arial"/>
          <w:b/>
          <w:bCs/>
          <w:color w:val="221E1F"/>
          <w:sz w:val="22"/>
          <w:szCs w:val="22"/>
          <w:vertAlign w:val="superscript"/>
        </w:rPr>
        <w:t>,24</w:t>
      </w:r>
      <w:proofErr w:type="gramEnd"/>
      <w:r w:rsidRPr="007161C6">
        <w:rPr>
          <w:rFonts w:asciiTheme="minorHAnsi" w:hAnsiTheme="minorHAnsi" w:cs="Arial"/>
          <w:b/>
          <w:bCs/>
          <w:color w:val="221E1F"/>
          <w:sz w:val="22"/>
          <w:szCs w:val="22"/>
          <w:vertAlign w:val="superscript"/>
        </w:rPr>
        <w:t>]</w:t>
      </w:r>
    </w:p>
    <w:p w:rsidR="00484EFC"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5.3.4</w:t>
      </w:r>
      <w:r>
        <w:rPr>
          <w:rFonts w:asciiTheme="minorHAnsi" w:hAnsiTheme="minorHAnsi" w:cs="Arial"/>
          <w:b/>
          <w:bCs/>
          <w:color w:val="221E1F"/>
          <w:sz w:val="22"/>
          <w:szCs w:val="22"/>
        </w:rPr>
        <w:tab/>
      </w:r>
      <w:r w:rsidRPr="004B228A">
        <w:rPr>
          <w:rFonts w:asciiTheme="minorHAnsi" w:hAnsiTheme="minorHAnsi" w:cs="Arial"/>
          <w:b/>
          <w:bCs/>
          <w:color w:val="221E1F"/>
          <w:sz w:val="22"/>
          <w:szCs w:val="22"/>
        </w:rPr>
        <w:t xml:space="preserve">Intracranial haemorrhage may be an indication for prolonged secondary prophylaxis (three to six months), especially where a relatively high risk of recurrence has been observed (e.g. in the presence of HIV infection). </w:t>
      </w:r>
      <w:r w:rsidRPr="007161C6">
        <w:rPr>
          <w:rFonts w:asciiTheme="minorHAnsi" w:hAnsiTheme="minorHAnsi" w:cs="Arial"/>
          <w:b/>
          <w:bCs/>
          <w:color w:val="221E1F"/>
          <w:sz w:val="22"/>
          <w:szCs w:val="22"/>
          <w:vertAlign w:val="superscript"/>
        </w:rPr>
        <w:t>[23</w:t>
      </w:r>
      <w:proofErr w:type="gramStart"/>
      <w:r w:rsidRPr="007161C6">
        <w:rPr>
          <w:rFonts w:asciiTheme="minorHAnsi" w:hAnsiTheme="minorHAnsi" w:cs="Arial"/>
          <w:b/>
          <w:bCs/>
          <w:color w:val="221E1F"/>
          <w:sz w:val="22"/>
          <w:szCs w:val="22"/>
          <w:vertAlign w:val="superscript"/>
        </w:rPr>
        <w:t>,25,26</w:t>
      </w:r>
      <w:proofErr w:type="gramEnd"/>
      <w:r w:rsidRPr="007161C6">
        <w:rPr>
          <w:rFonts w:asciiTheme="minorHAnsi" w:hAnsiTheme="minorHAnsi" w:cs="Arial"/>
          <w:b/>
          <w:bCs/>
          <w:color w:val="221E1F"/>
          <w:sz w:val="22"/>
          <w:szCs w:val="22"/>
          <w:vertAlign w:val="superscript"/>
        </w:rPr>
        <w:t>]</w:t>
      </w:r>
      <w:r w:rsidRPr="004B228A">
        <w:rPr>
          <w:rFonts w:asciiTheme="minorHAnsi" w:hAnsiTheme="minorHAnsi" w:cs="Arial"/>
          <w:b/>
          <w:bCs/>
          <w:color w:val="221E1F"/>
          <w:sz w:val="22"/>
          <w:szCs w:val="22"/>
        </w:rPr>
        <w:t xml:space="preserve"> </w:t>
      </w:r>
    </w:p>
    <w:p w:rsidR="00484EFC"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5.3.5</w:t>
      </w:r>
      <w:r>
        <w:rPr>
          <w:rFonts w:asciiTheme="minorHAnsi" w:hAnsiTheme="minorHAnsi"/>
          <w:color w:val="E31736"/>
          <w:sz w:val="28"/>
          <w:szCs w:val="28"/>
        </w:rPr>
        <w:tab/>
      </w:r>
      <w:r w:rsidRPr="004B228A">
        <w:rPr>
          <w:rFonts w:asciiTheme="minorHAnsi" w:hAnsiTheme="minorHAnsi" w:cs="Arial"/>
          <w:b/>
          <w:bCs/>
          <w:color w:val="221E1F"/>
          <w:sz w:val="22"/>
          <w:szCs w:val="22"/>
        </w:rPr>
        <w:t>Immediate m</w:t>
      </w:r>
      <w:r>
        <w:rPr>
          <w:rFonts w:asciiTheme="minorHAnsi" w:hAnsiTheme="minorHAnsi" w:cs="Arial"/>
          <w:b/>
          <w:bCs/>
          <w:color w:val="221E1F"/>
          <w:sz w:val="22"/>
          <w:szCs w:val="22"/>
        </w:rPr>
        <w:t>edical evaluation and hospitalis</w:t>
      </w:r>
      <w:r w:rsidRPr="004B228A">
        <w:rPr>
          <w:rFonts w:asciiTheme="minorHAnsi" w:hAnsiTheme="minorHAnsi" w:cs="Arial"/>
          <w:b/>
          <w:bCs/>
          <w:color w:val="221E1F"/>
          <w:sz w:val="22"/>
          <w:szCs w:val="22"/>
        </w:rPr>
        <w:t>a</w:t>
      </w:r>
      <w:r w:rsidRPr="004B228A">
        <w:rPr>
          <w:rFonts w:asciiTheme="minorHAnsi" w:hAnsiTheme="minorHAnsi" w:cs="Arial"/>
          <w:b/>
          <w:bCs/>
          <w:color w:val="221E1F"/>
          <w:sz w:val="22"/>
          <w:szCs w:val="22"/>
        </w:rPr>
        <w:softHyphen/>
        <w:t>tion is required. A CT scan or MRI of the brain should be performed. Neurosurgical consulta</w:t>
      </w:r>
      <w:r w:rsidRPr="004B228A">
        <w:rPr>
          <w:rFonts w:asciiTheme="minorHAnsi" w:hAnsiTheme="minorHAnsi" w:cs="Arial"/>
          <w:b/>
          <w:bCs/>
          <w:color w:val="221E1F"/>
          <w:sz w:val="22"/>
          <w:szCs w:val="22"/>
        </w:rPr>
        <w:softHyphen/>
        <w:t xml:space="preserve">tion should be sought </w:t>
      </w:r>
      <w:r>
        <w:rPr>
          <w:rFonts w:asciiTheme="minorHAnsi" w:hAnsiTheme="minorHAnsi" w:cs="Arial"/>
          <w:b/>
          <w:bCs/>
          <w:color w:val="221E1F"/>
          <w:sz w:val="22"/>
          <w:szCs w:val="22"/>
        </w:rPr>
        <w:t>as soon as possible</w:t>
      </w:r>
      <w:r w:rsidRPr="004B228A">
        <w:rPr>
          <w:rFonts w:asciiTheme="minorHAnsi" w:hAnsiTheme="minorHAnsi" w:cs="Arial"/>
          <w:b/>
          <w:bCs/>
          <w:color w:val="221E1F"/>
          <w:sz w:val="22"/>
          <w:szCs w:val="22"/>
        </w:rPr>
        <w:t xml:space="preserve">. </w:t>
      </w:r>
      <w:r w:rsidRPr="007161C6">
        <w:rPr>
          <w:rFonts w:asciiTheme="minorHAnsi" w:hAnsiTheme="minorHAnsi" w:cs="Arial"/>
          <w:b/>
          <w:bCs/>
          <w:color w:val="221E1F"/>
          <w:sz w:val="22"/>
          <w:szCs w:val="22"/>
          <w:vertAlign w:val="superscript"/>
        </w:rPr>
        <w:t>[27</w:t>
      </w:r>
      <w:proofErr w:type="gramStart"/>
      <w:r w:rsidRPr="007161C6">
        <w:rPr>
          <w:rFonts w:asciiTheme="minorHAnsi" w:hAnsiTheme="minorHAnsi" w:cs="Arial"/>
          <w:b/>
          <w:bCs/>
          <w:color w:val="221E1F"/>
          <w:sz w:val="22"/>
          <w:szCs w:val="22"/>
          <w:vertAlign w:val="superscript"/>
        </w:rPr>
        <w:t>,28</w:t>
      </w:r>
      <w:proofErr w:type="gramEnd"/>
      <w:r w:rsidRPr="007161C6">
        <w:rPr>
          <w:rFonts w:asciiTheme="minorHAnsi" w:hAnsiTheme="minorHAnsi" w:cs="Arial"/>
          <w:b/>
          <w:bCs/>
          <w:color w:val="221E1F"/>
          <w:sz w:val="22"/>
          <w:szCs w:val="22"/>
          <w:vertAlign w:val="superscript"/>
        </w:rPr>
        <w:t>]</w:t>
      </w:r>
      <w:r w:rsidRPr="004B228A">
        <w:rPr>
          <w:rFonts w:asciiTheme="minorHAnsi" w:hAnsiTheme="minorHAnsi" w:cs="Arial"/>
          <w:b/>
          <w:bCs/>
          <w:color w:val="221E1F"/>
          <w:sz w:val="22"/>
          <w:szCs w:val="22"/>
        </w:rPr>
        <w:t xml:space="preserve"> </w:t>
      </w:r>
    </w:p>
    <w:p w:rsidR="00484EFC" w:rsidRPr="007161C6"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5.3.6</w:t>
      </w:r>
      <w:r>
        <w:rPr>
          <w:rFonts w:asciiTheme="minorHAnsi" w:hAnsiTheme="minorHAnsi"/>
          <w:color w:val="E31736"/>
          <w:sz w:val="28"/>
          <w:szCs w:val="28"/>
        </w:rPr>
        <w:tab/>
      </w:r>
      <w:r w:rsidRPr="004B228A">
        <w:rPr>
          <w:rFonts w:asciiTheme="minorHAnsi" w:hAnsiTheme="minorHAnsi" w:cs="Arial"/>
          <w:color w:val="221E1F"/>
          <w:sz w:val="22"/>
          <w:szCs w:val="22"/>
        </w:rPr>
        <w:t>Severe headache may also be a manifestation of meningitis in immunocompromised patients.</w:t>
      </w:r>
    </w:p>
    <w:p w:rsidR="00484EFC" w:rsidRPr="00041ED2" w:rsidRDefault="00484EFC" w:rsidP="00041ED2">
      <w:pPr>
        <w:pStyle w:val="Heading3"/>
        <w:rPr>
          <w:rStyle w:val="A8"/>
          <w:color w:val="FF0000"/>
        </w:rPr>
      </w:pPr>
      <w:bookmarkStart w:id="37" w:name="_Toc431484330"/>
      <w:r w:rsidRPr="00041ED2">
        <w:rPr>
          <w:rStyle w:val="A8"/>
          <w:color w:val="FF0000"/>
        </w:rPr>
        <w:t>5.4 Throat and neck haemorrhage</w:t>
      </w:r>
      <w:bookmarkEnd w:id="37"/>
    </w:p>
    <w:p w:rsidR="00484EFC"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5.4.1</w:t>
      </w:r>
      <w:r>
        <w:rPr>
          <w:rFonts w:asciiTheme="minorHAnsi" w:hAnsiTheme="minorHAnsi"/>
          <w:b/>
          <w:bCs/>
          <w:color w:val="E31736"/>
          <w:sz w:val="28"/>
          <w:szCs w:val="28"/>
        </w:rPr>
        <w:tab/>
      </w:r>
      <w:r w:rsidRPr="004B228A">
        <w:rPr>
          <w:rFonts w:asciiTheme="minorHAnsi" w:hAnsiTheme="minorHAnsi" w:cs="Arial"/>
          <w:b/>
          <w:iCs/>
          <w:color w:val="221E1F"/>
          <w:sz w:val="22"/>
          <w:szCs w:val="22"/>
        </w:rPr>
        <w:t>This is a medical emergency because it can lead to airway obstruction. Treat first before evaluating</w:t>
      </w:r>
      <w:r w:rsidRPr="004B228A">
        <w:rPr>
          <w:rFonts w:asciiTheme="minorHAnsi" w:hAnsiTheme="minorHAnsi" w:cs="Arial"/>
          <w:i/>
          <w:iCs/>
          <w:color w:val="221E1F"/>
          <w:sz w:val="22"/>
          <w:szCs w:val="22"/>
        </w:rPr>
        <w:t xml:space="preserve">. </w:t>
      </w:r>
    </w:p>
    <w:p w:rsidR="00484EFC" w:rsidRDefault="00484EFC" w:rsidP="00484EFC">
      <w:pPr>
        <w:pStyle w:val="Default"/>
        <w:spacing w:after="219" w:line="276" w:lineRule="auto"/>
        <w:ind w:left="1418" w:hanging="1305"/>
        <w:rPr>
          <w:rFonts w:asciiTheme="minorHAnsi" w:hAnsiTheme="minorHAnsi" w:cs="Arial"/>
          <w:b/>
          <w:bCs/>
          <w:color w:val="221E1F"/>
          <w:sz w:val="22"/>
          <w:szCs w:val="22"/>
        </w:rPr>
      </w:pPr>
      <w:r w:rsidRPr="007161C6">
        <w:rPr>
          <w:rFonts w:asciiTheme="minorHAnsi" w:hAnsiTheme="minorHAnsi" w:cs="Arial"/>
          <w:color w:val="221E1F"/>
          <w:sz w:val="22"/>
          <w:szCs w:val="22"/>
        </w:rPr>
        <w:lastRenderedPageBreak/>
        <w:t>5.4.2</w:t>
      </w:r>
      <w:r>
        <w:rPr>
          <w:rFonts w:asciiTheme="minorHAnsi" w:hAnsiTheme="minorHAnsi"/>
          <w:color w:val="E31736"/>
          <w:sz w:val="28"/>
          <w:szCs w:val="28"/>
        </w:rPr>
        <w:tab/>
      </w:r>
      <w:r w:rsidRPr="004B228A">
        <w:rPr>
          <w:rFonts w:asciiTheme="minorHAnsi" w:hAnsiTheme="minorHAnsi" w:cs="Arial"/>
          <w:b/>
          <w:bCs/>
          <w:i/>
          <w:iCs/>
          <w:color w:val="221E1F"/>
          <w:sz w:val="22"/>
          <w:szCs w:val="22"/>
        </w:rPr>
        <w:t xml:space="preserve">Immediately </w:t>
      </w:r>
      <w:r w:rsidRPr="004B228A">
        <w:rPr>
          <w:rFonts w:asciiTheme="minorHAnsi" w:hAnsiTheme="minorHAnsi" w:cs="Arial"/>
          <w:b/>
          <w:bCs/>
          <w:color w:val="221E1F"/>
          <w:sz w:val="22"/>
          <w:szCs w:val="22"/>
        </w:rPr>
        <w:t>raise the patient’s factor level when significant trauma or symptoms occur. Maintain the factor levels until symptoms resolve (re</w:t>
      </w:r>
      <w:r>
        <w:rPr>
          <w:rFonts w:asciiTheme="minorHAnsi" w:hAnsiTheme="minorHAnsi" w:cs="Arial"/>
          <w:b/>
          <w:bCs/>
          <w:color w:val="221E1F"/>
          <w:sz w:val="22"/>
          <w:szCs w:val="22"/>
        </w:rPr>
        <w:t xml:space="preserve">fer to Table 7-1).  </w:t>
      </w:r>
      <w:r w:rsidRPr="007161C6">
        <w:rPr>
          <w:rFonts w:asciiTheme="minorHAnsi" w:hAnsiTheme="minorHAnsi" w:cs="Arial"/>
          <w:b/>
          <w:bCs/>
          <w:color w:val="221E1F"/>
          <w:sz w:val="22"/>
          <w:szCs w:val="22"/>
          <w:vertAlign w:val="superscript"/>
        </w:rPr>
        <w:t>[15</w:t>
      </w:r>
      <w:proofErr w:type="gramStart"/>
      <w:r w:rsidRPr="007161C6">
        <w:rPr>
          <w:rFonts w:asciiTheme="minorHAnsi" w:hAnsiTheme="minorHAnsi" w:cs="Arial"/>
          <w:b/>
          <w:bCs/>
          <w:color w:val="221E1F"/>
          <w:sz w:val="22"/>
          <w:szCs w:val="22"/>
          <w:vertAlign w:val="superscript"/>
        </w:rPr>
        <w:t>,29,30</w:t>
      </w:r>
      <w:proofErr w:type="gramEnd"/>
      <w:r w:rsidRPr="007161C6">
        <w:rPr>
          <w:rFonts w:asciiTheme="minorHAnsi" w:hAnsiTheme="minorHAnsi" w:cs="Arial"/>
          <w:b/>
          <w:bCs/>
          <w:color w:val="221E1F"/>
          <w:sz w:val="22"/>
          <w:szCs w:val="22"/>
          <w:vertAlign w:val="superscript"/>
        </w:rPr>
        <w:t>]</w:t>
      </w:r>
    </w:p>
    <w:p w:rsidR="00484EFC"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5.4.3</w:t>
      </w:r>
      <w:r>
        <w:rPr>
          <w:rFonts w:asciiTheme="minorHAnsi" w:hAnsiTheme="minorHAnsi" w:cs="Arial"/>
          <w:b/>
          <w:bCs/>
          <w:color w:val="221E1F"/>
          <w:sz w:val="22"/>
          <w:szCs w:val="22"/>
        </w:rPr>
        <w:tab/>
        <w:t>Hospitalis</w:t>
      </w:r>
      <w:r w:rsidRPr="004B228A">
        <w:rPr>
          <w:rFonts w:asciiTheme="minorHAnsi" w:hAnsiTheme="minorHAnsi" w:cs="Arial"/>
          <w:b/>
          <w:bCs/>
          <w:color w:val="221E1F"/>
          <w:sz w:val="22"/>
          <w:szCs w:val="22"/>
        </w:rPr>
        <w:t xml:space="preserve">ation and evaluation by a specialist is essential. </w:t>
      </w:r>
      <w:r w:rsidRPr="007161C6">
        <w:rPr>
          <w:rFonts w:asciiTheme="minorHAnsi" w:hAnsiTheme="minorHAnsi" w:cs="Arial"/>
          <w:b/>
          <w:bCs/>
          <w:color w:val="221E1F"/>
          <w:sz w:val="22"/>
          <w:szCs w:val="22"/>
          <w:vertAlign w:val="superscript"/>
        </w:rPr>
        <w:t>[15]</w:t>
      </w:r>
    </w:p>
    <w:p w:rsidR="00484EFC" w:rsidRPr="007161C6"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5.4.4</w:t>
      </w:r>
      <w:r w:rsidRPr="007161C6">
        <w:rPr>
          <w:rFonts w:asciiTheme="minorHAnsi" w:hAnsiTheme="minorHAnsi" w:cs="Arial"/>
          <w:color w:val="221E1F"/>
          <w:sz w:val="22"/>
          <w:szCs w:val="22"/>
        </w:rPr>
        <w:tab/>
      </w:r>
      <w:r w:rsidRPr="004B228A">
        <w:rPr>
          <w:rFonts w:asciiTheme="minorHAnsi" w:hAnsiTheme="minorHAnsi" w:cs="Arial"/>
          <w:color w:val="221E1F"/>
          <w:sz w:val="22"/>
          <w:szCs w:val="22"/>
        </w:rPr>
        <w:t xml:space="preserve">To prevent haemorrhage in patients with severe tonsillitis, treatment with factor may be indicated, in addition to bacterial culture and treatment with appropriate antibiotics. </w:t>
      </w:r>
    </w:p>
    <w:p w:rsidR="00484EFC" w:rsidRPr="00041ED2" w:rsidRDefault="00484EFC" w:rsidP="00041ED2">
      <w:pPr>
        <w:pStyle w:val="Heading3"/>
        <w:rPr>
          <w:rStyle w:val="A8"/>
          <w:color w:val="FF0000"/>
        </w:rPr>
      </w:pPr>
      <w:bookmarkStart w:id="38" w:name="_Toc431484331"/>
      <w:r w:rsidRPr="00041ED2">
        <w:rPr>
          <w:rStyle w:val="A8"/>
          <w:color w:val="FF0000"/>
        </w:rPr>
        <w:t>5.5 Acute gastrointestinal (GI) haemorrhage</w:t>
      </w:r>
      <w:bookmarkEnd w:id="38"/>
    </w:p>
    <w:p w:rsidR="00484EFC"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5.5.1</w:t>
      </w:r>
      <w:r>
        <w:rPr>
          <w:rFonts w:asciiTheme="minorHAnsi" w:hAnsiTheme="minorHAnsi"/>
          <w:color w:val="E31736"/>
          <w:sz w:val="28"/>
          <w:szCs w:val="28"/>
        </w:rPr>
        <w:tab/>
      </w:r>
      <w:r w:rsidRPr="004B228A">
        <w:rPr>
          <w:rFonts w:asciiTheme="minorHAnsi" w:hAnsiTheme="minorHAnsi" w:cs="Arial"/>
          <w:b/>
          <w:bCs/>
          <w:i/>
          <w:iCs/>
          <w:color w:val="221E1F"/>
          <w:sz w:val="22"/>
          <w:szCs w:val="22"/>
        </w:rPr>
        <w:t xml:space="preserve">Immediately </w:t>
      </w:r>
      <w:r w:rsidRPr="004B228A">
        <w:rPr>
          <w:rFonts w:asciiTheme="minorHAnsi" w:hAnsiTheme="minorHAnsi" w:cs="Arial"/>
          <w:b/>
          <w:bCs/>
          <w:color w:val="221E1F"/>
          <w:sz w:val="22"/>
          <w:szCs w:val="22"/>
        </w:rPr>
        <w:t>raise the patient’s factor levels. Maintain the factor level until haemorrhage has stopped and the aetio</w:t>
      </w:r>
      <w:r>
        <w:rPr>
          <w:rFonts w:asciiTheme="minorHAnsi" w:hAnsiTheme="minorHAnsi" w:cs="Arial"/>
          <w:b/>
          <w:bCs/>
          <w:color w:val="221E1F"/>
          <w:sz w:val="22"/>
          <w:szCs w:val="22"/>
        </w:rPr>
        <w:t>logy is defined (refer to Table</w:t>
      </w:r>
      <w:r w:rsidRPr="004B228A">
        <w:rPr>
          <w:rFonts w:asciiTheme="minorHAnsi" w:hAnsiTheme="minorHAnsi" w:cs="Arial"/>
          <w:b/>
          <w:bCs/>
          <w:color w:val="221E1F"/>
          <w:sz w:val="22"/>
          <w:szCs w:val="22"/>
        </w:rPr>
        <w:t xml:space="preserve"> 7-1).  </w:t>
      </w:r>
      <w:r w:rsidRPr="007161C6">
        <w:rPr>
          <w:rFonts w:asciiTheme="minorHAnsi" w:hAnsiTheme="minorHAnsi" w:cs="Arial"/>
          <w:b/>
          <w:bCs/>
          <w:color w:val="221E1F"/>
          <w:sz w:val="22"/>
          <w:szCs w:val="22"/>
          <w:vertAlign w:val="superscript"/>
        </w:rPr>
        <w:t>[31</w:t>
      </w:r>
      <w:proofErr w:type="gramStart"/>
      <w:r w:rsidRPr="007161C6">
        <w:rPr>
          <w:rFonts w:asciiTheme="minorHAnsi" w:hAnsiTheme="minorHAnsi" w:cs="Arial"/>
          <w:b/>
          <w:bCs/>
          <w:color w:val="221E1F"/>
          <w:sz w:val="22"/>
          <w:szCs w:val="22"/>
          <w:vertAlign w:val="superscript"/>
        </w:rPr>
        <w:t>,32</w:t>
      </w:r>
      <w:proofErr w:type="gramEnd"/>
      <w:r w:rsidRPr="007161C6">
        <w:rPr>
          <w:rFonts w:asciiTheme="minorHAnsi" w:hAnsiTheme="minorHAnsi" w:cs="Arial"/>
          <w:b/>
          <w:bCs/>
          <w:color w:val="221E1F"/>
          <w:sz w:val="22"/>
          <w:szCs w:val="22"/>
          <w:vertAlign w:val="superscript"/>
        </w:rPr>
        <w:t>]</w:t>
      </w:r>
    </w:p>
    <w:p w:rsidR="00484EFC" w:rsidRPr="00041ED2" w:rsidRDefault="00484EFC" w:rsidP="00041ED2">
      <w:pPr>
        <w:pStyle w:val="Default"/>
        <w:spacing w:after="219" w:line="276" w:lineRule="auto"/>
        <w:ind w:left="1418" w:hanging="1305"/>
        <w:rPr>
          <w:rFonts w:asciiTheme="minorHAnsi" w:hAnsiTheme="minorHAnsi" w:cs="Arial"/>
          <w:color w:val="221E1F"/>
          <w:sz w:val="22"/>
          <w:szCs w:val="22"/>
        </w:rPr>
      </w:pPr>
      <w:r w:rsidRPr="007161C6">
        <w:rPr>
          <w:rFonts w:asciiTheme="minorHAnsi" w:hAnsiTheme="minorHAnsi" w:cs="Arial"/>
          <w:color w:val="221E1F"/>
          <w:sz w:val="22"/>
          <w:szCs w:val="22"/>
        </w:rPr>
        <w:t>5.5.2</w:t>
      </w:r>
      <w:r w:rsidRPr="00041ED2">
        <w:rPr>
          <w:rFonts w:asciiTheme="minorHAnsi" w:hAnsiTheme="minorHAnsi" w:cs="Arial"/>
          <w:color w:val="221E1F"/>
          <w:sz w:val="22"/>
          <w:szCs w:val="22"/>
        </w:rPr>
        <w:tab/>
      </w:r>
      <w:r w:rsidRPr="00041ED2">
        <w:rPr>
          <w:rFonts w:asciiTheme="minorHAnsi" w:hAnsiTheme="minorHAnsi" w:cs="Arial"/>
          <w:color w:val="221E1F"/>
          <w:sz w:val="22"/>
          <w:szCs w:val="22"/>
        </w:rPr>
        <w:tab/>
      </w:r>
      <w:r w:rsidRPr="004B228A">
        <w:rPr>
          <w:rFonts w:asciiTheme="minorHAnsi" w:hAnsiTheme="minorHAnsi" w:cs="Arial"/>
          <w:color w:val="221E1F"/>
          <w:sz w:val="22"/>
          <w:szCs w:val="22"/>
        </w:rPr>
        <w:t>Acute gastrointestinal haemorrhage may present as h</w:t>
      </w:r>
      <w:r>
        <w:rPr>
          <w:rFonts w:asciiTheme="minorHAnsi" w:hAnsiTheme="minorHAnsi" w:cs="Arial"/>
          <w:color w:val="221E1F"/>
          <w:sz w:val="22"/>
          <w:szCs w:val="22"/>
        </w:rPr>
        <w:t>a</w:t>
      </w:r>
      <w:r w:rsidRPr="004B228A">
        <w:rPr>
          <w:rFonts w:asciiTheme="minorHAnsi" w:hAnsiTheme="minorHAnsi" w:cs="Arial"/>
          <w:color w:val="221E1F"/>
          <w:sz w:val="22"/>
          <w:szCs w:val="22"/>
        </w:rPr>
        <w:t>ematemesis, h</w:t>
      </w:r>
      <w:r>
        <w:rPr>
          <w:rFonts w:asciiTheme="minorHAnsi" w:hAnsiTheme="minorHAnsi" w:cs="Arial"/>
          <w:color w:val="221E1F"/>
          <w:sz w:val="22"/>
          <w:szCs w:val="22"/>
        </w:rPr>
        <w:t>a</w:t>
      </w:r>
      <w:r w:rsidR="00173B0C">
        <w:rPr>
          <w:rFonts w:asciiTheme="minorHAnsi" w:hAnsiTheme="minorHAnsi" w:cs="Arial"/>
          <w:color w:val="221E1F"/>
          <w:sz w:val="22"/>
          <w:szCs w:val="22"/>
        </w:rPr>
        <w:t xml:space="preserve">ematochezia, or </w:t>
      </w:r>
      <w:r w:rsidRPr="004B228A">
        <w:rPr>
          <w:rFonts w:asciiTheme="minorHAnsi" w:hAnsiTheme="minorHAnsi" w:cs="Arial"/>
          <w:color w:val="221E1F"/>
          <w:sz w:val="22"/>
          <w:szCs w:val="22"/>
        </w:rPr>
        <w:t>malena.</w:t>
      </w:r>
    </w:p>
    <w:p w:rsidR="00484EFC"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5.5.3</w:t>
      </w:r>
      <w:r>
        <w:rPr>
          <w:rFonts w:asciiTheme="minorHAnsi" w:hAnsiTheme="minorHAnsi"/>
          <w:color w:val="E31736"/>
          <w:sz w:val="28"/>
          <w:szCs w:val="28"/>
        </w:rPr>
        <w:tab/>
      </w:r>
      <w:r>
        <w:rPr>
          <w:rFonts w:asciiTheme="minorHAnsi" w:hAnsiTheme="minorHAnsi"/>
          <w:color w:val="E31736"/>
          <w:sz w:val="28"/>
          <w:szCs w:val="28"/>
        </w:rPr>
        <w:tab/>
      </w:r>
      <w:r w:rsidRPr="004B228A">
        <w:rPr>
          <w:rFonts w:asciiTheme="minorHAnsi" w:hAnsiTheme="minorHAnsi" w:cs="Arial"/>
          <w:color w:val="221E1F"/>
          <w:sz w:val="22"/>
          <w:szCs w:val="22"/>
        </w:rPr>
        <w:t>For signs of GI bleeding and/or acute haemor</w:t>
      </w:r>
      <w:r w:rsidRPr="004B228A">
        <w:rPr>
          <w:rFonts w:asciiTheme="minorHAnsi" w:hAnsiTheme="minorHAnsi" w:cs="Arial"/>
          <w:color w:val="221E1F"/>
          <w:sz w:val="22"/>
          <w:szCs w:val="22"/>
        </w:rPr>
        <w:softHyphen/>
        <w:t>rhage in the abdomen, medical ev</w:t>
      </w:r>
      <w:r>
        <w:rPr>
          <w:rFonts w:asciiTheme="minorHAnsi" w:hAnsiTheme="minorHAnsi" w:cs="Arial"/>
          <w:color w:val="221E1F"/>
          <w:sz w:val="22"/>
          <w:szCs w:val="22"/>
        </w:rPr>
        <w:t>aluation and possibly hospitalis</w:t>
      </w:r>
      <w:r w:rsidRPr="004B228A">
        <w:rPr>
          <w:rFonts w:asciiTheme="minorHAnsi" w:hAnsiTheme="minorHAnsi" w:cs="Arial"/>
          <w:color w:val="221E1F"/>
          <w:sz w:val="22"/>
          <w:szCs w:val="22"/>
        </w:rPr>
        <w:t xml:space="preserve">ation are required. </w:t>
      </w:r>
    </w:p>
    <w:p w:rsidR="00484EFC" w:rsidRDefault="00484EFC" w:rsidP="00484EFC">
      <w:pPr>
        <w:pStyle w:val="Default"/>
        <w:spacing w:after="219" w:line="276" w:lineRule="auto"/>
        <w:ind w:left="113"/>
        <w:rPr>
          <w:rFonts w:asciiTheme="minorHAnsi" w:hAnsiTheme="minorHAnsi"/>
          <w:color w:val="E31736"/>
          <w:sz w:val="28"/>
          <w:szCs w:val="28"/>
        </w:rPr>
      </w:pPr>
      <w:r w:rsidRPr="007161C6">
        <w:rPr>
          <w:rFonts w:asciiTheme="minorHAnsi" w:hAnsiTheme="minorHAnsi" w:cs="Arial"/>
          <w:color w:val="221E1F"/>
          <w:sz w:val="22"/>
          <w:szCs w:val="22"/>
        </w:rPr>
        <w:t>5.5.4</w:t>
      </w:r>
      <w:r>
        <w:rPr>
          <w:rFonts w:asciiTheme="minorHAnsi" w:hAnsiTheme="minorHAnsi"/>
          <w:color w:val="E31736"/>
          <w:sz w:val="28"/>
          <w:szCs w:val="28"/>
        </w:rPr>
        <w:tab/>
      </w:r>
      <w:r>
        <w:rPr>
          <w:rFonts w:asciiTheme="minorHAnsi" w:hAnsiTheme="minorHAnsi"/>
          <w:color w:val="E31736"/>
          <w:sz w:val="28"/>
          <w:szCs w:val="28"/>
        </w:rPr>
        <w:tab/>
      </w:r>
      <w:r w:rsidRPr="004B228A">
        <w:rPr>
          <w:rFonts w:asciiTheme="minorHAnsi" w:hAnsiTheme="minorHAnsi" w:cs="Arial"/>
          <w:color w:val="221E1F"/>
          <w:sz w:val="22"/>
          <w:szCs w:val="22"/>
        </w:rPr>
        <w:t>Haemoglobin levels should be regularly moni</w:t>
      </w:r>
      <w:r w:rsidRPr="004B228A">
        <w:rPr>
          <w:rFonts w:asciiTheme="minorHAnsi" w:hAnsiTheme="minorHAnsi" w:cs="Arial"/>
          <w:color w:val="221E1F"/>
          <w:sz w:val="22"/>
          <w:szCs w:val="22"/>
        </w:rPr>
        <w:softHyphen/>
        <w:t>tored. Treat an</w:t>
      </w:r>
      <w:r>
        <w:rPr>
          <w:rFonts w:asciiTheme="minorHAnsi" w:hAnsiTheme="minorHAnsi" w:cs="Arial"/>
          <w:color w:val="221E1F"/>
          <w:sz w:val="22"/>
          <w:szCs w:val="22"/>
        </w:rPr>
        <w:t>a</w:t>
      </w:r>
      <w:r w:rsidRPr="004B228A">
        <w:rPr>
          <w:rFonts w:asciiTheme="minorHAnsi" w:hAnsiTheme="minorHAnsi" w:cs="Arial"/>
          <w:color w:val="221E1F"/>
          <w:sz w:val="22"/>
          <w:szCs w:val="22"/>
        </w:rPr>
        <w:t>emia or shock, as needed.</w:t>
      </w:r>
    </w:p>
    <w:p w:rsidR="00484EFC" w:rsidRDefault="00484EFC" w:rsidP="00484EFC">
      <w:pPr>
        <w:pStyle w:val="Default"/>
        <w:spacing w:after="219" w:line="276" w:lineRule="auto"/>
        <w:ind w:left="113"/>
        <w:rPr>
          <w:rFonts w:asciiTheme="minorHAnsi" w:hAnsiTheme="minorHAnsi"/>
          <w:color w:val="E31736"/>
          <w:sz w:val="28"/>
          <w:szCs w:val="28"/>
        </w:rPr>
      </w:pPr>
      <w:r w:rsidRPr="007161C6">
        <w:rPr>
          <w:rFonts w:asciiTheme="minorHAnsi" w:hAnsiTheme="minorHAnsi" w:cs="Arial"/>
          <w:color w:val="221E1F"/>
          <w:sz w:val="22"/>
          <w:szCs w:val="22"/>
        </w:rPr>
        <w:t>5.5.5</w:t>
      </w:r>
      <w:r>
        <w:rPr>
          <w:rFonts w:asciiTheme="minorHAnsi" w:hAnsiTheme="minorHAnsi"/>
          <w:color w:val="E31736"/>
          <w:sz w:val="28"/>
          <w:szCs w:val="28"/>
        </w:rPr>
        <w:tab/>
      </w:r>
      <w:r>
        <w:rPr>
          <w:rFonts w:asciiTheme="minorHAnsi" w:hAnsiTheme="minorHAnsi"/>
          <w:color w:val="E31736"/>
          <w:sz w:val="28"/>
          <w:szCs w:val="28"/>
        </w:rPr>
        <w:tab/>
      </w:r>
      <w:r w:rsidRPr="004B228A">
        <w:rPr>
          <w:rFonts w:asciiTheme="minorHAnsi" w:hAnsiTheme="minorHAnsi" w:cs="Arial"/>
          <w:color w:val="221E1F"/>
          <w:sz w:val="22"/>
          <w:szCs w:val="22"/>
        </w:rPr>
        <w:t>Initiate investigation to identify and treat the origin of haemorrhage as indicated.</w:t>
      </w:r>
    </w:p>
    <w:p w:rsidR="00484EFC" w:rsidRPr="007161C6" w:rsidRDefault="00484EFC" w:rsidP="00484EFC">
      <w:pPr>
        <w:pStyle w:val="Default"/>
        <w:spacing w:after="219" w:line="276" w:lineRule="auto"/>
        <w:ind w:left="113"/>
        <w:rPr>
          <w:rFonts w:asciiTheme="minorHAnsi" w:hAnsiTheme="minorHAnsi"/>
          <w:color w:val="E31736"/>
          <w:sz w:val="28"/>
          <w:szCs w:val="28"/>
        </w:rPr>
      </w:pPr>
      <w:r w:rsidRPr="007161C6">
        <w:rPr>
          <w:rFonts w:asciiTheme="minorHAnsi" w:hAnsiTheme="minorHAnsi" w:cs="Arial"/>
          <w:color w:val="221E1F"/>
          <w:sz w:val="22"/>
          <w:szCs w:val="22"/>
        </w:rPr>
        <w:t>5.5.6</w:t>
      </w:r>
      <w:r>
        <w:rPr>
          <w:rFonts w:asciiTheme="minorHAnsi" w:hAnsiTheme="minorHAnsi"/>
          <w:color w:val="E31736"/>
          <w:sz w:val="28"/>
          <w:szCs w:val="28"/>
        </w:rPr>
        <w:tab/>
      </w:r>
      <w:r>
        <w:rPr>
          <w:rFonts w:asciiTheme="minorHAnsi" w:hAnsiTheme="minorHAnsi"/>
          <w:color w:val="E31736"/>
          <w:sz w:val="28"/>
          <w:szCs w:val="28"/>
        </w:rPr>
        <w:tab/>
      </w:r>
      <w:r w:rsidRPr="004B228A">
        <w:rPr>
          <w:rFonts w:asciiTheme="minorHAnsi" w:hAnsiTheme="minorHAnsi" w:cs="Arial"/>
          <w:color w:val="221E1F"/>
          <w:sz w:val="22"/>
          <w:szCs w:val="22"/>
        </w:rPr>
        <w:t>Tranexamic acid may be used as adjunc</w:t>
      </w:r>
      <w:r w:rsidRPr="004B228A">
        <w:rPr>
          <w:rFonts w:asciiTheme="minorHAnsi" w:hAnsiTheme="minorHAnsi" w:cs="Arial"/>
          <w:color w:val="221E1F"/>
          <w:sz w:val="22"/>
          <w:szCs w:val="22"/>
        </w:rPr>
        <w:softHyphen/>
        <w:t xml:space="preserve">tive therapy. </w:t>
      </w:r>
    </w:p>
    <w:p w:rsidR="00484EFC" w:rsidRPr="00041ED2" w:rsidRDefault="00484EFC" w:rsidP="00041ED2">
      <w:pPr>
        <w:pStyle w:val="Heading3"/>
        <w:rPr>
          <w:rStyle w:val="A8"/>
          <w:b/>
        </w:rPr>
      </w:pPr>
      <w:bookmarkStart w:id="39" w:name="_Toc431484332"/>
      <w:r w:rsidRPr="00041ED2">
        <w:rPr>
          <w:rStyle w:val="A8"/>
        </w:rPr>
        <w:t>5.6</w:t>
      </w:r>
      <w:r w:rsidRPr="00D10E64">
        <w:rPr>
          <w:rStyle w:val="A8"/>
          <w:b/>
        </w:rPr>
        <w:t xml:space="preserve"> </w:t>
      </w:r>
      <w:r w:rsidRPr="00041ED2">
        <w:rPr>
          <w:rStyle w:val="A8"/>
        </w:rPr>
        <w:t>Acute abdominal haemorrhage</w:t>
      </w:r>
      <w:bookmarkEnd w:id="39"/>
      <w:r w:rsidRPr="00041ED2">
        <w:rPr>
          <w:rStyle w:val="A8"/>
        </w:rPr>
        <w:t xml:space="preserve"> </w:t>
      </w:r>
    </w:p>
    <w:p w:rsidR="00484EFC"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5.6.1</w:t>
      </w:r>
      <w:r>
        <w:rPr>
          <w:rFonts w:asciiTheme="minorHAnsi" w:hAnsiTheme="minorHAnsi"/>
          <w:color w:val="E31736"/>
          <w:sz w:val="28"/>
          <w:szCs w:val="28"/>
        </w:rPr>
        <w:tab/>
      </w:r>
      <w:r w:rsidRPr="004B228A">
        <w:rPr>
          <w:rFonts w:asciiTheme="minorHAnsi" w:hAnsiTheme="minorHAnsi" w:cs="Arial"/>
          <w:color w:val="221E1F"/>
          <w:sz w:val="22"/>
          <w:szCs w:val="22"/>
        </w:rPr>
        <w:t>An acute abdominal (including retroperitoneal) haemorrhage can present with abdominal pain and distension and can be mistaken for a number of infectious or surgical conditions. It may also present as a paralytic ileus. Appropriate radio</w:t>
      </w:r>
      <w:r w:rsidRPr="004B228A">
        <w:rPr>
          <w:rFonts w:asciiTheme="minorHAnsi" w:hAnsiTheme="minorHAnsi" w:cs="Arial"/>
          <w:color w:val="221E1F"/>
          <w:sz w:val="22"/>
          <w:szCs w:val="22"/>
        </w:rPr>
        <w:softHyphen/>
        <w:t>logic studies may be necessary.</w:t>
      </w:r>
    </w:p>
    <w:p w:rsidR="00484EFC" w:rsidRPr="007161C6"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5.6.2</w:t>
      </w:r>
      <w:r>
        <w:rPr>
          <w:rFonts w:asciiTheme="minorHAnsi" w:hAnsiTheme="minorHAnsi"/>
          <w:color w:val="E31736"/>
          <w:sz w:val="28"/>
          <w:szCs w:val="28"/>
        </w:rPr>
        <w:tab/>
      </w:r>
      <w:r w:rsidRPr="004B228A">
        <w:rPr>
          <w:rFonts w:asciiTheme="minorHAnsi" w:hAnsiTheme="minorHAnsi" w:cs="Arial"/>
          <w:b/>
          <w:bCs/>
          <w:i/>
          <w:iCs/>
          <w:color w:val="221E1F"/>
          <w:sz w:val="22"/>
          <w:szCs w:val="22"/>
        </w:rPr>
        <w:t xml:space="preserve">Immediately </w:t>
      </w:r>
      <w:r w:rsidRPr="004B228A">
        <w:rPr>
          <w:rFonts w:asciiTheme="minorHAnsi" w:hAnsiTheme="minorHAnsi" w:cs="Arial"/>
          <w:b/>
          <w:bCs/>
          <w:color w:val="221E1F"/>
          <w:sz w:val="22"/>
          <w:szCs w:val="22"/>
        </w:rPr>
        <w:t>raise the patient’s factor levels. Maintain th</w:t>
      </w:r>
      <w:r>
        <w:rPr>
          <w:rFonts w:asciiTheme="minorHAnsi" w:hAnsiTheme="minorHAnsi" w:cs="Arial"/>
          <w:b/>
          <w:bCs/>
          <w:color w:val="221E1F"/>
          <w:sz w:val="22"/>
          <w:szCs w:val="22"/>
        </w:rPr>
        <w:t>e factor levels (refer to Table</w:t>
      </w:r>
      <w:r w:rsidRPr="004B228A">
        <w:rPr>
          <w:rFonts w:asciiTheme="minorHAnsi" w:hAnsiTheme="minorHAnsi" w:cs="Arial"/>
          <w:b/>
          <w:bCs/>
          <w:color w:val="221E1F"/>
          <w:sz w:val="22"/>
          <w:szCs w:val="22"/>
        </w:rPr>
        <w:t xml:space="preserve"> 7-1) until the etiology can be defined, then treat appropriately in consultation with a specialist. </w:t>
      </w:r>
      <w:r w:rsidRPr="007161C6">
        <w:rPr>
          <w:rFonts w:asciiTheme="minorHAnsi" w:hAnsiTheme="minorHAnsi" w:cs="Arial"/>
          <w:b/>
          <w:bCs/>
          <w:color w:val="221E1F"/>
          <w:sz w:val="22"/>
          <w:szCs w:val="22"/>
          <w:vertAlign w:val="superscript"/>
        </w:rPr>
        <w:t>[15</w:t>
      </w:r>
      <w:proofErr w:type="gramStart"/>
      <w:r w:rsidRPr="007161C6">
        <w:rPr>
          <w:rFonts w:asciiTheme="minorHAnsi" w:hAnsiTheme="minorHAnsi" w:cs="Arial"/>
          <w:b/>
          <w:bCs/>
          <w:color w:val="221E1F"/>
          <w:sz w:val="22"/>
          <w:szCs w:val="22"/>
          <w:vertAlign w:val="superscript"/>
        </w:rPr>
        <w:t>,29,30</w:t>
      </w:r>
      <w:proofErr w:type="gramEnd"/>
      <w:r w:rsidRPr="007161C6">
        <w:rPr>
          <w:rFonts w:asciiTheme="minorHAnsi" w:hAnsiTheme="minorHAnsi" w:cs="Arial"/>
          <w:b/>
          <w:bCs/>
          <w:color w:val="221E1F"/>
          <w:sz w:val="22"/>
          <w:szCs w:val="22"/>
          <w:vertAlign w:val="superscript"/>
        </w:rPr>
        <w:t>]</w:t>
      </w:r>
    </w:p>
    <w:p w:rsidR="00484EFC" w:rsidRPr="00041ED2" w:rsidRDefault="00484EFC" w:rsidP="00041ED2">
      <w:pPr>
        <w:pStyle w:val="Heading3"/>
        <w:rPr>
          <w:rStyle w:val="A8"/>
          <w:b/>
        </w:rPr>
      </w:pPr>
      <w:bookmarkStart w:id="40" w:name="_Toc431484333"/>
      <w:r w:rsidRPr="00041ED2">
        <w:rPr>
          <w:rStyle w:val="A8"/>
        </w:rPr>
        <w:t>5.7</w:t>
      </w:r>
      <w:r w:rsidRPr="00D10E64">
        <w:rPr>
          <w:rStyle w:val="A8"/>
          <w:b/>
        </w:rPr>
        <w:t xml:space="preserve"> </w:t>
      </w:r>
      <w:r w:rsidRPr="00041ED2">
        <w:rPr>
          <w:rStyle w:val="A8"/>
        </w:rPr>
        <w:t>Ophthalmic haemorrhage</w:t>
      </w:r>
      <w:bookmarkEnd w:id="40"/>
    </w:p>
    <w:p w:rsidR="00484EFC"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5.7.1</w:t>
      </w:r>
      <w:r>
        <w:rPr>
          <w:rFonts w:asciiTheme="minorHAnsi" w:hAnsiTheme="minorHAnsi"/>
          <w:color w:val="E31736"/>
          <w:sz w:val="28"/>
          <w:szCs w:val="28"/>
        </w:rPr>
        <w:tab/>
      </w:r>
      <w:r w:rsidRPr="004B228A">
        <w:rPr>
          <w:rFonts w:asciiTheme="minorHAnsi" w:hAnsiTheme="minorHAnsi" w:cs="Arial"/>
          <w:color w:val="221E1F"/>
          <w:sz w:val="22"/>
          <w:szCs w:val="22"/>
        </w:rPr>
        <w:t>This is uncommon unless associated with trauma or infection.</w:t>
      </w:r>
    </w:p>
    <w:p w:rsidR="00484EFC" w:rsidRDefault="00484EFC" w:rsidP="00484EFC">
      <w:pPr>
        <w:pStyle w:val="Default"/>
        <w:spacing w:after="219" w:line="276" w:lineRule="auto"/>
        <w:ind w:left="1418" w:hanging="1305"/>
        <w:rPr>
          <w:rFonts w:asciiTheme="minorHAnsi" w:hAnsiTheme="minorHAnsi" w:cs="Arial"/>
          <w:b/>
          <w:bCs/>
          <w:color w:val="221E1F"/>
          <w:sz w:val="22"/>
          <w:szCs w:val="22"/>
        </w:rPr>
      </w:pPr>
      <w:r w:rsidRPr="007161C6">
        <w:rPr>
          <w:rFonts w:asciiTheme="minorHAnsi" w:hAnsiTheme="minorHAnsi" w:cs="Arial"/>
          <w:color w:val="221E1F"/>
          <w:sz w:val="22"/>
          <w:szCs w:val="22"/>
        </w:rPr>
        <w:t>5.7.2</w:t>
      </w:r>
      <w:r>
        <w:rPr>
          <w:rFonts w:asciiTheme="minorHAnsi" w:hAnsiTheme="minorHAnsi"/>
          <w:color w:val="E31736"/>
          <w:sz w:val="28"/>
          <w:szCs w:val="28"/>
        </w:rPr>
        <w:tab/>
      </w:r>
      <w:r w:rsidRPr="004B228A">
        <w:rPr>
          <w:rFonts w:asciiTheme="minorHAnsi" w:hAnsiTheme="minorHAnsi" w:cs="Arial"/>
          <w:b/>
          <w:bCs/>
          <w:i/>
          <w:iCs/>
          <w:color w:val="221E1F"/>
          <w:sz w:val="22"/>
          <w:szCs w:val="22"/>
        </w:rPr>
        <w:t xml:space="preserve">Immediately </w:t>
      </w:r>
      <w:r w:rsidRPr="004B228A">
        <w:rPr>
          <w:rFonts w:asciiTheme="minorHAnsi" w:hAnsiTheme="minorHAnsi" w:cs="Arial"/>
          <w:b/>
          <w:bCs/>
          <w:color w:val="221E1F"/>
          <w:sz w:val="22"/>
          <w:szCs w:val="22"/>
        </w:rPr>
        <w:t>raise the patient’s factor level. Maintain the factor level as indicated (</w:t>
      </w:r>
      <w:r>
        <w:rPr>
          <w:rFonts w:asciiTheme="minorHAnsi" w:hAnsiTheme="minorHAnsi" w:cs="Arial"/>
          <w:b/>
          <w:bCs/>
          <w:color w:val="221E1F"/>
          <w:sz w:val="22"/>
          <w:szCs w:val="22"/>
        </w:rPr>
        <w:t xml:space="preserve">refer to Table 7-1). </w:t>
      </w:r>
      <w:r w:rsidRPr="007161C6">
        <w:rPr>
          <w:rFonts w:asciiTheme="minorHAnsi" w:hAnsiTheme="minorHAnsi" w:cs="Arial"/>
          <w:b/>
          <w:bCs/>
          <w:color w:val="221E1F"/>
          <w:sz w:val="22"/>
          <w:szCs w:val="22"/>
          <w:vertAlign w:val="superscript"/>
        </w:rPr>
        <w:t>[15</w:t>
      </w:r>
      <w:proofErr w:type="gramStart"/>
      <w:r w:rsidRPr="007161C6">
        <w:rPr>
          <w:rFonts w:asciiTheme="minorHAnsi" w:hAnsiTheme="minorHAnsi" w:cs="Arial"/>
          <w:b/>
          <w:bCs/>
          <w:color w:val="221E1F"/>
          <w:sz w:val="22"/>
          <w:szCs w:val="22"/>
          <w:vertAlign w:val="superscript"/>
        </w:rPr>
        <w:t>,29,30</w:t>
      </w:r>
      <w:proofErr w:type="gramEnd"/>
      <w:r w:rsidRPr="007161C6">
        <w:rPr>
          <w:rFonts w:asciiTheme="minorHAnsi" w:hAnsiTheme="minorHAnsi" w:cs="Arial"/>
          <w:b/>
          <w:bCs/>
          <w:color w:val="221E1F"/>
          <w:sz w:val="22"/>
          <w:szCs w:val="22"/>
          <w:vertAlign w:val="superscript"/>
        </w:rPr>
        <w:t>]</w:t>
      </w:r>
    </w:p>
    <w:p w:rsidR="00484EFC" w:rsidRPr="007161C6" w:rsidRDefault="00484EFC" w:rsidP="00484EFC">
      <w:pPr>
        <w:pStyle w:val="Default"/>
        <w:spacing w:after="219" w:line="276" w:lineRule="auto"/>
        <w:ind w:left="1418" w:hanging="1305"/>
        <w:rPr>
          <w:rFonts w:asciiTheme="minorHAnsi" w:hAnsiTheme="minorHAnsi"/>
          <w:color w:val="E31736"/>
          <w:sz w:val="28"/>
          <w:szCs w:val="28"/>
        </w:rPr>
      </w:pPr>
      <w:r w:rsidRPr="007161C6">
        <w:rPr>
          <w:rFonts w:asciiTheme="minorHAnsi" w:hAnsiTheme="minorHAnsi" w:cs="Arial"/>
          <w:color w:val="221E1F"/>
          <w:sz w:val="22"/>
          <w:szCs w:val="22"/>
        </w:rPr>
        <w:t>5.7.3</w:t>
      </w:r>
      <w:r w:rsidRPr="007161C6">
        <w:rPr>
          <w:rFonts w:asciiTheme="minorHAnsi" w:hAnsiTheme="minorHAnsi" w:cs="Arial"/>
          <w:color w:val="221E1F"/>
          <w:sz w:val="22"/>
          <w:szCs w:val="22"/>
        </w:rPr>
        <w:tab/>
      </w:r>
      <w:r w:rsidRPr="004B228A">
        <w:rPr>
          <w:rFonts w:asciiTheme="minorHAnsi" w:hAnsiTheme="minorHAnsi" w:cs="Arial"/>
          <w:color w:val="221E1F"/>
          <w:sz w:val="22"/>
          <w:szCs w:val="22"/>
        </w:rPr>
        <w:t>Have the patient evaluated by an ophthalmolo</w:t>
      </w:r>
      <w:r w:rsidRPr="004B228A">
        <w:rPr>
          <w:rFonts w:asciiTheme="minorHAnsi" w:hAnsiTheme="minorHAnsi" w:cs="Arial"/>
          <w:color w:val="221E1F"/>
          <w:sz w:val="22"/>
          <w:szCs w:val="22"/>
        </w:rPr>
        <w:softHyphen/>
        <w:t>gist as soon as possible</w:t>
      </w:r>
      <w:r>
        <w:rPr>
          <w:rFonts w:asciiTheme="minorHAnsi" w:hAnsiTheme="minorHAnsi" w:cs="Arial"/>
          <w:color w:val="221E1F"/>
          <w:sz w:val="22"/>
          <w:szCs w:val="22"/>
        </w:rPr>
        <w:t>.</w:t>
      </w:r>
    </w:p>
    <w:p w:rsidR="00484EFC" w:rsidRPr="00041ED2" w:rsidRDefault="00484EFC" w:rsidP="00041ED2">
      <w:pPr>
        <w:pStyle w:val="Heading3"/>
        <w:rPr>
          <w:rStyle w:val="A8"/>
          <w:b/>
        </w:rPr>
      </w:pPr>
      <w:bookmarkStart w:id="41" w:name="_Toc431484334"/>
      <w:r w:rsidRPr="00041ED2">
        <w:rPr>
          <w:rStyle w:val="A8"/>
        </w:rPr>
        <w:t>5.8 Renal haemorrhage</w:t>
      </w:r>
      <w:bookmarkEnd w:id="41"/>
      <w:r w:rsidRPr="00041ED2">
        <w:rPr>
          <w:rStyle w:val="A8"/>
        </w:rPr>
        <w:t xml:space="preserve"> </w:t>
      </w:r>
    </w:p>
    <w:p w:rsidR="00484EFC" w:rsidRDefault="00484EFC" w:rsidP="00484EFC">
      <w:pPr>
        <w:autoSpaceDE w:val="0"/>
        <w:autoSpaceDN w:val="0"/>
        <w:adjustRightInd w:val="0"/>
        <w:spacing w:after="214"/>
        <w:ind w:left="1418" w:hanging="1305"/>
        <w:rPr>
          <w:rFonts w:asciiTheme="minorHAnsi" w:hAnsiTheme="minorHAnsi" w:cs="Avenir LT Std 55 Roman"/>
          <w:color w:val="E31736"/>
          <w:sz w:val="28"/>
          <w:szCs w:val="28"/>
          <w:lang w:eastAsia="en-US"/>
        </w:rPr>
      </w:pPr>
      <w:r>
        <w:rPr>
          <w:rFonts w:asciiTheme="minorHAnsi" w:hAnsiTheme="minorHAnsi" w:cs="Arial"/>
          <w:color w:val="221E1F"/>
          <w:lang w:eastAsia="en-US"/>
        </w:rPr>
        <w:t>5.8.1</w:t>
      </w:r>
      <w:r>
        <w:rPr>
          <w:rFonts w:asciiTheme="minorHAnsi" w:hAnsiTheme="minorHAnsi" w:cs="Arial"/>
          <w:color w:val="221E1F"/>
          <w:lang w:eastAsia="en-US"/>
        </w:rPr>
        <w:tab/>
      </w:r>
      <w:r w:rsidRPr="004B228A">
        <w:rPr>
          <w:rFonts w:asciiTheme="minorHAnsi" w:hAnsiTheme="minorHAnsi" w:cs="Arial"/>
          <w:b/>
          <w:bCs/>
          <w:color w:val="221E1F"/>
          <w:lang w:eastAsia="en-US"/>
        </w:rPr>
        <w:t xml:space="preserve">Treat painless haematuria with complete bed rest and vigorous hydration (3 litres/m2 body surface area) for 48 hours. Avoid DDAVP when hydrating intensively.  </w:t>
      </w:r>
      <w:r w:rsidRPr="002B719E">
        <w:rPr>
          <w:rFonts w:asciiTheme="minorHAnsi" w:hAnsiTheme="minorHAnsi" w:cs="Arial"/>
          <w:b/>
          <w:bCs/>
          <w:color w:val="221E1F"/>
          <w:vertAlign w:val="superscript"/>
          <w:lang w:eastAsia="en-US"/>
        </w:rPr>
        <w:t xml:space="preserve">[33] </w:t>
      </w:r>
    </w:p>
    <w:p w:rsidR="00484EFC" w:rsidRDefault="00484EFC" w:rsidP="00484EFC">
      <w:pPr>
        <w:autoSpaceDE w:val="0"/>
        <w:autoSpaceDN w:val="0"/>
        <w:adjustRightInd w:val="0"/>
        <w:spacing w:after="214"/>
        <w:ind w:left="1418" w:hanging="1305"/>
        <w:rPr>
          <w:rFonts w:asciiTheme="minorHAnsi" w:hAnsiTheme="minorHAnsi" w:cs="Avenir LT Std 55 Roman"/>
          <w:color w:val="E31736"/>
          <w:sz w:val="28"/>
          <w:szCs w:val="28"/>
          <w:lang w:eastAsia="en-US"/>
        </w:rPr>
      </w:pPr>
      <w:r w:rsidRPr="007161C6">
        <w:rPr>
          <w:rFonts w:asciiTheme="minorHAnsi" w:hAnsiTheme="minorHAnsi" w:cs="Arial"/>
          <w:color w:val="221E1F"/>
          <w:lang w:eastAsia="en-US"/>
        </w:rPr>
        <w:t>5.8.2</w:t>
      </w:r>
      <w:r>
        <w:rPr>
          <w:rFonts w:asciiTheme="minorHAnsi" w:hAnsiTheme="minorHAnsi" w:cs="Avenir LT Std 55 Roman"/>
          <w:color w:val="E31736"/>
          <w:sz w:val="28"/>
          <w:szCs w:val="28"/>
          <w:lang w:eastAsia="en-US"/>
        </w:rPr>
        <w:tab/>
      </w:r>
      <w:r w:rsidRPr="004B228A">
        <w:rPr>
          <w:rFonts w:asciiTheme="minorHAnsi" w:hAnsiTheme="minorHAnsi" w:cs="Arial"/>
          <w:b/>
          <w:bCs/>
          <w:color w:val="221E1F"/>
          <w:lang w:eastAsia="en-US"/>
        </w:rPr>
        <w:t>Raise the patient’</w:t>
      </w:r>
      <w:r>
        <w:rPr>
          <w:rFonts w:asciiTheme="minorHAnsi" w:hAnsiTheme="minorHAnsi" w:cs="Arial"/>
          <w:b/>
          <w:bCs/>
          <w:color w:val="221E1F"/>
          <w:lang w:eastAsia="en-US"/>
        </w:rPr>
        <w:t>s factor levels (refer to Table</w:t>
      </w:r>
      <w:r w:rsidRPr="004B228A">
        <w:rPr>
          <w:rFonts w:asciiTheme="minorHAnsi" w:hAnsiTheme="minorHAnsi" w:cs="Arial"/>
          <w:b/>
          <w:bCs/>
          <w:color w:val="221E1F"/>
          <w:lang w:eastAsia="en-US"/>
        </w:rPr>
        <w:t xml:space="preserve"> 7-1) if there is pain or persistent gross haematuria and watch for clots and urinary obstruction. </w:t>
      </w:r>
      <w:r w:rsidRPr="002B719E">
        <w:rPr>
          <w:rFonts w:asciiTheme="minorHAnsi" w:hAnsiTheme="minorHAnsi" w:cs="Arial"/>
          <w:b/>
          <w:bCs/>
          <w:color w:val="221E1F"/>
          <w:vertAlign w:val="superscript"/>
          <w:lang w:eastAsia="en-US"/>
        </w:rPr>
        <w:t>[33</w:t>
      </w:r>
      <w:proofErr w:type="gramStart"/>
      <w:r w:rsidRPr="002B719E">
        <w:rPr>
          <w:rFonts w:asciiTheme="minorHAnsi" w:hAnsiTheme="minorHAnsi" w:cs="Arial"/>
          <w:b/>
          <w:bCs/>
          <w:color w:val="221E1F"/>
          <w:vertAlign w:val="superscript"/>
          <w:lang w:eastAsia="en-US"/>
        </w:rPr>
        <w:t>,34</w:t>
      </w:r>
      <w:proofErr w:type="gramEnd"/>
      <w:r w:rsidRPr="002B719E">
        <w:rPr>
          <w:rFonts w:asciiTheme="minorHAnsi" w:hAnsiTheme="minorHAnsi" w:cs="Arial"/>
          <w:b/>
          <w:bCs/>
          <w:color w:val="221E1F"/>
          <w:vertAlign w:val="superscript"/>
          <w:lang w:eastAsia="en-US"/>
        </w:rPr>
        <w:t xml:space="preserve">] </w:t>
      </w:r>
    </w:p>
    <w:p w:rsidR="00484EFC" w:rsidRDefault="00484EFC" w:rsidP="00484EFC">
      <w:pPr>
        <w:autoSpaceDE w:val="0"/>
        <w:autoSpaceDN w:val="0"/>
        <w:adjustRightInd w:val="0"/>
        <w:spacing w:after="214"/>
        <w:ind w:left="1418" w:hanging="1305"/>
        <w:rPr>
          <w:rFonts w:asciiTheme="minorHAnsi" w:hAnsiTheme="minorHAnsi" w:cs="Avenir LT Std 55 Roman"/>
          <w:color w:val="E31736"/>
          <w:sz w:val="28"/>
          <w:szCs w:val="28"/>
          <w:lang w:eastAsia="en-US"/>
        </w:rPr>
      </w:pPr>
      <w:r w:rsidRPr="007161C6">
        <w:rPr>
          <w:rFonts w:asciiTheme="minorHAnsi" w:hAnsiTheme="minorHAnsi" w:cs="Arial"/>
          <w:color w:val="221E1F"/>
          <w:lang w:eastAsia="en-US"/>
        </w:rPr>
        <w:lastRenderedPageBreak/>
        <w:t>5.8.3</w:t>
      </w:r>
      <w:r>
        <w:rPr>
          <w:rFonts w:asciiTheme="minorHAnsi" w:hAnsiTheme="minorHAnsi" w:cs="Avenir LT Std 55 Roman"/>
          <w:color w:val="E31736"/>
          <w:sz w:val="28"/>
          <w:szCs w:val="28"/>
          <w:lang w:eastAsia="en-US"/>
        </w:rPr>
        <w:tab/>
      </w:r>
      <w:r w:rsidRPr="004B228A">
        <w:rPr>
          <w:rFonts w:asciiTheme="minorHAnsi" w:hAnsiTheme="minorHAnsi" w:cs="Arial"/>
          <w:b/>
          <w:bCs/>
          <w:color w:val="221E1F"/>
          <w:lang w:eastAsia="en-US"/>
        </w:rPr>
        <w:t>Do n</w:t>
      </w:r>
      <w:r>
        <w:rPr>
          <w:rFonts w:asciiTheme="minorHAnsi" w:hAnsiTheme="minorHAnsi" w:cs="Arial"/>
          <w:b/>
          <w:bCs/>
          <w:color w:val="221E1F"/>
          <w:lang w:eastAsia="en-US"/>
        </w:rPr>
        <w:t xml:space="preserve">ot use antifibrinolytic agents. </w:t>
      </w:r>
      <w:r w:rsidRPr="002B719E">
        <w:rPr>
          <w:rFonts w:asciiTheme="minorHAnsi" w:hAnsiTheme="minorHAnsi" w:cs="Arial"/>
          <w:b/>
          <w:bCs/>
          <w:color w:val="221E1F"/>
          <w:vertAlign w:val="superscript"/>
          <w:lang w:eastAsia="en-US"/>
        </w:rPr>
        <w:t>[33]</w:t>
      </w:r>
      <w:r w:rsidRPr="004B228A">
        <w:rPr>
          <w:rFonts w:asciiTheme="minorHAnsi" w:hAnsiTheme="minorHAnsi" w:cs="Arial"/>
          <w:b/>
          <w:bCs/>
          <w:color w:val="221E1F"/>
          <w:lang w:eastAsia="en-US"/>
        </w:rPr>
        <w:t xml:space="preserve"> </w:t>
      </w:r>
    </w:p>
    <w:p w:rsidR="00484EFC" w:rsidRPr="007161C6" w:rsidRDefault="00484EFC" w:rsidP="00484EFC">
      <w:pPr>
        <w:autoSpaceDE w:val="0"/>
        <w:autoSpaceDN w:val="0"/>
        <w:adjustRightInd w:val="0"/>
        <w:spacing w:after="214"/>
        <w:ind w:left="1418" w:hanging="1305"/>
        <w:rPr>
          <w:rFonts w:asciiTheme="minorHAnsi" w:hAnsiTheme="minorHAnsi" w:cs="Avenir LT Std 55 Roman"/>
          <w:color w:val="E31736"/>
          <w:sz w:val="28"/>
          <w:szCs w:val="28"/>
          <w:lang w:eastAsia="en-US"/>
        </w:rPr>
      </w:pPr>
      <w:r w:rsidRPr="007161C6">
        <w:rPr>
          <w:rFonts w:asciiTheme="minorHAnsi" w:hAnsiTheme="minorHAnsi" w:cs="Arial"/>
          <w:color w:val="221E1F"/>
          <w:lang w:eastAsia="en-US"/>
        </w:rPr>
        <w:t>5.8.4</w:t>
      </w:r>
      <w:r>
        <w:rPr>
          <w:rFonts w:asciiTheme="minorHAnsi" w:hAnsiTheme="minorHAnsi" w:cs="Avenir LT Std 55 Roman"/>
          <w:color w:val="E31736"/>
          <w:sz w:val="28"/>
          <w:szCs w:val="28"/>
          <w:lang w:eastAsia="en-US"/>
        </w:rPr>
        <w:tab/>
      </w:r>
      <w:r w:rsidRPr="004B228A">
        <w:rPr>
          <w:rFonts w:asciiTheme="minorHAnsi" w:hAnsiTheme="minorHAnsi" w:cs="Arial"/>
          <w:color w:val="221E1F"/>
          <w:lang w:eastAsia="en-US"/>
        </w:rPr>
        <w:t>Evaluation by an urologist is essential for eval</w:t>
      </w:r>
      <w:r w:rsidRPr="004B228A">
        <w:rPr>
          <w:rFonts w:asciiTheme="minorHAnsi" w:hAnsiTheme="minorHAnsi" w:cs="Arial"/>
          <w:color w:val="221E1F"/>
          <w:lang w:eastAsia="en-US"/>
        </w:rPr>
        <w:softHyphen/>
        <w:t>uation of a local cause if haematuria (gross or microscopic) persists or if there are repeated episodes. A child with haematuria should be seen by a paediatrician and an ultrasound of the kidneys and a urine microscopy and culture performed.</w:t>
      </w:r>
    </w:p>
    <w:p w:rsidR="00484EFC" w:rsidRPr="00041ED2" w:rsidRDefault="00484EFC" w:rsidP="00041ED2">
      <w:pPr>
        <w:pStyle w:val="Heading3"/>
        <w:rPr>
          <w:rStyle w:val="A8"/>
          <w:b/>
        </w:rPr>
      </w:pPr>
      <w:bookmarkStart w:id="42" w:name="_Toc431484335"/>
      <w:r w:rsidRPr="00041ED2">
        <w:rPr>
          <w:rStyle w:val="A8"/>
        </w:rPr>
        <w:t>5.9 Oral haemorrhag</w:t>
      </w:r>
      <w:bookmarkEnd w:id="42"/>
      <w:r w:rsidR="006775E1">
        <w:rPr>
          <w:rStyle w:val="A8"/>
        </w:rPr>
        <w:t>e</w:t>
      </w:r>
      <w:r w:rsidRPr="00041ED2">
        <w:rPr>
          <w:rStyle w:val="A8"/>
        </w:rPr>
        <w:t xml:space="preserve"> </w:t>
      </w:r>
    </w:p>
    <w:p w:rsidR="00484EFC" w:rsidRPr="002B719E" w:rsidRDefault="00484EFC" w:rsidP="00484EFC">
      <w:pPr>
        <w:autoSpaceDE w:val="0"/>
        <w:autoSpaceDN w:val="0"/>
        <w:adjustRightInd w:val="0"/>
        <w:spacing w:after="214"/>
        <w:ind w:left="1418" w:hanging="1305"/>
        <w:rPr>
          <w:rFonts w:asciiTheme="minorHAnsi" w:hAnsiTheme="minorHAnsi" w:cs="Avenir LT Std 55 Roman"/>
          <w:color w:val="E31736"/>
          <w:sz w:val="28"/>
          <w:szCs w:val="28"/>
          <w:lang w:eastAsia="en-US"/>
        </w:rPr>
      </w:pPr>
      <w:r w:rsidRPr="002B719E">
        <w:rPr>
          <w:rFonts w:asciiTheme="minorHAnsi" w:hAnsiTheme="minorHAnsi" w:cs="Arial"/>
          <w:color w:val="221E1F"/>
          <w:lang w:eastAsia="en-US"/>
        </w:rPr>
        <w:t>5.9.1</w:t>
      </w:r>
      <w:r w:rsidRPr="002B719E">
        <w:rPr>
          <w:rFonts w:asciiTheme="minorHAnsi" w:hAnsiTheme="minorHAnsi" w:cs="Arial"/>
          <w:color w:val="221E1F"/>
          <w:lang w:eastAsia="en-US"/>
        </w:rPr>
        <w:tab/>
      </w:r>
      <w:r w:rsidRPr="004B228A">
        <w:rPr>
          <w:rFonts w:asciiTheme="minorHAnsi" w:hAnsiTheme="minorHAnsi" w:cs="Arial"/>
          <w:color w:val="221E1F"/>
          <w:lang w:eastAsia="en-US"/>
        </w:rPr>
        <w:t xml:space="preserve">Early consultation with a dentist or an appropriate surgical specialist is recommended with significant bleeding to determine the source of bleeding. The most common causes are: </w:t>
      </w:r>
    </w:p>
    <w:p w:rsidR="00484EFC" w:rsidRPr="004B228A" w:rsidRDefault="00484EFC" w:rsidP="00484EFC">
      <w:pPr>
        <w:pStyle w:val="ListParagraph"/>
        <w:numPr>
          <w:ilvl w:val="0"/>
          <w:numId w:val="65"/>
        </w:numPr>
        <w:autoSpaceDE w:val="0"/>
        <w:autoSpaceDN w:val="0"/>
        <w:adjustRightInd w:val="0"/>
        <w:spacing w:after="214"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dental extraction </w:t>
      </w:r>
    </w:p>
    <w:p w:rsidR="00484EFC" w:rsidRPr="004B228A" w:rsidRDefault="00484EFC" w:rsidP="00484EFC">
      <w:pPr>
        <w:pStyle w:val="ListParagraph"/>
        <w:numPr>
          <w:ilvl w:val="0"/>
          <w:numId w:val="65"/>
        </w:numPr>
        <w:autoSpaceDE w:val="0"/>
        <w:autoSpaceDN w:val="0"/>
        <w:adjustRightInd w:val="0"/>
        <w:spacing w:after="214"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gingival bleeding often due to poor oral hygiene </w:t>
      </w:r>
    </w:p>
    <w:p w:rsidR="00484EFC" w:rsidRDefault="00484EFC" w:rsidP="00484EFC">
      <w:pPr>
        <w:pStyle w:val="ListParagraph"/>
        <w:numPr>
          <w:ilvl w:val="0"/>
          <w:numId w:val="65"/>
        </w:numPr>
        <w:autoSpaceDE w:val="0"/>
        <w:autoSpaceDN w:val="0"/>
        <w:adjustRightInd w:val="0"/>
        <w:spacing w:after="214"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trauma </w:t>
      </w:r>
    </w:p>
    <w:p w:rsidR="00484EFC" w:rsidRDefault="00484EFC" w:rsidP="00484EFC">
      <w:pPr>
        <w:pStyle w:val="ListParagraph"/>
        <w:autoSpaceDE w:val="0"/>
        <w:autoSpaceDN w:val="0"/>
        <w:adjustRightInd w:val="0"/>
        <w:spacing w:after="214"/>
        <w:ind w:left="1418" w:hanging="1305"/>
        <w:rPr>
          <w:rFonts w:asciiTheme="minorHAnsi" w:hAnsiTheme="minorHAnsi" w:cs="Arial"/>
          <w:color w:val="221E1F"/>
          <w:lang w:eastAsia="en-US"/>
        </w:rPr>
      </w:pPr>
    </w:p>
    <w:p w:rsidR="00484EFC" w:rsidRDefault="00484EFC" w:rsidP="00484EFC">
      <w:pPr>
        <w:pStyle w:val="ListParagraph"/>
        <w:autoSpaceDE w:val="0"/>
        <w:autoSpaceDN w:val="0"/>
        <w:adjustRightInd w:val="0"/>
        <w:spacing w:after="214"/>
        <w:ind w:left="1418" w:hanging="1305"/>
        <w:rPr>
          <w:rFonts w:asciiTheme="minorHAnsi" w:hAnsiTheme="minorHAnsi" w:cs="Arial"/>
          <w:color w:val="221E1F"/>
          <w:lang w:eastAsia="en-US"/>
        </w:rPr>
      </w:pPr>
      <w:r>
        <w:rPr>
          <w:rFonts w:asciiTheme="minorHAnsi" w:hAnsiTheme="minorHAnsi" w:cs="Arial"/>
          <w:color w:val="221E1F"/>
          <w:lang w:eastAsia="en-US"/>
        </w:rPr>
        <w:t>5.9.2</w:t>
      </w:r>
      <w:r>
        <w:rPr>
          <w:rFonts w:asciiTheme="minorHAnsi" w:hAnsiTheme="minorHAnsi" w:cs="Arial"/>
          <w:color w:val="221E1F"/>
          <w:lang w:eastAsia="en-US"/>
        </w:rPr>
        <w:tab/>
      </w:r>
      <w:r w:rsidRPr="002B719E">
        <w:rPr>
          <w:rFonts w:asciiTheme="minorHAnsi" w:hAnsiTheme="minorHAnsi" w:cs="Arial"/>
          <w:color w:val="221E1F"/>
          <w:lang w:eastAsia="en-US"/>
        </w:rPr>
        <w:t>Local treatments must be considered to treat the haemorrhage. These may include:</w:t>
      </w:r>
    </w:p>
    <w:p w:rsidR="00484EFC" w:rsidRPr="002B719E" w:rsidRDefault="00484EFC" w:rsidP="00484EFC">
      <w:pPr>
        <w:pStyle w:val="ListParagraph"/>
        <w:autoSpaceDE w:val="0"/>
        <w:autoSpaceDN w:val="0"/>
        <w:adjustRightInd w:val="0"/>
        <w:spacing w:after="214"/>
        <w:ind w:left="1418" w:hanging="1305"/>
        <w:rPr>
          <w:rFonts w:asciiTheme="minorHAnsi" w:hAnsiTheme="minorHAnsi" w:cs="Arial"/>
          <w:color w:val="221E1F"/>
          <w:lang w:eastAsia="en-US"/>
        </w:rPr>
      </w:pPr>
    </w:p>
    <w:p w:rsidR="00484EFC" w:rsidRPr="004B228A" w:rsidRDefault="00484EFC" w:rsidP="00484EFC">
      <w:pPr>
        <w:pStyle w:val="ListParagraph"/>
        <w:numPr>
          <w:ilvl w:val="0"/>
          <w:numId w:val="66"/>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direct pressure on the area using a damp gauze swab, maintained for at least 15 minutes </w:t>
      </w:r>
    </w:p>
    <w:p w:rsidR="00484EFC" w:rsidRPr="004B228A" w:rsidRDefault="00484EFC" w:rsidP="00484EFC">
      <w:pPr>
        <w:pStyle w:val="ListParagraph"/>
        <w:numPr>
          <w:ilvl w:val="0"/>
          <w:numId w:val="66"/>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sutures to close the wound </w:t>
      </w:r>
    </w:p>
    <w:p w:rsidR="00484EFC" w:rsidRPr="004B228A" w:rsidRDefault="00484EFC" w:rsidP="00484EFC">
      <w:pPr>
        <w:pStyle w:val="ListParagraph"/>
        <w:numPr>
          <w:ilvl w:val="0"/>
          <w:numId w:val="66"/>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application of local haemostatic agents </w:t>
      </w:r>
    </w:p>
    <w:p w:rsidR="00484EFC" w:rsidRPr="004B228A" w:rsidRDefault="00484EFC" w:rsidP="00484EFC">
      <w:pPr>
        <w:pStyle w:val="ListParagraph"/>
        <w:numPr>
          <w:ilvl w:val="0"/>
          <w:numId w:val="66"/>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antibiotics, especially in gingival bleeding due to poor oral hygiene </w:t>
      </w:r>
    </w:p>
    <w:p w:rsidR="00484EFC" w:rsidRDefault="00484EFC" w:rsidP="00484EFC">
      <w:pPr>
        <w:pStyle w:val="ListParagraph"/>
        <w:numPr>
          <w:ilvl w:val="0"/>
          <w:numId w:val="66"/>
        </w:numPr>
        <w:autoSpaceDE w:val="0"/>
        <w:autoSpaceDN w:val="0"/>
        <w:adjustRightInd w:val="0"/>
        <w:spacing w:after="0" w:line="276" w:lineRule="auto"/>
        <w:ind w:left="1701" w:hanging="284"/>
        <w:rPr>
          <w:rFonts w:asciiTheme="minorHAnsi" w:hAnsiTheme="minorHAnsi" w:cs="Arial"/>
          <w:color w:val="221E1F"/>
          <w:lang w:eastAsia="en-US"/>
        </w:rPr>
      </w:pPr>
      <w:r w:rsidRPr="004B228A">
        <w:rPr>
          <w:rFonts w:asciiTheme="minorHAnsi" w:hAnsiTheme="minorHAnsi" w:cs="Arial"/>
          <w:color w:val="221E1F"/>
          <w:lang w:eastAsia="en-US"/>
        </w:rPr>
        <w:t xml:space="preserve">use of  tranexamic acid (an adult dose of 1 gm three to four times per day and a paediatric dose of 25mg/kg three to four times per day are recommended). A standard mouthwash solution of 500mg crushed and dissolved in 10mls of saline may also be used. </w:t>
      </w:r>
    </w:p>
    <w:p w:rsidR="00484EFC" w:rsidRPr="004B228A" w:rsidRDefault="00484EFC" w:rsidP="00484EFC">
      <w:pPr>
        <w:pStyle w:val="ListParagraph"/>
        <w:numPr>
          <w:ilvl w:val="0"/>
          <w:numId w:val="66"/>
        </w:numPr>
        <w:autoSpaceDE w:val="0"/>
        <w:autoSpaceDN w:val="0"/>
        <w:adjustRightInd w:val="0"/>
        <w:spacing w:after="0" w:line="276" w:lineRule="auto"/>
        <w:ind w:left="1701" w:hanging="284"/>
        <w:rPr>
          <w:rFonts w:asciiTheme="minorHAnsi" w:hAnsiTheme="minorHAnsi" w:cs="Arial"/>
          <w:color w:val="221E1F"/>
          <w:lang w:eastAsia="en-US"/>
        </w:rPr>
      </w:pPr>
      <w:r>
        <w:rPr>
          <w:rFonts w:asciiTheme="minorHAnsi" w:hAnsiTheme="minorHAnsi" w:cs="Arial"/>
          <w:color w:val="221E1F"/>
          <w:lang w:eastAsia="en-US"/>
        </w:rPr>
        <w:t>Young children may be offered ice to suck (e.g. an icy pole)</w:t>
      </w:r>
      <w:r w:rsidRPr="004B228A">
        <w:rPr>
          <w:rFonts w:asciiTheme="minorHAnsi" w:hAnsiTheme="minorHAnsi" w:cs="Arial"/>
          <w:color w:val="221E1F"/>
          <w:lang w:eastAsia="en-US"/>
        </w:rPr>
        <w:t xml:space="preserve"> </w:t>
      </w:r>
    </w:p>
    <w:p w:rsidR="00484EFC" w:rsidRPr="004B228A" w:rsidRDefault="00484EFC" w:rsidP="00484EFC">
      <w:pPr>
        <w:autoSpaceDE w:val="0"/>
        <w:autoSpaceDN w:val="0"/>
        <w:adjustRightInd w:val="0"/>
        <w:spacing w:after="0"/>
        <w:ind w:left="851" w:hanging="284"/>
        <w:rPr>
          <w:rFonts w:asciiTheme="minorHAnsi" w:hAnsiTheme="minorHAnsi" w:cs="Arial"/>
          <w:color w:val="221E1F"/>
          <w:lang w:eastAsia="en-US"/>
        </w:rPr>
      </w:pPr>
    </w:p>
    <w:p w:rsidR="00484EFC" w:rsidRPr="004B228A" w:rsidRDefault="00484EFC" w:rsidP="00484EFC">
      <w:pPr>
        <w:pStyle w:val="ListParagraph"/>
        <w:ind w:left="1418" w:hanging="1305"/>
        <w:rPr>
          <w:rFonts w:asciiTheme="minorHAnsi" w:hAnsiTheme="minorHAnsi" w:cs="Arial"/>
          <w:color w:val="221E1F"/>
          <w:lang w:eastAsia="en-US"/>
        </w:rPr>
      </w:pPr>
      <w:r>
        <w:rPr>
          <w:rFonts w:asciiTheme="minorHAnsi" w:hAnsiTheme="minorHAnsi" w:cs="Arial"/>
          <w:color w:val="221E1F"/>
          <w:lang w:eastAsia="en-US"/>
        </w:rPr>
        <w:t>5.9.3</w:t>
      </w:r>
      <w:r>
        <w:rPr>
          <w:rFonts w:asciiTheme="minorHAnsi" w:hAnsiTheme="minorHAnsi" w:cs="Arial"/>
          <w:color w:val="221E1F"/>
          <w:lang w:eastAsia="en-US"/>
        </w:rPr>
        <w:tab/>
      </w:r>
      <w:r w:rsidRPr="004B228A">
        <w:rPr>
          <w:rFonts w:asciiTheme="minorHAnsi" w:hAnsiTheme="minorHAnsi" w:cs="Arial"/>
          <w:color w:val="221E1F"/>
          <w:lang w:eastAsia="en-US"/>
        </w:rPr>
        <w:t>An appropriate dose of regular paracetamol will help control the pain</w:t>
      </w:r>
      <w:r>
        <w:rPr>
          <w:rFonts w:asciiTheme="minorHAnsi" w:hAnsiTheme="minorHAnsi" w:cs="Arial"/>
          <w:color w:val="221E1F"/>
          <w:lang w:eastAsia="en-US"/>
        </w:rPr>
        <w:t>.</w:t>
      </w:r>
    </w:p>
    <w:p w:rsidR="00484EFC" w:rsidRPr="004B228A" w:rsidRDefault="00484EFC" w:rsidP="00484EFC">
      <w:pPr>
        <w:pStyle w:val="ListParagraph"/>
        <w:ind w:left="644"/>
        <w:rPr>
          <w:rFonts w:asciiTheme="minorHAnsi" w:hAnsiTheme="minorHAnsi" w:cs="Arial"/>
          <w:color w:val="221E1F"/>
          <w:lang w:eastAsia="en-US"/>
        </w:rPr>
      </w:pPr>
    </w:p>
    <w:p w:rsidR="00484EFC" w:rsidRPr="004B228A" w:rsidRDefault="00484EFC" w:rsidP="00484EFC">
      <w:pPr>
        <w:pStyle w:val="ListParagraph"/>
        <w:ind w:left="1418" w:hanging="1305"/>
        <w:rPr>
          <w:rFonts w:asciiTheme="minorHAnsi" w:hAnsiTheme="minorHAnsi"/>
          <w:lang w:eastAsia="en-US"/>
        </w:rPr>
      </w:pPr>
      <w:r>
        <w:rPr>
          <w:rFonts w:asciiTheme="minorHAnsi" w:hAnsiTheme="minorHAnsi" w:cs="Arial"/>
          <w:color w:val="221E1F"/>
          <w:lang w:eastAsia="en-US"/>
        </w:rPr>
        <w:t>5.9.4</w:t>
      </w:r>
      <w:r>
        <w:rPr>
          <w:rFonts w:asciiTheme="minorHAnsi" w:hAnsiTheme="minorHAnsi" w:cs="Arial"/>
          <w:color w:val="221E1F"/>
          <w:lang w:eastAsia="en-US"/>
        </w:rPr>
        <w:tab/>
      </w:r>
      <w:r w:rsidRPr="004B228A">
        <w:rPr>
          <w:rFonts w:asciiTheme="minorHAnsi" w:hAnsiTheme="minorHAnsi"/>
          <w:lang w:eastAsia="en-US"/>
        </w:rPr>
        <w:t xml:space="preserve">Antifibrinolytic agents should not be used systemically in patients with Factor VIII inhibitors receiving activated prothrombin complex concentrates (eg “FEIBA”). </w:t>
      </w:r>
      <w:r w:rsidRPr="002B719E">
        <w:rPr>
          <w:rFonts w:asciiTheme="minorHAnsi" w:hAnsiTheme="minorHAnsi"/>
          <w:vertAlign w:val="superscript"/>
          <w:lang w:eastAsia="en-US"/>
        </w:rPr>
        <w:t>[35</w:t>
      </w:r>
      <w:proofErr w:type="gramStart"/>
      <w:r w:rsidRPr="002B719E">
        <w:rPr>
          <w:rFonts w:asciiTheme="minorHAnsi" w:hAnsiTheme="minorHAnsi"/>
          <w:vertAlign w:val="superscript"/>
          <w:lang w:eastAsia="en-US"/>
        </w:rPr>
        <w:t>,36</w:t>
      </w:r>
      <w:proofErr w:type="gramEnd"/>
      <w:r w:rsidRPr="002B719E">
        <w:rPr>
          <w:rFonts w:asciiTheme="minorHAnsi" w:hAnsiTheme="minorHAnsi"/>
          <w:vertAlign w:val="superscript"/>
          <w:lang w:eastAsia="en-US"/>
        </w:rPr>
        <w:t>]</w:t>
      </w:r>
      <w:r w:rsidRPr="004B228A">
        <w:rPr>
          <w:rFonts w:asciiTheme="minorHAnsi" w:hAnsiTheme="minorHAnsi"/>
          <w:lang w:eastAsia="en-US"/>
        </w:rPr>
        <w:t xml:space="preserve"> </w:t>
      </w:r>
    </w:p>
    <w:p w:rsidR="00484EFC" w:rsidRPr="004B228A" w:rsidRDefault="00484EFC" w:rsidP="00484EFC">
      <w:pPr>
        <w:pStyle w:val="ListParagraph"/>
        <w:ind w:left="644"/>
        <w:rPr>
          <w:rFonts w:asciiTheme="minorHAnsi" w:hAnsiTheme="minorHAnsi"/>
          <w:lang w:eastAsia="en-US"/>
        </w:rPr>
      </w:pPr>
    </w:p>
    <w:p w:rsidR="00484EFC" w:rsidRPr="004B228A" w:rsidRDefault="00484EFC" w:rsidP="00484EFC">
      <w:pPr>
        <w:pStyle w:val="ListParagraph"/>
        <w:ind w:left="1418" w:hanging="1305"/>
        <w:rPr>
          <w:rFonts w:asciiTheme="minorHAnsi" w:hAnsiTheme="minorHAnsi"/>
          <w:lang w:eastAsia="en-US"/>
        </w:rPr>
      </w:pPr>
      <w:r>
        <w:rPr>
          <w:rFonts w:asciiTheme="minorHAnsi" w:hAnsiTheme="minorHAnsi" w:cs="Arial"/>
          <w:color w:val="221E1F"/>
          <w:lang w:eastAsia="en-US"/>
        </w:rPr>
        <w:t>5.9.5</w:t>
      </w:r>
      <w:r>
        <w:rPr>
          <w:rFonts w:asciiTheme="minorHAnsi" w:hAnsiTheme="minorHAnsi" w:cs="Arial"/>
          <w:color w:val="221E1F"/>
          <w:lang w:eastAsia="en-US"/>
        </w:rPr>
        <w:tab/>
      </w:r>
      <w:r w:rsidRPr="004B228A">
        <w:rPr>
          <w:rFonts w:asciiTheme="minorHAnsi" w:hAnsiTheme="minorHAnsi"/>
          <w:lang w:eastAsia="en-US"/>
        </w:rPr>
        <w:t xml:space="preserve">Factor replacement may be required as directed by the haemophilia centre. </w:t>
      </w:r>
    </w:p>
    <w:p w:rsidR="00484EFC" w:rsidRPr="002B719E" w:rsidRDefault="00484EFC" w:rsidP="00484EFC">
      <w:pPr>
        <w:ind w:left="1418" w:hanging="1305"/>
        <w:rPr>
          <w:rFonts w:asciiTheme="minorHAnsi" w:hAnsiTheme="minorHAnsi"/>
          <w:lang w:eastAsia="en-US"/>
        </w:rPr>
      </w:pPr>
      <w:r>
        <w:rPr>
          <w:rFonts w:asciiTheme="minorHAnsi" w:hAnsiTheme="minorHAnsi" w:cs="Arial"/>
          <w:color w:val="221E1F"/>
          <w:lang w:eastAsia="en-US"/>
        </w:rPr>
        <w:t>5.9.6</w:t>
      </w:r>
      <w:r>
        <w:rPr>
          <w:rFonts w:asciiTheme="minorHAnsi" w:hAnsiTheme="minorHAnsi" w:cs="Arial"/>
          <w:color w:val="221E1F"/>
          <w:lang w:eastAsia="en-US"/>
        </w:rPr>
        <w:tab/>
      </w:r>
      <w:r w:rsidRPr="004B228A">
        <w:rPr>
          <w:rFonts w:asciiTheme="minorHAnsi" w:hAnsiTheme="minorHAnsi"/>
          <w:lang w:eastAsia="en-US"/>
        </w:rPr>
        <w:t xml:space="preserve">Advise the patient to eat a soft diet for a few days. </w:t>
      </w:r>
    </w:p>
    <w:p w:rsidR="00484EFC" w:rsidRPr="00041ED2" w:rsidRDefault="00484EFC" w:rsidP="00041ED2">
      <w:pPr>
        <w:pStyle w:val="ListParagraph"/>
        <w:ind w:left="1418" w:hanging="1305"/>
        <w:rPr>
          <w:rFonts w:asciiTheme="minorHAnsi" w:hAnsiTheme="minorHAnsi" w:cs="Arial"/>
          <w:color w:val="221E1F"/>
          <w:lang w:eastAsia="en-US"/>
        </w:rPr>
      </w:pPr>
      <w:r>
        <w:rPr>
          <w:rFonts w:asciiTheme="minorHAnsi" w:hAnsiTheme="minorHAnsi" w:cs="Arial"/>
          <w:color w:val="221E1F"/>
          <w:lang w:eastAsia="en-US"/>
        </w:rPr>
        <w:t>5.9.7</w:t>
      </w:r>
      <w:r>
        <w:rPr>
          <w:rFonts w:asciiTheme="minorHAnsi" w:hAnsiTheme="minorHAnsi" w:cs="Arial"/>
          <w:color w:val="221E1F"/>
          <w:lang w:eastAsia="en-US"/>
        </w:rPr>
        <w:tab/>
        <w:t xml:space="preserve">If significant bleeding, </w:t>
      </w:r>
      <w:r w:rsidRPr="004B228A">
        <w:rPr>
          <w:rFonts w:asciiTheme="minorHAnsi" w:hAnsiTheme="minorHAnsi" w:cs="Arial"/>
          <w:color w:val="221E1F"/>
          <w:lang w:eastAsia="en-US"/>
        </w:rPr>
        <w:t>evaluate and treat for an</w:t>
      </w:r>
      <w:r>
        <w:rPr>
          <w:rFonts w:asciiTheme="minorHAnsi" w:hAnsiTheme="minorHAnsi" w:cs="Arial"/>
          <w:color w:val="221E1F"/>
          <w:lang w:eastAsia="en-US"/>
        </w:rPr>
        <w:t>a</w:t>
      </w:r>
      <w:r w:rsidRPr="004B228A">
        <w:rPr>
          <w:rFonts w:asciiTheme="minorHAnsi" w:hAnsiTheme="minorHAnsi" w:cs="Arial"/>
          <w:color w:val="221E1F"/>
          <w:lang w:eastAsia="en-US"/>
        </w:rPr>
        <w:t>emia as indicated</w:t>
      </w:r>
      <w:r w:rsidRPr="00041ED2">
        <w:rPr>
          <w:rFonts w:asciiTheme="minorHAnsi" w:hAnsiTheme="minorHAnsi" w:cs="Arial"/>
          <w:color w:val="221E1F"/>
          <w:lang w:eastAsia="en-US"/>
        </w:rPr>
        <w:t xml:space="preserve">. </w:t>
      </w:r>
    </w:p>
    <w:p w:rsidR="00484EFC" w:rsidRPr="00041ED2" w:rsidRDefault="00484EFC" w:rsidP="00041ED2">
      <w:pPr>
        <w:pStyle w:val="Heading3"/>
        <w:rPr>
          <w:rStyle w:val="A8"/>
          <w:b/>
        </w:rPr>
      </w:pPr>
      <w:bookmarkStart w:id="43" w:name="_Toc431484336"/>
      <w:r w:rsidRPr="00041ED2">
        <w:rPr>
          <w:rStyle w:val="A8"/>
        </w:rPr>
        <w:t>5.10 Epistaxis</w:t>
      </w:r>
      <w:bookmarkEnd w:id="43"/>
      <w:r w:rsidRPr="00041ED2">
        <w:rPr>
          <w:rStyle w:val="A8"/>
        </w:rPr>
        <w:t xml:space="preserve"> </w:t>
      </w:r>
    </w:p>
    <w:p w:rsidR="00484EFC" w:rsidRDefault="00484EFC" w:rsidP="00484EFC">
      <w:pPr>
        <w:autoSpaceDE w:val="0"/>
        <w:autoSpaceDN w:val="0"/>
        <w:adjustRightInd w:val="0"/>
        <w:spacing w:after="0"/>
        <w:ind w:left="1418" w:hanging="1305"/>
        <w:rPr>
          <w:rFonts w:asciiTheme="minorHAnsi" w:hAnsiTheme="minorHAnsi" w:cs="Avenir LT Std 55 Roman"/>
          <w:color w:val="E31736"/>
          <w:sz w:val="28"/>
          <w:szCs w:val="28"/>
          <w:lang w:eastAsia="en-US"/>
        </w:rPr>
      </w:pPr>
      <w:r w:rsidRPr="002B719E">
        <w:rPr>
          <w:rFonts w:asciiTheme="minorHAnsi" w:hAnsiTheme="minorHAnsi" w:cs="Arial"/>
          <w:color w:val="221E1F"/>
          <w:lang w:eastAsia="en-US"/>
        </w:rPr>
        <w:t>5.10.1</w:t>
      </w:r>
      <w:r w:rsidRPr="002B719E">
        <w:rPr>
          <w:rFonts w:asciiTheme="minorHAnsi" w:hAnsiTheme="minorHAnsi" w:cs="Arial"/>
          <w:color w:val="221E1F"/>
          <w:lang w:eastAsia="en-US"/>
        </w:rPr>
        <w:tab/>
      </w:r>
      <w:r>
        <w:rPr>
          <w:rFonts w:asciiTheme="minorHAnsi" w:hAnsiTheme="minorHAnsi" w:cs="Avenir LT Std 55 Roman"/>
          <w:color w:val="E31736"/>
          <w:sz w:val="28"/>
          <w:szCs w:val="28"/>
          <w:lang w:eastAsia="en-US"/>
        </w:rPr>
        <w:tab/>
      </w:r>
      <w:r w:rsidRPr="004B228A">
        <w:rPr>
          <w:rFonts w:asciiTheme="minorHAnsi" w:hAnsiTheme="minorHAnsi" w:cs="Arial"/>
          <w:color w:val="221E1F"/>
          <w:lang w:eastAsia="en-US"/>
        </w:rPr>
        <w:t>Place the patient’s head in a forward position to avoid swallowing blood. Firm pressure with gauze soaked in ice water should be applied to the ante</w:t>
      </w:r>
      <w:r w:rsidRPr="004B228A">
        <w:rPr>
          <w:rFonts w:asciiTheme="minorHAnsi" w:hAnsiTheme="minorHAnsi" w:cs="Arial"/>
          <w:color w:val="221E1F"/>
          <w:lang w:eastAsia="en-US"/>
        </w:rPr>
        <w:softHyphen/>
        <w:t xml:space="preserve">rior softer part of the nose for 10-20 minutes. </w:t>
      </w:r>
    </w:p>
    <w:p w:rsidR="00484EFC" w:rsidRDefault="00484EFC" w:rsidP="00484EFC">
      <w:pPr>
        <w:autoSpaceDE w:val="0"/>
        <w:autoSpaceDN w:val="0"/>
        <w:adjustRightInd w:val="0"/>
        <w:spacing w:after="0"/>
        <w:rPr>
          <w:rFonts w:asciiTheme="minorHAnsi" w:hAnsiTheme="minorHAnsi" w:cs="Arial"/>
          <w:color w:val="221E1F"/>
          <w:lang w:eastAsia="en-US"/>
        </w:rPr>
      </w:pPr>
    </w:p>
    <w:p w:rsidR="00484EFC" w:rsidRPr="002B719E" w:rsidRDefault="00484EFC" w:rsidP="00484EFC">
      <w:pPr>
        <w:autoSpaceDE w:val="0"/>
        <w:autoSpaceDN w:val="0"/>
        <w:adjustRightInd w:val="0"/>
        <w:spacing w:after="0"/>
        <w:ind w:left="1418" w:hanging="1305"/>
        <w:rPr>
          <w:rFonts w:asciiTheme="minorHAnsi" w:hAnsiTheme="minorHAnsi" w:cs="Avenir LT Std 55 Roman"/>
          <w:color w:val="E31736"/>
          <w:sz w:val="28"/>
          <w:szCs w:val="28"/>
          <w:vertAlign w:val="superscript"/>
          <w:lang w:eastAsia="en-US"/>
        </w:rPr>
      </w:pPr>
      <w:r>
        <w:rPr>
          <w:rFonts w:asciiTheme="minorHAnsi" w:hAnsiTheme="minorHAnsi" w:cs="Arial"/>
          <w:color w:val="221E1F"/>
          <w:lang w:eastAsia="en-US"/>
        </w:rPr>
        <w:t>5.10.2</w:t>
      </w:r>
      <w:r>
        <w:rPr>
          <w:rFonts w:asciiTheme="minorHAnsi" w:hAnsiTheme="minorHAnsi" w:cs="Arial"/>
          <w:color w:val="221E1F"/>
          <w:lang w:eastAsia="en-US"/>
        </w:rPr>
        <w:tab/>
      </w:r>
      <w:r w:rsidRPr="004B228A">
        <w:rPr>
          <w:rFonts w:asciiTheme="minorHAnsi" w:hAnsiTheme="minorHAnsi" w:cs="Arial"/>
          <w:color w:val="221E1F"/>
          <w:lang w:eastAsia="en-US"/>
        </w:rPr>
        <w:t>Factor replacement therapy is often not neces</w:t>
      </w:r>
      <w:r w:rsidRPr="004B228A">
        <w:rPr>
          <w:rFonts w:asciiTheme="minorHAnsi" w:hAnsiTheme="minorHAnsi" w:cs="Arial"/>
          <w:color w:val="221E1F"/>
          <w:lang w:eastAsia="en-US"/>
        </w:rPr>
        <w:softHyphen/>
        <w:t>sary unless there is ongoing evidence of continued bleeding or recurrent bleeding occurs</w:t>
      </w:r>
      <w:r>
        <w:rPr>
          <w:rFonts w:asciiTheme="minorHAnsi" w:hAnsiTheme="minorHAnsi" w:cs="Arial"/>
          <w:color w:val="221E1F"/>
          <w:lang w:eastAsia="en-US"/>
        </w:rPr>
        <w:t xml:space="preserve">. </w:t>
      </w:r>
      <w:r w:rsidRPr="002B719E">
        <w:rPr>
          <w:rFonts w:asciiTheme="minorHAnsi" w:hAnsiTheme="minorHAnsi" w:cs="Arial"/>
          <w:color w:val="221E1F"/>
          <w:vertAlign w:val="superscript"/>
          <w:lang w:eastAsia="en-US"/>
        </w:rPr>
        <w:t>[15</w:t>
      </w:r>
      <w:proofErr w:type="gramStart"/>
      <w:r w:rsidRPr="002B719E">
        <w:rPr>
          <w:rFonts w:asciiTheme="minorHAnsi" w:hAnsiTheme="minorHAnsi" w:cs="Arial"/>
          <w:color w:val="221E1F"/>
          <w:vertAlign w:val="superscript"/>
          <w:lang w:eastAsia="en-US"/>
        </w:rPr>
        <w:t>,29</w:t>
      </w:r>
      <w:proofErr w:type="gramEnd"/>
      <w:r w:rsidRPr="002B719E">
        <w:rPr>
          <w:rFonts w:asciiTheme="minorHAnsi" w:hAnsiTheme="minorHAnsi" w:cs="Arial"/>
          <w:color w:val="221E1F"/>
          <w:vertAlign w:val="superscript"/>
          <w:lang w:eastAsia="en-US"/>
        </w:rPr>
        <w:t>]</w:t>
      </w:r>
    </w:p>
    <w:p w:rsidR="00484EFC" w:rsidRDefault="00484EFC" w:rsidP="00484EFC">
      <w:pPr>
        <w:autoSpaceDE w:val="0"/>
        <w:autoSpaceDN w:val="0"/>
        <w:adjustRightInd w:val="0"/>
        <w:spacing w:after="0"/>
        <w:rPr>
          <w:rFonts w:asciiTheme="minorHAnsi" w:hAnsiTheme="minorHAnsi" w:cs="Avenir LT Std 55 Roman"/>
          <w:color w:val="E31736"/>
          <w:sz w:val="28"/>
          <w:szCs w:val="28"/>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sidRPr="002B719E">
        <w:rPr>
          <w:rFonts w:asciiTheme="minorHAnsi" w:hAnsiTheme="minorHAnsi" w:cs="Arial"/>
          <w:color w:val="221E1F"/>
          <w:lang w:eastAsia="en-US"/>
        </w:rPr>
        <w:lastRenderedPageBreak/>
        <w:t>5.10.3</w:t>
      </w:r>
      <w:r w:rsidRPr="002B719E">
        <w:rPr>
          <w:rFonts w:asciiTheme="minorHAnsi" w:hAnsiTheme="minorHAnsi" w:cs="Arial"/>
          <w:color w:val="221E1F"/>
          <w:lang w:eastAsia="en-US"/>
        </w:rPr>
        <w:tab/>
      </w:r>
      <w:r>
        <w:rPr>
          <w:rFonts w:asciiTheme="minorHAnsi" w:hAnsiTheme="minorHAnsi" w:cs="Avenir LT Std 55 Roman"/>
          <w:color w:val="E31736"/>
          <w:sz w:val="28"/>
          <w:szCs w:val="28"/>
          <w:lang w:eastAsia="en-US"/>
        </w:rPr>
        <w:tab/>
      </w:r>
      <w:r w:rsidRPr="004B228A">
        <w:rPr>
          <w:rFonts w:asciiTheme="minorHAnsi" w:hAnsiTheme="minorHAnsi" w:cs="Arial"/>
          <w:color w:val="221E1F"/>
          <w:lang w:eastAsia="en-US"/>
        </w:rPr>
        <w:t xml:space="preserve">Antihistamines and decongestant drugs are useful for bleeds specifically related to allergies, upper respiratory infections, or seasonal changes. Topical steroids </w:t>
      </w:r>
      <w:r>
        <w:rPr>
          <w:rFonts w:asciiTheme="minorHAnsi" w:hAnsiTheme="minorHAnsi" w:cs="Arial"/>
          <w:color w:val="221E1F"/>
          <w:lang w:eastAsia="en-US"/>
        </w:rPr>
        <w:t>can also be helpful.</w:t>
      </w:r>
    </w:p>
    <w:p w:rsidR="00484EFC" w:rsidRDefault="00484EFC" w:rsidP="00484EFC">
      <w:pPr>
        <w:autoSpaceDE w:val="0"/>
        <w:autoSpaceDN w:val="0"/>
        <w:adjustRightInd w:val="0"/>
        <w:spacing w:after="0"/>
        <w:rPr>
          <w:rFonts w:asciiTheme="minorHAnsi" w:hAnsiTheme="minorHAnsi" w:cs="Arial"/>
          <w:color w:val="221E1F"/>
          <w:lang w:eastAsia="en-US"/>
        </w:rPr>
      </w:pPr>
    </w:p>
    <w:p w:rsidR="00484EFC" w:rsidRPr="00041ED2" w:rsidRDefault="00484EFC" w:rsidP="00041ED2">
      <w:pPr>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5.10.4</w:t>
      </w:r>
      <w:r>
        <w:rPr>
          <w:rFonts w:asciiTheme="minorHAnsi" w:hAnsiTheme="minorHAnsi" w:cs="Arial"/>
          <w:color w:val="221E1F"/>
          <w:lang w:eastAsia="en-US"/>
        </w:rPr>
        <w:tab/>
      </w:r>
      <w:r>
        <w:rPr>
          <w:rFonts w:asciiTheme="minorHAnsi" w:hAnsiTheme="minorHAnsi" w:cs="Arial"/>
          <w:color w:val="221E1F"/>
          <w:lang w:eastAsia="en-US"/>
        </w:rPr>
        <w:tab/>
      </w:r>
      <w:r w:rsidRPr="004B228A">
        <w:rPr>
          <w:rFonts w:asciiTheme="minorHAnsi" w:hAnsiTheme="minorHAnsi" w:cs="Arial"/>
          <w:color w:val="221E1F"/>
          <w:lang w:eastAsia="en-US"/>
        </w:rPr>
        <w:t>If bleeding is prolonged or occurs frequently, eval</w:t>
      </w:r>
      <w:r w:rsidRPr="004B228A">
        <w:rPr>
          <w:rFonts w:asciiTheme="minorHAnsi" w:hAnsiTheme="minorHAnsi" w:cs="Arial"/>
          <w:color w:val="221E1F"/>
          <w:lang w:eastAsia="en-US"/>
        </w:rPr>
        <w:softHyphen/>
        <w:t>uate for ana</w:t>
      </w:r>
      <w:r>
        <w:rPr>
          <w:rFonts w:asciiTheme="minorHAnsi" w:hAnsiTheme="minorHAnsi" w:cs="Arial"/>
          <w:color w:val="221E1F"/>
          <w:lang w:eastAsia="en-US"/>
        </w:rPr>
        <w:t xml:space="preserve">emia and treat </w:t>
      </w:r>
      <w:r w:rsidRPr="004B228A">
        <w:rPr>
          <w:rFonts w:asciiTheme="minorHAnsi" w:hAnsiTheme="minorHAnsi" w:cs="Arial"/>
          <w:color w:val="221E1F"/>
          <w:lang w:eastAsia="en-US"/>
        </w:rPr>
        <w:t>appropriately.</w:t>
      </w:r>
    </w:p>
    <w:p w:rsidR="00484EFC" w:rsidRPr="00041ED2" w:rsidRDefault="00484EFC" w:rsidP="00041ED2">
      <w:pPr>
        <w:autoSpaceDE w:val="0"/>
        <w:autoSpaceDN w:val="0"/>
        <w:adjustRightInd w:val="0"/>
        <w:spacing w:after="0"/>
        <w:ind w:left="1418" w:hanging="1305"/>
        <w:rPr>
          <w:rFonts w:asciiTheme="minorHAnsi" w:hAnsiTheme="minorHAnsi" w:cs="Arial"/>
          <w:color w:val="221E1F"/>
          <w:lang w:eastAsia="en-US"/>
        </w:rPr>
      </w:pPr>
    </w:p>
    <w:p w:rsidR="00484EFC" w:rsidRDefault="00484EFC" w:rsidP="00484EFC">
      <w:pPr>
        <w:autoSpaceDE w:val="0"/>
        <w:autoSpaceDN w:val="0"/>
        <w:adjustRightInd w:val="0"/>
        <w:spacing w:after="0"/>
        <w:ind w:left="113"/>
        <w:rPr>
          <w:rFonts w:asciiTheme="minorHAnsi" w:hAnsiTheme="minorHAnsi" w:cs="Arial"/>
          <w:color w:val="221E1F"/>
          <w:lang w:eastAsia="en-US"/>
        </w:rPr>
      </w:pPr>
      <w:r w:rsidRPr="002B719E">
        <w:rPr>
          <w:rFonts w:asciiTheme="minorHAnsi" w:hAnsiTheme="minorHAnsi" w:cs="Arial"/>
          <w:color w:val="221E1F"/>
          <w:lang w:eastAsia="en-US"/>
        </w:rPr>
        <w:t>5.10.5</w:t>
      </w:r>
      <w:r w:rsidRPr="002B719E">
        <w:rPr>
          <w:rFonts w:asciiTheme="minorHAnsi" w:hAnsiTheme="minorHAnsi" w:cs="Arial"/>
          <w:color w:val="221E1F"/>
          <w:lang w:eastAsia="en-US"/>
        </w:rPr>
        <w:tab/>
      </w:r>
      <w:r>
        <w:rPr>
          <w:rFonts w:asciiTheme="minorHAnsi" w:hAnsiTheme="minorHAnsi" w:cs="Avenir LT Std 55 Roman"/>
          <w:color w:val="E31736"/>
          <w:sz w:val="28"/>
          <w:szCs w:val="28"/>
          <w:lang w:eastAsia="en-US"/>
        </w:rPr>
        <w:tab/>
      </w:r>
      <w:r w:rsidRPr="004B228A">
        <w:rPr>
          <w:rFonts w:asciiTheme="minorHAnsi" w:hAnsiTheme="minorHAnsi" w:cs="Arial"/>
          <w:color w:val="221E1F"/>
          <w:lang w:eastAsia="en-US"/>
        </w:rPr>
        <w:t xml:space="preserve">Tranexamic acid applied locally in </w:t>
      </w:r>
      <w:proofErr w:type="gramStart"/>
      <w:r w:rsidRPr="004B228A">
        <w:rPr>
          <w:rFonts w:asciiTheme="minorHAnsi" w:hAnsiTheme="minorHAnsi" w:cs="Arial"/>
          <w:color w:val="221E1F"/>
          <w:lang w:eastAsia="en-US"/>
        </w:rPr>
        <w:t>a soaked</w:t>
      </w:r>
      <w:proofErr w:type="gramEnd"/>
      <w:r w:rsidRPr="004B228A">
        <w:rPr>
          <w:rFonts w:asciiTheme="minorHAnsi" w:hAnsiTheme="minorHAnsi" w:cs="Arial"/>
          <w:color w:val="221E1F"/>
          <w:lang w:eastAsia="en-US"/>
        </w:rPr>
        <w:t xml:space="preserve"> gauze may be</w:t>
      </w:r>
      <w:r>
        <w:rPr>
          <w:rFonts w:asciiTheme="minorHAnsi" w:hAnsiTheme="minorHAnsi" w:cs="Arial"/>
          <w:color w:val="221E1F"/>
          <w:lang w:eastAsia="en-US"/>
        </w:rPr>
        <w:t xml:space="preserve"> helpful.</w:t>
      </w:r>
    </w:p>
    <w:p w:rsidR="00484EFC" w:rsidRDefault="00484EFC" w:rsidP="00484EFC">
      <w:pPr>
        <w:autoSpaceDE w:val="0"/>
        <w:autoSpaceDN w:val="0"/>
        <w:adjustRightInd w:val="0"/>
        <w:spacing w:after="0"/>
        <w:rPr>
          <w:rFonts w:asciiTheme="minorHAnsi" w:hAnsiTheme="minorHAnsi" w:cs="Arial"/>
          <w:color w:val="221E1F"/>
          <w:lang w:eastAsia="en-US"/>
        </w:rPr>
      </w:pPr>
    </w:p>
    <w:p w:rsidR="00484EFC" w:rsidRDefault="00484EFC" w:rsidP="00484EFC">
      <w:pPr>
        <w:autoSpaceDE w:val="0"/>
        <w:autoSpaceDN w:val="0"/>
        <w:adjustRightInd w:val="0"/>
        <w:spacing w:after="0"/>
        <w:ind w:left="1418" w:hanging="1305"/>
        <w:rPr>
          <w:rFonts w:asciiTheme="minorHAnsi" w:hAnsiTheme="minorHAnsi" w:cs="Arial"/>
          <w:color w:val="221E1F"/>
          <w:lang w:eastAsia="en-US"/>
        </w:rPr>
      </w:pPr>
      <w:r>
        <w:rPr>
          <w:rFonts w:asciiTheme="minorHAnsi" w:hAnsiTheme="minorHAnsi" w:cs="Arial"/>
          <w:color w:val="221E1F"/>
          <w:lang w:eastAsia="en-US"/>
        </w:rPr>
        <w:t>5.10.6</w:t>
      </w:r>
      <w:r>
        <w:rPr>
          <w:rFonts w:asciiTheme="minorHAnsi" w:hAnsiTheme="minorHAnsi" w:cs="Arial"/>
          <w:color w:val="221E1F"/>
          <w:lang w:eastAsia="en-US"/>
        </w:rPr>
        <w:tab/>
      </w:r>
      <w:r>
        <w:rPr>
          <w:rFonts w:asciiTheme="minorHAnsi" w:hAnsiTheme="minorHAnsi" w:cs="Arial"/>
          <w:color w:val="221E1F"/>
          <w:lang w:eastAsia="en-US"/>
        </w:rPr>
        <w:tab/>
      </w:r>
      <w:r w:rsidRPr="004B228A">
        <w:rPr>
          <w:rFonts w:asciiTheme="minorHAnsi" w:hAnsiTheme="minorHAnsi" w:cs="Arial"/>
          <w:color w:val="221E1F"/>
          <w:lang w:eastAsia="en-US"/>
        </w:rPr>
        <w:t>Consult with an ear, nose and throat surgeon if the bleed is persistent or recurrent. Anterior or posterior nasal packing may be needed to control bleeding.</w:t>
      </w:r>
    </w:p>
    <w:p w:rsidR="00484EFC" w:rsidRDefault="00484EFC" w:rsidP="00484EFC">
      <w:pPr>
        <w:autoSpaceDE w:val="0"/>
        <w:autoSpaceDN w:val="0"/>
        <w:adjustRightInd w:val="0"/>
        <w:spacing w:after="0"/>
        <w:rPr>
          <w:rFonts w:asciiTheme="minorHAnsi" w:hAnsiTheme="minorHAnsi" w:cs="Arial"/>
          <w:color w:val="221E1F"/>
          <w:lang w:eastAsia="en-US"/>
        </w:rPr>
      </w:pPr>
    </w:p>
    <w:p w:rsidR="00484EFC" w:rsidRPr="002B719E" w:rsidRDefault="00484EFC" w:rsidP="00484EFC">
      <w:pPr>
        <w:autoSpaceDE w:val="0"/>
        <w:autoSpaceDN w:val="0"/>
        <w:adjustRightInd w:val="0"/>
        <w:spacing w:after="0"/>
        <w:ind w:left="1418" w:hanging="1305"/>
        <w:rPr>
          <w:rFonts w:asciiTheme="minorHAnsi" w:hAnsiTheme="minorHAnsi" w:cs="Avenir LT Std 55 Roman"/>
          <w:color w:val="E31736"/>
          <w:sz w:val="28"/>
          <w:szCs w:val="28"/>
          <w:lang w:eastAsia="en-US"/>
        </w:rPr>
      </w:pPr>
      <w:r>
        <w:rPr>
          <w:rFonts w:asciiTheme="minorHAnsi" w:hAnsiTheme="minorHAnsi" w:cs="Arial"/>
          <w:color w:val="221E1F"/>
          <w:lang w:eastAsia="en-US"/>
        </w:rPr>
        <w:t>5.10.6</w:t>
      </w:r>
      <w:r>
        <w:rPr>
          <w:rFonts w:asciiTheme="minorHAnsi" w:hAnsiTheme="minorHAnsi" w:cs="Arial"/>
          <w:color w:val="221E1F"/>
          <w:lang w:eastAsia="en-US"/>
        </w:rPr>
        <w:tab/>
      </w:r>
      <w:r w:rsidRPr="004B228A">
        <w:rPr>
          <w:rFonts w:asciiTheme="minorHAnsi" w:hAnsiTheme="minorHAnsi" w:cs="Arial"/>
          <w:color w:val="221E1F"/>
          <w:lang w:eastAsia="en-US"/>
        </w:rPr>
        <w:t xml:space="preserve">Epistaxis can often be prevented by increasing the humidity of the environment, applying gels (e.g. </w:t>
      </w:r>
      <w:proofErr w:type="gramStart"/>
      <w:r w:rsidRPr="004B228A">
        <w:rPr>
          <w:rFonts w:asciiTheme="minorHAnsi" w:hAnsiTheme="minorHAnsi" w:cs="Arial"/>
          <w:color w:val="221E1F"/>
          <w:lang w:eastAsia="en-US"/>
        </w:rPr>
        <w:t>vaseline</w:t>
      </w:r>
      <w:proofErr w:type="gramEnd"/>
      <w:r w:rsidRPr="004B228A">
        <w:rPr>
          <w:rFonts w:asciiTheme="minorHAnsi" w:hAnsiTheme="minorHAnsi" w:cs="Arial"/>
          <w:color w:val="221E1F"/>
          <w:lang w:eastAsia="en-US"/>
        </w:rPr>
        <w:t xml:space="preserve"> or saline drops/gel) to the nasal mucosa to preserve moisture, or adminis</w:t>
      </w:r>
      <w:r w:rsidRPr="004B228A">
        <w:rPr>
          <w:rFonts w:asciiTheme="minorHAnsi" w:hAnsiTheme="minorHAnsi" w:cs="Arial"/>
          <w:color w:val="221E1F"/>
          <w:lang w:eastAsia="en-US"/>
        </w:rPr>
        <w:softHyphen/>
        <w:t>tering saline spray).</w:t>
      </w:r>
    </w:p>
    <w:p w:rsidR="00484EFC" w:rsidRPr="004B228A" w:rsidRDefault="00484EFC" w:rsidP="00484EFC">
      <w:pPr>
        <w:autoSpaceDE w:val="0"/>
        <w:autoSpaceDN w:val="0"/>
        <w:adjustRightInd w:val="0"/>
        <w:spacing w:after="0"/>
        <w:ind w:left="851" w:hanging="567"/>
        <w:rPr>
          <w:rFonts w:asciiTheme="minorHAnsi" w:hAnsiTheme="minorHAnsi" w:cs="Minion Pro"/>
          <w:color w:val="221E1F"/>
          <w:sz w:val="23"/>
          <w:szCs w:val="23"/>
          <w:lang w:eastAsia="en-US"/>
        </w:rPr>
      </w:pPr>
    </w:p>
    <w:p w:rsidR="00484EFC" w:rsidRPr="00041ED2" w:rsidRDefault="00484EFC" w:rsidP="00041ED2">
      <w:pPr>
        <w:pStyle w:val="Heading3"/>
        <w:rPr>
          <w:rStyle w:val="A8"/>
          <w:b/>
        </w:rPr>
      </w:pPr>
      <w:bookmarkStart w:id="44" w:name="_Toc431484337"/>
      <w:r w:rsidRPr="00041ED2">
        <w:rPr>
          <w:rStyle w:val="A8"/>
        </w:rPr>
        <w:t>5.11 Soft tissue haemorrhage</w:t>
      </w:r>
      <w:bookmarkEnd w:id="44"/>
      <w:r w:rsidRPr="00041ED2">
        <w:rPr>
          <w:rStyle w:val="A8"/>
        </w:rPr>
        <w:t xml:space="preserve"> </w:t>
      </w:r>
    </w:p>
    <w:p w:rsidR="00484EFC" w:rsidRDefault="00484EFC" w:rsidP="00484EFC">
      <w:pPr>
        <w:autoSpaceDE w:val="0"/>
        <w:autoSpaceDN w:val="0"/>
        <w:adjustRightInd w:val="0"/>
        <w:spacing w:after="222"/>
        <w:ind w:left="1418" w:hanging="1305"/>
        <w:rPr>
          <w:rFonts w:asciiTheme="minorHAnsi" w:hAnsiTheme="minorHAnsi" w:cs="Avenir LT Std 55 Roman"/>
          <w:color w:val="E31736"/>
          <w:sz w:val="28"/>
          <w:szCs w:val="28"/>
          <w:lang w:eastAsia="en-US"/>
        </w:rPr>
      </w:pPr>
      <w:r w:rsidRPr="002B719E">
        <w:rPr>
          <w:rFonts w:asciiTheme="minorHAnsi" w:hAnsiTheme="minorHAnsi" w:cs="Arial"/>
          <w:color w:val="221E1F"/>
          <w:lang w:eastAsia="en-US"/>
        </w:rPr>
        <w:t>5.11.1</w:t>
      </w:r>
      <w:r w:rsidRPr="002B719E">
        <w:rPr>
          <w:rFonts w:asciiTheme="minorHAnsi" w:hAnsiTheme="minorHAnsi" w:cs="Arial"/>
          <w:color w:val="221E1F"/>
          <w:lang w:eastAsia="en-US"/>
        </w:rPr>
        <w:tab/>
      </w:r>
      <w:r>
        <w:rPr>
          <w:rFonts w:asciiTheme="minorHAnsi" w:hAnsiTheme="minorHAnsi" w:cs="Avenir LT Std 55 Roman"/>
          <w:color w:val="E31736"/>
          <w:sz w:val="28"/>
          <w:szCs w:val="28"/>
          <w:lang w:eastAsia="en-US"/>
        </w:rPr>
        <w:tab/>
      </w:r>
      <w:r w:rsidRPr="004B228A">
        <w:rPr>
          <w:rFonts w:asciiTheme="minorHAnsi" w:hAnsiTheme="minorHAnsi" w:cs="Arial"/>
          <w:color w:val="221E1F"/>
          <w:lang w:eastAsia="en-US"/>
        </w:rPr>
        <w:t>Symptoms will depend on the site of haemorrhage.</w:t>
      </w:r>
    </w:p>
    <w:p w:rsidR="00484EFC" w:rsidRDefault="00484EFC" w:rsidP="00484EFC">
      <w:pPr>
        <w:autoSpaceDE w:val="0"/>
        <w:autoSpaceDN w:val="0"/>
        <w:adjustRightInd w:val="0"/>
        <w:spacing w:after="222"/>
        <w:ind w:left="1418" w:hanging="1305"/>
        <w:rPr>
          <w:rFonts w:asciiTheme="minorHAnsi" w:hAnsiTheme="minorHAnsi" w:cs="Avenir LT Std 55 Roman"/>
          <w:color w:val="E31736"/>
          <w:sz w:val="28"/>
          <w:szCs w:val="28"/>
          <w:lang w:eastAsia="en-US"/>
        </w:rPr>
      </w:pPr>
      <w:r w:rsidRPr="002B719E">
        <w:rPr>
          <w:rFonts w:asciiTheme="minorHAnsi" w:hAnsiTheme="minorHAnsi" w:cs="Arial"/>
          <w:color w:val="221E1F"/>
          <w:lang w:eastAsia="en-US"/>
        </w:rPr>
        <w:t>5.11.2</w:t>
      </w:r>
      <w:r w:rsidRPr="002B719E">
        <w:rPr>
          <w:rFonts w:asciiTheme="minorHAnsi" w:hAnsiTheme="minorHAnsi" w:cs="Arial"/>
          <w:color w:val="221E1F"/>
          <w:lang w:eastAsia="en-US"/>
        </w:rPr>
        <w:tab/>
      </w:r>
      <w:r>
        <w:rPr>
          <w:rFonts w:asciiTheme="minorHAnsi" w:hAnsiTheme="minorHAnsi" w:cs="Avenir LT Std 55 Roman"/>
          <w:color w:val="E31736"/>
          <w:sz w:val="28"/>
          <w:szCs w:val="28"/>
          <w:lang w:eastAsia="en-US"/>
        </w:rPr>
        <w:tab/>
      </w:r>
      <w:r w:rsidRPr="004B228A">
        <w:rPr>
          <w:rFonts w:asciiTheme="minorHAnsi" w:hAnsiTheme="minorHAnsi" w:cs="Arial"/>
          <w:color w:val="221E1F"/>
          <w:lang w:eastAsia="en-US"/>
        </w:rPr>
        <w:t xml:space="preserve">Factor replacement therapy is not necessary for most superficial </w:t>
      </w:r>
      <w:r>
        <w:rPr>
          <w:rFonts w:asciiTheme="minorHAnsi" w:hAnsiTheme="minorHAnsi" w:cs="Arial"/>
          <w:color w:val="221E1F"/>
          <w:lang w:eastAsia="en-US"/>
        </w:rPr>
        <w:t>soft tissue bleeding. The appli</w:t>
      </w:r>
      <w:r w:rsidRPr="004B228A">
        <w:rPr>
          <w:rFonts w:asciiTheme="minorHAnsi" w:hAnsiTheme="minorHAnsi" w:cs="Arial"/>
          <w:color w:val="221E1F"/>
          <w:lang w:eastAsia="en-US"/>
        </w:rPr>
        <w:t>cation of firm pressure and ice may be helpful</w:t>
      </w:r>
      <w:r>
        <w:rPr>
          <w:rFonts w:asciiTheme="minorHAnsi" w:hAnsiTheme="minorHAnsi" w:cs="Arial"/>
          <w:color w:val="221E1F"/>
          <w:lang w:eastAsia="en-US"/>
        </w:rPr>
        <w:t xml:space="preserve">. </w:t>
      </w:r>
      <w:r w:rsidRPr="00972107">
        <w:rPr>
          <w:rFonts w:asciiTheme="minorHAnsi" w:hAnsiTheme="minorHAnsi" w:cs="Arial"/>
          <w:color w:val="221E1F"/>
          <w:vertAlign w:val="superscript"/>
          <w:lang w:eastAsia="en-US"/>
        </w:rPr>
        <w:t>[15</w:t>
      </w:r>
      <w:proofErr w:type="gramStart"/>
      <w:r w:rsidRPr="00972107">
        <w:rPr>
          <w:rFonts w:asciiTheme="minorHAnsi" w:hAnsiTheme="minorHAnsi" w:cs="Arial"/>
          <w:color w:val="221E1F"/>
          <w:vertAlign w:val="superscript"/>
          <w:lang w:eastAsia="en-US"/>
        </w:rPr>
        <w:t>,29</w:t>
      </w:r>
      <w:proofErr w:type="gramEnd"/>
      <w:r w:rsidRPr="00972107">
        <w:rPr>
          <w:rFonts w:asciiTheme="minorHAnsi" w:hAnsiTheme="minorHAnsi" w:cs="Arial"/>
          <w:color w:val="221E1F"/>
          <w:vertAlign w:val="superscript"/>
          <w:lang w:eastAsia="en-US"/>
        </w:rPr>
        <w:t>]</w:t>
      </w:r>
    </w:p>
    <w:p w:rsidR="00484EFC" w:rsidRDefault="00484EFC" w:rsidP="00484EFC">
      <w:pPr>
        <w:autoSpaceDE w:val="0"/>
        <w:autoSpaceDN w:val="0"/>
        <w:adjustRightInd w:val="0"/>
        <w:spacing w:after="222"/>
        <w:ind w:left="1418" w:hanging="1305"/>
        <w:rPr>
          <w:rFonts w:asciiTheme="minorHAnsi" w:hAnsiTheme="minorHAnsi" w:cs="Arial"/>
          <w:color w:val="221E1F"/>
          <w:lang w:eastAsia="en-US"/>
        </w:rPr>
      </w:pPr>
      <w:r w:rsidRPr="002B719E">
        <w:rPr>
          <w:rFonts w:asciiTheme="minorHAnsi" w:hAnsiTheme="minorHAnsi" w:cs="Arial"/>
          <w:color w:val="221E1F"/>
          <w:lang w:eastAsia="en-US"/>
        </w:rPr>
        <w:t>5.11.3</w:t>
      </w:r>
      <w:r w:rsidRPr="002B719E">
        <w:rPr>
          <w:rFonts w:asciiTheme="minorHAnsi" w:hAnsiTheme="minorHAnsi" w:cs="Arial"/>
          <w:color w:val="221E1F"/>
          <w:lang w:eastAsia="en-US"/>
        </w:rPr>
        <w:tab/>
      </w:r>
      <w:r w:rsidRPr="004B228A">
        <w:rPr>
          <w:rFonts w:asciiTheme="minorHAnsi" w:hAnsiTheme="minorHAnsi" w:cs="Arial"/>
          <w:color w:val="221E1F"/>
          <w:lang w:eastAsia="en-US"/>
        </w:rPr>
        <w:t>Evaluate the patient for severity of haemor</w:t>
      </w:r>
      <w:r w:rsidRPr="004B228A">
        <w:rPr>
          <w:rFonts w:asciiTheme="minorHAnsi" w:hAnsiTheme="minorHAnsi" w:cs="Arial"/>
          <w:color w:val="221E1F"/>
          <w:lang w:eastAsia="en-US"/>
        </w:rPr>
        <w:softHyphen/>
        <w:t>rhage and possible muscular or neurovascular involvement. Rule out possible trauma to spaces containing vital organ</w:t>
      </w:r>
      <w:r>
        <w:rPr>
          <w:rFonts w:asciiTheme="minorHAnsi" w:hAnsiTheme="minorHAnsi" w:cs="Arial"/>
          <w:color w:val="221E1F"/>
          <w:lang w:eastAsia="en-US"/>
        </w:rPr>
        <w:t>s, such as the head or abdomen.</w:t>
      </w:r>
    </w:p>
    <w:p w:rsidR="00484EFC" w:rsidRDefault="00484EFC" w:rsidP="00484EFC">
      <w:pPr>
        <w:autoSpaceDE w:val="0"/>
        <w:autoSpaceDN w:val="0"/>
        <w:adjustRightInd w:val="0"/>
        <w:spacing w:after="222"/>
        <w:ind w:left="1418" w:hanging="1305"/>
        <w:rPr>
          <w:rFonts w:asciiTheme="minorHAnsi" w:hAnsiTheme="minorHAnsi" w:cs="Avenir LT Std 55 Roman"/>
          <w:color w:val="E31736"/>
          <w:sz w:val="28"/>
          <w:szCs w:val="28"/>
          <w:lang w:eastAsia="en-US"/>
        </w:rPr>
      </w:pPr>
      <w:r>
        <w:rPr>
          <w:rFonts w:asciiTheme="minorHAnsi" w:hAnsiTheme="minorHAnsi" w:cs="Arial"/>
          <w:color w:val="221E1F"/>
          <w:lang w:eastAsia="en-US"/>
        </w:rPr>
        <w:t>5.11.4</w:t>
      </w:r>
      <w:r>
        <w:rPr>
          <w:rFonts w:asciiTheme="minorHAnsi" w:hAnsiTheme="minorHAnsi" w:cs="Arial"/>
          <w:color w:val="221E1F"/>
          <w:lang w:eastAsia="en-US"/>
        </w:rPr>
        <w:tab/>
      </w:r>
      <w:r w:rsidRPr="004B228A">
        <w:rPr>
          <w:rFonts w:asciiTheme="minorHAnsi" w:hAnsiTheme="minorHAnsi" w:cs="Arial"/>
          <w:color w:val="221E1F"/>
          <w:lang w:eastAsia="en-US"/>
        </w:rPr>
        <w:t xml:space="preserve">Open compartmental haemorrhage, such as in the retroperitoneal space, scrotum, buttocks, or thighs, can result in extensive blood loss. Treat with factor immediately if this situation is suspected. </w:t>
      </w:r>
    </w:p>
    <w:p w:rsidR="00484EFC" w:rsidRPr="002B719E" w:rsidRDefault="00484EFC" w:rsidP="00484EFC">
      <w:pPr>
        <w:autoSpaceDE w:val="0"/>
        <w:autoSpaceDN w:val="0"/>
        <w:adjustRightInd w:val="0"/>
        <w:spacing w:after="222"/>
        <w:ind w:left="1418" w:hanging="1305"/>
        <w:rPr>
          <w:rFonts w:asciiTheme="minorHAnsi" w:hAnsiTheme="minorHAnsi" w:cs="Avenir LT Std 55 Roman"/>
          <w:color w:val="E31736"/>
          <w:sz w:val="28"/>
          <w:szCs w:val="28"/>
          <w:lang w:eastAsia="en-US"/>
        </w:rPr>
      </w:pPr>
      <w:r w:rsidRPr="002B719E">
        <w:rPr>
          <w:rFonts w:asciiTheme="minorHAnsi" w:hAnsiTheme="minorHAnsi" w:cs="Arial"/>
          <w:color w:val="221E1F"/>
          <w:lang w:eastAsia="en-US"/>
        </w:rPr>
        <w:t>5.11.5</w:t>
      </w:r>
      <w:r w:rsidRPr="002B719E">
        <w:rPr>
          <w:rFonts w:asciiTheme="minorHAnsi" w:hAnsiTheme="minorHAnsi" w:cs="Arial"/>
          <w:color w:val="221E1F"/>
          <w:lang w:eastAsia="en-US"/>
        </w:rPr>
        <w:tab/>
      </w:r>
      <w:r w:rsidRPr="004B228A">
        <w:rPr>
          <w:rFonts w:asciiTheme="minorHAnsi" w:hAnsiTheme="minorHAnsi" w:cs="Arial"/>
          <w:color w:val="221E1F"/>
          <w:lang w:eastAsia="en-US"/>
        </w:rPr>
        <w:t>Haemoglobin levels and vital signs should be regu</w:t>
      </w:r>
      <w:r w:rsidRPr="004B228A">
        <w:rPr>
          <w:rFonts w:asciiTheme="minorHAnsi" w:hAnsiTheme="minorHAnsi" w:cs="Arial"/>
          <w:color w:val="221E1F"/>
          <w:lang w:eastAsia="en-US"/>
        </w:rPr>
        <w:softHyphen/>
        <w:t xml:space="preserve">larly monitored if bleeding is in an open compartment. </w:t>
      </w:r>
    </w:p>
    <w:p w:rsidR="00484EFC" w:rsidRPr="00041ED2" w:rsidRDefault="00484EFC" w:rsidP="00041ED2">
      <w:pPr>
        <w:pStyle w:val="Heading3"/>
        <w:rPr>
          <w:rStyle w:val="A8"/>
          <w:b/>
        </w:rPr>
      </w:pPr>
      <w:bookmarkStart w:id="45" w:name="_Toc431484338"/>
      <w:r w:rsidRPr="00041ED2">
        <w:rPr>
          <w:rStyle w:val="A8"/>
        </w:rPr>
        <w:t>5.12 Lacerations and abrasions</w:t>
      </w:r>
      <w:bookmarkEnd w:id="45"/>
      <w:r w:rsidRPr="00041ED2">
        <w:rPr>
          <w:rStyle w:val="A8"/>
        </w:rPr>
        <w:t xml:space="preserve"> </w:t>
      </w:r>
    </w:p>
    <w:p w:rsidR="00484EFC" w:rsidRDefault="00484EFC" w:rsidP="00484EFC">
      <w:pPr>
        <w:autoSpaceDE w:val="0"/>
        <w:autoSpaceDN w:val="0"/>
        <w:adjustRightInd w:val="0"/>
        <w:spacing w:after="222"/>
        <w:ind w:left="1418" w:hanging="1305"/>
        <w:rPr>
          <w:rFonts w:asciiTheme="minorHAnsi" w:hAnsiTheme="minorHAnsi" w:cs="Avenir LT Std 55 Roman"/>
          <w:color w:val="E31736"/>
          <w:sz w:val="28"/>
          <w:szCs w:val="28"/>
          <w:lang w:eastAsia="en-US"/>
        </w:rPr>
      </w:pPr>
      <w:r>
        <w:rPr>
          <w:rFonts w:asciiTheme="minorHAnsi" w:hAnsiTheme="minorHAnsi" w:cs="Arial"/>
          <w:color w:val="221E1F"/>
          <w:lang w:eastAsia="en-US"/>
        </w:rPr>
        <w:t>5.12.1</w:t>
      </w:r>
      <w:r>
        <w:rPr>
          <w:rFonts w:asciiTheme="minorHAnsi" w:hAnsiTheme="minorHAnsi" w:cs="Arial"/>
          <w:color w:val="221E1F"/>
          <w:lang w:eastAsia="en-US"/>
        </w:rPr>
        <w:tab/>
      </w:r>
      <w:r w:rsidRPr="004B228A">
        <w:rPr>
          <w:rFonts w:asciiTheme="minorHAnsi" w:hAnsiTheme="minorHAnsi" w:cs="Arial"/>
          <w:color w:val="221E1F"/>
          <w:lang w:eastAsia="en-US"/>
        </w:rPr>
        <w:t>Treat superficial lacerations by cleaning the wound, then applying pressure and steri-strips.</w:t>
      </w:r>
    </w:p>
    <w:p w:rsidR="00484EFC" w:rsidRDefault="00484EFC" w:rsidP="00484EFC">
      <w:pPr>
        <w:autoSpaceDE w:val="0"/>
        <w:autoSpaceDN w:val="0"/>
        <w:adjustRightInd w:val="0"/>
        <w:spacing w:after="222"/>
        <w:ind w:left="1418" w:hanging="1305"/>
        <w:rPr>
          <w:rFonts w:asciiTheme="minorHAnsi" w:hAnsiTheme="minorHAnsi" w:cs="Avenir LT Std 55 Roman"/>
          <w:color w:val="E31736"/>
          <w:sz w:val="28"/>
          <w:szCs w:val="28"/>
          <w:lang w:eastAsia="en-US"/>
        </w:rPr>
      </w:pPr>
      <w:r w:rsidRPr="00972107">
        <w:rPr>
          <w:rFonts w:asciiTheme="minorHAnsi" w:hAnsiTheme="minorHAnsi" w:cs="Arial"/>
          <w:color w:val="221E1F"/>
          <w:lang w:eastAsia="en-US"/>
        </w:rPr>
        <w:t>5.12.2</w:t>
      </w:r>
      <w:r>
        <w:rPr>
          <w:rFonts w:asciiTheme="minorHAnsi" w:hAnsiTheme="minorHAnsi" w:cs="Avenir LT Std 55 Roman"/>
          <w:color w:val="E31736"/>
          <w:sz w:val="28"/>
          <w:szCs w:val="28"/>
          <w:lang w:eastAsia="en-US"/>
        </w:rPr>
        <w:tab/>
      </w:r>
      <w:r w:rsidRPr="004B228A">
        <w:rPr>
          <w:rFonts w:asciiTheme="minorHAnsi" w:hAnsiTheme="minorHAnsi" w:cs="Arial"/>
          <w:b/>
          <w:bCs/>
          <w:color w:val="221E1F"/>
          <w:lang w:eastAsia="en-US"/>
        </w:rPr>
        <w:t>For deep lacerations, raise t</w:t>
      </w:r>
      <w:r>
        <w:rPr>
          <w:rFonts w:asciiTheme="minorHAnsi" w:hAnsiTheme="minorHAnsi" w:cs="Arial"/>
          <w:b/>
          <w:bCs/>
          <w:color w:val="221E1F"/>
          <w:lang w:eastAsia="en-US"/>
        </w:rPr>
        <w:t>he factor level (refer to Table</w:t>
      </w:r>
      <w:r w:rsidRPr="004B228A">
        <w:rPr>
          <w:rFonts w:asciiTheme="minorHAnsi" w:hAnsiTheme="minorHAnsi" w:cs="Arial"/>
          <w:b/>
          <w:bCs/>
          <w:color w:val="221E1F"/>
          <w:lang w:eastAsia="en-US"/>
        </w:rPr>
        <w:t xml:space="preserve"> 7-1), and then suture. </w:t>
      </w:r>
      <w:r w:rsidRPr="00972107">
        <w:rPr>
          <w:rFonts w:asciiTheme="minorHAnsi" w:hAnsiTheme="minorHAnsi" w:cs="Arial"/>
          <w:b/>
          <w:bCs/>
          <w:color w:val="221E1F"/>
          <w:vertAlign w:val="superscript"/>
          <w:lang w:eastAsia="en-US"/>
        </w:rPr>
        <w:t>[15</w:t>
      </w:r>
      <w:proofErr w:type="gramStart"/>
      <w:r w:rsidRPr="00972107">
        <w:rPr>
          <w:rFonts w:asciiTheme="minorHAnsi" w:hAnsiTheme="minorHAnsi" w:cs="Arial"/>
          <w:b/>
          <w:bCs/>
          <w:color w:val="221E1F"/>
          <w:vertAlign w:val="superscript"/>
          <w:lang w:eastAsia="en-US"/>
        </w:rPr>
        <w:t>,29,30</w:t>
      </w:r>
      <w:proofErr w:type="gramEnd"/>
      <w:r w:rsidRPr="00972107">
        <w:rPr>
          <w:rFonts w:asciiTheme="minorHAnsi" w:hAnsiTheme="minorHAnsi" w:cs="Arial"/>
          <w:b/>
          <w:bCs/>
          <w:color w:val="221E1F"/>
          <w:vertAlign w:val="superscript"/>
          <w:lang w:eastAsia="en-US"/>
        </w:rPr>
        <w:t>]</w:t>
      </w:r>
    </w:p>
    <w:p w:rsidR="00484EFC" w:rsidRPr="00972107" w:rsidRDefault="00484EFC" w:rsidP="00484EFC">
      <w:pPr>
        <w:autoSpaceDE w:val="0"/>
        <w:autoSpaceDN w:val="0"/>
        <w:adjustRightInd w:val="0"/>
        <w:spacing w:after="222"/>
        <w:ind w:left="1418" w:hanging="1305"/>
        <w:rPr>
          <w:rFonts w:asciiTheme="minorHAnsi" w:hAnsiTheme="minorHAnsi" w:cs="Avenir LT Std 55 Roman"/>
          <w:color w:val="E31736"/>
          <w:sz w:val="28"/>
          <w:szCs w:val="28"/>
          <w:lang w:eastAsia="en-US"/>
        </w:rPr>
      </w:pPr>
      <w:r w:rsidRPr="00972107">
        <w:rPr>
          <w:rFonts w:asciiTheme="minorHAnsi" w:hAnsiTheme="minorHAnsi" w:cs="Arial"/>
          <w:color w:val="221E1F"/>
          <w:lang w:eastAsia="en-US"/>
        </w:rPr>
        <w:t>5.12.3</w:t>
      </w:r>
      <w:r>
        <w:rPr>
          <w:rFonts w:asciiTheme="minorHAnsi" w:hAnsiTheme="minorHAnsi" w:cs="Arial"/>
          <w:color w:val="221E1F"/>
          <w:lang w:eastAsia="en-US"/>
        </w:rPr>
        <w:tab/>
      </w:r>
      <w:r w:rsidRPr="004B228A">
        <w:rPr>
          <w:rFonts w:asciiTheme="minorHAnsi" w:hAnsiTheme="minorHAnsi" w:cs="Arial"/>
          <w:color w:val="221E1F"/>
          <w:lang w:eastAsia="en-US"/>
        </w:rPr>
        <w:t xml:space="preserve">Sutures may be removed under cover of factor concentrate. </w:t>
      </w:r>
    </w:p>
    <w:p w:rsidR="00484EFC" w:rsidRDefault="00484EFC">
      <w:pPr>
        <w:spacing w:after="200" w:line="276" w:lineRule="auto"/>
        <w:ind w:left="0"/>
        <w:rPr>
          <w:rFonts w:asciiTheme="minorHAnsi" w:hAnsiTheme="minorHAnsi" w:cs="Arial"/>
          <w:color w:val="221E1F"/>
          <w:lang w:eastAsia="en-US"/>
        </w:rPr>
      </w:pPr>
      <w:r>
        <w:rPr>
          <w:rFonts w:asciiTheme="minorHAnsi" w:hAnsiTheme="minorHAnsi" w:cs="Arial"/>
          <w:color w:val="221E1F"/>
          <w:lang w:eastAsia="en-US"/>
        </w:rPr>
        <w:br w:type="page"/>
      </w:r>
    </w:p>
    <w:p w:rsidR="00484EFC" w:rsidRPr="004B228A" w:rsidRDefault="00484EFC" w:rsidP="00484EFC">
      <w:pPr>
        <w:autoSpaceDE w:val="0"/>
        <w:autoSpaceDN w:val="0"/>
        <w:adjustRightInd w:val="0"/>
        <w:spacing w:before="560" w:after="140"/>
        <w:ind w:left="113"/>
        <w:rPr>
          <w:rFonts w:asciiTheme="minorHAnsi" w:hAnsiTheme="minorHAnsi" w:cs="Avenir LT Std 55 Roman"/>
          <w:color w:val="E31736"/>
          <w:sz w:val="28"/>
          <w:szCs w:val="28"/>
          <w:lang w:eastAsia="en-US"/>
        </w:rPr>
      </w:pPr>
      <w:r w:rsidRPr="004B228A">
        <w:rPr>
          <w:rFonts w:asciiTheme="minorHAnsi" w:hAnsiTheme="minorHAnsi" w:cs="Avenir LT Std 55 Roman"/>
          <w:b/>
          <w:bCs/>
          <w:color w:val="E31736"/>
          <w:sz w:val="28"/>
          <w:szCs w:val="28"/>
          <w:lang w:eastAsia="en-US"/>
        </w:rPr>
        <w:lastRenderedPageBreak/>
        <w:t>References</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Definitions in hemophilia. Recommendations of the scientific subcommittee on factor VIII and factor IX of the scientific and standardization committee of the International Society on Thrombosis and Haemostasis. </w:t>
      </w:r>
      <w:r w:rsidRPr="004B228A">
        <w:rPr>
          <w:rFonts w:asciiTheme="minorHAnsi" w:hAnsiTheme="minorHAnsi" w:cs="Arial"/>
          <w:i/>
          <w:iCs/>
          <w:color w:val="221E1F"/>
          <w:lang w:eastAsia="en-US"/>
        </w:rPr>
        <w:t xml:space="preserve">JTH </w:t>
      </w:r>
      <w:r w:rsidRPr="004B228A">
        <w:rPr>
          <w:rFonts w:asciiTheme="minorHAnsi" w:hAnsiTheme="minorHAnsi" w:cs="Arial"/>
          <w:color w:val="221E1F"/>
          <w:lang w:eastAsia="en-US"/>
        </w:rPr>
        <w:t>2012 (in press).</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Aronstam A, Wassef M, Choudhury DP, Turk PM, McLellan DS. Double-blind controlled trial of three dosage regimens in treatment of haemarthroses in haemophilia A. </w:t>
      </w:r>
      <w:r w:rsidRPr="004B228A">
        <w:rPr>
          <w:rFonts w:asciiTheme="minorHAnsi" w:hAnsiTheme="minorHAnsi" w:cs="Arial"/>
          <w:i/>
          <w:iCs/>
          <w:color w:val="221E1F"/>
          <w:lang w:eastAsia="en-US"/>
        </w:rPr>
        <w:t xml:space="preserve">Lancet </w:t>
      </w:r>
      <w:r w:rsidRPr="004B228A">
        <w:rPr>
          <w:rFonts w:asciiTheme="minorHAnsi" w:hAnsiTheme="minorHAnsi" w:cs="Arial"/>
          <w:color w:val="221E1F"/>
          <w:lang w:eastAsia="en-US"/>
        </w:rPr>
        <w:t>1980 Jan 26</w:t>
      </w:r>
      <w:proofErr w:type="gramStart"/>
      <w:r w:rsidRPr="004B228A">
        <w:rPr>
          <w:rFonts w:asciiTheme="minorHAnsi" w:hAnsiTheme="minorHAnsi" w:cs="Arial"/>
          <w:color w:val="221E1F"/>
          <w:lang w:eastAsia="en-US"/>
        </w:rPr>
        <w:t>;1</w:t>
      </w:r>
      <w:proofErr w:type="gramEnd"/>
      <w:r w:rsidRPr="004B228A">
        <w:rPr>
          <w:rFonts w:asciiTheme="minorHAnsi" w:hAnsiTheme="minorHAnsi" w:cs="Arial"/>
          <w:color w:val="221E1F"/>
          <w:lang w:eastAsia="en-US"/>
        </w:rPr>
        <w:t>(8161):169-71.</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Aronstam A, Wassef M, Hamad Z, Cartlidge J, McLellan D. A double-blind controlled trial of two dose levels of factor VIII in the treatment of high risk haemarthroses in haemophilia A. </w:t>
      </w:r>
      <w:r w:rsidRPr="004B228A">
        <w:rPr>
          <w:rFonts w:asciiTheme="minorHAnsi" w:hAnsiTheme="minorHAnsi" w:cs="Arial"/>
          <w:i/>
          <w:iCs/>
          <w:color w:val="221E1F"/>
          <w:lang w:eastAsia="en-US"/>
        </w:rPr>
        <w:t xml:space="preserve">Clin Lab Haematol </w:t>
      </w:r>
      <w:r w:rsidRPr="004B228A">
        <w:rPr>
          <w:rFonts w:asciiTheme="minorHAnsi" w:hAnsiTheme="minorHAnsi" w:cs="Arial"/>
          <w:color w:val="221E1F"/>
          <w:lang w:eastAsia="en-US"/>
        </w:rPr>
        <w:t>1983;5(2):157-63.</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Hermans C, de Moerloose P, Fischer K, Holstein K, Klamroth R, Lambert T, et al; European Haemophilia Therapy Standardisation Board. Management of acute haemarthrosis in haemophilia A without inhibitors: literature review, European survey and recommendations.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2011</w:t>
      </w:r>
      <w:proofErr w:type="gramStart"/>
      <w:r w:rsidRPr="004B228A">
        <w:rPr>
          <w:rFonts w:asciiTheme="minorHAnsi" w:hAnsiTheme="minorHAnsi" w:cs="Arial"/>
          <w:color w:val="221E1F"/>
          <w:lang w:eastAsia="en-US"/>
        </w:rPr>
        <w:t>;17</w:t>
      </w:r>
      <w:proofErr w:type="gramEnd"/>
      <w:r w:rsidRPr="004B228A">
        <w:rPr>
          <w:rFonts w:asciiTheme="minorHAnsi" w:hAnsiTheme="minorHAnsi" w:cs="Arial"/>
          <w:color w:val="221E1F"/>
          <w:lang w:eastAsia="en-US"/>
        </w:rPr>
        <w:t>(3):383-92.</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Mathews V, Viswabandya A, Baidya S, George B, Nair S, Chandy M, Srivastava A. Surgery for hemophilia in developing countries. </w:t>
      </w:r>
      <w:r w:rsidRPr="004B228A">
        <w:rPr>
          <w:rFonts w:asciiTheme="minorHAnsi" w:hAnsiTheme="minorHAnsi" w:cs="Arial"/>
          <w:i/>
          <w:iCs/>
          <w:color w:val="221E1F"/>
          <w:lang w:eastAsia="en-US"/>
        </w:rPr>
        <w:t xml:space="preserve">Semin Thromb Hemost </w:t>
      </w:r>
      <w:r w:rsidRPr="004B228A">
        <w:rPr>
          <w:rFonts w:asciiTheme="minorHAnsi" w:hAnsiTheme="minorHAnsi" w:cs="Arial"/>
          <w:color w:val="221E1F"/>
          <w:lang w:eastAsia="en-US"/>
        </w:rPr>
        <w:t>2005 Nov</w:t>
      </w:r>
      <w:proofErr w:type="gramStart"/>
      <w:r w:rsidRPr="004B228A">
        <w:rPr>
          <w:rFonts w:asciiTheme="minorHAnsi" w:hAnsiTheme="minorHAnsi" w:cs="Arial"/>
          <w:color w:val="221E1F"/>
          <w:lang w:eastAsia="en-US"/>
        </w:rPr>
        <w:t>;31</w:t>
      </w:r>
      <w:proofErr w:type="gramEnd"/>
      <w:r w:rsidRPr="004B228A">
        <w:rPr>
          <w:rFonts w:asciiTheme="minorHAnsi" w:hAnsiTheme="minorHAnsi" w:cs="Arial"/>
          <w:color w:val="221E1F"/>
          <w:lang w:eastAsia="en-US"/>
        </w:rPr>
        <w:t>(5):538-43.</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041ED2">
        <w:rPr>
          <w:rFonts w:asciiTheme="minorHAnsi" w:hAnsiTheme="minorHAnsi" w:cs="Arial"/>
          <w:color w:val="221E1F"/>
          <w:lang w:val="fr-FR" w:eastAsia="en-US"/>
        </w:rPr>
        <w:t xml:space="preserve">Gomis M, Querol F, Gallach JE, Gonzalez LM, Aznar JA. </w:t>
      </w:r>
      <w:r w:rsidRPr="004B228A">
        <w:rPr>
          <w:rFonts w:asciiTheme="minorHAnsi" w:hAnsiTheme="minorHAnsi" w:cs="Arial"/>
          <w:color w:val="221E1F"/>
          <w:lang w:eastAsia="en-US"/>
        </w:rPr>
        <w:t xml:space="preserve">Exercise and sport in the treatment of haemophilic patients: a systematic review.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2009</w:t>
      </w:r>
      <w:proofErr w:type="gramStart"/>
      <w:r w:rsidRPr="004B228A">
        <w:rPr>
          <w:rFonts w:asciiTheme="minorHAnsi" w:hAnsiTheme="minorHAnsi" w:cs="Arial"/>
          <w:color w:val="221E1F"/>
          <w:lang w:eastAsia="en-US"/>
        </w:rPr>
        <w:t>;15</w:t>
      </w:r>
      <w:proofErr w:type="gramEnd"/>
      <w:r w:rsidRPr="004B228A">
        <w:rPr>
          <w:rFonts w:asciiTheme="minorHAnsi" w:hAnsiTheme="minorHAnsi" w:cs="Arial"/>
          <w:color w:val="221E1F"/>
          <w:lang w:eastAsia="en-US"/>
        </w:rPr>
        <w:t>(1):43-54.</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Mulder K. Exercises for People with Hemophilia. Montreal: World Federation of Hemophilia 2006.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Heijnen L, Buzzard BB. The role of physical therapy and rehabilitation in the management of hemophilia in developing countries. </w:t>
      </w:r>
      <w:r w:rsidRPr="004B228A">
        <w:rPr>
          <w:rFonts w:asciiTheme="minorHAnsi" w:hAnsiTheme="minorHAnsi" w:cs="Arial"/>
          <w:i/>
          <w:iCs/>
          <w:color w:val="221E1F"/>
          <w:lang w:eastAsia="en-US"/>
        </w:rPr>
        <w:t xml:space="preserve">Semin Thromb Hemost </w:t>
      </w:r>
      <w:r w:rsidRPr="004B228A">
        <w:rPr>
          <w:rFonts w:asciiTheme="minorHAnsi" w:hAnsiTheme="minorHAnsi" w:cs="Arial"/>
          <w:color w:val="221E1F"/>
          <w:lang w:eastAsia="en-US"/>
        </w:rPr>
        <w:t>2005</w:t>
      </w:r>
      <w:proofErr w:type="gramStart"/>
      <w:r w:rsidRPr="004B228A">
        <w:rPr>
          <w:rFonts w:asciiTheme="minorHAnsi" w:hAnsiTheme="minorHAnsi" w:cs="Arial"/>
          <w:color w:val="221E1F"/>
          <w:lang w:eastAsia="en-US"/>
        </w:rPr>
        <w:t>;31</w:t>
      </w:r>
      <w:proofErr w:type="gramEnd"/>
      <w:r w:rsidRPr="004B228A">
        <w:rPr>
          <w:rFonts w:asciiTheme="minorHAnsi" w:hAnsiTheme="minorHAnsi" w:cs="Arial"/>
          <w:color w:val="221E1F"/>
          <w:lang w:eastAsia="en-US"/>
        </w:rPr>
        <w:t>(5):513-7.</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Ingram GI, Mathews JA, Bennett AE. Controlled trial of joint aspiration in acute haemophilic haemarthrosis. </w:t>
      </w:r>
      <w:r w:rsidRPr="004B228A">
        <w:rPr>
          <w:rFonts w:asciiTheme="minorHAnsi" w:hAnsiTheme="minorHAnsi" w:cs="Arial"/>
          <w:i/>
          <w:iCs/>
          <w:color w:val="221E1F"/>
          <w:lang w:eastAsia="en-US"/>
        </w:rPr>
        <w:t xml:space="preserve">Ann Rheum Dis </w:t>
      </w:r>
      <w:r w:rsidRPr="004B228A">
        <w:rPr>
          <w:rFonts w:asciiTheme="minorHAnsi" w:hAnsiTheme="minorHAnsi" w:cs="Arial"/>
          <w:color w:val="221E1F"/>
          <w:lang w:eastAsia="en-US"/>
        </w:rPr>
        <w:t>1972</w:t>
      </w:r>
      <w:proofErr w:type="gramStart"/>
      <w:r w:rsidRPr="004B228A">
        <w:rPr>
          <w:rFonts w:asciiTheme="minorHAnsi" w:hAnsiTheme="minorHAnsi" w:cs="Arial"/>
          <w:color w:val="221E1F"/>
          <w:lang w:eastAsia="en-US"/>
        </w:rPr>
        <w:t>;31:423</w:t>
      </w:r>
      <w:proofErr w:type="gramEnd"/>
      <w:r w:rsidRPr="004B228A">
        <w:rPr>
          <w:rFonts w:asciiTheme="minorHAnsi" w:hAnsiTheme="minorHAnsi" w:cs="Arial"/>
          <w:color w:val="221E1F"/>
          <w:lang w:eastAsia="en-US"/>
        </w:rPr>
        <w:t xml:space="preserve">.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Rodriguez-Merchan EC. Aspects of current management: orthopaedic surgery in haemophilia.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2012</w:t>
      </w:r>
      <w:proofErr w:type="gramStart"/>
      <w:r w:rsidRPr="004B228A">
        <w:rPr>
          <w:rFonts w:asciiTheme="minorHAnsi" w:hAnsiTheme="minorHAnsi" w:cs="Arial"/>
          <w:color w:val="221E1F"/>
          <w:lang w:eastAsia="en-US"/>
        </w:rPr>
        <w:t>;18</w:t>
      </w:r>
      <w:proofErr w:type="gramEnd"/>
      <w:r w:rsidRPr="004B228A">
        <w:rPr>
          <w:rFonts w:asciiTheme="minorHAnsi" w:hAnsiTheme="minorHAnsi" w:cs="Arial"/>
          <w:color w:val="221E1F"/>
          <w:lang w:eastAsia="en-US"/>
        </w:rPr>
        <w:t xml:space="preserve">(1):8-16.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Aronstam A, Browne RS, Wassef M, Hamad Z. The clinical features of early bleeding into the muscles of the lower limb in severe haemophiliacs. </w:t>
      </w:r>
      <w:r w:rsidRPr="004B228A">
        <w:rPr>
          <w:rFonts w:asciiTheme="minorHAnsi" w:hAnsiTheme="minorHAnsi" w:cs="Arial"/>
          <w:i/>
          <w:iCs/>
          <w:color w:val="221E1F"/>
          <w:lang w:eastAsia="en-US"/>
        </w:rPr>
        <w:t xml:space="preserve">J Bone Joint Surgery </w:t>
      </w:r>
      <w:r w:rsidRPr="004B228A">
        <w:rPr>
          <w:rFonts w:asciiTheme="minorHAnsi" w:hAnsiTheme="minorHAnsi" w:cs="Arial"/>
          <w:color w:val="221E1F"/>
          <w:lang w:eastAsia="en-US"/>
        </w:rPr>
        <w:t>1983</w:t>
      </w:r>
      <w:proofErr w:type="gramStart"/>
      <w:r w:rsidRPr="004B228A">
        <w:rPr>
          <w:rFonts w:asciiTheme="minorHAnsi" w:hAnsiTheme="minorHAnsi" w:cs="Arial"/>
          <w:color w:val="221E1F"/>
          <w:lang w:eastAsia="en-US"/>
        </w:rPr>
        <w:t>;65</w:t>
      </w:r>
      <w:proofErr w:type="gramEnd"/>
      <w:r w:rsidRPr="004B228A">
        <w:rPr>
          <w:rFonts w:asciiTheme="minorHAnsi" w:hAnsiTheme="minorHAnsi" w:cs="Arial"/>
          <w:color w:val="221E1F"/>
          <w:lang w:eastAsia="en-US"/>
        </w:rPr>
        <w:t xml:space="preserve">-B(1):19-23.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Beyer R, Ingerslev J, Sørensen B. Current practice in the management of muscle haematomas in patients with severe haemophilia.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2010</w:t>
      </w:r>
      <w:proofErr w:type="gramStart"/>
      <w:r w:rsidRPr="004B228A">
        <w:rPr>
          <w:rFonts w:asciiTheme="minorHAnsi" w:hAnsiTheme="minorHAnsi" w:cs="Arial"/>
          <w:color w:val="221E1F"/>
          <w:lang w:eastAsia="en-US"/>
        </w:rPr>
        <w:t>;16</w:t>
      </w:r>
      <w:proofErr w:type="gramEnd"/>
      <w:r w:rsidRPr="004B228A">
        <w:rPr>
          <w:rFonts w:asciiTheme="minorHAnsi" w:hAnsiTheme="minorHAnsi" w:cs="Arial"/>
          <w:color w:val="221E1F"/>
          <w:lang w:eastAsia="en-US"/>
        </w:rPr>
        <w:t xml:space="preserve">(6):926-31.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Railton GT, Aronstam A. Early bleeding into upper limb muscles in severe haemophilia clinical features and treatment. </w:t>
      </w:r>
      <w:r w:rsidRPr="004B228A">
        <w:rPr>
          <w:rFonts w:asciiTheme="minorHAnsi" w:hAnsiTheme="minorHAnsi" w:cs="Arial"/>
          <w:i/>
          <w:iCs/>
          <w:color w:val="221E1F"/>
          <w:lang w:eastAsia="en-US"/>
        </w:rPr>
        <w:t xml:space="preserve">J Bone Joint Surgery </w:t>
      </w:r>
      <w:r w:rsidRPr="004B228A">
        <w:rPr>
          <w:rFonts w:asciiTheme="minorHAnsi" w:hAnsiTheme="minorHAnsi" w:cs="Arial"/>
          <w:color w:val="221E1F"/>
          <w:lang w:eastAsia="en-US"/>
        </w:rPr>
        <w:t>1987</w:t>
      </w:r>
      <w:proofErr w:type="gramStart"/>
      <w:r w:rsidRPr="004B228A">
        <w:rPr>
          <w:rFonts w:asciiTheme="minorHAnsi" w:hAnsiTheme="minorHAnsi" w:cs="Arial"/>
          <w:color w:val="221E1F"/>
          <w:lang w:eastAsia="en-US"/>
        </w:rPr>
        <w:t>;69</w:t>
      </w:r>
      <w:proofErr w:type="gramEnd"/>
      <w:r w:rsidRPr="004B228A">
        <w:rPr>
          <w:rFonts w:asciiTheme="minorHAnsi" w:hAnsiTheme="minorHAnsi" w:cs="Arial"/>
          <w:color w:val="221E1F"/>
          <w:lang w:eastAsia="en-US"/>
        </w:rPr>
        <w:t xml:space="preserve">-B(1):100-102.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Rodriguez-Merchan EC. Musculoskeletal complications of hemophilia. </w:t>
      </w:r>
      <w:r w:rsidRPr="004B228A">
        <w:rPr>
          <w:rFonts w:asciiTheme="minorHAnsi" w:hAnsiTheme="minorHAnsi" w:cs="Arial"/>
          <w:i/>
          <w:iCs/>
          <w:color w:val="221E1F"/>
          <w:lang w:eastAsia="en-US"/>
        </w:rPr>
        <w:t xml:space="preserve">HSSJ </w:t>
      </w:r>
      <w:r w:rsidRPr="004B228A">
        <w:rPr>
          <w:rFonts w:asciiTheme="minorHAnsi" w:hAnsiTheme="minorHAnsi" w:cs="Arial"/>
          <w:color w:val="221E1F"/>
          <w:lang w:eastAsia="en-US"/>
        </w:rPr>
        <w:t>2010</w:t>
      </w:r>
      <w:proofErr w:type="gramStart"/>
      <w:r w:rsidRPr="004B228A">
        <w:rPr>
          <w:rFonts w:asciiTheme="minorHAnsi" w:hAnsiTheme="minorHAnsi" w:cs="Arial"/>
          <w:color w:val="221E1F"/>
          <w:lang w:eastAsia="en-US"/>
        </w:rPr>
        <w:t>;6:37</w:t>
      </w:r>
      <w:proofErr w:type="gramEnd"/>
      <w:r w:rsidRPr="004B228A">
        <w:rPr>
          <w:rFonts w:asciiTheme="minorHAnsi" w:hAnsiTheme="minorHAnsi" w:cs="Arial"/>
          <w:color w:val="221E1F"/>
          <w:lang w:eastAsia="en-US"/>
        </w:rPr>
        <w:t xml:space="preserve">–42.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Singleton T, Kruse-Jarres R, Leissinger C. Emergency department care for patients with hemophilia and von Willebrand disease. </w:t>
      </w:r>
      <w:r w:rsidRPr="004B228A">
        <w:rPr>
          <w:rFonts w:asciiTheme="minorHAnsi" w:hAnsiTheme="minorHAnsi" w:cs="Arial"/>
          <w:i/>
          <w:iCs/>
          <w:color w:val="221E1F"/>
          <w:lang w:eastAsia="en-US"/>
        </w:rPr>
        <w:t xml:space="preserve">J Emerg Med </w:t>
      </w:r>
      <w:r w:rsidRPr="004B228A">
        <w:rPr>
          <w:rFonts w:asciiTheme="minorHAnsi" w:hAnsiTheme="minorHAnsi" w:cs="Arial"/>
          <w:color w:val="221E1F"/>
          <w:lang w:eastAsia="en-US"/>
        </w:rPr>
        <w:t>2010 Aug</w:t>
      </w:r>
      <w:proofErr w:type="gramStart"/>
      <w:r w:rsidRPr="004B228A">
        <w:rPr>
          <w:rFonts w:asciiTheme="minorHAnsi" w:hAnsiTheme="minorHAnsi" w:cs="Arial"/>
          <w:color w:val="221E1F"/>
          <w:lang w:eastAsia="en-US"/>
        </w:rPr>
        <w:t>;39</w:t>
      </w:r>
      <w:proofErr w:type="gramEnd"/>
      <w:r w:rsidRPr="004B228A">
        <w:rPr>
          <w:rFonts w:asciiTheme="minorHAnsi" w:hAnsiTheme="minorHAnsi" w:cs="Arial"/>
          <w:color w:val="221E1F"/>
          <w:lang w:eastAsia="en-US"/>
        </w:rPr>
        <w:t xml:space="preserve">(2):158-65.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Llinás A, Silva M, Pasta G, </w:t>
      </w:r>
      <w:proofErr w:type="gramStart"/>
      <w:r w:rsidRPr="004B228A">
        <w:rPr>
          <w:rFonts w:asciiTheme="minorHAnsi" w:hAnsiTheme="minorHAnsi" w:cs="Arial"/>
          <w:color w:val="221E1F"/>
          <w:lang w:eastAsia="en-US"/>
        </w:rPr>
        <w:t>Luck</w:t>
      </w:r>
      <w:proofErr w:type="gramEnd"/>
      <w:r w:rsidRPr="004B228A">
        <w:rPr>
          <w:rFonts w:asciiTheme="minorHAnsi" w:hAnsiTheme="minorHAnsi" w:cs="Arial"/>
          <w:color w:val="221E1F"/>
          <w:lang w:eastAsia="en-US"/>
        </w:rPr>
        <w:t xml:space="preserve"> JV, et al. Controversial subjects in musculoskeletal care of haemophilia: cross fire.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2010</w:t>
      </w:r>
      <w:proofErr w:type="gramStart"/>
      <w:r w:rsidRPr="004B228A">
        <w:rPr>
          <w:rFonts w:asciiTheme="minorHAnsi" w:hAnsiTheme="minorHAnsi" w:cs="Arial"/>
          <w:color w:val="221E1F"/>
          <w:lang w:eastAsia="en-US"/>
        </w:rPr>
        <w:t>;16</w:t>
      </w:r>
      <w:proofErr w:type="gramEnd"/>
      <w:r w:rsidRPr="004B228A">
        <w:rPr>
          <w:rFonts w:asciiTheme="minorHAnsi" w:hAnsiTheme="minorHAnsi" w:cs="Arial"/>
          <w:color w:val="221E1F"/>
          <w:lang w:eastAsia="en-US"/>
        </w:rPr>
        <w:t xml:space="preserve">(Suppl 5):132-5.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Rodriguez-Merchan EC. Orthopedic management in hemophilia: a Spanish outlook. </w:t>
      </w:r>
      <w:r w:rsidRPr="004B228A">
        <w:rPr>
          <w:rFonts w:asciiTheme="minorHAnsi" w:hAnsiTheme="minorHAnsi" w:cs="Arial"/>
          <w:i/>
          <w:iCs/>
          <w:color w:val="221E1F"/>
          <w:lang w:eastAsia="en-US"/>
        </w:rPr>
        <w:t xml:space="preserve">Semin Hematol </w:t>
      </w:r>
      <w:r w:rsidRPr="004B228A">
        <w:rPr>
          <w:rFonts w:asciiTheme="minorHAnsi" w:hAnsiTheme="minorHAnsi" w:cs="Arial"/>
          <w:color w:val="221E1F"/>
          <w:lang w:eastAsia="en-US"/>
        </w:rPr>
        <w:t>2008</w:t>
      </w:r>
      <w:proofErr w:type="gramStart"/>
      <w:r w:rsidRPr="004B228A">
        <w:rPr>
          <w:rFonts w:asciiTheme="minorHAnsi" w:hAnsiTheme="minorHAnsi" w:cs="Arial"/>
          <w:color w:val="221E1F"/>
          <w:lang w:eastAsia="en-US"/>
        </w:rPr>
        <w:t>;45</w:t>
      </w:r>
      <w:proofErr w:type="gramEnd"/>
      <w:r w:rsidRPr="004B228A">
        <w:rPr>
          <w:rFonts w:asciiTheme="minorHAnsi" w:hAnsiTheme="minorHAnsi" w:cs="Arial"/>
          <w:color w:val="221E1F"/>
          <w:lang w:eastAsia="en-US"/>
        </w:rPr>
        <w:t xml:space="preserve">(2 Suppl 1):S58-63.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Blamey G, Forsyth A, Zourikian N, et al. Comprehensive elements of a physiotherapy exercise programme in haemophilia—a global perspective.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2010</w:t>
      </w:r>
      <w:proofErr w:type="gramStart"/>
      <w:r w:rsidRPr="004B228A">
        <w:rPr>
          <w:rFonts w:asciiTheme="minorHAnsi" w:hAnsiTheme="minorHAnsi" w:cs="Arial"/>
          <w:color w:val="221E1F"/>
          <w:lang w:eastAsia="en-US"/>
        </w:rPr>
        <w:t>;16</w:t>
      </w:r>
      <w:proofErr w:type="gramEnd"/>
      <w:r w:rsidRPr="004B228A">
        <w:rPr>
          <w:rFonts w:asciiTheme="minorHAnsi" w:hAnsiTheme="minorHAnsi" w:cs="Arial"/>
          <w:color w:val="221E1F"/>
          <w:lang w:eastAsia="en-US"/>
        </w:rPr>
        <w:t xml:space="preserve">(Suppl 5):136-45.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Beeton K, Cornwell J, Alltree J. Rehabilitation of muscle dysfunction in hemophilia, 2nd edn. World Federation of Hemophilia Treatment of Hemophlia monograph 24. Montreal: World Federation of Hemophilia, 2012.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Ashrani AA, Osip J, Christie B, Key NS. Iliopsoas haemorrhage in patients with bleeding disorders- -experience from one centre.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2003</w:t>
      </w:r>
      <w:proofErr w:type="gramStart"/>
      <w:r w:rsidRPr="004B228A">
        <w:rPr>
          <w:rFonts w:asciiTheme="minorHAnsi" w:hAnsiTheme="minorHAnsi" w:cs="Arial"/>
          <w:color w:val="221E1F"/>
          <w:lang w:eastAsia="en-US"/>
        </w:rPr>
        <w:t>;9</w:t>
      </w:r>
      <w:proofErr w:type="gramEnd"/>
      <w:r w:rsidRPr="004B228A">
        <w:rPr>
          <w:rFonts w:asciiTheme="minorHAnsi" w:hAnsiTheme="minorHAnsi" w:cs="Arial"/>
          <w:color w:val="221E1F"/>
          <w:lang w:eastAsia="en-US"/>
        </w:rPr>
        <w:t xml:space="preserve">(6):721-6.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lastRenderedPageBreak/>
        <w:t xml:space="preserve">Balkan C, Kavakli K, Karapinar D. Iliopsoas haemorrhage in patients with haemophilia: results from one centre.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2005</w:t>
      </w:r>
      <w:proofErr w:type="gramStart"/>
      <w:r w:rsidRPr="004B228A">
        <w:rPr>
          <w:rFonts w:asciiTheme="minorHAnsi" w:hAnsiTheme="minorHAnsi" w:cs="Arial"/>
          <w:color w:val="221E1F"/>
          <w:lang w:eastAsia="en-US"/>
        </w:rPr>
        <w:t>;11</w:t>
      </w:r>
      <w:proofErr w:type="gramEnd"/>
      <w:r w:rsidRPr="004B228A">
        <w:rPr>
          <w:rFonts w:asciiTheme="minorHAnsi" w:hAnsiTheme="minorHAnsi" w:cs="Arial"/>
          <w:color w:val="221E1F"/>
          <w:lang w:eastAsia="en-US"/>
        </w:rPr>
        <w:t xml:space="preserve">(5):463-7.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041ED2">
        <w:rPr>
          <w:rFonts w:asciiTheme="minorHAnsi" w:hAnsiTheme="minorHAnsi" w:cs="Arial"/>
          <w:color w:val="221E1F"/>
          <w:lang w:val="fr-FR" w:eastAsia="en-US"/>
        </w:rPr>
        <w:t xml:space="preserve">Fernandez-Palazzi F, Hernandez SR, De Bosch NB, De Saez AR. </w:t>
      </w:r>
      <w:r w:rsidRPr="004B228A">
        <w:rPr>
          <w:rFonts w:asciiTheme="minorHAnsi" w:hAnsiTheme="minorHAnsi" w:cs="Arial"/>
          <w:color w:val="221E1F"/>
          <w:lang w:eastAsia="en-US"/>
        </w:rPr>
        <w:t xml:space="preserve">Hematomas within the iliopsoas muscles in hemophilic patients: the Latin American experience. </w:t>
      </w:r>
      <w:r w:rsidRPr="004B228A">
        <w:rPr>
          <w:rFonts w:asciiTheme="minorHAnsi" w:hAnsiTheme="minorHAnsi" w:cs="Arial"/>
          <w:i/>
          <w:iCs/>
          <w:color w:val="221E1F"/>
          <w:lang w:eastAsia="en-US"/>
        </w:rPr>
        <w:t xml:space="preserve">Clin Orthop Relat Res </w:t>
      </w:r>
      <w:proofErr w:type="gramStart"/>
      <w:r w:rsidRPr="004B228A">
        <w:rPr>
          <w:rFonts w:asciiTheme="minorHAnsi" w:hAnsiTheme="minorHAnsi" w:cs="Arial"/>
          <w:color w:val="221E1F"/>
          <w:lang w:eastAsia="en-US"/>
        </w:rPr>
        <w:t>1996;</w:t>
      </w:r>
      <w:proofErr w:type="gramEnd"/>
      <w:r w:rsidRPr="004B228A">
        <w:rPr>
          <w:rFonts w:asciiTheme="minorHAnsi" w:hAnsiTheme="minorHAnsi" w:cs="Arial"/>
          <w:color w:val="221E1F"/>
          <w:lang w:eastAsia="en-US"/>
        </w:rPr>
        <w:t xml:space="preserve">(328):19-24.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Ljung RC. Intracranial haemorrhage in haemophilia A and B. </w:t>
      </w:r>
      <w:r w:rsidRPr="004B228A">
        <w:rPr>
          <w:rFonts w:asciiTheme="minorHAnsi" w:hAnsiTheme="minorHAnsi" w:cs="Arial"/>
          <w:i/>
          <w:iCs/>
          <w:color w:val="221E1F"/>
          <w:lang w:eastAsia="en-US"/>
        </w:rPr>
        <w:t xml:space="preserve">Br J Haematol </w:t>
      </w:r>
      <w:r w:rsidRPr="004B228A">
        <w:rPr>
          <w:rFonts w:asciiTheme="minorHAnsi" w:hAnsiTheme="minorHAnsi" w:cs="Arial"/>
          <w:color w:val="221E1F"/>
          <w:lang w:eastAsia="en-US"/>
        </w:rPr>
        <w:t>2008</w:t>
      </w:r>
      <w:proofErr w:type="gramStart"/>
      <w:r w:rsidRPr="004B228A">
        <w:rPr>
          <w:rFonts w:asciiTheme="minorHAnsi" w:hAnsiTheme="minorHAnsi" w:cs="Arial"/>
          <w:color w:val="221E1F"/>
          <w:lang w:eastAsia="en-US"/>
        </w:rPr>
        <w:t>;140</w:t>
      </w:r>
      <w:proofErr w:type="gramEnd"/>
      <w:r w:rsidRPr="004B228A">
        <w:rPr>
          <w:rFonts w:asciiTheme="minorHAnsi" w:hAnsiTheme="minorHAnsi" w:cs="Arial"/>
          <w:color w:val="221E1F"/>
          <w:lang w:eastAsia="en-US"/>
        </w:rPr>
        <w:t xml:space="preserve">(4):378-84.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Nakar C, Cooper DL, DiMichele D. Recombinant activated factor VII safety and efficacy in the treatment of cranial haemorrhage in patients with congenital haemophilia with inhibitors: an analysis of the Hemophilia and Thrombosis Research Society Registry (2004-2008).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2010</w:t>
      </w:r>
      <w:proofErr w:type="gramStart"/>
      <w:r w:rsidRPr="004B228A">
        <w:rPr>
          <w:rFonts w:asciiTheme="minorHAnsi" w:hAnsiTheme="minorHAnsi" w:cs="Arial"/>
          <w:color w:val="221E1F"/>
          <w:lang w:eastAsia="en-US"/>
        </w:rPr>
        <w:t>;16</w:t>
      </w:r>
      <w:proofErr w:type="gramEnd"/>
      <w:r w:rsidRPr="004B228A">
        <w:rPr>
          <w:rFonts w:asciiTheme="minorHAnsi" w:hAnsiTheme="minorHAnsi" w:cs="Arial"/>
          <w:color w:val="221E1F"/>
          <w:lang w:eastAsia="en-US"/>
        </w:rPr>
        <w:t xml:space="preserve">(4):625-31.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Patiroglu T, Ozdemir MA, Unal E, Altuner Torun Y, Coskun A, Menku A, Mutlu FT, Karakukcu M. Intracranial hemorrhage in children with congenital factor deficiencies. </w:t>
      </w:r>
      <w:r w:rsidRPr="004B228A">
        <w:rPr>
          <w:rFonts w:asciiTheme="minorHAnsi" w:hAnsiTheme="minorHAnsi" w:cs="Arial"/>
          <w:i/>
          <w:iCs/>
          <w:color w:val="221E1F"/>
          <w:lang w:eastAsia="en-US"/>
        </w:rPr>
        <w:t xml:space="preserve">Childs Nerv Syst </w:t>
      </w:r>
      <w:r w:rsidRPr="004B228A">
        <w:rPr>
          <w:rFonts w:asciiTheme="minorHAnsi" w:hAnsiTheme="minorHAnsi" w:cs="Arial"/>
          <w:color w:val="221E1F"/>
          <w:lang w:eastAsia="en-US"/>
        </w:rPr>
        <w:t>2011</w:t>
      </w:r>
      <w:proofErr w:type="gramStart"/>
      <w:r w:rsidRPr="004B228A">
        <w:rPr>
          <w:rFonts w:asciiTheme="minorHAnsi" w:hAnsiTheme="minorHAnsi" w:cs="Arial"/>
          <w:color w:val="221E1F"/>
          <w:lang w:eastAsia="en-US"/>
        </w:rPr>
        <w:t>;27</w:t>
      </w:r>
      <w:proofErr w:type="gramEnd"/>
      <w:r w:rsidRPr="004B228A">
        <w:rPr>
          <w:rFonts w:asciiTheme="minorHAnsi" w:hAnsiTheme="minorHAnsi" w:cs="Arial"/>
          <w:color w:val="221E1F"/>
          <w:lang w:eastAsia="en-US"/>
        </w:rPr>
        <w:t xml:space="preserve">(11):1963-6.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Zanon E, Iorio A, Rocino A, Artoni A, Santoro R, Tagliaferri A, Coppola A, Castaman G, Mannucci PM; the Italian Association of Hemophilia Centers. Intracranial haemorrhage in the Italian population of haemophilia patients with and without inhibitors.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2012</w:t>
      </w:r>
      <w:proofErr w:type="gramStart"/>
      <w:r w:rsidRPr="004B228A">
        <w:rPr>
          <w:rFonts w:asciiTheme="minorHAnsi" w:hAnsiTheme="minorHAnsi" w:cs="Arial"/>
          <w:color w:val="221E1F"/>
          <w:lang w:eastAsia="en-US"/>
        </w:rPr>
        <w:t>;18</w:t>
      </w:r>
      <w:proofErr w:type="gramEnd"/>
      <w:r w:rsidRPr="004B228A">
        <w:rPr>
          <w:rFonts w:asciiTheme="minorHAnsi" w:hAnsiTheme="minorHAnsi" w:cs="Arial"/>
          <w:color w:val="221E1F"/>
          <w:lang w:eastAsia="en-US"/>
        </w:rPr>
        <w:t xml:space="preserve">(1):39-45.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Traivaree C, Blanchette V, Armstrong D, et al. </w:t>
      </w:r>
      <w:proofErr w:type="gramStart"/>
      <w:r w:rsidRPr="004B228A">
        <w:rPr>
          <w:rFonts w:asciiTheme="minorHAnsi" w:hAnsiTheme="minorHAnsi" w:cs="Arial"/>
          <w:color w:val="221E1F"/>
          <w:lang w:eastAsia="en-US"/>
        </w:rPr>
        <w:t>Intracranial</w:t>
      </w:r>
      <w:proofErr w:type="gramEnd"/>
      <w:r w:rsidRPr="004B228A">
        <w:rPr>
          <w:rFonts w:asciiTheme="minorHAnsi" w:hAnsiTheme="minorHAnsi" w:cs="Arial"/>
          <w:color w:val="221E1F"/>
          <w:lang w:eastAsia="en-US"/>
        </w:rPr>
        <w:t xml:space="preserve"> bleeding in haemophilia beyond the neonatal period--the role of CT imageing in suspected intracranial bleeding.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2007</w:t>
      </w:r>
      <w:proofErr w:type="gramStart"/>
      <w:r w:rsidRPr="004B228A">
        <w:rPr>
          <w:rFonts w:asciiTheme="minorHAnsi" w:hAnsiTheme="minorHAnsi" w:cs="Arial"/>
          <w:color w:val="221E1F"/>
          <w:lang w:eastAsia="en-US"/>
        </w:rPr>
        <w:t>;13</w:t>
      </w:r>
      <w:proofErr w:type="gramEnd"/>
      <w:r w:rsidRPr="004B228A">
        <w:rPr>
          <w:rFonts w:asciiTheme="minorHAnsi" w:hAnsiTheme="minorHAnsi" w:cs="Arial"/>
          <w:color w:val="221E1F"/>
          <w:lang w:eastAsia="en-US"/>
        </w:rPr>
        <w:t xml:space="preserve">(5):552-9.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Witmer CM, Manno CS, Butler RB, Raffini LJ. The clinical management of hemophilia and head trauma: a survey of current clinical practice among pediatric hematology/oncology physicians. </w:t>
      </w:r>
      <w:r w:rsidRPr="004B228A">
        <w:rPr>
          <w:rFonts w:asciiTheme="minorHAnsi" w:hAnsiTheme="minorHAnsi" w:cs="Arial"/>
          <w:i/>
          <w:iCs/>
          <w:color w:val="221E1F"/>
          <w:lang w:eastAsia="en-US"/>
        </w:rPr>
        <w:t xml:space="preserve">Pediatr Blood Cancer </w:t>
      </w:r>
      <w:r w:rsidRPr="004B228A">
        <w:rPr>
          <w:rFonts w:asciiTheme="minorHAnsi" w:hAnsiTheme="minorHAnsi" w:cs="Arial"/>
          <w:color w:val="221E1F"/>
          <w:lang w:eastAsia="en-US"/>
        </w:rPr>
        <w:t>2009</w:t>
      </w:r>
      <w:proofErr w:type="gramStart"/>
      <w:r w:rsidRPr="004B228A">
        <w:rPr>
          <w:rFonts w:asciiTheme="minorHAnsi" w:hAnsiTheme="minorHAnsi" w:cs="Arial"/>
          <w:color w:val="221E1F"/>
          <w:lang w:eastAsia="en-US"/>
        </w:rPr>
        <w:t>;53</w:t>
      </w:r>
      <w:proofErr w:type="gramEnd"/>
      <w:r w:rsidRPr="004B228A">
        <w:rPr>
          <w:rFonts w:asciiTheme="minorHAnsi" w:hAnsiTheme="minorHAnsi" w:cs="Arial"/>
          <w:color w:val="221E1F"/>
          <w:lang w:eastAsia="en-US"/>
        </w:rPr>
        <w:t xml:space="preserve">(3):406-10.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Bush MT, Roy N. Hemophilia emergencies. </w:t>
      </w:r>
      <w:r w:rsidRPr="004B228A">
        <w:rPr>
          <w:rFonts w:asciiTheme="minorHAnsi" w:hAnsiTheme="minorHAnsi" w:cs="Arial"/>
          <w:i/>
          <w:iCs/>
          <w:color w:val="221E1F"/>
          <w:lang w:eastAsia="en-US"/>
        </w:rPr>
        <w:t xml:space="preserve">J Emerg Nurs </w:t>
      </w:r>
      <w:r w:rsidRPr="004B228A">
        <w:rPr>
          <w:rFonts w:asciiTheme="minorHAnsi" w:hAnsiTheme="minorHAnsi" w:cs="Arial"/>
          <w:color w:val="221E1F"/>
          <w:lang w:eastAsia="en-US"/>
        </w:rPr>
        <w:t>1995 Dec</w:t>
      </w:r>
      <w:proofErr w:type="gramStart"/>
      <w:r w:rsidRPr="004B228A">
        <w:rPr>
          <w:rFonts w:asciiTheme="minorHAnsi" w:hAnsiTheme="minorHAnsi" w:cs="Arial"/>
          <w:color w:val="221E1F"/>
          <w:lang w:eastAsia="en-US"/>
        </w:rPr>
        <w:t>;21</w:t>
      </w:r>
      <w:proofErr w:type="gramEnd"/>
      <w:r w:rsidRPr="004B228A">
        <w:rPr>
          <w:rFonts w:asciiTheme="minorHAnsi" w:hAnsiTheme="minorHAnsi" w:cs="Arial"/>
          <w:color w:val="221E1F"/>
          <w:lang w:eastAsia="en-US"/>
        </w:rPr>
        <w:t xml:space="preserve">(6):531-8.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Guthrie TH Jr, Sacra JC. Emergency care of the hemophiliac patient. </w:t>
      </w:r>
      <w:r w:rsidRPr="004B228A">
        <w:rPr>
          <w:rFonts w:asciiTheme="minorHAnsi" w:hAnsiTheme="minorHAnsi" w:cs="Arial"/>
          <w:i/>
          <w:iCs/>
          <w:color w:val="221E1F"/>
          <w:lang w:eastAsia="en-US"/>
        </w:rPr>
        <w:t xml:space="preserve">Ann Emerg Med </w:t>
      </w:r>
      <w:r w:rsidRPr="004B228A">
        <w:rPr>
          <w:rFonts w:asciiTheme="minorHAnsi" w:hAnsiTheme="minorHAnsi" w:cs="Arial"/>
          <w:color w:val="221E1F"/>
          <w:lang w:eastAsia="en-US"/>
        </w:rPr>
        <w:t>1980 Sep</w:t>
      </w:r>
      <w:proofErr w:type="gramStart"/>
      <w:r w:rsidRPr="004B228A">
        <w:rPr>
          <w:rFonts w:asciiTheme="minorHAnsi" w:hAnsiTheme="minorHAnsi" w:cs="Arial"/>
          <w:color w:val="221E1F"/>
          <w:lang w:eastAsia="en-US"/>
        </w:rPr>
        <w:t>;9</w:t>
      </w:r>
      <w:proofErr w:type="gramEnd"/>
      <w:r w:rsidRPr="004B228A">
        <w:rPr>
          <w:rFonts w:asciiTheme="minorHAnsi" w:hAnsiTheme="minorHAnsi" w:cs="Arial"/>
          <w:color w:val="221E1F"/>
          <w:lang w:eastAsia="en-US"/>
        </w:rPr>
        <w:t xml:space="preserve">(9):476-9.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Kouides PA, Fogarty PF. How do we treat upper gastrointestinal bleeding in adults with </w:t>
      </w:r>
      <w:proofErr w:type="gramStart"/>
      <w:r w:rsidRPr="004B228A">
        <w:rPr>
          <w:rFonts w:asciiTheme="minorHAnsi" w:hAnsiTheme="minorHAnsi" w:cs="Arial"/>
          <w:color w:val="221E1F"/>
          <w:lang w:eastAsia="en-US"/>
        </w:rPr>
        <w:t>haemophilia.</w:t>
      </w:r>
      <w:proofErr w:type="gramEnd"/>
      <w:r w:rsidRPr="004B228A">
        <w:rPr>
          <w:rFonts w:asciiTheme="minorHAnsi" w:hAnsiTheme="minorHAnsi" w:cs="Arial"/>
          <w:color w:val="221E1F"/>
          <w:lang w:eastAsia="en-US"/>
        </w:rPr>
        <w:t xml:space="preserve">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2010</w:t>
      </w:r>
      <w:proofErr w:type="gramStart"/>
      <w:r w:rsidRPr="004B228A">
        <w:rPr>
          <w:rFonts w:asciiTheme="minorHAnsi" w:hAnsiTheme="minorHAnsi" w:cs="Arial"/>
          <w:color w:val="221E1F"/>
          <w:lang w:eastAsia="en-US"/>
        </w:rPr>
        <w:t>;16</w:t>
      </w:r>
      <w:proofErr w:type="gramEnd"/>
      <w:r w:rsidRPr="004B228A">
        <w:rPr>
          <w:rFonts w:asciiTheme="minorHAnsi" w:hAnsiTheme="minorHAnsi" w:cs="Arial"/>
          <w:color w:val="221E1F"/>
          <w:lang w:eastAsia="en-US"/>
        </w:rPr>
        <w:t xml:space="preserve">(2):360-2.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Mittal R, Spero JA, Lewis JH, Taylor F, Ragni MV, Bontempo FA, Van Thiel DH. Patterns of gastrointestinal hemorrhage in hemophilia. </w:t>
      </w:r>
      <w:r w:rsidRPr="004B228A">
        <w:rPr>
          <w:rFonts w:asciiTheme="minorHAnsi" w:hAnsiTheme="minorHAnsi" w:cs="Arial"/>
          <w:i/>
          <w:iCs/>
          <w:color w:val="221E1F"/>
          <w:lang w:eastAsia="en-US"/>
        </w:rPr>
        <w:t xml:space="preserve">Gastroenterology </w:t>
      </w:r>
      <w:r w:rsidRPr="004B228A">
        <w:rPr>
          <w:rFonts w:asciiTheme="minorHAnsi" w:hAnsiTheme="minorHAnsi" w:cs="Arial"/>
          <w:color w:val="221E1F"/>
          <w:lang w:eastAsia="en-US"/>
        </w:rPr>
        <w:t>1985</w:t>
      </w:r>
      <w:proofErr w:type="gramStart"/>
      <w:r w:rsidRPr="004B228A">
        <w:rPr>
          <w:rFonts w:asciiTheme="minorHAnsi" w:hAnsiTheme="minorHAnsi" w:cs="Arial"/>
          <w:color w:val="221E1F"/>
          <w:lang w:eastAsia="en-US"/>
        </w:rPr>
        <w:t>;88</w:t>
      </w:r>
      <w:proofErr w:type="gramEnd"/>
      <w:r w:rsidRPr="004B228A">
        <w:rPr>
          <w:rFonts w:asciiTheme="minorHAnsi" w:hAnsiTheme="minorHAnsi" w:cs="Arial"/>
          <w:color w:val="221E1F"/>
          <w:lang w:eastAsia="en-US"/>
        </w:rPr>
        <w:t xml:space="preserve">(2):515-22.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Quon DV, Konkle BA. How we treat haematuria in adults with haemophilia.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2010</w:t>
      </w:r>
      <w:proofErr w:type="gramStart"/>
      <w:r w:rsidRPr="004B228A">
        <w:rPr>
          <w:rFonts w:asciiTheme="minorHAnsi" w:hAnsiTheme="minorHAnsi" w:cs="Arial"/>
          <w:color w:val="221E1F"/>
          <w:lang w:eastAsia="en-US"/>
        </w:rPr>
        <w:t>;16</w:t>
      </w:r>
      <w:proofErr w:type="gramEnd"/>
      <w:r w:rsidRPr="004B228A">
        <w:rPr>
          <w:rFonts w:asciiTheme="minorHAnsi" w:hAnsiTheme="minorHAnsi" w:cs="Arial"/>
          <w:color w:val="221E1F"/>
          <w:lang w:eastAsia="en-US"/>
        </w:rPr>
        <w:t xml:space="preserve">(4):683-5.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Ghosh K, Jijina F, Mohanty D. Haematuria and urolithiasis in patients with haemophilia. </w:t>
      </w:r>
      <w:r w:rsidRPr="004B228A">
        <w:rPr>
          <w:rFonts w:asciiTheme="minorHAnsi" w:hAnsiTheme="minorHAnsi" w:cs="Arial"/>
          <w:i/>
          <w:iCs/>
          <w:color w:val="221E1F"/>
          <w:lang w:eastAsia="en-US"/>
        </w:rPr>
        <w:t xml:space="preserve">Eur J Haematol </w:t>
      </w:r>
      <w:r w:rsidRPr="004B228A">
        <w:rPr>
          <w:rFonts w:asciiTheme="minorHAnsi" w:hAnsiTheme="minorHAnsi" w:cs="Arial"/>
          <w:color w:val="221E1F"/>
          <w:lang w:eastAsia="en-US"/>
        </w:rPr>
        <w:t>2003</w:t>
      </w:r>
      <w:proofErr w:type="gramStart"/>
      <w:r w:rsidRPr="004B228A">
        <w:rPr>
          <w:rFonts w:asciiTheme="minorHAnsi" w:hAnsiTheme="minorHAnsi" w:cs="Arial"/>
          <w:color w:val="221E1F"/>
          <w:lang w:eastAsia="en-US"/>
        </w:rPr>
        <w:t>;70</w:t>
      </w:r>
      <w:proofErr w:type="gramEnd"/>
      <w:r w:rsidRPr="004B228A">
        <w:rPr>
          <w:rFonts w:asciiTheme="minorHAnsi" w:hAnsiTheme="minorHAnsi" w:cs="Arial"/>
          <w:color w:val="221E1F"/>
          <w:lang w:eastAsia="en-US"/>
        </w:rPr>
        <w:t xml:space="preserve">(6):410-2.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Kane MJ, Silverman LR, Rand JH, Paciucci PA, Holland JF. Myonecrosis as a complication of the use of epsilon amino-caproic acid: a case report and review of the literature. </w:t>
      </w:r>
      <w:r w:rsidRPr="004B228A">
        <w:rPr>
          <w:rFonts w:asciiTheme="minorHAnsi" w:hAnsiTheme="minorHAnsi" w:cs="Arial"/>
          <w:i/>
          <w:iCs/>
          <w:color w:val="221E1F"/>
          <w:lang w:eastAsia="en-US"/>
        </w:rPr>
        <w:t xml:space="preserve">Am J Med </w:t>
      </w:r>
      <w:r w:rsidRPr="004B228A">
        <w:rPr>
          <w:rFonts w:asciiTheme="minorHAnsi" w:hAnsiTheme="minorHAnsi" w:cs="Arial"/>
          <w:color w:val="221E1F"/>
          <w:lang w:eastAsia="en-US"/>
        </w:rPr>
        <w:t>1988 Dec</w:t>
      </w:r>
      <w:proofErr w:type="gramStart"/>
      <w:r w:rsidRPr="004B228A">
        <w:rPr>
          <w:rFonts w:asciiTheme="minorHAnsi" w:hAnsiTheme="minorHAnsi" w:cs="Arial"/>
          <w:color w:val="221E1F"/>
          <w:lang w:eastAsia="en-US"/>
        </w:rPr>
        <w:t>;85</w:t>
      </w:r>
      <w:proofErr w:type="gramEnd"/>
      <w:r w:rsidRPr="004B228A">
        <w:rPr>
          <w:rFonts w:asciiTheme="minorHAnsi" w:hAnsiTheme="minorHAnsi" w:cs="Arial"/>
          <w:color w:val="221E1F"/>
          <w:lang w:eastAsia="en-US"/>
        </w:rPr>
        <w:t xml:space="preserve">(6):861-3.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Mannucci PM. Hemostatic drugs. </w:t>
      </w:r>
      <w:r w:rsidRPr="004B228A">
        <w:rPr>
          <w:rFonts w:asciiTheme="minorHAnsi" w:hAnsiTheme="minorHAnsi" w:cs="Arial"/>
          <w:i/>
          <w:iCs/>
          <w:color w:val="221E1F"/>
          <w:lang w:eastAsia="en-US"/>
        </w:rPr>
        <w:t xml:space="preserve">N Engl J Med </w:t>
      </w:r>
      <w:r w:rsidRPr="004B228A">
        <w:rPr>
          <w:rFonts w:asciiTheme="minorHAnsi" w:hAnsiTheme="minorHAnsi" w:cs="Arial"/>
          <w:color w:val="221E1F"/>
          <w:lang w:eastAsia="en-US"/>
        </w:rPr>
        <w:t>1998 Jul 23</w:t>
      </w:r>
      <w:proofErr w:type="gramStart"/>
      <w:r w:rsidRPr="004B228A">
        <w:rPr>
          <w:rFonts w:asciiTheme="minorHAnsi" w:hAnsiTheme="minorHAnsi" w:cs="Arial"/>
          <w:color w:val="221E1F"/>
          <w:lang w:eastAsia="en-US"/>
        </w:rPr>
        <w:t>;339</w:t>
      </w:r>
      <w:proofErr w:type="gramEnd"/>
      <w:r w:rsidRPr="004B228A">
        <w:rPr>
          <w:rFonts w:asciiTheme="minorHAnsi" w:hAnsiTheme="minorHAnsi" w:cs="Arial"/>
          <w:color w:val="221E1F"/>
          <w:lang w:eastAsia="en-US"/>
        </w:rPr>
        <w:t xml:space="preserve">(4):245-53.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041ED2">
        <w:rPr>
          <w:rFonts w:asciiTheme="minorHAnsi" w:hAnsiTheme="minorHAnsi" w:cs="Arial"/>
          <w:color w:val="221E1F"/>
          <w:lang w:val="fr-FR" w:eastAsia="en-US"/>
        </w:rPr>
        <w:t xml:space="preserve">Franchini M, Rossetti G, Tagliaferri A, et al. </w:t>
      </w:r>
      <w:r w:rsidRPr="004B228A">
        <w:rPr>
          <w:rFonts w:asciiTheme="minorHAnsi" w:hAnsiTheme="minorHAnsi" w:cs="Arial"/>
          <w:color w:val="221E1F"/>
          <w:lang w:eastAsia="en-US"/>
        </w:rPr>
        <w:t xml:space="preserve">Dental procedures in adult patients with hereditary bleeding disorders: 10 years experience in three Italian Hemophilia Centers.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2005</w:t>
      </w:r>
      <w:proofErr w:type="gramStart"/>
      <w:r w:rsidRPr="004B228A">
        <w:rPr>
          <w:rFonts w:asciiTheme="minorHAnsi" w:hAnsiTheme="minorHAnsi" w:cs="Arial"/>
          <w:color w:val="221E1F"/>
          <w:lang w:eastAsia="en-US"/>
        </w:rPr>
        <w:t>;11:504</w:t>
      </w:r>
      <w:proofErr w:type="gramEnd"/>
      <w:r w:rsidRPr="004B228A">
        <w:rPr>
          <w:rFonts w:asciiTheme="minorHAnsi" w:hAnsiTheme="minorHAnsi" w:cs="Arial"/>
          <w:color w:val="221E1F"/>
          <w:lang w:eastAsia="en-US"/>
        </w:rPr>
        <w:t xml:space="preserve">–9.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Vinall C, Stassen LF. The dental patient with a congenital bleeding disorder. </w:t>
      </w:r>
      <w:r w:rsidRPr="004B228A">
        <w:rPr>
          <w:rFonts w:asciiTheme="minorHAnsi" w:hAnsiTheme="minorHAnsi" w:cs="Arial"/>
          <w:i/>
          <w:iCs/>
          <w:color w:val="221E1F"/>
          <w:lang w:eastAsia="en-US"/>
        </w:rPr>
        <w:t xml:space="preserve">J Ir Dent Assoc </w:t>
      </w:r>
      <w:r w:rsidRPr="004B228A">
        <w:rPr>
          <w:rFonts w:asciiTheme="minorHAnsi" w:hAnsiTheme="minorHAnsi" w:cs="Arial"/>
          <w:color w:val="221E1F"/>
          <w:lang w:eastAsia="en-US"/>
        </w:rPr>
        <w:t>2008 Feb-Mar</w:t>
      </w:r>
      <w:proofErr w:type="gramStart"/>
      <w:r w:rsidRPr="004B228A">
        <w:rPr>
          <w:rFonts w:asciiTheme="minorHAnsi" w:hAnsiTheme="minorHAnsi" w:cs="Arial"/>
          <w:color w:val="221E1F"/>
          <w:lang w:eastAsia="en-US"/>
        </w:rPr>
        <w:t>;54</w:t>
      </w:r>
      <w:proofErr w:type="gramEnd"/>
      <w:r w:rsidRPr="004B228A">
        <w:rPr>
          <w:rFonts w:asciiTheme="minorHAnsi" w:hAnsiTheme="minorHAnsi" w:cs="Arial"/>
          <w:color w:val="221E1F"/>
          <w:lang w:eastAsia="en-US"/>
        </w:rPr>
        <w:t xml:space="preserve">(1):24-8. </w:t>
      </w:r>
    </w:p>
    <w:p w:rsidR="00484EFC" w:rsidRPr="004B228A" w:rsidRDefault="00484EFC" w:rsidP="00484EFC">
      <w:pPr>
        <w:numPr>
          <w:ilvl w:val="0"/>
          <w:numId w:val="60"/>
        </w:numPr>
        <w:autoSpaceDE w:val="0"/>
        <w:autoSpaceDN w:val="0"/>
        <w:adjustRightInd w:val="0"/>
        <w:spacing w:after="0" w:line="276" w:lineRule="auto"/>
        <w:ind w:left="567" w:hanging="425"/>
        <w:rPr>
          <w:rFonts w:asciiTheme="minorHAnsi" w:hAnsiTheme="minorHAnsi" w:cs="Arial"/>
          <w:color w:val="221E1F"/>
          <w:lang w:eastAsia="en-US"/>
        </w:rPr>
      </w:pPr>
      <w:r w:rsidRPr="004B228A">
        <w:rPr>
          <w:rFonts w:asciiTheme="minorHAnsi" w:hAnsiTheme="minorHAnsi" w:cs="Arial"/>
          <w:color w:val="221E1F"/>
          <w:lang w:eastAsia="en-US"/>
        </w:rPr>
        <w:t xml:space="preserve">D’Young AI. Domiciliary application of CryoCuff in severe hemophilia: qualitative questionnaire and clinical audit. </w:t>
      </w:r>
      <w:r w:rsidRPr="004B228A">
        <w:rPr>
          <w:rFonts w:asciiTheme="minorHAnsi" w:hAnsiTheme="minorHAnsi" w:cs="Arial"/>
          <w:i/>
          <w:iCs/>
          <w:color w:val="221E1F"/>
          <w:lang w:eastAsia="en-US"/>
        </w:rPr>
        <w:t xml:space="preserve">Haemophilia </w:t>
      </w:r>
      <w:r w:rsidRPr="004B228A">
        <w:rPr>
          <w:rFonts w:asciiTheme="minorHAnsi" w:hAnsiTheme="minorHAnsi" w:cs="Arial"/>
          <w:color w:val="221E1F"/>
          <w:lang w:eastAsia="en-US"/>
        </w:rPr>
        <w:t>2008; 14:823-7.</w:t>
      </w:r>
    </w:p>
    <w:p w:rsidR="00484EFC" w:rsidRPr="004B228A" w:rsidRDefault="00484EFC" w:rsidP="00484EFC">
      <w:pPr>
        <w:autoSpaceDE w:val="0"/>
        <w:autoSpaceDN w:val="0"/>
        <w:adjustRightInd w:val="0"/>
        <w:spacing w:after="0"/>
        <w:rPr>
          <w:rFonts w:asciiTheme="minorHAnsi" w:hAnsiTheme="minorHAnsi" w:cs="Arial"/>
          <w:color w:val="221E1F"/>
          <w:lang w:eastAsia="en-US"/>
        </w:rPr>
      </w:pPr>
    </w:p>
    <w:p w:rsidR="00484EFC" w:rsidRDefault="00484EFC">
      <w:pPr>
        <w:spacing w:after="200" w:line="276" w:lineRule="auto"/>
        <w:ind w:left="0"/>
      </w:pPr>
      <w:r>
        <w:br w:type="page"/>
      </w:r>
    </w:p>
    <w:p w:rsidR="00484EFC" w:rsidRPr="00041ED2" w:rsidRDefault="00484EFC" w:rsidP="00041ED2">
      <w:pPr>
        <w:pStyle w:val="Heading2"/>
        <w:rPr>
          <w:rStyle w:val="A8"/>
          <w:color w:val="FF0000"/>
          <w:sz w:val="32"/>
        </w:rPr>
      </w:pPr>
      <w:bookmarkStart w:id="46" w:name="_Toc431484339"/>
      <w:r w:rsidRPr="00041ED2">
        <w:rPr>
          <w:sz w:val="108"/>
          <w:szCs w:val="108"/>
        </w:rPr>
        <w:lastRenderedPageBreak/>
        <w:t>6</w:t>
      </w:r>
      <w:r w:rsidRPr="00041ED2">
        <w:t xml:space="preserve"> </w:t>
      </w:r>
      <w:r w:rsidRPr="00041ED2">
        <w:rPr>
          <w:rStyle w:val="A8"/>
          <w:color w:val="FF0000"/>
          <w:sz w:val="32"/>
        </w:rPr>
        <w:t>COMPLICATIONS OF HAEMOPHILIA</w:t>
      </w:r>
      <w:bookmarkEnd w:id="46"/>
    </w:p>
    <w:p w:rsidR="00484EFC" w:rsidRPr="001E7B3E" w:rsidRDefault="00484EFC" w:rsidP="00484EFC">
      <w:pPr>
        <w:autoSpaceDE w:val="0"/>
        <w:autoSpaceDN w:val="0"/>
        <w:adjustRightInd w:val="0"/>
        <w:spacing w:after="222"/>
        <w:rPr>
          <w:rFonts w:asciiTheme="minorHAnsi" w:hAnsiTheme="minorHAnsi" w:cs="Arial"/>
          <w:bCs/>
          <w:color w:val="000000" w:themeColor="text1"/>
          <w:sz w:val="28"/>
          <w:lang w:eastAsia="en-US"/>
        </w:rPr>
      </w:pPr>
      <w:r w:rsidRPr="001E7B3E">
        <w:rPr>
          <w:rFonts w:asciiTheme="minorHAnsi" w:hAnsiTheme="minorHAnsi"/>
          <w:b/>
          <w:bCs/>
          <w:color w:val="000000" w:themeColor="text1"/>
          <w:sz w:val="32"/>
          <w:szCs w:val="32"/>
        </w:rPr>
        <w:t>Key practice 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8183"/>
      </w:tblGrid>
      <w:tr w:rsidR="00484EFC" w:rsidRPr="001E7B3E" w:rsidTr="00041ED2">
        <w:tc>
          <w:tcPr>
            <w:tcW w:w="874" w:type="dxa"/>
            <w:shd w:val="clear" w:color="auto" w:fill="DBE5F1" w:themeFill="accent1" w:themeFillTint="33"/>
          </w:tcPr>
          <w:p w:rsidR="00484EFC" w:rsidRPr="001E7B3E" w:rsidRDefault="00484EFC" w:rsidP="00484EFC">
            <w:pPr>
              <w:spacing w:before="40"/>
              <w:rPr>
                <w:rFonts w:asciiTheme="minorHAnsi" w:hAnsiTheme="minorHAnsi"/>
                <w:b/>
              </w:rPr>
            </w:pPr>
            <w:r w:rsidRPr="001E7B3E">
              <w:rPr>
                <w:rFonts w:asciiTheme="minorHAnsi" w:hAnsiTheme="minorHAnsi"/>
                <w:b/>
              </w:rPr>
              <w:t>No.</w:t>
            </w:r>
          </w:p>
        </w:tc>
        <w:tc>
          <w:tcPr>
            <w:tcW w:w="9015" w:type="dxa"/>
            <w:shd w:val="clear" w:color="auto" w:fill="DBE5F1" w:themeFill="accent1" w:themeFillTint="33"/>
          </w:tcPr>
          <w:p w:rsidR="00484EFC" w:rsidRPr="001E7B3E" w:rsidRDefault="00484EFC" w:rsidP="00041ED2">
            <w:pPr>
              <w:spacing w:before="40"/>
              <w:ind w:left="52"/>
              <w:rPr>
                <w:rFonts w:asciiTheme="minorHAnsi" w:hAnsiTheme="minorHAnsi"/>
                <w:b/>
              </w:rPr>
            </w:pPr>
            <w:r w:rsidRPr="001E7B3E">
              <w:rPr>
                <w:rFonts w:asciiTheme="minorHAnsi" w:hAnsiTheme="minorHAnsi"/>
                <w:b/>
              </w:rPr>
              <w:t>Key Practice Point</w:t>
            </w:r>
          </w:p>
          <w:p w:rsidR="00484EFC" w:rsidRPr="001E7B3E" w:rsidRDefault="00484EFC" w:rsidP="00041ED2">
            <w:pPr>
              <w:spacing w:before="40"/>
              <w:ind w:left="52"/>
              <w:rPr>
                <w:rFonts w:asciiTheme="minorHAnsi" w:hAnsiTheme="minorHAnsi"/>
                <w:b/>
              </w:rPr>
            </w:pPr>
          </w:p>
        </w:tc>
      </w:tr>
      <w:tr w:rsidR="00484EFC" w:rsidRPr="001E7B3E" w:rsidTr="00041ED2">
        <w:tc>
          <w:tcPr>
            <w:tcW w:w="874" w:type="dxa"/>
            <w:shd w:val="clear" w:color="auto" w:fill="365F91" w:themeFill="accent1" w:themeFillShade="BF"/>
          </w:tcPr>
          <w:p w:rsidR="00484EFC" w:rsidRPr="00A33356" w:rsidRDefault="00484EFC"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6.1</w:t>
            </w:r>
          </w:p>
        </w:tc>
        <w:tc>
          <w:tcPr>
            <w:tcW w:w="9015" w:type="dxa"/>
          </w:tcPr>
          <w:p w:rsidR="00484EFC" w:rsidRPr="001E7B3E" w:rsidRDefault="00484EFC" w:rsidP="00041ED2">
            <w:pPr>
              <w:spacing w:before="40" w:after="40" w:line="276" w:lineRule="auto"/>
              <w:ind w:left="52"/>
              <w:rPr>
                <w:rStyle w:val="A8"/>
                <w:rFonts w:asciiTheme="minorHAnsi" w:eastAsia="Calibri" w:hAnsiTheme="minorHAnsi"/>
                <w:color w:val="221E1F"/>
                <w:sz w:val="22"/>
                <w:lang w:eastAsia="en-US"/>
              </w:rPr>
            </w:pPr>
            <w:r w:rsidRPr="001E7B3E">
              <w:rPr>
                <w:rStyle w:val="A8"/>
                <w:rFonts w:asciiTheme="minorHAnsi" w:eastAsia="Calibri" w:hAnsiTheme="minorHAnsi"/>
                <w:color w:val="221E1F"/>
                <w:sz w:val="22"/>
                <w:lang w:eastAsia="en-US"/>
              </w:rPr>
              <w:t xml:space="preserve">Musculoskeletal complications are common in patients with haemophilia, and are best </w:t>
            </w:r>
            <w:r>
              <w:rPr>
                <w:rStyle w:val="A8"/>
                <w:rFonts w:asciiTheme="minorHAnsi" w:eastAsia="Calibri" w:hAnsiTheme="minorHAnsi"/>
                <w:color w:val="221E1F"/>
                <w:sz w:val="22"/>
                <w:lang w:eastAsia="en-US"/>
              </w:rPr>
              <w:t xml:space="preserve">managed </w:t>
            </w:r>
            <w:r w:rsidRPr="001E7B3E">
              <w:rPr>
                <w:rStyle w:val="A8"/>
                <w:rFonts w:asciiTheme="minorHAnsi" w:eastAsia="Calibri" w:hAnsiTheme="minorHAnsi"/>
                <w:color w:val="221E1F"/>
                <w:sz w:val="22"/>
                <w:lang w:eastAsia="en-US"/>
              </w:rPr>
              <w:t>through a multidisciplinary approach that includes input from physiotherapy and musculoskeletal experts (including rheumatology and/or orthopaedics specialists).</w:t>
            </w:r>
          </w:p>
        </w:tc>
      </w:tr>
      <w:tr w:rsidR="00484EFC" w:rsidRPr="001E7B3E" w:rsidTr="00041ED2">
        <w:tc>
          <w:tcPr>
            <w:tcW w:w="874" w:type="dxa"/>
            <w:shd w:val="clear" w:color="auto" w:fill="365F91" w:themeFill="accent1" w:themeFillShade="BF"/>
          </w:tcPr>
          <w:p w:rsidR="00484EFC" w:rsidRPr="00A33356" w:rsidRDefault="00484EFC"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6.2</w:t>
            </w:r>
          </w:p>
        </w:tc>
        <w:tc>
          <w:tcPr>
            <w:tcW w:w="9015" w:type="dxa"/>
          </w:tcPr>
          <w:p w:rsidR="00484EFC" w:rsidRPr="001E7B3E" w:rsidRDefault="00484EFC" w:rsidP="00041ED2">
            <w:pPr>
              <w:spacing w:before="40" w:after="40" w:line="276" w:lineRule="auto"/>
              <w:ind w:left="52"/>
              <w:rPr>
                <w:rStyle w:val="A8"/>
                <w:rFonts w:asciiTheme="minorHAnsi" w:eastAsia="Calibri" w:hAnsiTheme="minorHAnsi"/>
                <w:color w:val="221E1F"/>
                <w:sz w:val="22"/>
                <w:lang w:eastAsia="en-US"/>
              </w:rPr>
            </w:pPr>
            <w:r w:rsidRPr="001E7B3E">
              <w:rPr>
                <w:rStyle w:val="A8"/>
                <w:rFonts w:asciiTheme="minorHAnsi" w:eastAsia="Calibri" w:hAnsiTheme="minorHAnsi"/>
                <w:color w:val="221E1F"/>
                <w:sz w:val="22"/>
                <w:lang w:eastAsia="en-US"/>
              </w:rPr>
              <w:t xml:space="preserve">Acute synovitis should be managed aggressively to reduce the risk of the development of chronic complication. Adequate factor replacement, pain control and physiotherapy input are important. Other interventions require further investigation. </w:t>
            </w:r>
          </w:p>
        </w:tc>
      </w:tr>
      <w:tr w:rsidR="00484EFC" w:rsidRPr="001E7B3E" w:rsidTr="00041ED2">
        <w:tc>
          <w:tcPr>
            <w:tcW w:w="874" w:type="dxa"/>
            <w:shd w:val="clear" w:color="auto" w:fill="365F91" w:themeFill="accent1" w:themeFillShade="BF"/>
          </w:tcPr>
          <w:p w:rsidR="00484EFC" w:rsidRPr="00A33356" w:rsidRDefault="00484EFC"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6.3</w:t>
            </w:r>
          </w:p>
        </w:tc>
        <w:tc>
          <w:tcPr>
            <w:tcW w:w="9015" w:type="dxa"/>
          </w:tcPr>
          <w:p w:rsidR="00484EFC" w:rsidRPr="001E7B3E" w:rsidRDefault="00484EFC" w:rsidP="00041ED2">
            <w:pPr>
              <w:spacing w:before="40" w:after="40" w:line="276" w:lineRule="auto"/>
              <w:ind w:left="52"/>
              <w:rPr>
                <w:rStyle w:val="A8"/>
                <w:rFonts w:asciiTheme="minorHAnsi" w:eastAsia="Calibri" w:hAnsiTheme="minorHAnsi"/>
                <w:color w:val="221E1F"/>
                <w:sz w:val="22"/>
                <w:lang w:eastAsia="en-US"/>
              </w:rPr>
            </w:pPr>
            <w:r w:rsidRPr="001E7B3E">
              <w:rPr>
                <w:rStyle w:val="A8"/>
                <w:rFonts w:asciiTheme="minorHAnsi" w:eastAsia="Calibri" w:hAnsiTheme="minorHAnsi"/>
                <w:color w:val="221E1F"/>
                <w:sz w:val="22"/>
                <w:lang w:eastAsia="en-US"/>
              </w:rPr>
              <w:t>Chronic arthropathy management requires a multi-modal approach. Strategies to delay the time to joint replacement are important.</w:t>
            </w:r>
          </w:p>
        </w:tc>
      </w:tr>
      <w:tr w:rsidR="00484EFC" w:rsidRPr="001E7B3E" w:rsidTr="00041ED2">
        <w:tc>
          <w:tcPr>
            <w:tcW w:w="874" w:type="dxa"/>
            <w:shd w:val="clear" w:color="auto" w:fill="365F91" w:themeFill="accent1" w:themeFillShade="BF"/>
          </w:tcPr>
          <w:p w:rsidR="00484EFC" w:rsidRPr="00A33356" w:rsidRDefault="00484EFC"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6.4</w:t>
            </w:r>
          </w:p>
        </w:tc>
        <w:tc>
          <w:tcPr>
            <w:tcW w:w="9015" w:type="dxa"/>
          </w:tcPr>
          <w:p w:rsidR="00484EFC" w:rsidRPr="001E7B3E" w:rsidRDefault="00484EFC" w:rsidP="00041ED2">
            <w:pPr>
              <w:spacing w:before="40" w:after="40" w:line="276" w:lineRule="auto"/>
              <w:ind w:left="52"/>
              <w:rPr>
                <w:rStyle w:val="A8"/>
                <w:rFonts w:asciiTheme="minorHAnsi" w:eastAsia="Calibri" w:hAnsiTheme="minorHAnsi"/>
                <w:color w:val="221E1F"/>
                <w:sz w:val="22"/>
                <w:lang w:eastAsia="en-US"/>
              </w:rPr>
            </w:pPr>
            <w:r w:rsidRPr="001E7B3E">
              <w:rPr>
                <w:rStyle w:val="A8"/>
                <w:rFonts w:asciiTheme="minorHAnsi" w:eastAsia="Calibri" w:hAnsiTheme="minorHAnsi"/>
                <w:color w:val="221E1F"/>
                <w:sz w:val="22"/>
                <w:lang w:eastAsia="en-US"/>
              </w:rPr>
              <w:t>Inhibitor management is often complex. Management of new patients with inhibitors, including tolerisation, should be referred to the AHCDO Tolerisation Advisory Committee (TAC) for discussion.</w:t>
            </w:r>
          </w:p>
        </w:tc>
      </w:tr>
      <w:tr w:rsidR="00484EFC" w:rsidRPr="001E7B3E" w:rsidTr="00041ED2">
        <w:tc>
          <w:tcPr>
            <w:tcW w:w="874" w:type="dxa"/>
            <w:shd w:val="clear" w:color="auto" w:fill="365F91" w:themeFill="accent1" w:themeFillShade="BF"/>
          </w:tcPr>
          <w:p w:rsidR="00484EFC" w:rsidRPr="00A33356" w:rsidRDefault="00484EFC"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6.5</w:t>
            </w:r>
          </w:p>
        </w:tc>
        <w:tc>
          <w:tcPr>
            <w:tcW w:w="9015" w:type="dxa"/>
          </w:tcPr>
          <w:p w:rsidR="00484EFC" w:rsidRPr="001E7B3E" w:rsidRDefault="00484EFC" w:rsidP="00041ED2">
            <w:pPr>
              <w:spacing w:before="40" w:after="40" w:line="276" w:lineRule="auto"/>
              <w:ind w:left="52"/>
              <w:rPr>
                <w:rStyle w:val="A8"/>
                <w:rFonts w:asciiTheme="minorHAnsi" w:eastAsia="Calibri" w:hAnsiTheme="minorHAnsi"/>
                <w:color w:val="221E1F"/>
                <w:sz w:val="22"/>
                <w:lang w:eastAsia="en-US"/>
              </w:rPr>
            </w:pPr>
            <w:r w:rsidRPr="001E7B3E">
              <w:rPr>
                <w:rStyle w:val="A8"/>
                <w:rFonts w:asciiTheme="minorHAnsi" w:eastAsia="Calibri" w:hAnsiTheme="minorHAnsi"/>
                <w:color w:val="221E1F"/>
                <w:sz w:val="22"/>
                <w:lang w:eastAsia="en-US"/>
              </w:rPr>
              <w:t>Transfusion related infection with HIV and the hepatitis viruses has been an important cause of morbidity and mortality in the haemophilia community. The ongoing treatment and monitoring for complications of these conditions in liaison with other speciality teams (including infectious disease and hepatology) is an important role of HTCs.</w:t>
            </w:r>
          </w:p>
        </w:tc>
      </w:tr>
    </w:tbl>
    <w:p w:rsidR="00484EFC" w:rsidRDefault="00484EFC" w:rsidP="00484EFC">
      <w:pPr>
        <w:pStyle w:val="Default"/>
        <w:spacing w:after="222" w:line="276" w:lineRule="auto"/>
        <w:ind w:left="113" w:right="557"/>
        <w:rPr>
          <w:rStyle w:val="A8"/>
          <w:rFonts w:asciiTheme="minorHAnsi" w:hAnsiTheme="minorHAnsi"/>
          <w:b/>
        </w:rPr>
      </w:pPr>
    </w:p>
    <w:p w:rsidR="00484EFC" w:rsidRPr="002C1CD8" w:rsidRDefault="00484EFC" w:rsidP="00484EFC">
      <w:pPr>
        <w:pStyle w:val="Default"/>
        <w:spacing w:after="222"/>
        <w:ind w:left="113" w:right="557"/>
        <w:rPr>
          <w:rStyle w:val="A8"/>
          <w:rFonts w:asciiTheme="minorHAnsi" w:hAnsiTheme="minorHAnsi"/>
          <w:b/>
          <w:bCs/>
          <w:color w:val="000000" w:themeColor="text1"/>
        </w:rPr>
      </w:pPr>
      <w:r w:rsidRPr="002C1CD8">
        <w:rPr>
          <w:rStyle w:val="A8"/>
          <w:rFonts w:asciiTheme="minorHAnsi" w:hAnsiTheme="minorHAnsi"/>
          <w:b/>
          <w:bCs/>
          <w:color w:val="000000" w:themeColor="text1"/>
        </w:rPr>
        <w:t xml:space="preserve">Significant changes from the original WFH Guidelines </w:t>
      </w:r>
    </w:p>
    <w:p w:rsidR="00484EFC" w:rsidRDefault="00484EFC" w:rsidP="00484EFC">
      <w:pPr>
        <w:pStyle w:val="Default"/>
        <w:numPr>
          <w:ilvl w:val="0"/>
          <w:numId w:val="42"/>
        </w:numPr>
        <w:spacing w:after="222"/>
        <w:ind w:right="557"/>
        <w:rPr>
          <w:rStyle w:val="A8"/>
          <w:rFonts w:asciiTheme="minorHAnsi" w:hAnsiTheme="minorHAnsi"/>
          <w:bCs/>
          <w:color w:val="000000" w:themeColor="text1"/>
          <w:sz w:val="24"/>
        </w:rPr>
      </w:pPr>
      <w:r w:rsidRPr="002C1CD8">
        <w:rPr>
          <w:rStyle w:val="A8"/>
          <w:rFonts w:asciiTheme="minorHAnsi" w:hAnsiTheme="minorHAnsi"/>
          <w:bCs/>
          <w:color w:val="000000" w:themeColor="text1"/>
          <w:sz w:val="24"/>
        </w:rPr>
        <w:t xml:space="preserve">The results of a systematic review regarding the efficacy and safety of selective and non-selective non-steroidal anti-inflammatory drugs </w:t>
      </w:r>
      <w:r>
        <w:rPr>
          <w:rStyle w:val="A8"/>
          <w:rFonts w:asciiTheme="minorHAnsi" w:hAnsiTheme="minorHAnsi"/>
          <w:bCs/>
          <w:color w:val="000000" w:themeColor="text1"/>
          <w:sz w:val="24"/>
        </w:rPr>
        <w:t>and intra-articular steroid in the management of synovitis and chronic arthropathy are incorporated.</w:t>
      </w:r>
    </w:p>
    <w:p w:rsidR="00484EFC" w:rsidRDefault="00484EFC" w:rsidP="00484EFC">
      <w:pPr>
        <w:pStyle w:val="Default"/>
        <w:numPr>
          <w:ilvl w:val="0"/>
          <w:numId w:val="42"/>
        </w:numPr>
        <w:spacing w:after="222"/>
        <w:ind w:right="557"/>
        <w:rPr>
          <w:rStyle w:val="A8"/>
          <w:rFonts w:asciiTheme="minorHAnsi" w:hAnsiTheme="minorHAnsi"/>
          <w:bCs/>
          <w:color w:val="000000" w:themeColor="text1"/>
          <w:sz w:val="24"/>
        </w:rPr>
      </w:pPr>
      <w:r>
        <w:rPr>
          <w:rStyle w:val="A8"/>
          <w:rFonts w:asciiTheme="minorHAnsi" w:hAnsiTheme="minorHAnsi"/>
          <w:bCs/>
          <w:color w:val="000000" w:themeColor="text1"/>
          <w:sz w:val="24"/>
        </w:rPr>
        <w:t>Chemical synovectomy is not generally recommended.</w:t>
      </w:r>
    </w:p>
    <w:p w:rsidR="00484EFC" w:rsidRDefault="00484EFC" w:rsidP="00484EFC">
      <w:pPr>
        <w:pStyle w:val="Default"/>
        <w:numPr>
          <w:ilvl w:val="0"/>
          <w:numId w:val="42"/>
        </w:numPr>
        <w:spacing w:after="222"/>
        <w:ind w:right="557"/>
        <w:rPr>
          <w:rStyle w:val="A8"/>
          <w:rFonts w:asciiTheme="minorHAnsi" w:hAnsiTheme="minorHAnsi"/>
          <w:bCs/>
          <w:color w:val="000000" w:themeColor="text1"/>
          <w:sz w:val="24"/>
        </w:rPr>
      </w:pPr>
      <w:r>
        <w:rPr>
          <w:rStyle w:val="A8"/>
          <w:rFonts w:asciiTheme="minorHAnsi" w:hAnsiTheme="minorHAnsi"/>
          <w:bCs/>
          <w:color w:val="000000" w:themeColor="text1"/>
          <w:sz w:val="24"/>
        </w:rPr>
        <w:t>The role of the tolerisation advisory committee as a resource to guide the management of patients with inhibitors is emphasised.</w:t>
      </w:r>
    </w:p>
    <w:p w:rsidR="00484EFC" w:rsidRPr="002C1CD8" w:rsidRDefault="00484EFC" w:rsidP="00484EFC">
      <w:pPr>
        <w:pStyle w:val="Default"/>
        <w:numPr>
          <w:ilvl w:val="0"/>
          <w:numId w:val="42"/>
        </w:numPr>
        <w:spacing w:after="222"/>
        <w:ind w:right="557"/>
        <w:rPr>
          <w:rStyle w:val="A8"/>
          <w:rFonts w:asciiTheme="minorHAnsi" w:hAnsiTheme="minorHAnsi"/>
          <w:bCs/>
          <w:color w:val="000000" w:themeColor="text1"/>
          <w:sz w:val="24"/>
        </w:rPr>
      </w:pPr>
      <w:r>
        <w:rPr>
          <w:rStyle w:val="A8"/>
          <w:rFonts w:asciiTheme="minorHAnsi" w:hAnsiTheme="minorHAnsi"/>
          <w:bCs/>
          <w:color w:val="000000" w:themeColor="text1"/>
          <w:sz w:val="24"/>
        </w:rPr>
        <w:t>The role of triple therapy in HCV management is added.</w:t>
      </w:r>
    </w:p>
    <w:p w:rsidR="00A03871" w:rsidRDefault="00A03871">
      <w:pPr>
        <w:spacing w:after="200" w:line="276" w:lineRule="auto"/>
        <w:ind w:left="0"/>
        <w:rPr>
          <w:rStyle w:val="A8"/>
          <w:rFonts w:asciiTheme="minorHAnsi" w:eastAsia="Calibri" w:hAnsiTheme="minorHAnsi" w:cs="Avenir LT Std 55 Roman"/>
          <w:b/>
          <w:szCs w:val="24"/>
          <w:lang w:eastAsia="en-US"/>
        </w:rPr>
      </w:pPr>
      <w:r>
        <w:rPr>
          <w:rStyle w:val="A8"/>
          <w:rFonts w:asciiTheme="minorHAnsi" w:hAnsiTheme="minorHAnsi"/>
          <w:b/>
        </w:rPr>
        <w:br w:type="page"/>
      </w:r>
    </w:p>
    <w:p w:rsidR="00484EFC" w:rsidRPr="00041ED2" w:rsidRDefault="00484EFC" w:rsidP="00041ED2">
      <w:pPr>
        <w:pStyle w:val="Heading3"/>
        <w:rPr>
          <w:rStyle w:val="A8"/>
          <w:color w:val="FF0000"/>
        </w:rPr>
      </w:pPr>
      <w:bookmarkStart w:id="47" w:name="_Toc431484340"/>
      <w:r w:rsidRPr="00041ED2">
        <w:rPr>
          <w:rStyle w:val="A8"/>
          <w:color w:val="FF0000"/>
        </w:rPr>
        <w:lastRenderedPageBreak/>
        <w:t>6.1 Musculoskeletal complications</w:t>
      </w:r>
      <w:bookmarkEnd w:id="47"/>
      <w:r w:rsidRPr="00041ED2">
        <w:rPr>
          <w:rStyle w:val="A8"/>
          <w:color w:val="FF0000"/>
        </w:rPr>
        <w:t xml:space="preserve"> </w:t>
      </w:r>
    </w:p>
    <w:p w:rsidR="00484EFC" w:rsidRPr="001E7B3E" w:rsidRDefault="00484EFC" w:rsidP="00041ED2">
      <w:pPr>
        <w:pStyle w:val="Default"/>
        <w:spacing w:after="222" w:line="276" w:lineRule="auto"/>
        <w:ind w:left="1418" w:hanging="1418"/>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6.1.1</w:t>
      </w:r>
      <w:r w:rsidRPr="001E7B3E">
        <w:rPr>
          <w:rStyle w:val="A8"/>
          <w:rFonts w:asciiTheme="minorHAnsi" w:hAnsiTheme="minorHAnsi"/>
          <w:color w:val="221E1F"/>
          <w:sz w:val="22"/>
          <w:szCs w:val="22"/>
        </w:rPr>
        <w:tab/>
      </w:r>
      <w:proofErr w:type="gramStart"/>
      <w:r w:rsidRPr="001E7B3E">
        <w:rPr>
          <w:rStyle w:val="A8"/>
          <w:rFonts w:asciiTheme="minorHAnsi" w:hAnsiTheme="minorHAnsi"/>
          <w:color w:val="221E1F"/>
          <w:sz w:val="22"/>
          <w:szCs w:val="22"/>
        </w:rPr>
        <w:t>The</w:t>
      </w:r>
      <w:proofErr w:type="gramEnd"/>
      <w:r w:rsidRPr="001E7B3E">
        <w:rPr>
          <w:rStyle w:val="A8"/>
          <w:rFonts w:asciiTheme="minorHAnsi" w:hAnsiTheme="minorHAnsi"/>
          <w:color w:val="221E1F"/>
          <w:sz w:val="22"/>
          <w:szCs w:val="22"/>
        </w:rPr>
        <w:t xml:space="preserve"> most common sites of bleeding are the joints and muscles of the extremities. </w:t>
      </w:r>
    </w:p>
    <w:p w:rsidR="00484EFC" w:rsidRPr="001E7B3E" w:rsidRDefault="00484EFC" w:rsidP="00041ED2">
      <w:pPr>
        <w:pStyle w:val="Default"/>
        <w:spacing w:after="222" w:line="276" w:lineRule="auto"/>
        <w:ind w:left="1418" w:hanging="1418"/>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6.1.2</w:t>
      </w:r>
      <w:r w:rsidRPr="001E7B3E">
        <w:rPr>
          <w:rStyle w:val="A8"/>
          <w:rFonts w:asciiTheme="minorHAnsi" w:hAnsiTheme="minorHAnsi"/>
          <w:color w:val="221E1F"/>
          <w:sz w:val="22"/>
          <w:szCs w:val="22"/>
        </w:rPr>
        <w:tab/>
        <w:t xml:space="preserve">Depending on the severity of the disease, bleeding episodes may be frequent and without apparent cause (see Table 1-1). </w:t>
      </w:r>
    </w:p>
    <w:p w:rsidR="00484EFC" w:rsidRPr="001E7B3E" w:rsidRDefault="00484EFC" w:rsidP="00041ED2">
      <w:pPr>
        <w:pStyle w:val="Default"/>
        <w:spacing w:after="222" w:line="276" w:lineRule="auto"/>
        <w:ind w:left="1418" w:hanging="1418"/>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6.1.3</w:t>
      </w:r>
      <w:r w:rsidRPr="001E7B3E">
        <w:rPr>
          <w:rStyle w:val="A8"/>
          <w:rFonts w:asciiTheme="minorHAnsi" w:hAnsiTheme="minorHAnsi"/>
          <w:color w:val="221E1F"/>
          <w:sz w:val="22"/>
          <w:szCs w:val="22"/>
        </w:rPr>
        <w:tab/>
        <w:t xml:space="preserve">In the child with severe haemophilia, the first haemarthrosis typically occurs when the child begins to crawl and walk: usually before two years of age, but occasionally later. </w:t>
      </w:r>
    </w:p>
    <w:p w:rsidR="00484EFC" w:rsidRPr="001E7B3E" w:rsidRDefault="00484EFC" w:rsidP="00041ED2">
      <w:pPr>
        <w:pStyle w:val="Default"/>
        <w:spacing w:after="222" w:line="276" w:lineRule="auto"/>
        <w:ind w:left="1418" w:hanging="1418"/>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6.1.4</w:t>
      </w:r>
      <w:r w:rsidRPr="001E7B3E">
        <w:rPr>
          <w:rStyle w:val="A8"/>
          <w:rFonts w:asciiTheme="minorHAnsi" w:hAnsiTheme="minorHAnsi"/>
          <w:color w:val="221E1F"/>
          <w:sz w:val="22"/>
          <w:szCs w:val="22"/>
        </w:rPr>
        <w:tab/>
        <w:t xml:space="preserve">If inadequately treated, repeated bleeding will lead to progressive deterioration of the joints and muscles, severe loss of function due to loss of motion, muscle atrophy, pain, joint deformity, and contractures within the first one to two decades of life. </w:t>
      </w:r>
      <w:r w:rsidRPr="001E7B3E">
        <w:rPr>
          <w:rStyle w:val="A8"/>
          <w:rFonts w:asciiTheme="minorHAnsi" w:hAnsiTheme="minorHAnsi"/>
          <w:color w:val="221E1F"/>
          <w:sz w:val="22"/>
          <w:szCs w:val="22"/>
          <w:vertAlign w:val="superscript"/>
        </w:rPr>
        <w:t>[1</w:t>
      </w:r>
      <w:proofErr w:type="gramStart"/>
      <w:r w:rsidRPr="001E7B3E">
        <w:rPr>
          <w:rStyle w:val="A8"/>
          <w:rFonts w:asciiTheme="minorHAnsi" w:hAnsiTheme="minorHAnsi"/>
          <w:color w:val="221E1F"/>
          <w:sz w:val="22"/>
          <w:szCs w:val="22"/>
          <w:vertAlign w:val="superscript"/>
        </w:rPr>
        <w:t>,2</w:t>
      </w:r>
      <w:proofErr w:type="gramEnd"/>
      <w:r w:rsidRPr="001E7B3E">
        <w:rPr>
          <w:rStyle w:val="A8"/>
          <w:rFonts w:asciiTheme="minorHAnsi" w:hAnsiTheme="minorHAnsi"/>
          <w:color w:val="221E1F"/>
          <w:sz w:val="22"/>
          <w:szCs w:val="22"/>
          <w:vertAlign w:val="superscript"/>
        </w:rPr>
        <w:t>]</w:t>
      </w:r>
    </w:p>
    <w:p w:rsidR="00484EFC" w:rsidRPr="001E7B3E" w:rsidRDefault="00484EFC" w:rsidP="00041ED2">
      <w:pPr>
        <w:pStyle w:val="Heading4"/>
        <w:rPr>
          <w:lang w:eastAsia="en-US"/>
        </w:rPr>
      </w:pPr>
      <w:r w:rsidRPr="001E7B3E">
        <w:rPr>
          <w:lang w:eastAsia="en-US"/>
        </w:rPr>
        <w:t xml:space="preserve">Synovitis </w:t>
      </w:r>
    </w:p>
    <w:p w:rsidR="00484EFC" w:rsidRPr="001E7B3E" w:rsidRDefault="00484EFC" w:rsidP="00041ED2">
      <w:pPr>
        <w:pStyle w:val="Default"/>
        <w:spacing w:after="222" w:line="276" w:lineRule="auto"/>
        <w:ind w:left="1418" w:hanging="1418"/>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6.1.5</w:t>
      </w:r>
      <w:r w:rsidRPr="001E7B3E">
        <w:rPr>
          <w:rStyle w:val="A8"/>
          <w:rFonts w:asciiTheme="minorHAnsi" w:hAnsiTheme="minorHAnsi"/>
          <w:color w:val="221E1F"/>
          <w:sz w:val="22"/>
          <w:szCs w:val="22"/>
        </w:rPr>
        <w:tab/>
        <w:t>Following acute haemarthrosis, the synovium becomes inflamed, is hyper</w:t>
      </w:r>
      <w:r>
        <w:rPr>
          <w:rStyle w:val="A8"/>
          <w:rFonts w:asciiTheme="minorHAnsi" w:hAnsiTheme="minorHAnsi"/>
          <w:color w:val="221E1F"/>
          <w:sz w:val="22"/>
          <w:szCs w:val="22"/>
        </w:rPr>
        <w:t>a</w:t>
      </w:r>
      <w:r w:rsidRPr="001E7B3E">
        <w:rPr>
          <w:rStyle w:val="A8"/>
          <w:rFonts w:asciiTheme="minorHAnsi" w:hAnsiTheme="minorHAnsi"/>
          <w:color w:val="221E1F"/>
          <w:sz w:val="22"/>
          <w:szCs w:val="22"/>
        </w:rPr>
        <w:t xml:space="preserve">emic and extremely friable. </w:t>
      </w:r>
    </w:p>
    <w:p w:rsidR="00484EFC" w:rsidRPr="001E7B3E" w:rsidRDefault="00484EFC" w:rsidP="00041ED2">
      <w:pPr>
        <w:pStyle w:val="Default"/>
        <w:spacing w:after="222" w:line="276" w:lineRule="auto"/>
        <w:ind w:left="1418" w:hanging="1418"/>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6.1.6</w:t>
      </w:r>
      <w:r w:rsidRPr="001E7B3E">
        <w:rPr>
          <w:rStyle w:val="A8"/>
          <w:rFonts w:asciiTheme="minorHAnsi" w:hAnsiTheme="minorHAnsi"/>
          <w:color w:val="221E1F"/>
          <w:sz w:val="22"/>
          <w:szCs w:val="22"/>
        </w:rPr>
        <w:tab/>
        <w:t xml:space="preserve">Failure to manage acute synovitis may result in repeated haemarthroses. </w:t>
      </w:r>
      <w:r w:rsidRPr="007623A2">
        <w:rPr>
          <w:rStyle w:val="A8"/>
          <w:rFonts w:asciiTheme="minorHAnsi" w:hAnsiTheme="minorHAnsi"/>
          <w:color w:val="221E1F"/>
          <w:sz w:val="22"/>
          <w:szCs w:val="22"/>
          <w:vertAlign w:val="superscript"/>
        </w:rPr>
        <w:t>[1</w:t>
      </w:r>
      <w:proofErr w:type="gramStart"/>
      <w:r w:rsidRPr="007623A2">
        <w:rPr>
          <w:rStyle w:val="A8"/>
          <w:rFonts w:asciiTheme="minorHAnsi" w:hAnsiTheme="minorHAnsi"/>
          <w:color w:val="221E1F"/>
          <w:sz w:val="22"/>
          <w:szCs w:val="22"/>
          <w:vertAlign w:val="superscript"/>
        </w:rPr>
        <w:t>,2</w:t>
      </w:r>
      <w:proofErr w:type="gramEnd"/>
      <w:r w:rsidRPr="007623A2">
        <w:rPr>
          <w:rStyle w:val="A8"/>
          <w:rFonts w:asciiTheme="minorHAnsi" w:hAnsiTheme="minorHAnsi"/>
          <w:color w:val="221E1F"/>
          <w:sz w:val="22"/>
          <w:szCs w:val="22"/>
          <w:vertAlign w:val="superscript"/>
        </w:rPr>
        <w:t>]</w:t>
      </w:r>
    </w:p>
    <w:p w:rsidR="00484EFC" w:rsidRPr="001E7B3E" w:rsidRDefault="00484EFC" w:rsidP="00041ED2">
      <w:pPr>
        <w:pStyle w:val="Default"/>
        <w:spacing w:after="222" w:line="276" w:lineRule="auto"/>
        <w:ind w:left="1418" w:hanging="1418"/>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6.1.7</w:t>
      </w:r>
      <w:r w:rsidRPr="001E7B3E">
        <w:rPr>
          <w:rStyle w:val="A8"/>
          <w:rFonts w:asciiTheme="minorHAnsi" w:hAnsiTheme="minorHAnsi"/>
          <w:color w:val="221E1F"/>
          <w:sz w:val="22"/>
          <w:szCs w:val="22"/>
        </w:rPr>
        <w:tab/>
        <w:t>In patients who develop acute synovitis developing joint protection with use of a removable splint or compressive bandaging should be considered.</w:t>
      </w:r>
    </w:p>
    <w:p w:rsidR="00484EFC" w:rsidRPr="001E7B3E" w:rsidRDefault="00484EFC" w:rsidP="00041ED2">
      <w:pPr>
        <w:pStyle w:val="Default"/>
        <w:spacing w:after="222" w:line="276" w:lineRule="auto"/>
        <w:ind w:left="1418" w:hanging="1418"/>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6.1.8</w:t>
      </w:r>
      <w:r w:rsidRPr="001E7B3E">
        <w:rPr>
          <w:rStyle w:val="A8"/>
          <w:rFonts w:asciiTheme="minorHAnsi" w:hAnsiTheme="minorHAnsi"/>
          <w:color w:val="221E1F"/>
          <w:sz w:val="22"/>
          <w:szCs w:val="22"/>
        </w:rPr>
        <w:tab/>
        <w:t>Activities should be restricted until swelling and temperature of the joint return to baseline.</w:t>
      </w:r>
    </w:p>
    <w:p w:rsidR="00484EFC" w:rsidRPr="001E7B3E" w:rsidRDefault="00484EFC" w:rsidP="00041ED2">
      <w:pPr>
        <w:pStyle w:val="Default"/>
        <w:spacing w:after="222" w:line="276" w:lineRule="auto"/>
        <w:ind w:left="1418" w:hanging="1418"/>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6.1.9</w:t>
      </w:r>
      <w:r w:rsidRPr="001E7B3E">
        <w:rPr>
          <w:rStyle w:val="A8"/>
          <w:rFonts w:asciiTheme="minorHAnsi" w:hAnsiTheme="minorHAnsi"/>
          <w:color w:val="221E1F"/>
          <w:sz w:val="22"/>
          <w:szCs w:val="22"/>
        </w:rPr>
        <w:tab/>
        <w:t>In some cases, COX-2 inhibitors may be useful.</w:t>
      </w:r>
    </w:p>
    <w:p w:rsidR="00484EFC" w:rsidRPr="001E7B3E" w:rsidRDefault="00484EFC" w:rsidP="00041ED2">
      <w:pPr>
        <w:pStyle w:val="Default"/>
        <w:spacing w:line="276" w:lineRule="auto"/>
        <w:ind w:left="1418"/>
        <w:rPr>
          <w:rStyle w:val="A8"/>
          <w:rFonts w:asciiTheme="minorHAnsi" w:hAnsiTheme="minorHAnsi" w:cs="Tahoma"/>
          <w:color w:val="221E1F"/>
          <w:sz w:val="22"/>
          <w:szCs w:val="22"/>
          <w:lang w:eastAsia="en-AU"/>
        </w:rPr>
      </w:pPr>
      <w:r w:rsidRPr="001E7B3E">
        <w:rPr>
          <w:rStyle w:val="A8"/>
          <w:rFonts w:asciiTheme="minorHAnsi" w:hAnsiTheme="minorHAnsi"/>
          <w:color w:val="221E1F"/>
          <w:sz w:val="22"/>
          <w:szCs w:val="22"/>
        </w:rPr>
        <w:t>A systematic review was performed to evaluate the efficacy and safety of COX-2</w:t>
      </w:r>
      <w:r w:rsidR="00A03871">
        <w:rPr>
          <w:rStyle w:val="A8"/>
          <w:rFonts w:asciiTheme="minorHAnsi" w:hAnsiTheme="minorHAnsi"/>
          <w:color w:val="221E1F"/>
          <w:sz w:val="22"/>
          <w:szCs w:val="22"/>
        </w:rPr>
        <w:t xml:space="preserve"> </w:t>
      </w:r>
      <w:r w:rsidRPr="001E7B3E">
        <w:rPr>
          <w:rStyle w:val="A8"/>
          <w:rFonts w:asciiTheme="minorHAnsi" w:hAnsiTheme="minorHAnsi"/>
          <w:color w:val="221E1F"/>
          <w:sz w:val="22"/>
          <w:szCs w:val="22"/>
        </w:rPr>
        <w:t>inhibitors in patients with haemophilia with and without pre-existing haemophilic</w:t>
      </w:r>
      <w:r w:rsidR="00A03871">
        <w:rPr>
          <w:rStyle w:val="A8"/>
          <w:rFonts w:asciiTheme="minorHAnsi" w:hAnsiTheme="minorHAnsi"/>
          <w:color w:val="221E1F"/>
          <w:sz w:val="22"/>
          <w:szCs w:val="22"/>
        </w:rPr>
        <w:t xml:space="preserve"> </w:t>
      </w:r>
      <w:r w:rsidRPr="001E7B3E">
        <w:rPr>
          <w:rStyle w:val="A8"/>
          <w:rFonts w:asciiTheme="minorHAnsi" w:hAnsiTheme="minorHAnsi"/>
          <w:color w:val="221E1F"/>
          <w:sz w:val="22"/>
          <w:szCs w:val="22"/>
        </w:rPr>
        <w:t>arthropathy or synovitis. (</w:t>
      </w:r>
      <w:r w:rsidR="00C83A3F">
        <w:rPr>
          <w:rStyle w:val="A8"/>
          <w:rFonts w:asciiTheme="minorHAnsi" w:hAnsiTheme="minorHAnsi"/>
          <w:color w:val="221E1F"/>
          <w:sz w:val="22"/>
          <w:szCs w:val="22"/>
        </w:rPr>
        <w:t>Appendix C</w:t>
      </w:r>
      <w:r w:rsidRPr="001E7B3E">
        <w:rPr>
          <w:rStyle w:val="A8"/>
          <w:rFonts w:asciiTheme="minorHAnsi" w:hAnsiTheme="minorHAnsi"/>
          <w:color w:val="221E1F"/>
          <w:sz w:val="22"/>
          <w:szCs w:val="22"/>
        </w:rPr>
        <w:t>) The following conclusions were made after available evidence was assessed using the GRADE criteria;</w:t>
      </w:r>
    </w:p>
    <w:p w:rsidR="00484EFC" w:rsidRPr="001E7B3E" w:rsidRDefault="00484EFC" w:rsidP="00484EFC">
      <w:pPr>
        <w:pStyle w:val="Default"/>
        <w:spacing w:line="276" w:lineRule="auto"/>
        <w:ind w:left="1418" w:hanging="1305"/>
        <w:rPr>
          <w:rStyle w:val="A8"/>
          <w:rFonts w:asciiTheme="minorHAnsi" w:hAnsiTheme="minorHAnsi"/>
          <w:color w:val="221E1F"/>
          <w:sz w:val="22"/>
        </w:rPr>
      </w:pPr>
    </w:p>
    <w:p w:rsidR="00484EFC" w:rsidRDefault="00484EFC" w:rsidP="00484EFC">
      <w:pPr>
        <w:pStyle w:val="Default"/>
        <w:numPr>
          <w:ilvl w:val="0"/>
          <w:numId w:val="94"/>
        </w:numPr>
        <w:spacing w:line="276" w:lineRule="auto"/>
        <w:ind w:left="1701" w:hanging="283"/>
        <w:rPr>
          <w:rStyle w:val="A8"/>
          <w:rFonts w:asciiTheme="minorHAnsi" w:hAnsiTheme="minorHAnsi"/>
          <w:color w:val="221E1F"/>
          <w:sz w:val="22"/>
          <w:szCs w:val="22"/>
        </w:rPr>
      </w:pPr>
      <w:r w:rsidRPr="001E7B3E">
        <w:rPr>
          <w:rStyle w:val="A8"/>
          <w:rFonts w:asciiTheme="minorHAnsi" w:hAnsiTheme="minorHAnsi"/>
          <w:color w:val="221E1F"/>
          <w:sz w:val="22"/>
          <w:szCs w:val="22"/>
        </w:rPr>
        <w:t>In patients with haemophilia and haemophilic arthropathy, no studies were found that evaluated the impact of COX-2 inhibitors on recurrent haemarthrosis.</w:t>
      </w:r>
    </w:p>
    <w:p w:rsidR="00484EFC" w:rsidRDefault="00484EFC" w:rsidP="00484EFC">
      <w:pPr>
        <w:pStyle w:val="Default"/>
        <w:numPr>
          <w:ilvl w:val="0"/>
          <w:numId w:val="94"/>
        </w:numPr>
        <w:spacing w:line="276" w:lineRule="auto"/>
        <w:ind w:left="1701" w:hanging="283"/>
        <w:rPr>
          <w:rStyle w:val="A8"/>
          <w:rFonts w:asciiTheme="minorHAnsi" w:hAnsiTheme="minorHAnsi"/>
          <w:color w:val="221E1F"/>
          <w:sz w:val="22"/>
          <w:szCs w:val="22"/>
        </w:rPr>
      </w:pPr>
      <w:r w:rsidRPr="002224AC">
        <w:rPr>
          <w:rStyle w:val="A8"/>
          <w:rFonts w:asciiTheme="minorHAnsi" w:hAnsiTheme="minorHAnsi"/>
          <w:color w:val="221E1F"/>
          <w:sz w:val="22"/>
          <w:szCs w:val="22"/>
        </w:rPr>
        <w:t>In patients with haemophilia and haemophilic art</w:t>
      </w:r>
      <w:r>
        <w:rPr>
          <w:rStyle w:val="A8"/>
          <w:rFonts w:asciiTheme="minorHAnsi" w:hAnsiTheme="minorHAnsi"/>
          <w:color w:val="221E1F"/>
          <w:sz w:val="22"/>
          <w:szCs w:val="22"/>
        </w:rPr>
        <w:t xml:space="preserve">hropathy, no studies were found </w:t>
      </w:r>
      <w:r w:rsidRPr="002224AC">
        <w:rPr>
          <w:rStyle w:val="A8"/>
          <w:rFonts w:asciiTheme="minorHAnsi" w:hAnsiTheme="minorHAnsi"/>
          <w:color w:val="221E1F"/>
          <w:sz w:val="22"/>
          <w:szCs w:val="22"/>
        </w:rPr>
        <w:t>that evaluated the impact of COX-2 inhibitors on development of a target joint.</w:t>
      </w:r>
    </w:p>
    <w:p w:rsidR="00484EFC" w:rsidRPr="002224AC" w:rsidRDefault="00484EFC" w:rsidP="00484EFC">
      <w:pPr>
        <w:pStyle w:val="Default"/>
        <w:numPr>
          <w:ilvl w:val="0"/>
          <w:numId w:val="94"/>
        </w:numPr>
        <w:spacing w:line="276" w:lineRule="auto"/>
        <w:ind w:left="1701" w:hanging="283"/>
        <w:rPr>
          <w:rStyle w:val="A8"/>
          <w:rFonts w:asciiTheme="minorHAnsi" w:hAnsiTheme="minorHAnsi"/>
          <w:color w:val="221E1F"/>
          <w:sz w:val="22"/>
          <w:szCs w:val="22"/>
        </w:rPr>
      </w:pPr>
      <w:r w:rsidRPr="002224AC">
        <w:rPr>
          <w:rStyle w:val="A8"/>
          <w:rFonts w:asciiTheme="minorHAnsi" w:hAnsiTheme="minorHAnsi"/>
          <w:color w:val="221E1F"/>
          <w:sz w:val="22"/>
          <w:szCs w:val="22"/>
        </w:rPr>
        <w:t>Therefore while COX-2 inhibitors are used in pa</w:t>
      </w:r>
      <w:r>
        <w:rPr>
          <w:rStyle w:val="A8"/>
          <w:rFonts w:asciiTheme="minorHAnsi" w:hAnsiTheme="minorHAnsi"/>
          <w:color w:val="221E1F"/>
          <w:sz w:val="22"/>
          <w:szCs w:val="22"/>
        </w:rPr>
        <w:t xml:space="preserve">tients with acute synovitis the </w:t>
      </w:r>
      <w:r w:rsidRPr="002224AC">
        <w:rPr>
          <w:rStyle w:val="A8"/>
          <w:rFonts w:asciiTheme="minorHAnsi" w:hAnsiTheme="minorHAnsi"/>
          <w:color w:val="221E1F"/>
          <w:sz w:val="22"/>
          <w:szCs w:val="22"/>
        </w:rPr>
        <w:t>impact of their use on the rate of further bleeding events or the development of a target joint is unclear. Further evaluation in properly performed studies is warranted before routine use can be recommended.</w:t>
      </w:r>
    </w:p>
    <w:p w:rsidR="00484EFC" w:rsidRPr="001E7B3E" w:rsidRDefault="00484EFC" w:rsidP="00484EFC">
      <w:pPr>
        <w:pStyle w:val="Default"/>
        <w:spacing w:line="276" w:lineRule="auto"/>
        <w:ind w:left="113"/>
        <w:rPr>
          <w:rStyle w:val="A8"/>
          <w:rFonts w:asciiTheme="minorHAnsi" w:hAnsiTheme="minorHAnsi"/>
          <w:color w:val="221E1F"/>
          <w:sz w:val="22"/>
          <w:szCs w:val="22"/>
        </w:rPr>
      </w:pPr>
    </w:p>
    <w:p w:rsidR="00484EFC" w:rsidRPr="001E7B3E" w:rsidRDefault="00484EFC" w:rsidP="00041ED2">
      <w:pPr>
        <w:pStyle w:val="Default"/>
        <w:spacing w:after="222" w:line="276" w:lineRule="auto"/>
        <w:ind w:left="1383" w:hanging="1383"/>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6.1.10</w:t>
      </w:r>
      <w:r w:rsidRPr="001E7B3E">
        <w:rPr>
          <w:rStyle w:val="A8"/>
          <w:rFonts w:asciiTheme="minorHAnsi" w:hAnsiTheme="minorHAnsi"/>
          <w:color w:val="221E1F"/>
          <w:sz w:val="22"/>
          <w:szCs w:val="22"/>
        </w:rPr>
        <w:tab/>
        <w:t>Range of motion is preserved in the early stages. Differentiation between haemarthrosis and syno</w:t>
      </w:r>
      <w:r w:rsidRPr="001E7B3E">
        <w:rPr>
          <w:rStyle w:val="A8"/>
          <w:rFonts w:asciiTheme="minorHAnsi" w:hAnsiTheme="minorHAnsi"/>
          <w:color w:val="221E1F"/>
          <w:sz w:val="22"/>
          <w:szCs w:val="22"/>
        </w:rPr>
        <w:softHyphen/>
        <w:t>vitis is difficult, particularly in patients who have established target joints. Expert rheumatology and physiotherapy review is critical.</w:t>
      </w:r>
    </w:p>
    <w:p w:rsidR="00484EFC" w:rsidRPr="001E7B3E" w:rsidRDefault="00484EFC" w:rsidP="00041ED2">
      <w:pPr>
        <w:pStyle w:val="Default"/>
        <w:spacing w:after="222" w:line="276" w:lineRule="auto"/>
        <w:ind w:left="1383" w:hanging="1383"/>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6.1.11</w:t>
      </w:r>
      <w:r w:rsidRPr="001E7B3E">
        <w:rPr>
          <w:rStyle w:val="A8"/>
          <w:rFonts w:asciiTheme="minorHAnsi" w:hAnsiTheme="minorHAnsi"/>
          <w:color w:val="221E1F"/>
          <w:sz w:val="22"/>
          <w:szCs w:val="22"/>
        </w:rPr>
        <w:tab/>
      </w:r>
      <w:proofErr w:type="gramStart"/>
      <w:r w:rsidRPr="001E7B3E">
        <w:rPr>
          <w:rStyle w:val="A8"/>
          <w:rFonts w:asciiTheme="minorHAnsi" w:hAnsiTheme="minorHAnsi"/>
          <w:color w:val="221E1F"/>
          <w:sz w:val="22"/>
          <w:szCs w:val="22"/>
        </w:rPr>
        <w:t>The</w:t>
      </w:r>
      <w:proofErr w:type="gramEnd"/>
      <w:r w:rsidRPr="001E7B3E">
        <w:rPr>
          <w:rStyle w:val="A8"/>
          <w:rFonts w:asciiTheme="minorHAnsi" w:hAnsiTheme="minorHAnsi"/>
          <w:color w:val="221E1F"/>
          <w:sz w:val="22"/>
          <w:szCs w:val="22"/>
        </w:rPr>
        <w:t xml:space="preserve"> presence of synovial hypertrophy may be confirmed by MRI or ultrasonography. Plain MRI will assist in defining the extent of osteochondral changes.</w:t>
      </w:r>
    </w:p>
    <w:p w:rsidR="00484EFC" w:rsidRPr="001E7B3E" w:rsidRDefault="00484EFC" w:rsidP="00041ED2">
      <w:pPr>
        <w:pStyle w:val="Default"/>
        <w:spacing w:after="222" w:line="276" w:lineRule="auto"/>
        <w:ind w:left="1383" w:hanging="1383"/>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lastRenderedPageBreak/>
        <w:t>6.1.12</w:t>
      </w:r>
      <w:r w:rsidRPr="001E7B3E">
        <w:rPr>
          <w:rStyle w:val="A8"/>
          <w:rFonts w:asciiTheme="minorHAnsi" w:hAnsiTheme="minorHAnsi"/>
          <w:color w:val="221E1F"/>
          <w:sz w:val="22"/>
          <w:szCs w:val="22"/>
        </w:rPr>
        <w:tab/>
      </w:r>
      <w:proofErr w:type="gramStart"/>
      <w:r w:rsidRPr="001E7B3E">
        <w:rPr>
          <w:rStyle w:val="A8"/>
          <w:rFonts w:asciiTheme="minorHAnsi" w:hAnsiTheme="minorHAnsi"/>
          <w:color w:val="221E1F"/>
          <w:sz w:val="22"/>
          <w:szCs w:val="22"/>
        </w:rPr>
        <w:t>With</w:t>
      </w:r>
      <w:proofErr w:type="gramEnd"/>
      <w:r w:rsidRPr="001E7B3E">
        <w:rPr>
          <w:rStyle w:val="A8"/>
          <w:rFonts w:asciiTheme="minorHAnsi" w:hAnsiTheme="minorHAnsi"/>
          <w:color w:val="221E1F"/>
          <w:sz w:val="22"/>
          <w:szCs w:val="22"/>
        </w:rPr>
        <w:t xml:space="preserve"> repeated bleeding, the synovium becomes chronically inflamed and hypertrophied, and the joint appears swollen (this swelling is usually not tender to touch): this is chronic synovitis. Again expert rheumatology and physiotherapy review is recommended to ensure accurate diagnosis and appropriate treatment.</w:t>
      </w:r>
    </w:p>
    <w:p w:rsidR="00484EFC" w:rsidRPr="001E7B3E" w:rsidRDefault="00484EFC" w:rsidP="00041ED2">
      <w:pPr>
        <w:pStyle w:val="Default"/>
        <w:spacing w:after="222" w:line="276" w:lineRule="auto"/>
        <w:ind w:left="1383" w:hanging="1383"/>
        <w:rPr>
          <w:rStyle w:val="A8"/>
          <w:rFonts w:asciiTheme="minorHAnsi" w:hAnsiTheme="minorHAnsi" w:cs="Arial"/>
          <w:color w:val="221E1F"/>
          <w:sz w:val="22"/>
          <w:szCs w:val="22"/>
          <w:lang w:eastAsia="en-AU"/>
        </w:rPr>
      </w:pPr>
      <w:r w:rsidRPr="001E7B3E">
        <w:rPr>
          <w:rStyle w:val="A8"/>
          <w:rFonts w:asciiTheme="minorHAnsi" w:hAnsiTheme="minorHAnsi"/>
          <w:color w:val="221E1F"/>
          <w:sz w:val="22"/>
          <w:szCs w:val="22"/>
        </w:rPr>
        <w:t>6.1.13</w:t>
      </w:r>
      <w:r w:rsidRPr="001E7B3E">
        <w:rPr>
          <w:rStyle w:val="A8"/>
          <w:rFonts w:asciiTheme="minorHAnsi" w:hAnsiTheme="minorHAnsi"/>
          <w:color w:val="221E1F"/>
          <w:sz w:val="22"/>
          <w:szCs w:val="22"/>
        </w:rPr>
        <w:tab/>
      </w:r>
      <w:proofErr w:type="gramStart"/>
      <w:r w:rsidRPr="001E7B3E">
        <w:rPr>
          <w:rStyle w:val="A8"/>
          <w:rFonts w:asciiTheme="minorHAnsi" w:hAnsiTheme="minorHAnsi"/>
          <w:color w:val="221E1F"/>
          <w:sz w:val="22"/>
          <w:szCs w:val="22"/>
        </w:rPr>
        <w:t>As</w:t>
      </w:r>
      <w:proofErr w:type="gramEnd"/>
      <w:r w:rsidRPr="001E7B3E">
        <w:rPr>
          <w:rStyle w:val="A8"/>
          <w:rFonts w:asciiTheme="minorHAnsi" w:hAnsiTheme="minorHAnsi"/>
          <w:color w:val="221E1F"/>
          <w:sz w:val="22"/>
          <w:szCs w:val="22"/>
        </w:rPr>
        <w:t xml:space="preserve"> the swelling continues to increase, articular damage, muscle atrophy, and loss of motion will progress to chronic haemophilic arthropathy. A joint can have changes of chronic haemophilic arthropathy but still get episodes of bleeding with acute synovitis.  In these cases, treatment of the acute synovitis is necessary as this is usually the cause of pain and swelling rather than the mechanical arthropathy.</w:t>
      </w:r>
    </w:p>
    <w:p w:rsidR="00484EFC" w:rsidRPr="001E7B3E" w:rsidRDefault="00484EFC" w:rsidP="00041ED2">
      <w:pPr>
        <w:pStyle w:val="Default"/>
        <w:spacing w:after="222" w:line="276" w:lineRule="auto"/>
        <w:ind w:left="1383" w:hanging="1383"/>
        <w:rPr>
          <w:rStyle w:val="A8"/>
          <w:rFonts w:asciiTheme="minorHAnsi" w:hAnsiTheme="minorHAnsi" w:cs="Arial"/>
          <w:b/>
          <w:color w:val="221E1F"/>
          <w:sz w:val="22"/>
          <w:szCs w:val="22"/>
          <w:lang w:eastAsia="en-AU"/>
        </w:rPr>
      </w:pPr>
      <w:r w:rsidRPr="001E7B3E">
        <w:rPr>
          <w:rStyle w:val="A8"/>
          <w:rFonts w:asciiTheme="minorHAnsi" w:hAnsiTheme="minorHAnsi"/>
          <w:color w:val="221E1F"/>
          <w:sz w:val="22"/>
          <w:szCs w:val="22"/>
        </w:rPr>
        <w:t>6.1.14</w:t>
      </w:r>
      <w:r w:rsidRPr="001E7B3E">
        <w:rPr>
          <w:rStyle w:val="A8"/>
          <w:rFonts w:asciiTheme="minorHAnsi" w:hAnsiTheme="minorHAnsi"/>
          <w:color w:val="221E1F"/>
          <w:sz w:val="22"/>
          <w:szCs w:val="22"/>
        </w:rPr>
        <w:tab/>
      </w:r>
      <w:r w:rsidRPr="001E7B3E">
        <w:rPr>
          <w:rStyle w:val="A8"/>
          <w:rFonts w:asciiTheme="minorHAnsi" w:hAnsiTheme="minorHAnsi"/>
          <w:b/>
          <w:color w:val="221E1F"/>
          <w:sz w:val="22"/>
          <w:szCs w:val="22"/>
        </w:rPr>
        <w:t>The goal of treatment is to deactivate the synovium as quickly as possible and preserve joint function</w:t>
      </w:r>
      <w:proofErr w:type="gramStart"/>
      <w:r w:rsidRPr="001E7B3E">
        <w:rPr>
          <w:rStyle w:val="A8"/>
          <w:rFonts w:asciiTheme="minorHAnsi" w:hAnsiTheme="minorHAnsi"/>
          <w:b/>
          <w:color w:val="221E1F"/>
          <w:sz w:val="22"/>
          <w:szCs w:val="22"/>
        </w:rPr>
        <w:t>.</w:t>
      </w:r>
      <w:r w:rsidRPr="001E7B3E">
        <w:rPr>
          <w:rStyle w:val="A8"/>
          <w:rFonts w:asciiTheme="minorHAnsi" w:hAnsiTheme="minorHAnsi"/>
          <w:b/>
          <w:color w:val="221E1F"/>
          <w:sz w:val="22"/>
          <w:szCs w:val="22"/>
          <w:vertAlign w:val="superscript"/>
        </w:rPr>
        <w:t>[</w:t>
      </w:r>
      <w:proofErr w:type="gramEnd"/>
      <w:r w:rsidRPr="001E7B3E">
        <w:rPr>
          <w:rStyle w:val="A8"/>
          <w:rFonts w:asciiTheme="minorHAnsi" w:hAnsiTheme="minorHAnsi"/>
          <w:b/>
          <w:color w:val="221E1F"/>
          <w:sz w:val="22"/>
          <w:szCs w:val="22"/>
          <w:vertAlign w:val="superscript"/>
        </w:rPr>
        <w:t>3,4]</w:t>
      </w:r>
      <w:r w:rsidRPr="001E7B3E">
        <w:rPr>
          <w:rStyle w:val="A8"/>
          <w:rFonts w:asciiTheme="minorHAnsi" w:hAnsiTheme="minorHAnsi"/>
          <w:b/>
          <w:color w:val="221E1F"/>
          <w:sz w:val="22"/>
          <w:szCs w:val="22"/>
        </w:rPr>
        <w:t xml:space="preserve"> </w:t>
      </w:r>
      <w:r w:rsidRPr="001E7B3E">
        <w:rPr>
          <w:rStyle w:val="A8"/>
          <w:rFonts w:asciiTheme="minorHAnsi" w:hAnsiTheme="minorHAnsi"/>
          <w:color w:val="221E1F"/>
          <w:sz w:val="22"/>
          <w:szCs w:val="22"/>
        </w:rPr>
        <w:t>Options include:</w:t>
      </w:r>
      <w:r w:rsidRPr="001E7B3E">
        <w:rPr>
          <w:rStyle w:val="A8"/>
          <w:rFonts w:asciiTheme="minorHAnsi" w:hAnsiTheme="minorHAnsi"/>
          <w:b/>
          <w:color w:val="221E1F"/>
          <w:sz w:val="22"/>
          <w:szCs w:val="22"/>
        </w:rPr>
        <w:t xml:space="preserve"> </w:t>
      </w:r>
    </w:p>
    <w:p w:rsidR="00484EFC" w:rsidRPr="001E7B3E" w:rsidRDefault="00484EFC" w:rsidP="00484EFC">
      <w:pPr>
        <w:pStyle w:val="Default"/>
        <w:numPr>
          <w:ilvl w:val="0"/>
          <w:numId w:val="95"/>
        </w:numPr>
        <w:spacing w:line="276" w:lineRule="auto"/>
        <w:ind w:left="1701" w:hanging="284"/>
        <w:rPr>
          <w:rStyle w:val="A8"/>
          <w:rFonts w:asciiTheme="minorHAnsi" w:hAnsiTheme="minorHAnsi"/>
          <w:b/>
          <w:color w:val="221E1F"/>
          <w:sz w:val="22"/>
          <w:szCs w:val="22"/>
        </w:rPr>
      </w:pPr>
      <w:r w:rsidRPr="001E7B3E">
        <w:rPr>
          <w:rStyle w:val="A8"/>
          <w:rFonts w:asciiTheme="minorHAnsi" w:hAnsiTheme="minorHAnsi"/>
          <w:b/>
          <w:color w:val="221E1F"/>
          <w:sz w:val="22"/>
          <w:szCs w:val="22"/>
        </w:rPr>
        <w:t>factor concentrate replacement, ideally given with the frequency and at dose</w:t>
      </w:r>
      <w:r w:rsidR="00A03871">
        <w:rPr>
          <w:rStyle w:val="A8"/>
          <w:rFonts w:asciiTheme="minorHAnsi" w:hAnsiTheme="minorHAnsi"/>
          <w:b/>
          <w:color w:val="221E1F"/>
          <w:sz w:val="22"/>
          <w:szCs w:val="22"/>
        </w:rPr>
        <w:t xml:space="preserve"> </w:t>
      </w:r>
      <w:r w:rsidRPr="001E7B3E">
        <w:rPr>
          <w:rStyle w:val="A8"/>
          <w:rFonts w:asciiTheme="minorHAnsi" w:hAnsiTheme="minorHAnsi"/>
          <w:b/>
          <w:color w:val="221E1F"/>
          <w:sz w:val="22"/>
          <w:szCs w:val="22"/>
        </w:rPr>
        <w:t xml:space="preserve">sufficient to prevent recurrent bleeding </w:t>
      </w:r>
      <w:r w:rsidRPr="001E7B3E">
        <w:rPr>
          <w:rStyle w:val="A8"/>
          <w:rFonts w:asciiTheme="minorHAnsi" w:hAnsiTheme="minorHAnsi"/>
          <w:b/>
          <w:color w:val="221E1F"/>
          <w:sz w:val="22"/>
          <w:szCs w:val="22"/>
          <w:vertAlign w:val="superscript"/>
        </w:rPr>
        <w:t>[5-8]</w:t>
      </w:r>
    </w:p>
    <w:p w:rsidR="00484EFC" w:rsidRPr="001E7B3E" w:rsidRDefault="00484EFC" w:rsidP="00484EFC">
      <w:pPr>
        <w:pStyle w:val="Default"/>
        <w:numPr>
          <w:ilvl w:val="0"/>
          <w:numId w:val="95"/>
        </w:numPr>
        <w:spacing w:line="276" w:lineRule="auto"/>
        <w:ind w:left="1701" w:hanging="284"/>
        <w:rPr>
          <w:rStyle w:val="A8"/>
          <w:rFonts w:asciiTheme="minorHAnsi" w:hAnsiTheme="minorHAnsi"/>
          <w:b/>
          <w:color w:val="221E1F"/>
          <w:sz w:val="22"/>
          <w:szCs w:val="22"/>
        </w:rPr>
      </w:pPr>
      <w:r w:rsidRPr="001E7B3E">
        <w:rPr>
          <w:rStyle w:val="A8"/>
          <w:rFonts w:asciiTheme="minorHAnsi" w:hAnsiTheme="minorHAnsi"/>
          <w:color w:val="221E1F"/>
          <w:sz w:val="22"/>
          <w:szCs w:val="22"/>
        </w:rPr>
        <w:t>Short treatment courses (6-8 weeks) of secondary prophylaxis with intensive</w:t>
      </w:r>
      <w:r w:rsidR="00A03871">
        <w:rPr>
          <w:rStyle w:val="A8"/>
          <w:rFonts w:asciiTheme="minorHAnsi" w:hAnsiTheme="minorHAnsi"/>
          <w:color w:val="221E1F"/>
          <w:sz w:val="22"/>
          <w:szCs w:val="22"/>
        </w:rPr>
        <w:t xml:space="preserve"> </w:t>
      </w:r>
      <w:r w:rsidRPr="001E7B3E">
        <w:rPr>
          <w:rStyle w:val="A8"/>
          <w:rFonts w:asciiTheme="minorHAnsi" w:hAnsiTheme="minorHAnsi"/>
          <w:color w:val="221E1F"/>
          <w:sz w:val="22"/>
          <w:szCs w:val="22"/>
        </w:rPr>
        <w:t xml:space="preserve">are beneficial </w:t>
      </w:r>
    </w:p>
    <w:p w:rsidR="00484EFC" w:rsidRPr="001E7B3E" w:rsidRDefault="00484EFC" w:rsidP="00484EFC">
      <w:pPr>
        <w:pStyle w:val="Default"/>
        <w:numPr>
          <w:ilvl w:val="0"/>
          <w:numId w:val="95"/>
        </w:numPr>
        <w:spacing w:line="276" w:lineRule="auto"/>
        <w:ind w:left="1701" w:hanging="284"/>
        <w:rPr>
          <w:rStyle w:val="A8"/>
          <w:rFonts w:asciiTheme="minorHAnsi" w:hAnsiTheme="minorHAnsi"/>
          <w:color w:val="221E1F"/>
          <w:sz w:val="22"/>
          <w:szCs w:val="22"/>
        </w:rPr>
      </w:pPr>
      <w:r>
        <w:rPr>
          <w:rStyle w:val="A8"/>
          <w:rFonts w:asciiTheme="minorHAnsi" w:hAnsiTheme="minorHAnsi"/>
          <w:b/>
          <w:color w:val="221E1F"/>
          <w:sz w:val="22"/>
          <w:szCs w:val="22"/>
        </w:rPr>
        <w:t>physiotherapy</w:t>
      </w:r>
      <w:r w:rsidRPr="001E7B3E">
        <w:rPr>
          <w:rStyle w:val="A8"/>
          <w:rFonts w:asciiTheme="minorHAnsi" w:hAnsiTheme="minorHAnsi"/>
          <w:b/>
          <w:color w:val="221E1F"/>
          <w:sz w:val="22"/>
          <w:szCs w:val="22"/>
        </w:rPr>
        <w:t xml:space="preserve"> </w:t>
      </w:r>
      <w:r w:rsidRPr="001E7B3E">
        <w:rPr>
          <w:rStyle w:val="A8"/>
          <w:rFonts w:asciiTheme="minorHAnsi" w:hAnsiTheme="minorHAnsi"/>
          <w:b/>
          <w:color w:val="221E1F"/>
          <w:sz w:val="22"/>
          <w:szCs w:val="22"/>
          <w:vertAlign w:val="superscript"/>
        </w:rPr>
        <w:t>[9,10]</w:t>
      </w:r>
      <w:r w:rsidRPr="001E7B3E">
        <w:rPr>
          <w:rStyle w:val="A8"/>
          <w:rFonts w:asciiTheme="minorHAnsi" w:hAnsiTheme="minorHAnsi"/>
          <w:color w:val="221E1F"/>
          <w:sz w:val="22"/>
          <w:szCs w:val="22"/>
        </w:rPr>
        <w:t xml:space="preserve"> including:</w:t>
      </w:r>
    </w:p>
    <w:p w:rsidR="00484EFC" w:rsidRPr="001E7B3E" w:rsidRDefault="00484EFC" w:rsidP="00484EFC">
      <w:pPr>
        <w:pStyle w:val="Default"/>
        <w:numPr>
          <w:ilvl w:val="0"/>
          <w:numId w:val="96"/>
        </w:numPr>
        <w:spacing w:line="276" w:lineRule="auto"/>
        <w:ind w:left="1985" w:hanging="284"/>
        <w:rPr>
          <w:rStyle w:val="A8"/>
          <w:rFonts w:asciiTheme="minorHAnsi" w:hAnsiTheme="minorHAnsi"/>
          <w:color w:val="221E1F"/>
          <w:sz w:val="22"/>
          <w:szCs w:val="22"/>
        </w:rPr>
      </w:pPr>
      <w:r w:rsidRPr="001E7B3E">
        <w:rPr>
          <w:rStyle w:val="A8"/>
          <w:rFonts w:asciiTheme="minorHAnsi" w:hAnsiTheme="minorHAnsi"/>
          <w:color w:val="221E1F"/>
          <w:sz w:val="22"/>
          <w:szCs w:val="22"/>
        </w:rPr>
        <w:t xml:space="preserve">daily exercise to improve muscle strength and maintain joint motion </w:t>
      </w:r>
    </w:p>
    <w:p w:rsidR="00484EFC" w:rsidRPr="001E7B3E" w:rsidRDefault="00484EFC" w:rsidP="00484EFC">
      <w:pPr>
        <w:pStyle w:val="Default"/>
        <w:numPr>
          <w:ilvl w:val="0"/>
          <w:numId w:val="96"/>
        </w:numPr>
        <w:spacing w:line="276" w:lineRule="auto"/>
        <w:ind w:left="1985" w:hanging="284"/>
        <w:rPr>
          <w:rStyle w:val="A8"/>
          <w:rFonts w:asciiTheme="minorHAnsi" w:hAnsiTheme="minorHAnsi"/>
          <w:color w:val="221E1F"/>
          <w:sz w:val="22"/>
          <w:szCs w:val="22"/>
        </w:rPr>
      </w:pPr>
      <w:r w:rsidRPr="001E7B3E">
        <w:rPr>
          <w:rStyle w:val="A8"/>
          <w:rFonts w:asciiTheme="minorHAnsi" w:hAnsiTheme="minorHAnsi"/>
          <w:color w:val="221E1F"/>
          <w:sz w:val="22"/>
          <w:szCs w:val="22"/>
        </w:rPr>
        <w:t>modalities to reduce secondary inflamma</w:t>
      </w:r>
      <w:r w:rsidRPr="001E7B3E">
        <w:rPr>
          <w:rStyle w:val="A8"/>
          <w:rFonts w:asciiTheme="minorHAnsi" w:hAnsiTheme="minorHAnsi"/>
          <w:color w:val="221E1F"/>
          <w:sz w:val="22"/>
          <w:szCs w:val="22"/>
        </w:rPr>
        <w:softHyphen/>
        <w:t xml:space="preserve">tion, if available </w:t>
      </w:r>
      <w:r w:rsidRPr="001E7B3E">
        <w:rPr>
          <w:rStyle w:val="A8"/>
          <w:rFonts w:asciiTheme="minorHAnsi" w:hAnsiTheme="minorHAnsi"/>
          <w:color w:val="221E1F"/>
          <w:sz w:val="22"/>
          <w:szCs w:val="22"/>
          <w:vertAlign w:val="superscript"/>
        </w:rPr>
        <w:t xml:space="preserve">[11] </w:t>
      </w:r>
    </w:p>
    <w:p w:rsidR="00484EFC" w:rsidRPr="001E7B3E" w:rsidRDefault="00484EFC" w:rsidP="00484EFC">
      <w:pPr>
        <w:pStyle w:val="Default"/>
        <w:numPr>
          <w:ilvl w:val="0"/>
          <w:numId w:val="96"/>
        </w:numPr>
        <w:spacing w:line="276" w:lineRule="auto"/>
        <w:ind w:left="1985" w:hanging="284"/>
        <w:rPr>
          <w:rStyle w:val="A8"/>
          <w:rFonts w:asciiTheme="minorHAnsi" w:hAnsiTheme="minorHAnsi"/>
          <w:color w:val="221E1F"/>
          <w:sz w:val="22"/>
          <w:szCs w:val="22"/>
        </w:rPr>
      </w:pPr>
      <w:r w:rsidRPr="001E7B3E">
        <w:rPr>
          <w:rStyle w:val="A8"/>
          <w:rFonts w:asciiTheme="minorHAnsi" w:hAnsiTheme="minorHAnsi"/>
          <w:color w:val="221E1F"/>
          <w:sz w:val="22"/>
          <w:szCs w:val="22"/>
        </w:rPr>
        <w:t xml:space="preserve">functional training </w:t>
      </w:r>
      <w:r w:rsidRPr="001E7B3E">
        <w:rPr>
          <w:rStyle w:val="A8"/>
          <w:rFonts w:asciiTheme="minorHAnsi" w:hAnsiTheme="minorHAnsi"/>
          <w:color w:val="221E1F"/>
          <w:sz w:val="22"/>
          <w:szCs w:val="22"/>
          <w:vertAlign w:val="superscript"/>
        </w:rPr>
        <w:t>[12]</w:t>
      </w:r>
      <w:r w:rsidRPr="001E7B3E">
        <w:rPr>
          <w:rStyle w:val="A8"/>
          <w:rFonts w:asciiTheme="minorHAnsi" w:hAnsiTheme="minorHAnsi"/>
          <w:color w:val="221E1F"/>
          <w:sz w:val="22"/>
          <w:szCs w:val="22"/>
        </w:rPr>
        <w:t xml:space="preserve"> </w:t>
      </w:r>
    </w:p>
    <w:p w:rsidR="00484EFC" w:rsidRPr="001E7B3E" w:rsidRDefault="00484EFC" w:rsidP="00484EFC">
      <w:pPr>
        <w:pStyle w:val="Default"/>
        <w:numPr>
          <w:ilvl w:val="0"/>
          <w:numId w:val="97"/>
        </w:numPr>
        <w:spacing w:line="276" w:lineRule="auto"/>
        <w:ind w:left="1701" w:hanging="284"/>
        <w:rPr>
          <w:rStyle w:val="A8"/>
          <w:rFonts w:asciiTheme="minorHAnsi" w:hAnsiTheme="minorHAnsi"/>
          <w:color w:val="221E1F"/>
          <w:sz w:val="22"/>
          <w:szCs w:val="22"/>
        </w:rPr>
      </w:pPr>
      <w:r w:rsidRPr="001E7B3E">
        <w:rPr>
          <w:rStyle w:val="A8"/>
          <w:rFonts w:asciiTheme="minorHAnsi" w:hAnsiTheme="minorHAnsi"/>
          <w:b/>
          <w:color w:val="221E1F"/>
          <w:sz w:val="22"/>
          <w:szCs w:val="22"/>
        </w:rPr>
        <w:t xml:space="preserve">a course of NSAIDs (COX-2 inhibitors), which </w:t>
      </w:r>
      <w:r w:rsidR="00173B0C">
        <w:rPr>
          <w:rStyle w:val="A8"/>
          <w:rFonts w:asciiTheme="minorHAnsi" w:hAnsiTheme="minorHAnsi"/>
          <w:b/>
          <w:color w:val="221E1F"/>
          <w:sz w:val="22"/>
          <w:szCs w:val="22"/>
        </w:rPr>
        <w:t xml:space="preserve">may reduce inflammation (see </w:t>
      </w:r>
      <w:r w:rsidR="00173B0C">
        <w:rPr>
          <w:rStyle w:val="A8"/>
          <w:rFonts w:asciiTheme="minorHAnsi" w:hAnsiTheme="minorHAnsi"/>
          <w:b/>
          <w:color w:val="221E1F"/>
          <w:sz w:val="22"/>
          <w:szCs w:val="22"/>
        </w:rPr>
        <w:tab/>
      </w:r>
      <w:r w:rsidRPr="001E7B3E">
        <w:rPr>
          <w:rStyle w:val="A8"/>
          <w:rFonts w:asciiTheme="minorHAnsi" w:hAnsiTheme="minorHAnsi"/>
          <w:b/>
          <w:color w:val="221E1F"/>
          <w:sz w:val="22"/>
          <w:szCs w:val="22"/>
        </w:rPr>
        <w:t xml:space="preserve">point </w:t>
      </w:r>
      <w:r>
        <w:rPr>
          <w:rStyle w:val="A8"/>
          <w:rFonts w:asciiTheme="minorHAnsi" w:hAnsiTheme="minorHAnsi"/>
          <w:b/>
          <w:color w:val="221E1F"/>
          <w:sz w:val="22"/>
          <w:szCs w:val="22"/>
        </w:rPr>
        <w:t>6.1.9</w:t>
      </w:r>
      <w:r w:rsidRPr="001E7B3E">
        <w:rPr>
          <w:rStyle w:val="A8"/>
          <w:rFonts w:asciiTheme="minorHAnsi" w:hAnsiTheme="minorHAnsi"/>
          <w:b/>
          <w:color w:val="221E1F"/>
          <w:sz w:val="22"/>
          <w:szCs w:val="22"/>
        </w:rPr>
        <w:t xml:space="preserve"> above)  </w:t>
      </w:r>
      <w:r w:rsidRPr="001E7B3E">
        <w:rPr>
          <w:rStyle w:val="A8"/>
          <w:rFonts w:asciiTheme="minorHAnsi" w:hAnsiTheme="minorHAnsi"/>
          <w:b/>
          <w:color w:val="221E1F"/>
          <w:sz w:val="22"/>
          <w:szCs w:val="22"/>
          <w:vertAlign w:val="superscript"/>
        </w:rPr>
        <w:t>[13,14]</w:t>
      </w:r>
      <w:r w:rsidRPr="001E7B3E">
        <w:rPr>
          <w:rStyle w:val="A8"/>
          <w:rFonts w:asciiTheme="minorHAnsi" w:hAnsiTheme="minorHAnsi"/>
          <w:b/>
          <w:color w:val="221E1F"/>
          <w:sz w:val="22"/>
          <w:szCs w:val="22"/>
        </w:rPr>
        <w:t xml:space="preserve"> </w:t>
      </w:r>
    </w:p>
    <w:p w:rsidR="00484EFC" w:rsidRDefault="00484EFC" w:rsidP="00484EFC">
      <w:pPr>
        <w:pStyle w:val="Default"/>
        <w:numPr>
          <w:ilvl w:val="0"/>
          <w:numId w:val="97"/>
        </w:numPr>
        <w:spacing w:line="276" w:lineRule="auto"/>
        <w:ind w:left="1701" w:hanging="284"/>
        <w:rPr>
          <w:rStyle w:val="A8"/>
          <w:rFonts w:asciiTheme="minorHAnsi" w:hAnsiTheme="minorHAnsi"/>
          <w:color w:val="221E1F"/>
          <w:sz w:val="22"/>
          <w:szCs w:val="22"/>
        </w:rPr>
      </w:pPr>
      <w:r w:rsidRPr="001E7B3E">
        <w:rPr>
          <w:rStyle w:val="A8"/>
          <w:rFonts w:asciiTheme="minorHAnsi" w:hAnsiTheme="minorHAnsi"/>
          <w:color w:val="221E1F"/>
          <w:sz w:val="22"/>
          <w:szCs w:val="22"/>
        </w:rPr>
        <w:t>functional bracing, with physiotherapy oversight where possible, which allows the</w:t>
      </w:r>
      <w:r w:rsidR="00A03871">
        <w:rPr>
          <w:rStyle w:val="A8"/>
          <w:rFonts w:asciiTheme="minorHAnsi" w:hAnsiTheme="minorHAnsi"/>
          <w:color w:val="221E1F"/>
          <w:sz w:val="22"/>
          <w:szCs w:val="22"/>
        </w:rPr>
        <w:t xml:space="preserve"> </w:t>
      </w:r>
      <w:r w:rsidRPr="001E7B3E">
        <w:rPr>
          <w:rStyle w:val="A8"/>
          <w:rFonts w:asciiTheme="minorHAnsi" w:hAnsiTheme="minorHAnsi"/>
          <w:color w:val="221E1F"/>
          <w:sz w:val="22"/>
          <w:szCs w:val="22"/>
        </w:rPr>
        <w:t>joint to move but limits movement at the ends of range where the synovium can be</w:t>
      </w:r>
      <w:r w:rsidR="00A03871">
        <w:rPr>
          <w:rStyle w:val="A8"/>
          <w:rFonts w:asciiTheme="minorHAnsi" w:hAnsiTheme="minorHAnsi"/>
          <w:color w:val="221E1F"/>
          <w:sz w:val="22"/>
          <w:szCs w:val="22"/>
        </w:rPr>
        <w:t xml:space="preserve"> </w:t>
      </w:r>
      <w:r w:rsidRPr="001E7B3E">
        <w:rPr>
          <w:rStyle w:val="A8"/>
          <w:rFonts w:asciiTheme="minorHAnsi" w:hAnsiTheme="minorHAnsi"/>
          <w:color w:val="221E1F"/>
          <w:sz w:val="22"/>
          <w:szCs w:val="22"/>
        </w:rPr>
        <w:t xml:space="preserve">pinched and which may prevent new bleeding </w:t>
      </w:r>
      <w:r w:rsidRPr="001E7B3E">
        <w:rPr>
          <w:rStyle w:val="A8"/>
          <w:rFonts w:asciiTheme="minorHAnsi" w:hAnsiTheme="minorHAnsi"/>
          <w:color w:val="221E1F"/>
          <w:sz w:val="22"/>
          <w:szCs w:val="22"/>
          <w:vertAlign w:val="superscript"/>
        </w:rPr>
        <w:t>[15]</w:t>
      </w:r>
      <w:r w:rsidRPr="001E7B3E">
        <w:rPr>
          <w:rStyle w:val="A8"/>
          <w:rFonts w:asciiTheme="minorHAnsi" w:hAnsiTheme="minorHAnsi"/>
          <w:color w:val="221E1F"/>
          <w:sz w:val="22"/>
          <w:szCs w:val="22"/>
        </w:rPr>
        <w:t xml:space="preserve"> </w:t>
      </w:r>
    </w:p>
    <w:p w:rsidR="00484EFC" w:rsidRDefault="00484EFC" w:rsidP="00484EFC">
      <w:pPr>
        <w:pStyle w:val="Default"/>
        <w:numPr>
          <w:ilvl w:val="0"/>
          <w:numId w:val="97"/>
        </w:numPr>
        <w:spacing w:line="276" w:lineRule="auto"/>
        <w:ind w:left="1701" w:hanging="284"/>
        <w:rPr>
          <w:rStyle w:val="A8"/>
          <w:rFonts w:asciiTheme="minorHAnsi" w:hAnsiTheme="minorHAnsi"/>
          <w:color w:val="221E1F"/>
          <w:sz w:val="22"/>
          <w:szCs w:val="22"/>
        </w:rPr>
      </w:pPr>
      <w:r w:rsidRPr="00741A17">
        <w:rPr>
          <w:rStyle w:val="A8"/>
          <w:rFonts w:asciiTheme="minorHAnsi" w:hAnsiTheme="minorHAnsi"/>
          <w:color w:val="221E1F"/>
          <w:sz w:val="22"/>
          <w:szCs w:val="22"/>
        </w:rPr>
        <w:t xml:space="preserve">synovectomy </w:t>
      </w:r>
    </w:p>
    <w:p w:rsidR="00484EFC" w:rsidRDefault="00484EFC" w:rsidP="00484EFC">
      <w:pPr>
        <w:pStyle w:val="Default"/>
        <w:numPr>
          <w:ilvl w:val="0"/>
          <w:numId w:val="97"/>
        </w:numPr>
        <w:spacing w:line="276" w:lineRule="auto"/>
        <w:ind w:left="1701" w:hanging="284"/>
        <w:rPr>
          <w:rStyle w:val="A8"/>
          <w:rFonts w:asciiTheme="minorHAnsi" w:hAnsiTheme="minorHAnsi"/>
          <w:color w:val="221E1F"/>
          <w:sz w:val="22"/>
          <w:szCs w:val="22"/>
        </w:rPr>
      </w:pPr>
      <w:proofErr w:type="gramStart"/>
      <w:r w:rsidRPr="00741A17">
        <w:rPr>
          <w:rStyle w:val="A8"/>
          <w:rFonts w:asciiTheme="minorHAnsi" w:hAnsiTheme="minorHAnsi"/>
          <w:color w:val="221E1F"/>
          <w:sz w:val="22"/>
          <w:szCs w:val="22"/>
        </w:rPr>
        <w:t>the</w:t>
      </w:r>
      <w:proofErr w:type="gramEnd"/>
      <w:r w:rsidRPr="00741A17">
        <w:rPr>
          <w:rStyle w:val="A8"/>
          <w:rFonts w:asciiTheme="minorHAnsi" w:hAnsiTheme="minorHAnsi"/>
          <w:color w:val="221E1F"/>
          <w:sz w:val="22"/>
          <w:szCs w:val="22"/>
        </w:rPr>
        <w:t xml:space="preserve"> role of intra-articular steroids to limit active synovitis and reduce the risk of recurrent bleeding is unclear. A systematic review was performed to evaluate the </w:t>
      </w:r>
      <w:r>
        <w:rPr>
          <w:rStyle w:val="A8"/>
          <w:rFonts w:asciiTheme="minorHAnsi" w:hAnsiTheme="minorHAnsi"/>
          <w:color w:val="221E1F"/>
          <w:sz w:val="22"/>
          <w:szCs w:val="22"/>
        </w:rPr>
        <w:t>efficacy of intra</w:t>
      </w:r>
      <w:r w:rsidR="00173B0C">
        <w:rPr>
          <w:rStyle w:val="A8"/>
          <w:rFonts w:asciiTheme="minorHAnsi" w:hAnsiTheme="minorHAnsi"/>
          <w:color w:val="221E1F"/>
          <w:sz w:val="22"/>
          <w:szCs w:val="22"/>
        </w:rPr>
        <w:t>-</w:t>
      </w:r>
      <w:r w:rsidRPr="00741A17">
        <w:rPr>
          <w:rStyle w:val="A8"/>
          <w:rFonts w:asciiTheme="minorHAnsi" w:hAnsiTheme="minorHAnsi"/>
          <w:color w:val="221E1F"/>
          <w:sz w:val="22"/>
          <w:szCs w:val="22"/>
        </w:rPr>
        <w:t>articular steroid injection in patients with haemophilia with and without pre-existing haemophilic arthropathy or synovitis. (</w:t>
      </w:r>
      <w:r w:rsidR="00C83A3F">
        <w:rPr>
          <w:rStyle w:val="A8"/>
          <w:rFonts w:asciiTheme="minorHAnsi" w:hAnsiTheme="minorHAnsi"/>
          <w:color w:val="221E1F"/>
          <w:sz w:val="22"/>
          <w:szCs w:val="22"/>
        </w:rPr>
        <w:t>Appendix C</w:t>
      </w:r>
      <w:r w:rsidRPr="00741A17">
        <w:rPr>
          <w:rStyle w:val="A8"/>
          <w:rFonts w:asciiTheme="minorHAnsi" w:hAnsiTheme="minorHAnsi"/>
          <w:color w:val="221E1F"/>
          <w:sz w:val="22"/>
          <w:szCs w:val="22"/>
        </w:rPr>
        <w:t>) The following conclusions were made after available evidence was assessed using the GRADE criteria;</w:t>
      </w:r>
    </w:p>
    <w:p w:rsidR="00484EFC" w:rsidRPr="00297615" w:rsidRDefault="00484EFC" w:rsidP="00484EFC">
      <w:pPr>
        <w:pStyle w:val="Default"/>
        <w:spacing w:line="276" w:lineRule="auto"/>
        <w:ind w:left="1701"/>
        <w:rPr>
          <w:rStyle w:val="A8"/>
          <w:rFonts w:asciiTheme="minorHAnsi" w:hAnsiTheme="minorHAnsi"/>
          <w:color w:val="221E1F"/>
          <w:sz w:val="22"/>
          <w:szCs w:val="22"/>
        </w:rPr>
      </w:pPr>
    </w:p>
    <w:p w:rsidR="00484EFC" w:rsidRDefault="00484EFC" w:rsidP="00484EFC">
      <w:pPr>
        <w:pStyle w:val="Default"/>
        <w:numPr>
          <w:ilvl w:val="0"/>
          <w:numId w:val="98"/>
        </w:numPr>
        <w:spacing w:line="276" w:lineRule="auto"/>
        <w:ind w:left="1985" w:hanging="284"/>
        <w:rPr>
          <w:rStyle w:val="A8"/>
          <w:rFonts w:asciiTheme="minorHAnsi" w:hAnsiTheme="minorHAnsi"/>
          <w:color w:val="221E1F"/>
          <w:sz w:val="22"/>
          <w:szCs w:val="22"/>
        </w:rPr>
      </w:pPr>
      <w:r w:rsidRPr="001E7B3E">
        <w:rPr>
          <w:rStyle w:val="A8"/>
          <w:rFonts w:asciiTheme="minorHAnsi" w:hAnsiTheme="minorHAnsi"/>
          <w:color w:val="221E1F"/>
          <w:sz w:val="22"/>
          <w:szCs w:val="22"/>
        </w:rPr>
        <w:t>In patients with haemophilia and haemophilic arthropathy, no studies were found that evaluated the effect of intra-articular steroid on recurrent haemarthrosis</w:t>
      </w:r>
    </w:p>
    <w:p w:rsidR="00484EFC" w:rsidRDefault="00484EFC" w:rsidP="00484EFC">
      <w:pPr>
        <w:pStyle w:val="Default"/>
        <w:numPr>
          <w:ilvl w:val="0"/>
          <w:numId w:val="98"/>
        </w:numPr>
        <w:spacing w:line="276" w:lineRule="auto"/>
        <w:ind w:left="1985" w:hanging="284"/>
        <w:rPr>
          <w:rStyle w:val="A8"/>
          <w:rFonts w:asciiTheme="minorHAnsi" w:hAnsiTheme="minorHAnsi"/>
          <w:color w:val="221E1F"/>
          <w:sz w:val="22"/>
          <w:szCs w:val="22"/>
        </w:rPr>
      </w:pPr>
      <w:r w:rsidRPr="00741A17">
        <w:rPr>
          <w:rStyle w:val="A8"/>
          <w:rFonts w:asciiTheme="minorHAnsi" w:hAnsiTheme="minorHAnsi"/>
          <w:color w:val="221E1F"/>
          <w:sz w:val="22"/>
          <w:szCs w:val="22"/>
        </w:rPr>
        <w:t>In patients with haemophilia and haemophilic arthropathy, no studies were found</w:t>
      </w:r>
      <w:r w:rsidR="00A03871">
        <w:rPr>
          <w:rStyle w:val="A8"/>
          <w:rFonts w:asciiTheme="minorHAnsi" w:hAnsiTheme="minorHAnsi"/>
          <w:color w:val="221E1F"/>
          <w:sz w:val="22"/>
          <w:szCs w:val="22"/>
        </w:rPr>
        <w:t xml:space="preserve"> </w:t>
      </w:r>
      <w:r w:rsidRPr="00741A17">
        <w:rPr>
          <w:rStyle w:val="A8"/>
          <w:rFonts w:asciiTheme="minorHAnsi" w:hAnsiTheme="minorHAnsi"/>
          <w:color w:val="221E1F"/>
          <w:sz w:val="22"/>
          <w:szCs w:val="22"/>
        </w:rPr>
        <w:t>that evaluated the effect of intra-articular ste</w:t>
      </w:r>
      <w:r>
        <w:rPr>
          <w:rStyle w:val="A8"/>
          <w:rFonts w:asciiTheme="minorHAnsi" w:hAnsiTheme="minorHAnsi"/>
          <w:color w:val="221E1F"/>
          <w:sz w:val="22"/>
          <w:szCs w:val="22"/>
        </w:rPr>
        <w:t>roid on development of a target</w:t>
      </w:r>
      <w:r w:rsidRPr="00741A17">
        <w:rPr>
          <w:rStyle w:val="A8"/>
          <w:rFonts w:asciiTheme="minorHAnsi" w:hAnsiTheme="minorHAnsi"/>
          <w:color w:val="221E1F"/>
          <w:sz w:val="22"/>
          <w:szCs w:val="22"/>
        </w:rPr>
        <w:t xml:space="preserve"> joint.</w:t>
      </w:r>
    </w:p>
    <w:p w:rsidR="00484EFC" w:rsidRDefault="00484EFC" w:rsidP="00484EFC">
      <w:pPr>
        <w:pStyle w:val="Default"/>
        <w:numPr>
          <w:ilvl w:val="0"/>
          <w:numId w:val="98"/>
        </w:numPr>
        <w:spacing w:line="276" w:lineRule="auto"/>
        <w:ind w:left="1985" w:hanging="284"/>
        <w:rPr>
          <w:rStyle w:val="A8"/>
          <w:rFonts w:asciiTheme="minorHAnsi" w:hAnsiTheme="minorHAnsi"/>
          <w:color w:val="221E1F"/>
          <w:sz w:val="22"/>
          <w:szCs w:val="22"/>
        </w:rPr>
      </w:pPr>
      <w:r w:rsidRPr="00741A17">
        <w:rPr>
          <w:rStyle w:val="A8"/>
          <w:rFonts w:asciiTheme="minorHAnsi" w:hAnsiTheme="minorHAnsi"/>
          <w:color w:val="221E1F"/>
          <w:sz w:val="22"/>
          <w:szCs w:val="22"/>
        </w:rPr>
        <w:t>In patients with haemophilia and haemophilic arthropathy, no studies were found</w:t>
      </w:r>
      <w:r w:rsidR="00A03871">
        <w:rPr>
          <w:rStyle w:val="A8"/>
          <w:rFonts w:asciiTheme="minorHAnsi" w:hAnsiTheme="minorHAnsi"/>
          <w:color w:val="221E1F"/>
          <w:sz w:val="22"/>
          <w:szCs w:val="22"/>
        </w:rPr>
        <w:t xml:space="preserve"> </w:t>
      </w:r>
      <w:r w:rsidRPr="00741A17">
        <w:rPr>
          <w:rStyle w:val="A8"/>
          <w:rFonts w:asciiTheme="minorHAnsi" w:hAnsiTheme="minorHAnsi"/>
          <w:color w:val="221E1F"/>
          <w:sz w:val="22"/>
          <w:szCs w:val="22"/>
        </w:rPr>
        <w:t>that evaluated the effect of intra-articular steroid on bleeding rates/events.</w:t>
      </w:r>
    </w:p>
    <w:p w:rsidR="00484EFC" w:rsidRDefault="00484EFC" w:rsidP="00484EFC">
      <w:pPr>
        <w:pStyle w:val="Default"/>
        <w:numPr>
          <w:ilvl w:val="0"/>
          <w:numId w:val="98"/>
        </w:numPr>
        <w:spacing w:line="276" w:lineRule="auto"/>
        <w:ind w:left="1985" w:hanging="284"/>
        <w:rPr>
          <w:rStyle w:val="A8"/>
          <w:rFonts w:asciiTheme="minorHAnsi" w:hAnsiTheme="minorHAnsi"/>
          <w:color w:val="221E1F"/>
          <w:sz w:val="22"/>
          <w:szCs w:val="22"/>
        </w:rPr>
      </w:pPr>
      <w:r w:rsidRPr="00741A17">
        <w:rPr>
          <w:rStyle w:val="A8"/>
          <w:rFonts w:asciiTheme="minorHAnsi" w:hAnsiTheme="minorHAnsi"/>
          <w:color w:val="221E1F"/>
          <w:sz w:val="22"/>
          <w:szCs w:val="22"/>
        </w:rPr>
        <w:t>In patients with haemophilia and haemophilic arthropathy, no studies were found</w:t>
      </w:r>
      <w:r w:rsidR="00A03871">
        <w:rPr>
          <w:rStyle w:val="A8"/>
          <w:rFonts w:asciiTheme="minorHAnsi" w:hAnsiTheme="minorHAnsi"/>
          <w:color w:val="221E1F"/>
          <w:sz w:val="22"/>
          <w:szCs w:val="22"/>
        </w:rPr>
        <w:t xml:space="preserve"> </w:t>
      </w:r>
      <w:r w:rsidRPr="00741A17">
        <w:rPr>
          <w:rStyle w:val="A8"/>
          <w:rFonts w:asciiTheme="minorHAnsi" w:hAnsiTheme="minorHAnsi"/>
          <w:color w:val="221E1F"/>
          <w:sz w:val="22"/>
          <w:szCs w:val="22"/>
        </w:rPr>
        <w:t>that evaluated the effect of intra-articular steroid on development of or change in</w:t>
      </w:r>
      <w:r w:rsidR="00A03871">
        <w:rPr>
          <w:rStyle w:val="A8"/>
          <w:rFonts w:asciiTheme="minorHAnsi" w:hAnsiTheme="minorHAnsi"/>
          <w:color w:val="221E1F"/>
          <w:sz w:val="22"/>
          <w:szCs w:val="22"/>
        </w:rPr>
        <w:t xml:space="preserve"> </w:t>
      </w:r>
      <w:r w:rsidRPr="00741A17">
        <w:rPr>
          <w:rStyle w:val="A8"/>
          <w:rFonts w:asciiTheme="minorHAnsi" w:hAnsiTheme="minorHAnsi"/>
          <w:color w:val="221E1F"/>
          <w:sz w:val="22"/>
          <w:szCs w:val="22"/>
        </w:rPr>
        <w:t>arthropathy.</w:t>
      </w:r>
    </w:p>
    <w:p w:rsidR="00484EFC" w:rsidRPr="00BC5EAC" w:rsidRDefault="00484EFC" w:rsidP="00484EFC">
      <w:pPr>
        <w:pStyle w:val="Default"/>
        <w:numPr>
          <w:ilvl w:val="0"/>
          <w:numId w:val="98"/>
        </w:numPr>
        <w:spacing w:line="276" w:lineRule="auto"/>
        <w:ind w:left="1985" w:hanging="284"/>
        <w:rPr>
          <w:rFonts w:asciiTheme="minorHAnsi" w:hAnsiTheme="minorHAnsi" w:cs="Arial"/>
          <w:color w:val="221E1F"/>
          <w:sz w:val="22"/>
          <w:szCs w:val="22"/>
        </w:rPr>
      </w:pPr>
      <w:r w:rsidRPr="00741A17">
        <w:rPr>
          <w:rStyle w:val="A8"/>
          <w:rFonts w:asciiTheme="minorHAnsi" w:hAnsiTheme="minorHAnsi"/>
          <w:color w:val="221E1F"/>
          <w:sz w:val="22"/>
          <w:szCs w:val="22"/>
        </w:rPr>
        <w:lastRenderedPageBreak/>
        <w:t>Further studies to assess the efficacy and safety of intra</w:t>
      </w:r>
      <w:r>
        <w:rPr>
          <w:rStyle w:val="A8"/>
          <w:rFonts w:asciiTheme="minorHAnsi" w:hAnsiTheme="minorHAnsi"/>
          <w:color w:val="221E1F"/>
          <w:sz w:val="22"/>
          <w:szCs w:val="22"/>
        </w:rPr>
        <w:t xml:space="preserve">-articular steroid injection in </w:t>
      </w:r>
      <w:r w:rsidRPr="00741A17">
        <w:rPr>
          <w:rStyle w:val="A8"/>
          <w:rFonts w:asciiTheme="minorHAnsi" w:hAnsiTheme="minorHAnsi"/>
          <w:color w:val="221E1F"/>
          <w:sz w:val="22"/>
          <w:szCs w:val="22"/>
        </w:rPr>
        <w:t xml:space="preserve">patients with haemophilia and acute synovitis are warranted. </w:t>
      </w:r>
    </w:p>
    <w:p w:rsidR="00484EFC" w:rsidRPr="001E7B3E" w:rsidRDefault="00484EFC" w:rsidP="00041ED2">
      <w:pPr>
        <w:pStyle w:val="Heading4"/>
        <w:rPr>
          <w:rFonts w:eastAsia="Calibri"/>
          <w:lang w:eastAsia="en-US"/>
        </w:rPr>
      </w:pPr>
      <w:r w:rsidRPr="001E7B3E">
        <w:rPr>
          <w:rFonts w:eastAsia="Calibri"/>
          <w:lang w:eastAsia="en-US"/>
        </w:rPr>
        <w:t xml:space="preserve">Synovectomy </w:t>
      </w:r>
    </w:p>
    <w:p w:rsidR="00484EFC" w:rsidRPr="001E7B3E" w:rsidRDefault="00484EFC" w:rsidP="00484EFC">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6.1.15</w:t>
      </w:r>
      <w:r w:rsidRPr="001E7B3E">
        <w:rPr>
          <w:rStyle w:val="A8"/>
          <w:rFonts w:asciiTheme="minorHAnsi" w:hAnsiTheme="minorHAnsi"/>
          <w:color w:val="221E1F"/>
          <w:sz w:val="22"/>
        </w:rPr>
        <w:tab/>
      </w:r>
      <w:r w:rsidRPr="001E7B3E">
        <w:rPr>
          <w:rStyle w:val="A8"/>
          <w:rFonts w:asciiTheme="minorHAnsi" w:hAnsiTheme="minorHAnsi"/>
          <w:color w:val="221E1F"/>
          <w:sz w:val="22"/>
        </w:rPr>
        <w:tab/>
      </w:r>
      <w:r w:rsidRPr="001E7B3E">
        <w:rPr>
          <w:rStyle w:val="A8"/>
          <w:rFonts w:asciiTheme="minorHAnsi" w:hAnsiTheme="minorHAnsi"/>
          <w:b/>
          <w:color w:val="221E1F"/>
          <w:sz w:val="22"/>
        </w:rPr>
        <w:t>Synovectomy should be considered if chronic synovitis persists with frequent recurrent bleeding not controlled by other means. Options for synovectomy include radioisotopic synov</w:t>
      </w:r>
      <w:r>
        <w:rPr>
          <w:rStyle w:val="A8"/>
          <w:rFonts w:asciiTheme="minorHAnsi" w:hAnsiTheme="minorHAnsi"/>
          <w:b/>
          <w:color w:val="221E1F"/>
          <w:sz w:val="22"/>
        </w:rPr>
        <w:t>ectomy</w:t>
      </w:r>
      <w:r w:rsidRPr="001E7B3E">
        <w:rPr>
          <w:rStyle w:val="A8"/>
          <w:rFonts w:asciiTheme="minorHAnsi" w:hAnsiTheme="minorHAnsi"/>
          <w:b/>
          <w:color w:val="221E1F"/>
          <w:sz w:val="22"/>
        </w:rPr>
        <w:t xml:space="preserve">, and arthroscopic or open surgical synovectomy. Removal of the synovium should only be considered in HTCs that have experience with this procedure. </w:t>
      </w:r>
      <w:r w:rsidRPr="001E7B3E">
        <w:rPr>
          <w:rStyle w:val="A8"/>
          <w:rFonts w:asciiTheme="minorHAnsi" w:hAnsiTheme="minorHAnsi"/>
          <w:b/>
          <w:color w:val="221E1F"/>
          <w:sz w:val="22"/>
          <w:vertAlign w:val="superscript"/>
        </w:rPr>
        <w:t>[16</w:t>
      </w:r>
      <w:proofErr w:type="gramStart"/>
      <w:r w:rsidRPr="001E7B3E">
        <w:rPr>
          <w:rStyle w:val="A8"/>
          <w:rFonts w:asciiTheme="minorHAnsi" w:hAnsiTheme="minorHAnsi"/>
          <w:b/>
          <w:color w:val="221E1F"/>
          <w:sz w:val="22"/>
          <w:vertAlign w:val="superscript"/>
        </w:rPr>
        <w:t>,17</w:t>
      </w:r>
      <w:proofErr w:type="gramEnd"/>
      <w:r w:rsidRPr="001E7B3E">
        <w:rPr>
          <w:rStyle w:val="A8"/>
          <w:rFonts w:asciiTheme="minorHAnsi" w:hAnsiTheme="minorHAnsi"/>
          <w:b/>
          <w:color w:val="221E1F"/>
          <w:sz w:val="22"/>
          <w:vertAlign w:val="superscript"/>
        </w:rPr>
        <w:t>]</w:t>
      </w:r>
    </w:p>
    <w:p w:rsidR="00484EFC" w:rsidRPr="001E7B3E" w:rsidRDefault="00484EFC" w:rsidP="00484EFC">
      <w:pPr>
        <w:pStyle w:val="Default"/>
        <w:spacing w:line="276" w:lineRule="auto"/>
        <w:ind w:left="1433"/>
        <w:rPr>
          <w:rStyle w:val="A8"/>
          <w:rFonts w:asciiTheme="minorHAnsi" w:hAnsiTheme="minorHAnsi"/>
          <w:color w:val="221E1F"/>
          <w:sz w:val="22"/>
        </w:rPr>
      </w:pPr>
      <w:r w:rsidRPr="001E7B3E">
        <w:rPr>
          <w:rStyle w:val="A8"/>
          <w:rFonts w:asciiTheme="minorHAnsi" w:hAnsiTheme="minorHAnsi"/>
          <w:color w:val="221E1F"/>
          <w:sz w:val="22"/>
        </w:rPr>
        <w:t xml:space="preserve"> </w:t>
      </w:r>
    </w:p>
    <w:p w:rsidR="00484EFC" w:rsidRPr="001E7B3E" w:rsidRDefault="00484EFC" w:rsidP="00484EFC">
      <w:pPr>
        <w:pStyle w:val="Default"/>
        <w:numPr>
          <w:ilvl w:val="2"/>
          <w:numId w:val="88"/>
        </w:numPr>
        <w:spacing w:line="276" w:lineRule="auto"/>
        <w:rPr>
          <w:rStyle w:val="A8"/>
          <w:rFonts w:asciiTheme="minorHAnsi" w:hAnsiTheme="minorHAnsi"/>
          <w:color w:val="221E1F"/>
          <w:sz w:val="22"/>
        </w:rPr>
      </w:pPr>
      <w:r w:rsidRPr="001E7B3E">
        <w:rPr>
          <w:rStyle w:val="A8"/>
          <w:rFonts w:asciiTheme="minorHAnsi" w:hAnsiTheme="minorHAnsi"/>
          <w:color w:val="221E1F"/>
          <w:sz w:val="22"/>
        </w:rPr>
        <w:tab/>
        <w:t xml:space="preserve">Non-surgical synovectomy is the procedure of choice. </w:t>
      </w:r>
    </w:p>
    <w:p w:rsidR="00484EFC" w:rsidRPr="001E7B3E" w:rsidRDefault="00484EFC" w:rsidP="00484EFC">
      <w:pPr>
        <w:pStyle w:val="Default"/>
        <w:spacing w:line="276" w:lineRule="auto"/>
        <w:ind w:left="1433"/>
        <w:rPr>
          <w:rStyle w:val="A8"/>
          <w:rFonts w:asciiTheme="minorHAnsi" w:hAnsiTheme="minorHAnsi"/>
          <w:color w:val="221E1F"/>
          <w:sz w:val="22"/>
        </w:rPr>
      </w:pPr>
    </w:p>
    <w:p w:rsidR="00484EFC" w:rsidRPr="001E7B3E" w:rsidRDefault="00484EFC" w:rsidP="00484EFC">
      <w:pPr>
        <w:pStyle w:val="Default"/>
        <w:spacing w:line="276" w:lineRule="auto"/>
        <w:ind w:left="1433" w:hanging="1433"/>
        <w:rPr>
          <w:rStyle w:val="A8"/>
          <w:rFonts w:asciiTheme="minorHAnsi" w:hAnsiTheme="minorHAnsi"/>
          <w:b/>
          <w:color w:val="221E1F"/>
          <w:sz w:val="22"/>
        </w:rPr>
      </w:pPr>
      <w:r w:rsidRPr="001E7B3E">
        <w:rPr>
          <w:rStyle w:val="A8"/>
          <w:rFonts w:asciiTheme="minorHAnsi" w:hAnsiTheme="minorHAnsi"/>
          <w:color w:val="221E1F"/>
          <w:sz w:val="22"/>
        </w:rPr>
        <w:t xml:space="preserve"> 6.1.17</w:t>
      </w:r>
      <w:r w:rsidRPr="001E7B3E">
        <w:rPr>
          <w:rStyle w:val="A8"/>
          <w:rFonts w:asciiTheme="minorHAnsi" w:hAnsiTheme="minorHAnsi"/>
          <w:color w:val="221E1F"/>
          <w:sz w:val="22"/>
        </w:rPr>
        <w:tab/>
      </w:r>
      <w:r w:rsidRPr="001E7B3E">
        <w:rPr>
          <w:rStyle w:val="A8"/>
          <w:rFonts w:asciiTheme="minorHAnsi" w:hAnsiTheme="minorHAnsi"/>
          <w:color w:val="221E1F"/>
          <w:sz w:val="22"/>
        </w:rPr>
        <w:tab/>
      </w:r>
      <w:r w:rsidRPr="001E7B3E">
        <w:rPr>
          <w:rStyle w:val="A8"/>
          <w:rFonts w:asciiTheme="minorHAnsi" w:hAnsiTheme="minorHAnsi"/>
          <w:b/>
          <w:color w:val="221E1F"/>
          <w:sz w:val="22"/>
        </w:rPr>
        <w:t>Radioisotopic synovectomy (performed in Australia using yttrium-90) is highly effective, has few side effects, and can be accom</w:t>
      </w:r>
      <w:r w:rsidRPr="001E7B3E">
        <w:rPr>
          <w:rStyle w:val="A8"/>
          <w:rFonts w:asciiTheme="minorHAnsi" w:hAnsiTheme="minorHAnsi"/>
          <w:b/>
          <w:color w:val="221E1F"/>
          <w:sz w:val="22"/>
        </w:rPr>
        <w:softHyphen/>
        <w:t xml:space="preserve">plished in an out-patient setting. </w:t>
      </w:r>
      <w:r w:rsidRPr="001E7B3E">
        <w:rPr>
          <w:rStyle w:val="A8"/>
          <w:rFonts w:asciiTheme="minorHAnsi" w:hAnsiTheme="minorHAnsi"/>
          <w:b/>
          <w:color w:val="221E1F"/>
          <w:sz w:val="22"/>
          <w:vertAlign w:val="superscript"/>
        </w:rPr>
        <w:t>[18</w:t>
      </w:r>
      <w:proofErr w:type="gramStart"/>
      <w:r w:rsidRPr="001E7B3E">
        <w:rPr>
          <w:rStyle w:val="A8"/>
          <w:rFonts w:asciiTheme="minorHAnsi" w:hAnsiTheme="minorHAnsi"/>
          <w:b/>
          <w:color w:val="221E1F"/>
          <w:sz w:val="22"/>
          <w:vertAlign w:val="superscript"/>
        </w:rPr>
        <w:t>,19</w:t>
      </w:r>
      <w:proofErr w:type="gramEnd"/>
      <w:r w:rsidRPr="001E7B3E">
        <w:rPr>
          <w:rStyle w:val="A8"/>
          <w:rFonts w:asciiTheme="minorHAnsi" w:hAnsiTheme="minorHAnsi"/>
          <w:b/>
          <w:color w:val="221E1F"/>
          <w:sz w:val="22"/>
          <w:vertAlign w:val="superscript"/>
        </w:rPr>
        <w:t>]</w:t>
      </w:r>
      <w:r w:rsidRPr="001E7B3E">
        <w:rPr>
          <w:rStyle w:val="A8"/>
          <w:rFonts w:asciiTheme="minorHAnsi" w:hAnsiTheme="minorHAnsi"/>
          <w:b/>
          <w:color w:val="221E1F"/>
          <w:sz w:val="22"/>
        </w:rPr>
        <w:t xml:space="preserve"> </w:t>
      </w:r>
    </w:p>
    <w:p w:rsidR="00484EFC" w:rsidRPr="001E7B3E" w:rsidRDefault="00484EFC" w:rsidP="00484EFC">
      <w:pPr>
        <w:pStyle w:val="Default"/>
        <w:spacing w:line="276" w:lineRule="auto"/>
        <w:rPr>
          <w:rStyle w:val="A8"/>
          <w:rFonts w:asciiTheme="minorHAnsi" w:hAnsiTheme="minorHAnsi"/>
          <w:color w:val="221E1F"/>
          <w:sz w:val="22"/>
        </w:rPr>
      </w:pPr>
    </w:p>
    <w:p w:rsidR="00173B0C" w:rsidRDefault="00484EFC" w:rsidP="00041ED2">
      <w:pPr>
        <w:pStyle w:val="Default"/>
        <w:numPr>
          <w:ilvl w:val="0"/>
          <w:numId w:val="114"/>
        </w:numPr>
        <w:spacing w:line="276" w:lineRule="auto"/>
        <w:ind w:left="1701"/>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A single dose of clotting factor is often suffi</w:t>
      </w:r>
      <w:r w:rsidRPr="001E7B3E">
        <w:rPr>
          <w:rStyle w:val="A8"/>
          <w:rFonts w:asciiTheme="minorHAnsi" w:hAnsiTheme="minorHAnsi"/>
          <w:color w:val="221E1F"/>
          <w:sz w:val="22"/>
        </w:rPr>
        <w:softHyphen/>
        <w:t xml:space="preserve">cient for a single injection of the isotope. </w:t>
      </w:r>
    </w:p>
    <w:p w:rsidR="00484EFC" w:rsidRPr="00041ED2" w:rsidRDefault="00484EFC" w:rsidP="00041ED2">
      <w:pPr>
        <w:pStyle w:val="Default"/>
        <w:numPr>
          <w:ilvl w:val="0"/>
          <w:numId w:val="114"/>
        </w:numPr>
        <w:spacing w:line="276" w:lineRule="auto"/>
        <w:ind w:left="1701"/>
        <w:rPr>
          <w:rStyle w:val="A8"/>
          <w:rFonts w:asciiTheme="minorHAnsi" w:hAnsiTheme="minorHAnsi"/>
          <w:color w:val="221E1F"/>
          <w:sz w:val="22"/>
        </w:rPr>
      </w:pPr>
      <w:r w:rsidRPr="00173B0C">
        <w:rPr>
          <w:rStyle w:val="A8"/>
          <w:rFonts w:asciiTheme="minorHAnsi" w:hAnsiTheme="minorHAnsi"/>
          <w:color w:val="221E1F"/>
          <w:sz w:val="22"/>
        </w:rPr>
        <w:t>Rehabilitation is less intense than after surgical synovectomy but is still required to</w:t>
      </w:r>
      <w:r w:rsidR="00A03871" w:rsidRPr="00173B0C">
        <w:rPr>
          <w:rStyle w:val="A8"/>
          <w:rFonts w:asciiTheme="minorHAnsi" w:hAnsiTheme="minorHAnsi"/>
          <w:color w:val="221E1F"/>
          <w:sz w:val="22"/>
        </w:rPr>
        <w:t xml:space="preserve"> </w:t>
      </w:r>
      <w:r w:rsidRPr="00173B0C">
        <w:rPr>
          <w:rStyle w:val="A8"/>
          <w:rFonts w:asciiTheme="minorHAnsi" w:hAnsiTheme="minorHAnsi"/>
          <w:color w:val="221E1F"/>
          <w:sz w:val="22"/>
        </w:rPr>
        <w:t>help the patient regain strength, proprioception, and normal functional use of the</w:t>
      </w:r>
      <w:r w:rsidR="00A03871" w:rsidRPr="00173B0C">
        <w:rPr>
          <w:rStyle w:val="A8"/>
          <w:rFonts w:asciiTheme="minorHAnsi" w:hAnsiTheme="minorHAnsi"/>
          <w:color w:val="221E1F"/>
          <w:sz w:val="22"/>
        </w:rPr>
        <w:t xml:space="preserve"> </w:t>
      </w:r>
      <w:r w:rsidRPr="00173B0C">
        <w:rPr>
          <w:rStyle w:val="A8"/>
          <w:rFonts w:asciiTheme="minorHAnsi" w:hAnsiTheme="minorHAnsi"/>
          <w:color w:val="221E1F"/>
          <w:sz w:val="22"/>
        </w:rPr>
        <w:t xml:space="preserve">joint. </w:t>
      </w:r>
    </w:p>
    <w:p w:rsidR="00484EFC" w:rsidRPr="001E7B3E" w:rsidRDefault="00484EFC" w:rsidP="00484EFC">
      <w:pPr>
        <w:pStyle w:val="Default"/>
        <w:spacing w:line="276" w:lineRule="auto"/>
        <w:ind w:left="1433"/>
        <w:rPr>
          <w:rStyle w:val="A8"/>
          <w:rFonts w:asciiTheme="minorHAnsi" w:hAnsiTheme="minorHAnsi"/>
          <w:color w:val="221E1F"/>
          <w:sz w:val="22"/>
        </w:rPr>
      </w:pPr>
    </w:p>
    <w:p w:rsidR="00484EFC" w:rsidRPr="001E7B3E" w:rsidRDefault="00484EFC" w:rsidP="00484EFC">
      <w:pPr>
        <w:pStyle w:val="Default"/>
        <w:spacing w:line="276" w:lineRule="auto"/>
        <w:rPr>
          <w:rStyle w:val="A8"/>
          <w:rFonts w:asciiTheme="minorHAnsi" w:hAnsiTheme="minorHAnsi"/>
          <w:color w:val="221E1F"/>
          <w:sz w:val="22"/>
        </w:rPr>
      </w:pPr>
      <w:r w:rsidRPr="001E7B3E">
        <w:rPr>
          <w:rStyle w:val="A8"/>
          <w:rFonts w:asciiTheme="minorHAnsi" w:hAnsiTheme="minorHAnsi"/>
          <w:color w:val="221E1F"/>
          <w:sz w:val="22"/>
        </w:rPr>
        <w:t xml:space="preserve">  6.1.20 </w:t>
      </w:r>
      <w:r w:rsidRPr="001E7B3E">
        <w:rPr>
          <w:rStyle w:val="A8"/>
          <w:rFonts w:asciiTheme="minorHAnsi" w:hAnsiTheme="minorHAnsi"/>
          <w:color w:val="221E1F"/>
          <w:sz w:val="22"/>
        </w:rPr>
        <w:tab/>
      </w:r>
      <w:r>
        <w:rPr>
          <w:rStyle w:val="A8"/>
          <w:rFonts w:asciiTheme="minorHAnsi" w:hAnsiTheme="minorHAnsi"/>
          <w:color w:val="221E1F"/>
          <w:sz w:val="22"/>
        </w:rPr>
        <w:tab/>
      </w:r>
      <w:r w:rsidRPr="001E7B3E">
        <w:rPr>
          <w:rStyle w:val="A8"/>
          <w:rFonts w:asciiTheme="minorHAnsi" w:hAnsiTheme="minorHAnsi"/>
          <w:color w:val="221E1F"/>
          <w:sz w:val="22"/>
        </w:rPr>
        <w:t>Chemical synovecetomy has a limited role in the Australian setting.</w:t>
      </w:r>
    </w:p>
    <w:p w:rsidR="00484EFC" w:rsidRPr="001E7B3E" w:rsidRDefault="00484EFC" w:rsidP="00484EFC">
      <w:pPr>
        <w:pStyle w:val="Default"/>
        <w:spacing w:line="276" w:lineRule="auto"/>
        <w:rPr>
          <w:rStyle w:val="A8"/>
          <w:rFonts w:asciiTheme="minorHAnsi" w:hAnsiTheme="minorHAnsi"/>
          <w:color w:val="221E1F"/>
          <w:sz w:val="22"/>
        </w:rPr>
      </w:pPr>
    </w:p>
    <w:p w:rsidR="00484EFC" w:rsidRPr="001E7B3E" w:rsidRDefault="00484EFC" w:rsidP="00484EFC">
      <w:pPr>
        <w:pStyle w:val="Default"/>
        <w:spacing w:line="276" w:lineRule="auto"/>
        <w:ind w:left="1440" w:hanging="1440"/>
        <w:rPr>
          <w:rStyle w:val="A8"/>
          <w:rFonts w:asciiTheme="minorHAnsi" w:hAnsiTheme="minorHAnsi"/>
          <w:color w:val="221E1F"/>
          <w:sz w:val="22"/>
        </w:rPr>
      </w:pPr>
      <w:r w:rsidRPr="001E7B3E">
        <w:rPr>
          <w:rStyle w:val="A8"/>
          <w:rFonts w:asciiTheme="minorHAnsi" w:hAnsiTheme="minorHAnsi"/>
          <w:color w:val="221E1F"/>
          <w:sz w:val="22"/>
        </w:rPr>
        <w:t xml:space="preserve">  6.1.19</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Surgical</w:t>
      </w:r>
      <w:proofErr w:type="gramEnd"/>
      <w:r w:rsidRPr="001E7B3E">
        <w:rPr>
          <w:rStyle w:val="A8"/>
          <w:rFonts w:asciiTheme="minorHAnsi" w:hAnsiTheme="minorHAnsi"/>
          <w:color w:val="221E1F"/>
          <w:sz w:val="22"/>
        </w:rPr>
        <w:t xml:space="preserve"> synovectomy, whether open or arthroscopic, requires cover with clotting factor for both surgery and the rehabilitation period. The procedure must be performed by an experi</w:t>
      </w:r>
      <w:r w:rsidRPr="001E7B3E">
        <w:rPr>
          <w:rStyle w:val="A8"/>
          <w:rFonts w:asciiTheme="minorHAnsi" w:hAnsiTheme="minorHAnsi"/>
          <w:color w:val="221E1F"/>
          <w:sz w:val="22"/>
        </w:rPr>
        <w:softHyphen/>
        <w:t xml:space="preserve">enced team at a dedicated </w:t>
      </w:r>
      <w:r w:rsidR="00201683">
        <w:rPr>
          <w:rStyle w:val="A8"/>
          <w:rFonts w:asciiTheme="minorHAnsi" w:hAnsiTheme="minorHAnsi"/>
          <w:color w:val="221E1F"/>
          <w:sz w:val="22"/>
        </w:rPr>
        <w:t>HTC</w:t>
      </w:r>
      <w:r w:rsidRPr="001E7B3E">
        <w:rPr>
          <w:rStyle w:val="A8"/>
          <w:rFonts w:asciiTheme="minorHAnsi" w:hAnsiTheme="minorHAnsi"/>
          <w:color w:val="221E1F"/>
          <w:sz w:val="22"/>
        </w:rPr>
        <w:t>. It is only considered when other less inva</w:t>
      </w:r>
      <w:r w:rsidRPr="001E7B3E">
        <w:rPr>
          <w:rStyle w:val="A8"/>
          <w:rFonts w:asciiTheme="minorHAnsi" w:hAnsiTheme="minorHAnsi"/>
          <w:color w:val="221E1F"/>
          <w:sz w:val="22"/>
        </w:rPr>
        <w:softHyphen/>
        <w:t xml:space="preserve">sive procedures fail. </w:t>
      </w:r>
    </w:p>
    <w:p w:rsidR="00484EFC" w:rsidRPr="001E7B3E" w:rsidRDefault="00484EFC" w:rsidP="00041ED2">
      <w:pPr>
        <w:pStyle w:val="Heading4"/>
        <w:rPr>
          <w:rFonts w:eastAsia="Calibri"/>
          <w:lang w:eastAsia="en-US"/>
        </w:rPr>
      </w:pPr>
      <w:r w:rsidRPr="001E7B3E">
        <w:rPr>
          <w:rFonts w:eastAsia="Calibri"/>
          <w:lang w:eastAsia="en-US"/>
        </w:rPr>
        <w:t xml:space="preserve">Chronic haemophilic arthropathy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6.1.20</w:t>
      </w:r>
      <w:r w:rsidRPr="001E7B3E">
        <w:rPr>
          <w:rStyle w:val="A8"/>
          <w:rFonts w:asciiTheme="minorHAnsi" w:hAnsiTheme="minorHAnsi"/>
          <w:color w:val="221E1F"/>
          <w:sz w:val="22"/>
        </w:rPr>
        <w:tab/>
        <w:t xml:space="preserve">Chronic haemophilic arthropathy can develop any time from the second decade of life (and sometimes earlier), depending on the severity of bleeding and its treatment. It is less common in Australia due to the availability of clotting factor concentrate.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6.1.21</w:t>
      </w:r>
      <w:r w:rsidRPr="001E7B3E">
        <w:rPr>
          <w:rStyle w:val="A8"/>
          <w:rFonts w:asciiTheme="minorHAnsi" w:hAnsiTheme="minorHAnsi"/>
          <w:color w:val="221E1F"/>
          <w:sz w:val="22"/>
        </w:rPr>
        <w:tab/>
        <w:t xml:space="preserve">The process is set in motion by the immediate effects of blood on the articular cartilage during haemarthrosis </w:t>
      </w:r>
      <w:r w:rsidRPr="001E7B3E">
        <w:rPr>
          <w:rStyle w:val="A8"/>
          <w:rFonts w:asciiTheme="minorHAnsi" w:hAnsiTheme="minorHAnsi"/>
          <w:color w:val="221E1F"/>
          <w:sz w:val="22"/>
          <w:vertAlign w:val="superscript"/>
        </w:rPr>
        <w:t>[1</w:t>
      </w:r>
      <w:proofErr w:type="gramStart"/>
      <w:r w:rsidRPr="001E7B3E">
        <w:rPr>
          <w:rStyle w:val="A8"/>
          <w:rFonts w:asciiTheme="minorHAnsi" w:hAnsiTheme="minorHAnsi"/>
          <w:color w:val="221E1F"/>
          <w:sz w:val="22"/>
          <w:vertAlign w:val="superscript"/>
        </w:rPr>
        <w:t>,2</w:t>
      </w:r>
      <w:proofErr w:type="gramEnd"/>
      <w:r w:rsidRPr="001E7B3E">
        <w:rPr>
          <w:rStyle w:val="A8"/>
          <w:rFonts w:asciiTheme="minorHAnsi" w:hAnsiTheme="minorHAnsi"/>
          <w:color w:val="221E1F"/>
          <w:sz w:val="22"/>
          <w:vertAlign w:val="superscript"/>
        </w:rPr>
        <w:t>]</w:t>
      </w:r>
      <w:r w:rsidRPr="001E7B3E">
        <w:rPr>
          <w:rStyle w:val="A8"/>
          <w:rFonts w:asciiTheme="minorHAnsi" w:hAnsiTheme="minorHAnsi"/>
          <w:color w:val="221E1F"/>
          <w:sz w:val="22"/>
        </w:rPr>
        <w:t xml:space="preserve"> and reinforced by persistent chronic synovitis and recurrent haemarthroses, resulting in irreversible damage.</w:t>
      </w:r>
    </w:p>
    <w:p w:rsidR="00484EFC" w:rsidRPr="001E7B3E" w:rsidRDefault="00484EFC" w:rsidP="00484EFC">
      <w:pPr>
        <w:pStyle w:val="Default"/>
        <w:spacing w:line="276" w:lineRule="auto"/>
        <w:ind w:left="1433" w:hanging="1320"/>
        <w:rPr>
          <w:rStyle w:val="A8"/>
          <w:rFonts w:asciiTheme="minorHAnsi" w:hAnsiTheme="minorHAnsi"/>
          <w:color w:val="221E1F"/>
          <w:sz w:val="22"/>
        </w:rPr>
      </w:pPr>
      <w:r w:rsidRPr="001E7B3E">
        <w:rPr>
          <w:rStyle w:val="A8"/>
          <w:rFonts w:asciiTheme="minorHAnsi" w:hAnsiTheme="minorHAnsi"/>
          <w:color w:val="221E1F"/>
          <w:sz w:val="22"/>
        </w:rPr>
        <w:t xml:space="preserve">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6.1.22</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With</w:t>
      </w:r>
      <w:proofErr w:type="gramEnd"/>
      <w:r w:rsidRPr="001E7B3E">
        <w:rPr>
          <w:rStyle w:val="A8"/>
          <w:rFonts w:asciiTheme="minorHAnsi" w:hAnsiTheme="minorHAnsi"/>
          <w:color w:val="221E1F"/>
          <w:sz w:val="22"/>
        </w:rPr>
        <w:t xml:space="preserve"> advancing cartilage loss, a progressive arthritic condition develops that includes:</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484EFC">
      <w:pPr>
        <w:pStyle w:val="Default"/>
        <w:numPr>
          <w:ilvl w:val="0"/>
          <w:numId w:val="99"/>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secondary soft tissue contractures </w:t>
      </w:r>
    </w:p>
    <w:p w:rsidR="00484EFC" w:rsidRPr="001E7B3E" w:rsidRDefault="00484EFC" w:rsidP="00484EFC">
      <w:pPr>
        <w:pStyle w:val="Default"/>
        <w:numPr>
          <w:ilvl w:val="0"/>
          <w:numId w:val="99"/>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muscle atrophy </w:t>
      </w:r>
    </w:p>
    <w:p w:rsidR="00484EFC" w:rsidRPr="001E7B3E" w:rsidRDefault="00484EFC" w:rsidP="00484EFC">
      <w:pPr>
        <w:pStyle w:val="Default"/>
        <w:numPr>
          <w:ilvl w:val="0"/>
          <w:numId w:val="99"/>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angular deformities</w:t>
      </w:r>
    </w:p>
    <w:p w:rsidR="00484EFC" w:rsidRPr="001E7B3E" w:rsidRDefault="00484EFC" w:rsidP="00484EFC">
      <w:pPr>
        <w:pStyle w:val="Default"/>
        <w:spacing w:line="276" w:lineRule="auto"/>
        <w:ind w:left="1433" w:hanging="1320"/>
        <w:jc w:val="both"/>
        <w:rPr>
          <w:rStyle w:val="A8"/>
          <w:rFonts w:asciiTheme="minorHAnsi" w:hAnsiTheme="minorHAnsi"/>
          <w:color w:val="221E1F"/>
          <w:sz w:val="22"/>
        </w:rPr>
      </w:pPr>
      <w:r w:rsidRPr="001E7B3E">
        <w:rPr>
          <w:rStyle w:val="A8"/>
          <w:rFonts w:asciiTheme="minorHAnsi" w:hAnsiTheme="minorHAnsi"/>
          <w:color w:val="221E1F"/>
          <w:sz w:val="22"/>
        </w:rPr>
        <w:t xml:space="preserve">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6.1.23</w:t>
      </w:r>
      <w:r w:rsidRPr="001E7B3E">
        <w:rPr>
          <w:rStyle w:val="A8"/>
          <w:rFonts w:asciiTheme="minorHAnsi" w:hAnsiTheme="minorHAnsi"/>
          <w:color w:val="221E1F"/>
          <w:sz w:val="22"/>
        </w:rPr>
        <w:tab/>
        <w:t>Deformity can also be enhanced by contracture following muscle bleeds or neuropathy.</w:t>
      </w:r>
    </w:p>
    <w:p w:rsidR="00484EFC" w:rsidRPr="001E7B3E" w:rsidRDefault="00484EFC" w:rsidP="00484EFC">
      <w:pPr>
        <w:pStyle w:val="Default"/>
        <w:spacing w:line="276" w:lineRule="auto"/>
        <w:ind w:left="1433" w:hanging="1320"/>
        <w:rPr>
          <w:rStyle w:val="A8"/>
          <w:rFonts w:asciiTheme="minorHAnsi" w:hAnsiTheme="minorHAnsi"/>
          <w:color w:val="221E1F"/>
          <w:sz w:val="22"/>
        </w:rPr>
      </w:pPr>
      <w:r w:rsidRPr="001E7B3E">
        <w:rPr>
          <w:rStyle w:val="A8"/>
          <w:rFonts w:asciiTheme="minorHAnsi" w:hAnsiTheme="minorHAnsi"/>
          <w:color w:val="221E1F"/>
          <w:sz w:val="22"/>
        </w:rPr>
        <w:t xml:space="preserve">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lastRenderedPageBreak/>
        <w:t>6.1.24</w:t>
      </w:r>
      <w:r w:rsidRPr="001E7B3E">
        <w:rPr>
          <w:rStyle w:val="A8"/>
          <w:rFonts w:asciiTheme="minorHAnsi" w:hAnsiTheme="minorHAnsi"/>
          <w:color w:val="221E1F"/>
          <w:sz w:val="22"/>
        </w:rPr>
        <w:tab/>
        <w:t>Loss of motion is common, with flexion contrac</w:t>
      </w:r>
      <w:r w:rsidRPr="001E7B3E">
        <w:rPr>
          <w:rStyle w:val="A8"/>
          <w:rFonts w:asciiTheme="minorHAnsi" w:hAnsiTheme="minorHAnsi"/>
          <w:color w:val="221E1F"/>
          <w:sz w:val="22"/>
        </w:rPr>
        <w:softHyphen/>
        <w:t>tures causing the most significant functional loss.</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6.1.25</w:t>
      </w:r>
      <w:r w:rsidRPr="001E7B3E">
        <w:rPr>
          <w:rStyle w:val="A8"/>
          <w:rFonts w:asciiTheme="minorHAnsi" w:hAnsiTheme="minorHAnsi"/>
          <w:color w:val="221E1F"/>
          <w:sz w:val="22"/>
        </w:rPr>
        <w:tab/>
        <w:t>Joint motion and weight bearing can be extremely painful.</w:t>
      </w:r>
    </w:p>
    <w:p w:rsidR="00484EFC" w:rsidRPr="001E7B3E" w:rsidRDefault="00484EFC" w:rsidP="00484EFC">
      <w:pPr>
        <w:pStyle w:val="Default"/>
        <w:spacing w:line="276" w:lineRule="auto"/>
        <w:ind w:left="1433" w:hanging="1320"/>
        <w:rPr>
          <w:rStyle w:val="A8"/>
          <w:rFonts w:asciiTheme="minorHAnsi" w:hAnsiTheme="minorHAnsi"/>
          <w:color w:val="221E1F"/>
          <w:sz w:val="22"/>
        </w:rPr>
      </w:pPr>
      <w:r w:rsidRPr="001E7B3E">
        <w:rPr>
          <w:rStyle w:val="A8"/>
          <w:rFonts w:asciiTheme="minorHAnsi" w:hAnsiTheme="minorHAnsi"/>
          <w:color w:val="221E1F"/>
          <w:sz w:val="22"/>
        </w:rPr>
        <w:t xml:space="preserve">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6.1.26</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As</w:t>
      </w:r>
      <w:proofErr w:type="gramEnd"/>
      <w:r w:rsidRPr="001E7B3E">
        <w:rPr>
          <w:rStyle w:val="A8"/>
          <w:rFonts w:asciiTheme="minorHAnsi" w:hAnsiTheme="minorHAnsi"/>
          <w:color w:val="221E1F"/>
          <w:sz w:val="22"/>
        </w:rPr>
        <w:t xml:space="preserve"> the joint deteriorates, swelling usually subsides due to progressive fibrosis of the synovium and the capsule.</w:t>
      </w:r>
    </w:p>
    <w:p w:rsidR="00484EFC" w:rsidRPr="001E7B3E" w:rsidRDefault="00484EFC" w:rsidP="00484EFC">
      <w:pPr>
        <w:pStyle w:val="Default"/>
        <w:spacing w:line="276" w:lineRule="auto"/>
        <w:ind w:left="1433" w:hanging="1320"/>
        <w:jc w:val="both"/>
        <w:rPr>
          <w:rStyle w:val="A8"/>
          <w:rFonts w:asciiTheme="minorHAnsi" w:hAnsiTheme="minorHAnsi"/>
          <w:color w:val="221E1F"/>
          <w:sz w:val="22"/>
        </w:rPr>
      </w:pPr>
      <w:r w:rsidRPr="001E7B3E">
        <w:rPr>
          <w:rStyle w:val="A8"/>
          <w:rFonts w:asciiTheme="minorHAnsi" w:hAnsiTheme="minorHAnsi"/>
          <w:color w:val="221E1F"/>
          <w:sz w:val="22"/>
        </w:rPr>
        <w:t xml:space="preserve">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6.1.27</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If</w:t>
      </w:r>
      <w:proofErr w:type="gramEnd"/>
      <w:r w:rsidRPr="001E7B3E">
        <w:rPr>
          <w:rStyle w:val="A8"/>
          <w:rFonts w:asciiTheme="minorHAnsi" w:hAnsiTheme="minorHAnsi"/>
          <w:color w:val="221E1F"/>
          <w:sz w:val="22"/>
        </w:rPr>
        <w:t xml:space="preserve"> the joint becomes ankylosed, pain may diminish or disappear.</w:t>
      </w:r>
    </w:p>
    <w:p w:rsidR="00484EFC" w:rsidRPr="001E7B3E" w:rsidRDefault="00484EFC" w:rsidP="00484EFC">
      <w:pPr>
        <w:pStyle w:val="Default"/>
        <w:spacing w:line="276" w:lineRule="auto"/>
        <w:ind w:left="1433" w:hanging="1320"/>
        <w:rPr>
          <w:rStyle w:val="A8"/>
          <w:rFonts w:asciiTheme="minorHAnsi" w:hAnsiTheme="minorHAnsi"/>
          <w:color w:val="221E1F"/>
          <w:sz w:val="22"/>
        </w:rPr>
      </w:pPr>
      <w:r w:rsidRPr="001E7B3E">
        <w:rPr>
          <w:rStyle w:val="A8"/>
          <w:rFonts w:asciiTheme="minorHAnsi" w:hAnsiTheme="minorHAnsi"/>
          <w:color w:val="221E1F"/>
          <w:sz w:val="22"/>
        </w:rPr>
        <w:t xml:space="preserve">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6.1.28</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The</w:t>
      </w:r>
      <w:proofErr w:type="gramEnd"/>
      <w:r w:rsidRPr="001E7B3E">
        <w:rPr>
          <w:rStyle w:val="A8"/>
          <w:rFonts w:asciiTheme="minorHAnsi" w:hAnsiTheme="minorHAnsi"/>
          <w:color w:val="221E1F"/>
          <w:sz w:val="22"/>
        </w:rPr>
        <w:t xml:space="preserve"> radiographic features of chronic haemophilic arthropathy depend on the stage of involvement.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484EFC">
      <w:pPr>
        <w:pStyle w:val="Default"/>
        <w:numPr>
          <w:ilvl w:val="0"/>
          <w:numId w:val="100"/>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Radiographs will only show late osteochon</w:t>
      </w:r>
      <w:r w:rsidRPr="001E7B3E">
        <w:rPr>
          <w:rStyle w:val="A8"/>
          <w:rFonts w:asciiTheme="minorHAnsi" w:hAnsiTheme="minorHAnsi"/>
          <w:color w:val="221E1F"/>
          <w:sz w:val="22"/>
        </w:rPr>
        <w:softHyphen/>
        <w:t xml:space="preserve">dral changes </w:t>
      </w:r>
      <w:r w:rsidRPr="001E7B3E">
        <w:rPr>
          <w:rStyle w:val="A8"/>
          <w:rFonts w:asciiTheme="minorHAnsi" w:hAnsiTheme="minorHAnsi"/>
          <w:color w:val="221E1F"/>
          <w:sz w:val="22"/>
          <w:vertAlign w:val="superscript"/>
        </w:rPr>
        <w:t>[22,23]</w:t>
      </w:r>
    </w:p>
    <w:p w:rsidR="00484EFC" w:rsidRPr="001E7B3E" w:rsidRDefault="00484EFC" w:rsidP="00484EFC">
      <w:pPr>
        <w:pStyle w:val="Default"/>
        <w:numPr>
          <w:ilvl w:val="0"/>
          <w:numId w:val="100"/>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Ultrasound or MRI examination will show early sof</w:t>
      </w:r>
      <w:r w:rsidR="00173B0C">
        <w:rPr>
          <w:rStyle w:val="A8"/>
          <w:rFonts w:asciiTheme="minorHAnsi" w:hAnsiTheme="minorHAnsi"/>
          <w:color w:val="221E1F"/>
          <w:sz w:val="22"/>
        </w:rPr>
        <w:t xml:space="preserve">t tissue and osteochondral </w:t>
      </w:r>
      <w:r w:rsidRPr="001E7B3E">
        <w:rPr>
          <w:rStyle w:val="A8"/>
          <w:rFonts w:asciiTheme="minorHAnsi" w:hAnsiTheme="minorHAnsi"/>
          <w:color w:val="221E1F"/>
          <w:sz w:val="22"/>
        </w:rPr>
        <w:t xml:space="preserve">changes </w:t>
      </w:r>
      <w:r w:rsidRPr="001E7B3E">
        <w:rPr>
          <w:rStyle w:val="A8"/>
          <w:rFonts w:asciiTheme="minorHAnsi" w:hAnsiTheme="minorHAnsi"/>
          <w:color w:val="221E1F"/>
          <w:sz w:val="22"/>
          <w:vertAlign w:val="superscript"/>
        </w:rPr>
        <w:t>[24-26]</w:t>
      </w:r>
    </w:p>
    <w:p w:rsidR="00484EFC" w:rsidRPr="001E7B3E" w:rsidRDefault="00484EFC" w:rsidP="00484EFC">
      <w:pPr>
        <w:pStyle w:val="Default"/>
        <w:numPr>
          <w:ilvl w:val="0"/>
          <w:numId w:val="100"/>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Bony erosions and subchondral bone cysts will de</w:t>
      </w:r>
      <w:r w:rsidR="00173B0C">
        <w:rPr>
          <w:rStyle w:val="A8"/>
          <w:rFonts w:asciiTheme="minorHAnsi" w:hAnsiTheme="minorHAnsi"/>
          <w:color w:val="221E1F"/>
          <w:sz w:val="22"/>
        </w:rPr>
        <w:t xml:space="preserve">velop, causing collapse of </w:t>
      </w:r>
      <w:r w:rsidRPr="001E7B3E">
        <w:rPr>
          <w:rStyle w:val="A8"/>
          <w:rFonts w:asciiTheme="minorHAnsi" w:hAnsiTheme="minorHAnsi"/>
          <w:color w:val="221E1F"/>
          <w:sz w:val="22"/>
        </w:rPr>
        <w:t>articular surfaces that can lead to angular deformities</w:t>
      </w:r>
    </w:p>
    <w:p w:rsidR="00484EFC" w:rsidRPr="001E7B3E" w:rsidRDefault="00484EFC" w:rsidP="00484EFC">
      <w:pPr>
        <w:pStyle w:val="Default"/>
        <w:numPr>
          <w:ilvl w:val="0"/>
          <w:numId w:val="100"/>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Fibrous/bony ankylosis may be present. </w:t>
      </w:r>
      <w:r w:rsidRPr="001E7B3E">
        <w:rPr>
          <w:rStyle w:val="A8"/>
          <w:rFonts w:asciiTheme="minorHAnsi" w:hAnsiTheme="minorHAnsi"/>
          <w:color w:val="221E1F"/>
          <w:sz w:val="22"/>
          <w:vertAlign w:val="superscript"/>
        </w:rPr>
        <w:t>[27]</w:t>
      </w:r>
    </w:p>
    <w:p w:rsidR="00484EFC" w:rsidRPr="001E7B3E" w:rsidRDefault="00484EFC" w:rsidP="00484EFC">
      <w:pPr>
        <w:pStyle w:val="Default"/>
        <w:spacing w:line="276" w:lineRule="auto"/>
        <w:ind w:left="1433"/>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6.1.29</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The</w:t>
      </w:r>
      <w:proofErr w:type="gramEnd"/>
      <w:r w:rsidRPr="001E7B3E">
        <w:rPr>
          <w:rStyle w:val="A8"/>
          <w:rFonts w:asciiTheme="minorHAnsi" w:hAnsiTheme="minorHAnsi"/>
          <w:color w:val="221E1F"/>
          <w:sz w:val="22"/>
        </w:rPr>
        <w:t xml:space="preserve"> goals of treatment are to improve joint function, relieve pain, and assist the patient to continue/resume normal activities of daily living.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6.1.30</w:t>
      </w:r>
      <w:r w:rsidRPr="001E7B3E">
        <w:rPr>
          <w:rStyle w:val="A8"/>
          <w:rFonts w:asciiTheme="minorHAnsi" w:hAnsiTheme="minorHAnsi"/>
          <w:color w:val="221E1F"/>
          <w:sz w:val="22"/>
        </w:rPr>
        <w:tab/>
        <w:t xml:space="preserve"> Treatment options for chronic haemophilic arthropathy depend on:</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numPr>
          <w:ilvl w:val="0"/>
          <w:numId w:val="115"/>
        </w:numPr>
        <w:spacing w:line="276" w:lineRule="auto"/>
        <w:ind w:left="1701" w:hanging="283"/>
        <w:rPr>
          <w:rStyle w:val="A8"/>
          <w:rFonts w:asciiTheme="minorHAnsi" w:hAnsiTheme="minorHAnsi"/>
          <w:color w:val="221E1F"/>
          <w:sz w:val="22"/>
        </w:rPr>
      </w:pPr>
      <w:r w:rsidRPr="001E7B3E">
        <w:rPr>
          <w:rStyle w:val="A8"/>
          <w:rFonts w:asciiTheme="minorHAnsi" w:hAnsiTheme="minorHAnsi"/>
          <w:color w:val="221E1F"/>
          <w:sz w:val="22"/>
        </w:rPr>
        <w:t>the stage of the condition</w:t>
      </w:r>
    </w:p>
    <w:p w:rsidR="00484EFC" w:rsidRPr="001E7B3E" w:rsidRDefault="00484EFC" w:rsidP="00041ED2">
      <w:pPr>
        <w:pStyle w:val="Default"/>
        <w:numPr>
          <w:ilvl w:val="0"/>
          <w:numId w:val="115"/>
        </w:numPr>
        <w:spacing w:line="276" w:lineRule="auto"/>
        <w:ind w:left="1701" w:hanging="283"/>
        <w:rPr>
          <w:rStyle w:val="A8"/>
          <w:rFonts w:asciiTheme="minorHAnsi" w:hAnsiTheme="minorHAnsi"/>
          <w:color w:val="221E1F"/>
          <w:sz w:val="22"/>
        </w:rPr>
      </w:pPr>
      <w:r w:rsidRPr="001E7B3E">
        <w:rPr>
          <w:rStyle w:val="A8"/>
          <w:rFonts w:asciiTheme="minorHAnsi" w:hAnsiTheme="minorHAnsi"/>
          <w:color w:val="221E1F"/>
          <w:sz w:val="22"/>
        </w:rPr>
        <w:t>the patient’s symptoms</w:t>
      </w:r>
    </w:p>
    <w:p w:rsidR="00484EFC" w:rsidRPr="001E7B3E" w:rsidRDefault="00484EFC" w:rsidP="00041ED2">
      <w:pPr>
        <w:pStyle w:val="Default"/>
        <w:numPr>
          <w:ilvl w:val="0"/>
          <w:numId w:val="115"/>
        </w:numPr>
        <w:spacing w:line="276" w:lineRule="auto"/>
        <w:ind w:left="1701" w:hanging="283"/>
        <w:rPr>
          <w:rStyle w:val="A8"/>
          <w:rFonts w:asciiTheme="minorHAnsi" w:hAnsiTheme="minorHAnsi"/>
          <w:color w:val="221E1F"/>
          <w:sz w:val="22"/>
        </w:rPr>
      </w:pPr>
      <w:r w:rsidRPr="001E7B3E">
        <w:rPr>
          <w:rStyle w:val="A8"/>
          <w:rFonts w:asciiTheme="minorHAnsi" w:hAnsiTheme="minorHAnsi"/>
          <w:color w:val="221E1F"/>
          <w:sz w:val="22"/>
        </w:rPr>
        <w:t>the impact on the patient’s lifestyle and func</w:t>
      </w:r>
      <w:r w:rsidRPr="001E7B3E">
        <w:rPr>
          <w:rStyle w:val="A8"/>
          <w:rFonts w:asciiTheme="minorHAnsi" w:hAnsiTheme="minorHAnsi"/>
          <w:color w:val="221E1F"/>
          <w:sz w:val="22"/>
        </w:rPr>
        <w:softHyphen/>
        <w:t>tional abilities</w:t>
      </w:r>
    </w:p>
    <w:p w:rsidR="00484EFC" w:rsidRPr="001E7B3E" w:rsidRDefault="00484EFC" w:rsidP="00484EFC">
      <w:pPr>
        <w:pStyle w:val="Default"/>
        <w:spacing w:line="276" w:lineRule="auto"/>
        <w:ind w:left="1433"/>
        <w:rPr>
          <w:rStyle w:val="A8"/>
          <w:rFonts w:asciiTheme="minorHAnsi" w:hAnsiTheme="minorHAnsi"/>
          <w:color w:val="221E1F"/>
          <w:sz w:val="22"/>
        </w:rPr>
      </w:pPr>
    </w:p>
    <w:p w:rsidR="00484EFC" w:rsidRPr="001E7B3E" w:rsidRDefault="00484EFC" w:rsidP="00484EFC">
      <w:pPr>
        <w:pStyle w:val="Default"/>
        <w:spacing w:line="276" w:lineRule="auto"/>
        <w:ind w:left="1433"/>
        <w:rPr>
          <w:rStyle w:val="A8"/>
          <w:rFonts w:asciiTheme="minorHAnsi" w:hAnsiTheme="minorHAnsi"/>
          <w:color w:val="221E1F"/>
          <w:sz w:val="22"/>
        </w:rPr>
      </w:pPr>
      <w:r w:rsidRPr="001E7B3E">
        <w:rPr>
          <w:rStyle w:val="A8"/>
          <w:rFonts w:asciiTheme="minorHAnsi" w:hAnsiTheme="minorHAnsi"/>
          <w:color w:val="221E1F"/>
          <w:sz w:val="22"/>
        </w:rPr>
        <w:t>Such patients should ideally be reviewed by a multidisciplinary team that includes physiotherapy, and a musculoskeletal medical specialist.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vertAlign w:val="superscript"/>
          <w:lang w:eastAsia="en-AU"/>
        </w:rPr>
      </w:pPr>
      <w:r w:rsidRPr="001E7B3E">
        <w:rPr>
          <w:rStyle w:val="A8"/>
          <w:rFonts w:asciiTheme="minorHAnsi" w:hAnsiTheme="minorHAnsi"/>
          <w:color w:val="221E1F"/>
          <w:sz w:val="22"/>
        </w:rPr>
        <w:t>6.1.31</w:t>
      </w:r>
      <w:r w:rsidRPr="001E7B3E">
        <w:rPr>
          <w:rStyle w:val="A8"/>
          <w:rFonts w:asciiTheme="minorHAnsi" w:hAnsiTheme="minorHAnsi"/>
          <w:color w:val="221E1F"/>
          <w:sz w:val="22"/>
        </w:rPr>
        <w:tab/>
      </w:r>
      <w:r w:rsidRPr="001E7B3E">
        <w:rPr>
          <w:rStyle w:val="A8"/>
          <w:rFonts w:asciiTheme="minorHAnsi" w:hAnsiTheme="minorHAnsi"/>
          <w:b/>
          <w:color w:val="221E1F"/>
          <w:sz w:val="22"/>
        </w:rPr>
        <w:t>Pain should be controlled with appropriate anal</w:t>
      </w:r>
      <w:r w:rsidRPr="001E7B3E">
        <w:rPr>
          <w:rStyle w:val="A8"/>
          <w:rFonts w:asciiTheme="minorHAnsi" w:hAnsiTheme="minorHAnsi"/>
          <w:b/>
          <w:color w:val="221E1F"/>
          <w:sz w:val="22"/>
        </w:rPr>
        <w:softHyphen/>
        <w:t xml:space="preserve">gesics. Certain COX-2 inhibitors may be used to relieve arthritic pain (see ‘Pain Management’, section 1.9). </w:t>
      </w:r>
      <w:r w:rsidRPr="001E7B3E">
        <w:rPr>
          <w:rStyle w:val="A8"/>
          <w:rFonts w:asciiTheme="minorHAnsi" w:hAnsiTheme="minorHAnsi"/>
          <w:b/>
          <w:color w:val="221E1F"/>
          <w:sz w:val="22"/>
          <w:vertAlign w:val="superscript"/>
        </w:rPr>
        <w:t>[13</w:t>
      </w:r>
      <w:proofErr w:type="gramStart"/>
      <w:r w:rsidRPr="001E7B3E">
        <w:rPr>
          <w:rStyle w:val="A8"/>
          <w:rFonts w:asciiTheme="minorHAnsi" w:hAnsiTheme="minorHAnsi"/>
          <w:b/>
          <w:color w:val="221E1F"/>
          <w:sz w:val="22"/>
          <w:vertAlign w:val="superscript"/>
        </w:rPr>
        <w:t>,14</w:t>
      </w:r>
      <w:proofErr w:type="gramEnd"/>
      <w:r w:rsidRPr="001E7B3E">
        <w:rPr>
          <w:rStyle w:val="A8"/>
          <w:rFonts w:asciiTheme="minorHAnsi" w:hAnsiTheme="minorHAnsi"/>
          <w:b/>
          <w:color w:val="221E1F"/>
          <w:sz w:val="22"/>
          <w:vertAlign w:val="superscript"/>
        </w:rPr>
        <w: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6.1.32</w:t>
      </w:r>
      <w:r w:rsidRPr="001E7B3E">
        <w:rPr>
          <w:rStyle w:val="A8"/>
          <w:rFonts w:asciiTheme="minorHAnsi" w:hAnsiTheme="minorHAnsi"/>
          <w:color w:val="221E1F"/>
          <w:sz w:val="22"/>
        </w:rPr>
        <w:tab/>
      </w:r>
      <w:r w:rsidRPr="001E7B3E">
        <w:rPr>
          <w:rStyle w:val="A8"/>
          <w:rFonts w:asciiTheme="minorHAnsi" w:hAnsiTheme="minorHAnsi"/>
          <w:b/>
          <w:color w:val="221E1F"/>
          <w:sz w:val="22"/>
        </w:rPr>
        <w:t>Supervised physiotherapy aiming to preserve muscle strength and functional ability is a very important part of management at this stage. Secondary prophylaxis may be necessary if recurrent bleeding occurs as a result of phys</w:t>
      </w:r>
      <w:r w:rsidRPr="001E7B3E">
        <w:rPr>
          <w:rStyle w:val="A8"/>
          <w:rFonts w:asciiTheme="minorHAnsi" w:hAnsiTheme="minorHAnsi"/>
          <w:b/>
          <w:color w:val="221E1F"/>
          <w:sz w:val="22"/>
        </w:rPr>
        <w:softHyphen/>
        <w:t xml:space="preserve">iotherapy. </w:t>
      </w:r>
      <w:r w:rsidRPr="001E7B3E">
        <w:rPr>
          <w:rStyle w:val="A8"/>
          <w:rFonts w:asciiTheme="minorHAnsi" w:hAnsiTheme="minorHAnsi"/>
          <w:b/>
          <w:color w:val="221E1F"/>
          <w:sz w:val="22"/>
          <w:vertAlign w:val="superscript"/>
        </w:rPr>
        <w:t>[9</w:t>
      </w:r>
      <w:proofErr w:type="gramStart"/>
      <w:r w:rsidRPr="001E7B3E">
        <w:rPr>
          <w:rStyle w:val="A8"/>
          <w:rFonts w:asciiTheme="minorHAnsi" w:hAnsiTheme="minorHAnsi"/>
          <w:b/>
          <w:color w:val="221E1F"/>
          <w:sz w:val="22"/>
          <w:vertAlign w:val="superscript"/>
        </w:rPr>
        <w:t>,10</w:t>
      </w:r>
      <w:proofErr w:type="gramEnd"/>
      <w:r w:rsidRPr="001E7B3E">
        <w:rPr>
          <w:rStyle w:val="A8"/>
          <w:rFonts w:asciiTheme="minorHAnsi" w:hAnsiTheme="minorHAnsi"/>
          <w:b/>
          <w:color w:val="221E1F"/>
          <w:sz w:val="22"/>
          <w:vertAlign w:val="superscript"/>
        </w:rPr>
        <w: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6.1.33</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Other</w:t>
      </w:r>
      <w:proofErr w:type="gramEnd"/>
      <w:r w:rsidRPr="001E7B3E">
        <w:rPr>
          <w:rStyle w:val="A8"/>
          <w:rFonts w:asciiTheme="minorHAnsi" w:hAnsiTheme="minorHAnsi"/>
          <w:color w:val="221E1F"/>
          <w:sz w:val="22"/>
        </w:rPr>
        <w:t xml:space="preserve"> conservative management techniques include:</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484EFC">
      <w:pPr>
        <w:pStyle w:val="Default"/>
        <w:numPr>
          <w:ilvl w:val="0"/>
          <w:numId w:val="101"/>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serial casting to assist in correcting deformi</w:t>
      </w:r>
      <w:r w:rsidRPr="001E7B3E">
        <w:rPr>
          <w:rStyle w:val="A8"/>
          <w:rFonts w:asciiTheme="minorHAnsi" w:hAnsiTheme="minorHAnsi"/>
          <w:color w:val="221E1F"/>
          <w:sz w:val="22"/>
        </w:rPr>
        <w:softHyphen/>
        <w:t xml:space="preserve">ties </w:t>
      </w:r>
      <w:r w:rsidRPr="001E7B3E">
        <w:rPr>
          <w:rStyle w:val="A8"/>
          <w:rFonts w:asciiTheme="minorHAnsi" w:hAnsiTheme="minorHAnsi"/>
          <w:color w:val="221E1F"/>
          <w:sz w:val="22"/>
          <w:vertAlign w:val="superscript"/>
        </w:rPr>
        <w:t>[28,29]</w:t>
      </w:r>
      <w:r w:rsidRPr="001E7B3E">
        <w:rPr>
          <w:rStyle w:val="A8"/>
          <w:rFonts w:asciiTheme="minorHAnsi" w:hAnsiTheme="minorHAnsi"/>
          <w:color w:val="221E1F"/>
          <w:sz w:val="22"/>
        </w:rPr>
        <w:t xml:space="preserve"> </w:t>
      </w:r>
    </w:p>
    <w:p w:rsidR="00484EFC" w:rsidRPr="001E7B3E" w:rsidRDefault="00484EFC" w:rsidP="00484EFC">
      <w:pPr>
        <w:pStyle w:val="Default"/>
        <w:numPr>
          <w:ilvl w:val="0"/>
          <w:numId w:val="101"/>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bracing and orthotics to support painful and unstable joints </w:t>
      </w:r>
      <w:r w:rsidRPr="001E7B3E">
        <w:rPr>
          <w:rStyle w:val="A8"/>
          <w:rFonts w:asciiTheme="minorHAnsi" w:hAnsiTheme="minorHAnsi"/>
          <w:color w:val="221E1F"/>
          <w:sz w:val="22"/>
          <w:vertAlign w:val="superscript"/>
        </w:rPr>
        <w:t>[15]</w:t>
      </w:r>
      <w:r w:rsidRPr="001E7B3E">
        <w:rPr>
          <w:rStyle w:val="A8"/>
          <w:rFonts w:asciiTheme="minorHAnsi" w:hAnsiTheme="minorHAnsi"/>
          <w:color w:val="221E1F"/>
          <w:sz w:val="22"/>
        </w:rPr>
        <w:t xml:space="preserve"> </w:t>
      </w:r>
    </w:p>
    <w:p w:rsidR="00484EFC" w:rsidRPr="001E7B3E" w:rsidRDefault="00484EFC" w:rsidP="00484EFC">
      <w:pPr>
        <w:pStyle w:val="Default"/>
        <w:numPr>
          <w:ilvl w:val="0"/>
          <w:numId w:val="101"/>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walking aids or mobility aids to decrease stress on weight-bearing joints </w:t>
      </w:r>
    </w:p>
    <w:p w:rsidR="00484EFC" w:rsidRPr="001E7B3E" w:rsidRDefault="00484EFC" w:rsidP="00484EFC">
      <w:pPr>
        <w:pStyle w:val="Default"/>
        <w:numPr>
          <w:ilvl w:val="0"/>
          <w:numId w:val="101"/>
        </w:numPr>
        <w:spacing w:line="276" w:lineRule="auto"/>
        <w:ind w:left="1701" w:hanging="284"/>
        <w:rPr>
          <w:rStyle w:val="A8"/>
          <w:rFonts w:asciiTheme="minorHAnsi" w:hAnsiTheme="minorHAnsi"/>
          <w:color w:val="221E1F"/>
          <w:sz w:val="22"/>
        </w:rPr>
      </w:pPr>
      <w:proofErr w:type="gramStart"/>
      <w:r w:rsidRPr="001E7B3E">
        <w:rPr>
          <w:rStyle w:val="A8"/>
          <w:rFonts w:asciiTheme="minorHAnsi" w:hAnsiTheme="minorHAnsi"/>
          <w:color w:val="221E1F"/>
          <w:sz w:val="22"/>
        </w:rPr>
        <w:lastRenderedPageBreak/>
        <w:t>adaptations</w:t>
      </w:r>
      <w:proofErr w:type="gramEnd"/>
      <w:r w:rsidRPr="001E7B3E">
        <w:rPr>
          <w:rStyle w:val="A8"/>
          <w:rFonts w:asciiTheme="minorHAnsi" w:hAnsiTheme="minorHAnsi"/>
          <w:color w:val="221E1F"/>
          <w:sz w:val="22"/>
        </w:rPr>
        <w:t xml:space="preserve"> to the home, school, or work envi</w:t>
      </w:r>
      <w:r w:rsidRPr="001E7B3E">
        <w:rPr>
          <w:rStyle w:val="A8"/>
          <w:rFonts w:asciiTheme="minorHAnsi" w:hAnsiTheme="minorHAnsi"/>
          <w:color w:val="221E1F"/>
          <w:sz w:val="22"/>
        </w:rPr>
        <w:softHyphen/>
        <w:t>ro</w:t>
      </w:r>
      <w:r>
        <w:rPr>
          <w:rStyle w:val="A8"/>
          <w:rFonts w:asciiTheme="minorHAnsi" w:hAnsiTheme="minorHAnsi"/>
          <w:color w:val="221E1F"/>
          <w:sz w:val="22"/>
        </w:rPr>
        <w:t xml:space="preserve">nment to allow participation in </w:t>
      </w:r>
      <w:r w:rsidRPr="001E7B3E">
        <w:rPr>
          <w:rStyle w:val="A8"/>
          <w:rFonts w:asciiTheme="minorHAnsi" w:hAnsiTheme="minorHAnsi"/>
          <w:color w:val="221E1F"/>
          <w:sz w:val="22"/>
        </w:rPr>
        <w:t xml:space="preserve">community activities and employment and to facilitate activities of daily living. </w:t>
      </w:r>
      <w:r w:rsidRPr="001E7B3E">
        <w:rPr>
          <w:rStyle w:val="A8"/>
          <w:rFonts w:asciiTheme="minorHAnsi" w:hAnsiTheme="minorHAnsi"/>
          <w:color w:val="221E1F"/>
          <w:sz w:val="22"/>
          <w:vertAlign w:val="superscript"/>
        </w:rPr>
        <w:t>[30]</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6.1.34</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If</w:t>
      </w:r>
      <w:proofErr w:type="gramEnd"/>
      <w:r w:rsidRPr="001E7B3E">
        <w:rPr>
          <w:rStyle w:val="A8"/>
          <w:rFonts w:asciiTheme="minorHAnsi" w:hAnsiTheme="minorHAnsi"/>
          <w:color w:val="221E1F"/>
          <w:sz w:val="22"/>
        </w:rPr>
        <w:t xml:space="preserve"> these conservative measures fail to provide satisfactory relief of pain and improved func</w:t>
      </w:r>
      <w:r w:rsidRPr="001E7B3E">
        <w:rPr>
          <w:rStyle w:val="A8"/>
          <w:rFonts w:asciiTheme="minorHAnsi" w:hAnsiTheme="minorHAnsi"/>
          <w:color w:val="221E1F"/>
          <w:sz w:val="22"/>
        </w:rPr>
        <w:softHyphen/>
        <w:t xml:space="preserve">tioning, surgical intervention may be considered. Surgical procedures, depending on the specific condition needing correction, may include: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484EFC">
      <w:pPr>
        <w:pStyle w:val="Default"/>
        <w:numPr>
          <w:ilvl w:val="0"/>
          <w:numId w:val="102"/>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extra-articular soft tissue release to treat contractures </w:t>
      </w:r>
    </w:p>
    <w:p w:rsidR="00484EFC" w:rsidRPr="001E7B3E" w:rsidRDefault="00484EFC" w:rsidP="00484EFC">
      <w:pPr>
        <w:pStyle w:val="Default"/>
        <w:numPr>
          <w:ilvl w:val="0"/>
          <w:numId w:val="102"/>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osteotomy to correct angular deformity</w:t>
      </w:r>
    </w:p>
    <w:p w:rsidR="00484EFC" w:rsidRPr="001E7B3E" w:rsidRDefault="00484EFC" w:rsidP="00484EFC">
      <w:pPr>
        <w:pStyle w:val="Default"/>
        <w:numPr>
          <w:ilvl w:val="0"/>
          <w:numId w:val="102"/>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prosthetic joint replacement for severe disease involving a major joint (knee, hip,</w:t>
      </w:r>
      <w:r w:rsidR="00A03871">
        <w:rPr>
          <w:rStyle w:val="A8"/>
          <w:rFonts w:asciiTheme="minorHAnsi" w:hAnsiTheme="minorHAnsi"/>
          <w:color w:val="221E1F"/>
          <w:sz w:val="22"/>
        </w:rPr>
        <w:t xml:space="preserve"> </w:t>
      </w:r>
      <w:r w:rsidRPr="001E7B3E">
        <w:rPr>
          <w:rStyle w:val="A8"/>
          <w:rFonts w:asciiTheme="minorHAnsi" w:hAnsiTheme="minorHAnsi"/>
          <w:color w:val="221E1F"/>
          <w:sz w:val="22"/>
        </w:rPr>
        <w:t xml:space="preserve">shoulder, elbow) </w:t>
      </w:r>
      <w:r w:rsidRPr="001E7B3E">
        <w:rPr>
          <w:rStyle w:val="A8"/>
          <w:rFonts w:asciiTheme="minorHAnsi" w:hAnsiTheme="minorHAnsi"/>
          <w:color w:val="221E1F"/>
          <w:sz w:val="22"/>
          <w:vertAlign w:val="superscript"/>
        </w:rPr>
        <w:t>[32]</w:t>
      </w:r>
    </w:p>
    <w:p w:rsidR="00484EFC" w:rsidRPr="001E7B3E" w:rsidRDefault="00484EFC" w:rsidP="00484EFC">
      <w:pPr>
        <w:pStyle w:val="Default"/>
        <w:numPr>
          <w:ilvl w:val="0"/>
          <w:numId w:val="102"/>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elbow synovectomy with radial head excision </w:t>
      </w:r>
      <w:r w:rsidRPr="001E7B3E">
        <w:rPr>
          <w:rStyle w:val="A8"/>
          <w:rFonts w:asciiTheme="minorHAnsi" w:hAnsiTheme="minorHAnsi"/>
          <w:color w:val="221E1F"/>
          <w:sz w:val="22"/>
          <w:vertAlign w:val="superscript"/>
        </w:rPr>
        <w:t>[33]</w:t>
      </w:r>
    </w:p>
    <w:p w:rsidR="00484EFC" w:rsidRPr="001E7B3E" w:rsidRDefault="00484EFC" w:rsidP="00484EFC">
      <w:pPr>
        <w:pStyle w:val="Default"/>
        <w:numPr>
          <w:ilvl w:val="0"/>
          <w:numId w:val="102"/>
        </w:numPr>
        <w:spacing w:line="276" w:lineRule="auto"/>
        <w:ind w:left="1701" w:hanging="284"/>
        <w:rPr>
          <w:rStyle w:val="A8"/>
          <w:rFonts w:asciiTheme="minorHAnsi" w:hAnsiTheme="minorHAnsi"/>
          <w:color w:val="221E1F"/>
          <w:sz w:val="22"/>
        </w:rPr>
      </w:pPr>
      <w:proofErr w:type="gramStart"/>
      <w:r w:rsidRPr="001E7B3E">
        <w:rPr>
          <w:rStyle w:val="A8"/>
          <w:rFonts w:asciiTheme="minorHAnsi" w:hAnsiTheme="minorHAnsi"/>
          <w:color w:val="221E1F"/>
          <w:sz w:val="22"/>
        </w:rPr>
        <w:t>arthrodesis</w:t>
      </w:r>
      <w:proofErr w:type="gramEnd"/>
      <w:r w:rsidRPr="001E7B3E">
        <w:rPr>
          <w:rStyle w:val="A8"/>
          <w:rFonts w:asciiTheme="minorHAnsi" w:hAnsiTheme="minorHAnsi"/>
          <w:color w:val="221E1F"/>
          <w:sz w:val="22"/>
        </w:rPr>
        <w:t xml:space="preserve"> of the ankle, which provides excel</w:t>
      </w:r>
      <w:r w:rsidRPr="001E7B3E">
        <w:rPr>
          <w:rStyle w:val="A8"/>
          <w:rFonts w:asciiTheme="minorHAnsi" w:hAnsiTheme="minorHAnsi"/>
          <w:color w:val="221E1F"/>
          <w:sz w:val="22"/>
        </w:rPr>
        <w:softHyphen/>
        <w:t>lent pain relief and correction of deformity with marked improvement in function. Recent improvements in ankle replacement surgery may pose an alternative for persons with haemo</w:t>
      </w:r>
      <w:r>
        <w:rPr>
          <w:rStyle w:val="A8"/>
          <w:rFonts w:asciiTheme="minorHAnsi" w:hAnsiTheme="minorHAnsi"/>
          <w:color w:val="221E1F"/>
          <w:sz w:val="22"/>
        </w:rPr>
        <w:softHyphen/>
        <w:t>philia in the</w:t>
      </w:r>
      <w:r w:rsidRPr="001E7B3E">
        <w:rPr>
          <w:rStyle w:val="A8"/>
          <w:rFonts w:asciiTheme="minorHAnsi" w:hAnsiTheme="minorHAnsi"/>
          <w:color w:val="221E1F"/>
          <w:sz w:val="22"/>
        </w:rPr>
        <w:t xml:space="preserve"> future. </w:t>
      </w:r>
      <w:r w:rsidRPr="001E7B3E">
        <w:rPr>
          <w:rStyle w:val="A8"/>
          <w:rFonts w:asciiTheme="minorHAnsi" w:hAnsiTheme="minorHAnsi"/>
          <w:color w:val="221E1F"/>
          <w:sz w:val="22"/>
          <w:vertAlign w:val="superscript"/>
        </w:rPr>
        <w:t>[34,35]</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484EFC">
      <w:pPr>
        <w:pStyle w:val="Default"/>
        <w:spacing w:line="276" w:lineRule="auto"/>
        <w:ind w:left="1417"/>
        <w:rPr>
          <w:rStyle w:val="A8"/>
          <w:rFonts w:asciiTheme="minorHAnsi" w:hAnsiTheme="minorHAnsi"/>
          <w:color w:val="221E1F"/>
          <w:sz w:val="22"/>
        </w:rPr>
      </w:pPr>
      <w:r w:rsidRPr="001E7B3E">
        <w:rPr>
          <w:rStyle w:val="A8"/>
          <w:rFonts w:asciiTheme="minorHAnsi" w:hAnsiTheme="minorHAnsi"/>
          <w:color w:val="221E1F"/>
          <w:sz w:val="22"/>
        </w:rPr>
        <w:t>Strategies should be developed to delay the time to first prosthetic joint replacement due to the life expectancy of joint replacements and the increasing level of difficulty and complications with each subsequent replacement.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vertAlign w:val="superscript"/>
          <w:lang w:eastAsia="en-AU"/>
        </w:rPr>
      </w:pPr>
      <w:r w:rsidRPr="001E7B3E">
        <w:rPr>
          <w:rStyle w:val="A8"/>
          <w:rFonts w:asciiTheme="minorHAnsi" w:hAnsiTheme="minorHAnsi"/>
          <w:color w:val="221E1F"/>
          <w:sz w:val="22"/>
        </w:rPr>
        <w:t>6.1.35</w:t>
      </w:r>
      <w:r w:rsidRPr="001E7B3E">
        <w:rPr>
          <w:rStyle w:val="A8"/>
          <w:rFonts w:asciiTheme="minorHAnsi" w:hAnsiTheme="minorHAnsi"/>
          <w:color w:val="221E1F"/>
          <w:sz w:val="22"/>
        </w:rPr>
        <w:tab/>
      </w:r>
      <w:proofErr w:type="gramStart"/>
      <w:r w:rsidRPr="001E7B3E">
        <w:rPr>
          <w:rStyle w:val="A8"/>
          <w:rFonts w:asciiTheme="minorHAnsi" w:hAnsiTheme="minorHAnsi"/>
          <w:b/>
          <w:color w:val="221E1F"/>
          <w:sz w:val="22"/>
        </w:rPr>
        <w:t>Adequate</w:t>
      </w:r>
      <w:proofErr w:type="gramEnd"/>
      <w:r w:rsidRPr="001E7B3E">
        <w:rPr>
          <w:rStyle w:val="A8"/>
          <w:rFonts w:asciiTheme="minorHAnsi" w:hAnsiTheme="minorHAnsi"/>
          <w:b/>
          <w:color w:val="221E1F"/>
          <w:sz w:val="22"/>
        </w:rPr>
        <w:t xml:space="preserve"> resources, including sufficient factor concentrates and post-operative rehabilitation, must be available in order to proceed with any surgical procedure.  </w:t>
      </w:r>
      <w:r w:rsidRPr="001E7B3E">
        <w:rPr>
          <w:rStyle w:val="A8"/>
          <w:rFonts w:asciiTheme="minorHAnsi" w:hAnsiTheme="minorHAnsi"/>
          <w:b/>
          <w:color w:val="221E1F"/>
          <w:sz w:val="22"/>
          <w:vertAlign w:val="superscript"/>
        </w:rPr>
        <w:t>[36-38]</w:t>
      </w:r>
    </w:p>
    <w:p w:rsidR="00484EFC" w:rsidRPr="001E7B3E" w:rsidRDefault="00484EFC" w:rsidP="00041ED2">
      <w:pPr>
        <w:pStyle w:val="Heading4"/>
        <w:rPr>
          <w:rFonts w:eastAsia="Calibri"/>
          <w:lang w:eastAsia="en-US"/>
        </w:rPr>
      </w:pPr>
      <w:r w:rsidRPr="001E7B3E">
        <w:rPr>
          <w:rFonts w:eastAsia="Calibri"/>
          <w:lang w:eastAsia="en-US"/>
        </w:rPr>
        <w:t>Principles of physiotherapy/physical medicine in haemophilia</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6.1.36</w:t>
      </w:r>
      <w:r w:rsidRPr="001E7B3E">
        <w:rPr>
          <w:rStyle w:val="A8"/>
          <w:rFonts w:asciiTheme="minorHAnsi" w:hAnsiTheme="minorHAnsi"/>
          <w:color w:val="221E1F"/>
          <w:sz w:val="22"/>
        </w:rPr>
        <w:tab/>
        <w:t>Physiotherapists and occupational therapists should be part of the core haemo</w:t>
      </w:r>
      <w:r w:rsidRPr="001E7B3E">
        <w:rPr>
          <w:rStyle w:val="A8"/>
          <w:rFonts w:asciiTheme="minorHAnsi" w:hAnsiTheme="minorHAnsi"/>
          <w:color w:val="221E1F"/>
          <w:sz w:val="22"/>
        </w:rPr>
        <w:softHyphen/>
        <w:t>philia team. Their involvement with patients and their families should begin at the time of diag</w:t>
      </w:r>
      <w:r w:rsidRPr="001E7B3E">
        <w:rPr>
          <w:rStyle w:val="A8"/>
          <w:rFonts w:asciiTheme="minorHAnsi" w:hAnsiTheme="minorHAnsi"/>
          <w:color w:val="221E1F"/>
          <w:sz w:val="22"/>
        </w:rPr>
        <w:softHyphen/>
        <w:t xml:space="preserve">nosis, and they remain important to the patient throughout their lifespan.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6.1.37</w:t>
      </w:r>
      <w:r w:rsidRPr="001E7B3E">
        <w:rPr>
          <w:rStyle w:val="A8"/>
          <w:rFonts w:asciiTheme="minorHAnsi" w:hAnsiTheme="minorHAnsi"/>
          <w:color w:val="221E1F"/>
          <w:sz w:val="22"/>
        </w:rPr>
        <w:tab/>
        <w:t xml:space="preserve">Their role in the management of the patient with haemophilia includes the following: </w:t>
      </w:r>
      <w:r w:rsidRPr="001E7B3E">
        <w:rPr>
          <w:rStyle w:val="A8"/>
          <w:rFonts w:asciiTheme="minorHAnsi" w:hAnsiTheme="minorHAnsi"/>
          <w:color w:val="221E1F"/>
          <w:sz w:val="22"/>
          <w:vertAlign w:val="superscript"/>
        </w:rPr>
        <w:t>[9</w:t>
      </w:r>
      <w:proofErr w:type="gramStart"/>
      <w:r w:rsidRPr="001E7B3E">
        <w:rPr>
          <w:rStyle w:val="A8"/>
          <w:rFonts w:asciiTheme="minorHAnsi" w:hAnsiTheme="minorHAnsi"/>
          <w:color w:val="221E1F"/>
          <w:sz w:val="22"/>
          <w:vertAlign w:val="superscript"/>
        </w:rPr>
        <w:t>,39</w:t>
      </w:r>
      <w:proofErr w:type="gramEnd"/>
      <w:r w:rsidRPr="001E7B3E">
        <w:rPr>
          <w:rStyle w:val="A8"/>
          <w:rFonts w:asciiTheme="minorHAnsi" w:hAnsiTheme="minorHAnsi"/>
          <w:color w:val="221E1F"/>
          <w:sz w:val="22"/>
          <w:vertAlign w:val="superscript"/>
        </w:rPr>
        <w:t>-41]</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484EFC">
      <w:pPr>
        <w:pStyle w:val="Default"/>
        <w:numPr>
          <w:ilvl w:val="0"/>
          <w:numId w:val="103"/>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Assessment</w:t>
      </w:r>
    </w:p>
    <w:p w:rsidR="00484EFC" w:rsidRPr="001E7B3E" w:rsidRDefault="00484EFC" w:rsidP="00484EFC">
      <w:pPr>
        <w:pStyle w:val="Default"/>
        <w:numPr>
          <w:ilvl w:val="0"/>
          <w:numId w:val="104"/>
        </w:numPr>
        <w:spacing w:line="276" w:lineRule="auto"/>
        <w:ind w:left="1985" w:hanging="284"/>
        <w:rPr>
          <w:rStyle w:val="A8"/>
          <w:rFonts w:asciiTheme="minorHAnsi" w:hAnsiTheme="minorHAnsi"/>
          <w:color w:val="221E1F"/>
          <w:sz w:val="22"/>
        </w:rPr>
      </w:pPr>
      <w:r w:rsidRPr="001E7B3E">
        <w:rPr>
          <w:rStyle w:val="A8"/>
          <w:rFonts w:asciiTheme="minorHAnsi" w:hAnsiTheme="minorHAnsi"/>
          <w:color w:val="221E1F"/>
          <w:sz w:val="22"/>
        </w:rPr>
        <w:t>Determining the site of an acute bleed</w:t>
      </w:r>
    </w:p>
    <w:p w:rsidR="00484EFC" w:rsidRPr="001E7B3E" w:rsidRDefault="00484EFC" w:rsidP="00484EFC">
      <w:pPr>
        <w:pStyle w:val="Default"/>
        <w:numPr>
          <w:ilvl w:val="0"/>
          <w:numId w:val="104"/>
        </w:numPr>
        <w:spacing w:line="276" w:lineRule="auto"/>
        <w:ind w:left="1985" w:hanging="284"/>
        <w:rPr>
          <w:rStyle w:val="A8"/>
          <w:rFonts w:asciiTheme="minorHAnsi" w:hAnsiTheme="minorHAnsi"/>
          <w:color w:val="221E1F"/>
          <w:sz w:val="22"/>
        </w:rPr>
      </w:pPr>
      <w:r w:rsidRPr="001E7B3E">
        <w:rPr>
          <w:rStyle w:val="A8"/>
          <w:rFonts w:asciiTheme="minorHAnsi" w:hAnsiTheme="minorHAnsi"/>
          <w:color w:val="221E1F"/>
          <w:sz w:val="22"/>
        </w:rPr>
        <w:t>Regular assessment throughout life</w:t>
      </w:r>
    </w:p>
    <w:p w:rsidR="00484EFC" w:rsidRPr="001E7B3E" w:rsidRDefault="00484EFC" w:rsidP="00484EFC">
      <w:pPr>
        <w:pStyle w:val="Default"/>
        <w:numPr>
          <w:ilvl w:val="0"/>
          <w:numId w:val="104"/>
        </w:numPr>
        <w:spacing w:line="276" w:lineRule="auto"/>
        <w:ind w:left="1985" w:hanging="284"/>
        <w:rPr>
          <w:rStyle w:val="A8"/>
          <w:rFonts w:asciiTheme="minorHAnsi" w:hAnsiTheme="minorHAnsi"/>
          <w:color w:val="221E1F"/>
          <w:sz w:val="22"/>
        </w:rPr>
      </w:pPr>
      <w:r w:rsidRPr="001E7B3E">
        <w:rPr>
          <w:rStyle w:val="A8"/>
          <w:rFonts w:asciiTheme="minorHAnsi" w:hAnsiTheme="minorHAnsi"/>
          <w:color w:val="221E1F"/>
          <w:sz w:val="22"/>
        </w:rPr>
        <w:t>Pre-operative assessment</w:t>
      </w:r>
    </w:p>
    <w:p w:rsidR="00484EFC" w:rsidRPr="00CB20E7" w:rsidRDefault="00484EFC" w:rsidP="00484EFC">
      <w:pPr>
        <w:pStyle w:val="Default"/>
        <w:numPr>
          <w:ilvl w:val="0"/>
          <w:numId w:val="104"/>
        </w:numPr>
        <w:spacing w:line="276" w:lineRule="auto"/>
        <w:ind w:left="1985" w:hanging="284"/>
        <w:rPr>
          <w:rStyle w:val="A8"/>
          <w:rFonts w:asciiTheme="minorHAnsi" w:hAnsiTheme="minorHAnsi"/>
          <w:color w:val="000000" w:themeColor="text1"/>
          <w:sz w:val="22"/>
        </w:rPr>
      </w:pPr>
      <w:r w:rsidRPr="00CB20E7">
        <w:rPr>
          <w:rStyle w:val="A8"/>
          <w:rFonts w:asciiTheme="minorHAnsi" w:hAnsiTheme="minorHAnsi"/>
          <w:color w:val="000000" w:themeColor="text1"/>
          <w:sz w:val="22"/>
        </w:rPr>
        <w:t>Assessment of musculoskeletal pain not due to bleeds</w:t>
      </w:r>
    </w:p>
    <w:p w:rsidR="00484EFC" w:rsidRPr="001E7B3E" w:rsidRDefault="00484EFC" w:rsidP="00484EFC">
      <w:pPr>
        <w:pStyle w:val="Default"/>
        <w:numPr>
          <w:ilvl w:val="0"/>
          <w:numId w:val="103"/>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Education</w:t>
      </w:r>
    </w:p>
    <w:p w:rsidR="00484EFC" w:rsidRPr="001E7B3E" w:rsidRDefault="00484EFC" w:rsidP="00484EFC">
      <w:pPr>
        <w:pStyle w:val="Default"/>
        <w:numPr>
          <w:ilvl w:val="0"/>
          <w:numId w:val="105"/>
        </w:numPr>
        <w:spacing w:line="276" w:lineRule="auto"/>
        <w:ind w:left="1985" w:hanging="284"/>
        <w:rPr>
          <w:rStyle w:val="A8"/>
          <w:rFonts w:asciiTheme="minorHAnsi" w:hAnsiTheme="minorHAnsi"/>
          <w:color w:val="221E1F"/>
          <w:sz w:val="22"/>
        </w:rPr>
      </w:pPr>
      <w:r w:rsidRPr="001E7B3E">
        <w:rPr>
          <w:rStyle w:val="A8"/>
          <w:rFonts w:asciiTheme="minorHAnsi" w:hAnsiTheme="minorHAnsi"/>
          <w:color w:val="221E1F"/>
          <w:sz w:val="22"/>
        </w:rPr>
        <w:t>Of the patient and family regarding muscu</w:t>
      </w:r>
      <w:r w:rsidRPr="001E7B3E">
        <w:rPr>
          <w:rStyle w:val="A8"/>
          <w:rFonts w:asciiTheme="minorHAnsi" w:hAnsiTheme="minorHAnsi"/>
          <w:color w:val="221E1F"/>
          <w:sz w:val="22"/>
        </w:rPr>
        <w:softHyphen/>
        <w:t>los</w:t>
      </w:r>
      <w:r>
        <w:rPr>
          <w:rStyle w:val="A8"/>
          <w:rFonts w:asciiTheme="minorHAnsi" w:hAnsiTheme="minorHAnsi"/>
          <w:color w:val="221E1F"/>
          <w:sz w:val="22"/>
        </w:rPr>
        <w:t xml:space="preserve">keletal complications and their </w:t>
      </w:r>
      <w:r w:rsidRPr="001E7B3E">
        <w:rPr>
          <w:rStyle w:val="A8"/>
          <w:rFonts w:asciiTheme="minorHAnsi" w:hAnsiTheme="minorHAnsi"/>
          <w:color w:val="221E1F"/>
          <w:sz w:val="22"/>
        </w:rPr>
        <w:t>treatment</w:t>
      </w:r>
    </w:p>
    <w:p w:rsidR="00484EFC" w:rsidRPr="001E7B3E" w:rsidRDefault="00484EFC" w:rsidP="00484EFC">
      <w:pPr>
        <w:pStyle w:val="Default"/>
        <w:numPr>
          <w:ilvl w:val="0"/>
          <w:numId w:val="105"/>
        </w:numPr>
        <w:spacing w:line="276" w:lineRule="auto"/>
        <w:ind w:left="1985" w:hanging="284"/>
        <w:rPr>
          <w:rStyle w:val="A8"/>
          <w:rFonts w:asciiTheme="minorHAnsi" w:hAnsiTheme="minorHAnsi"/>
          <w:color w:val="221E1F"/>
          <w:sz w:val="22"/>
        </w:rPr>
      </w:pPr>
      <w:r w:rsidRPr="001E7B3E">
        <w:rPr>
          <w:rStyle w:val="A8"/>
          <w:rFonts w:asciiTheme="minorHAnsi" w:hAnsiTheme="minorHAnsi"/>
          <w:color w:val="221E1F"/>
          <w:sz w:val="22"/>
        </w:rPr>
        <w:t>Of school personnel regarding suitable activities for the child, imm</w:t>
      </w:r>
      <w:r w:rsidR="00173B0C">
        <w:rPr>
          <w:rStyle w:val="A8"/>
          <w:rFonts w:asciiTheme="minorHAnsi" w:hAnsiTheme="minorHAnsi"/>
          <w:color w:val="221E1F"/>
          <w:sz w:val="22"/>
        </w:rPr>
        <w:t xml:space="preserve">ediate care in </w:t>
      </w:r>
      <w:r w:rsidRPr="001E7B3E">
        <w:rPr>
          <w:rStyle w:val="A8"/>
          <w:rFonts w:asciiTheme="minorHAnsi" w:hAnsiTheme="minorHAnsi"/>
          <w:color w:val="221E1F"/>
          <w:sz w:val="22"/>
        </w:rPr>
        <w:t>case of a bleed, and modifications in activ</w:t>
      </w:r>
      <w:r w:rsidRPr="001E7B3E">
        <w:rPr>
          <w:rStyle w:val="A8"/>
          <w:rFonts w:asciiTheme="minorHAnsi" w:hAnsiTheme="minorHAnsi"/>
          <w:color w:val="221E1F"/>
          <w:sz w:val="22"/>
        </w:rPr>
        <w:softHyphen/>
        <w:t>ities that may be needed after bleeds.</w:t>
      </w:r>
    </w:p>
    <w:p w:rsidR="00484EFC" w:rsidRDefault="00484EFC" w:rsidP="00484EFC">
      <w:pPr>
        <w:pStyle w:val="Default"/>
        <w:numPr>
          <w:ilvl w:val="0"/>
          <w:numId w:val="103"/>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Treatment of acute bleeds, chronic synovitis, and chronic arthropathy </w:t>
      </w:r>
    </w:p>
    <w:p w:rsidR="00484EFC" w:rsidRPr="001E7B3E" w:rsidRDefault="00484EFC" w:rsidP="00484EFC">
      <w:pPr>
        <w:pStyle w:val="Default"/>
        <w:spacing w:line="276" w:lineRule="auto"/>
        <w:ind w:left="113"/>
        <w:rPr>
          <w:rStyle w:val="A8"/>
          <w:rFonts w:asciiTheme="minorHAnsi" w:hAnsiTheme="minorHAnsi"/>
          <w:color w:val="221E1F"/>
          <w:sz w:val="22"/>
        </w:rPr>
      </w:pPr>
    </w:p>
    <w:p w:rsidR="00484EFC" w:rsidRPr="001E7B3E" w:rsidRDefault="00484EFC" w:rsidP="00484EFC">
      <w:pPr>
        <w:pStyle w:val="Default"/>
        <w:spacing w:line="276" w:lineRule="auto"/>
        <w:ind w:left="1440" w:hanging="1440"/>
        <w:rPr>
          <w:rStyle w:val="A8"/>
          <w:rFonts w:asciiTheme="minorHAnsi" w:hAnsiTheme="minorHAnsi"/>
          <w:color w:val="221E1F"/>
          <w:sz w:val="22"/>
        </w:rPr>
      </w:pPr>
      <w:r w:rsidRPr="001E7B3E">
        <w:rPr>
          <w:rStyle w:val="A8"/>
          <w:rFonts w:asciiTheme="minorHAnsi" w:hAnsiTheme="minorHAnsi"/>
          <w:color w:val="221E1F"/>
          <w:sz w:val="22"/>
        </w:rPr>
        <w:lastRenderedPageBreak/>
        <w:t>6.1.38</w:t>
      </w:r>
      <w:r w:rsidRPr="001E7B3E">
        <w:rPr>
          <w:rStyle w:val="A8"/>
          <w:rFonts w:asciiTheme="minorHAnsi" w:hAnsiTheme="minorHAnsi"/>
          <w:color w:val="221E1F"/>
          <w:sz w:val="22"/>
        </w:rPr>
        <w:tab/>
        <w:t>Podiatry input regarding the potential benefit of orthotics is also of benefit in targeted patients, particularly those individuals with ankle arthropathy.</w:t>
      </w:r>
    </w:p>
    <w:p w:rsidR="00484EFC" w:rsidRPr="001E7B3E" w:rsidRDefault="00484EFC" w:rsidP="00041ED2">
      <w:pPr>
        <w:pStyle w:val="Heading4"/>
        <w:rPr>
          <w:rFonts w:cs="Minion Pro"/>
          <w:color w:val="211D1E"/>
          <w:sz w:val="26"/>
          <w:szCs w:val="26"/>
          <w:lang w:eastAsia="en-US"/>
        </w:rPr>
      </w:pPr>
      <w:r w:rsidRPr="001E7B3E">
        <w:rPr>
          <w:rFonts w:eastAsia="Calibri"/>
          <w:lang w:eastAsia="en-US"/>
        </w:rPr>
        <w:t xml:space="preserve">Pseudotumours </w:t>
      </w:r>
    </w:p>
    <w:p w:rsidR="00484EFC" w:rsidRPr="001E7B3E" w:rsidRDefault="00173B0C" w:rsidP="00041ED2">
      <w:pPr>
        <w:pStyle w:val="Default"/>
        <w:spacing w:line="276" w:lineRule="auto"/>
        <w:ind w:left="1433" w:hanging="1433"/>
        <w:rPr>
          <w:rStyle w:val="A8"/>
          <w:rFonts w:asciiTheme="minorHAnsi" w:hAnsiTheme="minorHAnsi" w:cs="Arial"/>
          <w:color w:val="221E1F"/>
          <w:sz w:val="22"/>
          <w:szCs w:val="28"/>
          <w:lang w:eastAsia="en-AU"/>
        </w:rPr>
      </w:pPr>
      <w:r>
        <w:rPr>
          <w:rStyle w:val="A8"/>
          <w:rFonts w:asciiTheme="minorHAnsi" w:hAnsiTheme="minorHAnsi"/>
          <w:color w:val="221E1F"/>
          <w:sz w:val="22"/>
        </w:rPr>
        <w:t>6.1.39</w:t>
      </w:r>
      <w:r>
        <w:rPr>
          <w:rStyle w:val="A8"/>
          <w:rFonts w:asciiTheme="minorHAnsi" w:hAnsiTheme="minorHAnsi"/>
          <w:color w:val="221E1F"/>
          <w:sz w:val="22"/>
        </w:rPr>
        <w:tab/>
        <w:t>Pseudotumour</w:t>
      </w:r>
      <w:r w:rsidR="00484EFC" w:rsidRPr="001E7B3E">
        <w:rPr>
          <w:rStyle w:val="A8"/>
          <w:rFonts w:asciiTheme="minorHAnsi" w:hAnsiTheme="minorHAnsi"/>
          <w:color w:val="221E1F"/>
          <w:sz w:val="22"/>
        </w:rPr>
        <w:t xml:space="preserve"> formation, although uncommon in Australia, is a potentially limb and life-threatening condition unique to haemophilia that occurs as a result of inadequately treated soft tissue bleeds, usually in muscle adjacent to bone which can then be secondarily involved. It is most commonly seen in a long bone or the pelvis.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6.1.40</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If</w:t>
      </w:r>
      <w:proofErr w:type="gramEnd"/>
      <w:r w:rsidRPr="001E7B3E">
        <w:rPr>
          <w:rStyle w:val="A8"/>
          <w:rFonts w:asciiTheme="minorHAnsi" w:hAnsiTheme="minorHAnsi"/>
          <w:color w:val="221E1F"/>
          <w:sz w:val="22"/>
        </w:rPr>
        <w:t xml:space="preserve"> not treated, the pseudotumour can reach enormous size, causing pressure on the adja</w:t>
      </w:r>
      <w:r w:rsidRPr="001E7B3E">
        <w:rPr>
          <w:rStyle w:val="A8"/>
          <w:rFonts w:asciiTheme="minorHAnsi" w:hAnsiTheme="minorHAnsi"/>
          <w:color w:val="221E1F"/>
          <w:sz w:val="22"/>
        </w:rPr>
        <w:softHyphen/>
        <w:t>cent neurovascular structures and pathologic fractures. A fistula can develop through the over</w:t>
      </w:r>
      <w:r w:rsidRPr="001E7B3E">
        <w:rPr>
          <w:rStyle w:val="A8"/>
          <w:rFonts w:asciiTheme="minorHAnsi" w:hAnsiTheme="minorHAnsi"/>
          <w:color w:val="221E1F"/>
          <w:sz w:val="22"/>
        </w:rPr>
        <w:softHyphen/>
        <w:t xml:space="preserve">lying skin.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6.1.41</w:t>
      </w:r>
      <w:r w:rsidRPr="001E7B3E">
        <w:rPr>
          <w:rStyle w:val="A8"/>
          <w:rFonts w:asciiTheme="minorHAnsi" w:hAnsiTheme="minorHAnsi"/>
          <w:color w:val="221E1F"/>
          <w:sz w:val="22"/>
        </w:rPr>
        <w:tab/>
        <w:t xml:space="preserve">Diagnosis is made by the physical finding of a localised mass.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6.1.42</w:t>
      </w:r>
      <w:r w:rsidRPr="001E7B3E">
        <w:rPr>
          <w:rStyle w:val="A8"/>
          <w:rFonts w:asciiTheme="minorHAnsi" w:hAnsiTheme="minorHAnsi"/>
          <w:color w:val="221E1F"/>
          <w:sz w:val="22"/>
        </w:rPr>
        <w:tab/>
        <w:t xml:space="preserve">Radiographic findings include a soft tissue mass with adjacent bone destruction.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6.1.43</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A</w:t>
      </w:r>
      <w:proofErr w:type="gramEnd"/>
      <w:r w:rsidRPr="001E7B3E">
        <w:rPr>
          <w:rStyle w:val="A8"/>
          <w:rFonts w:asciiTheme="minorHAnsi" w:hAnsiTheme="minorHAnsi"/>
          <w:color w:val="221E1F"/>
          <w:sz w:val="22"/>
        </w:rPr>
        <w:t xml:space="preserve"> more detailed and accurate evaluation of a pseudotumour can be obtained with CT scan and MRI.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6.1.44</w:t>
      </w:r>
      <w:r w:rsidRPr="001E7B3E">
        <w:rPr>
          <w:rStyle w:val="A8"/>
          <w:rFonts w:asciiTheme="minorHAnsi" w:hAnsiTheme="minorHAnsi"/>
          <w:color w:val="221E1F"/>
          <w:sz w:val="22"/>
        </w:rPr>
        <w:tab/>
        <w:t>Management depends on the site, size, rate of growth, and effect on adjoining structures. Options include factor replacement and moni</w:t>
      </w:r>
      <w:r w:rsidRPr="001E7B3E">
        <w:rPr>
          <w:rStyle w:val="A8"/>
          <w:rFonts w:asciiTheme="minorHAnsi" w:hAnsiTheme="minorHAnsi"/>
          <w:color w:val="221E1F"/>
          <w:sz w:val="22"/>
        </w:rPr>
        <w:softHyphen/>
        <w:t xml:space="preserve">toring, aspiration, and surgical ablation.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484EFC">
      <w:pPr>
        <w:pStyle w:val="Default"/>
        <w:numPr>
          <w:ilvl w:val="0"/>
          <w:numId w:val="103"/>
        </w:numPr>
        <w:spacing w:line="276" w:lineRule="auto"/>
        <w:ind w:left="1701" w:hanging="284"/>
        <w:rPr>
          <w:rStyle w:val="A8"/>
          <w:rFonts w:asciiTheme="minorHAnsi" w:hAnsiTheme="minorHAnsi"/>
          <w:b/>
          <w:color w:val="221E1F"/>
          <w:sz w:val="22"/>
        </w:rPr>
      </w:pPr>
      <w:r w:rsidRPr="001E7B3E">
        <w:rPr>
          <w:rStyle w:val="A8"/>
          <w:rFonts w:asciiTheme="minorHAnsi" w:hAnsiTheme="minorHAnsi"/>
          <w:b/>
          <w:color w:val="221E1F"/>
          <w:sz w:val="22"/>
        </w:rPr>
        <w:t>A six-week course of treatment with factor is recommended, followed by</w:t>
      </w:r>
      <w:r w:rsidR="00BB0659">
        <w:rPr>
          <w:rStyle w:val="A8"/>
          <w:rFonts w:asciiTheme="minorHAnsi" w:hAnsiTheme="minorHAnsi"/>
          <w:b/>
          <w:color w:val="221E1F"/>
          <w:sz w:val="22"/>
        </w:rPr>
        <w:t xml:space="preserve"> </w:t>
      </w:r>
      <w:r w:rsidRPr="001E7B3E">
        <w:rPr>
          <w:rStyle w:val="A8"/>
          <w:rFonts w:asciiTheme="minorHAnsi" w:hAnsiTheme="minorHAnsi"/>
          <w:b/>
          <w:color w:val="221E1F"/>
          <w:sz w:val="22"/>
        </w:rPr>
        <w:t>repeat MRI. If the tumour is decreasing, cont</w:t>
      </w:r>
      <w:r>
        <w:rPr>
          <w:rStyle w:val="A8"/>
          <w:rFonts w:asciiTheme="minorHAnsi" w:hAnsiTheme="minorHAnsi"/>
          <w:b/>
          <w:color w:val="221E1F"/>
          <w:sz w:val="22"/>
        </w:rPr>
        <w:t>inue with factor and repeat MRI</w:t>
      </w:r>
      <w:r w:rsidRPr="001E7B3E">
        <w:rPr>
          <w:rStyle w:val="A8"/>
          <w:rFonts w:asciiTheme="minorHAnsi" w:hAnsiTheme="minorHAnsi"/>
          <w:b/>
          <w:color w:val="221E1F"/>
          <w:sz w:val="22"/>
        </w:rPr>
        <w:t xml:space="preserve"> for three cycles </w:t>
      </w:r>
      <w:r w:rsidRPr="001E7B3E">
        <w:rPr>
          <w:rStyle w:val="A8"/>
          <w:rFonts w:asciiTheme="minorHAnsi" w:hAnsiTheme="minorHAnsi"/>
          <w:b/>
          <w:color w:val="221E1F"/>
          <w:sz w:val="22"/>
          <w:vertAlign w:val="superscript"/>
        </w:rPr>
        <w:t>[42,43]</w:t>
      </w:r>
      <w:r w:rsidRPr="001E7B3E">
        <w:rPr>
          <w:rStyle w:val="A8"/>
          <w:rFonts w:asciiTheme="minorHAnsi" w:hAnsiTheme="minorHAnsi"/>
          <w:b/>
          <w:color w:val="221E1F"/>
          <w:sz w:val="22"/>
        </w:rPr>
        <w:t xml:space="preserve"> </w:t>
      </w:r>
    </w:p>
    <w:p w:rsidR="00484EFC" w:rsidRPr="001E7B3E" w:rsidRDefault="00484EFC" w:rsidP="00484EFC">
      <w:pPr>
        <w:pStyle w:val="Default"/>
        <w:numPr>
          <w:ilvl w:val="0"/>
          <w:numId w:val="103"/>
        </w:numPr>
        <w:spacing w:line="276" w:lineRule="auto"/>
        <w:ind w:left="1701" w:hanging="284"/>
        <w:rPr>
          <w:rStyle w:val="A8"/>
          <w:rFonts w:asciiTheme="minorHAnsi" w:hAnsiTheme="minorHAnsi"/>
          <w:color w:val="221E1F"/>
          <w:sz w:val="22"/>
        </w:rPr>
      </w:pPr>
      <w:r>
        <w:rPr>
          <w:rStyle w:val="A8"/>
          <w:rFonts w:asciiTheme="minorHAnsi" w:hAnsiTheme="minorHAnsi"/>
          <w:color w:val="221E1F"/>
          <w:sz w:val="22"/>
        </w:rPr>
        <w:t>P</w:t>
      </w:r>
      <w:r w:rsidRPr="001E7B3E">
        <w:rPr>
          <w:rStyle w:val="A8"/>
          <w:rFonts w:asciiTheme="minorHAnsi" w:hAnsiTheme="minorHAnsi"/>
          <w:color w:val="221E1F"/>
          <w:sz w:val="22"/>
        </w:rPr>
        <w:t xml:space="preserve">roceed to surgery if necessary, which will be much easier if the tumour has shrunk </w:t>
      </w:r>
    </w:p>
    <w:p w:rsidR="00484EFC" w:rsidRPr="001E7B3E" w:rsidRDefault="00484EFC" w:rsidP="00484EFC">
      <w:pPr>
        <w:pStyle w:val="Default"/>
        <w:numPr>
          <w:ilvl w:val="0"/>
          <w:numId w:val="103"/>
        </w:numPr>
        <w:spacing w:line="276" w:lineRule="auto"/>
        <w:ind w:left="1701" w:hanging="284"/>
        <w:rPr>
          <w:rStyle w:val="A8"/>
          <w:rFonts w:asciiTheme="minorHAnsi" w:hAnsiTheme="minorHAnsi"/>
          <w:b/>
          <w:color w:val="221E1F"/>
          <w:sz w:val="22"/>
        </w:rPr>
      </w:pPr>
      <w:r w:rsidRPr="001E7B3E">
        <w:rPr>
          <w:rStyle w:val="A8"/>
          <w:rFonts w:asciiTheme="minorHAnsi" w:hAnsiTheme="minorHAnsi"/>
          <w:b/>
          <w:color w:val="221E1F"/>
          <w:sz w:val="22"/>
        </w:rPr>
        <w:t>Aspiration of the pseudotumour followed by injections of fibrin glue, arterial</w:t>
      </w:r>
      <w:r w:rsidR="00BB0659">
        <w:rPr>
          <w:rStyle w:val="A8"/>
          <w:rFonts w:asciiTheme="minorHAnsi" w:hAnsiTheme="minorHAnsi"/>
          <w:b/>
          <w:color w:val="221E1F"/>
          <w:sz w:val="22"/>
        </w:rPr>
        <w:t xml:space="preserve"> </w:t>
      </w:r>
      <w:r w:rsidRPr="001E7B3E">
        <w:rPr>
          <w:rStyle w:val="A8"/>
          <w:rFonts w:asciiTheme="minorHAnsi" w:hAnsiTheme="minorHAnsi"/>
          <w:b/>
          <w:color w:val="221E1F"/>
          <w:sz w:val="22"/>
        </w:rPr>
        <w:t>emboliza</w:t>
      </w:r>
      <w:r w:rsidRPr="001E7B3E">
        <w:rPr>
          <w:rStyle w:val="A8"/>
          <w:rFonts w:asciiTheme="minorHAnsi" w:hAnsiTheme="minorHAnsi"/>
          <w:b/>
          <w:color w:val="221E1F"/>
          <w:sz w:val="22"/>
        </w:rPr>
        <w:softHyphen/>
        <w:t>tion, or radiotherapy may heal some</w:t>
      </w:r>
      <w:r>
        <w:rPr>
          <w:rStyle w:val="A8"/>
          <w:rFonts w:asciiTheme="minorHAnsi" w:hAnsiTheme="minorHAnsi"/>
          <w:b/>
          <w:color w:val="221E1F"/>
          <w:sz w:val="22"/>
        </w:rPr>
        <w:t xml:space="preserve"> lesions. Surgery may be needed</w:t>
      </w:r>
      <w:r w:rsidRPr="001E7B3E">
        <w:rPr>
          <w:rStyle w:val="A8"/>
          <w:rFonts w:asciiTheme="minorHAnsi" w:hAnsiTheme="minorHAnsi"/>
          <w:b/>
          <w:color w:val="221E1F"/>
          <w:sz w:val="22"/>
        </w:rPr>
        <w:t xml:space="preserve"> for others </w:t>
      </w:r>
      <w:r w:rsidRPr="001E7B3E">
        <w:rPr>
          <w:rStyle w:val="A8"/>
          <w:rFonts w:asciiTheme="minorHAnsi" w:hAnsiTheme="minorHAnsi"/>
          <w:b/>
          <w:color w:val="221E1F"/>
          <w:sz w:val="22"/>
          <w:vertAlign w:val="superscript"/>
        </w:rPr>
        <w:t>[44,45]</w:t>
      </w:r>
      <w:r w:rsidRPr="001E7B3E">
        <w:rPr>
          <w:rStyle w:val="A8"/>
          <w:rFonts w:asciiTheme="minorHAnsi" w:hAnsiTheme="minorHAnsi"/>
          <w:b/>
          <w:color w:val="221E1F"/>
          <w:sz w:val="22"/>
        </w:rPr>
        <w:t xml:space="preserve"> </w:t>
      </w:r>
    </w:p>
    <w:p w:rsidR="00484EFC" w:rsidRPr="001E7B3E" w:rsidRDefault="00484EFC" w:rsidP="00484EFC">
      <w:pPr>
        <w:pStyle w:val="Default"/>
        <w:numPr>
          <w:ilvl w:val="0"/>
          <w:numId w:val="103"/>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Surgical excisions, including limb amputati</w:t>
      </w:r>
      <w:r>
        <w:rPr>
          <w:rStyle w:val="A8"/>
          <w:rFonts w:asciiTheme="minorHAnsi" w:hAnsiTheme="minorHAnsi"/>
          <w:color w:val="221E1F"/>
          <w:sz w:val="22"/>
        </w:rPr>
        <w:t xml:space="preserve">ons, may be necessary for large </w:t>
      </w:r>
      <w:r w:rsidRPr="001E7B3E">
        <w:rPr>
          <w:rStyle w:val="A8"/>
          <w:rFonts w:asciiTheme="minorHAnsi" w:hAnsiTheme="minorHAnsi"/>
          <w:color w:val="221E1F"/>
          <w:sz w:val="22"/>
        </w:rPr>
        <w:t>pseudotumours, particularly if they erode long bones. Large abdominal pseudotumours present a special challenge in surgical management of haemo</w:t>
      </w:r>
      <w:r w:rsidRPr="001E7B3E">
        <w:rPr>
          <w:rStyle w:val="A8"/>
          <w:rFonts w:asciiTheme="minorHAnsi" w:hAnsiTheme="minorHAnsi"/>
          <w:color w:val="221E1F"/>
          <w:sz w:val="22"/>
        </w:rPr>
        <w:softHyphen/>
        <w:t>philia; surgery must only be perfor</w:t>
      </w:r>
      <w:r>
        <w:rPr>
          <w:rStyle w:val="A8"/>
          <w:rFonts w:asciiTheme="minorHAnsi" w:hAnsiTheme="minorHAnsi"/>
          <w:color w:val="221E1F"/>
          <w:sz w:val="22"/>
        </w:rPr>
        <w:t>med by teams with experience in</w:t>
      </w:r>
      <w:r w:rsidRPr="001E7B3E">
        <w:rPr>
          <w:rStyle w:val="A8"/>
          <w:rFonts w:asciiTheme="minorHAnsi" w:hAnsiTheme="minorHAnsi"/>
          <w:color w:val="221E1F"/>
          <w:sz w:val="22"/>
        </w:rPr>
        <w:t xml:space="preserve"> haemophilia.  </w:t>
      </w:r>
    </w:p>
    <w:p w:rsidR="00484EFC" w:rsidRPr="001E7B3E" w:rsidRDefault="00484EFC" w:rsidP="00041ED2">
      <w:pPr>
        <w:pStyle w:val="Heading4"/>
        <w:rPr>
          <w:rFonts w:eastAsia="Calibri"/>
          <w:lang w:eastAsia="en-US"/>
        </w:rPr>
      </w:pPr>
      <w:r w:rsidRPr="001E7B3E">
        <w:rPr>
          <w:rFonts w:eastAsia="Calibri"/>
          <w:lang w:eastAsia="en-US"/>
        </w:rPr>
        <w:t xml:space="preserve">Fractures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6.1.45</w:t>
      </w:r>
      <w:r w:rsidRPr="001E7B3E">
        <w:rPr>
          <w:rStyle w:val="A8"/>
          <w:rFonts w:asciiTheme="minorHAnsi" w:hAnsiTheme="minorHAnsi"/>
          <w:color w:val="221E1F"/>
          <w:sz w:val="22"/>
        </w:rPr>
        <w:tab/>
        <w:t>Fractures are not frequent in people with haemo</w:t>
      </w:r>
      <w:r w:rsidRPr="001E7B3E">
        <w:rPr>
          <w:rStyle w:val="A8"/>
          <w:rFonts w:asciiTheme="minorHAnsi" w:hAnsiTheme="minorHAnsi"/>
          <w:color w:val="221E1F"/>
          <w:sz w:val="22"/>
        </w:rPr>
        <w:softHyphen/>
        <w:t>philia, possibly due to lower levels of ambulation and intensity of activities.</w:t>
      </w:r>
      <w:r w:rsidRPr="001E7B3E">
        <w:rPr>
          <w:rStyle w:val="A8"/>
          <w:rFonts w:asciiTheme="minorHAnsi" w:hAnsiTheme="minorHAnsi"/>
          <w:color w:val="221E1F"/>
          <w:sz w:val="22"/>
          <w:vertAlign w:val="superscript"/>
        </w:rPr>
        <w:t xml:space="preserve"> [46]</w:t>
      </w:r>
      <w:r w:rsidRPr="001E7B3E">
        <w:rPr>
          <w:rStyle w:val="A8"/>
          <w:rFonts w:asciiTheme="minorHAnsi" w:hAnsiTheme="minorHAnsi"/>
          <w:color w:val="221E1F"/>
          <w:sz w:val="22"/>
        </w:rPr>
        <w:t xml:space="preserve"> Nevertheless, with an increase in quality of life and the life expectancy fractures may become more common, particularly in patients of advanced age. A person with haemophilic arthropathy may be at risk for fractures around joints that have significant loss of motion and in bones that are osteoporotic.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6.1.46</w:t>
      </w:r>
      <w:r w:rsidRPr="001E7B3E">
        <w:rPr>
          <w:rStyle w:val="A8"/>
          <w:rFonts w:asciiTheme="minorHAnsi" w:hAnsiTheme="minorHAnsi"/>
          <w:color w:val="221E1F"/>
          <w:sz w:val="22"/>
        </w:rPr>
        <w:tab/>
      </w:r>
      <w:r w:rsidRPr="001E7B3E">
        <w:rPr>
          <w:rStyle w:val="A8"/>
          <w:rFonts w:asciiTheme="minorHAnsi" w:hAnsiTheme="minorHAnsi"/>
          <w:b/>
          <w:color w:val="221E1F"/>
          <w:sz w:val="22"/>
        </w:rPr>
        <w:t xml:space="preserve">Treatment of a fracture requires immediate </w:t>
      </w:r>
      <w:r>
        <w:rPr>
          <w:rStyle w:val="A8"/>
          <w:rFonts w:asciiTheme="minorHAnsi" w:hAnsiTheme="minorHAnsi"/>
          <w:b/>
          <w:color w:val="221E1F"/>
          <w:sz w:val="22"/>
        </w:rPr>
        <w:t>factor concentrate replacement.</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[46-48]</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lastRenderedPageBreak/>
        <w:t>6.1.47</w:t>
      </w:r>
      <w:r w:rsidRPr="001E7B3E">
        <w:rPr>
          <w:rStyle w:val="A8"/>
          <w:rFonts w:asciiTheme="minorHAnsi" w:hAnsiTheme="minorHAnsi"/>
          <w:color w:val="221E1F"/>
          <w:sz w:val="22"/>
        </w:rPr>
        <w:tab/>
      </w:r>
      <w:r w:rsidRPr="001E7B3E">
        <w:rPr>
          <w:rStyle w:val="A8"/>
          <w:rFonts w:asciiTheme="minorHAnsi" w:hAnsiTheme="minorHAnsi"/>
          <w:b/>
          <w:color w:val="221E1F"/>
          <w:sz w:val="22"/>
        </w:rPr>
        <w:t xml:space="preserve">Clotting factor levels should be raised to at least 50% and maintained for three to five days. </w:t>
      </w:r>
      <w:r w:rsidRPr="001E7B3E">
        <w:rPr>
          <w:rStyle w:val="A8"/>
          <w:rFonts w:asciiTheme="minorHAnsi" w:hAnsiTheme="minorHAnsi"/>
          <w:b/>
          <w:color w:val="221E1F"/>
          <w:sz w:val="22"/>
          <w:vertAlign w:val="superscript"/>
        </w:rPr>
        <w:t>[3</w:t>
      </w:r>
      <w:proofErr w:type="gramStart"/>
      <w:r w:rsidRPr="001E7B3E">
        <w:rPr>
          <w:rStyle w:val="A8"/>
          <w:rFonts w:asciiTheme="minorHAnsi" w:hAnsiTheme="minorHAnsi"/>
          <w:b/>
          <w:color w:val="221E1F"/>
          <w:sz w:val="22"/>
          <w:vertAlign w:val="superscript"/>
        </w:rPr>
        <w:t>,46</w:t>
      </w:r>
      <w:proofErr w:type="gramEnd"/>
      <w:r w:rsidRPr="001E7B3E">
        <w:rPr>
          <w:rStyle w:val="A8"/>
          <w:rFonts w:asciiTheme="minorHAnsi" w:hAnsiTheme="minorHAnsi"/>
          <w:b/>
          <w:color w:val="221E1F"/>
          <w:sz w:val="22"/>
          <w:vertAlign w:val="superscript"/>
        </w:rPr>
        <w:t>-48]</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6.1.48</w:t>
      </w:r>
      <w:r w:rsidRPr="001E7B3E">
        <w:rPr>
          <w:rStyle w:val="A8"/>
          <w:rFonts w:asciiTheme="minorHAnsi" w:hAnsiTheme="minorHAnsi"/>
          <w:color w:val="221E1F"/>
          <w:sz w:val="22"/>
        </w:rPr>
        <w:tab/>
        <w:t xml:space="preserve">Lower levels may be maintained for 10–14 days while the fracture becomes stabilised and to prevent soft tissue bleeding.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6.1.49</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The</w:t>
      </w:r>
      <w:proofErr w:type="gramEnd"/>
      <w:r w:rsidRPr="001E7B3E">
        <w:rPr>
          <w:rStyle w:val="A8"/>
          <w:rFonts w:asciiTheme="minorHAnsi" w:hAnsiTheme="minorHAnsi"/>
          <w:color w:val="221E1F"/>
          <w:sz w:val="22"/>
        </w:rPr>
        <w:t xml:space="preserve"> management plan should be appropriate for the specific fracture, including operative treat</w:t>
      </w:r>
      <w:r w:rsidRPr="001E7B3E">
        <w:rPr>
          <w:rStyle w:val="A8"/>
          <w:rFonts w:asciiTheme="minorHAnsi" w:hAnsiTheme="minorHAnsi"/>
          <w:color w:val="221E1F"/>
          <w:sz w:val="22"/>
        </w:rPr>
        <w:softHyphen/>
        <w:t xml:space="preserve">ment under appropriate coverage of clotting factor concentrates.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b/>
          <w:color w:val="221E1F"/>
          <w:sz w:val="22"/>
          <w:szCs w:val="28"/>
          <w:lang w:eastAsia="en-AU"/>
        </w:rPr>
      </w:pPr>
      <w:r w:rsidRPr="001E7B3E">
        <w:rPr>
          <w:rStyle w:val="A8"/>
          <w:rFonts w:asciiTheme="minorHAnsi" w:hAnsiTheme="minorHAnsi"/>
          <w:color w:val="221E1F"/>
          <w:sz w:val="22"/>
        </w:rPr>
        <w:t>6.1.50</w:t>
      </w:r>
      <w:r w:rsidRPr="001E7B3E">
        <w:rPr>
          <w:rStyle w:val="A8"/>
          <w:rFonts w:asciiTheme="minorHAnsi" w:hAnsiTheme="minorHAnsi"/>
          <w:color w:val="221E1F"/>
          <w:sz w:val="22"/>
        </w:rPr>
        <w:tab/>
      </w:r>
      <w:proofErr w:type="gramStart"/>
      <w:r w:rsidRPr="001E7B3E">
        <w:rPr>
          <w:rStyle w:val="A8"/>
          <w:rFonts w:asciiTheme="minorHAnsi" w:hAnsiTheme="minorHAnsi"/>
          <w:b/>
          <w:color w:val="221E1F"/>
          <w:sz w:val="22"/>
        </w:rPr>
        <w:t>Circumferential</w:t>
      </w:r>
      <w:proofErr w:type="gramEnd"/>
      <w:r w:rsidRPr="001E7B3E">
        <w:rPr>
          <w:rStyle w:val="A8"/>
          <w:rFonts w:asciiTheme="minorHAnsi" w:hAnsiTheme="minorHAnsi"/>
          <w:b/>
          <w:color w:val="221E1F"/>
          <w:sz w:val="22"/>
        </w:rPr>
        <w:t xml:space="preserve"> plaster should be </w:t>
      </w:r>
      <w:r>
        <w:rPr>
          <w:rStyle w:val="A8"/>
          <w:rFonts w:asciiTheme="minorHAnsi" w:hAnsiTheme="minorHAnsi"/>
          <w:b/>
          <w:color w:val="221E1F"/>
          <w:sz w:val="22"/>
        </w:rPr>
        <w:t>avoided; splints are preferred.</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[46]</w:t>
      </w:r>
      <w:r w:rsidRPr="001E7B3E">
        <w:rPr>
          <w:rStyle w:val="A8"/>
          <w:rFonts w:asciiTheme="minorHAnsi" w:hAnsiTheme="minorHAnsi"/>
          <w:b/>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b/>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6.1.51</w:t>
      </w:r>
      <w:r w:rsidRPr="001E7B3E">
        <w:rPr>
          <w:rStyle w:val="A8"/>
          <w:rFonts w:asciiTheme="minorHAnsi" w:hAnsiTheme="minorHAnsi"/>
          <w:color w:val="221E1F"/>
          <w:sz w:val="22"/>
        </w:rPr>
        <w:tab/>
        <w:t xml:space="preserve">Compound/infected fractures may require external fixators. </w:t>
      </w:r>
      <w:r w:rsidRPr="001E7B3E">
        <w:rPr>
          <w:rStyle w:val="A8"/>
          <w:rFonts w:asciiTheme="minorHAnsi" w:hAnsiTheme="minorHAnsi"/>
          <w:color w:val="221E1F"/>
          <w:sz w:val="22"/>
          <w:vertAlign w:val="superscript"/>
        </w:rPr>
        <w:t>[49]</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b/>
          <w:color w:val="221E1F"/>
          <w:sz w:val="22"/>
          <w:szCs w:val="28"/>
          <w:lang w:eastAsia="en-AU"/>
        </w:rPr>
      </w:pPr>
      <w:r w:rsidRPr="001E7B3E">
        <w:rPr>
          <w:rStyle w:val="A8"/>
          <w:rFonts w:asciiTheme="minorHAnsi" w:hAnsiTheme="minorHAnsi"/>
          <w:color w:val="221E1F"/>
          <w:sz w:val="22"/>
        </w:rPr>
        <w:t>6.1.52</w:t>
      </w:r>
      <w:r w:rsidRPr="001E7B3E">
        <w:rPr>
          <w:rStyle w:val="A8"/>
          <w:rFonts w:asciiTheme="minorHAnsi" w:hAnsiTheme="minorHAnsi"/>
          <w:color w:val="221E1F"/>
          <w:sz w:val="22"/>
        </w:rPr>
        <w:tab/>
      </w:r>
      <w:r w:rsidRPr="001E7B3E">
        <w:rPr>
          <w:rStyle w:val="A8"/>
          <w:rFonts w:asciiTheme="minorHAnsi" w:hAnsiTheme="minorHAnsi"/>
          <w:b/>
          <w:color w:val="221E1F"/>
          <w:sz w:val="22"/>
        </w:rPr>
        <w:t xml:space="preserve">Prolonged immobilisation, which can lead to significant limitation of range of movement in the adjacent joints, should be avoided.  </w:t>
      </w:r>
      <w:r w:rsidRPr="001E7B3E">
        <w:rPr>
          <w:rStyle w:val="A8"/>
          <w:rFonts w:asciiTheme="minorHAnsi" w:hAnsiTheme="minorHAnsi"/>
          <w:b/>
          <w:color w:val="221E1F"/>
          <w:sz w:val="22"/>
          <w:vertAlign w:val="superscript"/>
        </w:rPr>
        <w:t>[46</w:t>
      </w:r>
      <w:proofErr w:type="gramStart"/>
      <w:r w:rsidRPr="001E7B3E">
        <w:rPr>
          <w:rStyle w:val="A8"/>
          <w:rFonts w:asciiTheme="minorHAnsi" w:hAnsiTheme="minorHAnsi"/>
          <w:b/>
          <w:color w:val="221E1F"/>
          <w:sz w:val="22"/>
          <w:vertAlign w:val="superscript"/>
        </w:rPr>
        <w:t>,47</w:t>
      </w:r>
      <w:proofErr w:type="gramEnd"/>
      <w:r w:rsidRPr="001E7B3E">
        <w:rPr>
          <w:rStyle w:val="A8"/>
          <w:rFonts w:asciiTheme="minorHAnsi" w:hAnsiTheme="minorHAnsi"/>
          <w:b/>
          <w:color w:val="221E1F"/>
          <w:sz w:val="22"/>
          <w:vertAlign w:val="superscript"/>
        </w:rPr>
        <w:t>]</w:t>
      </w:r>
      <w:r w:rsidRPr="001E7B3E">
        <w:rPr>
          <w:rStyle w:val="A8"/>
          <w:rFonts w:asciiTheme="minorHAnsi" w:hAnsiTheme="minorHAnsi"/>
          <w:b/>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b/>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6.1.53</w:t>
      </w:r>
      <w:r w:rsidRPr="001E7B3E">
        <w:rPr>
          <w:rStyle w:val="A8"/>
          <w:rFonts w:asciiTheme="minorHAnsi" w:hAnsiTheme="minorHAnsi"/>
          <w:color w:val="221E1F"/>
          <w:sz w:val="22"/>
        </w:rPr>
        <w:tab/>
        <w:t xml:space="preserve">Physiotherapy should be started as soon as the fracture is stabilised to restore range of motion, muscle strength, and function. </w:t>
      </w:r>
      <w:r w:rsidRPr="001E7B3E">
        <w:rPr>
          <w:rStyle w:val="A8"/>
          <w:rFonts w:asciiTheme="minorHAnsi" w:hAnsiTheme="minorHAnsi"/>
          <w:color w:val="221E1F"/>
          <w:sz w:val="22"/>
          <w:vertAlign w:val="superscript"/>
        </w:rPr>
        <w:t>[39]</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6.1.54</w:t>
      </w:r>
      <w:r w:rsidRPr="001E7B3E">
        <w:rPr>
          <w:rStyle w:val="A8"/>
          <w:rFonts w:asciiTheme="minorHAnsi" w:hAnsiTheme="minorHAnsi"/>
          <w:color w:val="221E1F"/>
          <w:sz w:val="22"/>
        </w:rPr>
        <w:tab/>
        <w:t xml:space="preserve">Treatment should be in collaboration with a recognised </w:t>
      </w:r>
      <w:r w:rsidR="00173B0C">
        <w:rPr>
          <w:rStyle w:val="A8"/>
          <w:rFonts w:asciiTheme="minorHAnsi" w:hAnsiTheme="minorHAnsi"/>
          <w:color w:val="221E1F"/>
          <w:sz w:val="22"/>
        </w:rPr>
        <w:t>HTC</w:t>
      </w:r>
      <w:r w:rsidRPr="001E7B3E">
        <w:rPr>
          <w:rStyle w:val="A8"/>
          <w:rFonts w:asciiTheme="minorHAnsi" w:hAnsiTheme="minorHAnsi"/>
          <w:color w:val="221E1F"/>
          <w:sz w:val="22"/>
        </w:rPr>
        <w:t>.</w:t>
      </w:r>
    </w:p>
    <w:p w:rsidR="00484EFC" w:rsidRPr="001E7B3E" w:rsidRDefault="00484EFC" w:rsidP="00041ED2">
      <w:pPr>
        <w:pStyle w:val="Heading4"/>
        <w:rPr>
          <w:rFonts w:eastAsia="Calibri"/>
          <w:lang w:eastAsia="en-US"/>
        </w:rPr>
      </w:pPr>
      <w:r w:rsidRPr="001E7B3E">
        <w:rPr>
          <w:rFonts w:eastAsia="Calibri"/>
          <w:lang w:eastAsia="en-US"/>
        </w:rPr>
        <w:t xml:space="preserve">Principles of orthopedic surgery in haemophilia </w:t>
      </w:r>
    </w:p>
    <w:p w:rsidR="00484EFC" w:rsidRPr="001E7B3E" w:rsidRDefault="00484EFC" w:rsidP="000B0ED6">
      <w:pPr>
        <w:pStyle w:val="Default"/>
        <w:spacing w:line="276" w:lineRule="auto"/>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For important considerations related to performing surgical procedures in persons with haemo</w:t>
      </w:r>
      <w:r>
        <w:rPr>
          <w:rStyle w:val="A8"/>
          <w:rFonts w:asciiTheme="minorHAnsi" w:hAnsiTheme="minorHAnsi"/>
          <w:color w:val="221E1F"/>
          <w:sz w:val="22"/>
        </w:rPr>
        <w:t xml:space="preserve">philia, </w:t>
      </w:r>
      <w:r w:rsidRPr="001E7B3E">
        <w:rPr>
          <w:rStyle w:val="A8"/>
          <w:rFonts w:asciiTheme="minorHAnsi" w:hAnsiTheme="minorHAnsi"/>
          <w:color w:val="221E1F"/>
          <w:sz w:val="22"/>
        </w:rPr>
        <w:t>please see “Surgery and invasive procedures”,</w:t>
      </w:r>
      <w:r>
        <w:rPr>
          <w:rStyle w:val="A8"/>
          <w:rFonts w:asciiTheme="minorHAnsi" w:hAnsiTheme="minorHAnsi"/>
          <w:color w:val="221E1F"/>
          <w:sz w:val="22"/>
        </w:rPr>
        <w:t xml:space="preserve"> section 1.10</w:t>
      </w:r>
      <w:r w:rsidRPr="00F623A0">
        <w:rPr>
          <w:rStyle w:val="A8"/>
          <w:rFonts w:asciiTheme="minorHAnsi" w:hAnsiTheme="minorHAnsi"/>
          <w:color w:val="221E1F"/>
          <w:sz w:val="22"/>
        </w:rPr>
        <w:t>.</w:t>
      </w:r>
      <w:r w:rsidRPr="001E7B3E">
        <w:rPr>
          <w:rStyle w:val="A8"/>
          <w:rFonts w:asciiTheme="minorHAnsi" w:hAnsiTheme="minorHAnsi"/>
          <w:color w:val="221E1F"/>
          <w:sz w:val="22"/>
        </w:rPr>
        <w:t xml:space="preserve"> Specific issues in relation to orthopaedic surgery include: </w:t>
      </w:r>
    </w:p>
    <w:p w:rsidR="00484EFC" w:rsidRPr="001E7B3E" w:rsidRDefault="00484EFC" w:rsidP="00484EFC">
      <w:pPr>
        <w:pStyle w:val="Default"/>
        <w:spacing w:line="276" w:lineRule="auto"/>
        <w:rPr>
          <w:rStyle w:val="A8"/>
          <w:rFonts w:asciiTheme="minorHAnsi" w:hAnsiTheme="minorHAnsi"/>
          <w:color w:val="221E1F"/>
          <w:sz w:val="22"/>
        </w:rPr>
      </w:pPr>
    </w:p>
    <w:p w:rsidR="00484EFC" w:rsidRPr="001E7B3E" w:rsidRDefault="00484EFC" w:rsidP="00484EFC">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6.1.55</w:t>
      </w:r>
      <w:r w:rsidRPr="001E7B3E">
        <w:rPr>
          <w:rStyle w:val="A8"/>
          <w:rFonts w:asciiTheme="minorHAnsi" w:hAnsiTheme="minorHAnsi"/>
          <w:color w:val="221E1F"/>
          <w:sz w:val="22"/>
        </w:rPr>
        <w:tab/>
      </w:r>
      <w:r w:rsidRPr="001E7B3E">
        <w:rPr>
          <w:rStyle w:val="A8"/>
          <w:rFonts w:asciiTheme="minorHAnsi" w:hAnsiTheme="minorHAnsi"/>
          <w:color w:val="221E1F"/>
          <w:sz w:val="22"/>
        </w:rPr>
        <w:tab/>
        <w:t xml:space="preserve">Orthopaedic surgeons should have had specific training in surgical management of persons with haemophilia. </w:t>
      </w:r>
      <w:r w:rsidRPr="001E7B3E">
        <w:rPr>
          <w:rStyle w:val="A8"/>
          <w:rFonts w:asciiTheme="minorHAnsi" w:hAnsiTheme="minorHAnsi"/>
          <w:color w:val="221E1F"/>
          <w:sz w:val="22"/>
          <w:vertAlign w:val="superscript"/>
        </w:rPr>
        <w:t>[3]</w:t>
      </w:r>
    </w:p>
    <w:p w:rsidR="00484EFC" w:rsidRPr="001E7B3E" w:rsidRDefault="00484EFC" w:rsidP="00484EFC">
      <w:pPr>
        <w:pStyle w:val="Default"/>
        <w:spacing w:line="276" w:lineRule="auto"/>
        <w:ind w:left="1433" w:hanging="1433"/>
        <w:rPr>
          <w:rStyle w:val="A8"/>
          <w:rFonts w:asciiTheme="minorHAnsi" w:hAnsiTheme="minorHAnsi"/>
          <w:color w:val="221E1F"/>
          <w:sz w:val="22"/>
        </w:rPr>
      </w:pPr>
    </w:p>
    <w:p w:rsidR="00484EFC" w:rsidRPr="001E7B3E" w:rsidRDefault="00484EFC" w:rsidP="00484EFC">
      <w:pPr>
        <w:pStyle w:val="Default"/>
        <w:spacing w:line="276" w:lineRule="auto"/>
        <w:ind w:left="1433" w:hanging="1433"/>
        <w:rPr>
          <w:rStyle w:val="A8"/>
          <w:rFonts w:asciiTheme="minorHAnsi" w:hAnsiTheme="minorHAnsi"/>
          <w:b/>
          <w:color w:val="221E1F"/>
          <w:sz w:val="22"/>
        </w:rPr>
      </w:pPr>
      <w:r w:rsidRPr="001E7B3E">
        <w:rPr>
          <w:rStyle w:val="A8"/>
          <w:rFonts w:asciiTheme="minorHAnsi" w:hAnsiTheme="minorHAnsi"/>
          <w:color w:val="221E1F"/>
          <w:sz w:val="22"/>
        </w:rPr>
        <w:t>6.1.56</w:t>
      </w:r>
      <w:r w:rsidRPr="001E7B3E">
        <w:rPr>
          <w:rStyle w:val="A8"/>
          <w:rFonts w:asciiTheme="minorHAnsi" w:hAnsiTheme="minorHAnsi"/>
          <w:color w:val="221E1F"/>
          <w:sz w:val="22"/>
        </w:rPr>
        <w:tab/>
      </w:r>
      <w:r w:rsidRPr="001E7B3E">
        <w:rPr>
          <w:rStyle w:val="A8"/>
          <w:rFonts w:asciiTheme="minorHAnsi" w:hAnsiTheme="minorHAnsi"/>
          <w:b/>
          <w:color w:val="221E1F"/>
          <w:sz w:val="22"/>
        </w:rPr>
        <w:tab/>
      </w:r>
      <w:proofErr w:type="gramStart"/>
      <w:r w:rsidRPr="001E7B3E">
        <w:rPr>
          <w:rStyle w:val="A8"/>
          <w:rFonts w:asciiTheme="minorHAnsi" w:hAnsiTheme="minorHAnsi"/>
          <w:b/>
          <w:color w:val="221E1F"/>
          <w:sz w:val="22"/>
        </w:rPr>
        <w:t>Performing</w:t>
      </w:r>
      <w:proofErr w:type="gramEnd"/>
      <w:r w:rsidRPr="001E7B3E">
        <w:rPr>
          <w:rStyle w:val="A8"/>
          <w:rFonts w:asciiTheme="minorHAnsi" w:hAnsiTheme="minorHAnsi"/>
          <w:b/>
          <w:color w:val="221E1F"/>
          <w:sz w:val="22"/>
        </w:rPr>
        <w:t xml:space="preserve"> multiple site elective surgery in a simultaneous or staggered fashion to use clot</w:t>
      </w:r>
      <w:r w:rsidRPr="001E7B3E">
        <w:rPr>
          <w:rStyle w:val="A8"/>
          <w:rFonts w:asciiTheme="minorHAnsi" w:hAnsiTheme="minorHAnsi"/>
          <w:b/>
          <w:color w:val="221E1F"/>
          <w:sz w:val="22"/>
        </w:rPr>
        <w:softHyphen/>
        <w:t>ting factor concentrates ju</w:t>
      </w:r>
      <w:r>
        <w:rPr>
          <w:rStyle w:val="A8"/>
          <w:rFonts w:asciiTheme="minorHAnsi" w:hAnsiTheme="minorHAnsi"/>
          <w:b/>
          <w:color w:val="221E1F"/>
          <w:sz w:val="22"/>
        </w:rPr>
        <w:t>diciously should be considered.</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[50]</w:t>
      </w:r>
    </w:p>
    <w:p w:rsidR="00484EFC" w:rsidRPr="001E7B3E" w:rsidRDefault="00484EFC" w:rsidP="00484EFC">
      <w:pPr>
        <w:pStyle w:val="Default"/>
        <w:spacing w:line="276" w:lineRule="auto"/>
        <w:ind w:left="1433" w:hanging="1433"/>
        <w:rPr>
          <w:rStyle w:val="A8"/>
          <w:rFonts w:asciiTheme="minorHAnsi" w:hAnsiTheme="minorHAnsi"/>
          <w:color w:val="221E1F"/>
          <w:sz w:val="22"/>
        </w:rPr>
      </w:pPr>
    </w:p>
    <w:p w:rsidR="00484EFC" w:rsidRPr="001E7B3E" w:rsidRDefault="00484EFC" w:rsidP="00484EFC">
      <w:pPr>
        <w:pStyle w:val="Default"/>
        <w:spacing w:line="276" w:lineRule="auto"/>
        <w:ind w:left="1433" w:hanging="1433"/>
        <w:rPr>
          <w:rStyle w:val="A8"/>
          <w:rFonts w:asciiTheme="minorHAnsi" w:hAnsiTheme="minorHAnsi"/>
          <w:b/>
          <w:color w:val="221E1F"/>
          <w:sz w:val="22"/>
        </w:rPr>
      </w:pPr>
      <w:r w:rsidRPr="001E7B3E">
        <w:rPr>
          <w:rStyle w:val="A8"/>
          <w:rFonts w:asciiTheme="minorHAnsi" w:hAnsiTheme="minorHAnsi"/>
          <w:color w:val="221E1F"/>
          <w:sz w:val="22"/>
        </w:rPr>
        <w:t>6.1.57</w:t>
      </w:r>
      <w:r w:rsidRPr="001E7B3E">
        <w:rPr>
          <w:rStyle w:val="A8"/>
          <w:rFonts w:asciiTheme="minorHAnsi" w:hAnsiTheme="minorHAnsi"/>
          <w:color w:val="221E1F"/>
          <w:sz w:val="22"/>
        </w:rPr>
        <w:tab/>
      </w:r>
      <w:r w:rsidRPr="001E7B3E">
        <w:rPr>
          <w:rStyle w:val="A8"/>
          <w:rFonts w:asciiTheme="minorHAnsi" w:hAnsiTheme="minorHAnsi"/>
          <w:b/>
          <w:color w:val="221E1F"/>
          <w:sz w:val="22"/>
        </w:rPr>
        <w:tab/>
        <w:t xml:space="preserve">Local coagulation enhancers may be used. Fibrin glue is useful to control oozing when operating in extensive surgical fields.  </w:t>
      </w:r>
      <w:r w:rsidRPr="001E7B3E">
        <w:rPr>
          <w:rStyle w:val="A8"/>
          <w:rFonts w:asciiTheme="minorHAnsi" w:hAnsiTheme="minorHAnsi"/>
          <w:b/>
          <w:color w:val="221E1F"/>
          <w:sz w:val="22"/>
          <w:vertAlign w:val="superscript"/>
        </w:rPr>
        <w:t>[36</w:t>
      </w:r>
      <w:proofErr w:type="gramStart"/>
      <w:r w:rsidRPr="001E7B3E">
        <w:rPr>
          <w:rStyle w:val="A8"/>
          <w:rFonts w:asciiTheme="minorHAnsi" w:hAnsiTheme="minorHAnsi"/>
          <w:b/>
          <w:color w:val="221E1F"/>
          <w:sz w:val="22"/>
          <w:vertAlign w:val="superscript"/>
        </w:rPr>
        <w:t>,51,52</w:t>
      </w:r>
      <w:proofErr w:type="gramEnd"/>
      <w:r w:rsidRPr="001E7B3E">
        <w:rPr>
          <w:rStyle w:val="A8"/>
          <w:rFonts w:asciiTheme="minorHAnsi" w:hAnsiTheme="minorHAnsi"/>
          <w:b/>
          <w:color w:val="221E1F"/>
          <w:sz w:val="22"/>
          <w:vertAlign w:val="superscript"/>
        </w:rPr>
        <w:t>]</w:t>
      </w:r>
    </w:p>
    <w:p w:rsidR="00484EFC" w:rsidRPr="001E7B3E" w:rsidRDefault="00484EFC" w:rsidP="00484EFC">
      <w:pPr>
        <w:pStyle w:val="Default"/>
        <w:spacing w:line="276" w:lineRule="auto"/>
        <w:ind w:left="1433" w:hanging="1433"/>
        <w:rPr>
          <w:rStyle w:val="A8"/>
          <w:rFonts w:asciiTheme="minorHAnsi" w:hAnsiTheme="minorHAnsi"/>
          <w:color w:val="221E1F"/>
          <w:sz w:val="22"/>
        </w:rPr>
      </w:pPr>
    </w:p>
    <w:p w:rsidR="00484EFC" w:rsidRPr="001E7B3E" w:rsidRDefault="00484EFC" w:rsidP="00484EFC">
      <w:pPr>
        <w:pStyle w:val="Default"/>
        <w:spacing w:line="276" w:lineRule="auto"/>
        <w:ind w:left="1433" w:hanging="1433"/>
        <w:rPr>
          <w:rStyle w:val="A8"/>
          <w:rFonts w:asciiTheme="minorHAnsi" w:hAnsiTheme="minorHAnsi"/>
          <w:b/>
          <w:color w:val="221E1F"/>
          <w:sz w:val="22"/>
        </w:rPr>
      </w:pPr>
      <w:r w:rsidRPr="001E7B3E">
        <w:rPr>
          <w:rStyle w:val="A8"/>
          <w:rFonts w:asciiTheme="minorHAnsi" w:hAnsiTheme="minorHAnsi"/>
          <w:color w:val="221E1F"/>
          <w:sz w:val="22"/>
        </w:rPr>
        <w:t>6.1.58</w:t>
      </w:r>
      <w:r w:rsidRPr="001E7B3E">
        <w:rPr>
          <w:rStyle w:val="A8"/>
          <w:rFonts w:asciiTheme="minorHAnsi" w:hAnsiTheme="minorHAnsi"/>
          <w:color w:val="221E1F"/>
          <w:sz w:val="22"/>
        </w:rPr>
        <w:tab/>
      </w:r>
      <w:r w:rsidRPr="001E7B3E">
        <w:rPr>
          <w:rStyle w:val="A8"/>
          <w:rFonts w:asciiTheme="minorHAnsi" w:hAnsiTheme="minorHAnsi"/>
          <w:b/>
          <w:color w:val="221E1F"/>
          <w:sz w:val="22"/>
        </w:rPr>
        <w:tab/>
        <w:t>Post-operative care in patients with haemophilia requires closer monitoring of pain and often higher doses of analgesics in the i</w:t>
      </w:r>
      <w:r>
        <w:rPr>
          <w:rStyle w:val="A8"/>
          <w:rFonts w:asciiTheme="minorHAnsi" w:hAnsiTheme="minorHAnsi"/>
          <w:b/>
          <w:color w:val="221E1F"/>
          <w:sz w:val="22"/>
        </w:rPr>
        <w:t>mmediate post-operative period.</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[36]</w:t>
      </w:r>
    </w:p>
    <w:p w:rsidR="00484EFC" w:rsidRPr="001E7B3E" w:rsidRDefault="00484EFC" w:rsidP="00484EFC">
      <w:pPr>
        <w:pStyle w:val="Default"/>
        <w:spacing w:line="276" w:lineRule="auto"/>
        <w:ind w:left="1433" w:hanging="1433"/>
        <w:rPr>
          <w:rStyle w:val="A8"/>
          <w:rFonts w:asciiTheme="minorHAnsi" w:hAnsiTheme="minorHAnsi"/>
          <w:color w:val="221E1F"/>
          <w:sz w:val="22"/>
        </w:rPr>
      </w:pPr>
    </w:p>
    <w:p w:rsidR="00484EFC" w:rsidRPr="001E7B3E" w:rsidRDefault="00484EFC" w:rsidP="00484EFC">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6.1.59</w:t>
      </w:r>
      <w:r w:rsidRPr="001E7B3E">
        <w:rPr>
          <w:rStyle w:val="A8"/>
          <w:rFonts w:asciiTheme="minorHAnsi" w:hAnsiTheme="minorHAnsi"/>
          <w:color w:val="221E1F"/>
          <w:sz w:val="22"/>
        </w:rPr>
        <w:tab/>
        <w:t xml:space="preserve">Good communication with the post-operative rehabilitation team is essential. </w:t>
      </w:r>
      <w:r w:rsidRPr="001E7B3E">
        <w:rPr>
          <w:rStyle w:val="A8"/>
          <w:rFonts w:asciiTheme="minorHAnsi" w:hAnsiTheme="minorHAnsi"/>
          <w:color w:val="221E1F"/>
          <w:sz w:val="22"/>
          <w:vertAlign w:val="superscript"/>
        </w:rPr>
        <w:t>[39]</w:t>
      </w:r>
      <w:r w:rsidRPr="001E7B3E">
        <w:rPr>
          <w:rStyle w:val="A8"/>
          <w:rFonts w:asciiTheme="minorHAnsi" w:hAnsiTheme="minorHAnsi"/>
          <w:color w:val="221E1F"/>
          <w:sz w:val="22"/>
        </w:rPr>
        <w:t xml:space="preserve"> Knowledge of the details of the surgery performed and intra-operative joint status will facilitate planning of an appropriate rehabilitation program.</w:t>
      </w:r>
    </w:p>
    <w:p w:rsidR="00484EFC" w:rsidRPr="001E7B3E" w:rsidRDefault="00484EFC" w:rsidP="00484EFC">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6.1.60</w:t>
      </w:r>
      <w:r w:rsidRPr="001E7B3E">
        <w:rPr>
          <w:rStyle w:val="A8"/>
          <w:rFonts w:asciiTheme="minorHAnsi" w:hAnsiTheme="minorHAnsi"/>
          <w:color w:val="221E1F"/>
          <w:sz w:val="22"/>
        </w:rPr>
        <w:tab/>
      </w:r>
      <w:r w:rsidRPr="001E7B3E">
        <w:rPr>
          <w:rStyle w:val="A8"/>
          <w:rFonts w:asciiTheme="minorHAnsi" w:hAnsiTheme="minorHAnsi"/>
          <w:color w:val="221E1F"/>
          <w:sz w:val="22"/>
        </w:rPr>
        <w:tab/>
        <w:t>Post-operative rehabilitation should be carried out by a physiotherapist experienced in haemo</w:t>
      </w:r>
      <w:r w:rsidRPr="001E7B3E">
        <w:rPr>
          <w:rStyle w:val="A8"/>
          <w:rFonts w:asciiTheme="minorHAnsi" w:hAnsiTheme="minorHAnsi"/>
          <w:color w:val="221E1F"/>
          <w:sz w:val="22"/>
        </w:rPr>
        <w:softHyphen/>
        <w:t>philia management.</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lastRenderedPageBreak/>
        <w:t>6.1.61</w:t>
      </w:r>
      <w:r w:rsidRPr="001E7B3E">
        <w:rPr>
          <w:rStyle w:val="A8"/>
          <w:rFonts w:asciiTheme="minorHAnsi" w:hAnsiTheme="minorHAnsi"/>
          <w:color w:val="221E1F"/>
          <w:sz w:val="22"/>
        </w:rPr>
        <w:tab/>
      </w:r>
      <w:r w:rsidRPr="001E7B3E">
        <w:rPr>
          <w:rStyle w:val="A8"/>
          <w:rFonts w:asciiTheme="minorHAnsi" w:hAnsiTheme="minorHAnsi"/>
          <w:color w:val="221E1F"/>
          <w:sz w:val="22"/>
        </w:rPr>
        <w:tab/>
        <w:t xml:space="preserve">Rehabilitation may have to progress more slowly in persons with haemophilia.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6.1.62</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Adequate</w:t>
      </w:r>
      <w:proofErr w:type="gramEnd"/>
      <w:r w:rsidRPr="001E7B3E">
        <w:rPr>
          <w:rStyle w:val="A8"/>
          <w:rFonts w:asciiTheme="minorHAnsi" w:hAnsiTheme="minorHAnsi"/>
          <w:color w:val="221E1F"/>
          <w:sz w:val="22"/>
        </w:rPr>
        <w:t xml:space="preserve"> pain control is essential to allow appro</w:t>
      </w:r>
      <w:r w:rsidRPr="001E7B3E">
        <w:rPr>
          <w:rStyle w:val="A8"/>
          <w:rFonts w:asciiTheme="minorHAnsi" w:hAnsiTheme="minorHAnsi"/>
          <w:color w:val="221E1F"/>
          <w:sz w:val="22"/>
        </w:rPr>
        <w:softHyphen/>
        <w:t>priate exercise and mobilisation.</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6.1.63</w:t>
      </w:r>
      <w:r w:rsidRPr="001E7B3E">
        <w:rPr>
          <w:rStyle w:val="A8"/>
          <w:rFonts w:asciiTheme="minorHAnsi" w:hAnsiTheme="minorHAnsi"/>
          <w:color w:val="221E1F"/>
          <w:sz w:val="22"/>
        </w:rPr>
        <w:tab/>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These</w:t>
      </w:r>
      <w:proofErr w:type="gramEnd"/>
      <w:r w:rsidRPr="001E7B3E">
        <w:rPr>
          <w:rStyle w:val="A8"/>
          <w:rFonts w:asciiTheme="minorHAnsi" w:hAnsiTheme="minorHAnsi"/>
          <w:color w:val="221E1F"/>
          <w:sz w:val="22"/>
        </w:rPr>
        <w:t xml:space="preserve"> principles also apply to fixation of frac</w:t>
      </w:r>
      <w:r w:rsidRPr="001E7B3E">
        <w:rPr>
          <w:rStyle w:val="A8"/>
          <w:rFonts w:asciiTheme="minorHAnsi" w:hAnsiTheme="minorHAnsi"/>
          <w:color w:val="221E1F"/>
          <w:sz w:val="22"/>
        </w:rPr>
        <w:softHyphen/>
        <w:t>tures and excision of pseudotumours.</w:t>
      </w:r>
    </w:p>
    <w:p w:rsidR="00484EFC" w:rsidRPr="001E7B3E" w:rsidRDefault="00484EFC" w:rsidP="00D10E64">
      <w:pPr>
        <w:autoSpaceDE w:val="0"/>
        <w:autoSpaceDN w:val="0"/>
        <w:adjustRightInd w:val="0"/>
        <w:spacing w:after="0"/>
        <w:ind w:left="851" w:hanging="1433"/>
        <w:rPr>
          <w:rFonts w:asciiTheme="minorHAnsi" w:hAnsiTheme="minorHAnsi" w:cs="Minion Pro"/>
          <w:color w:val="221E1F"/>
          <w:sz w:val="23"/>
          <w:szCs w:val="23"/>
          <w:lang w:eastAsia="en-US"/>
        </w:rPr>
      </w:pPr>
    </w:p>
    <w:p w:rsidR="00484EFC" w:rsidRPr="00041ED2" w:rsidRDefault="00484EFC" w:rsidP="00041ED2">
      <w:pPr>
        <w:pStyle w:val="Heading3"/>
        <w:rPr>
          <w:rStyle w:val="A8"/>
        </w:rPr>
      </w:pPr>
      <w:bookmarkStart w:id="48" w:name="_Toc431484341"/>
      <w:r w:rsidRPr="00041ED2">
        <w:rPr>
          <w:rStyle w:val="A8"/>
        </w:rPr>
        <w:t>6.2 Inhibitors</w:t>
      </w:r>
      <w:bookmarkEnd w:id="48"/>
      <w:r w:rsidRPr="00041ED2">
        <w:rPr>
          <w:rStyle w:val="A8"/>
        </w:rPr>
        <w:t xml:space="preserve"> </w:t>
      </w: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6.2.1</w:t>
      </w:r>
      <w:r w:rsidRPr="001E7B3E">
        <w:rPr>
          <w:rStyle w:val="A8"/>
          <w:rFonts w:asciiTheme="minorHAnsi" w:hAnsiTheme="minorHAnsi"/>
          <w:color w:val="221E1F"/>
          <w:sz w:val="22"/>
        </w:rPr>
        <w:tab/>
      </w:r>
      <w:r w:rsidRPr="001E7B3E">
        <w:rPr>
          <w:rStyle w:val="A8"/>
          <w:rFonts w:asciiTheme="minorHAnsi" w:hAnsiTheme="minorHAnsi"/>
          <w:color w:val="221E1F"/>
          <w:sz w:val="22"/>
        </w:rPr>
        <w:tab/>
        <w:t>“Inhibitors” in haemophilia refer to IgG anti</w:t>
      </w:r>
      <w:r w:rsidRPr="001E7B3E">
        <w:rPr>
          <w:rStyle w:val="A8"/>
          <w:rFonts w:asciiTheme="minorHAnsi" w:hAnsiTheme="minorHAnsi"/>
          <w:color w:val="221E1F"/>
          <w:sz w:val="22"/>
        </w:rPr>
        <w:softHyphen/>
        <w:t>bodies that neutralise clotting factors.</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6.2.2</w:t>
      </w:r>
      <w:r w:rsidRPr="001E7B3E">
        <w:rPr>
          <w:rStyle w:val="A8"/>
          <w:rFonts w:asciiTheme="minorHAnsi" w:hAnsiTheme="minorHAnsi"/>
          <w:color w:val="221E1F"/>
          <w:sz w:val="22"/>
        </w:rPr>
        <w:tab/>
        <w:t>In the current era in which clotting factor concen</w:t>
      </w:r>
      <w:r w:rsidRPr="001E7B3E">
        <w:rPr>
          <w:rStyle w:val="A8"/>
          <w:rFonts w:asciiTheme="minorHAnsi" w:hAnsiTheme="minorHAnsi"/>
          <w:color w:val="221E1F"/>
          <w:sz w:val="22"/>
        </w:rPr>
        <w:softHyphen/>
        <w:t xml:space="preserve">trates have been subjected to appropriate viral inactivation, inhibitors to FVIII or FIX are considered to be the most severe treatment-related complication in haemophilia.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6.2.3</w:t>
      </w:r>
      <w:r w:rsidRPr="001E7B3E">
        <w:rPr>
          <w:rStyle w:val="A8"/>
          <w:rFonts w:asciiTheme="minorHAnsi" w:hAnsiTheme="minorHAnsi"/>
          <w:color w:val="221E1F"/>
          <w:sz w:val="22"/>
        </w:rPr>
        <w:tab/>
      </w:r>
      <w:r w:rsidRPr="001E7B3E">
        <w:rPr>
          <w:rStyle w:val="A8"/>
          <w:rFonts w:asciiTheme="minorHAnsi" w:hAnsiTheme="minorHAnsi"/>
          <w:color w:val="221E1F"/>
          <w:sz w:val="22"/>
        </w:rPr>
        <w:tab/>
        <w:t xml:space="preserve">The presence of a new inhibitor should be suspected in any patient who fails to respond clinically to clotting factors, particularly if he has been previously responsive. In this situation, the expected recovery and half-life of the transfused clotting factor are severely diminished.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6.2.4</w:t>
      </w:r>
      <w:r w:rsidRPr="001E7B3E">
        <w:rPr>
          <w:rStyle w:val="A8"/>
          <w:rFonts w:asciiTheme="minorHAnsi" w:hAnsiTheme="minorHAnsi"/>
          <w:color w:val="221E1F"/>
          <w:sz w:val="22"/>
        </w:rPr>
        <w:tab/>
        <w:t xml:space="preserve">Inhibitors are more frequently encountered in persons with severe haemophilia compared to those with moderate or mild haemophilia.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6.2.5</w:t>
      </w:r>
      <w:r w:rsidRPr="001E7B3E">
        <w:rPr>
          <w:rStyle w:val="A8"/>
          <w:rFonts w:asciiTheme="minorHAnsi" w:hAnsiTheme="minorHAnsi"/>
          <w:color w:val="221E1F"/>
          <w:sz w:val="22"/>
        </w:rPr>
        <w:tab/>
      </w:r>
      <w:r w:rsidRPr="001E7B3E">
        <w:rPr>
          <w:rStyle w:val="A8"/>
          <w:rFonts w:asciiTheme="minorHAnsi" w:hAnsiTheme="minorHAnsi"/>
          <w:color w:val="221E1F"/>
          <w:sz w:val="22"/>
        </w:rPr>
        <w:tab/>
        <w:t xml:space="preserve">The cumulative incidence (i.e. lifetime risk) of inhibitor development in severe haemophilia A is in the range of 20-30% and approximately 5-10% in moderate or mild disease. </w:t>
      </w:r>
      <w:r w:rsidRPr="001E7B3E">
        <w:rPr>
          <w:rStyle w:val="A8"/>
          <w:rFonts w:asciiTheme="minorHAnsi" w:hAnsiTheme="minorHAnsi"/>
          <w:color w:val="221E1F"/>
          <w:sz w:val="22"/>
          <w:vertAlign w:val="superscript"/>
        </w:rPr>
        <w:t>[53-54]</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6.2.6</w:t>
      </w:r>
      <w:r w:rsidRPr="001E7B3E">
        <w:rPr>
          <w:rStyle w:val="A8"/>
          <w:rFonts w:asciiTheme="minorHAnsi" w:hAnsiTheme="minorHAnsi"/>
          <w:color w:val="221E1F"/>
          <w:sz w:val="22"/>
        </w:rPr>
        <w:tab/>
        <w:t xml:space="preserve">In severe haemophilia </w:t>
      </w:r>
      <w:proofErr w:type="gramStart"/>
      <w:r w:rsidRPr="001E7B3E">
        <w:rPr>
          <w:rStyle w:val="A8"/>
          <w:rFonts w:asciiTheme="minorHAnsi" w:hAnsiTheme="minorHAnsi"/>
          <w:color w:val="221E1F"/>
          <w:sz w:val="22"/>
        </w:rPr>
        <w:t>A</w:t>
      </w:r>
      <w:proofErr w:type="gramEnd"/>
      <w:r w:rsidRPr="001E7B3E">
        <w:rPr>
          <w:rStyle w:val="A8"/>
          <w:rFonts w:asciiTheme="minorHAnsi" w:hAnsiTheme="minorHAnsi"/>
          <w:color w:val="221E1F"/>
          <w:sz w:val="22"/>
        </w:rPr>
        <w:t>, the median age of inhibitor development is three years or less in developed co</w:t>
      </w:r>
      <w:r w:rsidR="0024116D">
        <w:rPr>
          <w:rStyle w:val="A8"/>
          <w:rFonts w:asciiTheme="minorHAnsi" w:hAnsiTheme="minorHAnsi"/>
          <w:color w:val="221E1F"/>
          <w:sz w:val="22"/>
        </w:rPr>
        <w:t>untries. In moderate/mild haemo</w:t>
      </w:r>
      <w:r w:rsidRPr="001E7B3E">
        <w:rPr>
          <w:rStyle w:val="A8"/>
          <w:rFonts w:asciiTheme="minorHAnsi" w:hAnsiTheme="minorHAnsi"/>
          <w:color w:val="221E1F"/>
          <w:sz w:val="22"/>
        </w:rPr>
        <w:t xml:space="preserve">philia </w:t>
      </w:r>
      <w:proofErr w:type="gramStart"/>
      <w:r w:rsidRPr="001E7B3E">
        <w:rPr>
          <w:rStyle w:val="A8"/>
          <w:rFonts w:asciiTheme="minorHAnsi" w:hAnsiTheme="minorHAnsi"/>
          <w:color w:val="221E1F"/>
          <w:sz w:val="22"/>
        </w:rPr>
        <w:t>A</w:t>
      </w:r>
      <w:proofErr w:type="gramEnd"/>
      <w:r w:rsidRPr="001E7B3E">
        <w:rPr>
          <w:rStyle w:val="A8"/>
          <w:rFonts w:asciiTheme="minorHAnsi" w:hAnsiTheme="minorHAnsi"/>
          <w:color w:val="221E1F"/>
          <w:sz w:val="22"/>
        </w:rPr>
        <w:t>, it is closer to 30 years of age, and is often seen in conjunction with intensive FVIII expo</w:t>
      </w:r>
      <w:r w:rsidRPr="001E7B3E">
        <w:rPr>
          <w:rStyle w:val="A8"/>
          <w:rFonts w:asciiTheme="minorHAnsi" w:hAnsiTheme="minorHAnsi"/>
          <w:color w:val="221E1F"/>
          <w:sz w:val="22"/>
        </w:rPr>
        <w:softHyphen/>
        <w:t xml:space="preserve">sure with surgery. </w:t>
      </w:r>
      <w:r w:rsidRPr="001E7B3E">
        <w:rPr>
          <w:rStyle w:val="A8"/>
          <w:rFonts w:asciiTheme="minorHAnsi" w:hAnsiTheme="minorHAnsi"/>
          <w:color w:val="221E1F"/>
          <w:sz w:val="22"/>
          <w:vertAlign w:val="superscript"/>
        </w:rPr>
        <w:t>[55</w:t>
      </w:r>
      <w:proofErr w:type="gramStart"/>
      <w:r w:rsidRPr="001E7B3E">
        <w:rPr>
          <w:rStyle w:val="A8"/>
          <w:rFonts w:asciiTheme="minorHAnsi" w:hAnsiTheme="minorHAnsi"/>
          <w:color w:val="221E1F"/>
          <w:sz w:val="22"/>
          <w:vertAlign w:val="superscript"/>
        </w:rPr>
        <w:t>,56</w:t>
      </w:r>
      <w:proofErr w:type="gramEnd"/>
      <w:r w:rsidRPr="001E7B3E">
        <w:rPr>
          <w:rStyle w:val="A8"/>
          <w:rFonts w:asciiTheme="minorHAnsi" w:hAnsiTheme="minorHAnsi"/>
          <w:color w:val="221E1F"/>
          <w:sz w:val="22"/>
          <w:vertAlign w:val="superscript"/>
        </w:rPr>
        <w:t>]</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6.2.7</w:t>
      </w:r>
      <w:r w:rsidRPr="001E7B3E">
        <w:rPr>
          <w:rStyle w:val="A8"/>
          <w:rFonts w:asciiTheme="minorHAnsi" w:hAnsiTheme="minorHAnsi"/>
          <w:color w:val="221E1F"/>
          <w:sz w:val="22"/>
        </w:rPr>
        <w:tab/>
        <w:t>In severe haemophilia, inhibitors do not change the site, frequency, or severity of bleeding. In moderate or mild haemophilia, the inhibitor may neutralise endogenously synthesized FVIII, thereby effectively converting the patient’s pheno</w:t>
      </w:r>
      <w:r w:rsidRPr="001E7B3E">
        <w:rPr>
          <w:rStyle w:val="A8"/>
          <w:rFonts w:asciiTheme="minorHAnsi" w:hAnsiTheme="minorHAnsi"/>
          <w:color w:val="221E1F"/>
          <w:sz w:val="22"/>
        </w:rPr>
        <w:softHyphen/>
        <w:t xml:space="preserve">type to severe.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6.2.8</w:t>
      </w:r>
      <w:r w:rsidRPr="001E7B3E">
        <w:rPr>
          <w:rStyle w:val="A8"/>
          <w:rFonts w:asciiTheme="minorHAnsi" w:hAnsiTheme="minorHAnsi"/>
          <w:color w:val="221E1F"/>
          <w:sz w:val="22"/>
        </w:rPr>
        <w:tab/>
        <w:t>Bleeding manifestations in moderate/mild haemo</w:t>
      </w:r>
      <w:r w:rsidRPr="001E7B3E">
        <w:rPr>
          <w:rStyle w:val="A8"/>
          <w:rFonts w:asciiTheme="minorHAnsi" w:hAnsiTheme="minorHAnsi"/>
          <w:color w:val="221E1F"/>
          <w:sz w:val="22"/>
        </w:rPr>
        <w:softHyphen/>
        <w:t>philia complicated by an inhibitor are more frequently reminiscent of those seen in patients with acquired haemophilia A (due to auto-anti</w:t>
      </w:r>
      <w:r w:rsidRPr="001E7B3E">
        <w:rPr>
          <w:rStyle w:val="A8"/>
          <w:rFonts w:asciiTheme="minorHAnsi" w:hAnsiTheme="minorHAnsi"/>
          <w:color w:val="221E1F"/>
          <w:sz w:val="22"/>
        </w:rPr>
        <w:softHyphen/>
        <w:t>bodies to FVIII), with a greater predominance of mucocutaneous, urogenital, and gastrointes</w:t>
      </w:r>
      <w:r w:rsidRPr="001E7B3E">
        <w:rPr>
          <w:rStyle w:val="A8"/>
          <w:rFonts w:asciiTheme="minorHAnsi" w:hAnsiTheme="minorHAnsi"/>
          <w:color w:val="221E1F"/>
          <w:sz w:val="22"/>
        </w:rPr>
        <w:softHyphen/>
        <w:t xml:space="preserve">tinal bleeding sites. </w:t>
      </w:r>
      <w:r w:rsidRPr="001E7B3E">
        <w:rPr>
          <w:rStyle w:val="A8"/>
          <w:rFonts w:asciiTheme="minorHAnsi" w:hAnsiTheme="minorHAnsi"/>
          <w:color w:val="221E1F"/>
          <w:sz w:val="22"/>
          <w:vertAlign w:val="superscript"/>
        </w:rPr>
        <w:t>[57]</w:t>
      </w:r>
      <w:r w:rsidRPr="001E7B3E">
        <w:rPr>
          <w:rStyle w:val="A8"/>
          <w:rFonts w:asciiTheme="minorHAnsi" w:hAnsiTheme="minorHAnsi"/>
          <w:color w:val="221E1F"/>
          <w:sz w:val="22"/>
        </w:rPr>
        <w:t xml:space="preserve"> Consequently, the risk of severe complications or even death from bleeding may be significant in these patients.</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6.2.9</w:t>
      </w:r>
      <w:r w:rsidRPr="001E7B3E">
        <w:rPr>
          <w:rStyle w:val="A8"/>
          <w:rFonts w:asciiTheme="minorHAnsi" w:hAnsiTheme="minorHAnsi"/>
          <w:color w:val="221E1F"/>
          <w:sz w:val="22"/>
        </w:rPr>
        <w:tab/>
        <w:t xml:space="preserve">Inhibitors are much less frequently encountered in haemophilia B, occurring in less than 5% of affected individuals. </w:t>
      </w:r>
      <w:r w:rsidRPr="001E7B3E">
        <w:rPr>
          <w:rStyle w:val="A8"/>
          <w:rFonts w:asciiTheme="minorHAnsi" w:hAnsiTheme="minorHAnsi"/>
          <w:color w:val="221E1F"/>
          <w:sz w:val="22"/>
          <w:vertAlign w:val="superscript"/>
        </w:rPr>
        <w:t>[58]</w:t>
      </w:r>
      <w:r w:rsidRPr="001E7B3E">
        <w:rPr>
          <w:rStyle w:val="A8"/>
          <w:rFonts w:asciiTheme="minorHAnsi" w:hAnsiTheme="minorHAnsi"/>
          <w:color w:val="221E1F"/>
          <w:sz w:val="22"/>
        </w:rPr>
        <w:t xml:space="preserve">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6.2.10</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In</w:t>
      </w:r>
      <w:proofErr w:type="gramEnd"/>
      <w:r w:rsidRPr="001E7B3E">
        <w:rPr>
          <w:rStyle w:val="A8"/>
          <w:rFonts w:asciiTheme="minorHAnsi" w:hAnsiTheme="minorHAnsi"/>
          <w:color w:val="221E1F"/>
          <w:sz w:val="22"/>
        </w:rPr>
        <w:t xml:space="preserve"> all cases, inhibitors render treatment with replacement factor concentrates difficult. Patients on clotting factor therapy should therefore be screened for inhibitor development.</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6.2.11</w:t>
      </w:r>
      <w:r w:rsidRPr="001E7B3E">
        <w:rPr>
          <w:rStyle w:val="A8"/>
          <w:rFonts w:asciiTheme="minorHAnsi" w:hAnsiTheme="minorHAnsi"/>
          <w:color w:val="221E1F"/>
          <w:sz w:val="22"/>
        </w:rPr>
        <w:tab/>
      </w:r>
      <w:r w:rsidRPr="001E7B3E">
        <w:rPr>
          <w:rStyle w:val="A8"/>
          <w:rFonts w:asciiTheme="minorHAnsi" w:hAnsiTheme="minorHAnsi"/>
          <w:b/>
          <w:color w:val="221E1F"/>
          <w:sz w:val="22"/>
        </w:rPr>
        <w:t>Confirmation of the presence of an inhibitor and quantification of the titre is performed in the laboratory, preferably using the Nijmegen-modified Bethesda assay</w:t>
      </w:r>
      <w:r>
        <w:rPr>
          <w:rStyle w:val="A8"/>
          <w:rFonts w:asciiTheme="minorHAnsi" w:hAnsiTheme="minorHAnsi"/>
          <w:b/>
          <w:color w:val="221E1F"/>
          <w:sz w:val="22"/>
        </w:rPr>
        <w:t>.</w:t>
      </w:r>
      <w:r w:rsidRPr="001E7B3E">
        <w:rPr>
          <w:rStyle w:val="A8"/>
          <w:rFonts w:asciiTheme="minorHAnsi" w:hAnsiTheme="minorHAnsi"/>
          <w:b/>
          <w:color w:val="221E1F"/>
          <w:sz w:val="22"/>
        </w:rPr>
        <w:t xml:space="preserve">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b/>
          <w:color w:val="221E1F"/>
          <w:sz w:val="22"/>
        </w:rPr>
      </w:pPr>
      <w:r w:rsidRPr="001E7B3E">
        <w:rPr>
          <w:rStyle w:val="A8"/>
          <w:rFonts w:asciiTheme="minorHAnsi" w:hAnsiTheme="minorHAnsi"/>
          <w:color w:val="221E1F"/>
          <w:sz w:val="22"/>
        </w:rPr>
        <w:t>6.2.12</w:t>
      </w:r>
      <w:r w:rsidRPr="001E7B3E">
        <w:rPr>
          <w:rStyle w:val="A8"/>
          <w:rFonts w:asciiTheme="minorHAnsi" w:hAnsiTheme="minorHAnsi"/>
          <w:color w:val="221E1F"/>
          <w:sz w:val="22"/>
        </w:rPr>
        <w:tab/>
      </w:r>
      <w:r w:rsidRPr="001E7B3E">
        <w:rPr>
          <w:rStyle w:val="A8"/>
          <w:rFonts w:asciiTheme="minorHAnsi" w:hAnsiTheme="minorHAnsi"/>
          <w:b/>
          <w:color w:val="221E1F"/>
          <w:sz w:val="22"/>
        </w:rPr>
        <w:t>For children, inhibitors should be screened once every five exposure days until 20 expo</w:t>
      </w:r>
      <w:r w:rsidRPr="001E7B3E">
        <w:rPr>
          <w:rStyle w:val="A8"/>
          <w:rFonts w:asciiTheme="minorHAnsi" w:hAnsiTheme="minorHAnsi"/>
          <w:b/>
          <w:color w:val="221E1F"/>
          <w:sz w:val="22"/>
        </w:rPr>
        <w:softHyphen/>
        <w:t xml:space="preserve">sure days, every 10 exposure days between 21 and 50 exposure days, and at least two times </w:t>
      </w:r>
      <w:r>
        <w:rPr>
          <w:rStyle w:val="A8"/>
          <w:rFonts w:asciiTheme="minorHAnsi" w:hAnsiTheme="minorHAnsi"/>
          <w:b/>
          <w:color w:val="221E1F"/>
          <w:sz w:val="22"/>
        </w:rPr>
        <w:t>a year until 150 exposure days.</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[61]</w:t>
      </w:r>
      <w:r w:rsidRPr="001E7B3E">
        <w:rPr>
          <w:rStyle w:val="A8"/>
          <w:rFonts w:asciiTheme="minorHAnsi" w:hAnsiTheme="minorHAnsi"/>
          <w:b/>
          <w:color w:val="221E1F"/>
          <w:sz w:val="22"/>
        </w:rPr>
        <w:t xml:space="preserve">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6.2.13</w:t>
      </w:r>
      <w:r w:rsidRPr="001E7B3E">
        <w:rPr>
          <w:rStyle w:val="A8"/>
          <w:rFonts w:asciiTheme="minorHAnsi" w:hAnsiTheme="minorHAnsi"/>
          <w:color w:val="221E1F"/>
          <w:sz w:val="22"/>
        </w:rPr>
        <w:tab/>
      </w:r>
      <w:proofErr w:type="gramStart"/>
      <w:r w:rsidRPr="001E7B3E">
        <w:rPr>
          <w:rStyle w:val="A8"/>
          <w:rFonts w:asciiTheme="minorHAnsi" w:hAnsiTheme="minorHAnsi"/>
          <w:b/>
          <w:color w:val="221E1F"/>
          <w:sz w:val="22"/>
        </w:rPr>
        <w:t>For</w:t>
      </w:r>
      <w:proofErr w:type="gramEnd"/>
      <w:r w:rsidRPr="001E7B3E">
        <w:rPr>
          <w:rStyle w:val="A8"/>
          <w:rFonts w:asciiTheme="minorHAnsi" w:hAnsiTheme="minorHAnsi"/>
          <w:b/>
          <w:color w:val="221E1F"/>
          <w:sz w:val="22"/>
        </w:rPr>
        <w:t xml:space="preserve"> adults with more than 150 exposure days, apart from a 6-12 monthly review, any failure to respond to adequate factor concentrate replace</w:t>
      </w:r>
      <w:r w:rsidRPr="001E7B3E">
        <w:rPr>
          <w:rStyle w:val="A8"/>
          <w:rFonts w:asciiTheme="minorHAnsi" w:hAnsiTheme="minorHAnsi"/>
          <w:b/>
          <w:color w:val="221E1F"/>
          <w:sz w:val="22"/>
        </w:rPr>
        <w:softHyphen/>
        <w:t>ment therapy in a previously responsive patient is an indicat</w:t>
      </w:r>
      <w:r>
        <w:rPr>
          <w:rStyle w:val="A8"/>
          <w:rFonts w:asciiTheme="minorHAnsi" w:hAnsiTheme="minorHAnsi"/>
          <w:b/>
          <w:color w:val="221E1F"/>
          <w:sz w:val="22"/>
        </w:rPr>
        <w:t>ion to assess for an inhibitor.</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[56</w:t>
      </w:r>
      <w:proofErr w:type="gramStart"/>
      <w:r w:rsidRPr="001E7B3E">
        <w:rPr>
          <w:rStyle w:val="A8"/>
          <w:rFonts w:asciiTheme="minorHAnsi" w:hAnsiTheme="minorHAnsi"/>
          <w:b/>
          <w:color w:val="221E1F"/>
          <w:sz w:val="22"/>
          <w:vertAlign w:val="superscript"/>
        </w:rPr>
        <w:t>,62</w:t>
      </w:r>
      <w:proofErr w:type="gramEnd"/>
      <w:r w:rsidRPr="001E7B3E">
        <w:rPr>
          <w:rStyle w:val="A8"/>
          <w:rFonts w:asciiTheme="minorHAnsi" w:hAnsiTheme="minorHAnsi"/>
          <w:b/>
          <w:color w:val="221E1F"/>
          <w:sz w:val="22"/>
          <w:vertAlign w:val="superscript"/>
        </w:rPr>
        <w:t>-64]</w:t>
      </w:r>
      <w:r w:rsidRPr="001E7B3E">
        <w:rPr>
          <w:rStyle w:val="A8"/>
          <w:rFonts w:asciiTheme="minorHAnsi" w:hAnsiTheme="minorHAnsi"/>
          <w:color w:val="221E1F"/>
          <w:sz w:val="22"/>
        </w:rPr>
        <w:t xml:space="preserve">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b/>
          <w:color w:val="221E1F"/>
          <w:sz w:val="22"/>
        </w:rPr>
      </w:pPr>
      <w:r w:rsidRPr="001E7B3E">
        <w:rPr>
          <w:rStyle w:val="A8"/>
          <w:rFonts w:asciiTheme="minorHAnsi" w:hAnsiTheme="minorHAnsi"/>
          <w:color w:val="221E1F"/>
          <w:sz w:val="22"/>
        </w:rPr>
        <w:t>6.2.14</w:t>
      </w:r>
      <w:r w:rsidRPr="001E7B3E">
        <w:rPr>
          <w:rStyle w:val="A8"/>
          <w:rFonts w:asciiTheme="minorHAnsi" w:hAnsiTheme="minorHAnsi"/>
          <w:color w:val="221E1F"/>
          <w:sz w:val="22"/>
        </w:rPr>
        <w:tab/>
      </w:r>
      <w:r w:rsidRPr="001E7B3E">
        <w:rPr>
          <w:rStyle w:val="A8"/>
          <w:rFonts w:asciiTheme="minorHAnsi" w:hAnsiTheme="minorHAnsi"/>
          <w:b/>
          <w:color w:val="221E1F"/>
          <w:sz w:val="22"/>
        </w:rPr>
        <w:t xml:space="preserve">Inhibitor measurement should also be done in all patients who have been intensively treated for more than five days, within four weeks of the last infusion. </w:t>
      </w:r>
      <w:r w:rsidRPr="001E7B3E">
        <w:rPr>
          <w:rStyle w:val="A8"/>
          <w:rFonts w:asciiTheme="minorHAnsi" w:hAnsiTheme="minorHAnsi"/>
          <w:b/>
          <w:color w:val="221E1F"/>
          <w:sz w:val="22"/>
          <w:vertAlign w:val="superscript"/>
        </w:rPr>
        <w:t>[63</w:t>
      </w:r>
      <w:proofErr w:type="gramStart"/>
      <w:r w:rsidRPr="001E7B3E">
        <w:rPr>
          <w:rStyle w:val="A8"/>
          <w:rFonts w:asciiTheme="minorHAnsi" w:hAnsiTheme="minorHAnsi"/>
          <w:b/>
          <w:color w:val="221E1F"/>
          <w:sz w:val="22"/>
          <w:vertAlign w:val="superscript"/>
        </w:rPr>
        <w:t>,65</w:t>
      </w:r>
      <w:proofErr w:type="gramEnd"/>
      <w:r w:rsidRPr="001E7B3E">
        <w:rPr>
          <w:rStyle w:val="A8"/>
          <w:rFonts w:asciiTheme="minorHAnsi" w:hAnsiTheme="minorHAnsi"/>
          <w:b/>
          <w:color w:val="221E1F"/>
          <w:sz w:val="22"/>
          <w:vertAlign w:val="superscript"/>
        </w:rPr>
        <w:t>]</w:t>
      </w:r>
      <w:r w:rsidRPr="001E7B3E">
        <w:rPr>
          <w:rStyle w:val="A8"/>
          <w:rFonts w:asciiTheme="minorHAnsi" w:hAnsiTheme="minorHAnsi"/>
          <w:b/>
          <w:color w:val="221E1F"/>
          <w:sz w:val="22"/>
        </w:rPr>
        <w:t xml:space="preserve"> </w:t>
      </w:r>
    </w:p>
    <w:p w:rsidR="00484EFC" w:rsidRPr="001E7B3E" w:rsidRDefault="00484EFC" w:rsidP="00D10E64">
      <w:pPr>
        <w:pStyle w:val="Default"/>
        <w:spacing w:line="276" w:lineRule="auto"/>
        <w:ind w:left="1433" w:hanging="1433"/>
        <w:rPr>
          <w:rStyle w:val="A8"/>
          <w:rFonts w:asciiTheme="minorHAnsi" w:hAnsiTheme="minorHAnsi"/>
          <w:b/>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6.2.15</w:t>
      </w:r>
      <w:r w:rsidRPr="001E7B3E">
        <w:rPr>
          <w:rStyle w:val="A8"/>
          <w:rFonts w:asciiTheme="minorHAnsi" w:hAnsiTheme="minorHAnsi"/>
          <w:color w:val="221E1F"/>
          <w:sz w:val="22"/>
        </w:rPr>
        <w:tab/>
      </w:r>
      <w:r w:rsidRPr="001E7B3E">
        <w:rPr>
          <w:rStyle w:val="A8"/>
          <w:rFonts w:asciiTheme="minorHAnsi" w:hAnsiTheme="minorHAnsi"/>
          <w:b/>
          <w:color w:val="221E1F"/>
          <w:sz w:val="22"/>
        </w:rPr>
        <w:t xml:space="preserve">Inhibitors should also be assessed prior to surgery or if recovery assays are not as expected, and when clinical response to treatment of bleeding is sub-optimal in the post-operative period. </w:t>
      </w:r>
      <w:r w:rsidRPr="001E7B3E">
        <w:rPr>
          <w:rStyle w:val="A8"/>
          <w:rFonts w:asciiTheme="minorHAnsi" w:hAnsiTheme="minorHAnsi"/>
          <w:b/>
          <w:color w:val="221E1F"/>
          <w:sz w:val="22"/>
          <w:vertAlign w:val="superscript"/>
        </w:rPr>
        <w:t>[53</w:t>
      </w:r>
      <w:proofErr w:type="gramStart"/>
      <w:r w:rsidRPr="001E7B3E">
        <w:rPr>
          <w:rStyle w:val="A8"/>
          <w:rFonts w:asciiTheme="minorHAnsi" w:hAnsiTheme="minorHAnsi"/>
          <w:b/>
          <w:color w:val="221E1F"/>
          <w:sz w:val="22"/>
          <w:vertAlign w:val="superscript"/>
        </w:rPr>
        <w:t>,63,66</w:t>
      </w:r>
      <w:proofErr w:type="gramEnd"/>
      <w:r w:rsidRPr="001E7B3E">
        <w:rPr>
          <w:rStyle w:val="A8"/>
          <w:rFonts w:asciiTheme="minorHAnsi" w:hAnsiTheme="minorHAnsi"/>
          <w:b/>
          <w:color w:val="221E1F"/>
          <w:sz w:val="22"/>
          <w:vertAlign w:val="superscript"/>
        </w:rPr>
        <w:t>]</w:t>
      </w:r>
      <w:r w:rsidRPr="001E7B3E">
        <w:rPr>
          <w:rStyle w:val="A8"/>
          <w:rFonts w:asciiTheme="minorHAnsi" w:hAnsiTheme="minorHAnsi"/>
          <w:color w:val="221E1F"/>
          <w:sz w:val="22"/>
        </w:rPr>
        <w:t xml:space="preserve">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6.2.16</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A</w:t>
      </w:r>
      <w:proofErr w:type="gramEnd"/>
      <w:r w:rsidRPr="001E7B3E">
        <w:rPr>
          <w:rStyle w:val="A8"/>
          <w:rFonts w:asciiTheme="minorHAnsi" w:hAnsiTheme="minorHAnsi"/>
          <w:color w:val="221E1F"/>
          <w:sz w:val="22"/>
        </w:rPr>
        <w:t xml:space="preserve"> low responding inhibitor is defined as an inhib</w:t>
      </w:r>
      <w:r w:rsidRPr="001E7B3E">
        <w:rPr>
          <w:rStyle w:val="A8"/>
          <w:rFonts w:asciiTheme="minorHAnsi" w:hAnsiTheme="minorHAnsi"/>
          <w:color w:val="221E1F"/>
          <w:sz w:val="22"/>
        </w:rPr>
        <w:softHyphen/>
        <w:t xml:space="preserve">itor level that is persistently &lt; 5 BU/ml, whereas a high responding inhibitor is defined by a level ≥ 5 BU/ml.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6.2.17</w:t>
      </w:r>
      <w:r w:rsidRPr="001E7B3E">
        <w:rPr>
          <w:rStyle w:val="A8"/>
          <w:rFonts w:asciiTheme="minorHAnsi" w:hAnsiTheme="minorHAnsi"/>
          <w:color w:val="221E1F"/>
          <w:sz w:val="22"/>
        </w:rPr>
        <w:tab/>
        <w:t>High responding inhibitors tend to be persis</w:t>
      </w:r>
      <w:r w:rsidRPr="001E7B3E">
        <w:rPr>
          <w:rStyle w:val="A8"/>
          <w:rFonts w:asciiTheme="minorHAnsi" w:hAnsiTheme="minorHAnsi"/>
          <w:color w:val="221E1F"/>
          <w:sz w:val="22"/>
        </w:rPr>
        <w:softHyphen/>
        <w:t xml:space="preserve">tent. If not treated for a long period, titre levels may fall or even become undetectable, but there will be a recurrent anamnestic response in three to five days when challenged again with specific factor products.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6.2.18</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Some</w:t>
      </w:r>
      <w:proofErr w:type="gramEnd"/>
      <w:r w:rsidRPr="001E7B3E">
        <w:rPr>
          <w:rStyle w:val="A8"/>
          <w:rFonts w:asciiTheme="minorHAnsi" w:hAnsiTheme="minorHAnsi"/>
          <w:color w:val="221E1F"/>
          <w:sz w:val="22"/>
        </w:rPr>
        <w:t xml:space="preserve"> low titre inhibitors may be transient, disappearing within six months of initial docu</w:t>
      </w:r>
      <w:r w:rsidRPr="001E7B3E">
        <w:rPr>
          <w:rStyle w:val="A8"/>
          <w:rFonts w:asciiTheme="minorHAnsi" w:hAnsiTheme="minorHAnsi"/>
          <w:color w:val="221E1F"/>
          <w:sz w:val="22"/>
        </w:rPr>
        <w:softHyphen/>
        <w:t xml:space="preserve">mentation, despite recent antigenic challenge with factor concentrate. </w:t>
      </w:r>
    </w:p>
    <w:p w:rsidR="00484EFC" w:rsidRPr="001E7B3E" w:rsidRDefault="00484EFC" w:rsidP="00D10E64">
      <w:pPr>
        <w:pStyle w:val="Default"/>
        <w:spacing w:line="276" w:lineRule="auto"/>
        <w:ind w:left="1433" w:hanging="1433"/>
        <w:rPr>
          <w:rStyle w:val="A8"/>
          <w:rFonts w:asciiTheme="minorHAnsi" w:hAnsiTheme="minorHAnsi"/>
          <w:color w:val="221E1F"/>
          <w:sz w:val="22"/>
        </w:rPr>
      </w:pPr>
    </w:p>
    <w:p w:rsidR="00484EFC" w:rsidRPr="001E7B3E" w:rsidRDefault="00484EFC" w:rsidP="00D10E64">
      <w:pPr>
        <w:pStyle w:val="Default"/>
        <w:spacing w:line="276" w:lineRule="auto"/>
        <w:ind w:left="1433" w:hanging="1433"/>
        <w:rPr>
          <w:rFonts w:asciiTheme="minorHAnsi" w:hAnsiTheme="minorHAnsi"/>
          <w:color w:val="221E1F"/>
          <w:sz w:val="22"/>
        </w:rPr>
      </w:pPr>
      <w:r w:rsidRPr="001E7B3E">
        <w:rPr>
          <w:rStyle w:val="A8"/>
          <w:rFonts w:asciiTheme="minorHAnsi" w:hAnsiTheme="minorHAnsi"/>
          <w:color w:val="221E1F"/>
          <w:sz w:val="22"/>
        </w:rPr>
        <w:t>6.2.19</w:t>
      </w:r>
      <w:r w:rsidRPr="001E7B3E">
        <w:rPr>
          <w:rStyle w:val="A8"/>
          <w:rFonts w:asciiTheme="minorHAnsi" w:hAnsiTheme="minorHAnsi"/>
          <w:color w:val="221E1F"/>
          <w:sz w:val="22"/>
        </w:rPr>
        <w:tab/>
        <w:t xml:space="preserve">Very low titre inhibitors may not be detected by the Bethesda inhibitor assay, but by a poor recovery and/or shortened half-life (T-1/2) following clotting factor infusions. </w:t>
      </w:r>
    </w:p>
    <w:p w:rsidR="00484EFC" w:rsidRPr="001E7B3E" w:rsidRDefault="00484EFC" w:rsidP="00041ED2">
      <w:pPr>
        <w:pStyle w:val="Heading4"/>
        <w:rPr>
          <w:rFonts w:eastAsia="Calibri"/>
          <w:lang w:eastAsia="en-US"/>
        </w:rPr>
      </w:pPr>
      <w:r w:rsidRPr="001E7B3E">
        <w:rPr>
          <w:rFonts w:eastAsia="Calibri"/>
          <w:lang w:eastAsia="en-US"/>
        </w:rPr>
        <w:t xml:space="preserve">Management of bleeding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6.2.20</w:t>
      </w:r>
      <w:r w:rsidRPr="001E7B3E">
        <w:rPr>
          <w:rStyle w:val="A8"/>
          <w:rFonts w:asciiTheme="minorHAnsi" w:hAnsiTheme="minorHAnsi"/>
          <w:color w:val="221E1F"/>
          <w:sz w:val="22"/>
        </w:rPr>
        <w:tab/>
      </w:r>
      <w:r w:rsidRPr="001E7B3E">
        <w:rPr>
          <w:rStyle w:val="A8"/>
          <w:rFonts w:asciiTheme="minorHAnsi" w:hAnsiTheme="minorHAnsi"/>
          <w:b/>
          <w:color w:val="221E1F"/>
          <w:sz w:val="22"/>
        </w:rPr>
        <w:t>Management of bleeding in patients with inhib</w:t>
      </w:r>
      <w:r w:rsidRPr="001E7B3E">
        <w:rPr>
          <w:rStyle w:val="A8"/>
          <w:rFonts w:asciiTheme="minorHAnsi" w:hAnsiTheme="minorHAnsi"/>
          <w:b/>
          <w:color w:val="221E1F"/>
          <w:sz w:val="22"/>
        </w:rPr>
        <w:softHyphen/>
        <w:t xml:space="preserve">itors must be in consultation with a </w:t>
      </w:r>
      <w:r w:rsidR="00173B0C">
        <w:rPr>
          <w:rStyle w:val="A8"/>
          <w:rFonts w:asciiTheme="minorHAnsi" w:hAnsiTheme="minorHAnsi"/>
          <w:b/>
          <w:color w:val="221E1F"/>
          <w:sz w:val="22"/>
        </w:rPr>
        <w:t>HTC</w:t>
      </w:r>
      <w:r w:rsidRPr="001E7B3E">
        <w:rPr>
          <w:rStyle w:val="A8"/>
          <w:rFonts w:asciiTheme="minorHAnsi" w:hAnsiTheme="minorHAnsi"/>
          <w:b/>
          <w:color w:val="221E1F"/>
          <w:sz w:val="22"/>
        </w:rPr>
        <w:t xml:space="preserve"> e</w:t>
      </w:r>
      <w:r>
        <w:rPr>
          <w:rStyle w:val="A8"/>
          <w:rFonts w:asciiTheme="minorHAnsi" w:hAnsiTheme="minorHAnsi"/>
          <w:b/>
          <w:color w:val="221E1F"/>
          <w:sz w:val="22"/>
        </w:rPr>
        <w:t>xperienced in their management.</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[63</w:t>
      </w:r>
      <w:proofErr w:type="gramStart"/>
      <w:r w:rsidRPr="001E7B3E">
        <w:rPr>
          <w:rStyle w:val="A8"/>
          <w:rFonts w:asciiTheme="minorHAnsi" w:hAnsiTheme="minorHAnsi"/>
          <w:b/>
          <w:color w:val="221E1F"/>
          <w:sz w:val="22"/>
          <w:vertAlign w:val="superscript"/>
        </w:rPr>
        <w:t>,67</w:t>
      </w:r>
      <w:proofErr w:type="gramEnd"/>
      <w:r w:rsidRPr="001E7B3E">
        <w:rPr>
          <w:rStyle w:val="A8"/>
          <w:rFonts w:asciiTheme="minorHAnsi" w:hAnsiTheme="minorHAnsi"/>
          <w:b/>
          <w:color w:val="221E1F"/>
          <w:sz w:val="22"/>
          <w:vertAlign w:val="superscript"/>
        </w:rPr>
        <w:t>]</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6.2.21</w:t>
      </w:r>
      <w:r w:rsidRPr="001E7B3E">
        <w:rPr>
          <w:rStyle w:val="A8"/>
          <w:rFonts w:asciiTheme="minorHAnsi" w:hAnsiTheme="minorHAnsi"/>
          <w:color w:val="221E1F"/>
          <w:sz w:val="22"/>
        </w:rPr>
        <w:tab/>
      </w:r>
      <w:r w:rsidRPr="001E7B3E">
        <w:rPr>
          <w:rStyle w:val="A8"/>
          <w:rFonts w:asciiTheme="minorHAnsi" w:hAnsiTheme="minorHAnsi"/>
          <w:b/>
          <w:color w:val="221E1F"/>
          <w:sz w:val="22"/>
        </w:rPr>
        <w:t>Choice of treatment product should be based on titre of inhibitor, records of clinical response to product</w:t>
      </w:r>
      <w:r>
        <w:rPr>
          <w:rStyle w:val="A8"/>
          <w:rFonts w:asciiTheme="minorHAnsi" w:hAnsiTheme="minorHAnsi"/>
          <w:b/>
          <w:color w:val="221E1F"/>
          <w:sz w:val="22"/>
        </w:rPr>
        <w:t>, and site and nature of bleed.</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[63</w:t>
      </w:r>
      <w:proofErr w:type="gramStart"/>
      <w:r w:rsidRPr="001E7B3E">
        <w:rPr>
          <w:rStyle w:val="A8"/>
          <w:rFonts w:asciiTheme="minorHAnsi" w:hAnsiTheme="minorHAnsi"/>
          <w:b/>
          <w:color w:val="221E1F"/>
          <w:sz w:val="22"/>
          <w:vertAlign w:val="superscript"/>
        </w:rPr>
        <w:t>,68</w:t>
      </w:r>
      <w:proofErr w:type="gramEnd"/>
      <w:r w:rsidRPr="001E7B3E">
        <w:rPr>
          <w:rStyle w:val="A8"/>
          <w:rFonts w:asciiTheme="minorHAnsi" w:hAnsiTheme="minorHAnsi"/>
          <w:b/>
          <w:color w:val="221E1F"/>
          <w:sz w:val="22"/>
          <w:vertAlign w:val="superscript"/>
        </w:rPr>
        <w:t>]</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b/>
          <w:color w:val="221E1F"/>
          <w:sz w:val="22"/>
          <w:szCs w:val="28"/>
          <w:lang w:eastAsia="en-AU"/>
        </w:rPr>
      </w:pPr>
      <w:r w:rsidRPr="001E7B3E">
        <w:rPr>
          <w:rStyle w:val="A8"/>
          <w:rFonts w:asciiTheme="minorHAnsi" w:hAnsiTheme="minorHAnsi"/>
          <w:color w:val="221E1F"/>
          <w:sz w:val="22"/>
        </w:rPr>
        <w:t>6.2.22</w:t>
      </w:r>
      <w:r w:rsidRPr="001E7B3E">
        <w:rPr>
          <w:rStyle w:val="A8"/>
          <w:rFonts w:asciiTheme="minorHAnsi" w:hAnsiTheme="minorHAnsi"/>
          <w:color w:val="221E1F"/>
          <w:sz w:val="22"/>
        </w:rPr>
        <w:tab/>
      </w:r>
      <w:r w:rsidRPr="001E7B3E">
        <w:rPr>
          <w:rStyle w:val="A8"/>
          <w:rFonts w:asciiTheme="minorHAnsi" w:hAnsiTheme="minorHAnsi"/>
          <w:b/>
          <w:color w:val="221E1F"/>
          <w:sz w:val="22"/>
        </w:rPr>
        <w:t xml:space="preserve">Patients with a low-responding inhibitor may be treated with specific factor replacement at a much higher dose, if possible, to neutralise the inhibitor with excess factor activity and stop bleeding.  </w:t>
      </w:r>
      <w:r w:rsidRPr="001E7B3E">
        <w:rPr>
          <w:rStyle w:val="A8"/>
          <w:rFonts w:asciiTheme="minorHAnsi" w:hAnsiTheme="minorHAnsi"/>
          <w:b/>
          <w:color w:val="221E1F"/>
          <w:sz w:val="22"/>
          <w:vertAlign w:val="superscript"/>
        </w:rPr>
        <w:t>[63</w:t>
      </w:r>
      <w:proofErr w:type="gramStart"/>
      <w:r w:rsidRPr="001E7B3E">
        <w:rPr>
          <w:rStyle w:val="A8"/>
          <w:rFonts w:asciiTheme="minorHAnsi" w:hAnsiTheme="minorHAnsi"/>
          <w:b/>
          <w:color w:val="221E1F"/>
          <w:sz w:val="22"/>
          <w:vertAlign w:val="superscript"/>
        </w:rPr>
        <w:t>,68</w:t>
      </w:r>
      <w:proofErr w:type="gramEnd"/>
      <w:r w:rsidRPr="001E7B3E">
        <w:rPr>
          <w:rStyle w:val="A8"/>
          <w:rFonts w:asciiTheme="minorHAnsi" w:hAnsiTheme="minorHAnsi"/>
          <w:b/>
          <w:color w:val="221E1F"/>
          <w:sz w:val="22"/>
          <w:vertAlign w:val="superscript"/>
        </w:rPr>
        <w:t>]</w:t>
      </w:r>
      <w:r w:rsidRPr="001E7B3E">
        <w:rPr>
          <w:rStyle w:val="A8"/>
          <w:rFonts w:asciiTheme="minorHAnsi" w:hAnsiTheme="minorHAnsi"/>
          <w:b/>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b/>
          <w:color w:val="221E1F"/>
          <w:sz w:val="22"/>
          <w:szCs w:val="28"/>
          <w:lang w:eastAsia="en-AU"/>
        </w:rPr>
      </w:pPr>
      <w:r w:rsidRPr="001E7B3E">
        <w:rPr>
          <w:rStyle w:val="A8"/>
          <w:rFonts w:asciiTheme="minorHAnsi" w:hAnsiTheme="minorHAnsi"/>
          <w:color w:val="221E1F"/>
          <w:sz w:val="22"/>
        </w:rPr>
        <w:t>6.2.23</w:t>
      </w:r>
      <w:r w:rsidRPr="001E7B3E">
        <w:rPr>
          <w:rStyle w:val="A8"/>
          <w:rFonts w:asciiTheme="minorHAnsi" w:hAnsiTheme="minorHAnsi"/>
          <w:color w:val="221E1F"/>
          <w:sz w:val="22"/>
        </w:rPr>
        <w:tab/>
      </w:r>
      <w:r w:rsidRPr="001E7B3E">
        <w:rPr>
          <w:rStyle w:val="A8"/>
          <w:rFonts w:asciiTheme="minorHAnsi" w:hAnsiTheme="minorHAnsi"/>
          <w:b/>
          <w:color w:val="221E1F"/>
          <w:sz w:val="22"/>
        </w:rPr>
        <w:t xml:space="preserve">Patients with a history of a high responding inhibitor but with low titres may be treated similarly in an emergency until an anamnestic response occurs, usually in </w:t>
      </w:r>
      <w:r w:rsidRPr="001E7B3E">
        <w:rPr>
          <w:rStyle w:val="A8"/>
          <w:rFonts w:asciiTheme="minorHAnsi" w:hAnsiTheme="minorHAnsi"/>
          <w:b/>
          <w:color w:val="221E1F"/>
          <w:sz w:val="22"/>
        </w:rPr>
        <w:lastRenderedPageBreak/>
        <w:t xml:space="preserve">three to five days, precluding further treatment with concentrates that only contain the missing factor.  </w:t>
      </w:r>
      <w:r w:rsidRPr="001E7B3E">
        <w:rPr>
          <w:rStyle w:val="A8"/>
          <w:rFonts w:asciiTheme="minorHAnsi" w:hAnsiTheme="minorHAnsi"/>
          <w:b/>
          <w:color w:val="221E1F"/>
          <w:sz w:val="22"/>
          <w:vertAlign w:val="superscript"/>
        </w:rPr>
        <w:t>[63</w:t>
      </w:r>
      <w:proofErr w:type="gramStart"/>
      <w:r w:rsidRPr="001E7B3E">
        <w:rPr>
          <w:rStyle w:val="A8"/>
          <w:rFonts w:asciiTheme="minorHAnsi" w:hAnsiTheme="minorHAnsi"/>
          <w:b/>
          <w:color w:val="221E1F"/>
          <w:sz w:val="22"/>
          <w:vertAlign w:val="superscript"/>
        </w:rPr>
        <w:t>,68</w:t>
      </w:r>
      <w:proofErr w:type="gramEnd"/>
      <w:r w:rsidRPr="001E7B3E">
        <w:rPr>
          <w:rStyle w:val="A8"/>
          <w:rFonts w:asciiTheme="minorHAnsi" w:hAnsiTheme="minorHAnsi"/>
          <w:b/>
          <w:color w:val="221E1F"/>
          <w:sz w:val="22"/>
          <w:vertAlign w:val="superscript"/>
        </w:rPr>
        <w:t>]</w:t>
      </w:r>
      <w:r w:rsidRPr="001E7B3E">
        <w:rPr>
          <w:rStyle w:val="A8"/>
          <w:rFonts w:asciiTheme="minorHAnsi" w:hAnsiTheme="minorHAnsi"/>
          <w:b/>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6.2.24</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With</w:t>
      </w:r>
      <w:proofErr w:type="gramEnd"/>
      <w:r w:rsidRPr="001E7B3E">
        <w:rPr>
          <w:rStyle w:val="A8"/>
          <w:rFonts w:asciiTheme="minorHAnsi" w:hAnsiTheme="minorHAnsi"/>
          <w:color w:val="221E1F"/>
          <w:sz w:val="22"/>
        </w:rPr>
        <w:t xml:space="preserve"> an inhibitor level &gt; 5 BU, the likelihood is low that specific factor replacement will be effec</w:t>
      </w:r>
      <w:r w:rsidRPr="001E7B3E">
        <w:rPr>
          <w:rStyle w:val="A8"/>
          <w:rFonts w:asciiTheme="minorHAnsi" w:hAnsiTheme="minorHAnsi"/>
          <w:color w:val="221E1F"/>
          <w:sz w:val="22"/>
        </w:rPr>
        <w:softHyphen/>
        <w:t xml:space="preserve">tive in overwhelming the inhibitor without ultra high dose continuous infusion therapy.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6.2.25</w:t>
      </w:r>
      <w:r w:rsidRPr="001E7B3E">
        <w:rPr>
          <w:rStyle w:val="A8"/>
          <w:rFonts w:asciiTheme="minorHAnsi" w:hAnsiTheme="minorHAnsi"/>
          <w:color w:val="221E1F"/>
          <w:sz w:val="22"/>
        </w:rPr>
        <w:tab/>
        <w:t xml:space="preserve">Alternative agents include bypassing agents such as recombinant factor VIIa (rFVIIa) and prothrombin complex concentrates (PCC), including the activated forms (APCC).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6.2.26</w:t>
      </w:r>
      <w:r w:rsidRPr="001E7B3E">
        <w:rPr>
          <w:rStyle w:val="A8"/>
          <w:rFonts w:asciiTheme="minorHAnsi" w:hAnsiTheme="minorHAnsi"/>
          <w:color w:val="221E1F"/>
          <w:sz w:val="22"/>
        </w:rPr>
        <w:tab/>
      </w:r>
      <w:proofErr w:type="gramStart"/>
      <w:r w:rsidRPr="001E7B3E">
        <w:rPr>
          <w:rStyle w:val="A8"/>
          <w:rFonts w:asciiTheme="minorHAnsi" w:hAnsiTheme="minorHAnsi"/>
          <w:b/>
          <w:color w:val="221E1F"/>
          <w:sz w:val="22"/>
        </w:rPr>
        <w:t>The</w:t>
      </w:r>
      <w:proofErr w:type="gramEnd"/>
      <w:r w:rsidRPr="001E7B3E">
        <w:rPr>
          <w:rStyle w:val="A8"/>
          <w:rFonts w:asciiTheme="minorHAnsi" w:hAnsiTheme="minorHAnsi"/>
          <w:b/>
          <w:color w:val="221E1F"/>
          <w:sz w:val="22"/>
        </w:rPr>
        <w:t xml:space="preserve"> efficacy of two doses of rFVIIa and one dose of APCC for management of joint bleeding has been shown to be essentially equivalent. </w:t>
      </w:r>
      <w:r w:rsidRPr="001E7B3E">
        <w:rPr>
          <w:rStyle w:val="A8"/>
          <w:rFonts w:asciiTheme="minorHAnsi" w:hAnsiTheme="minorHAnsi"/>
          <w:b/>
          <w:color w:val="221E1F"/>
          <w:sz w:val="22"/>
          <w:vertAlign w:val="superscript"/>
        </w:rPr>
        <w:t>[69]</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6.2.27</w:t>
      </w:r>
      <w:r w:rsidRPr="001E7B3E">
        <w:rPr>
          <w:rStyle w:val="A8"/>
          <w:rFonts w:asciiTheme="minorHAnsi" w:hAnsiTheme="minorHAnsi"/>
          <w:color w:val="221E1F"/>
          <w:sz w:val="22"/>
        </w:rPr>
        <w:tab/>
      </w:r>
      <w:proofErr w:type="gramStart"/>
      <w:r w:rsidRPr="001E7B3E">
        <w:rPr>
          <w:rStyle w:val="A8"/>
          <w:rFonts w:asciiTheme="minorHAnsi" w:hAnsiTheme="minorHAnsi"/>
          <w:b/>
          <w:color w:val="221E1F"/>
          <w:sz w:val="22"/>
        </w:rPr>
        <w:t>Notably</w:t>
      </w:r>
      <w:proofErr w:type="gramEnd"/>
      <w:r w:rsidRPr="001E7B3E">
        <w:rPr>
          <w:rStyle w:val="A8"/>
          <w:rFonts w:asciiTheme="minorHAnsi" w:hAnsiTheme="minorHAnsi"/>
          <w:b/>
          <w:color w:val="221E1F"/>
          <w:sz w:val="22"/>
        </w:rPr>
        <w:t>, however, some patients respond better to one agent than the other, highlighting the need to individualis</w:t>
      </w:r>
      <w:r>
        <w:rPr>
          <w:rStyle w:val="A8"/>
          <w:rFonts w:asciiTheme="minorHAnsi" w:hAnsiTheme="minorHAnsi"/>
          <w:b/>
          <w:color w:val="221E1F"/>
          <w:sz w:val="22"/>
        </w:rPr>
        <w:t>e therapy.</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[69</w:t>
      </w:r>
      <w:proofErr w:type="gramStart"/>
      <w:r w:rsidRPr="001E7B3E">
        <w:rPr>
          <w:rStyle w:val="A8"/>
          <w:rFonts w:asciiTheme="minorHAnsi" w:hAnsiTheme="minorHAnsi"/>
          <w:b/>
          <w:color w:val="221E1F"/>
          <w:sz w:val="22"/>
          <w:vertAlign w:val="superscript"/>
        </w:rPr>
        <w:t>,70</w:t>
      </w:r>
      <w:proofErr w:type="gramEnd"/>
      <w:r w:rsidRPr="001E7B3E">
        <w:rPr>
          <w:rStyle w:val="A8"/>
          <w:rFonts w:asciiTheme="minorHAnsi" w:hAnsiTheme="minorHAnsi"/>
          <w:b/>
          <w:color w:val="221E1F"/>
          <w:sz w:val="22"/>
          <w:vertAlign w:val="superscript"/>
        </w:rPr>
        <w:t>]</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6.2.28</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An</w:t>
      </w:r>
      <w:proofErr w:type="gramEnd"/>
      <w:r w:rsidRPr="001E7B3E">
        <w:rPr>
          <w:rStyle w:val="A8"/>
          <w:rFonts w:asciiTheme="minorHAnsi" w:hAnsiTheme="minorHAnsi"/>
          <w:color w:val="221E1F"/>
          <w:sz w:val="22"/>
        </w:rPr>
        <w:t xml:space="preserve"> anamnestic immune response should be expected in patients with haemophilia B and a FIX inhibitor treated with prothrombin complex concentrates – whether activated or not – since these concentrates all contain FIX.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6.2.29</w:t>
      </w:r>
      <w:r w:rsidRPr="001E7B3E">
        <w:rPr>
          <w:rStyle w:val="A8"/>
          <w:rFonts w:asciiTheme="minorHAnsi" w:hAnsiTheme="minorHAnsi"/>
          <w:color w:val="221E1F"/>
          <w:sz w:val="22"/>
        </w:rPr>
        <w:tab/>
        <w:t xml:space="preserve">On the other hand, the risk of anamnesis in patients with haemophilia A and an inhibitor treated with </w:t>
      </w:r>
      <w:proofErr w:type="gramStart"/>
      <w:r w:rsidRPr="001E7B3E">
        <w:rPr>
          <w:rStyle w:val="A8"/>
          <w:rFonts w:asciiTheme="minorHAnsi" w:hAnsiTheme="minorHAnsi"/>
          <w:color w:val="221E1F"/>
          <w:sz w:val="22"/>
        </w:rPr>
        <w:t>a(</w:t>
      </w:r>
      <w:proofErr w:type="gramEnd"/>
      <w:r w:rsidRPr="001E7B3E">
        <w:rPr>
          <w:rStyle w:val="A8"/>
          <w:rFonts w:asciiTheme="minorHAnsi" w:hAnsiTheme="minorHAnsi"/>
          <w:color w:val="221E1F"/>
          <w:sz w:val="22"/>
        </w:rPr>
        <w:t>n) (activated) prothrombin complex concentrate will vary depending on the concentrate and its content of FVIII, which is generally minimal. It is estimated that APCC leads to an anamnestic response in approximately 30% of FVIII inhibitor patients.</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6.2.30</w:t>
      </w:r>
      <w:r w:rsidRPr="001E7B3E">
        <w:rPr>
          <w:rStyle w:val="A8"/>
          <w:rFonts w:asciiTheme="minorHAnsi" w:hAnsiTheme="minorHAnsi"/>
          <w:color w:val="221E1F"/>
          <w:sz w:val="22"/>
        </w:rPr>
        <w:tab/>
        <w:t xml:space="preserve">Although there has been interest in the use of immunosuppressive therapies in patients with inhibitors, their role is not yet defined, and there is no consensus as to whether they have a place in the management of these patients. </w:t>
      </w:r>
    </w:p>
    <w:p w:rsidR="00484EFC" w:rsidRPr="001E7B3E" w:rsidRDefault="00484EFC" w:rsidP="00041ED2">
      <w:pPr>
        <w:pStyle w:val="Heading4"/>
        <w:rPr>
          <w:rFonts w:eastAsia="Calibri"/>
          <w:lang w:eastAsia="en-US"/>
        </w:rPr>
      </w:pPr>
      <w:r w:rsidRPr="001E7B3E">
        <w:rPr>
          <w:rFonts w:eastAsia="Calibri"/>
          <w:lang w:eastAsia="en-US"/>
        </w:rPr>
        <w:t>Allergic reactions in patients with haemophilia B</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6.2.31</w:t>
      </w:r>
      <w:r w:rsidRPr="001E7B3E">
        <w:rPr>
          <w:rStyle w:val="A8"/>
          <w:rFonts w:asciiTheme="minorHAnsi" w:hAnsiTheme="minorHAnsi"/>
          <w:color w:val="221E1F"/>
          <w:sz w:val="22"/>
        </w:rPr>
        <w:tab/>
        <w:t>Up to 50% of haemophilia B patients with inhibi</w:t>
      </w:r>
      <w:r w:rsidRPr="001E7B3E">
        <w:rPr>
          <w:rStyle w:val="A8"/>
          <w:rFonts w:asciiTheme="minorHAnsi" w:hAnsiTheme="minorHAnsi"/>
          <w:color w:val="221E1F"/>
          <w:sz w:val="22"/>
        </w:rPr>
        <w:softHyphen/>
        <w:t>tors may have severe allergic reactions, including anaphylaxis, to FIX administration. Such reac</w:t>
      </w:r>
      <w:r w:rsidRPr="001E7B3E">
        <w:rPr>
          <w:rStyle w:val="A8"/>
          <w:rFonts w:asciiTheme="minorHAnsi" w:hAnsiTheme="minorHAnsi"/>
          <w:color w:val="221E1F"/>
          <w:sz w:val="22"/>
        </w:rPr>
        <w:softHyphen/>
        <w:t>tions can be the first symptom of inhibitor development.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b/>
          <w:color w:val="221E1F"/>
          <w:sz w:val="22"/>
          <w:szCs w:val="28"/>
          <w:vertAlign w:val="superscript"/>
          <w:lang w:eastAsia="en-AU"/>
        </w:rPr>
      </w:pPr>
      <w:r w:rsidRPr="001E7B3E">
        <w:rPr>
          <w:rStyle w:val="A8"/>
          <w:rFonts w:asciiTheme="minorHAnsi" w:hAnsiTheme="minorHAnsi"/>
          <w:color w:val="221E1F"/>
          <w:sz w:val="22"/>
        </w:rPr>
        <w:t>6.2.32</w:t>
      </w:r>
      <w:r w:rsidRPr="001E7B3E">
        <w:rPr>
          <w:rStyle w:val="A8"/>
          <w:rFonts w:asciiTheme="minorHAnsi" w:hAnsiTheme="minorHAnsi"/>
          <w:color w:val="221E1F"/>
          <w:sz w:val="22"/>
        </w:rPr>
        <w:tab/>
      </w:r>
      <w:proofErr w:type="gramStart"/>
      <w:r w:rsidRPr="001E7B3E">
        <w:rPr>
          <w:rStyle w:val="A8"/>
          <w:rFonts w:asciiTheme="minorHAnsi" w:hAnsiTheme="minorHAnsi"/>
          <w:b/>
          <w:color w:val="221E1F"/>
          <w:sz w:val="22"/>
        </w:rPr>
        <w:t>Newly</w:t>
      </w:r>
      <w:proofErr w:type="gramEnd"/>
      <w:r w:rsidRPr="001E7B3E">
        <w:rPr>
          <w:rStyle w:val="A8"/>
          <w:rFonts w:asciiTheme="minorHAnsi" w:hAnsiTheme="minorHAnsi"/>
          <w:b/>
          <w:color w:val="221E1F"/>
          <w:sz w:val="22"/>
        </w:rPr>
        <w:t xml:space="preserve"> diagnosed haemophilia B patients, partic</w:t>
      </w:r>
      <w:r w:rsidRPr="001E7B3E">
        <w:rPr>
          <w:rStyle w:val="A8"/>
          <w:rFonts w:asciiTheme="minorHAnsi" w:hAnsiTheme="minorHAnsi"/>
          <w:b/>
          <w:color w:val="221E1F"/>
          <w:sz w:val="22"/>
        </w:rPr>
        <w:softHyphen/>
        <w:t>ularly those with a family history and/or with genetic defects predisposed to inhibitor devel</w:t>
      </w:r>
      <w:r w:rsidRPr="001E7B3E">
        <w:rPr>
          <w:rStyle w:val="A8"/>
          <w:rFonts w:asciiTheme="minorHAnsi" w:hAnsiTheme="minorHAnsi"/>
          <w:b/>
          <w:color w:val="221E1F"/>
          <w:sz w:val="22"/>
        </w:rPr>
        <w:softHyphen/>
        <w:t>opment, should be treated in a clinic or hospital setting capable of treating severe allergic reac</w:t>
      </w:r>
      <w:r w:rsidRPr="001E7B3E">
        <w:rPr>
          <w:rStyle w:val="A8"/>
          <w:rFonts w:asciiTheme="minorHAnsi" w:hAnsiTheme="minorHAnsi"/>
          <w:b/>
          <w:color w:val="221E1F"/>
          <w:sz w:val="22"/>
        </w:rPr>
        <w:softHyphen/>
        <w:t>tions during the initial 10-20 treatments with FIX concentrates. Reactions can occu</w:t>
      </w:r>
      <w:r>
        <w:rPr>
          <w:rStyle w:val="A8"/>
          <w:rFonts w:asciiTheme="minorHAnsi" w:hAnsiTheme="minorHAnsi"/>
          <w:b/>
          <w:color w:val="221E1F"/>
          <w:sz w:val="22"/>
        </w:rPr>
        <w:t>r later but may be less severe.</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[71-72]</w:t>
      </w:r>
    </w:p>
    <w:p w:rsidR="00484EFC" w:rsidRPr="001E7B3E" w:rsidRDefault="00484EFC" w:rsidP="00484EFC">
      <w:pPr>
        <w:pStyle w:val="Default"/>
        <w:spacing w:line="276" w:lineRule="auto"/>
        <w:ind w:left="1433" w:hanging="1320"/>
        <w:rPr>
          <w:rStyle w:val="A8"/>
          <w:rFonts w:asciiTheme="minorHAnsi" w:hAnsiTheme="minorHAnsi"/>
          <w:b/>
          <w:color w:val="221E1F"/>
          <w:sz w:val="22"/>
          <w:vertAlign w:val="superscript"/>
        </w:rPr>
      </w:pPr>
    </w:p>
    <w:p w:rsidR="000B0ED6" w:rsidRDefault="000B0ED6" w:rsidP="00041ED2">
      <w:pPr>
        <w:pStyle w:val="Heading4"/>
      </w:pPr>
    </w:p>
    <w:p w:rsidR="000B0ED6" w:rsidRDefault="000B0ED6" w:rsidP="00041ED2">
      <w:pPr>
        <w:pStyle w:val="Heading4"/>
      </w:pPr>
    </w:p>
    <w:p w:rsidR="00484EFC" w:rsidRPr="001E7B3E" w:rsidRDefault="00484EFC" w:rsidP="00041ED2">
      <w:pPr>
        <w:pStyle w:val="Heading4"/>
        <w:rPr>
          <w:color w:val="221E1F"/>
        </w:rPr>
      </w:pPr>
      <w:r w:rsidRPr="001E7B3E">
        <w:lastRenderedPageBreak/>
        <w:t>Immune tolerance induction</w:t>
      </w:r>
    </w:p>
    <w:p w:rsidR="00484EFC" w:rsidRPr="001E7B3E" w:rsidRDefault="00484EFC" w:rsidP="00041ED2">
      <w:pPr>
        <w:pStyle w:val="Default"/>
        <w:spacing w:line="276" w:lineRule="auto"/>
        <w:ind w:left="1433" w:hanging="1433"/>
        <w:jc w:val="both"/>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6.2.33</w:t>
      </w:r>
      <w:r w:rsidRPr="001E7B3E">
        <w:rPr>
          <w:rStyle w:val="A8"/>
          <w:rFonts w:asciiTheme="minorHAnsi" w:hAnsiTheme="minorHAnsi"/>
          <w:color w:val="221E1F"/>
          <w:sz w:val="22"/>
        </w:rPr>
        <w:tab/>
      </w:r>
      <w:r w:rsidRPr="001E7B3E">
        <w:rPr>
          <w:rStyle w:val="A8"/>
          <w:rFonts w:asciiTheme="minorHAnsi" w:hAnsiTheme="minorHAnsi"/>
          <w:b/>
          <w:color w:val="221E1F"/>
          <w:sz w:val="22"/>
        </w:rPr>
        <w:t>ITI is supported and monitored by the AHCDO Tolerisation Advisory Committee (TAC). It is recommended that all new cases of high titre inhibitors are referred to the TAC for discussion and that AHCDO has a central role in coordinating cases of ITI.</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6.2.34</w:t>
      </w:r>
      <w:r w:rsidRPr="001E7B3E">
        <w:rPr>
          <w:rStyle w:val="A8"/>
          <w:rFonts w:asciiTheme="minorHAnsi" w:hAnsiTheme="minorHAnsi"/>
          <w:color w:val="221E1F"/>
          <w:sz w:val="22"/>
        </w:rPr>
        <w:tab/>
      </w:r>
      <w:proofErr w:type="gramStart"/>
      <w:r w:rsidRPr="001E7B3E">
        <w:rPr>
          <w:rStyle w:val="A8"/>
          <w:rFonts w:asciiTheme="minorHAnsi" w:hAnsiTheme="minorHAnsi"/>
          <w:b/>
          <w:color w:val="221E1F"/>
          <w:sz w:val="22"/>
        </w:rPr>
        <w:t>In</w:t>
      </w:r>
      <w:proofErr w:type="gramEnd"/>
      <w:r w:rsidRPr="001E7B3E">
        <w:rPr>
          <w:rStyle w:val="A8"/>
          <w:rFonts w:asciiTheme="minorHAnsi" w:hAnsiTheme="minorHAnsi"/>
          <w:b/>
          <w:color w:val="221E1F"/>
          <w:sz w:val="22"/>
        </w:rPr>
        <w:t xml:space="preserve"> patients with severe haemophilia A, eradica</w:t>
      </w:r>
      <w:r w:rsidRPr="001E7B3E">
        <w:rPr>
          <w:rStyle w:val="A8"/>
          <w:rFonts w:asciiTheme="minorHAnsi" w:hAnsiTheme="minorHAnsi"/>
          <w:b/>
          <w:color w:val="221E1F"/>
          <w:sz w:val="22"/>
        </w:rPr>
        <w:softHyphen/>
        <w:t xml:space="preserve">tion of inhibitors is often possible by immune tolerance induction (ITI) therapy. </w:t>
      </w:r>
      <w:r w:rsidRPr="001E7B3E">
        <w:rPr>
          <w:rStyle w:val="A8"/>
          <w:rFonts w:asciiTheme="minorHAnsi" w:hAnsiTheme="minorHAnsi"/>
          <w:b/>
          <w:color w:val="221E1F"/>
          <w:sz w:val="22"/>
          <w:vertAlign w:val="superscript"/>
        </w:rPr>
        <w:t>[72</w:t>
      </w:r>
      <w:proofErr w:type="gramStart"/>
      <w:r w:rsidRPr="001E7B3E">
        <w:rPr>
          <w:rStyle w:val="A8"/>
          <w:rFonts w:asciiTheme="minorHAnsi" w:hAnsiTheme="minorHAnsi"/>
          <w:b/>
          <w:color w:val="221E1F"/>
          <w:sz w:val="22"/>
          <w:vertAlign w:val="superscript"/>
        </w:rPr>
        <w:t>,73</w:t>
      </w:r>
      <w:proofErr w:type="gramEnd"/>
      <w:r w:rsidRPr="001E7B3E">
        <w:rPr>
          <w:rStyle w:val="A8"/>
          <w:rFonts w:asciiTheme="minorHAnsi" w:hAnsiTheme="minorHAnsi"/>
          <w:b/>
          <w:color w:val="221E1F"/>
          <w:sz w:val="22"/>
          <w:vertAlign w:val="superscript"/>
        </w:rPr>
        <w: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b/>
          <w:color w:val="221E1F"/>
          <w:sz w:val="22"/>
          <w:szCs w:val="28"/>
          <w:lang w:eastAsia="en-AU"/>
        </w:rPr>
      </w:pPr>
      <w:r w:rsidRPr="001E7B3E">
        <w:rPr>
          <w:rStyle w:val="A8"/>
          <w:rFonts w:asciiTheme="minorHAnsi" w:hAnsiTheme="minorHAnsi"/>
          <w:color w:val="221E1F"/>
          <w:sz w:val="22"/>
        </w:rPr>
        <w:t>6.2.35</w:t>
      </w:r>
      <w:r w:rsidRPr="001E7B3E">
        <w:rPr>
          <w:rStyle w:val="A8"/>
          <w:rFonts w:asciiTheme="minorHAnsi" w:hAnsiTheme="minorHAnsi"/>
          <w:color w:val="221E1F"/>
          <w:sz w:val="22"/>
        </w:rPr>
        <w:tab/>
      </w:r>
      <w:r w:rsidRPr="001E7B3E">
        <w:rPr>
          <w:rStyle w:val="A8"/>
          <w:rFonts w:asciiTheme="minorHAnsi" w:hAnsiTheme="minorHAnsi"/>
          <w:b/>
          <w:color w:val="221E1F"/>
          <w:sz w:val="22"/>
        </w:rPr>
        <w:t>Before ITI therapy, high-responding patients should avoid FVIII products to allow inhibitor titres to fall and to avoid persistent anamnestic rise. As noted, some patients may develop an anamnestic response to the inactive FVIII mole</w:t>
      </w:r>
      <w:r w:rsidRPr="001E7B3E">
        <w:rPr>
          <w:rStyle w:val="A8"/>
          <w:rFonts w:asciiTheme="minorHAnsi" w:hAnsiTheme="minorHAnsi"/>
          <w:b/>
          <w:color w:val="221E1F"/>
          <w:sz w:val="22"/>
        </w:rPr>
        <w:softHyphen/>
        <w:t xml:space="preserve">cules in APCC as well.  </w:t>
      </w:r>
      <w:r w:rsidRPr="001E7B3E">
        <w:rPr>
          <w:rStyle w:val="A8"/>
          <w:rFonts w:asciiTheme="minorHAnsi" w:hAnsiTheme="minorHAnsi"/>
          <w:b/>
          <w:color w:val="221E1F"/>
          <w:sz w:val="22"/>
          <w:vertAlign w:val="superscript"/>
        </w:rPr>
        <w:t>[74]</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6.2.36</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Optimal</w:t>
      </w:r>
      <w:proofErr w:type="gramEnd"/>
      <w:r w:rsidRPr="001E7B3E">
        <w:rPr>
          <w:rStyle w:val="A8"/>
          <w:rFonts w:asciiTheme="minorHAnsi" w:hAnsiTheme="minorHAnsi"/>
          <w:color w:val="221E1F"/>
          <w:sz w:val="22"/>
        </w:rPr>
        <w:t xml:space="preserve"> regimen (product or dose) for ITI remains to be defined. An international trial comparing 50 IU/kg three times a week to 200 IU/kg daily was recently stopped due to safety concerns (higher number of intercurrent bleeds) in the low-dose arm pending detailed analysis and interpretation of the data. </w:t>
      </w:r>
      <w:r w:rsidRPr="001E7B3E">
        <w:rPr>
          <w:rStyle w:val="A8"/>
          <w:rFonts w:asciiTheme="minorHAnsi" w:hAnsiTheme="minorHAnsi"/>
          <w:color w:val="221E1F"/>
          <w:sz w:val="22"/>
          <w:vertAlign w:val="superscript"/>
        </w:rPr>
        <w:t>[75]</w:t>
      </w:r>
      <w:r w:rsidRPr="001E7B3E">
        <w:rPr>
          <w:rStyle w:val="A8"/>
          <w:rFonts w:asciiTheme="minorHAnsi" w:hAnsiTheme="minorHAnsi"/>
          <w:color w:val="221E1F"/>
          <w:sz w:val="22"/>
        </w:rPr>
        <w:t xml:space="preserve"> A typical </w:t>
      </w:r>
      <w:r w:rsidR="0024116D">
        <w:rPr>
          <w:rStyle w:val="A8"/>
          <w:rFonts w:asciiTheme="minorHAnsi" w:hAnsiTheme="minorHAnsi"/>
          <w:color w:val="221E1F"/>
          <w:sz w:val="22"/>
        </w:rPr>
        <w:t>regimen</w:t>
      </w:r>
      <w:r w:rsidRPr="001E7B3E">
        <w:rPr>
          <w:rStyle w:val="A8"/>
          <w:rFonts w:asciiTheme="minorHAnsi" w:hAnsiTheme="minorHAnsi"/>
          <w:color w:val="221E1F"/>
          <w:sz w:val="22"/>
        </w:rPr>
        <w:t xml:space="preserve"> is 100 IU/kg/day recombinant FVIII with review by the TAC, followed by reassessment every three months with escalating treatment in difficult cases. Alternatively cases which pose a particular high risk of failure (e.g. strong family history or multi-domain gene deletion) may use either a higher dose or plasma derived products.</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6.2.37</w:t>
      </w:r>
      <w:r w:rsidRPr="001E7B3E">
        <w:rPr>
          <w:rStyle w:val="A8"/>
          <w:rFonts w:asciiTheme="minorHAnsi" w:hAnsiTheme="minorHAnsi"/>
          <w:color w:val="221E1F"/>
          <w:sz w:val="22"/>
        </w:rPr>
        <w:tab/>
        <w:t xml:space="preserve">Response to ITI may be less favourable in patients with moderate/mild haemophilia. </w:t>
      </w:r>
      <w:r w:rsidRPr="001E7B3E">
        <w:rPr>
          <w:rStyle w:val="A8"/>
          <w:rFonts w:asciiTheme="minorHAnsi" w:hAnsiTheme="minorHAnsi"/>
          <w:color w:val="221E1F"/>
          <w:sz w:val="22"/>
          <w:vertAlign w:val="superscript"/>
        </w:rPr>
        <w:t>[63]</w:t>
      </w:r>
      <w:r w:rsidRPr="001E7B3E">
        <w:rPr>
          <w:rStyle w:val="A8"/>
          <w:rFonts w:asciiTheme="minorHAnsi" w:hAnsiTheme="minorHAnsi"/>
          <w:color w:val="221E1F"/>
          <w:sz w:val="22"/>
        </w:rPr>
        <w:t xml:space="preserve"> Optimal management of patients with mild and moderate haemophilia with inhibitors should be a focus of ongoing research.</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6.2.38</w:t>
      </w:r>
      <w:r w:rsidRPr="001E7B3E">
        <w:rPr>
          <w:rStyle w:val="A8"/>
          <w:rFonts w:asciiTheme="minorHAnsi" w:hAnsiTheme="minorHAnsi"/>
          <w:color w:val="221E1F"/>
          <w:sz w:val="22"/>
        </w:rPr>
        <w:tab/>
        <w:t>Experience with ITI for haemophilia B inhibitor patients is limited. The principles of treatment in these patients are similar, but the success rate is much lower, especially in persons whose inhib</w:t>
      </w:r>
      <w:r w:rsidRPr="001E7B3E">
        <w:rPr>
          <w:rStyle w:val="A8"/>
          <w:rFonts w:asciiTheme="minorHAnsi" w:hAnsiTheme="minorHAnsi"/>
          <w:color w:val="221E1F"/>
          <w:sz w:val="22"/>
        </w:rPr>
        <w:softHyphen/>
        <w:t xml:space="preserve">itor is associated with an allergic diathesis.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6.2.39</w:t>
      </w:r>
      <w:r w:rsidRPr="001E7B3E">
        <w:rPr>
          <w:rStyle w:val="A8"/>
          <w:rFonts w:asciiTheme="minorHAnsi" w:hAnsiTheme="minorHAnsi"/>
          <w:color w:val="221E1F"/>
          <w:sz w:val="22"/>
        </w:rPr>
        <w:tab/>
        <w:t xml:space="preserve">Haemophilia B inhibitor patients with a history of severe allergic reactions to FIX may develop nephrotic syndrome during ITI, which is not always reversible upon cessation of ITI therapy. Alternative treatment schedules, including immunosuppressive therapies, are reported to be successful. </w:t>
      </w:r>
      <w:r w:rsidRPr="001E7B3E">
        <w:rPr>
          <w:rStyle w:val="A8"/>
          <w:rFonts w:asciiTheme="minorHAnsi" w:hAnsiTheme="minorHAnsi"/>
          <w:color w:val="221E1F"/>
          <w:sz w:val="22"/>
          <w:vertAlign w:val="superscript"/>
        </w:rPr>
        <w:t>[76]</w:t>
      </w:r>
      <w:r w:rsidRPr="001E7B3E">
        <w:rPr>
          <w:rStyle w:val="A8"/>
          <w:rFonts w:asciiTheme="minorHAnsi" w:hAnsiTheme="minorHAnsi"/>
          <w:color w:val="221E1F"/>
          <w:sz w:val="22"/>
        </w:rPr>
        <w:t xml:space="preserve"> </w:t>
      </w:r>
    </w:p>
    <w:p w:rsidR="00484EFC" w:rsidRPr="001E7B3E" w:rsidRDefault="00484EFC" w:rsidP="00041ED2">
      <w:pPr>
        <w:pStyle w:val="Heading4"/>
        <w:rPr>
          <w:rFonts w:eastAsia="Calibri"/>
          <w:lang w:eastAsia="en-US"/>
        </w:rPr>
      </w:pPr>
      <w:r w:rsidRPr="001E7B3E">
        <w:rPr>
          <w:rFonts w:eastAsia="Calibri"/>
          <w:lang w:eastAsia="en-US"/>
        </w:rPr>
        <w:t xml:space="preserve">Patients switching to new concentrates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6.2.40</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For</w:t>
      </w:r>
      <w:proofErr w:type="gramEnd"/>
      <w:r w:rsidRPr="001E7B3E">
        <w:rPr>
          <w:rStyle w:val="A8"/>
          <w:rFonts w:asciiTheme="minorHAnsi" w:hAnsiTheme="minorHAnsi"/>
          <w:color w:val="221E1F"/>
          <w:sz w:val="22"/>
        </w:rPr>
        <w:t xml:space="preserve"> the vast majority of patients, switching prod</w:t>
      </w:r>
      <w:r w:rsidRPr="001E7B3E">
        <w:rPr>
          <w:rStyle w:val="A8"/>
          <w:rFonts w:asciiTheme="minorHAnsi" w:hAnsiTheme="minorHAnsi"/>
          <w:color w:val="221E1F"/>
          <w:sz w:val="22"/>
        </w:rPr>
        <w:softHyphen/>
        <w:t xml:space="preserve">ucts does not lead to inhibitor development.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6.2.41</w:t>
      </w:r>
      <w:r w:rsidRPr="001E7B3E">
        <w:rPr>
          <w:rStyle w:val="A8"/>
          <w:rFonts w:asciiTheme="minorHAnsi" w:hAnsiTheme="minorHAnsi"/>
          <w:color w:val="221E1F"/>
          <w:sz w:val="22"/>
        </w:rPr>
        <w:tab/>
        <w:t>However in rare instances, inhibitors in previ</w:t>
      </w:r>
      <w:r w:rsidRPr="001E7B3E">
        <w:rPr>
          <w:rStyle w:val="A8"/>
          <w:rFonts w:asciiTheme="minorHAnsi" w:hAnsiTheme="minorHAnsi"/>
          <w:color w:val="221E1F"/>
          <w:sz w:val="22"/>
        </w:rPr>
        <w:softHyphen/>
        <w:t xml:space="preserve">ously treated patients have occurred with the introduction of new FVIII concentrates.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6.2.42</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In</w:t>
      </w:r>
      <w:proofErr w:type="gramEnd"/>
      <w:r w:rsidRPr="001E7B3E">
        <w:rPr>
          <w:rStyle w:val="A8"/>
          <w:rFonts w:asciiTheme="minorHAnsi" w:hAnsiTheme="minorHAnsi"/>
          <w:color w:val="221E1F"/>
          <w:sz w:val="22"/>
        </w:rPr>
        <w:t xml:space="preserve"> those patients, the inhibitor usually disappears after withdrawal of the new product.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vertAlign w:val="superscript"/>
          <w:lang w:eastAsia="en-AU"/>
        </w:rPr>
      </w:pPr>
      <w:r w:rsidRPr="001E7B3E">
        <w:rPr>
          <w:rStyle w:val="A8"/>
          <w:rFonts w:asciiTheme="minorHAnsi" w:hAnsiTheme="minorHAnsi"/>
          <w:color w:val="221E1F"/>
          <w:sz w:val="22"/>
        </w:rPr>
        <w:lastRenderedPageBreak/>
        <w:t>6.2.43</w:t>
      </w:r>
      <w:r w:rsidRPr="001E7B3E">
        <w:rPr>
          <w:rStyle w:val="A8"/>
          <w:rFonts w:asciiTheme="minorHAnsi" w:hAnsiTheme="minorHAnsi"/>
          <w:color w:val="221E1F"/>
          <w:sz w:val="22"/>
        </w:rPr>
        <w:tab/>
      </w:r>
      <w:r w:rsidRPr="001E7B3E">
        <w:rPr>
          <w:rStyle w:val="A8"/>
          <w:rFonts w:asciiTheme="minorHAnsi" w:hAnsiTheme="minorHAnsi"/>
          <w:b/>
          <w:color w:val="221E1F"/>
          <w:sz w:val="22"/>
        </w:rPr>
        <w:t>Patients switching to a new factor concentrate should be monito</w:t>
      </w:r>
      <w:r>
        <w:rPr>
          <w:rStyle w:val="A8"/>
          <w:rFonts w:asciiTheme="minorHAnsi" w:hAnsiTheme="minorHAnsi"/>
          <w:b/>
          <w:color w:val="221E1F"/>
          <w:sz w:val="22"/>
        </w:rPr>
        <w:t>red for inhibitor develop</w:t>
      </w:r>
      <w:r>
        <w:rPr>
          <w:rStyle w:val="A8"/>
          <w:rFonts w:asciiTheme="minorHAnsi" w:hAnsiTheme="minorHAnsi"/>
          <w:b/>
          <w:color w:val="221E1F"/>
          <w:sz w:val="22"/>
        </w:rPr>
        <w:softHyphen/>
        <w:t>ment before and after switching product.</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[53]</w:t>
      </w:r>
    </w:p>
    <w:p w:rsidR="00484EFC" w:rsidRPr="001E7B3E" w:rsidRDefault="00484EFC" w:rsidP="00484EFC">
      <w:pPr>
        <w:tabs>
          <w:tab w:val="left" w:pos="3090"/>
        </w:tabs>
        <w:autoSpaceDE w:val="0"/>
        <w:autoSpaceDN w:val="0"/>
        <w:adjustRightInd w:val="0"/>
        <w:spacing w:after="66"/>
        <w:rPr>
          <w:rFonts w:asciiTheme="minorHAnsi" w:hAnsiTheme="minorHAnsi" w:cs="Minion Pro"/>
          <w:color w:val="211D1E"/>
          <w:sz w:val="23"/>
          <w:szCs w:val="23"/>
          <w:lang w:eastAsia="en-US"/>
        </w:rPr>
      </w:pPr>
    </w:p>
    <w:p w:rsidR="00484EFC" w:rsidRPr="00041ED2" w:rsidRDefault="00484EFC" w:rsidP="00041ED2">
      <w:pPr>
        <w:pStyle w:val="Heading3"/>
        <w:rPr>
          <w:rStyle w:val="A8"/>
        </w:rPr>
      </w:pPr>
      <w:bookmarkStart w:id="49" w:name="_Toc431484342"/>
      <w:r w:rsidRPr="00041ED2">
        <w:rPr>
          <w:rStyle w:val="A8"/>
        </w:rPr>
        <w:t>6.3 Transfusion-transmitted and other infection-related complications</w:t>
      </w:r>
      <w:bookmarkEnd w:id="49"/>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6.3.1</w:t>
      </w:r>
      <w:r w:rsidRPr="001E7B3E">
        <w:rPr>
          <w:rStyle w:val="A8"/>
          <w:rFonts w:asciiTheme="minorHAnsi" w:hAnsiTheme="minorHAnsi"/>
          <w:color w:val="221E1F"/>
          <w:sz w:val="22"/>
        </w:rPr>
        <w:tab/>
        <w:t>The emergence and transmission of HIV, HBV and HCV through clotting factor products resulted in high mortality of people with haemo</w:t>
      </w:r>
      <w:r w:rsidRPr="001E7B3E">
        <w:rPr>
          <w:rStyle w:val="A8"/>
          <w:rFonts w:asciiTheme="minorHAnsi" w:hAnsiTheme="minorHAnsi"/>
          <w:color w:val="221E1F"/>
          <w:sz w:val="22"/>
        </w:rPr>
        <w:softHyphen/>
        <w:t xml:space="preserve">philia in the 1980s and early 1990s. </w:t>
      </w:r>
      <w:r w:rsidRPr="001E7B3E">
        <w:rPr>
          <w:rStyle w:val="A8"/>
          <w:rFonts w:asciiTheme="minorHAnsi" w:hAnsiTheme="minorHAnsi"/>
          <w:color w:val="221E1F"/>
          <w:sz w:val="22"/>
          <w:vertAlign w:val="superscript"/>
        </w:rPr>
        <w:t>[77</w:t>
      </w:r>
      <w:proofErr w:type="gramStart"/>
      <w:r w:rsidRPr="001E7B3E">
        <w:rPr>
          <w:rStyle w:val="A8"/>
          <w:rFonts w:asciiTheme="minorHAnsi" w:hAnsiTheme="minorHAnsi"/>
          <w:color w:val="221E1F"/>
          <w:sz w:val="22"/>
          <w:vertAlign w:val="superscript"/>
        </w:rPr>
        <w:t>,78</w:t>
      </w:r>
      <w:proofErr w:type="gramEnd"/>
      <w:r w:rsidRPr="001E7B3E">
        <w:rPr>
          <w:rStyle w:val="A8"/>
          <w:rFonts w:asciiTheme="minorHAnsi" w:hAnsiTheme="minorHAnsi"/>
          <w:color w:val="221E1F"/>
          <w:sz w:val="22"/>
          <w:vertAlign w:val="superscript"/>
        </w:rPr>
        <w: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6.3.2</w:t>
      </w:r>
      <w:r w:rsidRPr="001E7B3E">
        <w:rPr>
          <w:rStyle w:val="A8"/>
          <w:rFonts w:asciiTheme="minorHAnsi" w:hAnsiTheme="minorHAnsi"/>
          <w:color w:val="221E1F"/>
          <w:sz w:val="22"/>
        </w:rPr>
        <w:tab/>
        <w:t>Many studies conducted all over the world indi</w:t>
      </w:r>
      <w:r w:rsidRPr="001E7B3E">
        <w:rPr>
          <w:rStyle w:val="A8"/>
          <w:rFonts w:asciiTheme="minorHAnsi" w:hAnsiTheme="minorHAnsi"/>
          <w:color w:val="221E1F"/>
          <w:sz w:val="22"/>
        </w:rPr>
        <w:softHyphen/>
        <w:t xml:space="preserve">cate that HIV, HBV, and HCV transmission through factor concentrate has been almost completely eliminated. </w:t>
      </w:r>
      <w:r w:rsidRPr="001E7B3E">
        <w:rPr>
          <w:rStyle w:val="A8"/>
          <w:rFonts w:asciiTheme="minorHAnsi" w:hAnsiTheme="minorHAnsi"/>
          <w:color w:val="221E1F"/>
          <w:sz w:val="22"/>
          <w:vertAlign w:val="superscript"/>
        </w:rPr>
        <w:t>[79</w:t>
      </w:r>
      <w:proofErr w:type="gramStart"/>
      <w:r w:rsidRPr="001E7B3E">
        <w:rPr>
          <w:rStyle w:val="A8"/>
          <w:rFonts w:asciiTheme="minorHAnsi" w:hAnsiTheme="minorHAnsi"/>
          <w:color w:val="221E1F"/>
          <w:sz w:val="22"/>
          <w:vertAlign w:val="superscript"/>
        </w:rPr>
        <w:t>,80</w:t>
      </w:r>
      <w:proofErr w:type="gramEnd"/>
      <w:r w:rsidRPr="001E7B3E">
        <w:rPr>
          <w:rStyle w:val="A8"/>
          <w:rFonts w:asciiTheme="minorHAnsi" w:hAnsiTheme="minorHAnsi"/>
          <w:color w:val="221E1F"/>
          <w:sz w:val="22"/>
          <w:vertAlign w:val="superscript"/>
        </w:rPr>
        <w: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6.3.3</w:t>
      </w:r>
      <w:r w:rsidRPr="001E7B3E">
        <w:rPr>
          <w:rStyle w:val="A8"/>
          <w:rFonts w:asciiTheme="minorHAnsi" w:hAnsiTheme="minorHAnsi"/>
          <w:color w:val="221E1F"/>
          <w:sz w:val="22"/>
        </w:rPr>
        <w:tab/>
        <w:t>This is a result of the implementation of several risk-mitigating steps, which include careful selec</w:t>
      </w:r>
      <w:r w:rsidRPr="001E7B3E">
        <w:rPr>
          <w:rStyle w:val="A8"/>
          <w:rFonts w:asciiTheme="minorHAnsi" w:hAnsiTheme="minorHAnsi"/>
          <w:color w:val="221E1F"/>
          <w:sz w:val="22"/>
        </w:rPr>
        <w:softHyphen/>
        <w:t xml:space="preserve">tion of donors and screening of plasma, effective virucidal steps in the manufacturing process, and advances in sensitive diagnostic technologies for detection of various pathogens. </w:t>
      </w:r>
      <w:r w:rsidRPr="001E7B3E">
        <w:rPr>
          <w:rStyle w:val="A8"/>
          <w:rFonts w:asciiTheme="minorHAnsi" w:hAnsiTheme="minorHAnsi"/>
          <w:color w:val="221E1F"/>
          <w:sz w:val="22"/>
          <w:vertAlign w:val="superscript"/>
        </w:rPr>
        <w:t>[81]</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6.3.4</w:t>
      </w:r>
      <w:r w:rsidRPr="001E7B3E">
        <w:rPr>
          <w:rStyle w:val="A8"/>
          <w:rFonts w:asciiTheme="minorHAnsi" w:hAnsiTheme="minorHAnsi"/>
          <w:color w:val="221E1F"/>
          <w:sz w:val="22"/>
        </w:rPr>
        <w:tab/>
        <w:t xml:space="preserve">Recombinant factor concentrates have been adopted over the past two decades, particularly in developed countries. Recombinant products have contributed significantly to infection risk reduction.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6.3.5</w:t>
      </w:r>
      <w:r w:rsidRPr="001E7B3E">
        <w:rPr>
          <w:rStyle w:val="A8"/>
          <w:rFonts w:asciiTheme="minorHAnsi" w:hAnsiTheme="minorHAnsi"/>
          <w:color w:val="221E1F"/>
          <w:sz w:val="22"/>
        </w:rPr>
        <w:tab/>
        <w:t xml:space="preserve">The new challenge remains emerging and re-emerging infections, many of which are not amenable to current risk reduction measures. These include the non-lipid enveloped viruses and prions, for which diagnosis and elimination methods are still a challenge. </w:t>
      </w:r>
      <w:r w:rsidRPr="001E7B3E">
        <w:rPr>
          <w:rStyle w:val="A8"/>
          <w:rFonts w:asciiTheme="minorHAnsi" w:hAnsiTheme="minorHAnsi"/>
          <w:color w:val="221E1F"/>
          <w:sz w:val="22"/>
          <w:vertAlign w:val="superscript"/>
        </w:rPr>
        <w:t>[80</w:t>
      </w:r>
      <w:proofErr w:type="gramStart"/>
      <w:r w:rsidRPr="001E7B3E">
        <w:rPr>
          <w:rStyle w:val="A8"/>
          <w:rFonts w:asciiTheme="minorHAnsi" w:hAnsiTheme="minorHAnsi"/>
          <w:color w:val="221E1F"/>
          <w:sz w:val="22"/>
          <w:vertAlign w:val="superscript"/>
        </w:rPr>
        <w:t>,82,83</w:t>
      </w:r>
      <w:proofErr w:type="gramEnd"/>
      <w:r w:rsidRPr="001E7B3E">
        <w:rPr>
          <w:rStyle w:val="A8"/>
          <w:rFonts w:asciiTheme="minorHAnsi" w:hAnsiTheme="minorHAnsi"/>
          <w:color w:val="221E1F"/>
          <w:sz w:val="22"/>
          <w:vertAlign w:val="superscript"/>
        </w:rPr>
        <w: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6.3.6</w:t>
      </w:r>
      <w:r w:rsidRPr="001E7B3E">
        <w:rPr>
          <w:rStyle w:val="A8"/>
          <w:rFonts w:asciiTheme="minorHAnsi" w:hAnsiTheme="minorHAnsi"/>
          <w:color w:val="221E1F"/>
          <w:sz w:val="22"/>
        </w:rPr>
        <w:tab/>
        <w:t>As new treatments are continually emerging in this rapidly changing field, transfusion-trans</w:t>
      </w:r>
      <w:r w:rsidRPr="001E7B3E">
        <w:rPr>
          <w:rStyle w:val="A8"/>
          <w:rFonts w:asciiTheme="minorHAnsi" w:hAnsiTheme="minorHAnsi"/>
          <w:color w:val="221E1F"/>
          <w:sz w:val="22"/>
        </w:rPr>
        <w:softHyphen/>
        <w:t xml:space="preserve">mitted infections in people with haemophilia are best managed by a specialist. </w:t>
      </w:r>
    </w:p>
    <w:p w:rsidR="00484EFC" w:rsidRPr="001E7B3E" w:rsidRDefault="00484EFC" w:rsidP="00041ED2">
      <w:pPr>
        <w:pStyle w:val="Heading4"/>
        <w:rPr>
          <w:rFonts w:eastAsia="Calibri"/>
          <w:lang w:eastAsia="en-US"/>
        </w:rPr>
      </w:pPr>
      <w:r w:rsidRPr="001E7B3E">
        <w:rPr>
          <w:rFonts w:eastAsia="Calibri"/>
          <w:lang w:eastAsia="en-US"/>
        </w:rPr>
        <w:t xml:space="preserve">Principles of management of HIV infection in haemophilia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6.3.7</w:t>
      </w:r>
      <w:r w:rsidRPr="001E7B3E">
        <w:rPr>
          <w:rStyle w:val="A8"/>
          <w:rFonts w:asciiTheme="minorHAnsi" w:hAnsiTheme="minorHAnsi"/>
          <w:color w:val="221E1F"/>
          <w:sz w:val="22"/>
        </w:rPr>
        <w:tab/>
      </w:r>
      <w:r w:rsidRPr="001E7B3E">
        <w:rPr>
          <w:rStyle w:val="A8"/>
          <w:rFonts w:asciiTheme="minorHAnsi" w:hAnsiTheme="minorHAnsi"/>
          <w:color w:val="221E1F"/>
          <w:sz w:val="22"/>
        </w:rPr>
        <w:tab/>
        <w:t>Knowledge and expertise in the treatment of HIV-infected people with haemophilia is currently limited to case series and reports. HIV treatment in people with haemophilia is therefore largely informed by guidelines used in the non-haemo</w:t>
      </w:r>
      <w:r w:rsidRPr="001E7B3E">
        <w:rPr>
          <w:rStyle w:val="A8"/>
          <w:rFonts w:asciiTheme="minorHAnsi" w:hAnsiTheme="minorHAnsi"/>
          <w:color w:val="221E1F"/>
          <w:sz w:val="22"/>
        </w:rPr>
        <w:softHyphen/>
        <w:t xml:space="preserve">philia population. </w:t>
      </w:r>
    </w:p>
    <w:p w:rsidR="00484EFC" w:rsidRPr="001E7B3E" w:rsidRDefault="00484EFC" w:rsidP="00484EFC">
      <w:pPr>
        <w:pStyle w:val="Default"/>
        <w:spacing w:line="276" w:lineRule="auto"/>
        <w:ind w:left="113"/>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6.3.8</w:t>
      </w:r>
      <w:r w:rsidRPr="001E7B3E">
        <w:rPr>
          <w:rStyle w:val="A8"/>
          <w:rFonts w:asciiTheme="minorHAnsi" w:hAnsiTheme="minorHAnsi"/>
          <w:color w:val="221E1F"/>
          <w:sz w:val="22"/>
        </w:rPr>
        <w:tab/>
      </w:r>
      <w:r w:rsidRPr="001E7B3E">
        <w:rPr>
          <w:rStyle w:val="A8"/>
          <w:rFonts w:asciiTheme="minorHAnsi" w:hAnsiTheme="minorHAnsi"/>
          <w:color w:val="221E1F"/>
          <w:sz w:val="22"/>
        </w:rPr>
        <w:tab/>
      </w:r>
      <w:r w:rsidRPr="001E7B3E">
        <w:rPr>
          <w:rStyle w:val="A8"/>
          <w:rFonts w:asciiTheme="minorHAnsi" w:hAnsiTheme="minorHAnsi"/>
          <w:b/>
          <w:color w:val="221E1F"/>
          <w:sz w:val="22"/>
        </w:rPr>
        <w:t xml:space="preserve">As part of the haemovigilance program, all people with haemophilia treated with plasma-derived products that are not adequately virus-inactivated should be tested for HIV at least every 6-12 months and </w:t>
      </w:r>
      <w:r>
        <w:rPr>
          <w:rStyle w:val="A8"/>
          <w:rFonts w:asciiTheme="minorHAnsi" w:hAnsiTheme="minorHAnsi"/>
          <w:b/>
          <w:color w:val="221E1F"/>
          <w:sz w:val="22"/>
        </w:rPr>
        <w:t>whenever clini</w:t>
      </w:r>
      <w:r>
        <w:rPr>
          <w:rStyle w:val="A8"/>
          <w:rFonts w:asciiTheme="minorHAnsi" w:hAnsiTheme="minorHAnsi"/>
          <w:b/>
          <w:color w:val="221E1F"/>
          <w:sz w:val="22"/>
        </w:rPr>
        <w:softHyphen/>
        <w:t>cally indicated.</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[84]</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13"/>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6.3.9</w:t>
      </w:r>
      <w:r w:rsidRPr="001E7B3E">
        <w:rPr>
          <w:rStyle w:val="A8"/>
          <w:rFonts w:asciiTheme="minorHAnsi" w:hAnsiTheme="minorHAnsi"/>
          <w:color w:val="221E1F"/>
          <w:sz w:val="22"/>
        </w:rPr>
        <w:tab/>
      </w:r>
      <w:r w:rsidRPr="001E7B3E">
        <w:rPr>
          <w:rStyle w:val="A8"/>
          <w:rFonts w:asciiTheme="minorHAnsi" w:hAnsiTheme="minorHAnsi"/>
          <w:b/>
          <w:color w:val="221E1F"/>
          <w:sz w:val="22"/>
        </w:rPr>
        <w:tab/>
        <w:t>The diagnosis, counselling, initiation of treat</w:t>
      </w:r>
      <w:r w:rsidRPr="001E7B3E">
        <w:rPr>
          <w:rStyle w:val="A8"/>
          <w:rFonts w:asciiTheme="minorHAnsi" w:hAnsiTheme="minorHAnsi"/>
          <w:b/>
          <w:color w:val="221E1F"/>
          <w:sz w:val="22"/>
        </w:rPr>
        <w:softHyphen/>
        <w:t>ment, and monitoring of HIV, as well as the treatment of HIV-associated complications in infected people with haemophilia, should be the same as in the non-haemo</w:t>
      </w:r>
      <w:r>
        <w:rPr>
          <w:rStyle w:val="A8"/>
          <w:rFonts w:asciiTheme="minorHAnsi" w:hAnsiTheme="minorHAnsi"/>
          <w:b/>
          <w:color w:val="221E1F"/>
          <w:sz w:val="22"/>
        </w:rPr>
        <w:t>philic population.</w:t>
      </w:r>
      <w:r w:rsidRPr="001E7B3E">
        <w:rPr>
          <w:rStyle w:val="A8"/>
          <w:rFonts w:asciiTheme="minorHAnsi" w:hAnsiTheme="minorHAnsi"/>
          <w:b/>
          <w:color w:val="221E1F"/>
          <w:sz w:val="22"/>
        </w:rPr>
        <w:t xml:space="preserve"> </w:t>
      </w:r>
      <w:r w:rsidRPr="001E7B3E">
        <w:rPr>
          <w:rStyle w:val="A8"/>
          <w:rFonts w:asciiTheme="minorHAnsi" w:hAnsiTheme="minorHAnsi"/>
          <w:b/>
          <w:color w:val="221E1F"/>
          <w:sz w:val="22"/>
          <w:vertAlign w:val="superscript"/>
        </w:rPr>
        <w:t>[85</w:t>
      </w:r>
      <w:proofErr w:type="gramStart"/>
      <w:r w:rsidRPr="001E7B3E">
        <w:rPr>
          <w:rStyle w:val="A8"/>
          <w:rFonts w:asciiTheme="minorHAnsi" w:hAnsiTheme="minorHAnsi"/>
          <w:b/>
          <w:color w:val="221E1F"/>
          <w:sz w:val="22"/>
          <w:vertAlign w:val="superscript"/>
        </w:rPr>
        <w:t>,86</w:t>
      </w:r>
      <w:proofErr w:type="gramEnd"/>
      <w:r w:rsidRPr="001E7B3E">
        <w:rPr>
          <w:rStyle w:val="A8"/>
          <w:rFonts w:asciiTheme="minorHAnsi" w:hAnsiTheme="minorHAnsi"/>
          <w:b/>
          <w:color w:val="221E1F"/>
          <w:sz w:val="22"/>
          <w:vertAlign w:val="superscript"/>
        </w:rPr>
        <w:t>]</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13"/>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6.3.10</w:t>
      </w:r>
      <w:r w:rsidRPr="001E7B3E">
        <w:rPr>
          <w:rStyle w:val="A8"/>
          <w:rFonts w:asciiTheme="minorHAnsi" w:hAnsiTheme="minorHAnsi"/>
          <w:color w:val="221E1F"/>
          <w:sz w:val="22"/>
        </w:rPr>
        <w:tab/>
      </w:r>
      <w:proofErr w:type="gramStart"/>
      <w:r w:rsidRPr="001E7B3E">
        <w:rPr>
          <w:rStyle w:val="A8"/>
          <w:rFonts w:asciiTheme="minorHAnsi" w:hAnsiTheme="minorHAnsi"/>
          <w:b/>
          <w:color w:val="221E1F"/>
          <w:sz w:val="22"/>
        </w:rPr>
        <w:t>None</w:t>
      </w:r>
      <w:proofErr w:type="gramEnd"/>
      <w:r w:rsidRPr="001E7B3E">
        <w:rPr>
          <w:rStyle w:val="A8"/>
          <w:rFonts w:asciiTheme="minorHAnsi" w:hAnsiTheme="minorHAnsi"/>
          <w:b/>
          <w:color w:val="221E1F"/>
          <w:sz w:val="22"/>
        </w:rPr>
        <w:t xml:space="preserve"> of the currently available classes of anti- HIV drugs are contraindicated in people with haemophilia.  </w:t>
      </w:r>
      <w:r w:rsidRPr="001E7B3E">
        <w:rPr>
          <w:rStyle w:val="A8"/>
          <w:rFonts w:asciiTheme="minorHAnsi" w:hAnsiTheme="minorHAnsi"/>
          <w:b/>
          <w:color w:val="221E1F"/>
          <w:sz w:val="22"/>
          <w:vertAlign w:val="superscript"/>
        </w:rPr>
        <w:t>[87-89]</w:t>
      </w:r>
      <w:r w:rsidRPr="001E7B3E">
        <w:rPr>
          <w:rStyle w:val="A8"/>
          <w:rFonts w:asciiTheme="minorHAnsi" w:hAnsiTheme="minorHAnsi"/>
          <w:color w:val="221E1F"/>
          <w:sz w:val="22"/>
        </w:rPr>
        <w:t xml:space="preserve"> </w:t>
      </w:r>
    </w:p>
    <w:p w:rsidR="000B0ED6" w:rsidRDefault="000B0ED6" w:rsidP="00041ED2">
      <w:pPr>
        <w:pStyle w:val="Heading4"/>
        <w:rPr>
          <w:rFonts w:eastAsia="Calibri"/>
          <w:lang w:eastAsia="en-US"/>
        </w:rPr>
      </w:pPr>
    </w:p>
    <w:p w:rsidR="00484EFC" w:rsidRPr="001E7B3E" w:rsidRDefault="00484EFC" w:rsidP="00041ED2">
      <w:pPr>
        <w:pStyle w:val="Heading4"/>
        <w:rPr>
          <w:rFonts w:eastAsia="Calibri"/>
          <w:lang w:eastAsia="en-US"/>
        </w:rPr>
      </w:pPr>
      <w:r w:rsidRPr="001E7B3E">
        <w:rPr>
          <w:rFonts w:eastAsia="Calibri"/>
          <w:lang w:eastAsia="en-US"/>
        </w:rPr>
        <w:lastRenderedPageBreak/>
        <w:t xml:space="preserve">Principles of management of HCV infection in haemophilia </w:t>
      </w:r>
    </w:p>
    <w:p w:rsidR="00484EFC" w:rsidRPr="001E7B3E" w:rsidRDefault="00484EFC" w:rsidP="00041ED2">
      <w:pPr>
        <w:pStyle w:val="Default"/>
        <w:spacing w:line="276" w:lineRule="auto"/>
        <w:ind w:left="1433" w:hanging="1433"/>
        <w:rPr>
          <w:rStyle w:val="A8"/>
          <w:rFonts w:asciiTheme="minorHAnsi" w:hAnsiTheme="minorHAnsi" w:cs="Arial"/>
          <w:color w:val="221E1F"/>
          <w:sz w:val="22"/>
          <w:szCs w:val="28"/>
          <w:lang w:eastAsia="en-AU"/>
        </w:rPr>
      </w:pPr>
      <w:r w:rsidRPr="001E7B3E">
        <w:rPr>
          <w:rStyle w:val="A8"/>
          <w:rFonts w:asciiTheme="minorHAnsi" w:hAnsiTheme="minorHAnsi"/>
          <w:color w:val="221E1F"/>
          <w:sz w:val="22"/>
        </w:rPr>
        <w:t>6.3.11</w:t>
      </w:r>
      <w:r w:rsidRPr="001E7B3E">
        <w:rPr>
          <w:rStyle w:val="A8"/>
          <w:rFonts w:asciiTheme="minorHAnsi" w:hAnsiTheme="minorHAnsi"/>
          <w:color w:val="221E1F"/>
          <w:sz w:val="22"/>
        </w:rPr>
        <w:tab/>
        <w:t xml:space="preserve">Assessment of HCV in people with haemophilia should include: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484EFC">
      <w:pPr>
        <w:pStyle w:val="Default"/>
        <w:numPr>
          <w:ilvl w:val="0"/>
          <w:numId w:val="106"/>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anti-HCV serology to determine exposure </w:t>
      </w:r>
    </w:p>
    <w:p w:rsidR="00484EFC" w:rsidRPr="001E7B3E" w:rsidRDefault="00484EFC" w:rsidP="00484EFC">
      <w:pPr>
        <w:pStyle w:val="Default"/>
        <w:numPr>
          <w:ilvl w:val="0"/>
          <w:numId w:val="106"/>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HCV polymerase chain reaction (PCR) in those who are anti-HCV positive </w:t>
      </w:r>
    </w:p>
    <w:p w:rsidR="00484EFC" w:rsidRPr="001E7B3E" w:rsidRDefault="00484EFC" w:rsidP="00484EFC">
      <w:pPr>
        <w:pStyle w:val="Default"/>
        <w:numPr>
          <w:ilvl w:val="0"/>
          <w:numId w:val="106"/>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Baseline viral load</w:t>
      </w:r>
    </w:p>
    <w:p w:rsidR="00484EFC" w:rsidRPr="001E7B3E" w:rsidRDefault="00484EFC" w:rsidP="00484EFC">
      <w:pPr>
        <w:pStyle w:val="Default"/>
        <w:numPr>
          <w:ilvl w:val="0"/>
          <w:numId w:val="106"/>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 xml:space="preserve">HCV genotyping in those who are HCV PCR positive </w:t>
      </w:r>
    </w:p>
    <w:p w:rsidR="00484EFC" w:rsidRDefault="00484EFC" w:rsidP="00484EFC">
      <w:pPr>
        <w:pStyle w:val="Default"/>
        <w:numPr>
          <w:ilvl w:val="0"/>
          <w:numId w:val="106"/>
        </w:numPr>
        <w:spacing w:line="276" w:lineRule="auto"/>
        <w:ind w:left="1701" w:hanging="284"/>
        <w:rPr>
          <w:rStyle w:val="A8"/>
          <w:rFonts w:asciiTheme="minorHAnsi" w:hAnsiTheme="minorHAnsi"/>
          <w:color w:val="221E1F"/>
          <w:sz w:val="22"/>
        </w:rPr>
      </w:pPr>
      <w:r w:rsidRPr="001E7B3E">
        <w:rPr>
          <w:rStyle w:val="A8"/>
          <w:rFonts w:asciiTheme="minorHAnsi" w:hAnsiTheme="minorHAnsi"/>
          <w:color w:val="221E1F"/>
          <w:sz w:val="22"/>
        </w:rPr>
        <w:t>liver function tests and non-invasive assess</w:t>
      </w:r>
      <w:r w:rsidRPr="001E7B3E">
        <w:rPr>
          <w:rStyle w:val="A8"/>
          <w:rFonts w:asciiTheme="minorHAnsi" w:hAnsiTheme="minorHAnsi"/>
          <w:color w:val="221E1F"/>
          <w:sz w:val="22"/>
        </w:rPr>
        <w:softHyphen/>
        <w:t>ment of fibr</w:t>
      </w:r>
      <w:r w:rsidR="000A1EF2">
        <w:rPr>
          <w:rStyle w:val="A8"/>
          <w:rFonts w:asciiTheme="minorHAnsi" w:hAnsiTheme="minorHAnsi"/>
          <w:color w:val="221E1F"/>
          <w:sz w:val="22"/>
        </w:rPr>
        <w:t xml:space="preserve">osis and liver architecture </w:t>
      </w:r>
      <w:r w:rsidRPr="001E7B3E">
        <w:rPr>
          <w:rStyle w:val="A8"/>
          <w:rFonts w:asciiTheme="minorHAnsi" w:hAnsiTheme="minorHAnsi"/>
          <w:color w:val="221E1F"/>
          <w:sz w:val="22"/>
        </w:rPr>
        <w:t xml:space="preserve">including fibroscan </w:t>
      </w:r>
    </w:p>
    <w:p w:rsidR="00484EFC" w:rsidRPr="00C37505" w:rsidRDefault="00484EFC" w:rsidP="00041ED2">
      <w:pPr>
        <w:pStyle w:val="Default"/>
        <w:ind w:left="1440"/>
        <w:rPr>
          <w:rFonts w:asciiTheme="minorHAnsi" w:hAnsiTheme="minorHAnsi"/>
          <w:color w:val="221E1F"/>
          <w:sz w:val="22"/>
          <w:szCs w:val="22"/>
        </w:rPr>
      </w:pPr>
      <w:r w:rsidRPr="00C37505">
        <w:rPr>
          <w:rStyle w:val="A8"/>
          <w:rFonts w:asciiTheme="minorHAnsi" w:hAnsiTheme="minorHAnsi"/>
          <w:color w:val="221E1F"/>
          <w:sz w:val="22"/>
          <w:szCs w:val="22"/>
        </w:rPr>
        <w:t>It is recommended that diagnostic testing should be consistent with the Australian national policy (</w:t>
      </w:r>
      <w:hyperlink r:id="rId22" w:history="1">
        <w:r w:rsidRPr="00C37505">
          <w:rPr>
            <w:rStyle w:val="Hyperlink"/>
            <w:rFonts w:asciiTheme="minorHAnsi" w:hAnsiTheme="minorHAnsi"/>
            <w:sz w:val="22"/>
            <w:szCs w:val="22"/>
          </w:rPr>
          <w:t>http://testingportal.ashm.org.au</w:t>
        </w:r>
      </w:hyperlink>
      <w:r w:rsidRPr="00C37505">
        <w:rPr>
          <w:rFonts w:asciiTheme="minorHAnsi" w:hAnsiTheme="minorHAnsi"/>
          <w:color w:val="221E1F"/>
          <w:sz w:val="22"/>
          <w:szCs w:val="22"/>
        </w:rPr>
        <w:t>).</w:t>
      </w:r>
    </w:p>
    <w:p w:rsidR="00484EFC" w:rsidRPr="001E7B3E" w:rsidRDefault="00484EFC" w:rsidP="00484EFC">
      <w:pPr>
        <w:pStyle w:val="Default"/>
        <w:spacing w:line="276" w:lineRule="auto"/>
        <w:ind w:left="1701"/>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6.3.12</w:t>
      </w:r>
      <w:r w:rsidRPr="001E7B3E">
        <w:rPr>
          <w:rStyle w:val="A8"/>
          <w:rFonts w:asciiTheme="minorHAnsi" w:hAnsiTheme="minorHAnsi"/>
          <w:color w:val="221E1F"/>
          <w:sz w:val="22"/>
        </w:rPr>
        <w:tab/>
        <w:t xml:space="preserve"> </w:t>
      </w:r>
      <w:r w:rsidRPr="001E7B3E">
        <w:rPr>
          <w:rStyle w:val="A8"/>
          <w:rFonts w:asciiTheme="minorHAnsi" w:hAnsiTheme="minorHAnsi"/>
          <w:b/>
          <w:color w:val="221E1F"/>
          <w:sz w:val="22"/>
        </w:rPr>
        <w:t xml:space="preserve">The diagnosis, counselling, initiation of </w:t>
      </w:r>
      <w:r>
        <w:rPr>
          <w:rStyle w:val="A8"/>
          <w:rFonts w:asciiTheme="minorHAnsi" w:hAnsiTheme="minorHAnsi"/>
          <w:b/>
          <w:color w:val="221E1F"/>
          <w:sz w:val="22"/>
        </w:rPr>
        <w:t>treat</w:t>
      </w:r>
      <w:r>
        <w:rPr>
          <w:rStyle w:val="A8"/>
          <w:rFonts w:asciiTheme="minorHAnsi" w:hAnsiTheme="minorHAnsi"/>
          <w:b/>
          <w:color w:val="221E1F"/>
          <w:sz w:val="22"/>
        </w:rPr>
        <w:softHyphen/>
        <w:t>ment, and monitoring of HC</w:t>
      </w:r>
      <w:r w:rsidRPr="001E7B3E">
        <w:rPr>
          <w:rStyle w:val="A8"/>
          <w:rFonts w:asciiTheme="minorHAnsi" w:hAnsiTheme="minorHAnsi"/>
          <w:b/>
          <w:color w:val="221E1F"/>
          <w:sz w:val="22"/>
        </w:rPr>
        <w:t>V</w:t>
      </w:r>
      <w:r>
        <w:rPr>
          <w:rStyle w:val="A8"/>
          <w:rFonts w:asciiTheme="minorHAnsi" w:hAnsiTheme="minorHAnsi"/>
          <w:b/>
          <w:color w:val="221E1F"/>
          <w:sz w:val="22"/>
        </w:rPr>
        <w:t>, as well as the treatment of HC</w:t>
      </w:r>
      <w:r w:rsidRPr="001E7B3E">
        <w:rPr>
          <w:rStyle w:val="A8"/>
          <w:rFonts w:asciiTheme="minorHAnsi" w:hAnsiTheme="minorHAnsi"/>
          <w:b/>
          <w:color w:val="221E1F"/>
          <w:sz w:val="22"/>
        </w:rPr>
        <w:t>V-associated complications in infected people with haemophilia, should be the same as in the non-haemo</w:t>
      </w:r>
      <w:r>
        <w:rPr>
          <w:rStyle w:val="A8"/>
          <w:rFonts w:asciiTheme="minorHAnsi" w:hAnsiTheme="minorHAnsi"/>
          <w:b/>
          <w:color w:val="221E1F"/>
          <w:sz w:val="22"/>
        </w:rPr>
        <w:t xml:space="preserve">philic population.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2A46E8" w:rsidRDefault="00484EFC" w:rsidP="00041ED2">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6.3.13</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New</w:t>
      </w:r>
      <w:proofErr w:type="gramEnd"/>
      <w:r w:rsidRPr="001E7B3E">
        <w:rPr>
          <w:rStyle w:val="A8"/>
          <w:rFonts w:asciiTheme="minorHAnsi" w:hAnsiTheme="minorHAnsi"/>
          <w:color w:val="221E1F"/>
          <w:sz w:val="22"/>
        </w:rPr>
        <w:t xml:space="preserve"> antiviral therapies, </w:t>
      </w:r>
      <w:r>
        <w:rPr>
          <w:rStyle w:val="A8"/>
          <w:rFonts w:asciiTheme="minorHAnsi" w:hAnsiTheme="minorHAnsi"/>
          <w:color w:val="221E1F"/>
          <w:sz w:val="22"/>
        </w:rPr>
        <w:t>usually given in combination</w:t>
      </w:r>
      <w:r w:rsidRPr="001E7B3E">
        <w:rPr>
          <w:rStyle w:val="A8"/>
          <w:rFonts w:asciiTheme="minorHAnsi" w:hAnsiTheme="minorHAnsi"/>
          <w:color w:val="221E1F"/>
          <w:sz w:val="22"/>
        </w:rPr>
        <w:t xml:space="preserve">, </w:t>
      </w:r>
      <w:r>
        <w:rPr>
          <w:rStyle w:val="A8"/>
          <w:rFonts w:asciiTheme="minorHAnsi" w:hAnsiTheme="minorHAnsi"/>
          <w:color w:val="221E1F"/>
          <w:sz w:val="22"/>
        </w:rPr>
        <w:t>improve</w:t>
      </w:r>
      <w:r w:rsidRPr="001E7B3E">
        <w:rPr>
          <w:rStyle w:val="A8"/>
          <w:rFonts w:asciiTheme="minorHAnsi" w:hAnsiTheme="minorHAnsi"/>
          <w:color w:val="221E1F"/>
          <w:sz w:val="22"/>
        </w:rPr>
        <w:t xml:space="preserve"> virologic </w:t>
      </w:r>
      <w:r w:rsidR="000A1EF2" w:rsidRPr="001E7B3E">
        <w:rPr>
          <w:rStyle w:val="A8"/>
          <w:rFonts w:asciiTheme="minorHAnsi" w:hAnsiTheme="minorHAnsi"/>
          <w:color w:val="221E1F"/>
          <w:sz w:val="22"/>
        </w:rPr>
        <w:t>response</w:t>
      </w:r>
      <w:r w:rsidRPr="001E7B3E">
        <w:rPr>
          <w:rStyle w:val="A8"/>
          <w:rFonts w:asciiTheme="minorHAnsi" w:hAnsiTheme="minorHAnsi"/>
          <w:color w:val="221E1F"/>
          <w:sz w:val="22"/>
        </w:rPr>
        <w:t xml:space="preserve"> rates</w:t>
      </w:r>
      <w:r>
        <w:rPr>
          <w:rStyle w:val="A8"/>
          <w:rFonts w:asciiTheme="minorHAnsi" w:hAnsiTheme="minorHAnsi"/>
          <w:color w:val="221E1F"/>
          <w:sz w:val="22"/>
        </w:rPr>
        <w:t xml:space="preserve"> and are likely to be available in the lifetime of this guideline</w:t>
      </w:r>
      <w:r w:rsidRPr="001E7B3E">
        <w:rPr>
          <w:rStyle w:val="A8"/>
          <w:rFonts w:asciiTheme="minorHAnsi" w:hAnsiTheme="minorHAnsi"/>
          <w:color w:val="221E1F"/>
          <w:sz w:val="22"/>
        </w:rPr>
        <w:t xml:space="preserve">. </w:t>
      </w:r>
      <w:r>
        <w:rPr>
          <w:rStyle w:val="A8"/>
          <w:rFonts w:asciiTheme="minorHAnsi" w:hAnsiTheme="minorHAnsi"/>
          <w:color w:val="221E1F"/>
          <w:sz w:val="22"/>
          <w:vertAlign w:val="superscript"/>
        </w:rPr>
        <w:t>[97</w:t>
      </w:r>
      <w:r w:rsidRPr="001E7B3E">
        <w:rPr>
          <w:rStyle w:val="A8"/>
          <w:rFonts w:asciiTheme="minorHAnsi" w:hAnsiTheme="minorHAnsi"/>
          <w:color w:val="221E1F"/>
          <w:sz w:val="22"/>
          <w:vertAlign w:val="superscript"/>
        </w:rPr>
        <w:t>]</w:t>
      </w:r>
      <w:r>
        <w:rPr>
          <w:rStyle w:val="A8"/>
          <w:rFonts w:asciiTheme="minorHAnsi" w:hAnsiTheme="minorHAnsi"/>
          <w:color w:val="221E1F"/>
          <w:sz w:val="22"/>
        </w:rPr>
        <w:t xml:space="preserve"> </w:t>
      </w:r>
    </w:p>
    <w:p w:rsidR="00484EFC" w:rsidRPr="001E7B3E" w:rsidRDefault="00484EFC" w:rsidP="00484EFC">
      <w:pPr>
        <w:pStyle w:val="Default"/>
        <w:spacing w:line="276" w:lineRule="auto"/>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6.3.1</w:t>
      </w:r>
      <w:r>
        <w:rPr>
          <w:rStyle w:val="A8"/>
          <w:rFonts w:asciiTheme="minorHAnsi" w:hAnsiTheme="minorHAnsi"/>
          <w:color w:val="221E1F"/>
          <w:sz w:val="22"/>
        </w:rPr>
        <w:t>4</w:t>
      </w:r>
      <w:r w:rsidRPr="001E7B3E">
        <w:rPr>
          <w:rStyle w:val="A8"/>
          <w:rFonts w:asciiTheme="minorHAnsi" w:hAnsiTheme="minorHAnsi"/>
          <w:color w:val="221E1F"/>
          <w:sz w:val="22"/>
        </w:rPr>
        <w:tab/>
      </w:r>
      <w:r w:rsidRPr="001E7B3E">
        <w:rPr>
          <w:rStyle w:val="A8"/>
          <w:rFonts w:asciiTheme="minorHAnsi" w:hAnsiTheme="minorHAnsi"/>
          <w:b/>
          <w:color w:val="221E1F"/>
          <w:sz w:val="22"/>
        </w:rPr>
        <w:t xml:space="preserve">Where HCV eradication cannot be achieved, regular monitoring (every 6- months) for end-stage liver complication is recommended. </w:t>
      </w:r>
      <w:r>
        <w:rPr>
          <w:rStyle w:val="A8"/>
          <w:rFonts w:asciiTheme="minorHAnsi" w:hAnsiTheme="minorHAnsi"/>
          <w:b/>
          <w:color w:val="221E1F"/>
          <w:sz w:val="22"/>
          <w:vertAlign w:val="superscript"/>
        </w:rPr>
        <w:t>[98</w:t>
      </w:r>
      <w:r w:rsidRPr="001E7B3E">
        <w:rPr>
          <w:rStyle w:val="A8"/>
          <w:rFonts w:asciiTheme="minorHAnsi" w:hAnsiTheme="minorHAnsi"/>
          <w:b/>
          <w:color w:val="221E1F"/>
          <w:sz w:val="22"/>
          <w:vertAlign w:val="superscript"/>
        </w:rPr>
        <w:t>]</w:t>
      </w:r>
      <w:r w:rsidRPr="001E7B3E">
        <w:rPr>
          <w:rStyle w:val="A8"/>
          <w:rFonts w:asciiTheme="minorHAnsi" w:hAnsiTheme="minorHAnsi"/>
          <w:color w:val="221E1F"/>
          <w:sz w:val="22"/>
        </w:rPr>
        <w:t xml:space="preserve"> </w:t>
      </w:r>
    </w:p>
    <w:p w:rsidR="00484EFC" w:rsidRPr="001E7B3E" w:rsidRDefault="00484EFC" w:rsidP="00041ED2">
      <w:pPr>
        <w:pStyle w:val="Heading4"/>
        <w:rPr>
          <w:rFonts w:eastAsia="Calibri"/>
          <w:lang w:eastAsia="en-US"/>
        </w:rPr>
      </w:pPr>
      <w:r w:rsidRPr="001E7B3E">
        <w:rPr>
          <w:rFonts w:eastAsia="Calibri"/>
          <w:lang w:eastAsia="en-US"/>
        </w:rPr>
        <w:t xml:space="preserve">Principles of management of HBV infection in haemophilia </w:t>
      </w:r>
    </w:p>
    <w:p w:rsidR="00484EFC" w:rsidRPr="00041ED2" w:rsidRDefault="00BB0659" w:rsidP="00041ED2">
      <w:pPr>
        <w:pStyle w:val="Default"/>
        <w:spacing w:line="276" w:lineRule="auto"/>
        <w:ind w:left="1433" w:hanging="1433"/>
        <w:rPr>
          <w:rStyle w:val="A8"/>
          <w:color w:val="221E1F"/>
          <w:sz w:val="22"/>
        </w:rPr>
      </w:pPr>
      <w:r>
        <w:rPr>
          <w:rStyle w:val="A8"/>
          <w:rFonts w:asciiTheme="minorHAnsi" w:hAnsiTheme="minorHAnsi"/>
          <w:color w:val="221E1F"/>
          <w:sz w:val="22"/>
        </w:rPr>
        <w:t>6.3.16</w:t>
      </w:r>
      <w:r>
        <w:rPr>
          <w:rStyle w:val="A8"/>
          <w:rFonts w:asciiTheme="minorHAnsi" w:hAnsiTheme="minorHAnsi"/>
          <w:color w:val="221E1F"/>
          <w:sz w:val="22"/>
        </w:rPr>
        <w:tab/>
      </w:r>
      <w:r w:rsidR="00484EFC" w:rsidRPr="00D10E64">
        <w:rPr>
          <w:rStyle w:val="A8"/>
          <w:rFonts w:asciiTheme="minorHAnsi" w:hAnsiTheme="minorHAnsi"/>
          <w:b/>
          <w:color w:val="221E1F"/>
          <w:sz w:val="22"/>
        </w:rPr>
        <w:t>All people with haemophilia treated with plasma-derived products that are not adequately virus-inactivated should be screened for hepa</w:t>
      </w:r>
      <w:r w:rsidR="00484EFC" w:rsidRPr="00D10E64">
        <w:rPr>
          <w:rStyle w:val="A8"/>
          <w:rFonts w:asciiTheme="minorHAnsi" w:hAnsiTheme="minorHAnsi"/>
          <w:b/>
          <w:color w:val="221E1F"/>
          <w:sz w:val="22"/>
        </w:rPr>
        <w:softHyphen/>
        <w:t xml:space="preserve">titis B antigen and anti-hepatitis B </w:t>
      </w:r>
      <w:r w:rsidR="00484EFC" w:rsidRPr="00413A54">
        <w:rPr>
          <w:rStyle w:val="A8"/>
          <w:rFonts w:asciiTheme="minorHAnsi" w:hAnsiTheme="minorHAnsi"/>
          <w:b/>
          <w:color w:val="221E1F"/>
          <w:sz w:val="22"/>
        </w:rPr>
        <w:t>at least every 6-12 months and whenever clinically indicated</w:t>
      </w:r>
      <w:proofErr w:type="gramStart"/>
      <w:r w:rsidR="00484EFC" w:rsidRPr="00413A54">
        <w:rPr>
          <w:rStyle w:val="A8"/>
          <w:rFonts w:asciiTheme="minorHAnsi" w:hAnsiTheme="minorHAnsi"/>
          <w:b/>
          <w:color w:val="221E1F"/>
          <w:sz w:val="22"/>
        </w:rPr>
        <w:t>.</w:t>
      </w:r>
      <w:r w:rsidR="00484EFC" w:rsidRPr="000A1EF2">
        <w:rPr>
          <w:rStyle w:val="A8"/>
          <w:rFonts w:asciiTheme="minorHAnsi" w:hAnsiTheme="minorHAnsi"/>
          <w:b/>
          <w:color w:val="221E1F"/>
          <w:sz w:val="22"/>
          <w:vertAlign w:val="superscript"/>
        </w:rPr>
        <w:t>[</w:t>
      </w:r>
      <w:proofErr w:type="gramEnd"/>
      <w:r w:rsidR="00484EFC" w:rsidRPr="000A1EF2">
        <w:rPr>
          <w:rStyle w:val="A8"/>
          <w:rFonts w:asciiTheme="minorHAnsi" w:hAnsiTheme="minorHAnsi"/>
          <w:b/>
          <w:color w:val="221E1F"/>
          <w:sz w:val="22"/>
          <w:vertAlign w:val="superscript"/>
        </w:rPr>
        <w:t>99]</w:t>
      </w:r>
      <w:r w:rsidR="00484EFC" w:rsidRPr="00041ED2">
        <w:rPr>
          <w:rStyle w:val="A8"/>
          <w:rFonts w:asciiTheme="minorHAnsi" w:hAnsiTheme="minorHAnsi"/>
          <w:b/>
          <w:color w:val="221E1F"/>
          <w:sz w:val="22"/>
        </w:rPr>
        <w:t xml:space="preserve"> It is recommended that diagnostic testing should be consistent with the Australian national policy (</w:t>
      </w:r>
      <w:hyperlink r:id="rId23" w:history="1">
        <w:r w:rsidR="00484EFC" w:rsidRPr="00041ED2">
          <w:rPr>
            <w:rStyle w:val="A8"/>
            <w:b/>
            <w:color w:val="221E1F"/>
            <w:sz w:val="22"/>
          </w:rPr>
          <w:t>http://testingportal.ashm.org.au</w:t>
        </w:r>
      </w:hyperlink>
      <w:r w:rsidR="00484EFC" w:rsidRPr="00041ED2">
        <w:rPr>
          <w:rStyle w:val="A8"/>
          <w:b/>
          <w:color w:val="221E1F"/>
          <w:sz w:val="22"/>
        </w:rPr>
        <w: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6.3.17</w:t>
      </w:r>
      <w:r w:rsidRPr="001E7B3E">
        <w:rPr>
          <w:rStyle w:val="A8"/>
          <w:rFonts w:asciiTheme="minorHAnsi" w:hAnsiTheme="minorHAnsi"/>
          <w:color w:val="221E1F"/>
          <w:sz w:val="22"/>
        </w:rPr>
        <w:tab/>
        <w:t>Active HBV infection should be managed as per local infectious disease guidelines and protocols.</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b/>
          <w:color w:val="221E1F"/>
          <w:sz w:val="22"/>
        </w:rPr>
      </w:pPr>
      <w:r w:rsidRPr="001E7B3E">
        <w:rPr>
          <w:rStyle w:val="A8"/>
          <w:rFonts w:asciiTheme="minorHAnsi" w:hAnsiTheme="minorHAnsi"/>
          <w:color w:val="221E1F"/>
          <w:sz w:val="22"/>
        </w:rPr>
        <w:t>6.3.18</w:t>
      </w:r>
      <w:r w:rsidRPr="001E7B3E">
        <w:rPr>
          <w:rStyle w:val="A8"/>
          <w:rFonts w:asciiTheme="minorHAnsi" w:hAnsiTheme="minorHAnsi"/>
          <w:color w:val="221E1F"/>
          <w:sz w:val="22"/>
        </w:rPr>
        <w:tab/>
      </w:r>
      <w:proofErr w:type="gramStart"/>
      <w:r w:rsidRPr="001E7B3E">
        <w:rPr>
          <w:rStyle w:val="A8"/>
          <w:rFonts w:asciiTheme="minorHAnsi" w:hAnsiTheme="minorHAnsi"/>
          <w:b/>
          <w:color w:val="221E1F"/>
          <w:sz w:val="22"/>
        </w:rPr>
        <w:t>Those</w:t>
      </w:r>
      <w:proofErr w:type="gramEnd"/>
      <w:r w:rsidRPr="001E7B3E">
        <w:rPr>
          <w:rStyle w:val="A8"/>
          <w:rFonts w:asciiTheme="minorHAnsi" w:hAnsiTheme="minorHAnsi"/>
          <w:b/>
          <w:color w:val="221E1F"/>
          <w:sz w:val="22"/>
        </w:rPr>
        <w:t xml:space="preserve"> without HBV immunity should be given the anti-HBV vaccine. Protective </w:t>
      </w:r>
    </w:p>
    <w:p w:rsidR="00484EFC" w:rsidRPr="001E7B3E" w:rsidRDefault="00484EFC" w:rsidP="00484EFC">
      <w:pPr>
        <w:pStyle w:val="Default"/>
        <w:spacing w:line="276" w:lineRule="auto"/>
        <w:ind w:left="1433"/>
        <w:rPr>
          <w:rStyle w:val="A8"/>
          <w:rFonts w:asciiTheme="minorHAnsi" w:hAnsiTheme="minorHAnsi"/>
          <w:b/>
          <w:color w:val="221E1F"/>
          <w:sz w:val="22"/>
        </w:rPr>
      </w:pPr>
      <w:proofErr w:type="gramStart"/>
      <w:r w:rsidRPr="001E7B3E">
        <w:rPr>
          <w:rStyle w:val="A8"/>
          <w:rFonts w:asciiTheme="minorHAnsi" w:hAnsiTheme="minorHAnsi"/>
          <w:b/>
          <w:color w:val="221E1F"/>
          <w:sz w:val="22"/>
        </w:rPr>
        <w:t>seroconversion</w:t>
      </w:r>
      <w:proofErr w:type="gramEnd"/>
      <w:r w:rsidRPr="001E7B3E">
        <w:rPr>
          <w:rStyle w:val="A8"/>
          <w:rFonts w:asciiTheme="minorHAnsi" w:hAnsiTheme="minorHAnsi"/>
          <w:b/>
          <w:color w:val="221E1F"/>
          <w:sz w:val="22"/>
        </w:rPr>
        <w:t xml:space="preserve"> should be r</w:t>
      </w:r>
      <w:r>
        <w:rPr>
          <w:rStyle w:val="A8"/>
          <w:rFonts w:asciiTheme="minorHAnsi" w:hAnsiTheme="minorHAnsi"/>
          <w:b/>
          <w:color w:val="221E1F"/>
          <w:sz w:val="22"/>
        </w:rPr>
        <w:t>echecked following vaccination.</w:t>
      </w:r>
      <w:r w:rsidRPr="001E7B3E">
        <w:rPr>
          <w:rStyle w:val="A8"/>
          <w:rFonts w:asciiTheme="minorHAnsi" w:hAnsiTheme="minorHAnsi"/>
          <w:b/>
          <w:color w:val="221E1F"/>
          <w:sz w:val="22"/>
        </w:rPr>
        <w:t xml:space="preserve"> </w:t>
      </w:r>
      <w:r>
        <w:rPr>
          <w:rStyle w:val="A8"/>
          <w:rFonts w:asciiTheme="minorHAnsi" w:hAnsiTheme="minorHAnsi"/>
          <w:b/>
          <w:color w:val="221E1F"/>
          <w:sz w:val="22"/>
          <w:vertAlign w:val="superscript"/>
        </w:rPr>
        <w:t>[99-101</w:t>
      </w:r>
      <w:r w:rsidRPr="001E7B3E">
        <w:rPr>
          <w:rStyle w:val="A8"/>
          <w:rFonts w:asciiTheme="minorHAnsi" w:hAnsiTheme="minorHAnsi"/>
          <w:b/>
          <w:color w:val="221E1F"/>
          <w:sz w:val="22"/>
          <w:vertAlign w:val="superscript"/>
        </w:rPr>
        <w: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olor w:val="221E1F"/>
          <w:sz w:val="22"/>
          <w:vertAlign w:val="superscript"/>
        </w:rPr>
      </w:pPr>
      <w:r w:rsidRPr="001E7B3E">
        <w:rPr>
          <w:rStyle w:val="A8"/>
          <w:rFonts w:asciiTheme="minorHAnsi" w:hAnsiTheme="minorHAnsi"/>
          <w:color w:val="221E1F"/>
          <w:sz w:val="22"/>
        </w:rPr>
        <w:t>6.3.19</w:t>
      </w:r>
      <w:r w:rsidRPr="001E7B3E">
        <w:rPr>
          <w:rStyle w:val="A8"/>
          <w:rFonts w:asciiTheme="minorHAnsi" w:hAnsiTheme="minorHAnsi"/>
          <w:color w:val="221E1F"/>
          <w:sz w:val="22"/>
        </w:rPr>
        <w:tab/>
      </w:r>
      <w:r w:rsidRPr="001E7B3E">
        <w:rPr>
          <w:rStyle w:val="A8"/>
          <w:rFonts w:asciiTheme="minorHAnsi" w:hAnsiTheme="minorHAnsi"/>
          <w:b/>
          <w:color w:val="221E1F"/>
          <w:sz w:val="22"/>
        </w:rPr>
        <w:t>People with haemophilia who do not seroconvert should probably be revaccinated with double the hepa</w:t>
      </w:r>
      <w:r w:rsidRPr="001E7B3E">
        <w:rPr>
          <w:rStyle w:val="A8"/>
          <w:rFonts w:asciiTheme="minorHAnsi" w:hAnsiTheme="minorHAnsi"/>
          <w:b/>
          <w:color w:val="221E1F"/>
          <w:sz w:val="22"/>
        </w:rPr>
        <w:softHyphen/>
        <w:t xml:space="preserve">titis B vaccine dose. </w:t>
      </w:r>
      <w:r>
        <w:rPr>
          <w:rStyle w:val="A8"/>
          <w:rFonts w:asciiTheme="minorHAnsi" w:hAnsiTheme="minorHAnsi"/>
          <w:b/>
          <w:color w:val="221E1F"/>
          <w:sz w:val="22"/>
          <w:vertAlign w:val="superscript"/>
        </w:rPr>
        <w:t>[99,102</w:t>
      </w:r>
      <w:r w:rsidRPr="001E7B3E">
        <w:rPr>
          <w:rStyle w:val="A8"/>
          <w:rFonts w:asciiTheme="minorHAnsi" w:hAnsiTheme="minorHAnsi"/>
          <w:b/>
          <w:color w:val="221E1F"/>
          <w:sz w:val="22"/>
          <w:vertAlign w:val="superscript"/>
        </w:rPr>
        <w:t>]</w:t>
      </w:r>
    </w:p>
    <w:p w:rsidR="00484EFC" w:rsidRPr="001E7B3E" w:rsidRDefault="00484EFC" w:rsidP="00041ED2">
      <w:pPr>
        <w:pStyle w:val="Heading4"/>
        <w:rPr>
          <w:color w:val="211D1E"/>
          <w:lang w:eastAsia="en-US"/>
        </w:rPr>
      </w:pPr>
      <w:r w:rsidRPr="001E7B3E">
        <w:rPr>
          <w:rFonts w:eastAsia="Calibri"/>
          <w:lang w:eastAsia="en-US"/>
        </w:rPr>
        <w:t>Principles of management of bacterial infection in haemophilia</w:t>
      </w:r>
    </w:p>
    <w:p w:rsidR="00484EFC" w:rsidRPr="001E7B3E" w:rsidRDefault="00484EFC" w:rsidP="00041ED2">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6.3.20</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The</w:t>
      </w:r>
      <w:proofErr w:type="gramEnd"/>
      <w:r w:rsidRPr="001E7B3E">
        <w:rPr>
          <w:rStyle w:val="A8"/>
          <w:rFonts w:asciiTheme="minorHAnsi" w:hAnsiTheme="minorHAnsi"/>
          <w:color w:val="221E1F"/>
          <w:sz w:val="22"/>
        </w:rPr>
        <w:t xml:space="preserve"> risk factors for bacterial infections in people with haemophilia are venous access catheter insertion, surgical arthroplasty, and other surgical interventions. </w:t>
      </w:r>
      <w:r>
        <w:rPr>
          <w:rStyle w:val="A8"/>
          <w:rFonts w:asciiTheme="minorHAnsi" w:hAnsiTheme="minorHAnsi"/>
          <w:color w:val="221E1F"/>
          <w:sz w:val="22"/>
          <w:vertAlign w:val="superscript"/>
        </w:rPr>
        <w:t>[103-105</w:t>
      </w:r>
      <w:r w:rsidRPr="001E7B3E">
        <w:rPr>
          <w:rStyle w:val="A8"/>
          <w:rFonts w:asciiTheme="minorHAnsi" w:hAnsiTheme="minorHAnsi"/>
          <w:color w:val="221E1F"/>
          <w:sz w:val="22"/>
          <w:vertAlign w:val="superscript"/>
        </w:rPr>
        <w:t>]</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lastRenderedPageBreak/>
        <w:t>6.3.21</w:t>
      </w:r>
      <w:r w:rsidRPr="001E7B3E">
        <w:rPr>
          <w:rStyle w:val="A8"/>
          <w:rFonts w:asciiTheme="minorHAnsi" w:hAnsiTheme="minorHAnsi"/>
          <w:color w:val="221E1F"/>
          <w:sz w:val="22"/>
        </w:rPr>
        <w:tab/>
      </w:r>
      <w:proofErr w:type="gramStart"/>
      <w:r w:rsidRPr="001E7B3E">
        <w:rPr>
          <w:rStyle w:val="A8"/>
          <w:rFonts w:asciiTheme="minorHAnsi" w:hAnsiTheme="minorHAnsi"/>
          <w:color w:val="221E1F"/>
          <w:sz w:val="22"/>
        </w:rPr>
        <w:t>In</w:t>
      </w:r>
      <w:proofErr w:type="gramEnd"/>
      <w:r w:rsidRPr="001E7B3E">
        <w:rPr>
          <w:rStyle w:val="A8"/>
          <w:rFonts w:asciiTheme="minorHAnsi" w:hAnsiTheme="minorHAnsi"/>
          <w:color w:val="221E1F"/>
          <w:sz w:val="22"/>
        </w:rPr>
        <w:t xml:space="preserve"> general, joint aspiration to treat haemarthrosis should be avoided, unless done early under appro</w:t>
      </w:r>
      <w:r w:rsidRPr="001E7B3E">
        <w:rPr>
          <w:rStyle w:val="A8"/>
          <w:rFonts w:asciiTheme="minorHAnsi" w:hAnsiTheme="minorHAnsi"/>
          <w:color w:val="221E1F"/>
          <w:sz w:val="22"/>
        </w:rPr>
        <w:softHyphen/>
        <w:t xml:space="preserve">priate cover of factor replacement and with strict aseptic precautions to prevent infection. </w:t>
      </w:r>
      <w:r>
        <w:rPr>
          <w:rStyle w:val="A8"/>
          <w:rFonts w:asciiTheme="minorHAnsi" w:hAnsiTheme="minorHAnsi"/>
          <w:color w:val="221E1F"/>
          <w:sz w:val="22"/>
          <w:vertAlign w:val="superscript"/>
        </w:rPr>
        <w:t>[106,107</w:t>
      </w:r>
      <w:r w:rsidRPr="001E7B3E">
        <w:rPr>
          <w:rStyle w:val="A8"/>
          <w:rFonts w:asciiTheme="minorHAnsi" w:hAnsiTheme="minorHAnsi"/>
          <w:color w:val="221E1F"/>
          <w:sz w:val="22"/>
          <w:vertAlign w:val="superscript"/>
        </w:rPr>
        <w:t>]</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Pr="001E7B3E" w:rsidRDefault="00484EFC" w:rsidP="00041ED2">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6.3.22</w:t>
      </w:r>
      <w:r w:rsidRPr="001E7B3E">
        <w:rPr>
          <w:rStyle w:val="A8"/>
          <w:rFonts w:asciiTheme="minorHAnsi" w:hAnsiTheme="minorHAnsi"/>
          <w:color w:val="221E1F"/>
          <w:sz w:val="22"/>
        </w:rPr>
        <w:tab/>
        <w:t xml:space="preserve">Bleeding is likely to delay healing and worsen infection and should therefore be well controlled. </w:t>
      </w:r>
      <w:r>
        <w:rPr>
          <w:rStyle w:val="A8"/>
          <w:rFonts w:asciiTheme="minorHAnsi" w:hAnsiTheme="minorHAnsi"/>
          <w:color w:val="221E1F"/>
          <w:sz w:val="22"/>
          <w:vertAlign w:val="superscript"/>
        </w:rPr>
        <w:t>[108</w:t>
      </w:r>
      <w:r w:rsidRPr="001E7B3E">
        <w:rPr>
          <w:rStyle w:val="A8"/>
          <w:rFonts w:asciiTheme="minorHAnsi" w:hAnsiTheme="minorHAnsi"/>
          <w:color w:val="221E1F"/>
          <w:sz w:val="22"/>
          <w:vertAlign w:val="superscript"/>
        </w:rPr>
        <w:t>]</w:t>
      </w:r>
      <w:r w:rsidRPr="001E7B3E">
        <w:rPr>
          <w:rStyle w:val="A8"/>
          <w:rFonts w:asciiTheme="minorHAnsi" w:hAnsiTheme="minorHAnsi"/>
          <w:color w:val="221E1F"/>
          <w:sz w:val="22"/>
        </w:rPr>
        <w:t xml:space="preserve"> </w:t>
      </w:r>
    </w:p>
    <w:p w:rsidR="00484EFC" w:rsidRPr="001E7B3E" w:rsidRDefault="00484EFC" w:rsidP="00484EFC">
      <w:pPr>
        <w:pStyle w:val="Default"/>
        <w:spacing w:line="276" w:lineRule="auto"/>
        <w:ind w:left="1433" w:hanging="1320"/>
        <w:rPr>
          <w:rStyle w:val="A8"/>
          <w:rFonts w:asciiTheme="minorHAnsi" w:hAnsiTheme="minorHAnsi"/>
          <w:color w:val="221E1F"/>
          <w:sz w:val="22"/>
        </w:rPr>
      </w:pPr>
    </w:p>
    <w:p w:rsidR="00484EFC" w:rsidRDefault="00484EFC" w:rsidP="00041ED2">
      <w:pPr>
        <w:pStyle w:val="Default"/>
        <w:spacing w:line="276" w:lineRule="auto"/>
        <w:ind w:left="1433" w:hanging="1433"/>
        <w:rPr>
          <w:rStyle w:val="A8"/>
          <w:rFonts w:asciiTheme="minorHAnsi" w:hAnsiTheme="minorHAnsi"/>
          <w:color w:val="221E1F"/>
          <w:sz w:val="22"/>
        </w:rPr>
      </w:pPr>
      <w:r w:rsidRPr="001E7B3E">
        <w:rPr>
          <w:rStyle w:val="A8"/>
          <w:rFonts w:asciiTheme="minorHAnsi" w:hAnsiTheme="minorHAnsi"/>
          <w:color w:val="221E1F"/>
          <w:sz w:val="22"/>
        </w:rPr>
        <w:t>6.3.23</w:t>
      </w:r>
      <w:r w:rsidRPr="001E7B3E">
        <w:rPr>
          <w:rStyle w:val="A8"/>
          <w:rFonts w:asciiTheme="minorHAnsi" w:hAnsiTheme="minorHAnsi"/>
          <w:color w:val="221E1F"/>
          <w:sz w:val="22"/>
        </w:rPr>
        <w:tab/>
        <w:t xml:space="preserve">Control of the source of infection is of paramount importance in </w:t>
      </w:r>
      <w:r w:rsidR="000A1EF2" w:rsidRPr="00041ED2">
        <w:rPr>
          <w:rStyle w:val="A8"/>
          <w:rFonts w:asciiTheme="minorHAnsi" w:hAnsiTheme="minorHAnsi"/>
          <w:color w:val="221E1F"/>
          <w:sz w:val="22"/>
        </w:rPr>
        <w:t>persons with haemophilia</w:t>
      </w:r>
      <w:r w:rsidR="000A1EF2" w:rsidRPr="001E7B3E">
        <w:rPr>
          <w:rStyle w:val="A8"/>
          <w:rFonts w:asciiTheme="minorHAnsi" w:hAnsiTheme="minorHAnsi"/>
          <w:color w:val="221E1F"/>
          <w:sz w:val="22"/>
        </w:rPr>
        <w:t xml:space="preserve"> </w:t>
      </w:r>
      <w:r w:rsidR="000A1EF2">
        <w:rPr>
          <w:rStyle w:val="A8"/>
          <w:rFonts w:asciiTheme="minorHAnsi" w:hAnsiTheme="minorHAnsi"/>
          <w:color w:val="221E1F"/>
          <w:sz w:val="22"/>
        </w:rPr>
        <w:t>(</w:t>
      </w:r>
      <w:r w:rsidRPr="001E7B3E">
        <w:rPr>
          <w:rStyle w:val="A8"/>
          <w:rFonts w:asciiTheme="minorHAnsi" w:hAnsiTheme="minorHAnsi"/>
          <w:color w:val="221E1F"/>
          <w:sz w:val="22"/>
        </w:rPr>
        <w:t>PWH</w:t>
      </w:r>
      <w:r w:rsidR="000A1EF2">
        <w:rPr>
          <w:rStyle w:val="A8"/>
          <w:rFonts w:asciiTheme="minorHAnsi" w:hAnsiTheme="minorHAnsi"/>
          <w:color w:val="221E1F"/>
          <w:sz w:val="22"/>
        </w:rPr>
        <w:t>)</w:t>
      </w:r>
      <w:r w:rsidRPr="001E7B3E">
        <w:rPr>
          <w:rStyle w:val="A8"/>
          <w:rFonts w:asciiTheme="minorHAnsi" w:hAnsiTheme="minorHAnsi"/>
          <w:color w:val="221E1F"/>
          <w:sz w:val="22"/>
        </w:rPr>
        <w:t xml:space="preserve">. </w:t>
      </w:r>
      <w:r w:rsidRPr="001E7B3E">
        <w:rPr>
          <w:rStyle w:val="A8"/>
          <w:rFonts w:asciiTheme="minorHAnsi" w:hAnsiTheme="minorHAnsi"/>
          <w:color w:val="221E1F"/>
          <w:sz w:val="22"/>
          <w:vertAlign w:val="superscript"/>
        </w:rPr>
        <w:t>[1</w:t>
      </w:r>
      <w:r>
        <w:rPr>
          <w:rStyle w:val="A8"/>
          <w:rFonts w:asciiTheme="minorHAnsi" w:hAnsiTheme="minorHAnsi"/>
          <w:color w:val="221E1F"/>
          <w:sz w:val="22"/>
          <w:vertAlign w:val="superscript"/>
        </w:rPr>
        <w:t>09,110</w:t>
      </w:r>
      <w:r w:rsidRPr="001E7B3E">
        <w:rPr>
          <w:rStyle w:val="A8"/>
          <w:rFonts w:asciiTheme="minorHAnsi" w:hAnsiTheme="minorHAnsi"/>
          <w:color w:val="221E1F"/>
          <w:sz w:val="22"/>
          <w:vertAlign w:val="superscript"/>
        </w:rPr>
        <w:t>]</w:t>
      </w:r>
      <w:r w:rsidRPr="001E7B3E">
        <w:rPr>
          <w:rStyle w:val="A8"/>
          <w:rFonts w:asciiTheme="minorHAnsi" w:hAnsiTheme="minorHAnsi"/>
          <w:color w:val="221E1F"/>
          <w:sz w:val="22"/>
        </w:rPr>
        <w:t xml:space="preserve"> </w:t>
      </w:r>
    </w:p>
    <w:p w:rsidR="00BB0659" w:rsidRDefault="00BB0659">
      <w:pPr>
        <w:spacing w:after="200" w:line="276" w:lineRule="auto"/>
        <w:ind w:left="0"/>
        <w:rPr>
          <w:rFonts w:asciiTheme="minorHAnsi" w:eastAsia="Calibri" w:hAnsiTheme="minorHAnsi" w:cs="Avenir LT Std 55 Roman"/>
          <w:b/>
          <w:bCs/>
          <w:color w:val="E31635"/>
          <w:sz w:val="28"/>
          <w:szCs w:val="28"/>
          <w:lang w:eastAsia="en-US"/>
        </w:rPr>
      </w:pPr>
      <w:r>
        <w:rPr>
          <w:rFonts w:asciiTheme="minorHAnsi" w:hAnsiTheme="minorHAnsi"/>
          <w:b/>
          <w:bCs/>
          <w:color w:val="E31635"/>
          <w:sz w:val="28"/>
          <w:szCs w:val="28"/>
        </w:rPr>
        <w:br w:type="page"/>
      </w:r>
    </w:p>
    <w:p w:rsidR="00484EFC" w:rsidRPr="00C12CEA" w:rsidRDefault="00484EFC" w:rsidP="00484EFC">
      <w:pPr>
        <w:pStyle w:val="Default"/>
        <w:spacing w:line="276" w:lineRule="auto"/>
        <w:ind w:left="1433" w:hanging="1320"/>
        <w:rPr>
          <w:rFonts w:asciiTheme="minorHAnsi" w:hAnsiTheme="minorHAnsi"/>
          <w:color w:val="221E1F"/>
          <w:sz w:val="22"/>
        </w:rPr>
      </w:pPr>
      <w:r w:rsidRPr="001E7B3E">
        <w:rPr>
          <w:rFonts w:asciiTheme="minorHAnsi" w:hAnsiTheme="minorHAnsi"/>
          <w:b/>
          <w:bCs/>
          <w:color w:val="E31635"/>
          <w:sz w:val="28"/>
          <w:szCs w:val="28"/>
        </w:rPr>
        <w:lastRenderedPageBreak/>
        <w:t>References</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Llinás A. Haemophilic arthropathy.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2010 Jul</w:t>
      </w:r>
      <w:proofErr w:type="gramStart"/>
      <w:r w:rsidRPr="001E7B3E">
        <w:rPr>
          <w:rFonts w:asciiTheme="minorHAnsi" w:hAnsiTheme="minorHAnsi" w:cs="Arial"/>
          <w:color w:val="211D1E"/>
          <w:lang w:eastAsia="en-US"/>
        </w:rPr>
        <w:t>;16</w:t>
      </w:r>
      <w:proofErr w:type="gramEnd"/>
      <w:r w:rsidRPr="001E7B3E">
        <w:rPr>
          <w:rFonts w:asciiTheme="minorHAnsi" w:hAnsiTheme="minorHAnsi" w:cs="Arial"/>
          <w:color w:val="211D1E"/>
          <w:lang w:eastAsia="en-US"/>
        </w:rPr>
        <w:t>(Suppl 5):121.</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Rodriguez-Merchan EC. Musculoskeletal complications of hemophilia. </w:t>
      </w:r>
      <w:r w:rsidRPr="001E7B3E">
        <w:rPr>
          <w:rFonts w:asciiTheme="minorHAnsi" w:hAnsiTheme="minorHAnsi" w:cs="Arial"/>
          <w:i/>
          <w:iCs/>
          <w:color w:val="211D1E"/>
          <w:lang w:eastAsia="en-US"/>
        </w:rPr>
        <w:t xml:space="preserve">HSSJ </w:t>
      </w:r>
      <w:r w:rsidRPr="001E7B3E">
        <w:rPr>
          <w:rFonts w:asciiTheme="minorHAnsi" w:hAnsiTheme="minorHAnsi" w:cs="Arial"/>
          <w:color w:val="211D1E"/>
          <w:lang w:eastAsia="en-US"/>
        </w:rPr>
        <w:t>2010 Feb; 6(1): 37-42.</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Rodriguez-Merchan EC. Aspects of current management: orthopaedic surgery in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2012</w:t>
      </w:r>
      <w:proofErr w:type="gramStart"/>
      <w:r w:rsidRPr="001E7B3E">
        <w:rPr>
          <w:rFonts w:asciiTheme="minorHAnsi" w:hAnsiTheme="minorHAnsi" w:cs="Arial"/>
          <w:color w:val="211D1E"/>
          <w:lang w:eastAsia="en-US"/>
        </w:rPr>
        <w:t>;18</w:t>
      </w:r>
      <w:proofErr w:type="gramEnd"/>
      <w:r w:rsidRPr="001E7B3E">
        <w:rPr>
          <w:rFonts w:asciiTheme="minorHAnsi" w:hAnsiTheme="minorHAnsi" w:cs="Arial"/>
          <w:color w:val="211D1E"/>
          <w:lang w:eastAsia="en-US"/>
        </w:rPr>
        <w:t>(1):8-16.</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Seuser A, Berdel P, Oldenburg J. Rehabilitation of synovitis in patients with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2007</w:t>
      </w:r>
      <w:proofErr w:type="gramStart"/>
      <w:r w:rsidRPr="001E7B3E">
        <w:rPr>
          <w:rFonts w:asciiTheme="minorHAnsi" w:hAnsiTheme="minorHAnsi" w:cs="Arial"/>
          <w:color w:val="211D1E"/>
          <w:lang w:eastAsia="en-US"/>
        </w:rPr>
        <w:t>;13</w:t>
      </w:r>
      <w:proofErr w:type="gramEnd"/>
      <w:r w:rsidRPr="001E7B3E">
        <w:rPr>
          <w:rFonts w:asciiTheme="minorHAnsi" w:hAnsiTheme="minorHAnsi" w:cs="Arial"/>
          <w:color w:val="211D1E"/>
          <w:lang w:eastAsia="en-US"/>
        </w:rPr>
        <w:t xml:space="preserve"> Suppl 3:26-31.</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Aronstam A, Arblaster PG, Rainsford SG, Turk P, Slattery M, </w:t>
      </w:r>
      <w:proofErr w:type="gramStart"/>
      <w:r w:rsidRPr="001E7B3E">
        <w:rPr>
          <w:rFonts w:asciiTheme="minorHAnsi" w:hAnsiTheme="minorHAnsi" w:cs="Arial"/>
          <w:color w:val="211D1E"/>
          <w:lang w:eastAsia="en-US"/>
        </w:rPr>
        <w:t>Alderson</w:t>
      </w:r>
      <w:proofErr w:type="gramEnd"/>
      <w:r w:rsidRPr="001E7B3E">
        <w:rPr>
          <w:rFonts w:asciiTheme="minorHAnsi" w:hAnsiTheme="minorHAnsi" w:cs="Arial"/>
          <w:color w:val="211D1E"/>
          <w:lang w:eastAsia="en-US"/>
        </w:rPr>
        <w:t xml:space="preserve"> MR, et al. Prophylaxis in haemophilia: a double-blind controlled trial. </w:t>
      </w:r>
      <w:r w:rsidRPr="001E7B3E">
        <w:rPr>
          <w:rFonts w:asciiTheme="minorHAnsi" w:hAnsiTheme="minorHAnsi" w:cs="Arial"/>
          <w:i/>
          <w:iCs/>
          <w:color w:val="211D1E"/>
          <w:lang w:eastAsia="en-US"/>
        </w:rPr>
        <w:t xml:space="preserve">Br J Haematol </w:t>
      </w:r>
      <w:r w:rsidRPr="001E7B3E">
        <w:rPr>
          <w:rFonts w:asciiTheme="minorHAnsi" w:hAnsiTheme="minorHAnsi" w:cs="Arial"/>
          <w:color w:val="211D1E"/>
          <w:lang w:eastAsia="en-US"/>
        </w:rPr>
        <w:t>1976</w:t>
      </w:r>
      <w:proofErr w:type="gramStart"/>
      <w:r w:rsidRPr="001E7B3E">
        <w:rPr>
          <w:rFonts w:asciiTheme="minorHAnsi" w:hAnsiTheme="minorHAnsi" w:cs="Arial"/>
          <w:color w:val="211D1E"/>
          <w:lang w:eastAsia="en-US"/>
        </w:rPr>
        <w:t>;33</w:t>
      </w:r>
      <w:proofErr w:type="gramEnd"/>
      <w:r w:rsidRPr="001E7B3E">
        <w:rPr>
          <w:rFonts w:asciiTheme="minorHAnsi" w:hAnsiTheme="minorHAnsi" w:cs="Arial"/>
          <w:color w:val="211D1E"/>
          <w:lang w:eastAsia="en-US"/>
        </w:rPr>
        <w:t>(1):81-90.</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Feldman BM, Pai M, Rivard GE, Israels S, et al; Association of Hemophilia Clinic Directors of Canada Prophylaxis Study Group.Tailored prophylaxis in severe hemophilia A: interim results from the first 5 years of the Canadian Hemophilia Primary Prophylaxis Study. </w:t>
      </w:r>
      <w:r w:rsidRPr="001E7B3E">
        <w:rPr>
          <w:rFonts w:asciiTheme="minorHAnsi" w:hAnsiTheme="minorHAnsi" w:cs="Arial"/>
          <w:i/>
          <w:iCs/>
          <w:color w:val="211D1E"/>
          <w:lang w:eastAsia="en-US"/>
        </w:rPr>
        <w:t xml:space="preserve">J Thromb Haemost </w:t>
      </w:r>
      <w:r w:rsidRPr="001E7B3E">
        <w:rPr>
          <w:rFonts w:asciiTheme="minorHAnsi" w:hAnsiTheme="minorHAnsi" w:cs="Arial"/>
          <w:color w:val="211D1E"/>
          <w:lang w:eastAsia="en-US"/>
        </w:rPr>
        <w:t>2006 Jun</w:t>
      </w:r>
      <w:proofErr w:type="gramStart"/>
      <w:r w:rsidRPr="001E7B3E">
        <w:rPr>
          <w:rFonts w:asciiTheme="minorHAnsi" w:hAnsiTheme="minorHAnsi" w:cs="Arial"/>
          <w:color w:val="211D1E"/>
          <w:lang w:eastAsia="en-US"/>
        </w:rPr>
        <w:t>;4</w:t>
      </w:r>
      <w:proofErr w:type="gramEnd"/>
      <w:r w:rsidRPr="001E7B3E">
        <w:rPr>
          <w:rFonts w:asciiTheme="minorHAnsi" w:hAnsiTheme="minorHAnsi" w:cs="Arial"/>
          <w:color w:val="211D1E"/>
          <w:lang w:eastAsia="en-US"/>
        </w:rPr>
        <w:t>(6):1228-36.</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Gringeri A, Lundin B, Mackensen SV, et al. A randomized clinical trial of prophylaxis in children with hemophilia A (the ESPRIT Study). </w:t>
      </w:r>
      <w:r w:rsidRPr="001E7B3E">
        <w:rPr>
          <w:rFonts w:asciiTheme="minorHAnsi" w:hAnsiTheme="minorHAnsi" w:cs="Arial"/>
          <w:i/>
          <w:iCs/>
          <w:color w:val="211D1E"/>
          <w:lang w:eastAsia="en-US"/>
        </w:rPr>
        <w:t xml:space="preserve">J Thromb Haemost </w:t>
      </w:r>
      <w:r w:rsidRPr="001E7B3E">
        <w:rPr>
          <w:rFonts w:asciiTheme="minorHAnsi" w:hAnsiTheme="minorHAnsi" w:cs="Arial"/>
          <w:color w:val="211D1E"/>
          <w:lang w:eastAsia="en-US"/>
        </w:rPr>
        <w:t>2011</w:t>
      </w:r>
      <w:proofErr w:type="gramStart"/>
      <w:r w:rsidRPr="001E7B3E">
        <w:rPr>
          <w:rFonts w:asciiTheme="minorHAnsi" w:hAnsiTheme="minorHAnsi" w:cs="Arial"/>
          <w:color w:val="211D1E"/>
          <w:lang w:eastAsia="en-US"/>
        </w:rPr>
        <w:t>;9</w:t>
      </w:r>
      <w:proofErr w:type="gramEnd"/>
      <w:r w:rsidRPr="001E7B3E">
        <w:rPr>
          <w:rFonts w:asciiTheme="minorHAnsi" w:hAnsiTheme="minorHAnsi" w:cs="Arial"/>
          <w:color w:val="211D1E"/>
          <w:lang w:eastAsia="en-US"/>
        </w:rPr>
        <w:t xml:space="preserve">(4):700-10.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Manco-Johnson MJ, Abshire TC, Shapiro AD, et al. Prophylaxis versus episodic treatment to prevent joint disease in boys with severe hemophilia. </w:t>
      </w:r>
      <w:r w:rsidRPr="001E7B3E">
        <w:rPr>
          <w:rFonts w:asciiTheme="minorHAnsi" w:hAnsiTheme="minorHAnsi" w:cs="Arial"/>
          <w:i/>
          <w:iCs/>
          <w:color w:val="211D1E"/>
          <w:lang w:eastAsia="en-US"/>
        </w:rPr>
        <w:t xml:space="preserve">N Engl J Med </w:t>
      </w:r>
      <w:r w:rsidRPr="001E7B3E">
        <w:rPr>
          <w:rFonts w:asciiTheme="minorHAnsi" w:hAnsiTheme="minorHAnsi" w:cs="Arial"/>
          <w:color w:val="211D1E"/>
          <w:lang w:eastAsia="en-US"/>
        </w:rPr>
        <w:t>2007</w:t>
      </w:r>
      <w:proofErr w:type="gramStart"/>
      <w:r w:rsidRPr="001E7B3E">
        <w:rPr>
          <w:rFonts w:asciiTheme="minorHAnsi" w:hAnsiTheme="minorHAnsi" w:cs="Arial"/>
          <w:color w:val="211D1E"/>
          <w:lang w:eastAsia="en-US"/>
        </w:rPr>
        <w:t>;357:535</w:t>
      </w:r>
      <w:proofErr w:type="gramEnd"/>
      <w:r w:rsidRPr="001E7B3E">
        <w:rPr>
          <w:rFonts w:asciiTheme="minorHAnsi" w:hAnsiTheme="minorHAnsi" w:cs="Arial"/>
          <w:color w:val="211D1E"/>
          <w:lang w:eastAsia="en-US"/>
        </w:rPr>
        <w:t>–544.</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Blamey G, Forsyth A, Zourikian N, Short L, Jankovic N, De Kleijn P, Flannery T. Comprehensive elements of a physiotherapy exercise programme in haemophilia - a global perspective.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2010</w:t>
      </w:r>
      <w:proofErr w:type="gramStart"/>
      <w:r w:rsidRPr="001E7B3E">
        <w:rPr>
          <w:rFonts w:asciiTheme="minorHAnsi" w:hAnsiTheme="minorHAnsi" w:cs="Arial"/>
          <w:color w:val="211D1E"/>
          <w:lang w:eastAsia="en-US"/>
        </w:rPr>
        <w:t>;16</w:t>
      </w:r>
      <w:proofErr w:type="gramEnd"/>
      <w:r w:rsidRPr="001E7B3E">
        <w:rPr>
          <w:rFonts w:asciiTheme="minorHAnsi" w:hAnsiTheme="minorHAnsi" w:cs="Arial"/>
          <w:color w:val="211D1E"/>
          <w:lang w:eastAsia="en-US"/>
        </w:rPr>
        <w:t xml:space="preserve"> Suppl 5:136-45.</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Gomis M, Querol F, Gallach JE, Gonzalez LM, Aznar JA. </w:t>
      </w:r>
      <w:r w:rsidRPr="001E7B3E">
        <w:rPr>
          <w:rFonts w:asciiTheme="minorHAnsi" w:hAnsiTheme="minorHAnsi" w:cs="Arial"/>
          <w:color w:val="211D1E"/>
          <w:lang w:eastAsia="en-US"/>
        </w:rPr>
        <w:t xml:space="preserve">Exercise and sport in the treatment of haemophilic patients: a systematic review.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;15</w:t>
      </w:r>
      <w:proofErr w:type="gramEnd"/>
      <w:r w:rsidRPr="001E7B3E">
        <w:rPr>
          <w:rFonts w:asciiTheme="minorHAnsi" w:hAnsiTheme="minorHAnsi" w:cs="Arial"/>
          <w:color w:val="211D1E"/>
          <w:lang w:eastAsia="en-US"/>
        </w:rPr>
        <w:t>(1):43-54.</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Watson T. Current concepts in electrotherapy.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2002</w:t>
      </w:r>
      <w:proofErr w:type="gramStart"/>
      <w:r w:rsidRPr="001E7B3E">
        <w:rPr>
          <w:rFonts w:asciiTheme="minorHAnsi" w:hAnsiTheme="minorHAnsi" w:cs="Arial"/>
          <w:color w:val="211D1E"/>
          <w:lang w:eastAsia="en-US"/>
        </w:rPr>
        <w:t>;8:413</w:t>
      </w:r>
      <w:proofErr w:type="gramEnd"/>
      <w:r w:rsidRPr="001E7B3E">
        <w:rPr>
          <w:rFonts w:asciiTheme="minorHAnsi" w:hAnsiTheme="minorHAnsi" w:cs="Arial"/>
          <w:color w:val="211D1E"/>
          <w:lang w:eastAsia="en-US"/>
        </w:rPr>
        <w:t>–418.</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De Kleijn P, Gilbert M, Roosendaal G, Poonnose PM, Narayan PM, Tahir N. Functional recovery after bleeding episodes in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2004</w:t>
      </w:r>
      <w:proofErr w:type="gramStart"/>
      <w:r w:rsidRPr="001E7B3E">
        <w:rPr>
          <w:rFonts w:asciiTheme="minorHAnsi" w:hAnsiTheme="minorHAnsi" w:cs="Arial"/>
          <w:color w:val="211D1E"/>
          <w:lang w:eastAsia="en-US"/>
        </w:rPr>
        <w:t>;10:157</w:t>
      </w:r>
      <w:proofErr w:type="gramEnd"/>
      <w:r w:rsidRPr="001E7B3E">
        <w:rPr>
          <w:rFonts w:asciiTheme="minorHAnsi" w:hAnsiTheme="minorHAnsi" w:cs="Arial"/>
          <w:color w:val="211D1E"/>
          <w:lang w:eastAsia="en-US"/>
        </w:rPr>
        <w:t>–160.</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Rattray B, Nugent DJ, Young G. Celecoxib in the treatment of haemophilic synovitis, target joints, and pain in adults and children with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2006</w:t>
      </w:r>
      <w:proofErr w:type="gramStart"/>
      <w:r w:rsidRPr="001E7B3E">
        <w:rPr>
          <w:rFonts w:asciiTheme="minorHAnsi" w:hAnsiTheme="minorHAnsi" w:cs="Arial"/>
          <w:color w:val="211D1E"/>
          <w:lang w:eastAsia="en-US"/>
        </w:rPr>
        <w:t>;12</w:t>
      </w:r>
      <w:proofErr w:type="gramEnd"/>
      <w:r w:rsidRPr="001E7B3E">
        <w:rPr>
          <w:rFonts w:asciiTheme="minorHAnsi" w:hAnsiTheme="minorHAnsi" w:cs="Arial"/>
          <w:color w:val="211D1E"/>
          <w:lang w:eastAsia="en-US"/>
        </w:rPr>
        <w:t>(5):514-7.</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Tsoukas C, Eyster ME, Shingo S, et al. Evaluation of the efficacy and safety of etoricoxib in the treatment of hemophilic arthropathy. </w:t>
      </w:r>
      <w:r w:rsidRPr="001E7B3E">
        <w:rPr>
          <w:rFonts w:asciiTheme="minorHAnsi" w:hAnsiTheme="minorHAnsi" w:cs="Arial"/>
          <w:i/>
          <w:iCs/>
          <w:color w:val="211D1E"/>
          <w:lang w:eastAsia="en-US"/>
        </w:rPr>
        <w:t xml:space="preserve">Blood </w:t>
      </w:r>
      <w:r w:rsidRPr="001E7B3E">
        <w:rPr>
          <w:rFonts w:asciiTheme="minorHAnsi" w:hAnsiTheme="minorHAnsi" w:cs="Arial"/>
          <w:color w:val="211D1E"/>
          <w:lang w:eastAsia="en-US"/>
        </w:rPr>
        <w:t>2006</w:t>
      </w:r>
      <w:proofErr w:type="gramStart"/>
      <w:r w:rsidRPr="001E7B3E">
        <w:rPr>
          <w:rFonts w:asciiTheme="minorHAnsi" w:hAnsiTheme="minorHAnsi" w:cs="Arial"/>
          <w:color w:val="211D1E"/>
          <w:lang w:eastAsia="en-US"/>
        </w:rPr>
        <w:t>;107</w:t>
      </w:r>
      <w:proofErr w:type="gramEnd"/>
      <w:r w:rsidRPr="001E7B3E">
        <w:rPr>
          <w:rFonts w:asciiTheme="minorHAnsi" w:hAnsiTheme="minorHAnsi" w:cs="Arial"/>
          <w:color w:val="211D1E"/>
          <w:lang w:eastAsia="en-US"/>
        </w:rPr>
        <w:t xml:space="preserve">(5):1785-90.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Querol F, Aznar JA, Haya S, Cid A. Orthoses in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2002</w:t>
      </w:r>
      <w:proofErr w:type="gramStart"/>
      <w:r w:rsidRPr="001E7B3E">
        <w:rPr>
          <w:rFonts w:asciiTheme="minorHAnsi" w:hAnsiTheme="minorHAnsi" w:cs="Arial"/>
          <w:color w:val="211D1E"/>
          <w:lang w:eastAsia="en-US"/>
        </w:rPr>
        <w:t>;8</w:t>
      </w:r>
      <w:proofErr w:type="gramEnd"/>
      <w:r w:rsidRPr="001E7B3E">
        <w:rPr>
          <w:rFonts w:asciiTheme="minorHAnsi" w:hAnsiTheme="minorHAnsi" w:cs="Arial"/>
          <w:color w:val="211D1E"/>
          <w:lang w:eastAsia="en-US"/>
        </w:rPr>
        <w:t>(3):407-12.</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Llinás A. The role of synovectomy in the management of a target joint.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2008</w:t>
      </w:r>
      <w:proofErr w:type="gramStart"/>
      <w:r w:rsidRPr="001E7B3E">
        <w:rPr>
          <w:rFonts w:asciiTheme="minorHAnsi" w:hAnsiTheme="minorHAnsi" w:cs="Arial"/>
          <w:color w:val="211D1E"/>
          <w:lang w:eastAsia="en-US"/>
        </w:rPr>
        <w:t>;14</w:t>
      </w:r>
      <w:proofErr w:type="gramEnd"/>
      <w:r w:rsidRPr="001E7B3E">
        <w:rPr>
          <w:rFonts w:asciiTheme="minorHAnsi" w:hAnsiTheme="minorHAnsi" w:cs="Arial"/>
          <w:color w:val="211D1E"/>
          <w:lang w:eastAsia="en-US"/>
        </w:rPr>
        <w:t xml:space="preserve"> (Suppl 3):177-80.</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Yoon KH, Bae DK, Kim HS, Song SJ. Arthroscopic synovectomy in haemophilic arthropathy of the knee. </w:t>
      </w:r>
      <w:r w:rsidRPr="001E7B3E">
        <w:rPr>
          <w:rFonts w:asciiTheme="minorHAnsi" w:hAnsiTheme="minorHAnsi" w:cs="Arial"/>
          <w:i/>
          <w:iCs/>
          <w:color w:val="211D1E"/>
          <w:lang w:eastAsia="en-US"/>
        </w:rPr>
        <w:t xml:space="preserve">Int Orthop </w:t>
      </w:r>
      <w:r w:rsidRPr="001E7B3E">
        <w:rPr>
          <w:rFonts w:asciiTheme="minorHAnsi" w:hAnsiTheme="minorHAnsi" w:cs="Arial"/>
          <w:color w:val="211D1E"/>
          <w:lang w:eastAsia="en-US"/>
        </w:rPr>
        <w:t>2005</w:t>
      </w:r>
      <w:proofErr w:type="gramStart"/>
      <w:r w:rsidRPr="001E7B3E">
        <w:rPr>
          <w:rFonts w:asciiTheme="minorHAnsi" w:hAnsiTheme="minorHAnsi" w:cs="Arial"/>
          <w:color w:val="211D1E"/>
          <w:lang w:eastAsia="en-US"/>
        </w:rPr>
        <w:t>;29</w:t>
      </w:r>
      <w:proofErr w:type="gramEnd"/>
      <w:r w:rsidRPr="001E7B3E">
        <w:rPr>
          <w:rFonts w:asciiTheme="minorHAnsi" w:hAnsiTheme="minorHAnsi" w:cs="Arial"/>
          <w:color w:val="211D1E"/>
          <w:lang w:eastAsia="en-US"/>
        </w:rPr>
        <w:t>(5):296-300.</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Thomas S, Gabriel MB, Assi PE, Barboza M, Perri ML, Land MG, et al. Radioactive synovectomy with Yttrium90 citrate in haemophilic synovitis: Brazilian experience.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2011</w:t>
      </w:r>
      <w:proofErr w:type="gramStart"/>
      <w:r w:rsidRPr="001E7B3E">
        <w:rPr>
          <w:rFonts w:asciiTheme="minorHAnsi" w:hAnsiTheme="minorHAnsi" w:cs="Arial"/>
          <w:color w:val="211D1E"/>
          <w:lang w:eastAsia="en-US"/>
        </w:rPr>
        <w:t>;17</w:t>
      </w:r>
      <w:proofErr w:type="gramEnd"/>
      <w:r w:rsidRPr="001E7B3E">
        <w:rPr>
          <w:rFonts w:asciiTheme="minorHAnsi" w:hAnsiTheme="minorHAnsi" w:cs="Arial"/>
          <w:color w:val="211D1E"/>
          <w:lang w:eastAsia="en-US"/>
        </w:rPr>
        <w:t>(1):e211-e216.</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proofErr w:type="gramStart"/>
      <w:r w:rsidRPr="001E7B3E">
        <w:rPr>
          <w:rFonts w:asciiTheme="minorHAnsi" w:hAnsiTheme="minorHAnsi" w:cs="Arial"/>
          <w:color w:val="211D1E"/>
          <w:lang w:eastAsia="en-US"/>
        </w:rPr>
        <w:t>van</w:t>
      </w:r>
      <w:proofErr w:type="gramEnd"/>
      <w:r w:rsidRPr="001E7B3E">
        <w:rPr>
          <w:rFonts w:asciiTheme="minorHAnsi" w:hAnsiTheme="minorHAnsi" w:cs="Arial"/>
          <w:color w:val="211D1E"/>
          <w:lang w:eastAsia="en-US"/>
        </w:rPr>
        <w:t xml:space="preserve"> Kasteren ME, Nováková IR, Boerbooms AM, Lemmens JA. Long term follow up of radiosynovectomy with yttrium-90 silicate in haemophilic haemarthrosis. </w:t>
      </w:r>
      <w:r w:rsidRPr="001E7B3E">
        <w:rPr>
          <w:rFonts w:asciiTheme="minorHAnsi" w:hAnsiTheme="minorHAnsi" w:cs="Arial"/>
          <w:i/>
          <w:iCs/>
          <w:color w:val="211D1E"/>
          <w:lang w:eastAsia="en-US"/>
        </w:rPr>
        <w:t xml:space="preserve">Ann Rheum Dis </w:t>
      </w:r>
      <w:r w:rsidRPr="001E7B3E">
        <w:rPr>
          <w:rFonts w:asciiTheme="minorHAnsi" w:hAnsiTheme="minorHAnsi" w:cs="Arial"/>
          <w:color w:val="211D1E"/>
          <w:lang w:eastAsia="en-US"/>
        </w:rPr>
        <w:t>1993</w:t>
      </w:r>
      <w:proofErr w:type="gramStart"/>
      <w:r w:rsidRPr="001E7B3E">
        <w:rPr>
          <w:rFonts w:asciiTheme="minorHAnsi" w:hAnsiTheme="minorHAnsi" w:cs="Arial"/>
          <w:color w:val="211D1E"/>
          <w:lang w:eastAsia="en-US"/>
        </w:rPr>
        <w:t>;52</w:t>
      </w:r>
      <w:proofErr w:type="gramEnd"/>
      <w:r w:rsidRPr="001E7B3E">
        <w:rPr>
          <w:rFonts w:asciiTheme="minorHAnsi" w:hAnsiTheme="minorHAnsi" w:cs="Arial"/>
          <w:color w:val="211D1E"/>
          <w:lang w:eastAsia="en-US"/>
        </w:rPr>
        <w:t>(7):548-50.</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Bernal-Lagunas R, Aguilera-Soriano JL, Berges-Garcia A, Luna-Pizarro D, Perez-Hernandez E. Haemophilic arthropathy: the usefulness of intra-articular oxytetracycline (synoviorthesis) in the treatment of chronic synovitis in children.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2011 Mar</w:t>
      </w:r>
      <w:proofErr w:type="gramStart"/>
      <w:r w:rsidRPr="001E7B3E">
        <w:rPr>
          <w:rFonts w:asciiTheme="minorHAnsi" w:hAnsiTheme="minorHAnsi" w:cs="Arial"/>
          <w:color w:val="211D1E"/>
          <w:lang w:eastAsia="en-US"/>
        </w:rPr>
        <w:t>;17</w:t>
      </w:r>
      <w:proofErr w:type="gramEnd"/>
      <w:r w:rsidRPr="001E7B3E">
        <w:rPr>
          <w:rFonts w:asciiTheme="minorHAnsi" w:hAnsiTheme="minorHAnsi" w:cs="Arial"/>
          <w:color w:val="211D1E"/>
          <w:lang w:eastAsia="en-US"/>
        </w:rPr>
        <w:t>(2):296-9.</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Caviglia HA, Fernandez-Palazzi F, Galatro G, Perez- Bianco R. Chemical synoviorthesis with rifampicin in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2001 Jul</w:t>
      </w:r>
      <w:proofErr w:type="gramStart"/>
      <w:r w:rsidRPr="001E7B3E">
        <w:rPr>
          <w:rFonts w:asciiTheme="minorHAnsi" w:hAnsiTheme="minorHAnsi" w:cs="Arial"/>
          <w:color w:val="211D1E"/>
          <w:lang w:eastAsia="en-US"/>
        </w:rPr>
        <w:t>;7</w:t>
      </w:r>
      <w:proofErr w:type="gramEnd"/>
      <w:r w:rsidRPr="001E7B3E">
        <w:rPr>
          <w:rFonts w:asciiTheme="minorHAnsi" w:hAnsiTheme="minorHAnsi" w:cs="Arial"/>
          <w:color w:val="211D1E"/>
          <w:lang w:eastAsia="en-US"/>
        </w:rPr>
        <w:t xml:space="preserve"> Suppl 2:26-30.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lastRenderedPageBreak/>
        <w:t xml:space="preserve">Arnold WD, Hilgartner MW. Hemophilic arthropathy. Current concepts of pathogenesis and management. </w:t>
      </w:r>
      <w:r w:rsidRPr="001E7B3E">
        <w:rPr>
          <w:rFonts w:asciiTheme="minorHAnsi" w:hAnsiTheme="minorHAnsi" w:cs="Arial"/>
          <w:i/>
          <w:iCs/>
          <w:color w:val="211D1E"/>
          <w:lang w:eastAsia="en-US"/>
        </w:rPr>
        <w:t xml:space="preserve">J Bone Joint Surg Am </w:t>
      </w:r>
      <w:r w:rsidRPr="001E7B3E">
        <w:rPr>
          <w:rFonts w:asciiTheme="minorHAnsi" w:hAnsiTheme="minorHAnsi" w:cs="Arial"/>
          <w:color w:val="211D1E"/>
          <w:lang w:eastAsia="en-US"/>
        </w:rPr>
        <w:t>1977</w:t>
      </w:r>
      <w:proofErr w:type="gramStart"/>
      <w:r w:rsidRPr="001E7B3E">
        <w:rPr>
          <w:rFonts w:asciiTheme="minorHAnsi" w:hAnsiTheme="minorHAnsi" w:cs="Arial"/>
          <w:color w:val="211D1E"/>
          <w:lang w:eastAsia="en-US"/>
        </w:rPr>
        <w:t>;59</w:t>
      </w:r>
      <w:proofErr w:type="gramEnd"/>
      <w:r w:rsidRPr="001E7B3E">
        <w:rPr>
          <w:rFonts w:asciiTheme="minorHAnsi" w:hAnsiTheme="minorHAnsi" w:cs="Arial"/>
          <w:color w:val="211D1E"/>
          <w:lang w:eastAsia="en-US"/>
        </w:rPr>
        <w:t xml:space="preserve">(3):287-305.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Pettersson H, Ahlberg A, Nilsson IM. A radiologic classification of hemophilic arthropathy. </w:t>
      </w:r>
      <w:r w:rsidRPr="001E7B3E">
        <w:rPr>
          <w:rFonts w:asciiTheme="minorHAnsi" w:hAnsiTheme="minorHAnsi" w:cs="Arial"/>
          <w:i/>
          <w:iCs/>
          <w:color w:val="211D1E"/>
          <w:lang w:eastAsia="en-US"/>
        </w:rPr>
        <w:t xml:space="preserve">Clin Orthop Relat Res </w:t>
      </w:r>
      <w:proofErr w:type="gramStart"/>
      <w:r w:rsidRPr="001E7B3E">
        <w:rPr>
          <w:rFonts w:asciiTheme="minorHAnsi" w:hAnsiTheme="minorHAnsi" w:cs="Arial"/>
          <w:color w:val="211D1E"/>
          <w:lang w:eastAsia="en-US"/>
        </w:rPr>
        <w:t>1980;</w:t>
      </w:r>
      <w:proofErr w:type="gramEnd"/>
      <w:r w:rsidRPr="001E7B3E">
        <w:rPr>
          <w:rFonts w:asciiTheme="minorHAnsi" w:hAnsiTheme="minorHAnsi" w:cs="Arial"/>
          <w:color w:val="211D1E"/>
          <w:lang w:eastAsia="en-US"/>
        </w:rPr>
        <w:t xml:space="preserve">(149):153-159.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Doria AS, Lundin B, Miller S, Kilcoyne R, Dunn A, Thomas S, Rivard G, Moineddin R, Babyn PS; Expert Imageing Working Group of The International Prophylaxis Study Group. Reliability and construct validity of the compatible MRI scoring system for evaluation of elbows in haemophilic children.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2008 Mar</w:t>
      </w:r>
      <w:proofErr w:type="gramStart"/>
      <w:r w:rsidRPr="001E7B3E">
        <w:rPr>
          <w:rFonts w:asciiTheme="minorHAnsi" w:hAnsiTheme="minorHAnsi" w:cs="Arial"/>
          <w:color w:val="211D1E"/>
          <w:lang w:eastAsia="en-US"/>
        </w:rPr>
        <w:t>;14</w:t>
      </w:r>
      <w:proofErr w:type="gramEnd"/>
      <w:r w:rsidRPr="001E7B3E">
        <w:rPr>
          <w:rFonts w:asciiTheme="minorHAnsi" w:hAnsiTheme="minorHAnsi" w:cs="Arial"/>
          <w:color w:val="211D1E"/>
          <w:lang w:eastAsia="en-US"/>
        </w:rPr>
        <w:t xml:space="preserve">(2):303-14.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Keshava S, Gibikote S, Mohanta A, Doria AS. Refinement of a sonographic protocol for assessment of haemophilic arthropathy.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2009 Sep</w:t>
      </w:r>
      <w:proofErr w:type="gramStart"/>
      <w:r w:rsidRPr="001E7B3E">
        <w:rPr>
          <w:rFonts w:asciiTheme="minorHAnsi" w:hAnsiTheme="minorHAnsi" w:cs="Arial"/>
          <w:color w:val="211D1E"/>
          <w:lang w:eastAsia="en-US"/>
        </w:rPr>
        <w:t>;15</w:t>
      </w:r>
      <w:proofErr w:type="gramEnd"/>
      <w:r w:rsidRPr="001E7B3E">
        <w:rPr>
          <w:rFonts w:asciiTheme="minorHAnsi" w:hAnsiTheme="minorHAnsi" w:cs="Arial"/>
          <w:color w:val="211D1E"/>
          <w:lang w:eastAsia="en-US"/>
        </w:rPr>
        <w:t xml:space="preserve">(5):1168-71.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Zukotynski K, Jarrin J, Babyn PS, Carcao M, </w:t>
      </w:r>
      <w:proofErr w:type="gramStart"/>
      <w:r w:rsidRPr="001E7B3E">
        <w:rPr>
          <w:rFonts w:asciiTheme="minorHAnsi" w:hAnsiTheme="minorHAnsi" w:cs="Arial"/>
          <w:color w:val="211D1E"/>
          <w:lang w:eastAsia="en-US"/>
        </w:rPr>
        <w:t>Pazmino</w:t>
      </w:r>
      <w:proofErr w:type="gramEnd"/>
      <w:r w:rsidRPr="001E7B3E">
        <w:rPr>
          <w:rFonts w:asciiTheme="minorHAnsi" w:hAnsiTheme="minorHAnsi" w:cs="Arial"/>
          <w:color w:val="211D1E"/>
          <w:lang w:eastAsia="en-US"/>
        </w:rPr>
        <w:t xml:space="preserve">- Canizares J, Stain AM, Doria AS. Sonography for assessment of haemophilic arthropathy in children: a systematic protocol.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2007 May</w:t>
      </w:r>
      <w:proofErr w:type="gramStart"/>
      <w:r w:rsidRPr="001E7B3E">
        <w:rPr>
          <w:rFonts w:asciiTheme="minorHAnsi" w:hAnsiTheme="minorHAnsi" w:cs="Arial"/>
          <w:color w:val="211D1E"/>
          <w:lang w:eastAsia="en-US"/>
        </w:rPr>
        <w:t>;13</w:t>
      </w:r>
      <w:proofErr w:type="gramEnd"/>
      <w:r w:rsidRPr="001E7B3E">
        <w:rPr>
          <w:rFonts w:asciiTheme="minorHAnsi" w:hAnsiTheme="minorHAnsi" w:cs="Arial"/>
          <w:color w:val="211D1E"/>
          <w:lang w:eastAsia="en-US"/>
        </w:rPr>
        <w:t xml:space="preserve">(3):293-304.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Solimeno L, Goddard N, Pasta G, Mohanty S, Mortazavi S, Pacheco L, Sohail T, Luck J. Management of arthrofibrosis in haemophilic arthropathy.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2010 Jul</w:t>
      </w:r>
      <w:proofErr w:type="gramStart"/>
      <w:r w:rsidRPr="001E7B3E">
        <w:rPr>
          <w:rFonts w:asciiTheme="minorHAnsi" w:hAnsiTheme="minorHAnsi" w:cs="Arial"/>
          <w:color w:val="211D1E"/>
          <w:lang w:eastAsia="en-US"/>
        </w:rPr>
        <w:t>;16</w:t>
      </w:r>
      <w:proofErr w:type="gramEnd"/>
      <w:r w:rsidRPr="001E7B3E">
        <w:rPr>
          <w:rFonts w:asciiTheme="minorHAnsi" w:hAnsiTheme="minorHAnsi" w:cs="Arial"/>
          <w:color w:val="211D1E"/>
          <w:lang w:eastAsia="en-US"/>
        </w:rPr>
        <w:t xml:space="preserve"> Suppl 5:115-20.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Fernandez-Palazzi F, Battistella LR. </w:t>
      </w:r>
      <w:r w:rsidRPr="001E7B3E">
        <w:rPr>
          <w:rFonts w:asciiTheme="minorHAnsi" w:hAnsiTheme="minorHAnsi" w:cs="Arial"/>
          <w:color w:val="211D1E"/>
          <w:lang w:eastAsia="en-US"/>
        </w:rPr>
        <w:t xml:space="preserve">Non-operative treatment of flexion contracture of the knee in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1999 Mar</w:t>
      </w:r>
      <w:proofErr w:type="gramStart"/>
      <w:r w:rsidRPr="001E7B3E">
        <w:rPr>
          <w:rFonts w:asciiTheme="minorHAnsi" w:hAnsiTheme="minorHAnsi" w:cs="Arial"/>
          <w:color w:val="211D1E"/>
          <w:lang w:eastAsia="en-US"/>
        </w:rPr>
        <w:t>;5</w:t>
      </w:r>
      <w:proofErr w:type="gramEnd"/>
      <w:r w:rsidRPr="001E7B3E">
        <w:rPr>
          <w:rFonts w:asciiTheme="minorHAnsi" w:hAnsiTheme="minorHAnsi" w:cs="Arial"/>
          <w:color w:val="211D1E"/>
          <w:lang w:eastAsia="en-US"/>
        </w:rPr>
        <w:t xml:space="preserve">(Suppl 1):20-4.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Gilbert MS, Radomisli TE. Management of fixed flexion contracture of the elbow in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1999 Mar</w:t>
      </w:r>
      <w:proofErr w:type="gramStart"/>
      <w:r w:rsidRPr="001E7B3E">
        <w:rPr>
          <w:rFonts w:asciiTheme="minorHAnsi" w:hAnsiTheme="minorHAnsi" w:cs="Arial"/>
          <w:color w:val="211D1E"/>
          <w:lang w:eastAsia="en-US"/>
        </w:rPr>
        <w:t>;5</w:t>
      </w:r>
      <w:proofErr w:type="gramEnd"/>
      <w:r w:rsidRPr="001E7B3E">
        <w:rPr>
          <w:rFonts w:asciiTheme="minorHAnsi" w:hAnsiTheme="minorHAnsi" w:cs="Arial"/>
          <w:color w:val="211D1E"/>
          <w:lang w:eastAsia="en-US"/>
        </w:rPr>
        <w:t xml:space="preserve">(Suppl 1):39-42.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Spilsbury M. Models for psychosocial services in the developed and developing world.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2004 Oct</w:t>
      </w:r>
      <w:proofErr w:type="gramStart"/>
      <w:r w:rsidRPr="001E7B3E">
        <w:rPr>
          <w:rFonts w:asciiTheme="minorHAnsi" w:hAnsiTheme="minorHAnsi" w:cs="Arial"/>
          <w:color w:val="211D1E"/>
          <w:lang w:eastAsia="en-US"/>
        </w:rPr>
        <w:t>;10</w:t>
      </w:r>
      <w:proofErr w:type="gramEnd"/>
      <w:r w:rsidRPr="001E7B3E">
        <w:rPr>
          <w:rFonts w:asciiTheme="minorHAnsi" w:hAnsiTheme="minorHAnsi" w:cs="Arial"/>
          <w:color w:val="211D1E"/>
          <w:lang w:eastAsia="en-US"/>
        </w:rPr>
        <w:t xml:space="preserve">(Suppl 4):25-9.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Wiedel JD. Arthroscopic synovectomy: state of the art.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 xml:space="preserve">2002; 8:372-4.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Goddard NJ, Mann HA, Lee CA. Total knee replacement in patients with end-stage haemophilic arthropathy: 25-year results. </w:t>
      </w:r>
      <w:r w:rsidRPr="001E7B3E">
        <w:rPr>
          <w:rFonts w:asciiTheme="minorHAnsi" w:hAnsiTheme="minorHAnsi" w:cs="Arial"/>
          <w:i/>
          <w:iCs/>
          <w:color w:val="211D1E"/>
          <w:lang w:eastAsia="en-US"/>
        </w:rPr>
        <w:t xml:space="preserve">J Bone Joint Surg Br </w:t>
      </w:r>
      <w:r w:rsidRPr="001E7B3E">
        <w:rPr>
          <w:rFonts w:asciiTheme="minorHAnsi" w:hAnsiTheme="minorHAnsi" w:cs="Arial"/>
          <w:color w:val="211D1E"/>
          <w:lang w:eastAsia="en-US"/>
        </w:rPr>
        <w:t>2010 Aug</w:t>
      </w:r>
      <w:proofErr w:type="gramStart"/>
      <w:r w:rsidRPr="001E7B3E">
        <w:rPr>
          <w:rFonts w:asciiTheme="minorHAnsi" w:hAnsiTheme="minorHAnsi" w:cs="Arial"/>
          <w:color w:val="211D1E"/>
          <w:lang w:eastAsia="en-US"/>
        </w:rPr>
        <w:t>;92</w:t>
      </w:r>
      <w:proofErr w:type="gramEnd"/>
      <w:r w:rsidRPr="001E7B3E">
        <w:rPr>
          <w:rFonts w:asciiTheme="minorHAnsi" w:hAnsiTheme="minorHAnsi" w:cs="Arial"/>
          <w:color w:val="211D1E"/>
          <w:lang w:eastAsia="en-US"/>
        </w:rPr>
        <w:t xml:space="preserve">(8):1085-9.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Silva M, Luck JV Jr. Radial head excision and synovectomy in patients with hemophilia. Surgical technique. </w:t>
      </w:r>
      <w:r w:rsidRPr="001E7B3E">
        <w:rPr>
          <w:rFonts w:asciiTheme="minorHAnsi" w:hAnsiTheme="minorHAnsi" w:cs="Arial"/>
          <w:i/>
          <w:iCs/>
          <w:color w:val="211D1E"/>
          <w:lang w:eastAsia="en-US"/>
        </w:rPr>
        <w:t xml:space="preserve">J Bone Joint Surg Am </w:t>
      </w:r>
      <w:r w:rsidRPr="001E7B3E">
        <w:rPr>
          <w:rFonts w:asciiTheme="minorHAnsi" w:hAnsiTheme="minorHAnsi" w:cs="Arial"/>
          <w:color w:val="211D1E"/>
          <w:lang w:eastAsia="en-US"/>
        </w:rPr>
        <w:t>2008 Oct</w:t>
      </w:r>
      <w:proofErr w:type="gramStart"/>
      <w:r w:rsidRPr="001E7B3E">
        <w:rPr>
          <w:rFonts w:asciiTheme="minorHAnsi" w:hAnsiTheme="minorHAnsi" w:cs="Arial"/>
          <w:color w:val="211D1E"/>
          <w:lang w:eastAsia="en-US"/>
        </w:rPr>
        <w:t>;90</w:t>
      </w:r>
      <w:proofErr w:type="gramEnd"/>
      <w:r w:rsidRPr="001E7B3E">
        <w:rPr>
          <w:rFonts w:asciiTheme="minorHAnsi" w:hAnsiTheme="minorHAnsi" w:cs="Arial"/>
          <w:color w:val="211D1E"/>
          <w:lang w:eastAsia="en-US"/>
        </w:rPr>
        <w:t xml:space="preserve"> Suppl 2 Pt 2:254-61.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Barg A, Elsner A, Hefti D, Hintermann B. Haemophilic arthropathy of the ankle treated by total ankle replacement: a case series.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2010</w:t>
      </w:r>
      <w:proofErr w:type="gramStart"/>
      <w:r w:rsidRPr="001E7B3E">
        <w:rPr>
          <w:rFonts w:asciiTheme="minorHAnsi" w:hAnsiTheme="minorHAnsi" w:cs="Arial"/>
          <w:color w:val="211D1E"/>
          <w:lang w:eastAsia="en-US"/>
        </w:rPr>
        <w:t>;16</w:t>
      </w:r>
      <w:proofErr w:type="gramEnd"/>
      <w:r w:rsidRPr="001E7B3E">
        <w:rPr>
          <w:rFonts w:asciiTheme="minorHAnsi" w:hAnsiTheme="minorHAnsi" w:cs="Arial"/>
          <w:color w:val="211D1E"/>
          <w:lang w:eastAsia="en-US"/>
        </w:rPr>
        <w:t xml:space="preserve">(4):647-55.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Tsailas PG, Wiedel JD. Arthrodesis of the ankle and subtalar joints in patients with haemophilic arthropathy.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2010 Sep 1</w:t>
      </w:r>
      <w:proofErr w:type="gramStart"/>
      <w:r w:rsidRPr="001E7B3E">
        <w:rPr>
          <w:rFonts w:asciiTheme="minorHAnsi" w:hAnsiTheme="minorHAnsi" w:cs="Arial"/>
          <w:color w:val="211D1E"/>
          <w:lang w:eastAsia="en-US"/>
        </w:rPr>
        <w:t>;16</w:t>
      </w:r>
      <w:proofErr w:type="gramEnd"/>
      <w:r w:rsidRPr="001E7B3E">
        <w:rPr>
          <w:rFonts w:asciiTheme="minorHAnsi" w:hAnsiTheme="minorHAnsi" w:cs="Arial"/>
          <w:color w:val="211D1E"/>
          <w:lang w:eastAsia="en-US"/>
        </w:rPr>
        <w:t xml:space="preserve">(5):822-31.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Hermans C, Altisent C, Batorova A, et al. Replacement therapy for invasive procedures in patients with haemophilia: literature review, European survey and recommendations.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;15</w:t>
      </w:r>
      <w:proofErr w:type="gramEnd"/>
      <w:r w:rsidRPr="001E7B3E">
        <w:rPr>
          <w:rFonts w:asciiTheme="minorHAnsi" w:hAnsiTheme="minorHAnsi" w:cs="Arial"/>
          <w:color w:val="211D1E"/>
          <w:lang w:eastAsia="en-US"/>
        </w:rPr>
        <w:t xml:space="preserve">(3):639-58.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Lobet S, Pendeville E, Dalzell R, et al. </w:t>
      </w:r>
      <w:r w:rsidRPr="001E7B3E">
        <w:rPr>
          <w:rFonts w:asciiTheme="minorHAnsi" w:hAnsiTheme="minorHAnsi" w:cs="Arial"/>
          <w:color w:val="211D1E"/>
          <w:lang w:eastAsia="en-US"/>
        </w:rPr>
        <w:t xml:space="preserve">The role of physiotherapy after total knee arthroplasty in patients with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2008</w:t>
      </w:r>
      <w:proofErr w:type="gramStart"/>
      <w:r w:rsidRPr="001E7B3E">
        <w:rPr>
          <w:rFonts w:asciiTheme="minorHAnsi" w:hAnsiTheme="minorHAnsi" w:cs="Arial"/>
          <w:color w:val="211D1E"/>
          <w:lang w:eastAsia="en-US"/>
        </w:rPr>
        <w:t>;14</w:t>
      </w:r>
      <w:proofErr w:type="gramEnd"/>
      <w:r w:rsidRPr="001E7B3E">
        <w:rPr>
          <w:rFonts w:asciiTheme="minorHAnsi" w:hAnsiTheme="minorHAnsi" w:cs="Arial"/>
          <w:color w:val="211D1E"/>
          <w:lang w:eastAsia="en-US"/>
        </w:rPr>
        <w:t xml:space="preserve">(5):989-98.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Mathews V, Viswabandya A, Baidya S, George B, Nair S, Chandy M, Srivastava A. Surgery for hemophilia in developing countries. </w:t>
      </w:r>
      <w:r w:rsidRPr="001E7B3E">
        <w:rPr>
          <w:rFonts w:asciiTheme="minorHAnsi" w:hAnsiTheme="minorHAnsi" w:cs="Arial"/>
          <w:i/>
          <w:iCs/>
          <w:color w:val="211D1E"/>
          <w:lang w:eastAsia="en-US"/>
        </w:rPr>
        <w:t xml:space="preserve">Semin Thromb Hemost </w:t>
      </w:r>
      <w:r w:rsidRPr="001E7B3E">
        <w:rPr>
          <w:rFonts w:asciiTheme="minorHAnsi" w:hAnsiTheme="minorHAnsi" w:cs="Arial"/>
          <w:color w:val="211D1E"/>
          <w:lang w:eastAsia="en-US"/>
        </w:rPr>
        <w:t>2005 Nov</w:t>
      </w:r>
      <w:proofErr w:type="gramStart"/>
      <w:r w:rsidRPr="001E7B3E">
        <w:rPr>
          <w:rFonts w:asciiTheme="minorHAnsi" w:hAnsiTheme="minorHAnsi" w:cs="Arial"/>
          <w:color w:val="211D1E"/>
          <w:lang w:eastAsia="en-US"/>
        </w:rPr>
        <w:t>;31</w:t>
      </w:r>
      <w:proofErr w:type="gramEnd"/>
      <w:r w:rsidRPr="001E7B3E">
        <w:rPr>
          <w:rFonts w:asciiTheme="minorHAnsi" w:hAnsiTheme="minorHAnsi" w:cs="Arial"/>
          <w:color w:val="211D1E"/>
          <w:lang w:eastAsia="en-US"/>
        </w:rPr>
        <w:t xml:space="preserve">(5):538-43.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De Kleijn P, Blamey G, Zourikian N, Dalzell R, Lobet S. Physiotherapy following elective orthopaedic procedures.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2006</w:t>
      </w:r>
      <w:proofErr w:type="gramStart"/>
      <w:r w:rsidRPr="001E7B3E">
        <w:rPr>
          <w:rFonts w:asciiTheme="minorHAnsi" w:hAnsiTheme="minorHAnsi" w:cs="Arial"/>
          <w:color w:val="211D1E"/>
          <w:lang w:eastAsia="en-US"/>
        </w:rPr>
        <w:t>;12</w:t>
      </w:r>
      <w:proofErr w:type="gramEnd"/>
      <w:r w:rsidRPr="001E7B3E">
        <w:rPr>
          <w:rFonts w:asciiTheme="minorHAnsi" w:hAnsiTheme="minorHAnsi" w:cs="Arial"/>
          <w:color w:val="211D1E"/>
          <w:lang w:eastAsia="en-US"/>
        </w:rPr>
        <w:t xml:space="preserve"> Suppl 3:108-12.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Heijnen L, Buzzard BB.The role of physical therapy and rehabilitation in the management of hemophilia in developing countries. </w:t>
      </w:r>
      <w:r w:rsidRPr="001E7B3E">
        <w:rPr>
          <w:rFonts w:asciiTheme="minorHAnsi" w:hAnsiTheme="minorHAnsi" w:cs="Arial"/>
          <w:i/>
          <w:iCs/>
          <w:color w:val="211D1E"/>
          <w:lang w:eastAsia="en-US"/>
        </w:rPr>
        <w:t xml:space="preserve">Semin Thromb Hemost </w:t>
      </w:r>
      <w:r w:rsidRPr="001E7B3E">
        <w:rPr>
          <w:rFonts w:asciiTheme="minorHAnsi" w:hAnsiTheme="minorHAnsi" w:cs="Arial"/>
          <w:color w:val="211D1E"/>
          <w:lang w:eastAsia="en-US"/>
        </w:rPr>
        <w:t>2005</w:t>
      </w:r>
      <w:proofErr w:type="gramStart"/>
      <w:r w:rsidRPr="001E7B3E">
        <w:rPr>
          <w:rFonts w:asciiTheme="minorHAnsi" w:hAnsiTheme="minorHAnsi" w:cs="Arial"/>
          <w:color w:val="211D1E"/>
          <w:lang w:eastAsia="en-US"/>
        </w:rPr>
        <w:t>;31</w:t>
      </w:r>
      <w:proofErr w:type="gramEnd"/>
      <w:r w:rsidRPr="001E7B3E">
        <w:rPr>
          <w:rFonts w:asciiTheme="minorHAnsi" w:hAnsiTheme="minorHAnsi" w:cs="Arial"/>
          <w:color w:val="211D1E"/>
          <w:lang w:eastAsia="en-US"/>
        </w:rPr>
        <w:t xml:space="preserve">(5):513-7.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Hermans C, de Moerloose P, Fischer K, et al; European Haemophilia Therapy Standardisation Board. Management of acute haemarthrosis in haemophilia A without inhibitors: literature review, European survey and recommendations.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2011 May</w:t>
      </w:r>
      <w:proofErr w:type="gramStart"/>
      <w:r w:rsidRPr="001E7B3E">
        <w:rPr>
          <w:rFonts w:asciiTheme="minorHAnsi" w:hAnsiTheme="minorHAnsi" w:cs="Arial"/>
          <w:color w:val="211D1E"/>
          <w:lang w:eastAsia="en-US"/>
        </w:rPr>
        <w:t>;17</w:t>
      </w:r>
      <w:proofErr w:type="gramEnd"/>
      <w:r w:rsidRPr="001E7B3E">
        <w:rPr>
          <w:rFonts w:asciiTheme="minorHAnsi" w:hAnsiTheme="minorHAnsi" w:cs="Arial"/>
          <w:color w:val="211D1E"/>
          <w:lang w:eastAsia="en-US"/>
        </w:rPr>
        <w:t xml:space="preserve">(3):383-92.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lastRenderedPageBreak/>
        <w:t xml:space="preserve">D’Young AI. Conservative physiotherapeutic management of chronic haematomata and haemophilic pseudotumours: case study and comparison to historical management.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;15</w:t>
      </w:r>
      <w:proofErr w:type="gramEnd"/>
      <w:r w:rsidRPr="001E7B3E">
        <w:rPr>
          <w:rFonts w:asciiTheme="minorHAnsi" w:hAnsiTheme="minorHAnsi" w:cs="Arial"/>
          <w:color w:val="211D1E"/>
          <w:lang w:eastAsia="en-US"/>
        </w:rPr>
        <w:t xml:space="preserve">(1):253-60.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Rodriguez-Merchan EC. The haemophilic pseudotumour. </w:t>
      </w:r>
      <w:r w:rsidRPr="001E7B3E">
        <w:rPr>
          <w:rFonts w:asciiTheme="minorHAnsi" w:hAnsiTheme="minorHAnsi" w:cs="Arial"/>
          <w:i/>
          <w:iCs/>
          <w:color w:val="211D1E"/>
          <w:lang w:eastAsia="en-US"/>
        </w:rPr>
        <w:t xml:space="preserve">Int Orthop </w:t>
      </w:r>
      <w:r w:rsidRPr="001E7B3E">
        <w:rPr>
          <w:rFonts w:asciiTheme="minorHAnsi" w:hAnsiTheme="minorHAnsi" w:cs="Arial"/>
          <w:color w:val="211D1E"/>
          <w:lang w:eastAsia="en-US"/>
        </w:rPr>
        <w:t>1995</w:t>
      </w:r>
      <w:proofErr w:type="gramStart"/>
      <w:r w:rsidRPr="001E7B3E">
        <w:rPr>
          <w:rFonts w:asciiTheme="minorHAnsi" w:hAnsiTheme="minorHAnsi" w:cs="Arial"/>
          <w:color w:val="211D1E"/>
          <w:lang w:eastAsia="en-US"/>
        </w:rPr>
        <w:t>;19</w:t>
      </w:r>
      <w:proofErr w:type="gramEnd"/>
      <w:r w:rsidRPr="001E7B3E">
        <w:rPr>
          <w:rFonts w:asciiTheme="minorHAnsi" w:hAnsiTheme="minorHAnsi" w:cs="Arial"/>
          <w:color w:val="211D1E"/>
          <w:lang w:eastAsia="en-US"/>
        </w:rPr>
        <w:t xml:space="preserve">(4):255-60.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Alcalay M, Deplas A. Rheumatological management of patients with hemophilia. Part II: Muscle hematomas and pseudotumors. </w:t>
      </w:r>
      <w:r w:rsidRPr="001E7B3E">
        <w:rPr>
          <w:rFonts w:asciiTheme="minorHAnsi" w:hAnsiTheme="minorHAnsi" w:cs="Arial"/>
          <w:i/>
          <w:iCs/>
          <w:color w:val="211D1E"/>
          <w:lang w:eastAsia="en-US"/>
        </w:rPr>
        <w:t xml:space="preserve">Joint Bone Spine </w:t>
      </w:r>
      <w:r w:rsidRPr="001E7B3E">
        <w:rPr>
          <w:rFonts w:asciiTheme="minorHAnsi" w:hAnsiTheme="minorHAnsi" w:cs="Arial"/>
          <w:color w:val="211D1E"/>
          <w:lang w:eastAsia="en-US"/>
        </w:rPr>
        <w:t>2002 Dec</w:t>
      </w:r>
      <w:proofErr w:type="gramStart"/>
      <w:r w:rsidRPr="001E7B3E">
        <w:rPr>
          <w:rFonts w:asciiTheme="minorHAnsi" w:hAnsiTheme="minorHAnsi" w:cs="Arial"/>
          <w:color w:val="211D1E"/>
          <w:lang w:eastAsia="en-US"/>
        </w:rPr>
        <w:t>;69</w:t>
      </w:r>
      <w:proofErr w:type="gramEnd"/>
      <w:r w:rsidRPr="001E7B3E">
        <w:rPr>
          <w:rFonts w:asciiTheme="minorHAnsi" w:hAnsiTheme="minorHAnsi" w:cs="Arial"/>
          <w:color w:val="211D1E"/>
          <w:lang w:eastAsia="en-US"/>
        </w:rPr>
        <w:t xml:space="preserve">(6):556-9.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Espandar R, Heidari P, Rodriguez-Merchan EC. </w:t>
      </w:r>
      <w:r w:rsidRPr="001E7B3E">
        <w:rPr>
          <w:rFonts w:asciiTheme="minorHAnsi" w:hAnsiTheme="minorHAnsi" w:cs="Arial"/>
          <w:color w:val="211D1E"/>
          <w:lang w:eastAsia="en-US"/>
        </w:rPr>
        <w:t xml:space="preserve">Management of haemophilic pseudotumours with special emphasis on radiotherapy and arterial embolization.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;15</w:t>
      </w:r>
      <w:proofErr w:type="gramEnd"/>
      <w:r w:rsidRPr="001E7B3E">
        <w:rPr>
          <w:rFonts w:asciiTheme="minorHAnsi" w:hAnsiTheme="minorHAnsi" w:cs="Arial"/>
          <w:color w:val="211D1E"/>
          <w:lang w:eastAsia="en-US"/>
        </w:rPr>
        <w:t xml:space="preserve">(2):448-57.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Rodriguez-Merchan EC. Bone fractures in the haemophilia patient.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 xml:space="preserve">2002; 8(2):104-11.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Lee VN, Srivastava A, Nithyananth M, Kumar P, Cherian VM, Viswabandya A, et al. Fracture neck of femur in haemophilia A - experience from a cohort of 11 patients from a tertiary centre in India.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2007</w:t>
      </w:r>
      <w:proofErr w:type="gramStart"/>
      <w:r w:rsidRPr="001E7B3E">
        <w:rPr>
          <w:rFonts w:asciiTheme="minorHAnsi" w:hAnsiTheme="minorHAnsi" w:cs="Arial"/>
          <w:color w:val="211D1E"/>
          <w:lang w:eastAsia="en-US"/>
        </w:rPr>
        <w:t>;13</w:t>
      </w:r>
      <w:proofErr w:type="gramEnd"/>
      <w:r w:rsidRPr="001E7B3E">
        <w:rPr>
          <w:rFonts w:asciiTheme="minorHAnsi" w:hAnsiTheme="minorHAnsi" w:cs="Arial"/>
          <w:color w:val="211D1E"/>
          <w:lang w:eastAsia="en-US"/>
        </w:rPr>
        <w:t xml:space="preserve">(4):391-4.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Mortazavi SM, Heidari P. Retrograde intramedullary nailing of supracondylar femoral fractures in haemophilic patients.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2008</w:t>
      </w:r>
      <w:proofErr w:type="gramStart"/>
      <w:r w:rsidRPr="001E7B3E">
        <w:rPr>
          <w:rFonts w:asciiTheme="minorHAnsi" w:hAnsiTheme="minorHAnsi" w:cs="Arial"/>
          <w:color w:val="211D1E"/>
          <w:lang w:eastAsia="en-US"/>
        </w:rPr>
        <w:t>;14</w:t>
      </w:r>
      <w:proofErr w:type="gramEnd"/>
      <w:r w:rsidRPr="001E7B3E">
        <w:rPr>
          <w:rFonts w:asciiTheme="minorHAnsi" w:hAnsiTheme="minorHAnsi" w:cs="Arial"/>
          <w:color w:val="211D1E"/>
          <w:lang w:eastAsia="en-US"/>
        </w:rPr>
        <w:t xml:space="preserve">(3):661-664.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Lee VN, Srivastava A, PalaniKumar C, Daniel AJ, Mathews V, Babu N, Chandy M, Sundararaj GD. External fixators in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2004</w:t>
      </w:r>
      <w:proofErr w:type="gramStart"/>
      <w:r w:rsidRPr="001E7B3E">
        <w:rPr>
          <w:rFonts w:asciiTheme="minorHAnsi" w:hAnsiTheme="minorHAnsi" w:cs="Arial"/>
          <w:color w:val="211D1E"/>
          <w:lang w:eastAsia="en-US"/>
        </w:rPr>
        <w:t>;10</w:t>
      </w:r>
      <w:proofErr w:type="gramEnd"/>
      <w:r w:rsidRPr="001E7B3E">
        <w:rPr>
          <w:rFonts w:asciiTheme="minorHAnsi" w:hAnsiTheme="minorHAnsi" w:cs="Arial"/>
          <w:color w:val="211D1E"/>
          <w:lang w:eastAsia="en-US"/>
        </w:rPr>
        <w:t xml:space="preserve">(1):52-57. </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 Schild FJ, Mauser-Bunschoten EP, Verbout AJ, Van Rinsum AC, Roosendaal G. Total knee arthroplasty in hemophilic arthropathy: efficiency of clotting factor usage in multijoint procedures. </w:t>
      </w:r>
      <w:r w:rsidRPr="001E7B3E">
        <w:rPr>
          <w:rFonts w:asciiTheme="minorHAnsi" w:hAnsiTheme="minorHAnsi" w:cs="Arial"/>
          <w:i/>
          <w:iCs/>
          <w:color w:val="211D1E"/>
          <w:lang w:eastAsia="en-US"/>
        </w:rPr>
        <w:t xml:space="preserve">J Thromb Haemost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;7</w:t>
      </w:r>
      <w:proofErr w:type="gramEnd"/>
      <w:r w:rsidRPr="001E7B3E">
        <w:rPr>
          <w:rFonts w:asciiTheme="minorHAnsi" w:hAnsiTheme="minorHAnsi" w:cs="Arial"/>
          <w:color w:val="211D1E"/>
          <w:lang w:eastAsia="en-US"/>
        </w:rPr>
        <w:t>(10):1741-3.</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 Kavakli K. Fibrin glue and clinical impact on haemophilia care.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1999</w:t>
      </w:r>
      <w:proofErr w:type="gramStart"/>
      <w:r w:rsidRPr="001E7B3E">
        <w:rPr>
          <w:rFonts w:asciiTheme="minorHAnsi" w:hAnsiTheme="minorHAnsi" w:cs="Arial"/>
          <w:color w:val="211D1E"/>
          <w:lang w:eastAsia="en-US"/>
        </w:rPr>
        <w:t>;5</w:t>
      </w:r>
      <w:proofErr w:type="gramEnd"/>
      <w:r w:rsidRPr="001E7B3E">
        <w:rPr>
          <w:rFonts w:asciiTheme="minorHAnsi" w:hAnsiTheme="minorHAnsi" w:cs="Arial"/>
          <w:color w:val="211D1E"/>
          <w:lang w:eastAsia="en-US"/>
        </w:rPr>
        <w:t xml:space="preserve">(6):392-6. </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Serban M, Poenaru D, Pop L, Schramm W, et al. </w:t>
      </w:r>
      <w:r w:rsidRPr="001E7B3E">
        <w:rPr>
          <w:rFonts w:asciiTheme="minorHAnsi" w:hAnsiTheme="minorHAnsi" w:cs="Arial"/>
          <w:color w:val="211D1E"/>
          <w:lang w:eastAsia="en-US"/>
        </w:rPr>
        <w:t xml:space="preserve">Surgery--a challenge in haemophiliacs with inhibitors. </w:t>
      </w:r>
      <w:r w:rsidRPr="001E7B3E">
        <w:rPr>
          <w:rFonts w:asciiTheme="minorHAnsi" w:hAnsiTheme="minorHAnsi" w:cs="Arial"/>
          <w:i/>
          <w:iCs/>
          <w:color w:val="211D1E"/>
          <w:lang w:eastAsia="en-US"/>
        </w:rPr>
        <w:t xml:space="preserve">Hamostaseologie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;29</w:t>
      </w:r>
      <w:proofErr w:type="gramEnd"/>
      <w:r w:rsidRPr="001E7B3E">
        <w:rPr>
          <w:rFonts w:asciiTheme="minorHAnsi" w:hAnsiTheme="minorHAnsi" w:cs="Arial"/>
          <w:color w:val="211D1E"/>
          <w:lang w:eastAsia="en-US"/>
        </w:rPr>
        <w:t>(Suppl 1):S39-41.</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Astermark J, Altisent C, Batorova A, et al; European Haemophilia Therapy Standardisation Board. Non-genetic risk factors and the development of inhibitors in haemophilia: a comprehensive review and consensus report.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2010</w:t>
      </w:r>
      <w:proofErr w:type="gramStart"/>
      <w:r w:rsidRPr="001E7B3E">
        <w:rPr>
          <w:rFonts w:asciiTheme="minorHAnsi" w:hAnsiTheme="minorHAnsi" w:cs="Arial"/>
          <w:color w:val="211D1E"/>
          <w:lang w:eastAsia="en-US"/>
        </w:rPr>
        <w:t>;16</w:t>
      </w:r>
      <w:proofErr w:type="gramEnd"/>
      <w:r w:rsidRPr="001E7B3E">
        <w:rPr>
          <w:rFonts w:asciiTheme="minorHAnsi" w:hAnsiTheme="minorHAnsi" w:cs="Arial"/>
          <w:color w:val="211D1E"/>
          <w:lang w:eastAsia="en-US"/>
        </w:rPr>
        <w:t>(5):747-66.</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Wight J, Paisley S. The epidemiology of inhibitors in haemophilia A: a systematic review.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2003</w:t>
      </w:r>
      <w:proofErr w:type="gramStart"/>
      <w:r w:rsidRPr="001E7B3E">
        <w:rPr>
          <w:rFonts w:asciiTheme="minorHAnsi" w:hAnsiTheme="minorHAnsi" w:cs="Arial"/>
          <w:color w:val="211D1E"/>
          <w:lang w:eastAsia="en-US"/>
        </w:rPr>
        <w:t>;9</w:t>
      </w:r>
      <w:proofErr w:type="gramEnd"/>
      <w:r w:rsidRPr="001E7B3E">
        <w:rPr>
          <w:rFonts w:asciiTheme="minorHAnsi" w:hAnsiTheme="minorHAnsi" w:cs="Arial"/>
          <w:color w:val="211D1E"/>
          <w:lang w:eastAsia="en-US"/>
        </w:rPr>
        <w:t>(4):418-35.</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Eckhardt CL, Menke LA, Van Ommen CH, et al. </w:t>
      </w:r>
      <w:r w:rsidRPr="001E7B3E">
        <w:rPr>
          <w:rFonts w:asciiTheme="minorHAnsi" w:hAnsiTheme="minorHAnsi" w:cs="Arial"/>
          <w:color w:val="211D1E"/>
          <w:lang w:eastAsia="en-US"/>
        </w:rPr>
        <w:t xml:space="preserve">Intensive peri-operative use of factor VIII and the Arg593 -&gt;Cys mutation are risk factors for inhibitor development in mild/moderate hemophilia A. </w:t>
      </w:r>
      <w:r w:rsidRPr="001E7B3E">
        <w:rPr>
          <w:rFonts w:asciiTheme="minorHAnsi" w:hAnsiTheme="minorHAnsi" w:cs="Arial"/>
          <w:i/>
          <w:iCs/>
          <w:color w:val="211D1E"/>
          <w:lang w:eastAsia="en-US"/>
        </w:rPr>
        <w:t xml:space="preserve">J Thromb Haemost </w:t>
      </w:r>
      <w:r w:rsidRPr="001E7B3E">
        <w:rPr>
          <w:rFonts w:asciiTheme="minorHAnsi" w:hAnsiTheme="minorHAnsi" w:cs="Arial"/>
          <w:color w:val="211D1E"/>
          <w:lang w:eastAsia="en-US"/>
        </w:rPr>
        <w:t>2009;7:930-37.</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Kempton CL, Soucie JM, et al. </w:t>
      </w:r>
      <w:r w:rsidRPr="001E7B3E">
        <w:rPr>
          <w:rFonts w:asciiTheme="minorHAnsi" w:hAnsiTheme="minorHAnsi" w:cs="Arial"/>
          <w:color w:val="211D1E"/>
          <w:lang w:eastAsia="en-US"/>
        </w:rPr>
        <w:t xml:space="preserve">In non-severe hemophilia A the risk of inhibitor after intensive factor treatment is greater in older patients: a case-control study. </w:t>
      </w:r>
      <w:r w:rsidRPr="001E7B3E">
        <w:rPr>
          <w:rFonts w:asciiTheme="minorHAnsi" w:hAnsiTheme="minorHAnsi" w:cs="Arial"/>
          <w:i/>
          <w:iCs/>
          <w:color w:val="211D1E"/>
          <w:lang w:eastAsia="en-US"/>
        </w:rPr>
        <w:t xml:space="preserve">JTH </w:t>
      </w:r>
      <w:r w:rsidRPr="001E7B3E">
        <w:rPr>
          <w:rFonts w:asciiTheme="minorHAnsi" w:hAnsiTheme="minorHAnsi" w:cs="Arial"/>
          <w:color w:val="211D1E"/>
          <w:lang w:eastAsia="en-US"/>
        </w:rPr>
        <w:t>2010 Oct</w:t>
      </w:r>
      <w:proofErr w:type="gramStart"/>
      <w:r w:rsidRPr="001E7B3E">
        <w:rPr>
          <w:rFonts w:asciiTheme="minorHAnsi" w:hAnsiTheme="minorHAnsi" w:cs="Arial"/>
          <w:color w:val="211D1E"/>
          <w:lang w:eastAsia="en-US"/>
        </w:rPr>
        <w:t>;8</w:t>
      </w:r>
      <w:proofErr w:type="gramEnd"/>
      <w:r w:rsidRPr="001E7B3E">
        <w:rPr>
          <w:rFonts w:asciiTheme="minorHAnsi" w:hAnsiTheme="minorHAnsi" w:cs="Arial"/>
          <w:color w:val="211D1E"/>
          <w:lang w:eastAsia="en-US"/>
        </w:rPr>
        <w:t>(10):2224-31.</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Hay CR. Factor VIII inhibitors in mild and moderate-severity haemophilia 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1998</w:t>
      </w:r>
      <w:proofErr w:type="gramStart"/>
      <w:r w:rsidRPr="001E7B3E">
        <w:rPr>
          <w:rFonts w:asciiTheme="minorHAnsi" w:hAnsiTheme="minorHAnsi" w:cs="Arial"/>
          <w:color w:val="211D1E"/>
          <w:lang w:eastAsia="en-US"/>
        </w:rPr>
        <w:t>;4</w:t>
      </w:r>
      <w:proofErr w:type="gramEnd"/>
      <w:r w:rsidRPr="001E7B3E">
        <w:rPr>
          <w:rFonts w:asciiTheme="minorHAnsi" w:hAnsiTheme="minorHAnsi" w:cs="Arial"/>
          <w:color w:val="211D1E"/>
          <w:lang w:eastAsia="en-US"/>
        </w:rPr>
        <w:t>(4):558-63.</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Bolton-Maggs PH, Pasi KJ. Haemophilias A and B. </w:t>
      </w:r>
      <w:r w:rsidRPr="001E7B3E">
        <w:rPr>
          <w:rFonts w:asciiTheme="minorHAnsi" w:hAnsiTheme="minorHAnsi" w:cs="Arial"/>
          <w:i/>
          <w:iCs/>
          <w:color w:val="211D1E"/>
          <w:lang w:eastAsia="en-US"/>
        </w:rPr>
        <w:t xml:space="preserve">Lancet </w:t>
      </w:r>
      <w:r w:rsidRPr="001E7B3E">
        <w:rPr>
          <w:rFonts w:asciiTheme="minorHAnsi" w:hAnsiTheme="minorHAnsi" w:cs="Arial"/>
          <w:color w:val="211D1E"/>
          <w:lang w:eastAsia="en-US"/>
        </w:rPr>
        <w:t>2003 May 24</w:t>
      </w:r>
      <w:proofErr w:type="gramStart"/>
      <w:r w:rsidRPr="001E7B3E">
        <w:rPr>
          <w:rFonts w:asciiTheme="minorHAnsi" w:hAnsiTheme="minorHAnsi" w:cs="Arial"/>
          <w:color w:val="211D1E"/>
          <w:lang w:eastAsia="en-US"/>
        </w:rPr>
        <w:t>;361</w:t>
      </w:r>
      <w:proofErr w:type="gramEnd"/>
      <w:r w:rsidRPr="001E7B3E">
        <w:rPr>
          <w:rFonts w:asciiTheme="minorHAnsi" w:hAnsiTheme="minorHAnsi" w:cs="Arial"/>
          <w:color w:val="211D1E"/>
          <w:lang w:eastAsia="en-US"/>
        </w:rPr>
        <w:t>(9371):1801-9.</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Meijer P, Verbruggen B. The between-laboratory variation of factor VIII inhibitor testing: the experience of the external quality assessment program of the ECAT foundation. </w:t>
      </w:r>
      <w:r w:rsidRPr="001E7B3E">
        <w:rPr>
          <w:rFonts w:asciiTheme="minorHAnsi" w:hAnsiTheme="minorHAnsi" w:cs="Arial"/>
          <w:i/>
          <w:iCs/>
          <w:color w:val="211D1E"/>
          <w:lang w:eastAsia="en-US"/>
        </w:rPr>
        <w:t xml:space="preserve">Semin Thromb Hemost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;35</w:t>
      </w:r>
      <w:proofErr w:type="gramEnd"/>
      <w:r w:rsidRPr="001E7B3E">
        <w:rPr>
          <w:rFonts w:asciiTheme="minorHAnsi" w:hAnsiTheme="minorHAnsi" w:cs="Arial"/>
          <w:color w:val="211D1E"/>
          <w:lang w:eastAsia="en-US"/>
        </w:rPr>
        <w:t>(8):786-93.</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Verbruggen B, van Heerde WL, Laros-van Gorkom BA. Improvements in factor VIII inhibitor detection: from Bethesda to Nijmegen. </w:t>
      </w:r>
      <w:r w:rsidRPr="001E7B3E">
        <w:rPr>
          <w:rFonts w:asciiTheme="minorHAnsi" w:hAnsiTheme="minorHAnsi" w:cs="Arial"/>
          <w:i/>
          <w:iCs/>
          <w:color w:val="211D1E"/>
          <w:lang w:eastAsia="en-US"/>
        </w:rPr>
        <w:t xml:space="preserve">Semin Thromb Hemost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;35:752</w:t>
      </w:r>
      <w:proofErr w:type="gramEnd"/>
      <w:r w:rsidRPr="001E7B3E">
        <w:rPr>
          <w:rFonts w:asciiTheme="minorHAnsi" w:hAnsiTheme="minorHAnsi" w:cs="Arial"/>
          <w:color w:val="211D1E"/>
          <w:lang w:eastAsia="en-US"/>
        </w:rPr>
        <w:t>–9.</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de Moerloose P, Fischer K, Lambert T, Windyga J, Batorova A, Lavigne-Lissalde G, Rocino A, Astermark J, Hermans C. Recommendations for assessment, monitoring and follow-up of patients with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2012 May; 18(3): 319-25.</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Berntorp E, Collins P, D’Oiron R, et al. </w:t>
      </w:r>
      <w:r w:rsidRPr="001E7B3E">
        <w:rPr>
          <w:rFonts w:asciiTheme="minorHAnsi" w:hAnsiTheme="minorHAnsi" w:cs="Arial"/>
          <w:color w:val="211D1E"/>
          <w:lang w:eastAsia="en-US"/>
        </w:rPr>
        <w:t xml:space="preserve">Identifying non-responsive bleeding episodes in patients with haemophilia and inhibitors: a consensus definition.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2011</w:t>
      </w:r>
      <w:proofErr w:type="gramStart"/>
      <w:r w:rsidRPr="001E7B3E">
        <w:rPr>
          <w:rFonts w:asciiTheme="minorHAnsi" w:hAnsiTheme="minorHAnsi" w:cs="Arial"/>
          <w:color w:val="211D1E"/>
          <w:lang w:eastAsia="en-US"/>
        </w:rPr>
        <w:t>;17</w:t>
      </w:r>
      <w:proofErr w:type="gramEnd"/>
      <w:r w:rsidRPr="001E7B3E">
        <w:rPr>
          <w:rFonts w:asciiTheme="minorHAnsi" w:hAnsiTheme="minorHAnsi" w:cs="Arial"/>
          <w:color w:val="211D1E"/>
          <w:lang w:eastAsia="en-US"/>
        </w:rPr>
        <w:t xml:space="preserve">(1):e202-10. </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lastRenderedPageBreak/>
        <w:t xml:space="preserve">Hay CR, Brown S, Collins PW, Keeling DM, Liesner R. The diagnosis and management of factor VIII and IX inhibitors: a guideline from the United Kingdom Haemophilia Centre Doctors Organisation. </w:t>
      </w:r>
      <w:r w:rsidRPr="001E7B3E">
        <w:rPr>
          <w:rFonts w:asciiTheme="minorHAnsi" w:hAnsiTheme="minorHAnsi" w:cs="Arial"/>
          <w:i/>
          <w:iCs/>
          <w:color w:val="211D1E"/>
          <w:lang w:eastAsia="en-US"/>
        </w:rPr>
        <w:t xml:space="preserve">Br J Haematol </w:t>
      </w:r>
      <w:r w:rsidRPr="001E7B3E">
        <w:rPr>
          <w:rFonts w:asciiTheme="minorHAnsi" w:hAnsiTheme="minorHAnsi" w:cs="Arial"/>
          <w:color w:val="211D1E"/>
          <w:lang w:eastAsia="en-US"/>
        </w:rPr>
        <w:t>2006</w:t>
      </w:r>
      <w:proofErr w:type="gramStart"/>
      <w:r w:rsidRPr="001E7B3E">
        <w:rPr>
          <w:rFonts w:asciiTheme="minorHAnsi" w:hAnsiTheme="minorHAnsi" w:cs="Arial"/>
          <w:color w:val="211D1E"/>
          <w:lang w:eastAsia="en-US"/>
        </w:rPr>
        <w:t>;133:591</w:t>
      </w:r>
      <w:proofErr w:type="gramEnd"/>
      <w:r w:rsidRPr="001E7B3E">
        <w:rPr>
          <w:rFonts w:asciiTheme="minorHAnsi" w:hAnsiTheme="minorHAnsi" w:cs="Arial"/>
          <w:color w:val="211D1E"/>
          <w:lang w:eastAsia="en-US"/>
        </w:rPr>
        <w:t>–605.</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McMillan CW, Shapiro SS, Whitehurst D, et al. The natural history of factor VIII</w:t>
      </w:r>
      <w:proofErr w:type="gramStart"/>
      <w:r w:rsidRPr="001E7B3E">
        <w:rPr>
          <w:rFonts w:asciiTheme="minorHAnsi" w:hAnsiTheme="minorHAnsi" w:cs="Arial"/>
          <w:color w:val="211D1E"/>
          <w:lang w:eastAsia="en-US"/>
        </w:rPr>
        <w:t>:C</w:t>
      </w:r>
      <w:proofErr w:type="gramEnd"/>
      <w:r w:rsidRPr="001E7B3E">
        <w:rPr>
          <w:rFonts w:asciiTheme="minorHAnsi" w:hAnsiTheme="minorHAnsi" w:cs="Arial"/>
          <w:color w:val="211D1E"/>
          <w:lang w:eastAsia="en-US"/>
        </w:rPr>
        <w:t xml:space="preserve"> inhibitors in patients with hemophilia A: a national cooperative study. II. Observations on the initial development of factor VIII</w:t>
      </w:r>
      <w:proofErr w:type="gramStart"/>
      <w:r w:rsidRPr="001E7B3E">
        <w:rPr>
          <w:rFonts w:asciiTheme="minorHAnsi" w:hAnsiTheme="minorHAnsi" w:cs="Arial"/>
          <w:color w:val="211D1E"/>
          <w:lang w:eastAsia="en-US"/>
        </w:rPr>
        <w:t>:C</w:t>
      </w:r>
      <w:proofErr w:type="gramEnd"/>
      <w:r w:rsidRPr="001E7B3E">
        <w:rPr>
          <w:rFonts w:asciiTheme="minorHAnsi" w:hAnsiTheme="minorHAnsi" w:cs="Arial"/>
          <w:color w:val="211D1E"/>
          <w:lang w:eastAsia="en-US"/>
        </w:rPr>
        <w:t xml:space="preserve"> inhibitors. </w:t>
      </w:r>
      <w:r w:rsidRPr="001E7B3E">
        <w:rPr>
          <w:rFonts w:asciiTheme="minorHAnsi" w:hAnsiTheme="minorHAnsi" w:cs="Arial"/>
          <w:i/>
          <w:iCs/>
          <w:color w:val="211D1E"/>
          <w:lang w:eastAsia="en-US"/>
        </w:rPr>
        <w:t xml:space="preserve">Blood </w:t>
      </w:r>
      <w:r w:rsidRPr="001E7B3E">
        <w:rPr>
          <w:rFonts w:asciiTheme="minorHAnsi" w:hAnsiTheme="minorHAnsi" w:cs="Arial"/>
          <w:color w:val="211D1E"/>
          <w:lang w:eastAsia="en-US"/>
        </w:rPr>
        <w:t>1988</w:t>
      </w:r>
      <w:proofErr w:type="gramStart"/>
      <w:r w:rsidRPr="001E7B3E">
        <w:rPr>
          <w:rFonts w:asciiTheme="minorHAnsi" w:hAnsiTheme="minorHAnsi" w:cs="Arial"/>
          <w:color w:val="211D1E"/>
          <w:lang w:eastAsia="en-US"/>
        </w:rPr>
        <w:t>;71</w:t>
      </w:r>
      <w:proofErr w:type="gramEnd"/>
      <w:r w:rsidRPr="001E7B3E">
        <w:rPr>
          <w:rFonts w:asciiTheme="minorHAnsi" w:hAnsiTheme="minorHAnsi" w:cs="Arial"/>
          <w:color w:val="211D1E"/>
          <w:lang w:eastAsia="en-US"/>
        </w:rPr>
        <w:t>(2):344-8.</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Sharathkumar A, Lillicrap D, Blanchette VS, et al. </w:t>
      </w:r>
      <w:r w:rsidRPr="001E7B3E">
        <w:rPr>
          <w:rFonts w:asciiTheme="minorHAnsi" w:hAnsiTheme="minorHAnsi" w:cs="Arial"/>
          <w:color w:val="211D1E"/>
          <w:lang w:eastAsia="en-US"/>
        </w:rPr>
        <w:t xml:space="preserve">Intensive exposure to factor VIII is a risk factor for inhibitor development in mild hemophilia A. </w:t>
      </w:r>
      <w:r w:rsidRPr="001E7B3E">
        <w:rPr>
          <w:rFonts w:asciiTheme="minorHAnsi" w:hAnsiTheme="minorHAnsi" w:cs="Arial"/>
          <w:i/>
          <w:iCs/>
          <w:color w:val="211D1E"/>
          <w:lang w:eastAsia="en-US"/>
        </w:rPr>
        <w:t xml:space="preserve">J Thromb Haemost </w:t>
      </w:r>
      <w:r w:rsidRPr="001E7B3E">
        <w:rPr>
          <w:rFonts w:asciiTheme="minorHAnsi" w:hAnsiTheme="minorHAnsi" w:cs="Arial"/>
          <w:color w:val="211D1E"/>
          <w:lang w:eastAsia="en-US"/>
        </w:rPr>
        <w:t>2003</w:t>
      </w:r>
      <w:proofErr w:type="gramStart"/>
      <w:r w:rsidRPr="001E7B3E">
        <w:rPr>
          <w:rFonts w:asciiTheme="minorHAnsi" w:hAnsiTheme="minorHAnsi" w:cs="Arial"/>
          <w:color w:val="211D1E"/>
          <w:lang w:eastAsia="en-US"/>
        </w:rPr>
        <w:t>;1</w:t>
      </w:r>
      <w:proofErr w:type="gramEnd"/>
      <w:r w:rsidRPr="001E7B3E">
        <w:rPr>
          <w:rFonts w:asciiTheme="minorHAnsi" w:hAnsiTheme="minorHAnsi" w:cs="Arial"/>
          <w:color w:val="211D1E"/>
          <w:lang w:eastAsia="en-US"/>
        </w:rPr>
        <w:t>(6):1228-36.</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Teitel JM, Carcao M, Lillicrap D, et al. </w:t>
      </w:r>
      <w:r w:rsidRPr="001E7B3E">
        <w:rPr>
          <w:rFonts w:asciiTheme="minorHAnsi" w:hAnsiTheme="minorHAnsi" w:cs="Arial"/>
          <w:color w:val="211D1E"/>
          <w:lang w:eastAsia="en-US"/>
        </w:rPr>
        <w:t xml:space="preserve">Orthopaedic surgery in haemophilia patients with inhibitors: a practical guide to haemostatic, surgical and rehabilitative care.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2009; 15(1):227-39.</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Colvin BT, Astermark J, Fischer K, Gringeri A, Lassila R, Schramm W, Thomas A, Ingerslev J; Inter Disciplinary Working Group. European principles of haemophilia care.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2008</w:t>
      </w:r>
      <w:proofErr w:type="gramStart"/>
      <w:r w:rsidRPr="001E7B3E">
        <w:rPr>
          <w:rFonts w:asciiTheme="minorHAnsi" w:hAnsiTheme="minorHAnsi" w:cs="Arial"/>
          <w:color w:val="211D1E"/>
          <w:lang w:eastAsia="en-US"/>
        </w:rPr>
        <w:t>;14</w:t>
      </w:r>
      <w:proofErr w:type="gramEnd"/>
      <w:r w:rsidRPr="001E7B3E">
        <w:rPr>
          <w:rFonts w:asciiTheme="minorHAnsi" w:hAnsiTheme="minorHAnsi" w:cs="Arial"/>
          <w:color w:val="211D1E"/>
          <w:lang w:eastAsia="en-US"/>
        </w:rPr>
        <w:t>(2):361-74.</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Teitel JM, Berntorp E, Collins P, et al. A systematic approach to controlling problem bleeds in patients with severe congenital haemophilia A and high-titre inhibitors.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2007</w:t>
      </w:r>
      <w:proofErr w:type="gramStart"/>
      <w:r w:rsidRPr="001E7B3E">
        <w:rPr>
          <w:rFonts w:asciiTheme="minorHAnsi" w:hAnsiTheme="minorHAnsi" w:cs="Arial"/>
          <w:color w:val="211D1E"/>
          <w:lang w:eastAsia="en-US"/>
        </w:rPr>
        <w:t>;13</w:t>
      </w:r>
      <w:proofErr w:type="gramEnd"/>
      <w:r w:rsidRPr="001E7B3E">
        <w:rPr>
          <w:rFonts w:asciiTheme="minorHAnsi" w:hAnsiTheme="minorHAnsi" w:cs="Arial"/>
          <w:color w:val="211D1E"/>
          <w:lang w:eastAsia="en-US"/>
        </w:rPr>
        <w:t>: 256–63.</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Astermark J, Donfield SM, DiMichele DM, et al. </w:t>
      </w:r>
      <w:r w:rsidRPr="001E7B3E">
        <w:rPr>
          <w:rFonts w:asciiTheme="minorHAnsi" w:hAnsiTheme="minorHAnsi" w:cs="Arial"/>
          <w:color w:val="211D1E"/>
          <w:lang w:eastAsia="en-US"/>
        </w:rPr>
        <w:t xml:space="preserve">A randomized comparison of bypassing agents in hemophilia complicated by an inhibitor: the FEIBA Novoseven Comparative (FENOC) Study. </w:t>
      </w:r>
      <w:r w:rsidRPr="001E7B3E">
        <w:rPr>
          <w:rFonts w:asciiTheme="minorHAnsi" w:hAnsiTheme="minorHAnsi" w:cs="Arial"/>
          <w:i/>
          <w:iCs/>
          <w:color w:val="211D1E"/>
          <w:lang w:eastAsia="en-US"/>
        </w:rPr>
        <w:t xml:space="preserve">Blood </w:t>
      </w:r>
      <w:r w:rsidRPr="001E7B3E">
        <w:rPr>
          <w:rFonts w:asciiTheme="minorHAnsi" w:hAnsiTheme="minorHAnsi" w:cs="Arial"/>
          <w:color w:val="211D1E"/>
          <w:lang w:eastAsia="en-US"/>
        </w:rPr>
        <w:t>2007</w:t>
      </w:r>
      <w:proofErr w:type="gramStart"/>
      <w:r w:rsidRPr="001E7B3E">
        <w:rPr>
          <w:rFonts w:asciiTheme="minorHAnsi" w:hAnsiTheme="minorHAnsi" w:cs="Arial"/>
          <w:color w:val="211D1E"/>
          <w:lang w:eastAsia="en-US"/>
        </w:rPr>
        <w:t>;109</w:t>
      </w:r>
      <w:proofErr w:type="gramEnd"/>
      <w:r w:rsidRPr="001E7B3E">
        <w:rPr>
          <w:rFonts w:asciiTheme="minorHAnsi" w:hAnsiTheme="minorHAnsi" w:cs="Arial"/>
          <w:color w:val="211D1E"/>
          <w:lang w:eastAsia="en-US"/>
        </w:rPr>
        <w:t>(2):546-51.</w:t>
      </w:r>
    </w:p>
    <w:p w:rsidR="00484EFC" w:rsidRPr="001E7B3E" w:rsidRDefault="00484EFC" w:rsidP="00484EFC">
      <w:pPr>
        <w:pStyle w:val="ListParagraph"/>
        <w:autoSpaceDE w:val="0"/>
        <w:autoSpaceDN w:val="0"/>
        <w:adjustRightInd w:val="0"/>
        <w:spacing w:after="0"/>
        <w:ind w:left="567"/>
        <w:rPr>
          <w:rFonts w:asciiTheme="minorHAnsi" w:hAnsiTheme="minorHAnsi" w:cs="Arial"/>
          <w:color w:val="211D1E"/>
          <w:lang w:eastAsia="en-US"/>
        </w:rPr>
      </w:pPr>
      <w:r w:rsidRPr="001E7B3E">
        <w:rPr>
          <w:rFonts w:asciiTheme="minorHAnsi" w:hAnsiTheme="minorHAnsi" w:cs="Arial"/>
          <w:color w:val="211D1E"/>
          <w:lang w:eastAsia="en-US"/>
        </w:rPr>
        <w:t xml:space="preserve"> Berntorp E, Shapiro A, Astermark J, et al. Inhibitor treatment in haemophilias A and B: summary statement for the 2006 international consensus conference.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2006</w:t>
      </w:r>
      <w:proofErr w:type="gramStart"/>
      <w:r w:rsidRPr="001E7B3E">
        <w:rPr>
          <w:rFonts w:asciiTheme="minorHAnsi" w:hAnsiTheme="minorHAnsi" w:cs="Arial"/>
          <w:color w:val="211D1E"/>
          <w:lang w:eastAsia="en-US"/>
        </w:rPr>
        <w:t>;12</w:t>
      </w:r>
      <w:proofErr w:type="gramEnd"/>
      <w:r w:rsidRPr="001E7B3E">
        <w:rPr>
          <w:rFonts w:asciiTheme="minorHAnsi" w:hAnsiTheme="minorHAnsi" w:cs="Arial"/>
          <w:color w:val="211D1E"/>
          <w:lang w:eastAsia="en-US"/>
        </w:rPr>
        <w:t>(Suppl 6):1–7.</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Chitlur M, Warrier I, Rajpurkar M, Lusher JM. Inhibitors in factor IX deficiency a report of the ISTH-SSC international FIX inhibitor registry (1997-2006).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;15</w:t>
      </w:r>
      <w:proofErr w:type="gramEnd"/>
      <w:r w:rsidRPr="001E7B3E">
        <w:rPr>
          <w:rFonts w:asciiTheme="minorHAnsi" w:hAnsiTheme="minorHAnsi" w:cs="Arial"/>
          <w:color w:val="211D1E"/>
          <w:lang w:eastAsia="en-US"/>
        </w:rPr>
        <w:t>(5):1027-31.</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Recht M, Pollmann H, Tagliaferri A, et al. A retrospective study to describe the incidence of moderate to severe allergic reactions to factor IX in subjects with haemophilia B.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2011</w:t>
      </w:r>
      <w:proofErr w:type="gramStart"/>
      <w:r w:rsidRPr="001E7B3E">
        <w:rPr>
          <w:rFonts w:asciiTheme="minorHAnsi" w:hAnsiTheme="minorHAnsi" w:cs="Arial"/>
          <w:color w:val="211D1E"/>
          <w:lang w:eastAsia="en-US"/>
        </w:rPr>
        <w:t>;17</w:t>
      </w:r>
      <w:proofErr w:type="gramEnd"/>
      <w:r w:rsidRPr="001E7B3E">
        <w:rPr>
          <w:rFonts w:asciiTheme="minorHAnsi" w:hAnsiTheme="minorHAnsi" w:cs="Arial"/>
          <w:color w:val="211D1E"/>
          <w:lang w:eastAsia="en-US"/>
        </w:rPr>
        <w:t xml:space="preserve">(3):494-9. </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Coppola A, Di Minno MN, Santagostino E. Optimizing management of immune tolerance induction in patients with severe haemophilia A and inhibitors: towards evidence-based approaches. </w:t>
      </w:r>
      <w:r w:rsidRPr="001E7B3E">
        <w:rPr>
          <w:rFonts w:asciiTheme="minorHAnsi" w:hAnsiTheme="minorHAnsi" w:cs="Arial"/>
          <w:i/>
          <w:iCs/>
          <w:color w:val="211D1E"/>
          <w:lang w:eastAsia="en-US"/>
        </w:rPr>
        <w:t xml:space="preserve">Br J Haematol </w:t>
      </w:r>
      <w:r w:rsidRPr="001E7B3E">
        <w:rPr>
          <w:rFonts w:asciiTheme="minorHAnsi" w:hAnsiTheme="minorHAnsi" w:cs="Arial"/>
          <w:color w:val="211D1E"/>
          <w:lang w:eastAsia="en-US"/>
        </w:rPr>
        <w:t>2010</w:t>
      </w:r>
      <w:proofErr w:type="gramStart"/>
      <w:r w:rsidRPr="001E7B3E">
        <w:rPr>
          <w:rFonts w:asciiTheme="minorHAnsi" w:hAnsiTheme="minorHAnsi" w:cs="Arial"/>
          <w:color w:val="211D1E"/>
          <w:lang w:eastAsia="en-US"/>
        </w:rPr>
        <w:t>;150</w:t>
      </w:r>
      <w:proofErr w:type="gramEnd"/>
      <w:r w:rsidRPr="001E7B3E">
        <w:rPr>
          <w:rFonts w:asciiTheme="minorHAnsi" w:hAnsiTheme="minorHAnsi" w:cs="Arial"/>
          <w:color w:val="211D1E"/>
          <w:lang w:eastAsia="en-US"/>
        </w:rPr>
        <w:t>(5):515-28.</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DiMichele DM, Hoots WK, Pipe SW, Rivard GE, Santagostino E. International workshop on immune tolerance induction: consensus recommendations.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2007</w:t>
      </w:r>
      <w:proofErr w:type="gramStart"/>
      <w:r w:rsidRPr="001E7B3E">
        <w:rPr>
          <w:rFonts w:asciiTheme="minorHAnsi" w:hAnsiTheme="minorHAnsi" w:cs="Arial"/>
          <w:color w:val="211D1E"/>
          <w:lang w:eastAsia="en-US"/>
        </w:rPr>
        <w:t>;13</w:t>
      </w:r>
      <w:proofErr w:type="gramEnd"/>
      <w:r w:rsidRPr="001E7B3E">
        <w:rPr>
          <w:rFonts w:asciiTheme="minorHAnsi" w:hAnsiTheme="minorHAnsi" w:cs="Arial"/>
          <w:color w:val="211D1E"/>
          <w:lang w:eastAsia="en-US"/>
        </w:rPr>
        <w:t xml:space="preserve"> Suppl 1:1-22.</w:t>
      </w:r>
    </w:p>
    <w:p w:rsidR="00484EFC" w:rsidRPr="001E7B3E" w:rsidRDefault="00484EFC" w:rsidP="00484EFC">
      <w:pPr>
        <w:pStyle w:val="ListParagraph"/>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DiMichele DM. Immune tolerance induction in haemophilia: evidence and the way forward. </w:t>
      </w:r>
      <w:r w:rsidRPr="001E7B3E">
        <w:rPr>
          <w:rFonts w:asciiTheme="minorHAnsi" w:hAnsiTheme="minorHAnsi" w:cs="Arial"/>
          <w:i/>
          <w:iCs/>
          <w:color w:val="211D1E"/>
          <w:lang w:eastAsia="en-US"/>
        </w:rPr>
        <w:t xml:space="preserve">J Thromb Haemost </w:t>
      </w:r>
      <w:r w:rsidRPr="001E7B3E">
        <w:rPr>
          <w:rFonts w:asciiTheme="minorHAnsi" w:hAnsiTheme="minorHAnsi" w:cs="Arial"/>
          <w:color w:val="211D1E"/>
          <w:lang w:eastAsia="en-US"/>
        </w:rPr>
        <w:t>2011 Jul</w:t>
      </w:r>
      <w:proofErr w:type="gramStart"/>
      <w:r w:rsidRPr="001E7B3E">
        <w:rPr>
          <w:rFonts w:asciiTheme="minorHAnsi" w:hAnsiTheme="minorHAnsi" w:cs="Arial"/>
          <w:color w:val="211D1E"/>
          <w:lang w:eastAsia="en-US"/>
        </w:rPr>
        <w:t>;9</w:t>
      </w:r>
      <w:proofErr w:type="gramEnd"/>
      <w:r w:rsidRPr="001E7B3E">
        <w:rPr>
          <w:rFonts w:asciiTheme="minorHAnsi" w:hAnsiTheme="minorHAnsi" w:cs="Arial"/>
          <w:color w:val="211D1E"/>
          <w:lang w:eastAsia="en-US"/>
        </w:rPr>
        <w:t xml:space="preserve"> Suppl 1:216-25.</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Hay CR, Dimichele DM. The principal results of the International Immune Tolerance Study: a randomized dose comparison. </w:t>
      </w:r>
      <w:r w:rsidRPr="001E7B3E">
        <w:rPr>
          <w:rFonts w:asciiTheme="minorHAnsi" w:hAnsiTheme="minorHAnsi" w:cs="Arial"/>
          <w:i/>
          <w:iCs/>
          <w:color w:val="211D1E"/>
          <w:lang w:eastAsia="en-US"/>
        </w:rPr>
        <w:t xml:space="preserve">Blood </w:t>
      </w:r>
      <w:r w:rsidRPr="001E7B3E">
        <w:rPr>
          <w:rFonts w:asciiTheme="minorHAnsi" w:hAnsiTheme="minorHAnsi" w:cs="Arial"/>
          <w:color w:val="211D1E"/>
          <w:lang w:eastAsia="en-US"/>
        </w:rPr>
        <w:t>2012</w:t>
      </w:r>
      <w:proofErr w:type="gramStart"/>
      <w:r w:rsidRPr="001E7B3E">
        <w:rPr>
          <w:rFonts w:asciiTheme="minorHAnsi" w:hAnsiTheme="minorHAnsi" w:cs="Arial"/>
          <w:color w:val="211D1E"/>
          <w:lang w:eastAsia="en-US"/>
        </w:rPr>
        <w:t>;119:1335</w:t>
      </w:r>
      <w:proofErr w:type="gramEnd"/>
      <w:r w:rsidRPr="001E7B3E">
        <w:rPr>
          <w:rFonts w:asciiTheme="minorHAnsi" w:hAnsiTheme="minorHAnsi" w:cs="Arial"/>
          <w:color w:val="211D1E"/>
          <w:lang w:eastAsia="en-US"/>
        </w:rPr>
        <w:t xml:space="preserve">-1344.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Beutel K, Hauch H, Rischewski J, Kordes U, Schneppenheim J, Schneppenheim R. ITI with high-dose FIX and combined immunosuppressive therapy in a patient with severe haemophilia B and inhibitor. </w:t>
      </w:r>
      <w:r w:rsidRPr="001E7B3E">
        <w:rPr>
          <w:rFonts w:asciiTheme="minorHAnsi" w:hAnsiTheme="minorHAnsi" w:cs="Arial"/>
          <w:i/>
          <w:iCs/>
          <w:color w:val="211D1E"/>
          <w:lang w:eastAsia="en-US"/>
        </w:rPr>
        <w:t xml:space="preserve">Hamostaseologie </w:t>
      </w:r>
      <w:r w:rsidRPr="001E7B3E">
        <w:rPr>
          <w:rFonts w:asciiTheme="minorHAnsi" w:hAnsiTheme="minorHAnsi" w:cs="Arial"/>
          <w:color w:val="211D1E"/>
          <w:lang w:eastAsia="en-US"/>
        </w:rPr>
        <w:t>2009 May</w:t>
      </w:r>
      <w:proofErr w:type="gramStart"/>
      <w:r w:rsidRPr="001E7B3E">
        <w:rPr>
          <w:rFonts w:asciiTheme="minorHAnsi" w:hAnsiTheme="minorHAnsi" w:cs="Arial"/>
          <w:color w:val="211D1E"/>
          <w:lang w:eastAsia="en-US"/>
        </w:rPr>
        <w:t>;29</w:t>
      </w:r>
      <w:proofErr w:type="gramEnd"/>
      <w:r w:rsidRPr="001E7B3E">
        <w:rPr>
          <w:rFonts w:asciiTheme="minorHAnsi" w:hAnsiTheme="minorHAnsi" w:cs="Arial"/>
          <w:color w:val="211D1E"/>
          <w:lang w:eastAsia="en-US"/>
        </w:rPr>
        <w:t xml:space="preserve">(2):155-7.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Arnold DM, Julian JA, Walker IR, et al; Association of Hemophilia Clinic Directors of Canada. Mortality rates and causes of death among all HIV-positive individuals with hemophilia in Canada over 21 years of follow-up. </w:t>
      </w:r>
      <w:r w:rsidRPr="001E7B3E">
        <w:rPr>
          <w:rFonts w:asciiTheme="minorHAnsi" w:hAnsiTheme="minorHAnsi" w:cs="Arial"/>
          <w:i/>
          <w:iCs/>
          <w:color w:val="211D1E"/>
          <w:lang w:eastAsia="en-US"/>
        </w:rPr>
        <w:t xml:space="preserve">Blood </w:t>
      </w:r>
      <w:r w:rsidRPr="001E7B3E">
        <w:rPr>
          <w:rFonts w:asciiTheme="minorHAnsi" w:hAnsiTheme="minorHAnsi" w:cs="Arial"/>
          <w:color w:val="211D1E"/>
          <w:lang w:eastAsia="en-US"/>
        </w:rPr>
        <w:t>2006</w:t>
      </w:r>
      <w:proofErr w:type="gramStart"/>
      <w:r w:rsidRPr="001E7B3E">
        <w:rPr>
          <w:rFonts w:asciiTheme="minorHAnsi" w:hAnsiTheme="minorHAnsi" w:cs="Arial"/>
          <w:color w:val="211D1E"/>
          <w:lang w:eastAsia="en-US"/>
        </w:rPr>
        <w:t>;108</w:t>
      </w:r>
      <w:proofErr w:type="gramEnd"/>
      <w:r w:rsidRPr="001E7B3E">
        <w:rPr>
          <w:rFonts w:asciiTheme="minorHAnsi" w:hAnsiTheme="minorHAnsi" w:cs="Arial"/>
          <w:color w:val="211D1E"/>
          <w:lang w:eastAsia="en-US"/>
        </w:rPr>
        <w:t xml:space="preserve">(2):460-4.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Lee CA, Sabin CA, et al. </w:t>
      </w:r>
      <w:r w:rsidRPr="001E7B3E">
        <w:rPr>
          <w:rFonts w:asciiTheme="minorHAnsi" w:hAnsiTheme="minorHAnsi" w:cs="Arial"/>
          <w:color w:val="211D1E"/>
          <w:lang w:eastAsia="en-US"/>
        </w:rPr>
        <w:t xml:space="preserve">Morbidity and mortality from transfusion-transmitted disease in haemophilia. </w:t>
      </w:r>
      <w:r w:rsidRPr="001E7B3E">
        <w:rPr>
          <w:rFonts w:asciiTheme="minorHAnsi" w:hAnsiTheme="minorHAnsi" w:cs="Arial"/>
          <w:i/>
          <w:iCs/>
          <w:color w:val="211D1E"/>
          <w:lang w:eastAsia="en-US"/>
        </w:rPr>
        <w:t xml:space="preserve">Lancet </w:t>
      </w:r>
      <w:r w:rsidRPr="001E7B3E">
        <w:rPr>
          <w:rFonts w:asciiTheme="minorHAnsi" w:hAnsiTheme="minorHAnsi" w:cs="Arial"/>
          <w:color w:val="211D1E"/>
          <w:lang w:eastAsia="en-US"/>
        </w:rPr>
        <w:t>1995</w:t>
      </w:r>
      <w:proofErr w:type="gramStart"/>
      <w:r w:rsidRPr="001E7B3E">
        <w:rPr>
          <w:rFonts w:asciiTheme="minorHAnsi" w:hAnsiTheme="minorHAnsi" w:cs="Arial"/>
          <w:color w:val="211D1E"/>
          <w:lang w:eastAsia="en-US"/>
        </w:rPr>
        <w:t>;345</w:t>
      </w:r>
      <w:proofErr w:type="gramEnd"/>
      <w:r w:rsidRPr="001E7B3E">
        <w:rPr>
          <w:rFonts w:asciiTheme="minorHAnsi" w:hAnsiTheme="minorHAnsi" w:cs="Arial"/>
          <w:color w:val="211D1E"/>
          <w:lang w:eastAsia="en-US"/>
        </w:rPr>
        <w:t xml:space="preserve">(8960):1309.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Farrugia A, Evers T, Falcou PF, Burnouf T, Amorim L, Thomas S. Plasma fractionation issues. </w:t>
      </w:r>
      <w:r w:rsidRPr="001E7B3E">
        <w:rPr>
          <w:rFonts w:asciiTheme="minorHAnsi" w:hAnsiTheme="minorHAnsi" w:cs="Arial"/>
          <w:i/>
          <w:iCs/>
          <w:color w:val="211D1E"/>
          <w:lang w:eastAsia="en-US"/>
        </w:rPr>
        <w:t xml:space="preserve">Biologicals </w:t>
      </w:r>
      <w:r w:rsidRPr="001E7B3E">
        <w:rPr>
          <w:rFonts w:asciiTheme="minorHAnsi" w:hAnsiTheme="minorHAnsi" w:cs="Arial"/>
          <w:color w:val="211D1E"/>
          <w:lang w:eastAsia="en-US"/>
        </w:rPr>
        <w:t>2009 Apr</w:t>
      </w:r>
      <w:proofErr w:type="gramStart"/>
      <w:r w:rsidRPr="001E7B3E">
        <w:rPr>
          <w:rFonts w:asciiTheme="minorHAnsi" w:hAnsiTheme="minorHAnsi" w:cs="Arial"/>
          <w:color w:val="211D1E"/>
          <w:lang w:eastAsia="en-US"/>
        </w:rPr>
        <w:t>;37</w:t>
      </w:r>
      <w:proofErr w:type="gramEnd"/>
      <w:r w:rsidRPr="001E7B3E">
        <w:rPr>
          <w:rFonts w:asciiTheme="minorHAnsi" w:hAnsiTheme="minorHAnsi" w:cs="Arial"/>
          <w:color w:val="211D1E"/>
          <w:lang w:eastAsia="en-US"/>
        </w:rPr>
        <w:t xml:space="preserve">(2):88-93.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lastRenderedPageBreak/>
        <w:t xml:space="preserve">Mauser-Bunschoten EP, Posthouwer D, Fischer K, van den Berg HM. Safety and efficacy of a plasma-derived monoclonal purified factor VIII concentrate during 10 years of follow-up.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2007 Nov</w:t>
      </w:r>
      <w:proofErr w:type="gramStart"/>
      <w:r w:rsidRPr="001E7B3E">
        <w:rPr>
          <w:rFonts w:asciiTheme="minorHAnsi" w:hAnsiTheme="minorHAnsi" w:cs="Arial"/>
          <w:color w:val="211D1E"/>
          <w:lang w:eastAsia="en-US"/>
        </w:rPr>
        <w:t>;13</w:t>
      </w:r>
      <w:proofErr w:type="gramEnd"/>
      <w:r w:rsidRPr="001E7B3E">
        <w:rPr>
          <w:rFonts w:asciiTheme="minorHAnsi" w:hAnsiTheme="minorHAnsi" w:cs="Arial"/>
          <w:color w:val="211D1E"/>
          <w:lang w:eastAsia="en-US"/>
        </w:rPr>
        <w:t xml:space="preserve">(6):697-700.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Ludlam CA, Mannucci PM, Powderly WG; European Interdisciplinary Working Group. Addressing current challenges in haemophilia care: consensus recommendations of a European Interdisciplinary Working Group.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2005</w:t>
      </w:r>
      <w:proofErr w:type="gramStart"/>
      <w:r w:rsidRPr="001E7B3E">
        <w:rPr>
          <w:rFonts w:asciiTheme="minorHAnsi" w:hAnsiTheme="minorHAnsi" w:cs="Arial"/>
          <w:color w:val="211D1E"/>
          <w:lang w:eastAsia="en-US"/>
        </w:rPr>
        <w:t>;11</w:t>
      </w:r>
      <w:proofErr w:type="gramEnd"/>
      <w:r w:rsidRPr="001E7B3E">
        <w:rPr>
          <w:rFonts w:asciiTheme="minorHAnsi" w:hAnsiTheme="minorHAnsi" w:cs="Arial"/>
          <w:color w:val="211D1E"/>
          <w:lang w:eastAsia="en-US"/>
        </w:rPr>
        <w:t xml:space="preserve">(5):433-7.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Farrugia A, Manno CS, Evatt BL. Emerging and receding risks of therapeutic regimens for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2004</w:t>
      </w:r>
      <w:proofErr w:type="gramStart"/>
      <w:r w:rsidRPr="001E7B3E">
        <w:rPr>
          <w:rFonts w:asciiTheme="minorHAnsi" w:hAnsiTheme="minorHAnsi" w:cs="Arial"/>
          <w:color w:val="211D1E"/>
          <w:lang w:eastAsia="en-US"/>
        </w:rPr>
        <w:t>;10</w:t>
      </w:r>
      <w:proofErr w:type="gramEnd"/>
      <w:r w:rsidRPr="001E7B3E">
        <w:rPr>
          <w:rFonts w:asciiTheme="minorHAnsi" w:hAnsiTheme="minorHAnsi" w:cs="Arial"/>
          <w:color w:val="211D1E"/>
          <w:lang w:eastAsia="en-US"/>
        </w:rPr>
        <w:t xml:space="preserve">(Suppl 4):47-54.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Tapper ML. Emerging viral diseases and infectious disease risks.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2006</w:t>
      </w:r>
      <w:proofErr w:type="gramStart"/>
      <w:r w:rsidRPr="001E7B3E">
        <w:rPr>
          <w:rFonts w:asciiTheme="minorHAnsi" w:hAnsiTheme="minorHAnsi" w:cs="Arial"/>
          <w:color w:val="211D1E"/>
          <w:lang w:eastAsia="en-US"/>
        </w:rPr>
        <w:t>;12</w:t>
      </w:r>
      <w:proofErr w:type="gramEnd"/>
      <w:r w:rsidRPr="001E7B3E">
        <w:rPr>
          <w:rFonts w:asciiTheme="minorHAnsi" w:hAnsiTheme="minorHAnsi" w:cs="Arial"/>
          <w:color w:val="211D1E"/>
          <w:lang w:eastAsia="en-US"/>
        </w:rPr>
        <w:t xml:space="preserve">(Suppl 1):3-7.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Evatt BL, Austin H, </w:t>
      </w:r>
      <w:proofErr w:type="gramStart"/>
      <w:r w:rsidRPr="001E7B3E">
        <w:rPr>
          <w:rFonts w:asciiTheme="minorHAnsi" w:hAnsiTheme="minorHAnsi" w:cs="Arial"/>
          <w:color w:val="211D1E"/>
          <w:lang w:eastAsia="en-US"/>
        </w:rPr>
        <w:t>Leon</w:t>
      </w:r>
      <w:proofErr w:type="gramEnd"/>
      <w:r w:rsidRPr="001E7B3E">
        <w:rPr>
          <w:rFonts w:asciiTheme="minorHAnsi" w:hAnsiTheme="minorHAnsi" w:cs="Arial"/>
          <w:color w:val="211D1E"/>
          <w:lang w:eastAsia="en-US"/>
        </w:rPr>
        <w:t xml:space="preserve"> G, Ruiz-Sáez A, de Bosch N. Haemophilia therapy: assessing the cumulative risk of HIV exposure by cryoprecipitate.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1999</w:t>
      </w:r>
      <w:proofErr w:type="gramStart"/>
      <w:r w:rsidRPr="001E7B3E">
        <w:rPr>
          <w:rFonts w:asciiTheme="minorHAnsi" w:hAnsiTheme="minorHAnsi" w:cs="Arial"/>
          <w:color w:val="211D1E"/>
          <w:lang w:eastAsia="en-US"/>
        </w:rPr>
        <w:t>;5</w:t>
      </w:r>
      <w:proofErr w:type="gramEnd"/>
      <w:r w:rsidRPr="001E7B3E">
        <w:rPr>
          <w:rFonts w:asciiTheme="minorHAnsi" w:hAnsiTheme="minorHAnsi" w:cs="Arial"/>
          <w:color w:val="211D1E"/>
          <w:lang w:eastAsia="en-US"/>
        </w:rPr>
        <w:t xml:space="preserve">(5):295-300.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Mannucci PM, Gringeri A, Savidge G, et al; European- Australian Haemophilia Collaborative Study Group. Randomized double-blind, placebo-controlled trial of twice-daily zidovudine in asymptomatic haemophiliacs infected with the human immunodeficiency virus type 1. </w:t>
      </w:r>
      <w:r w:rsidRPr="001E7B3E">
        <w:rPr>
          <w:rFonts w:asciiTheme="minorHAnsi" w:hAnsiTheme="minorHAnsi" w:cs="Arial"/>
          <w:i/>
          <w:iCs/>
          <w:color w:val="211D1E"/>
          <w:lang w:eastAsia="en-US"/>
        </w:rPr>
        <w:t xml:space="preserve">Br J Haematol </w:t>
      </w:r>
      <w:r w:rsidRPr="001E7B3E">
        <w:rPr>
          <w:rFonts w:asciiTheme="minorHAnsi" w:hAnsiTheme="minorHAnsi" w:cs="Arial"/>
          <w:color w:val="211D1E"/>
          <w:lang w:eastAsia="en-US"/>
        </w:rPr>
        <w:t>1994</w:t>
      </w:r>
      <w:proofErr w:type="gramStart"/>
      <w:r w:rsidRPr="001E7B3E">
        <w:rPr>
          <w:rFonts w:asciiTheme="minorHAnsi" w:hAnsiTheme="minorHAnsi" w:cs="Arial"/>
          <w:color w:val="211D1E"/>
          <w:lang w:eastAsia="en-US"/>
        </w:rPr>
        <w:t>;86</w:t>
      </w:r>
      <w:proofErr w:type="gramEnd"/>
      <w:r w:rsidRPr="001E7B3E">
        <w:rPr>
          <w:rFonts w:asciiTheme="minorHAnsi" w:hAnsiTheme="minorHAnsi" w:cs="Arial"/>
          <w:color w:val="211D1E"/>
          <w:lang w:eastAsia="en-US"/>
        </w:rPr>
        <w:t xml:space="preserve">(1):174-9.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Ragni MV, Amato DA, LoFaro ML, et al. Randomized study of didanosine monotherapy and combination therapy with zidovudine in hemophilic and nonhemophilic subjects with asymptomatic human immunodeficiency virus-1 infection. </w:t>
      </w:r>
      <w:r w:rsidRPr="001E7B3E">
        <w:rPr>
          <w:rFonts w:asciiTheme="minorHAnsi" w:hAnsiTheme="minorHAnsi" w:cs="Arial"/>
          <w:i/>
          <w:iCs/>
          <w:color w:val="211D1E"/>
          <w:lang w:eastAsia="en-US"/>
        </w:rPr>
        <w:t xml:space="preserve">Blood </w:t>
      </w:r>
      <w:r w:rsidRPr="001E7B3E">
        <w:rPr>
          <w:rFonts w:asciiTheme="minorHAnsi" w:hAnsiTheme="minorHAnsi" w:cs="Arial"/>
          <w:color w:val="211D1E"/>
          <w:lang w:eastAsia="en-US"/>
        </w:rPr>
        <w:t>1995</w:t>
      </w:r>
      <w:proofErr w:type="gramStart"/>
      <w:r w:rsidRPr="001E7B3E">
        <w:rPr>
          <w:rFonts w:asciiTheme="minorHAnsi" w:hAnsiTheme="minorHAnsi" w:cs="Arial"/>
          <w:color w:val="211D1E"/>
          <w:lang w:eastAsia="en-US"/>
        </w:rPr>
        <w:t>;85</w:t>
      </w:r>
      <w:proofErr w:type="gramEnd"/>
      <w:r w:rsidRPr="001E7B3E">
        <w:rPr>
          <w:rFonts w:asciiTheme="minorHAnsi" w:hAnsiTheme="minorHAnsi" w:cs="Arial"/>
          <w:color w:val="211D1E"/>
          <w:lang w:eastAsia="en-US"/>
        </w:rPr>
        <w:t xml:space="preserve">(9):2337-46.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Humphreys EH, Chang LW, Harris J. Antiretroviral regimens for patients with HIV who fail first-line antiretroviral therapy. </w:t>
      </w:r>
      <w:r w:rsidRPr="001E7B3E">
        <w:rPr>
          <w:rFonts w:asciiTheme="minorHAnsi" w:hAnsiTheme="minorHAnsi" w:cs="Arial"/>
          <w:i/>
          <w:iCs/>
          <w:color w:val="211D1E"/>
          <w:lang w:eastAsia="en-US"/>
        </w:rPr>
        <w:t xml:space="preserve">Cochrane Database Syst Rev </w:t>
      </w:r>
      <w:r w:rsidRPr="001E7B3E">
        <w:rPr>
          <w:rFonts w:asciiTheme="minorHAnsi" w:hAnsiTheme="minorHAnsi" w:cs="Arial"/>
          <w:color w:val="211D1E"/>
          <w:lang w:eastAsia="en-US"/>
        </w:rPr>
        <w:t xml:space="preserve">2010 Jun </w:t>
      </w:r>
      <w:proofErr w:type="gramStart"/>
      <w:r w:rsidRPr="001E7B3E">
        <w:rPr>
          <w:rFonts w:asciiTheme="minorHAnsi" w:hAnsiTheme="minorHAnsi" w:cs="Arial"/>
          <w:color w:val="211D1E"/>
          <w:lang w:eastAsia="en-US"/>
        </w:rPr>
        <w:t>16;</w:t>
      </w:r>
      <w:proofErr w:type="gramEnd"/>
      <w:r w:rsidRPr="001E7B3E">
        <w:rPr>
          <w:rFonts w:asciiTheme="minorHAnsi" w:hAnsiTheme="minorHAnsi" w:cs="Arial"/>
          <w:color w:val="211D1E"/>
          <w:lang w:eastAsia="en-US"/>
        </w:rPr>
        <w:t xml:space="preserve">(6):CD006517.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Spaulding A, Rutherford GW, Siegfried N. Tenofovir or zidovudine in three-drug combination therapy with one nucleoside reverse transcriptase inhibitor and one non-nucleoside reverse transcriptase inhibitor for initial treatment of HIV infection in antiretroviral-naïve individuals. </w:t>
      </w:r>
      <w:r w:rsidRPr="001E7B3E">
        <w:rPr>
          <w:rFonts w:asciiTheme="minorHAnsi" w:hAnsiTheme="minorHAnsi" w:cs="Arial"/>
          <w:i/>
          <w:iCs/>
          <w:color w:val="211D1E"/>
          <w:lang w:eastAsia="en-US"/>
        </w:rPr>
        <w:t xml:space="preserve">Cochrane Database Syst Rev </w:t>
      </w:r>
      <w:r w:rsidRPr="001E7B3E">
        <w:rPr>
          <w:rFonts w:asciiTheme="minorHAnsi" w:hAnsiTheme="minorHAnsi" w:cs="Arial"/>
          <w:color w:val="211D1E"/>
          <w:lang w:eastAsia="en-US"/>
        </w:rPr>
        <w:t xml:space="preserve">2010 Oct </w:t>
      </w:r>
      <w:proofErr w:type="gramStart"/>
      <w:r w:rsidRPr="001E7B3E">
        <w:rPr>
          <w:rFonts w:asciiTheme="minorHAnsi" w:hAnsiTheme="minorHAnsi" w:cs="Arial"/>
          <w:color w:val="211D1E"/>
          <w:lang w:eastAsia="en-US"/>
        </w:rPr>
        <w:t>6;</w:t>
      </w:r>
      <w:proofErr w:type="gramEnd"/>
      <w:r w:rsidRPr="001E7B3E">
        <w:rPr>
          <w:rFonts w:asciiTheme="minorHAnsi" w:hAnsiTheme="minorHAnsi" w:cs="Arial"/>
          <w:color w:val="211D1E"/>
          <w:lang w:eastAsia="en-US"/>
        </w:rPr>
        <w:t xml:space="preserve">(10):CD008740.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Spaulding A, Rutherford GW, Siegfried N. Stavudine or zidovudine in three-drug combination therapy for initial treatment of HIV infection in antiretroviral-naïve individuals. </w:t>
      </w:r>
      <w:r w:rsidRPr="001E7B3E">
        <w:rPr>
          <w:rFonts w:asciiTheme="minorHAnsi" w:hAnsiTheme="minorHAnsi" w:cs="Arial"/>
          <w:i/>
          <w:iCs/>
          <w:color w:val="211D1E"/>
          <w:lang w:eastAsia="en-US"/>
        </w:rPr>
        <w:t xml:space="preserve">Cochrane Database Syst Rev </w:t>
      </w:r>
      <w:r w:rsidRPr="001E7B3E">
        <w:rPr>
          <w:rFonts w:asciiTheme="minorHAnsi" w:hAnsiTheme="minorHAnsi" w:cs="Arial"/>
          <w:color w:val="211D1E"/>
          <w:lang w:eastAsia="en-US"/>
        </w:rPr>
        <w:t xml:space="preserve">2010 Aug </w:t>
      </w:r>
      <w:proofErr w:type="gramStart"/>
      <w:r w:rsidRPr="001E7B3E">
        <w:rPr>
          <w:rFonts w:asciiTheme="minorHAnsi" w:hAnsiTheme="minorHAnsi" w:cs="Arial"/>
          <w:color w:val="211D1E"/>
          <w:lang w:eastAsia="en-US"/>
        </w:rPr>
        <w:t>4;</w:t>
      </w:r>
      <w:proofErr w:type="gramEnd"/>
      <w:r w:rsidRPr="001E7B3E">
        <w:rPr>
          <w:rFonts w:asciiTheme="minorHAnsi" w:hAnsiTheme="minorHAnsi" w:cs="Arial"/>
          <w:color w:val="211D1E"/>
          <w:lang w:eastAsia="en-US"/>
        </w:rPr>
        <w:t xml:space="preserve">(8):CD008651.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Denholm JT, Wright EJ, Street A, Sasadeusz JJ. HCV treatment with pegylated interferon and ribavirin in patients with haemophilia and HIV/HCV co-infection.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;15</w:t>
      </w:r>
      <w:proofErr w:type="gramEnd"/>
      <w:r w:rsidRPr="001E7B3E">
        <w:rPr>
          <w:rFonts w:asciiTheme="minorHAnsi" w:hAnsiTheme="minorHAnsi" w:cs="Arial"/>
          <w:color w:val="211D1E"/>
          <w:lang w:eastAsia="en-US"/>
        </w:rPr>
        <w:t xml:space="preserve">(2):538-543.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Franchini M, Mengoli C, Veneri D, Mazzi R, Lippi G, Cruciani M. Treatment of chronic hepatitis C in haemophilic patients with interferon and ribavirin: a meta-analysis. </w:t>
      </w:r>
      <w:r w:rsidRPr="001E7B3E">
        <w:rPr>
          <w:rFonts w:asciiTheme="minorHAnsi" w:hAnsiTheme="minorHAnsi" w:cs="Arial"/>
          <w:i/>
          <w:iCs/>
          <w:color w:val="211D1E"/>
          <w:lang w:eastAsia="en-US"/>
        </w:rPr>
        <w:t xml:space="preserve">J Antimicrob Chemother </w:t>
      </w:r>
      <w:r w:rsidRPr="001E7B3E">
        <w:rPr>
          <w:rFonts w:asciiTheme="minorHAnsi" w:hAnsiTheme="minorHAnsi" w:cs="Arial"/>
          <w:color w:val="211D1E"/>
          <w:lang w:eastAsia="en-US"/>
        </w:rPr>
        <w:t>2008</w:t>
      </w:r>
      <w:proofErr w:type="gramStart"/>
      <w:r w:rsidRPr="001E7B3E">
        <w:rPr>
          <w:rFonts w:asciiTheme="minorHAnsi" w:hAnsiTheme="minorHAnsi" w:cs="Arial"/>
          <w:color w:val="211D1E"/>
          <w:lang w:eastAsia="en-US"/>
        </w:rPr>
        <w:t>;61</w:t>
      </w:r>
      <w:proofErr w:type="gramEnd"/>
      <w:r w:rsidRPr="001E7B3E">
        <w:rPr>
          <w:rFonts w:asciiTheme="minorHAnsi" w:hAnsiTheme="minorHAnsi" w:cs="Arial"/>
          <w:color w:val="211D1E"/>
          <w:lang w:eastAsia="en-US"/>
        </w:rPr>
        <w:t xml:space="preserve">(6):1191-200.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Hartwell D, Jones J, Baxter L, Shepherd J. Peginterferon alfa and ribavirin for chronic hepatitis C in patients eligible for shortened treatment, re-treatment or in HCV/HIV co-infection: a systematic review and economic evaluation. </w:t>
      </w:r>
      <w:r w:rsidRPr="001E7B3E">
        <w:rPr>
          <w:rFonts w:asciiTheme="minorHAnsi" w:hAnsiTheme="minorHAnsi" w:cs="Arial"/>
          <w:i/>
          <w:iCs/>
          <w:color w:val="211D1E"/>
          <w:lang w:eastAsia="en-US"/>
        </w:rPr>
        <w:t xml:space="preserve">Health Technol Assess </w:t>
      </w:r>
      <w:r w:rsidRPr="001E7B3E">
        <w:rPr>
          <w:rFonts w:asciiTheme="minorHAnsi" w:hAnsiTheme="minorHAnsi" w:cs="Arial"/>
          <w:color w:val="211D1E"/>
          <w:lang w:eastAsia="en-US"/>
        </w:rPr>
        <w:t>2011 Apr</w:t>
      </w:r>
      <w:proofErr w:type="gramStart"/>
      <w:r w:rsidRPr="001E7B3E">
        <w:rPr>
          <w:rFonts w:asciiTheme="minorHAnsi" w:hAnsiTheme="minorHAnsi" w:cs="Arial"/>
          <w:color w:val="211D1E"/>
          <w:lang w:eastAsia="en-US"/>
        </w:rPr>
        <w:t>;15</w:t>
      </w:r>
      <w:proofErr w:type="gramEnd"/>
      <w:r w:rsidRPr="001E7B3E">
        <w:rPr>
          <w:rFonts w:asciiTheme="minorHAnsi" w:hAnsiTheme="minorHAnsi" w:cs="Arial"/>
          <w:color w:val="211D1E"/>
          <w:lang w:eastAsia="en-US"/>
        </w:rPr>
        <w:t xml:space="preserve">(17):i-xii, 1-210.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Operskalski EA, Kovacs A. HIV/HCV co-infection: pathogenesis, clinical complications, treatment, and new therapeutic technologies. </w:t>
      </w:r>
      <w:r w:rsidRPr="001E7B3E">
        <w:rPr>
          <w:rFonts w:asciiTheme="minorHAnsi" w:hAnsiTheme="minorHAnsi" w:cs="Arial"/>
          <w:i/>
          <w:iCs/>
          <w:color w:val="211D1E"/>
          <w:lang w:eastAsia="en-US"/>
        </w:rPr>
        <w:t xml:space="preserve">Curr HIV/AIDS Rep </w:t>
      </w:r>
      <w:r w:rsidRPr="001E7B3E">
        <w:rPr>
          <w:rFonts w:asciiTheme="minorHAnsi" w:hAnsiTheme="minorHAnsi" w:cs="Arial"/>
          <w:color w:val="211D1E"/>
          <w:lang w:eastAsia="en-US"/>
        </w:rPr>
        <w:t>2011 Mar</w:t>
      </w:r>
      <w:proofErr w:type="gramStart"/>
      <w:r w:rsidRPr="001E7B3E">
        <w:rPr>
          <w:rFonts w:asciiTheme="minorHAnsi" w:hAnsiTheme="minorHAnsi" w:cs="Arial"/>
          <w:color w:val="211D1E"/>
          <w:lang w:eastAsia="en-US"/>
        </w:rPr>
        <w:t>;8</w:t>
      </w:r>
      <w:proofErr w:type="gramEnd"/>
      <w:r w:rsidRPr="001E7B3E">
        <w:rPr>
          <w:rFonts w:asciiTheme="minorHAnsi" w:hAnsiTheme="minorHAnsi" w:cs="Arial"/>
          <w:color w:val="211D1E"/>
          <w:lang w:eastAsia="en-US"/>
        </w:rPr>
        <w:t xml:space="preserve">(1):12-22.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Posthouwer D, Mauser-Bunschoten EP, Fischer K, Makris M. Treatment of chronic hepatitis C in patients with haemophilia: a review of the literature.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2006</w:t>
      </w:r>
      <w:proofErr w:type="gramStart"/>
      <w:r w:rsidRPr="001E7B3E">
        <w:rPr>
          <w:rFonts w:asciiTheme="minorHAnsi" w:hAnsiTheme="minorHAnsi" w:cs="Arial"/>
          <w:color w:val="211D1E"/>
          <w:lang w:eastAsia="en-US"/>
        </w:rPr>
        <w:t>;12</w:t>
      </w:r>
      <w:proofErr w:type="gramEnd"/>
      <w:r w:rsidRPr="001E7B3E">
        <w:rPr>
          <w:rFonts w:asciiTheme="minorHAnsi" w:hAnsiTheme="minorHAnsi" w:cs="Arial"/>
          <w:color w:val="211D1E"/>
          <w:lang w:eastAsia="en-US"/>
        </w:rPr>
        <w:t xml:space="preserve">(5):473-8. </w:t>
      </w:r>
    </w:p>
    <w:p w:rsidR="00484EFC"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Schulze Zur Wiesch J, Pieper D, et al. Sustained virological response after early antiviral treatment of acute hepatitis C virus and HIV coinfection. </w:t>
      </w:r>
      <w:r w:rsidRPr="001E7B3E">
        <w:rPr>
          <w:rFonts w:asciiTheme="minorHAnsi" w:hAnsiTheme="minorHAnsi" w:cs="Arial"/>
          <w:i/>
          <w:iCs/>
          <w:color w:val="211D1E"/>
          <w:lang w:eastAsia="en-US"/>
        </w:rPr>
        <w:t xml:space="preserve">Clin Infect Dis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;49</w:t>
      </w:r>
      <w:proofErr w:type="gramEnd"/>
      <w:r w:rsidRPr="001E7B3E">
        <w:rPr>
          <w:rFonts w:asciiTheme="minorHAnsi" w:hAnsiTheme="minorHAnsi" w:cs="Arial"/>
          <w:color w:val="211D1E"/>
          <w:lang w:eastAsia="en-US"/>
        </w:rPr>
        <w:t xml:space="preserve">(3):466-72. </w:t>
      </w:r>
    </w:p>
    <w:p w:rsidR="00484EFC" w:rsidRPr="00CB20E7"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CB20E7">
        <w:rPr>
          <w:rStyle w:val="A8"/>
          <w:rFonts w:asciiTheme="minorHAnsi" w:eastAsia="Calibri" w:hAnsiTheme="minorHAnsi"/>
          <w:color w:val="221E1F"/>
          <w:sz w:val="22"/>
          <w:szCs w:val="24"/>
        </w:rPr>
        <w:t>W Kemp S Roberts Pegylated Interferon and Ribavirin for the Treatment of Chronic Hepatitis C Clinical Medicine Insights: Therapeutics 2011:3.</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lastRenderedPageBreak/>
        <w:t xml:space="preserve">Lok AS, Gardiner DF, Lawitz E, et al. Preliminary Study of Two Antiviral Agents for Hepatitis C Genotype 1. </w:t>
      </w:r>
      <w:r w:rsidRPr="001E7B3E">
        <w:rPr>
          <w:rFonts w:asciiTheme="minorHAnsi" w:hAnsiTheme="minorHAnsi" w:cs="Arial"/>
          <w:i/>
          <w:iCs/>
          <w:color w:val="211D1E"/>
          <w:lang w:eastAsia="en-US"/>
        </w:rPr>
        <w:t xml:space="preserve">NEJM </w:t>
      </w:r>
      <w:r w:rsidRPr="001E7B3E">
        <w:rPr>
          <w:rFonts w:asciiTheme="minorHAnsi" w:hAnsiTheme="minorHAnsi" w:cs="Arial"/>
          <w:color w:val="211D1E"/>
          <w:lang w:eastAsia="en-US"/>
        </w:rPr>
        <w:t>2012</w:t>
      </w:r>
      <w:proofErr w:type="gramStart"/>
      <w:r w:rsidRPr="001E7B3E">
        <w:rPr>
          <w:rFonts w:asciiTheme="minorHAnsi" w:hAnsiTheme="minorHAnsi" w:cs="Arial"/>
          <w:color w:val="211D1E"/>
          <w:lang w:eastAsia="en-US"/>
        </w:rPr>
        <w:t>;366</w:t>
      </w:r>
      <w:proofErr w:type="gramEnd"/>
      <w:r w:rsidRPr="001E7B3E">
        <w:rPr>
          <w:rFonts w:asciiTheme="minorHAnsi" w:hAnsiTheme="minorHAnsi" w:cs="Arial"/>
          <w:color w:val="211D1E"/>
          <w:lang w:eastAsia="en-US"/>
        </w:rPr>
        <w:t xml:space="preserve">(3):216-224.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Santagostino E, Colombo M, Rivi M, et al. </w:t>
      </w:r>
      <w:r w:rsidRPr="001E7B3E">
        <w:rPr>
          <w:rFonts w:asciiTheme="minorHAnsi" w:hAnsiTheme="minorHAnsi" w:cs="Arial"/>
          <w:color w:val="211D1E"/>
          <w:lang w:eastAsia="en-US"/>
        </w:rPr>
        <w:t xml:space="preserve">A 6-month versus a 12-month surveillance for hepatocellular carcinoma in 559 hemophiliacs infected with the hepatitis C virus. </w:t>
      </w:r>
      <w:r w:rsidRPr="001E7B3E">
        <w:rPr>
          <w:rFonts w:asciiTheme="minorHAnsi" w:hAnsiTheme="minorHAnsi" w:cs="Arial"/>
          <w:i/>
          <w:iCs/>
          <w:color w:val="211D1E"/>
          <w:lang w:eastAsia="en-US"/>
        </w:rPr>
        <w:t xml:space="preserve">Blood </w:t>
      </w:r>
      <w:r w:rsidRPr="001E7B3E">
        <w:rPr>
          <w:rFonts w:asciiTheme="minorHAnsi" w:hAnsiTheme="minorHAnsi" w:cs="Arial"/>
          <w:color w:val="211D1E"/>
          <w:lang w:eastAsia="en-US"/>
        </w:rPr>
        <w:t>2003</w:t>
      </w:r>
      <w:proofErr w:type="gramStart"/>
      <w:r w:rsidRPr="001E7B3E">
        <w:rPr>
          <w:rFonts w:asciiTheme="minorHAnsi" w:hAnsiTheme="minorHAnsi" w:cs="Arial"/>
          <w:color w:val="211D1E"/>
          <w:lang w:eastAsia="en-US"/>
        </w:rPr>
        <w:t>;102</w:t>
      </w:r>
      <w:proofErr w:type="gramEnd"/>
      <w:r w:rsidRPr="001E7B3E">
        <w:rPr>
          <w:rFonts w:asciiTheme="minorHAnsi" w:hAnsiTheme="minorHAnsi" w:cs="Arial"/>
          <w:color w:val="211D1E"/>
          <w:lang w:eastAsia="en-US"/>
        </w:rPr>
        <w:t xml:space="preserve">(1):78-82. </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Steele M, Cochrane A, Wakefield C, Stain AM, Ling S, Blanchette V, et al. Hepatitis A and B immunization for individuals with inherited bleeding disorders.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2009</w:t>
      </w:r>
      <w:proofErr w:type="gramStart"/>
      <w:r w:rsidRPr="001E7B3E">
        <w:rPr>
          <w:rFonts w:asciiTheme="minorHAnsi" w:hAnsiTheme="minorHAnsi" w:cs="Arial"/>
          <w:color w:val="211D1E"/>
          <w:lang w:eastAsia="en-US"/>
        </w:rPr>
        <w:t>;15:437</w:t>
      </w:r>
      <w:proofErr w:type="gramEnd"/>
      <w:r w:rsidRPr="001E7B3E">
        <w:rPr>
          <w:rFonts w:asciiTheme="minorHAnsi" w:hAnsiTheme="minorHAnsi" w:cs="Arial"/>
          <w:color w:val="211D1E"/>
          <w:lang w:eastAsia="en-US"/>
        </w:rPr>
        <w:t>–447.</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Miller EJ, Lee CA, Karayiannis P, Holmes S, Thomas HC, Kernoff PB. Immune response of patients with congenital coagulation disorders to hepatitis B vaccine: suboptimal response and human immunodeficiency virus infection. </w:t>
      </w:r>
      <w:r w:rsidRPr="001E7B3E">
        <w:rPr>
          <w:rFonts w:asciiTheme="minorHAnsi" w:hAnsiTheme="minorHAnsi" w:cs="Arial"/>
          <w:i/>
          <w:iCs/>
          <w:color w:val="211D1E"/>
          <w:lang w:eastAsia="en-US"/>
        </w:rPr>
        <w:t xml:space="preserve">J Med Virol </w:t>
      </w:r>
      <w:r w:rsidRPr="001E7B3E">
        <w:rPr>
          <w:rFonts w:asciiTheme="minorHAnsi" w:hAnsiTheme="minorHAnsi" w:cs="Arial"/>
          <w:color w:val="211D1E"/>
          <w:lang w:eastAsia="en-US"/>
        </w:rPr>
        <w:t>1989</w:t>
      </w:r>
      <w:proofErr w:type="gramStart"/>
      <w:r w:rsidRPr="001E7B3E">
        <w:rPr>
          <w:rFonts w:asciiTheme="minorHAnsi" w:hAnsiTheme="minorHAnsi" w:cs="Arial"/>
          <w:color w:val="211D1E"/>
          <w:lang w:eastAsia="en-US"/>
        </w:rPr>
        <w:t>;28:96</w:t>
      </w:r>
      <w:proofErr w:type="gramEnd"/>
      <w:r w:rsidRPr="001E7B3E">
        <w:rPr>
          <w:rFonts w:asciiTheme="minorHAnsi" w:hAnsiTheme="minorHAnsi" w:cs="Arial"/>
          <w:color w:val="211D1E"/>
          <w:lang w:eastAsia="en-US"/>
        </w:rPr>
        <w:t>–100.</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Pillay D, Pereira C, Sabin C, Powell L, Zuckerman AJ, Lee CA. A long-term follow-up of hepatitis B vaccination in patients with congenital clotting disorders. </w:t>
      </w:r>
      <w:r w:rsidRPr="001E7B3E">
        <w:rPr>
          <w:rFonts w:asciiTheme="minorHAnsi" w:hAnsiTheme="minorHAnsi" w:cs="Arial"/>
          <w:i/>
          <w:iCs/>
          <w:color w:val="211D1E"/>
          <w:lang w:eastAsia="en-US"/>
        </w:rPr>
        <w:t xml:space="preserve">Vaccine </w:t>
      </w:r>
      <w:r w:rsidRPr="001E7B3E">
        <w:rPr>
          <w:rFonts w:asciiTheme="minorHAnsi" w:hAnsiTheme="minorHAnsi" w:cs="Arial"/>
          <w:color w:val="211D1E"/>
          <w:lang w:eastAsia="en-US"/>
        </w:rPr>
        <w:t>1994</w:t>
      </w:r>
      <w:proofErr w:type="gramStart"/>
      <w:r w:rsidRPr="001E7B3E">
        <w:rPr>
          <w:rFonts w:asciiTheme="minorHAnsi" w:hAnsiTheme="minorHAnsi" w:cs="Arial"/>
          <w:color w:val="211D1E"/>
          <w:lang w:eastAsia="en-US"/>
        </w:rPr>
        <w:t>;12:978</w:t>
      </w:r>
      <w:proofErr w:type="gramEnd"/>
      <w:r w:rsidRPr="001E7B3E">
        <w:rPr>
          <w:rFonts w:asciiTheme="minorHAnsi" w:hAnsiTheme="minorHAnsi" w:cs="Arial"/>
          <w:color w:val="211D1E"/>
          <w:lang w:eastAsia="en-US"/>
        </w:rPr>
        <w:t>–83.</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Mannucci PM, Gringeri A, Morfini M, et al. </w:t>
      </w:r>
      <w:r w:rsidRPr="001E7B3E">
        <w:rPr>
          <w:rFonts w:asciiTheme="minorHAnsi" w:hAnsiTheme="minorHAnsi" w:cs="Arial"/>
          <w:color w:val="211D1E"/>
          <w:lang w:eastAsia="en-US"/>
        </w:rPr>
        <w:t xml:space="preserve">Immunogenicity of a recombinant hepatitis B vaccine in hemophiliacs. </w:t>
      </w:r>
      <w:r w:rsidRPr="001E7B3E">
        <w:rPr>
          <w:rFonts w:asciiTheme="minorHAnsi" w:hAnsiTheme="minorHAnsi" w:cs="Arial"/>
          <w:i/>
          <w:iCs/>
          <w:color w:val="211D1E"/>
          <w:lang w:eastAsia="en-US"/>
        </w:rPr>
        <w:t xml:space="preserve">Am J Hematol </w:t>
      </w:r>
      <w:r w:rsidRPr="001E7B3E">
        <w:rPr>
          <w:rFonts w:asciiTheme="minorHAnsi" w:hAnsiTheme="minorHAnsi" w:cs="Arial"/>
          <w:color w:val="211D1E"/>
          <w:lang w:eastAsia="en-US"/>
        </w:rPr>
        <w:t>1988</w:t>
      </w:r>
      <w:proofErr w:type="gramStart"/>
      <w:r w:rsidRPr="001E7B3E">
        <w:rPr>
          <w:rFonts w:asciiTheme="minorHAnsi" w:hAnsiTheme="minorHAnsi" w:cs="Arial"/>
          <w:color w:val="211D1E"/>
          <w:lang w:eastAsia="en-US"/>
        </w:rPr>
        <w:t>;29</w:t>
      </w:r>
      <w:proofErr w:type="gramEnd"/>
      <w:r w:rsidRPr="001E7B3E">
        <w:rPr>
          <w:rFonts w:asciiTheme="minorHAnsi" w:hAnsiTheme="minorHAnsi" w:cs="Arial"/>
          <w:color w:val="211D1E"/>
          <w:lang w:eastAsia="en-US"/>
        </w:rPr>
        <w:t>(4):211-4.</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041ED2">
        <w:rPr>
          <w:rFonts w:asciiTheme="minorHAnsi" w:hAnsiTheme="minorHAnsi" w:cs="Arial"/>
          <w:color w:val="211D1E"/>
          <w:lang w:val="fr-FR" w:eastAsia="en-US"/>
        </w:rPr>
        <w:t xml:space="preserve">Buehrer JL, Weber DJ, Meyer AA, et al. </w:t>
      </w:r>
      <w:r w:rsidRPr="001E7B3E">
        <w:rPr>
          <w:rFonts w:asciiTheme="minorHAnsi" w:hAnsiTheme="minorHAnsi" w:cs="Arial"/>
          <w:color w:val="211D1E"/>
          <w:lang w:eastAsia="en-US"/>
        </w:rPr>
        <w:t xml:space="preserve">Wound infection rates after invasive procedures in HIV-1 seropositive versus HIV-1 seronegative hemophiliacs. </w:t>
      </w:r>
      <w:r w:rsidRPr="001E7B3E">
        <w:rPr>
          <w:rFonts w:asciiTheme="minorHAnsi" w:hAnsiTheme="minorHAnsi" w:cs="Arial"/>
          <w:i/>
          <w:iCs/>
          <w:color w:val="211D1E"/>
          <w:lang w:eastAsia="en-US"/>
        </w:rPr>
        <w:t xml:space="preserve">Ann Surg </w:t>
      </w:r>
      <w:r w:rsidRPr="001E7B3E">
        <w:rPr>
          <w:rFonts w:asciiTheme="minorHAnsi" w:hAnsiTheme="minorHAnsi" w:cs="Arial"/>
          <w:color w:val="211D1E"/>
          <w:lang w:eastAsia="en-US"/>
        </w:rPr>
        <w:t>1990</w:t>
      </w:r>
      <w:proofErr w:type="gramStart"/>
      <w:r w:rsidRPr="001E7B3E">
        <w:rPr>
          <w:rFonts w:asciiTheme="minorHAnsi" w:hAnsiTheme="minorHAnsi" w:cs="Arial"/>
          <w:color w:val="211D1E"/>
          <w:lang w:eastAsia="en-US"/>
        </w:rPr>
        <w:t>;211</w:t>
      </w:r>
      <w:proofErr w:type="gramEnd"/>
      <w:r w:rsidRPr="001E7B3E">
        <w:rPr>
          <w:rFonts w:asciiTheme="minorHAnsi" w:hAnsiTheme="minorHAnsi" w:cs="Arial"/>
          <w:color w:val="211D1E"/>
          <w:lang w:eastAsia="en-US"/>
        </w:rPr>
        <w:t>(4):492-8.</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Monch H, Kostering H, Schuff-Werner P, et al. Hemophilia </w:t>
      </w:r>
      <w:proofErr w:type="gramStart"/>
      <w:r w:rsidRPr="001E7B3E">
        <w:rPr>
          <w:rFonts w:asciiTheme="minorHAnsi" w:hAnsiTheme="minorHAnsi" w:cs="Arial"/>
          <w:color w:val="211D1E"/>
          <w:lang w:eastAsia="en-US"/>
        </w:rPr>
        <w:t>A</w:t>
      </w:r>
      <w:proofErr w:type="gramEnd"/>
      <w:r w:rsidRPr="001E7B3E">
        <w:rPr>
          <w:rFonts w:asciiTheme="minorHAnsi" w:hAnsiTheme="minorHAnsi" w:cs="Arial"/>
          <w:color w:val="211D1E"/>
          <w:lang w:eastAsia="en-US"/>
        </w:rPr>
        <w:t xml:space="preserve">, idiopathic thrombocytopenia and HTLV-III-infection impressive remission after splenectomy: a case report. </w:t>
      </w:r>
      <w:r w:rsidRPr="001E7B3E">
        <w:rPr>
          <w:rFonts w:asciiTheme="minorHAnsi" w:hAnsiTheme="minorHAnsi" w:cs="Arial"/>
          <w:i/>
          <w:iCs/>
          <w:color w:val="211D1E"/>
          <w:lang w:eastAsia="en-US"/>
        </w:rPr>
        <w:t xml:space="preserve">Onkologie </w:t>
      </w:r>
      <w:r w:rsidRPr="001E7B3E">
        <w:rPr>
          <w:rFonts w:asciiTheme="minorHAnsi" w:hAnsiTheme="minorHAnsi" w:cs="Arial"/>
          <w:color w:val="211D1E"/>
          <w:lang w:eastAsia="en-US"/>
        </w:rPr>
        <w:t>1986; 9(4):239-40.</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Trieb K, Panotopoulos J, Wanivenhaus A. Risk of infection after total knee arthroplasty in HIV-positive hemophilic patients. </w:t>
      </w:r>
      <w:r w:rsidRPr="001E7B3E">
        <w:rPr>
          <w:rFonts w:asciiTheme="minorHAnsi" w:hAnsiTheme="minorHAnsi" w:cs="Arial"/>
          <w:i/>
          <w:iCs/>
          <w:color w:val="211D1E"/>
          <w:lang w:eastAsia="en-US"/>
        </w:rPr>
        <w:t xml:space="preserve">J Bone Joint Surg Am </w:t>
      </w:r>
      <w:r w:rsidRPr="001E7B3E">
        <w:rPr>
          <w:rFonts w:asciiTheme="minorHAnsi" w:hAnsiTheme="minorHAnsi" w:cs="Arial"/>
          <w:color w:val="211D1E"/>
          <w:lang w:eastAsia="en-US"/>
        </w:rPr>
        <w:t>2003</w:t>
      </w:r>
      <w:proofErr w:type="gramStart"/>
      <w:r w:rsidRPr="001E7B3E">
        <w:rPr>
          <w:rFonts w:asciiTheme="minorHAnsi" w:hAnsiTheme="minorHAnsi" w:cs="Arial"/>
          <w:color w:val="211D1E"/>
          <w:lang w:eastAsia="en-US"/>
        </w:rPr>
        <w:t>;85</w:t>
      </w:r>
      <w:proofErr w:type="gramEnd"/>
      <w:r w:rsidRPr="001E7B3E">
        <w:rPr>
          <w:rFonts w:asciiTheme="minorHAnsi" w:hAnsiTheme="minorHAnsi" w:cs="Arial"/>
          <w:color w:val="211D1E"/>
          <w:lang w:eastAsia="en-US"/>
        </w:rPr>
        <w:t>-A(5):969-70.</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Ashrani AA, Key NS, Soucie JM, Duffy N, Forsyth A, Geraghty S; Universal Data Collection Project Investigators. Septic arthritis in males with haemophilia.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2008</w:t>
      </w:r>
      <w:proofErr w:type="gramStart"/>
      <w:r w:rsidRPr="001E7B3E">
        <w:rPr>
          <w:rFonts w:asciiTheme="minorHAnsi" w:hAnsiTheme="minorHAnsi" w:cs="Arial"/>
          <w:color w:val="211D1E"/>
          <w:lang w:eastAsia="en-US"/>
        </w:rPr>
        <w:t>;14:494</w:t>
      </w:r>
      <w:proofErr w:type="gramEnd"/>
      <w:r w:rsidRPr="001E7B3E">
        <w:rPr>
          <w:rFonts w:asciiTheme="minorHAnsi" w:hAnsiTheme="minorHAnsi" w:cs="Arial"/>
          <w:color w:val="211D1E"/>
          <w:lang w:eastAsia="en-US"/>
        </w:rPr>
        <w:t xml:space="preserve"> –503.</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Zuber TJ. Knee joint aspiration and injection. </w:t>
      </w:r>
      <w:r w:rsidRPr="001E7B3E">
        <w:rPr>
          <w:rFonts w:asciiTheme="minorHAnsi" w:hAnsiTheme="minorHAnsi" w:cs="Arial"/>
          <w:i/>
          <w:iCs/>
          <w:color w:val="211D1E"/>
          <w:lang w:eastAsia="en-US"/>
        </w:rPr>
        <w:t xml:space="preserve">Am Fam Physician </w:t>
      </w:r>
      <w:r w:rsidRPr="001E7B3E">
        <w:rPr>
          <w:rFonts w:asciiTheme="minorHAnsi" w:hAnsiTheme="minorHAnsi" w:cs="Arial"/>
          <w:color w:val="211D1E"/>
          <w:lang w:eastAsia="en-US"/>
        </w:rPr>
        <w:t>2002</w:t>
      </w:r>
      <w:proofErr w:type="gramStart"/>
      <w:r w:rsidRPr="001E7B3E">
        <w:rPr>
          <w:rFonts w:asciiTheme="minorHAnsi" w:hAnsiTheme="minorHAnsi" w:cs="Arial"/>
          <w:color w:val="211D1E"/>
          <w:lang w:eastAsia="en-US"/>
        </w:rPr>
        <w:t>;66</w:t>
      </w:r>
      <w:proofErr w:type="gramEnd"/>
      <w:r w:rsidRPr="001E7B3E">
        <w:rPr>
          <w:rFonts w:asciiTheme="minorHAnsi" w:hAnsiTheme="minorHAnsi" w:cs="Arial"/>
          <w:color w:val="211D1E"/>
          <w:lang w:eastAsia="en-US"/>
        </w:rPr>
        <w:t>(8):1497-500.</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Tourbaf KD, Bettigole RE, Southard SA. Infection in hemophilia. Local bleeding and prophylactic treatment. </w:t>
      </w:r>
      <w:r w:rsidRPr="001E7B3E">
        <w:rPr>
          <w:rFonts w:asciiTheme="minorHAnsi" w:hAnsiTheme="minorHAnsi" w:cs="Arial"/>
          <w:i/>
          <w:iCs/>
          <w:color w:val="211D1E"/>
          <w:lang w:eastAsia="en-US"/>
        </w:rPr>
        <w:t xml:space="preserve">NY State J Med </w:t>
      </w:r>
      <w:r w:rsidRPr="001E7B3E">
        <w:rPr>
          <w:rFonts w:asciiTheme="minorHAnsi" w:hAnsiTheme="minorHAnsi" w:cs="Arial"/>
          <w:color w:val="211D1E"/>
          <w:lang w:eastAsia="en-US"/>
        </w:rPr>
        <w:t>1976</w:t>
      </w:r>
      <w:proofErr w:type="gramStart"/>
      <w:r w:rsidRPr="001E7B3E">
        <w:rPr>
          <w:rFonts w:asciiTheme="minorHAnsi" w:hAnsiTheme="minorHAnsi" w:cs="Arial"/>
          <w:color w:val="211D1E"/>
          <w:lang w:eastAsia="en-US"/>
        </w:rPr>
        <w:t>;76</w:t>
      </w:r>
      <w:proofErr w:type="gramEnd"/>
      <w:r w:rsidRPr="001E7B3E">
        <w:rPr>
          <w:rFonts w:asciiTheme="minorHAnsi" w:hAnsiTheme="minorHAnsi" w:cs="Arial"/>
          <w:color w:val="211D1E"/>
          <w:lang w:eastAsia="en-US"/>
        </w:rPr>
        <w:t>(12):2034-6.</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Heyworth BE, Su EP, Figgie MP, Acharya SS, Sculco TP. Orthopedic management of hemophilia. </w:t>
      </w:r>
      <w:r w:rsidRPr="001E7B3E">
        <w:rPr>
          <w:rFonts w:asciiTheme="minorHAnsi" w:hAnsiTheme="minorHAnsi" w:cs="Arial"/>
          <w:i/>
          <w:iCs/>
          <w:color w:val="211D1E"/>
          <w:lang w:eastAsia="en-US"/>
        </w:rPr>
        <w:t xml:space="preserve">Am J Orthop </w:t>
      </w:r>
      <w:r w:rsidRPr="001E7B3E">
        <w:rPr>
          <w:rFonts w:asciiTheme="minorHAnsi" w:hAnsiTheme="minorHAnsi" w:cs="Arial"/>
          <w:color w:val="211D1E"/>
          <w:lang w:eastAsia="en-US"/>
        </w:rPr>
        <w:t>2005 Oct</w:t>
      </w:r>
      <w:proofErr w:type="gramStart"/>
      <w:r w:rsidRPr="001E7B3E">
        <w:rPr>
          <w:rFonts w:asciiTheme="minorHAnsi" w:hAnsiTheme="minorHAnsi" w:cs="Arial"/>
          <w:color w:val="211D1E"/>
          <w:lang w:eastAsia="en-US"/>
        </w:rPr>
        <w:t>;34</w:t>
      </w:r>
      <w:proofErr w:type="gramEnd"/>
      <w:r w:rsidRPr="001E7B3E">
        <w:rPr>
          <w:rFonts w:asciiTheme="minorHAnsi" w:hAnsiTheme="minorHAnsi" w:cs="Arial"/>
          <w:color w:val="211D1E"/>
          <w:lang w:eastAsia="en-US"/>
        </w:rPr>
        <w:t>(10):479-86.</w:t>
      </w:r>
    </w:p>
    <w:p w:rsidR="00484EFC" w:rsidRPr="001E7B3E" w:rsidRDefault="00484EFC" w:rsidP="00484EFC">
      <w:pPr>
        <w:numPr>
          <w:ilvl w:val="0"/>
          <w:numId w:val="80"/>
        </w:numPr>
        <w:autoSpaceDE w:val="0"/>
        <w:autoSpaceDN w:val="0"/>
        <w:adjustRightInd w:val="0"/>
        <w:spacing w:after="0" w:line="276" w:lineRule="auto"/>
        <w:ind w:left="567" w:hanging="425"/>
        <w:rPr>
          <w:rFonts w:asciiTheme="minorHAnsi" w:hAnsiTheme="minorHAnsi" w:cs="Arial"/>
          <w:color w:val="211D1E"/>
          <w:lang w:eastAsia="en-US"/>
        </w:rPr>
      </w:pPr>
      <w:r w:rsidRPr="001E7B3E">
        <w:rPr>
          <w:rFonts w:asciiTheme="minorHAnsi" w:hAnsiTheme="minorHAnsi" w:cs="Arial"/>
          <w:color w:val="211D1E"/>
          <w:lang w:eastAsia="en-US"/>
        </w:rPr>
        <w:t xml:space="preserve">Rodriguez-Merchan EC. Orthopaedic surgery of haemophilia in the 21st century: an overview. </w:t>
      </w:r>
      <w:r w:rsidRPr="001E7B3E">
        <w:rPr>
          <w:rFonts w:asciiTheme="minorHAnsi" w:hAnsiTheme="minorHAnsi" w:cs="Arial"/>
          <w:i/>
          <w:iCs/>
          <w:color w:val="211D1E"/>
          <w:lang w:eastAsia="en-US"/>
        </w:rPr>
        <w:t xml:space="preserve">Haemophilia </w:t>
      </w:r>
      <w:r w:rsidRPr="001E7B3E">
        <w:rPr>
          <w:rFonts w:asciiTheme="minorHAnsi" w:hAnsiTheme="minorHAnsi" w:cs="Arial"/>
          <w:color w:val="211D1E"/>
          <w:lang w:eastAsia="en-US"/>
        </w:rPr>
        <w:t>2002 May</w:t>
      </w:r>
      <w:proofErr w:type="gramStart"/>
      <w:r w:rsidRPr="001E7B3E">
        <w:rPr>
          <w:rFonts w:asciiTheme="minorHAnsi" w:hAnsiTheme="minorHAnsi" w:cs="Arial"/>
          <w:color w:val="211D1E"/>
          <w:lang w:eastAsia="en-US"/>
        </w:rPr>
        <w:t>;8</w:t>
      </w:r>
      <w:proofErr w:type="gramEnd"/>
      <w:r w:rsidRPr="001E7B3E">
        <w:rPr>
          <w:rFonts w:asciiTheme="minorHAnsi" w:hAnsiTheme="minorHAnsi" w:cs="Arial"/>
          <w:color w:val="211D1E"/>
          <w:lang w:eastAsia="en-US"/>
        </w:rPr>
        <w:t>(3):360-8.</w:t>
      </w:r>
    </w:p>
    <w:p w:rsidR="00484EFC" w:rsidRPr="001E7B3E" w:rsidRDefault="00484EFC" w:rsidP="00484EFC">
      <w:pPr>
        <w:autoSpaceDE w:val="0"/>
        <w:autoSpaceDN w:val="0"/>
        <w:adjustRightInd w:val="0"/>
        <w:spacing w:after="0"/>
        <w:rPr>
          <w:rFonts w:asciiTheme="minorHAnsi" w:hAnsiTheme="minorHAnsi" w:cs="Arial"/>
          <w:color w:val="221E1F"/>
          <w:lang w:eastAsia="en-US"/>
        </w:rPr>
      </w:pPr>
    </w:p>
    <w:p w:rsidR="00484EFC" w:rsidRPr="001E7B3E" w:rsidRDefault="00484EFC" w:rsidP="00484EFC">
      <w:pPr>
        <w:autoSpaceDE w:val="0"/>
        <w:autoSpaceDN w:val="0"/>
        <w:adjustRightInd w:val="0"/>
        <w:spacing w:after="0"/>
        <w:rPr>
          <w:rFonts w:asciiTheme="minorHAnsi" w:hAnsiTheme="minorHAnsi" w:cs="Arial"/>
          <w:color w:val="221E1F"/>
          <w:lang w:eastAsia="en-US"/>
        </w:rPr>
      </w:pPr>
    </w:p>
    <w:p w:rsidR="00484EFC" w:rsidRDefault="00484EFC">
      <w:pPr>
        <w:spacing w:after="200" w:line="276" w:lineRule="auto"/>
        <w:ind w:left="0"/>
      </w:pPr>
      <w:r>
        <w:br w:type="page"/>
      </w:r>
    </w:p>
    <w:p w:rsidR="00BB0659" w:rsidRPr="00041ED2" w:rsidRDefault="00BB0659" w:rsidP="00041ED2">
      <w:pPr>
        <w:pStyle w:val="Heading2"/>
      </w:pPr>
      <w:bookmarkStart w:id="50" w:name="_Toc431484343"/>
      <w:r w:rsidRPr="00214A6A">
        <w:rPr>
          <w:sz w:val="108"/>
          <w:szCs w:val="108"/>
        </w:rPr>
        <w:lastRenderedPageBreak/>
        <w:t>7</w:t>
      </w:r>
      <w:r w:rsidRPr="00041ED2">
        <w:t xml:space="preserve"> </w:t>
      </w:r>
      <w:r w:rsidRPr="00041ED2">
        <w:rPr>
          <w:rStyle w:val="A8"/>
          <w:color w:val="FF0000"/>
          <w:sz w:val="32"/>
        </w:rPr>
        <w:t>PLASMA FACTOR LEVEL AND DURATION OF ADMINISTRATION</w:t>
      </w:r>
      <w:bookmarkEnd w:id="50"/>
    </w:p>
    <w:p w:rsidR="00BB0659" w:rsidRDefault="00BB0659" w:rsidP="00BB0659">
      <w:pPr>
        <w:autoSpaceDE w:val="0"/>
        <w:autoSpaceDN w:val="0"/>
        <w:adjustRightInd w:val="0"/>
        <w:spacing w:after="0"/>
        <w:rPr>
          <w:rFonts w:asciiTheme="minorHAnsi" w:hAnsiTheme="minorHAnsi"/>
          <w:b/>
          <w:bCs/>
          <w:color w:val="000000" w:themeColor="text1"/>
          <w:sz w:val="32"/>
          <w:szCs w:val="32"/>
        </w:rPr>
      </w:pPr>
    </w:p>
    <w:p w:rsidR="00BB0659" w:rsidRPr="007544F0" w:rsidRDefault="00BB0659" w:rsidP="00041ED2">
      <w:pPr>
        <w:autoSpaceDE w:val="0"/>
        <w:autoSpaceDN w:val="0"/>
        <w:adjustRightInd w:val="0"/>
        <w:spacing w:after="0"/>
        <w:ind w:left="0" w:firstLine="720"/>
        <w:rPr>
          <w:rFonts w:asciiTheme="minorHAnsi" w:hAnsiTheme="minorHAnsi"/>
          <w:b/>
          <w:bCs/>
          <w:color w:val="000000" w:themeColor="text1"/>
          <w:sz w:val="32"/>
          <w:szCs w:val="32"/>
        </w:rPr>
      </w:pPr>
      <w:r w:rsidRPr="007544F0">
        <w:rPr>
          <w:rFonts w:asciiTheme="minorHAnsi" w:hAnsiTheme="minorHAnsi"/>
          <w:b/>
          <w:bCs/>
          <w:color w:val="000000" w:themeColor="text1"/>
          <w:sz w:val="32"/>
          <w:szCs w:val="32"/>
        </w:rPr>
        <w:t>Key practice points</w:t>
      </w:r>
    </w:p>
    <w:p w:rsidR="00BB0659" w:rsidRPr="007544F0" w:rsidRDefault="00BB0659" w:rsidP="00BB0659">
      <w:pPr>
        <w:autoSpaceDE w:val="0"/>
        <w:autoSpaceDN w:val="0"/>
        <w:adjustRightInd w:val="0"/>
        <w:spacing w:after="0"/>
        <w:rPr>
          <w:rFonts w:asciiTheme="minorHAnsi" w:hAnsiTheme="minorHAnsi"/>
          <w:b/>
          <w:bCs/>
          <w:color w:val="000000" w:themeColor="text1"/>
          <w:sz w:val="32"/>
          <w:szCs w:val="32"/>
        </w:rPr>
      </w:pPr>
    </w:p>
    <w:tbl>
      <w:tblPr>
        <w:tblStyle w:val="TableGrid"/>
        <w:tblW w:w="0" w:type="auto"/>
        <w:tblInd w:w="108" w:type="dxa"/>
        <w:tblLook w:val="04A0" w:firstRow="1" w:lastRow="0" w:firstColumn="1" w:lastColumn="0" w:noHBand="0" w:noVBand="1"/>
      </w:tblPr>
      <w:tblGrid>
        <w:gridCol w:w="1258"/>
        <w:gridCol w:w="8183"/>
      </w:tblGrid>
      <w:tr w:rsidR="00BB0659" w:rsidRPr="007544F0" w:rsidTr="00413A54">
        <w:tc>
          <w:tcPr>
            <w:tcW w:w="874" w:type="dxa"/>
            <w:shd w:val="clear" w:color="auto" w:fill="DBE5F1" w:themeFill="accent1" w:themeFillTint="33"/>
          </w:tcPr>
          <w:p w:rsidR="00BB0659" w:rsidRPr="007544F0" w:rsidRDefault="00BB0659" w:rsidP="00413A54">
            <w:pPr>
              <w:rPr>
                <w:b/>
              </w:rPr>
            </w:pPr>
            <w:r w:rsidRPr="007544F0">
              <w:rPr>
                <w:b/>
              </w:rPr>
              <w:t>No.</w:t>
            </w:r>
          </w:p>
        </w:tc>
        <w:tc>
          <w:tcPr>
            <w:tcW w:w="8589" w:type="dxa"/>
            <w:shd w:val="clear" w:color="auto" w:fill="DBE5F1" w:themeFill="accent1" w:themeFillTint="33"/>
          </w:tcPr>
          <w:p w:rsidR="00BB0659" w:rsidRPr="007544F0" w:rsidRDefault="00BB0659" w:rsidP="00041ED2">
            <w:pPr>
              <w:ind w:left="194"/>
              <w:rPr>
                <w:b/>
              </w:rPr>
            </w:pPr>
            <w:r w:rsidRPr="007544F0">
              <w:rPr>
                <w:b/>
              </w:rPr>
              <w:t>Key Practice Point</w:t>
            </w:r>
          </w:p>
        </w:tc>
      </w:tr>
      <w:tr w:rsidR="00BB0659" w:rsidRPr="007544F0" w:rsidTr="00413A54">
        <w:tc>
          <w:tcPr>
            <w:tcW w:w="874" w:type="dxa"/>
            <w:shd w:val="clear" w:color="auto" w:fill="365F91" w:themeFill="accent1" w:themeFillShade="BF"/>
          </w:tcPr>
          <w:p w:rsidR="00BB0659" w:rsidRPr="00A33356" w:rsidRDefault="00BB0659"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7.1</w:t>
            </w:r>
          </w:p>
        </w:tc>
        <w:tc>
          <w:tcPr>
            <w:tcW w:w="8589" w:type="dxa"/>
          </w:tcPr>
          <w:p w:rsidR="00BB0659" w:rsidRPr="007544F0" w:rsidRDefault="00BB0659" w:rsidP="00041ED2">
            <w:pPr>
              <w:spacing w:before="40" w:after="40"/>
              <w:ind w:left="194"/>
            </w:pPr>
            <w:r w:rsidRPr="007544F0">
              <w:rPr>
                <w:rFonts w:cs="Calibri"/>
              </w:rPr>
              <w:t>Factor replacement may be episodic for the management of acute bleeding or surgery, or prophylactic to limit or prevent haemophilic arthropathy.</w:t>
            </w:r>
          </w:p>
        </w:tc>
      </w:tr>
      <w:tr w:rsidR="00BB0659" w:rsidRPr="007544F0" w:rsidTr="00413A54">
        <w:tc>
          <w:tcPr>
            <w:tcW w:w="874" w:type="dxa"/>
            <w:shd w:val="clear" w:color="auto" w:fill="365F91" w:themeFill="accent1" w:themeFillShade="BF"/>
          </w:tcPr>
          <w:p w:rsidR="00BB0659" w:rsidRPr="00A33356" w:rsidRDefault="00BB0659"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7.2</w:t>
            </w:r>
          </w:p>
        </w:tc>
        <w:tc>
          <w:tcPr>
            <w:tcW w:w="8589" w:type="dxa"/>
          </w:tcPr>
          <w:p w:rsidR="00BB0659" w:rsidRPr="007544F0" w:rsidRDefault="00BB0659" w:rsidP="00041ED2">
            <w:pPr>
              <w:spacing w:before="40" w:after="40"/>
              <w:ind w:left="194"/>
            </w:pPr>
            <w:r w:rsidRPr="007544F0">
              <w:rPr>
                <w:rFonts w:cs="Calibri"/>
              </w:rPr>
              <w:t xml:space="preserve">Standard doses for prophylaxis in the Australian setting range from 25 to 40 </w:t>
            </w:r>
            <w:r w:rsidR="000A1EF2">
              <w:rPr>
                <w:rFonts w:cs="Calibri"/>
              </w:rPr>
              <w:t>IU</w:t>
            </w:r>
            <w:r w:rsidRPr="007544F0">
              <w:rPr>
                <w:rFonts w:cs="Calibri"/>
              </w:rPr>
              <w:t>/kg three weekly or alternate daily.</w:t>
            </w:r>
          </w:p>
        </w:tc>
      </w:tr>
      <w:tr w:rsidR="00BB0659" w:rsidRPr="007544F0" w:rsidTr="00413A54">
        <w:tc>
          <w:tcPr>
            <w:tcW w:w="874" w:type="dxa"/>
            <w:shd w:val="clear" w:color="auto" w:fill="365F91" w:themeFill="accent1" w:themeFillShade="BF"/>
          </w:tcPr>
          <w:p w:rsidR="00BB0659" w:rsidRPr="00A33356" w:rsidRDefault="00BB0659"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7.3</w:t>
            </w:r>
          </w:p>
        </w:tc>
        <w:tc>
          <w:tcPr>
            <w:tcW w:w="8589" w:type="dxa"/>
          </w:tcPr>
          <w:p w:rsidR="00BB0659" w:rsidRPr="007544F0" w:rsidRDefault="00BB0659" w:rsidP="00041ED2">
            <w:pPr>
              <w:spacing w:before="40" w:after="40"/>
              <w:ind w:left="194"/>
            </w:pPr>
            <w:r w:rsidRPr="007544F0">
              <w:rPr>
                <w:rFonts w:cs="Calibri"/>
              </w:rPr>
              <w:t>Further research is required to define the optimal prophylaxis regime</w:t>
            </w:r>
            <w:r w:rsidR="000A1EF2">
              <w:rPr>
                <w:rFonts w:cs="Calibri"/>
              </w:rPr>
              <w:t>n</w:t>
            </w:r>
            <w:r w:rsidRPr="007544F0">
              <w:rPr>
                <w:rFonts w:cs="Calibri"/>
              </w:rPr>
              <w:t xml:space="preserve"> and the long-term effectiveness of current dosing regimens.</w:t>
            </w:r>
          </w:p>
        </w:tc>
      </w:tr>
      <w:tr w:rsidR="00BB0659" w:rsidRPr="007544F0" w:rsidTr="00413A54">
        <w:tc>
          <w:tcPr>
            <w:tcW w:w="874" w:type="dxa"/>
            <w:shd w:val="clear" w:color="auto" w:fill="365F91" w:themeFill="accent1" w:themeFillShade="BF"/>
          </w:tcPr>
          <w:p w:rsidR="00BB0659" w:rsidRPr="00A33356" w:rsidRDefault="00BB0659"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7.4</w:t>
            </w:r>
          </w:p>
        </w:tc>
        <w:tc>
          <w:tcPr>
            <w:tcW w:w="8589" w:type="dxa"/>
          </w:tcPr>
          <w:p w:rsidR="00BB0659" w:rsidRPr="007544F0" w:rsidRDefault="00BB0659" w:rsidP="00041ED2">
            <w:pPr>
              <w:spacing w:before="40" w:after="40"/>
              <w:ind w:left="194"/>
            </w:pPr>
            <w:r w:rsidRPr="007544F0">
              <w:rPr>
                <w:rFonts w:cs="Calibri"/>
              </w:rPr>
              <w:t xml:space="preserve">The duration and dosing of episodic therapy will depend on the severity of the haemophilia and the nature of the bleed or surgical procedure being managed. </w:t>
            </w:r>
          </w:p>
        </w:tc>
      </w:tr>
      <w:tr w:rsidR="00BB0659" w:rsidRPr="007544F0" w:rsidTr="00413A54">
        <w:tc>
          <w:tcPr>
            <w:tcW w:w="874" w:type="dxa"/>
            <w:shd w:val="clear" w:color="auto" w:fill="365F91" w:themeFill="accent1" w:themeFillShade="BF"/>
          </w:tcPr>
          <w:p w:rsidR="00BB0659" w:rsidRPr="00A33356" w:rsidRDefault="00BB0659"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7.5</w:t>
            </w:r>
          </w:p>
        </w:tc>
        <w:tc>
          <w:tcPr>
            <w:tcW w:w="8589" w:type="dxa"/>
          </w:tcPr>
          <w:p w:rsidR="00BB0659" w:rsidRPr="007544F0" w:rsidRDefault="00BB0659" w:rsidP="00041ED2">
            <w:pPr>
              <w:spacing w:before="40" w:after="40"/>
              <w:ind w:left="194"/>
              <w:rPr>
                <w:rFonts w:cs="Calibri"/>
              </w:rPr>
            </w:pPr>
            <w:r w:rsidRPr="007544F0">
              <w:rPr>
                <w:rFonts w:cs="Calibri"/>
              </w:rPr>
              <w:t>Dosing according to individual pharmacokinetic profile should be considered, particularly in patients undergoing major surgery.</w:t>
            </w:r>
          </w:p>
        </w:tc>
      </w:tr>
      <w:tr w:rsidR="00BB0659" w:rsidRPr="007544F0" w:rsidTr="00413A54">
        <w:tc>
          <w:tcPr>
            <w:tcW w:w="874" w:type="dxa"/>
            <w:shd w:val="clear" w:color="auto" w:fill="365F91" w:themeFill="accent1" w:themeFillShade="BF"/>
          </w:tcPr>
          <w:p w:rsidR="00BB0659" w:rsidRPr="00A33356" w:rsidRDefault="00BB0659" w:rsidP="00A33356">
            <w:pPr>
              <w:spacing w:before="40" w:after="40"/>
              <w:ind w:left="34"/>
              <w:rPr>
                <w:rStyle w:val="A8"/>
                <w:rFonts w:eastAsia="Calibri" w:cs="Avenir LT Std 55 Roman"/>
                <w:b/>
                <w:color w:val="FFFFFF" w:themeColor="background1"/>
                <w:sz w:val="22"/>
                <w:szCs w:val="24"/>
              </w:rPr>
            </w:pPr>
            <w:r w:rsidRPr="00A33356">
              <w:rPr>
                <w:rStyle w:val="A8"/>
                <w:rFonts w:eastAsia="Calibri" w:cs="Avenir LT Std 55 Roman"/>
                <w:b/>
                <w:color w:val="FFFFFF" w:themeColor="background1"/>
                <w:sz w:val="22"/>
                <w:szCs w:val="24"/>
              </w:rPr>
              <w:t>PP 7.6</w:t>
            </w:r>
          </w:p>
        </w:tc>
        <w:tc>
          <w:tcPr>
            <w:tcW w:w="8589" w:type="dxa"/>
          </w:tcPr>
          <w:p w:rsidR="00BB0659" w:rsidRPr="007544F0" w:rsidRDefault="00BB0659" w:rsidP="00041ED2">
            <w:pPr>
              <w:spacing w:before="40" w:after="40"/>
              <w:ind w:left="194"/>
            </w:pPr>
            <w:r w:rsidRPr="007544F0">
              <w:rPr>
                <w:rFonts w:cs="Calibri"/>
              </w:rPr>
              <w:t xml:space="preserve">The presence of an inhibitor should be excluded in patients undergoing surgery. Follow up inhibitor testing is also recommended 6 to 8 weeks following intense factor VIII exposure in patients with mild or moderate haemophilia A. </w:t>
            </w:r>
          </w:p>
        </w:tc>
      </w:tr>
    </w:tbl>
    <w:p w:rsidR="00BB0659" w:rsidRDefault="00BB0659" w:rsidP="00BB0659">
      <w:pPr>
        <w:pStyle w:val="Default"/>
        <w:spacing w:after="222"/>
        <w:ind w:left="113" w:right="557"/>
        <w:rPr>
          <w:rStyle w:val="A8"/>
          <w:rFonts w:asciiTheme="minorHAnsi" w:hAnsiTheme="minorHAnsi"/>
          <w:b/>
          <w:bCs/>
          <w:color w:val="000000" w:themeColor="text1"/>
          <w:szCs w:val="28"/>
        </w:rPr>
      </w:pPr>
    </w:p>
    <w:p w:rsidR="00BB0659" w:rsidRPr="002C1CD8" w:rsidRDefault="00BB0659" w:rsidP="00041ED2">
      <w:pPr>
        <w:pStyle w:val="Default"/>
        <w:spacing w:after="222"/>
        <w:ind w:right="557"/>
        <w:rPr>
          <w:rStyle w:val="A8"/>
          <w:rFonts w:asciiTheme="minorHAnsi" w:hAnsiTheme="minorHAnsi" w:cs="Tahoma"/>
          <w:b/>
          <w:bCs/>
          <w:color w:val="000000" w:themeColor="text1"/>
          <w:szCs w:val="28"/>
          <w:lang w:eastAsia="en-AU"/>
        </w:rPr>
      </w:pPr>
      <w:r w:rsidRPr="002C1CD8">
        <w:rPr>
          <w:rStyle w:val="A8"/>
          <w:rFonts w:asciiTheme="minorHAnsi" w:hAnsiTheme="minorHAnsi"/>
          <w:b/>
          <w:bCs/>
          <w:color w:val="000000" w:themeColor="text1"/>
          <w:szCs w:val="28"/>
        </w:rPr>
        <w:t xml:space="preserve">Significant changes from the original WFH Guidelines </w:t>
      </w:r>
    </w:p>
    <w:p w:rsidR="00BB0659" w:rsidRPr="002C1CD8" w:rsidRDefault="00BB0659" w:rsidP="00041ED2">
      <w:pPr>
        <w:pStyle w:val="Default"/>
        <w:numPr>
          <w:ilvl w:val="0"/>
          <w:numId w:val="42"/>
        </w:numPr>
        <w:spacing w:after="222"/>
        <w:ind w:right="557" w:hanging="473"/>
        <w:rPr>
          <w:rStyle w:val="A8"/>
          <w:rFonts w:asciiTheme="minorHAnsi" w:hAnsiTheme="minorHAnsi" w:cs="Tahoma"/>
          <w:bCs/>
          <w:color w:val="000000" w:themeColor="text1"/>
          <w:sz w:val="24"/>
          <w:szCs w:val="22"/>
          <w:lang w:eastAsia="en-AU"/>
        </w:rPr>
      </w:pPr>
      <w:r>
        <w:rPr>
          <w:rStyle w:val="A8"/>
          <w:rFonts w:asciiTheme="minorHAnsi" w:hAnsiTheme="minorHAnsi"/>
          <w:bCs/>
          <w:color w:val="000000" w:themeColor="text1"/>
          <w:sz w:val="24"/>
        </w:rPr>
        <w:t>Guidelines for factor concentrate dosing in a resource constrained environment are removed</w:t>
      </w:r>
    </w:p>
    <w:p w:rsidR="00BB0659" w:rsidRDefault="00BB0659">
      <w:pPr>
        <w:spacing w:after="200" w:line="276" w:lineRule="auto"/>
        <w:ind w:left="0"/>
        <w:rPr>
          <w:rFonts w:asciiTheme="minorHAnsi" w:hAnsiTheme="minorHAnsi" w:cs="Avenir LT Std 55 Roman"/>
          <w:b/>
          <w:bCs/>
          <w:color w:val="E31736"/>
          <w:sz w:val="42"/>
          <w:szCs w:val="42"/>
        </w:rPr>
      </w:pPr>
      <w:r>
        <w:rPr>
          <w:rFonts w:asciiTheme="minorHAnsi" w:hAnsiTheme="minorHAnsi" w:cs="Avenir LT Std 55 Roman"/>
          <w:b/>
          <w:bCs/>
          <w:color w:val="E31736"/>
          <w:sz w:val="42"/>
          <w:szCs w:val="42"/>
        </w:rPr>
        <w:br w:type="page"/>
      </w:r>
    </w:p>
    <w:p w:rsidR="00BB0659" w:rsidRPr="00041ED2" w:rsidRDefault="00BB0659" w:rsidP="00041ED2">
      <w:pPr>
        <w:pStyle w:val="Heading3"/>
        <w:rPr>
          <w:rStyle w:val="A8"/>
          <w:color w:val="FF0000"/>
        </w:rPr>
      </w:pPr>
      <w:bookmarkStart w:id="51" w:name="_Toc431484344"/>
      <w:r w:rsidRPr="00041ED2">
        <w:rPr>
          <w:rStyle w:val="A8"/>
          <w:color w:val="FF0000"/>
        </w:rPr>
        <w:lastRenderedPageBreak/>
        <w:t>7.1 Choice of factor replacement therapy protocols</w:t>
      </w:r>
      <w:bookmarkEnd w:id="51"/>
      <w:r w:rsidRPr="00041ED2">
        <w:rPr>
          <w:rStyle w:val="A8"/>
          <w:color w:val="FF0000"/>
        </w:rPr>
        <w:t xml:space="preserve"> </w:t>
      </w:r>
    </w:p>
    <w:p w:rsidR="00BB0659" w:rsidRPr="007544F0" w:rsidRDefault="00BB0659" w:rsidP="00041ED2">
      <w:pPr>
        <w:pStyle w:val="Default"/>
        <w:spacing w:after="222" w:line="276" w:lineRule="auto"/>
        <w:ind w:left="1418" w:hanging="1418"/>
        <w:rPr>
          <w:rStyle w:val="A8"/>
          <w:rFonts w:asciiTheme="minorHAnsi" w:hAnsiTheme="minorHAnsi" w:cs="Arial"/>
          <w:color w:val="221E1F"/>
          <w:sz w:val="22"/>
          <w:szCs w:val="22"/>
          <w:lang w:eastAsia="en-AU"/>
        </w:rPr>
      </w:pPr>
      <w:r w:rsidRPr="007544F0">
        <w:rPr>
          <w:rStyle w:val="A8"/>
          <w:rFonts w:asciiTheme="minorHAnsi" w:hAnsiTheme="minorHAnsi"/>
          <w:color w:val="221E1F"/>
          <w:sz w:val="22"/>
          <w:szCs w:val="22"/>
        </w:rPr>
        <w:t>7.1.1</w:t>
      </w:r>
      <w:r w:rsidRPr="007544F0">
        <w:rPr>
          <w:rStyle w:val="A8"/>
          <w:rFonts w:asciiTheme="minorHAnsi" w:hAnsiTheme="minorHAnsi"/>
          <w:color w:val="221E1F"/>
          <w:sz w:val="22"/>
          <w:szCs w:val="22"/>
        </w:rPr>
        <w:tab/>
        <w:t xml:space="preserve">The correlation shown in Figure 7-1 between possible factor replacement therapy protocols and overall outcome depicts the choices that one needs to make when selecting doses and regimen of clotting factor concentrates. </w:t>
      </w:r>
    </w:p>
    <w:p w:rsidR="00BB0659" w:rsidRPr="007544F0" w:rsidRDefault="00BB0659" w:rsidP="00041ED2">
      <w:pPr>
        <w:pStyle w:val="Default"/>
        <w:spacing w:after="222" w:line="276" w:lineRule="auto"/>
        <w:ind w:left="1383" w:hanging="1383"/>
        <w:rPr>
          <w:rStyle w:val="A8"/>
          <w:rFonts w:asciiTheme="minorHAnsi" w:hAnsiTheme="minorHAnsi" w:cs="Arial"/>
          <w:color w:val="221E1F"/>
          <w:sz w:val="22"/>
          <w:szCs w:val="22"/>
          <w:lang w:eastAsia="en-AU"/>
        </w:rPr>
      </w:pPr>
      <w:r w:rsidRPr="007544F0">
        <w:rPr>
          <w:rStyle w:val="A8"/>
          <w:rFonts w:asciiTheme="minorHAnsi" w:hAnsiTheme="minorHAnsi"/>
          <w:color w:val="221E1F"/>
          <w:sz w:val="22"/>
          <w:szCs w:val="22"/>
        </w:rPr>
        <w:t xml:space="preserve">7.1.2 </w:t>
      </w:r>
      <w:r w:rsidRPr="007544F0">
        <w:rPr>
          <w:rStyle w:val="A8"/>
          <w:rFonts w:asciiTheme="minorHAnsi" w:hAnsiTheme="minorHAnsi"/>
          <w:color w:val="221E1F"/>
          <w:sz w:val="22"/>
          <w:szCs w:val="22"/>
        </w:rPr>
        <w:tab/>
        <w:t xml:space="preserve">While enabling a completely normal life should remain the ultimate goal of factor replacement therapy, this cannot be achieved immediately in people with haemophilia in all situations. </w:t>
      </w:r>
    </w:p>
    <w:p w:rsidR="00BB0659" w:rsidRPr="007544F0" w:rsidRDefault="00BB0659" w:rsidP="00041ED2">
      <w:pPr>
        <w:pStyle w:val="Default"/>
        <w:spacing w:after="222" w:line="276" w:lineRule="auto"/>
        <w:ind w:left="1383" w:hanging="1383"/>
        <w:rPr>
          <w:rStyle w:val="A8"/>
          <w:rFonts w:asciiTheme="minorHAnsi" w:hAnsiTheme="minorHAnsi" w:cs="Arial"/>
          <w:color w:val="221E1F"/>
          <w:sz w:val="22"/>
          <w:szCs w:val="22"/>
          <w:lang w:eastAsia="en-AU"/>
        </w:rPr>
      </w:pPr>
      <w:r w:rsidRPr="007544F0">
        <w:rPr>
          <w:rStyle w:val="A8"/>
          <w:rFonts w:asciiTheme="minorHAnsi" w:hAnsiTheme="minorHAnsi"/>
          <w:color w:val="221E1F"/>
          <w:sz w:val="22"/>
          <w:szCs w:val="22"/>
        </w:rPr>
        <w:t>7.1.3</w:t>
      </w:r>
      <w:r w:rsidRPr="007544F0">
        <w:rPr>
          <w:rStyle w:val="A8"/>
          <w:rFonts w:asciiTheme="minorHAnsi" w:hAnsiTheme="minorHAnsi"/>
          <w:color w:val="221E1F"/>
          <w:sz w:val="22"/>
          <w:szCs w:val="22"/>
        </w:rPr>
        <w:tab/>
        <w:t>Table 7-1 presents commonly followed guidelines on plasma factor peak levels and duration of replacement that reflect the different practice in countries where there is no significant resource constraint.</w:t>
      </w:r>
    </w:p>
    <w:p w:rsidR="00BB0659" w:rsidRPr="007544F0" w:rsidRDefault="00BB0659" w:rsidP="00041ED2">
      <w:pPr>
        <w:pStyle w:val="Default"/>
        <w:spacing w:after="222" w:line="276" w:lineRule="auto"/>
        <w:ind w:left="1383" w:hanging="1383"/>
        <w:rPr>
          <w:rStyle w:val="A8"/>
          <w:rFonts w:asciiTheme="minorHAnsi" w:hAnsiTheme="minorHAnsi" w:cs="Arial"/>
          <w:color w:val="221E1F"/>
          <w:sz w:val="22"/>
          <w:szCs w:val="22"/>
          <w:lang w:eastAsia="en-AU"/>
        </w:rPr>
      </w:pPr>
      <w:r w:rsidRPr="007544F0">
        <w:rPr>
          <w:rStyle w:val="A8"/>
          <w:rFonts w:asciiTheme="minorHAnsi" w:hAnsiTheme="minorHAnsi"/>
          <w:color w:val="221E1F"/>
          <w:sz w:val="22"/>
          <w:szCs w:val="22"/>
        </w:rPr>
        <w:t>7.1.4</w:t>
      </w:r>
      <w:r w:rsidRPr="007544F0">
        <w:rPr>
          <w:rStyle w:val="A8"/>
          <w:rFonts w:asciiTheme="minorHAnsi" w:hAnsiTheme="minorHAnsi"/>
          <w:color w:val="221E1F"/>
          <w:sz w:val="22"/>
          <w:szCs w:val="22"/>
        </w:rPr>
        <w:tab/>
        <w:t xml:space="preserve">The doses listed in Table 7-1 have been shown to avoid joint damage, but the optimal dose needed to achieve this remains to be defined. </w:t>
      </w:r>
    </w:p>
    <w:p w:rsidR="00BB0659" w:rsidRPr="007544F0" w:rsidRDefault="00BB0659" w:rsidP="00041ED2">
      <w:pPr>
        <w:pStyle w:val="Default"/>
        <w:spacing w:after="222" w:line="276" w:lineRule="auto"/>
        <w:ind w:left="1383" w:hanging="1383"/>
        <w:rPr>
          <w:rStyle w:val="A8"/>
          <w:rFonts w:asciiTheme="minorHAnsi" w:hAnsiTheme="minorHAnsi" w:cs="Arial"/>
          <w:color w:val="221E1F"/>
          <w:sz w:val="22"/>
          <w:szCs w:val="22"/>
          <w:lang w:eastAsia="en-AU"/>
        </w:rPr>
      </w:pPr>
      <w:r w:rsidRPr="007544F0">
        <w:rPr>
          <w:rStyle w:val="A8"/>
          <w:rFonts w:asciiTheme="minorHAnsi" w:hAnsiTheme="minorHAnsi"/>
          <w:color w:val="221E1F"/>
          <w:sz w:val="22"/>
          <w:szCs w:val="22"/>
        </w:rPr>
        <w:t>7.1.5</w:t>
      </w:r>
      <w:r w:rsidRPr="007544F0">
        <w:rPr>
          <w:rStyle w:val="A8"/>
          <w:rFonts w:asciiTheme="minorHAnsi" w:hAnsiTheme="minorHAnsi"/>
          <w:color w:val="221E1F"/>
          <w:sz w:val="22"/>
          <w:szCs w:val="22"/>
        </w:rPr>
        <w:tab/>
        <w:t>Observational studies documenting the musculo</w:t>
      </w:r>
      <w:r w:rsidRPr="007544F0">
        <w:rPr>
          <w:rStyle w:val="A8"/>
          <w:rFonts w:asciiTheme="minorHAnsi" w:hAnsiTheme="minorHAnsi"/>
          <w:color w:val="221E1F"/>
          <w:sz w:val="22"/>
          <w:szCs w:val="22"/>
        </w:rPr>
        <w:softHyphen/>
        <w:t xml:space="preserve">skeletal outcome of doses and protocols of factor replacement are extremely important in defining these issues. </w:t>
      </w:r>
    </w:p>
    <w:p w:rsidR="00BB0659" w:rsidRPr="007544F0" w:rsidRDefault="00BB0659" w:rsidP="00041ED2">
      <w:pPr>
        <w:pStyle w:val="Default"/>
        <w:spacing w:after="222" w:line="276" w:lineRule="auto"/>
        <w:ind w:left="1383" w:hanging="1383"/>
        <w:rPr>
          <w:rStyle w:val="A8"/>
          <w:rFonts w:asciiTheme="minorHAnsi" w:hAnsiTheme="minorHAnsi" w:cs="Arial"/>
          <w:color w:val="221E1F"/>
          <w:sz w:val="22"/>
          <w:szCs w:val="22"/>
          <w:lang w:eastAsia="en-AU"/>
        </w:rPr>
      </w:pPr>
      <w:r w:rsidRPr="007544F0">
        <w:rPr>
          <w:rStyle w:val="A8"/>
          <w:rFonts w:asciiTheme="minorHAnsi" w:hAnsiTheme="minorHAnsi"/>
          <w:color w:val="221E1F"/>
          <w:sz w:val="22"/>
          <w:szCs w:val="22"/>
        </w:rPr>
        <w:t>7.1.6</w:t>
      </w:r>
      <w:r w:rsidRPr="007544F0">
        <w:rPr>
          <w:rStyle w:val="A8"/>
          <w:rFonts w:asciiTheme="minorHAnsi" w:hAnsiTheme="minorHAnsi"/>
          <w:color w:val="221E1F"/>
          <w:sz w:val="22"/>
          <w:szCs w:val="22"/>
        </w:rPr>
        <w:tab/>
        <w:t xml:space="preserve">Doses for prophylactic replacement of factor concentrates vary between different countries and also among centres in the same country. </w:t>
      </w:r>
    </w:p>
    <w:p w:rsidR="00BB0659" w:rsidRPr="007544F0" w:rsidRDefault="00BB0659" w:rsidP="00041ED2">
      <w:pPr>
        <w:pStyle w:val="Default"/>
        <w:spacing w:after="222" w:line="276" w:lineRule="auto"/>
        <w:ind w:left="1383" w:hanging="1383"/>
        <w:rPr>
          <w:rStyle w:val="A8"/>
          <w:rFonts w:asciiTheme="minorHAnsi" w:hAnsiTheme="minorHAnsi" w:cs="Arial"/>
          <w:color w:val="221E1F"/>
          <w:sz w:val="22"/>
          <w:szCs w:val="22"/>
          <w:lang w:eastAsia="en-AU"/>
        </w:rPr>
      </w:pPr>
      <w:r w:rsidRPr="007544F0">
        <w:rPr>
          <w:rStyle w:val="A8"/>
          <w:rFonts w:asciiTheme="minorHAnsi" w:hAnsiTheme="minorHAnsi"/>
          <w:color w:val="221E1F"/>
          <w:sz w:val="22"/>
          <w:szCs w:val="22"/>
        </w:rPr>
        <w:t>7.1.7</w:t>
      </w:r>
      <w:r w:rsidRPr="007544F0">
        <w:rPr>
          <w:rStyle w:val="A8"/>
          <w:rFonts w:asciiTheme="minorHAnsi" w:hAnsiTheme="minorHAnsi"/>
          <w:color w:val="221E1F"/>
          <w:sz w:val="22"/>
          <w:szCs w:val="22"/>
        </w:rPr>
        <w:tab/>
      </w:r>
      <w:r w:rsidRPr="007544F0">
        <w:rPr>
          <w:rStyle w:val="A8"/>
          <w:rFonts w:asciiTheme="minorHAnsi" w:hAnsiTheme="minorHAnsi"/>
          <w:b/>
          <w:color w:val="221E1F"/>
          <w:sz w:val="22"/>
          <w:szCs w:val="22"/>
        </w:rPr>
        <w:t xml:space="preserve">Commonly-used dosage for prophylactic factor replacement is 25-40 IU/kg 3-4 times weekly in countries with less resource constraints (see Section 1 for details). </w:t>
      </w:r>
      <w:r w:rsidRPr="007544F0">
        <w:rPr>
          <w:rStyle w:val="A8"/>
          <w:rFonts w:asciiTheme="minorHAnsi" w:hAnsiTheme="minorHAnsi"/>
          <w:b/>
          <w:color w:val="221E1F"/>
          <w:sz w:val="22"/>
          <w:szCs w:val="22"/>
          <w:vertAlign w:val="superscript"/>
        </w:rPr>
        <w:t>[1-3]</w:t>
      </w:r>
      <w:r w:rsidRPr="007544F0">
        <w:rPr>
          <w:rStyle w:val="A8"/>
          <w:rFonts w:asciiTheme="minorHAnsi" w:hAnsiTheme="minorHAnsi"/>
          <w:color w:val="221E1F"/>
          <w:sz w:val="22"/>
          <w:szCs w:val="22"/>
        </w:rPr>
        <w:t xml:space="preserve"> </w:t>
      </w:r>
    </w:p>
    <w:p w:rsidR="00BB0659" w:rsidRDefault="00BB0659" w:rsidP="00041ED2">
      <w:pPr>
        <w:autoSpaceDE w:val="0"/>
        <w:autoSpaceDN w:val="0"/>
        <w:adjustRightInd w:val="0"/>
        <w:spacing w:after="0"/>
        <w:ind w:left="0"/>
        <w:rPr>
          <w:rFonts w:asciiTheme="minorHAnsi" w:hAnsiTheme="minorHAnsi" w:cs="Arial"/>
          <w:b/>
          <w:bCs/>
          <w:color w:val="221E1F"/>
        </w:rPr>
      </w:pPr>
      <w:r w:rsidRPr="007544F0">
        <w:rPr>
          <w:rFonts w:asciiTheme="minorHAnsi" w:hAnsiTheme="minorHAnsi" w:cs="Arial"/>
          <w:b/>
          <w:bCs/>
          <w:color w:val="221E1F"/>
        </w:rPr>
        <w:t xml:space="preserve">FIGURE 7-1: </w:t>
      </w:r>
    </w:p>
    <w:p w:rsidR="00BB0659" w:rsidRPr="007544F0" w:rsidRDefault="00BB0659" w:rsidP="00041ED2">
      <w:pPr>
        <w:autoSpaceDE w:val="0"/>
        <w:autoSpaceDN w:val="0"/>
        <w:adjustRightInd w:val="0"/>
        <w:spacing w:after="0"/>
        <w:ind w:left="0"/>
        <w:rPr>
          <w:rFonts w:asciiTheme="minorHAnsi" w:hAnsiTheme="minorHAnsi" w:cs="Arial"/>
          <w:b/>
          <w:bCs/>
          <w:color w:val="221E1F"/>
        </w:rPr>
      </w:pPr>
      <w:r w:rsidRPr="007544F0">
        <w:rPr>
          <w:rFonts w:asciiTheme="minorHAnsi" w:hAnsiTheme="minorHAnsi" w:cs="Arial"/>
          <w:b/>
          <w:bCs/>
          <w:color w:val="221E1F"/>
        </w:rPr>
        <w:t xml:space="preserve">STRATEGIES FOR CLOTTING FACTOR REPLACEMENT AT DIFFERENT AGES AND IMPACT ON OUTCOMES </w:t>
      </w:r>
    </w:p>
    <w:p w:rsidR="00BB0659" w:rsidRPr="007544F0" w:rsidRDefault="00BB0659" w:rsidP="00041ED2">
      <w:pPr>
        <w:autoSpaceDE w:val="0"/>
        <w:autoSpaceDN w:val="0"/>
        <w:adjustRightInd w:val="0"/>
        <w:spacing w:after="0"/>
        <w:ind w:left="0"/>
        <w:rPr>
          <w:rFonts w:asciiTheme="minorHAnsi" w:hAnsiTheme="minorHAnsi" w:cs="Arial"/>
          <w:color w:val="221E1F"/>
          <w:lang w:eastAsia="en-US"/>
        </w:rPr>
      </w:pPr>
    </w:p>
    <w:p w:rsidR="00BB0659" w:rsidRDefault="00BB0659" w:rsidP="00FE440A">
      <w:pPr>
        <w:autoSpaceDE w:val="0"/>
        <w:autoSpaceDN w:val="0"/>
        <w:adjustRightInd w:val="0"/>
        <w:spacing w:after="0"/>
        <w:ind w:left="0"/>
        <w:rPr>
          <w:rFonts w:ascii="Arial" w:hAnsi="Arial" w:cs="Arial"/>
          <w:color w:val="221E1F"/>
          <w:lang w:eastAsia="en-US"/>
        </w:rPr>
      </w:pPr>
      <w:r>
        <w:rPr>
          <w:noProof/>
        </w:rPr>
        <w:drawing>
          <wp:inline distT="0" distB="0" distL="0" distR="0" wp14:anchorId="185935D3" wp14:editId="3172A82F">
            <wp:extent cx="4356996" cy="3114136"/>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53469" cy="3111615"/>
                    </a:xfrm>
                    <a:prstGeom prst="rect">
                      <a:avLst/>
                    </a:prstGeom>
                  </pic:spPr>
                </pic:pic>
              </a:graphicData>
            </a:graphic>
          </wp:inline>
        </w:drawing>
      </w:r>
    </w:p>
    <w:p w:rsidR="00BB0659" w:rsidRDefault="00BB0659" w:rsidP="00BB0659">
      <w:pPr>
        <w:autoSpaceDE w:val="0"/>
        <w:autoSpaceDN w:val="0"/>
        <w:adjustRightInd w:val="0"/>
        <w:spacing w:after="0"/>
        <w:rPr>
          <w:rFonts w:ascii="Arial" w:hAnsi="Arial" w:cs="Arial"/>
          <w:color w:val="221E1F"/>
          <w:lang w:eastAsia="en-US"/>
        </w:rPr>
      </w:pPr>
    </w:p>
    <w:p w:rsidR="00FE440A" w:rsidRDefault="00FE440A" w:rsidP="00BB0659">
      <w:pPr>
        <w:autoSpaceDE w:val="0"/>
        <w:autoSpaceDN w:val="0"/>
        <w:adjustRightInd w:val="0"/>
        <w:spacing w:after="0"/>
        <w:rPr>
          <w:rFonts w:ascii="Arial" w:hAnsi="Arial" w:cs="Arial"/>
          <w:color w:val="221E1F"/>
          <w:lang w:eastAsia="en-US"/>
        </w:rPr>
      </w:pPr>
    </w:p>
    <w:p w:rsidR="00FE440A" w:rsidRDefault="00FE440A" w:rsidP="00BB0659">
      <w:pPr>
        <w:autoSpaceDE w:val="0"/>
        <w:autoSpaceDN w:val="0"/>
        <w:adjustRightInd w:val="0"/>
        <w:spacing w:after="0"/>
        <w:rPr>
          <w:rFonts w:ascii="Arial" w:hAnsi="Arial" w:cs="Arial"/>
          <w:color w:val="221E1F"/>
          <w:lang w:eastAsia="en-US"/>
        </w:rPr>
      </w:pPr>
    </w:p>
    <w:p w:rsidR="000B0ED6" w:rsidRDefault="000B0ED6" w:rsidP="00BB0659">
      <w:pPr>
        <w:autoSpaceDE w:val="0"/>
        <w:autoSpaceDN w:val="0"/>
        <w:adjustRightInd w:val="0"/>
        <w:spacing w:after="0"/>
        <w:rPr>
          <w:rFonts w:ascii="Arial" w:hAnsi="Arial" w:cs="Arial"/>
          <w:color w:val="221E1F"/>
          <w:lang w:eastAsia="en-US"/>
        </w:rPr>
      </w:pPr>
    </w:p>
    <w:p w:rsidR="00BB0659" w:rsidRDefault="00BB0659" w:rsidP="00BB0659">
      <w:pPr>
        <w:autoSpaceDE w:val="0"/>
        <w:autoSpaceDN w:val="0"/>
        <w:adjustRightInd w:val="0"/>
        <w:spacing w:after="0"/>
        <w:rPr>
          <w:rFonts w:ascii="Arial" w:hAnsi="Arial" w:cs="Arial"/>
          <w:color w:val="221E1F"/>
          <w:lang w:eastAsia="en-US"/>
        </w:rPr>
      </w:pPr>
      <w:r w:rsidRPr="00041ED2">
        <w:rPr>
          <w:rFonts w:ascii="Arial" w:hAnsi="Arial" w:cs="Arial"/>
          <w:noProof/>
          <w:color w:val="221E1F"/>
        </w:rPr>
        <mc:AlternateContent>
          <mc:Choice Requires="wps">
            <w:drawing>
              <wp:anchor distT="0" distB="0" distL="114300" distR="114300" simplePos="0" relativeHeight="251664384" behindDoc="1" locked="0" layoutInCell="1" allowOverlap="1" wp14:anchorId="3E2C4553" wp14:editId="436C5FBF">
                <wp:simplePos x="0" y="0"/>
                <wp:positionH relativeFrom="page">
                  <wp:posOffset>1737360</wp:posOffset>
                </wp:positionH>
                <wp:positionV relativeFrom="paragraph">
                  <wp:posOffset>6534785</wp:posOffset>
                </wp:positionV>
                <wp:extent cx="126365" cy="2057400"/>
                <wp:effectExtent l="3810" t="0" r="3175"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ED6" w:rsidRDefault="000B0ED6" w:rsidP="00BB0659">
                            <w:pPr>
                              <w:spacing w:after="0" w:line="180" w:lineRule="exact"/>
                              <w:ind w:left="20" w:right="-44"/>
                              <w:rPr>
                                <w:rFonts w:ascii="Arial" w:eastAsia="Arial" w:hAnsi="Arial" w:cs="Arial"/>
                                <w:sz w:val="16"/>
                                <w:szCs w:val="16"/>
                              </w:rPr>
                            </w:pPr>
                            <w:r>
                              <w:rPr>
                                <w:rFonts w:ascii="Arial" w:eastAsia="Arial" w:hAnsi="Arial" w:cs="Arial"/>
                                <w:color w:val="231F20"/>
                                <w:spacing w:val="2"/>
                                <w:sz w:val="16"/>
                                <w:szCs w:val="16"/>
                              </w:rPr>
                              <w:t>Inc</w:t>
                            </w:r>
                            <w:r>
                              <w:rPr>
                                <w:rFonts w:ascii="Arial" w:eastAsia="Arial" w:hAnsi="Arial" w:cs="Arial"/>
                                <w:color w:val="231F20"/>
                                <w:spacing w:val="-1"/>
                                <w:sz w:val="16"/>
                                <w:szCs w:val="16"/>
                              </w:rPr>
                              <w:t>r</w:t>
                            </w:r>
                            <w:r>
                              <w:rPr>
                                <w:rFonts w:ascii="Arial" w:eastAsia="Arial" w:hAnsi="Arial" w:cs="Arial"/>
                                <w:color w:val="231F20"/>
                                <w:spacing w:val="2"/>
                                <w:sz w:val="16"/>
                                <w:szCs w:val="16"/>
                              </w:rPr>
                              <w:t>easin</w:t>
                            </w:r>
                            <w:r>
                              <w:rPr>
                                <w:rFonts w:ascii="Arial" w:eastAsia="Arial" w:hAnsi="Arial" w:cs="Arial"/>
                                <w:color w:val="231F20"/>
                                <w:sz w:val="16"/>
                                <w:szCs w:val="16"/>
                              </w:rPr>
                              <w:t>g</w:t>
                            </w:r>
                            <w:r>
                              <w:rPr>
                                <w:rFonts w:ascii="Arial" w:eastAsia="Arial" w:hAnsi="Arial" w:cs="Arial"/>
                                <w:color w:val="231F20"/>
                                <w:spacing w:val="26"/>
                                <w:sz w:val="16"/>
                                <w:szCs w:val="16"/>
                              </w:rPr>
                              <w:t xml:space="preserve"> </w:t>
                            </w:r>
                            <w:proofErr w:type="gramStart"/>
                            <w:r>
                              <w:rPr>
                                <w:rFonts w:ascii="Arial" w:eastAsia="Arial" w:hAnsi="Arial" w:cs="Arial"/>
                                <w:color w:val="231F20"/>
                                <w:spacing w:val="2"/>
                                <w:sz w:val="16"/>
                                <w:szCs w:val="16"/>
                              </w:rPr>
                              <w:t>intensit</w:t>
                            </w:r>
                            <w:r>
                              <w:rPr>
                                <w:rFonts w:ascii="Arial" w:eastAsia="Arial" w:hAnsi="Arial" w:cs="Arial"/>
                                <w:color w:val="231F20"/>
                                <w:sz w:val="16"/>
                                <w:szCs w:val="16"/>
                              </w:rPr>
                              <w:t xml:space="preserve">y </w:t>
                            </w:r>
                            <w:r>
                              <w:rPr>
                                <w:rFonts w:ascii="Arial" w:eastAsia="Arial" w:hAnsi="Arial" w:cs="Arial"/>
                                <w:color w:val="231F20"/>
                                <w:spacing w:val="17"/>
                                <w:sz w:val="16"/>
                                <w:szCs w:val="16"/>
                              </w:rPr>
                              <w:t xml:space="preserve"> </w:t>
                            </w:r>
                            <w:r>
                              <w:rPr>
                                <w:rFonts w:ascii="Arial" w:eastAsia="Arial" w:hAnsi="Arial" w:cs="Arial"/>
                                <w:color w:val="231F20"/>
                                <w:spacing w:val="2"/>
                                <w:w w:val="114"/>
                                <w:sz w:val="16"/>
                                <w:szCs w:val="16"/>
                              </w:rPr>
                              <w:t>o</w:t>
                            </w:r>
                            <w:r>
                              <w:rPr>
                                <w:rFonts w:ascii="Arial" w:eastAsia="Arial" w:hAnsi="Arial" w:cs="Arial"/>
                                <w:color w:val="231F20"/>
                                <w:w w:val="114"/>
                                <w:sz w:val="16"/>
                                <w:szCs w:val="16"/>
                              </w:rPr>
                              <w:t>f</w:t>
                            </w:r>
                            <w:proofErr w:type="gramEnd"/>
                            <w:r>
                              <w:rPr>
                                <w:rFonts w:ascii="Arial" w:eastAsia="Arial" w:hAnsi="Arial" w:cs="Arial"/>
                                <w:color w:val="231F20"/>
                                <w:spacing w:val="8"/>
                                <w:w w:val="114"/>
                                <w:sz w:val="16"/>
                                <w:szCs w:val="16"/>
                              </w:rPr>
                              <w:t xml:space="preserve"> </w:t>
                            </w:r>
                            <w:r>
                              <w:rPr>
                                <w:rFonts w:ascii="Arial" w:eastAsia="Arial" w:hAnsi="Arial" w:cs="Arial"/>
                                <w:color w:val="231F20"/>
                                <w:spacing w:val="2"/>
                                <w:sz w:val="16"/>
                                <w:szCs w:val="16"/>
                              </w:rPr>
                              <w:t>facto</w:t>
                            </w:r>
                            <w:r>
                              <w:rPr>
                                <w:rFonts w:ascii="Arial" w:eastAsia="Arial" w:hAnsi="Arial" w:cs="Arial"/>
                                <w:color w:val="231F20"/>
                                <w:sz w:val="16"/>
                                <w:szCs w:val="16"/>
                              </w:rPr>
                              <w:t xml:space="preserve">r </w:t>
                            </w:r>
                            <w:r>
                              <w:rPr>
                                <w:rFonts w:ascii="Arial" w:eastAsia="Arial" w:hAnsi="Arial" w:cs="Arial"/>
                                <w:color w:val="231F20"/>
                                <w:spacing w:val="9"/>
                                <w:sz w:val="16"/>
                                <w:szCs w:val="16"/>
                              </w:rPr>
                              <w:t xml:space="preserve"> </w:t>
                            </w:r>
                            <w:r>
                              <w:rPr>
                                <w:rFonts w:ascii="Arial" w:eastAsia="Arial" w:hAnsi="Arial" w:cs="Arial"/>
                                <w:color w:val="231F20"/>
                                <w:spacing w:val="-1"/>
                                <w:w w:val="116"/>
                                <w:sz w:val="16"/>
                                <w:szCs w:val="16"/>
                              </w:rPr>
                              <w:t>r</w:t>
                            </w:r>
                            <w:r>
                              <w:rPr>
                                <w:rFonts w:ascii="Arial" w:eastAsia="Arial" w:hAnsi="Arial" w:cs="Arial"/>
                                <w:color w:val="231F20"/>
                                <w:spacing w:val="2"/>
                                <w:w w:val="105"/>
                                <w:sz w:val="16"/>
                                <w:szCs w:val="16"/>
                              </w:rPr>
                              <w:t>eplacement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36.8pt;margin-top:514.55pt;width:9.95pt;height:16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" filled="f" stroked="f">
                <v:textbox style="layout-flow:vertical;mso-layout-flow-alt:bottom-to-top" inset="0,0,0,0">
                  <w:txbxContent>
                    <w:p w:rsidR="000B0ED6" w:rsidRDefault="000B0ED6" w:rsidP="00BB0659">
                      <w:pPr>
                        <w:spacing w:after="0" w:line="180" w:lineRule="exact"/>
                        <w:ind w:left="20" w:right="-44"/>
                        <w:rPr>
                          <w:rFonts w:ascii="Arial" w:eastAsia="Arial" w:hAnsi="Arial" w:cs="Arial"/>
                          <w:sz w:val="16"/>
                          <w:szCs w:val="16"/>
                        </w:rPr>
                      </w:pPr>
                      <w:r>
                        <w:rPr>
                          <w:rFonts w:ascii="Arial" w:eastAsia="Arial" w:hAnsi="Arial" w:cs="Arial"/>
                          <w:color w:val="231F20"/>
                          <w:spacing w:val="2"/>
                          <w:sz w:val="16"/>
                          <w:szCs w:val="16"/>
                        </w:rPr>
                        <w:t>Inc</w:t>
                      </w:r>
                      <w:r>
                        <w:rPr>
                          <w:rFonts w:ascii="Arial" w:eastAsia="Arial" w:hAnsi="Arial" w:cs="Arial"/>
                          <w:color w:val="231F20"/>
                          <w:spacing w:val="-1"/>
                          <w:sz w:val="16"/>
                          <w:szCs w:val="16"/>
                        </w:rPr>
                        <w:t>r</w:t>
                      </w:r>
                      <w:r>
                        <w:rPr>
                          <w:rFonts w:ascii="Arial" w:eastAsia="Arial" w:hAnsi="Arial" w:cs="Arial"/>
                          <w:color w:val="231F20"/>
                          <w:spacing w:val="2"/>
                          <w:sz w:val="16"/>
                          <w:szCs w:val="16"/>
                        </w:rPr>
                        <w:t>easin</w:t>
                      </w:r>
                      <w:r>
                        <w:rPr>
                          <w:rFonts w:ascii="Arial" w:eastAsia="Arial" w:hAnsi="Arial" w:cs="Arial"/>
                          <w:color w:val="231F20"/>
                          <w:sz w:val="16"/>
                          <w:szCs w:val="16"/>
                        </w:rPr>
                        <w:t>g</w:t>
                      </w:r>
                      <w:r>
                        <w:rPr>
                          <w:rFonts w:ascii="Arial" w:eastAsia="Arial" w:hAnsi="Arial" w:cs="Arial"/>
                          <w:color w:val="231F20"/>
                          <w:spacing w:val="26"/>
                          <w:sz w:val="16"/>
                          <w:szCs w:val="16"/>
                        </w:rPr>
                        <w:t xml:space="preserve"> </w:t>
                      </w:r>
                      <w:proofErr w:type="gramStart"/>
                      <w:r>
                        <w:rPr>
                          <w:rFonts w:ascii="Arial" w:eastAsia="Arial" w:hAnsi="Arial" w:cs="Arial"/>
                          <w:color w:val="231F20"/>
                          <w:spacing w:val="2"/>
                          <w:sz w:val="16"/>
                          <w:szCs w:val="16"/>
                        </w:rPr>
                        <w:t>intensit</w:t>
                      </w:r>
                      <w:r>
                        <w:rPr>
                          <w:rFonts w:ascii="Arial" w:eastAsia="Arial" w:hAnsi="Arial" w:cs="Arial"/>
                          <w:color w:val="231F20"/>
                          <w:sz w:val="16"/>
                          <w:szCs w:val="16"/>
                        </w:rPr>
                        <w:t xml:space="preserve">y </w:t>
                      </w:r>
                      <w:r>
                        <w:rPr>
                          <w:rFonts w:ascii="Arial" w:eastAsia="Arial" w:hAnsi="Arial" w:cs="Arial"/>
                          <w:color w:val="231F20"/>
                          <w:spacing w:val="17"/>
                          <w:sz w:val="16"/>
                          <w:szCs w:val="16"/>
                        </w:rPr>
                        <w:t xml:space="preserve"> </w:t>
                      </w:r>
                      <w:r>
                        <w:rPr>
                          <w:rFonts w:ascii="Arial" w:eastAsia="Arial" w:hAnsi="Arial" w:cs="Arial"/>
                          <w:color w:val="231F20"/>
                          <w:spacing w:val="2"/>
                          <w:w w:val="114"/>
                          <w:sz w:val="16"/>
                          <w:szCs w:val="16"/>
                        </w:rPr>
                        <w:t>o</w:t>
                      </w:r>
                      <w:r>
                        <w:rPr>
                          <w:rFonts w:ascii="Arial" w:eastAsia="Arial" w:hAnsi="Arial" w:cs="Arial"/>
                          <w:color w:val="231F20"/>
                          <w:w w:val="114"/>
                          <w:sz w:val="16"/>
                          <w:szCs w:val="16"/>
                        </w:rPr>
                        <w:t>f</w:t>
                      </w:r>
                      <w:proofErr w:type="gramEnd"/>
                      <w:r>
                        <w:rPr>
                          <w:rFonts w:ascii="Arial" w:eastAsia="Arial" w:hAnsi="Arial" w:cs="Arial"/>
                          <w:color w:val="231F20"/>
                          <w:spacing w:val="8"/>
                          <w:w w:val="114"/>
                          <w:sz w:val="16"/>
                          <w:szCs w:val="16"/>
                        </w:rPr>
                        <w:t xml:space="preserve"> </w:t>
                      </w:r>
                      <w:r>
                        <w:rPr>
                          <w:rFonts w:ascii="Arial" w:eastAsia="Arial" w:hAnsi="Arial" w:cs="Arial"/>
                          <w:color w:val="231F20"/>
                          <w:spacing w:val="2"/>
                          <w:sz w:val="16"/>
                          <w:szCs w:val="16"/>
                        </w:rPr>
                        <w:t>facto</w:t>
                      </w:r>
                      <w:r>
                        <w:rPr>
                          <w:rFonts w:ascii="Arial" w:eastAsia="Arial" w:hAnsi="Arial" w:cs="Arial"/>
                          <w:color w:val="231F20"/>
                          <w:sz w:val="16"/>
                          <w:szCs w:val="16"/>
                        </w:rPr>
                        <w:t xml:space="preserve">r </w:t>
                      </w:r>
                      <w:r>
                        <w:rPr>
                          <w:rFonts w:ascii="Arial" w:eastAsia="Arial" w:hAnsi="Arial" w:cs="Arial"/>
                          <w:color w:val="231F20"/>
                          <w:spacing w:val="9"/>
                          <w:sz w:val="16"/>
                          <w:szCs w:val="16"/>
                        </w:rPr>
                        <w:t xml:space="preserve"> </w:t>
                      </w:r>
                      <w:r>
                        <w:rPr>
                          <w:rFonts w:ascii="Arial" w:eastAsia="Arial" w:hAnsi="Arial" w:cs="Arial"/>
                          <w:color w:val="231F20"/>
                          <w:spacing w:val="-1"/>
                          <w:w w:val="116"/>
                          <w:sz w:val="16"/>
                          <w:szCs w:val="16"/>
                        </w:rPr>
                        <w:t>r</w:t>
                      </w:r>
                      <w:r>
                        <w:rPr>
                          <w:rFonts w:ascii="Arial" w:eastAsia="Arial" w:hAnsi="Arial" w:cs="Arial"/>
                          <w:color w:val="231F20"/>
                          <w:spacing w:val="2"/>
                          <w:w w:val="105"/>
                          <w:sz w:val="16"/>
                          <w:szCs w:val="16"/>
                        </w:rPr>
                        <w:t>eplacement</w:t>
                      </w:r>
                    </w:p>
                  </w:txbxContent>
                </v:textbox>
                <w10:wrap anchorx="page"/>
              </v:shape>
            </w:pict>
          </mc:Fallback>
        </mc:AlternateContent>
      </w:r>
      <w:r w:rsidRPr="00041ED2">
        <w:rPr>
          <w:rFonts w:ascii="Arial" w:hAnsi="Arial" w:cs="Arial"/>
          <w:noProof/>
          <w:color w:val="221E1F"/>
        </w:rPr>
        <mc:AlternateContent>
          <mc:Choice Requires="wpg">
            <w:drawing>
              <wp:anchor distT="0" distB="0" distL="114300" distR="114300" simplePos="0" relativeHeight="251663360" behindDoc="1" locked="0" layoutInCell="1" allowOverlap="1" wp14:anchorId="722B47B3" wp14:editId="016A9385">
                <wp:simplePos x="0" y="0"/>
                <wp:positionH relativeFrom="page">
                  <wp:posOffset>1909445</wp:posOffset>
                </wp:positionH>
                <wp:positionV relativeFrom="paragraph">
                  <wp:posOffset>6191250</wp:posOffset>
                </wp:positionV>
                <wp:extent cx="927735" cy="3154680"/>
                <wp:effectExtent l="4445" t="8890" r="1270" b="825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3154680"/>
                          <a:chOff x="3007" y="-5101"/>
                          <a:chExt cx="1461" cy="4968"/>
                        </a:xfrm>
                      </wpg:grpSpPr>
                      <wpg:grpSp>
                        <wpg:cNvPr id="17" name="Group 17"/>
                        <wpg:cNvGrpSpPr>
                          <a:grpSpLocks/>
                        </wpg:cNvGrpSpPr>
                        <wpg:grpSpPr bwMode="auto">
                          <a:xfrm>
                            <a:off x="3184" y="-5091"/>
                            <a:ext cx="1107" cy="4948"/>
                            <a:chOff x="3184" y="-5091"/>
                            <a:chExt cx="1107" cy="4948"/>
                          </a:xfrm>
                        </wpg:grpSpPr>
                        <wps:wsp>
                          <wps:cNvPr id="18" name="Freeform 18"/>
                          <wps:cNvSpPr>
                            <a:spLocks/>
                          </wps:cNvSpPr>
                          <wps:spPr bwMode="auto">
                            <a:xfrm>
                              <a:off x="3184" y="-5091"/>
                              <a:ext cx="1107" cy="4948"/>
                            </a:xfrm>
                            <a:custGeom>
                              <a:avLst/>
                              <a:gdLst>
                                <a:gd name="T0" fmla="+- 0 3738 3184"/>
                                <a:gd name="T1" fmla="*/ T0 w 1107"/>
                                <a:gd name="T2" fmla="+- 0 -144 -5091"/>
                                <a:gd name="T3" fmla="*/ -144 h 4948"/>
                                <a:gd name="T4" fmla="+- 0 4291 3184"/>
                                <a:gd name="T5" fmla="*/ T4 w 1107"/>
                                <a:gd name="T6" fmla="+- 0 -770 -5091"/>
                                <a:gd name="T7" fmla="*/ -770 h 4948"/>
                                <a:gd name="T8" fmla="+- 0 4010 3184"/>
                                <a:gd name="T9" fmla="*/ T8 w 1107"/>
                                <a:gd name="T10" fmla="+- 0 -770 -5091"/>
                                <a:gd name="T11" fmla="*/ -770 h 4948"/>
                                <a:gd name="T12" fmla="+- 0 4010 3184"/>
                                <a:gd name="T13" fmla="*/ T12 w 1107"/>
                                <a:gd name="T14" fmla="+- 0 -5091 -5091"/>
                                <a:gd name="T15" fmla="*/ -5091 h 4948"/>
                                <a:gd name="T16" fmla="+- 0 3465 3184"/>
                                <a:gd name="T17" fmla="*/ T16 w 1107"/>
                                <a:gd name="T18" fmla="+- 0 -5091 -5091"/>
                                <a:gd name="T19" fmla="*/ -5091 h 4948"/>
                                <a:gd name="T20" fmla="+- 0 3465 3184"/>
                                <a:gd name="T21" fmla="*/ T20 w 1107"/>
                                <a:gd name="T22" fmla="+- 0 -770 -5091"/>
                                <a:gd name="T23" fmla="*/ -770 h 4948"/>
                                <a:gd name="T24" fmla="+- 0 3184 3184"/>
                                <a:gd name="T25" fmla="*/ T24 w 1107"/>
                                <a:gd name="T26" fmla="+- 0 -770 -5091"/>
                                <a:gd name="T27" fmla="*/ -770 h 4948"/>
                                <a:gd name="T28" fmla="+- 0 3738 3184"/>
                                <a:gd name="T29" fmla="*/ T28 w 1107"/>
                                <a:gd name="T30" fmla="+- 0 -144 -5091"/>
                                <a:gd name="T31" fmla="*/ -144 h 49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7" h="4948">
                                  <a:moveTo>
                                    <a:pt x="554" y="4947"/>
                                  </a:moveTo>
                                  <a:lnTo>
                                    <a:pt x="1107" y="4321"/>
                                  </a:lnTo>
                                  <a:lnTo>
                                    <a:pt x="826" y="4321"/>
                                  </a:lnTo>
                                  <a:lnTo>
                                    <a:pt x="826" y="0"/>
                                  </a:lnTo>
                                  <a:lnTo>
                                    <a:pt x="281" y="0"/>
                                  </a:lnTo>
                                  <a:lnTo>
                                    <a:pt x="281" y="4321"/>
                                  </a:lnTo>
                                  <a:lnTo>
                                    <a:pt x="0" y="4321"/>
                                  </a:lnTo>
                                  <a:lnTo>
                                    <a:pt x="554" y="4947"/>
                                  </a:lnTo>
                                  <a:close/>
                                </a:path>
                              </a:pathLst>
                            </a:custGeom>
                            <a:noFill/>
                            <a:ln w="12649">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9"/>
                        <wpg:cNvGrpSpPr>
                          <a:grpSpLocks/>
                        </wpg:cNvGrpSpPr>
                        <wpg:grpSpPr bwMode="auto">
                          <a:xfrm>
                            <a:off x="3017" y="-4804"/>
                            <a:ext cx="1441" cy="3792"/>
                            <a:chOff x="3017" y="-4804"/>
                            <a:chExt cx="1441" cy="3792"/>
                          </a:xfrm>
                        </wpg:grpSpPr>
                        <wps:wsp>
                          <wps:cNvPr id="20" name="Freeform 20"/>
                          <wps:cNvSpPr>
                            <a:spLocks/>
                          </wps:cNvSpPr>
                          <wps:spPr bwMode="auto">
                            <a:xfrm>
                              <a:off x="3017" y="-4804"/>
                              <a:ext cx="1441" cy="3792"/>
                            </a:xfrm>
                            <a:custGeom>
                              <a:avLst/>
                              <a:gdLst>
                                <a:gd name="T0" fmla="+- 0 4458 3017"/>
                                <a:gd name="T1" fmla="*/ T0 w 1441"/>
                                <a:gd name="T2" fmla="+- 0 -1012 -4804"/>
                                <a:gd name="T3" fmla="*/ -1012 h 3792"/>
                                <a:gd name="T4" fmla="+- 0 3017 3017"/>
                                <a:gd name="T5" fmla="*/ T4 w 1441"/>
                                <a:gd name="T6" fmla="+- 0 -1012 -4804"/>
                                <a:gd name="T7" fmla="*/ -1012 h 3792"/>
                                <a:gd name="T8" fmla="+- 0 3017 3017"/>
                                <a:gd name="T9" fmla="*/ T8 w 1441"/>
                                <a:gd name="T10" fmla="+- 0 -4804 -4804"/>
                                <a:gd name="T11" fmla="*/ -4804 h 3792"/>
                                <a:gd name="T12" fmla="+- 0 4458 3017"/>
                                <a:gd name="T13" fmla="*/ T12 w 1441"/>
                                <a:gd name="T14" fmla="+- 0 -4804 -4804"/>
                                <a:gd name="T15" fmla="*/ -4804 h 3792"/>
                                <a:gd name="T16" fmla="+- 0 4458 3017"/>
                                <a:gd name="T17" fmla="*/ T16 w 1441"/>
                                <a:gd name="T18" fmla="+- 0 -1012 -4804"/>
                                <a:gd name="T19" fmla="*/ -1012 h 3792"/>
                              </a:gdLst>
                              <a:ahLst/>
                              <a:cxnLst>
                                <a:cxn ang="0">
                                  <a:pos x="T1" y="T3"/>
                                </a:cxn>
                                <a:cxn ang="0">
                                  <a:pos x="T5" y="T7"/>
                                </a:cxn>
                                <a:cxn ang="0">
                                  <a:pos x="T9" y="T11"/>
                                </a:cxn>
                                <a:cxn ang="0">
                                  <a:pos x="T13" y="T15"/>
                                </a:cxn>
                                <a:cxn ang="0">
                                  <a:pos x="T17" y="T19"/>
                                </a:cxn>
                              </a:cxnLst>
                              <a:rect l="0" t="0" r="r" b="b"/>
                              <a:pathLst>
                                <a:path w="1441" h="3792">
                                  <a:moveTo>
                                    <a:pt x="1441" y="3792"/>
                                  </a:moveTo>
                                  <a:lnTo>
                                    <a:pt x="0" y="3792"/>
                                  </a:lnTo>
                                  <a:lnTo>
                                    <a:pt x="0" y="0"/>
                                  </a:lnTo>
                                  <a:lnTo>
                                    <a:pt x="1441" y="0"/>
                                  </a:lnTo>
                                  <a:lnTo>
                                    <a:pt x="1441" y="37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1"/>
                        <wpg:cNvGrpSpPr>
                          <a:grpSpLocks/>
                        </wpg:cNvGrpSpPr>
                        <wpg:grpSpPr bwMode="auto">
                          <a:xfrm>
                            <a:off x="3017" y="-4804"/>
                            <a:ext cx="1441" cy="3792"/>
                            <a:chOff x="3017" y="-4804"/>
                            <a:chExt cx="1441" cy="3792"/>
                          </a:xfrm>
                        </wpg:grpSpPr>
                        <wps:wsp>
                          <wps:cNvPr id="22" name="Freeform 22"/>
                          <wps:cNvSpPr>
                            <a:spLocks/>
                          </wps:cNvSpPr>
                          <wps:spPr bwMode="auto">
                            <a:xfrm>
                              <a:off x="3017" y="-4804"/>
                              <a:ext cx="1441" cy="3792"/>
                            </a:xfrm>
                            <a:custGeom>
                              <a:avLst/>
                              <a:gdLst>
                                <a:gd name="T0" fmla="+- 0 4458 3017"/>
                                <a:gd name="T1" fmla="*/ T0 w 1441"/>
                                <a:gd name="T2" fmla="+- 0 -1012 -4804"/>
                                <a:gd name="T3" fmla="*/ -1012 h 3792"/>
                                <a:gd name="T4" fmla="+- 0 3017 3017"/>
                                <a:gd name="T5" fmla="*/ T4 w 1441"/>
                                <a:gd name="T6" fmla="+- 0 -1012 -4804"/>
                                <a:gd name="T7" fmla="*/ -1012 h 3792"/>
                                <a:gd name="T8" fmla="+- 0 3017 3017"/>
                                <a:gd name="T9" fmla="*/ T8 w 1441"/>
                                <a:gd name="T10" fmla="+- 0 -4804 -4804"/>
                                <a:gd name="T11" fmla="*/ -4804 h 3792"/>
                                <a:gd name="T12" fmla="+- 0 4458 3017"/>
                                <a:gd name="T13" fmla="*/ T12 w 1441"/>
                                <a:gd name="T14" fmla="+- 0 -4804 -4804"/>
                                <a:gd name="T15" fmla="*/ -4804 h 3792"/>
                                <a:gd name="T16" fmla="+- 0 4458 3017"/>
                                <a:gd name="T17" fmla="*/ T16 w 1441"/>
                                <a:gd name="T18" fmla="+- 0 -1012 -4804"/>
                                <a:gd name="T19" fmla="*/ -1012 h 3792"/>
                              </a:gdLst>
                              <a:ahLst/>
                              <a:cxnLst>
                                <a:cxn ang="0">
                                  <a:pos x="T1" y="T3"/>
                                </a:cxn>
                                <a:cxn ang="0">
                                  <a:pos x="T5" y="T7"/>
                                </a:cxn>
                                <a:cxn ang="0">
                                  <a:pos x="T9" y="T11"/>
                                </a:cxn>
                                <a:cxn ang="0">
                                  <a:pos x="T13" y="T15"/>
                                </a:cxn>
                                <a:cxn ang="0">
                                  <a:pos x="T17" y="T19"/>
                                </a:cxn>
                              </a:cxnLst>
                              <a:rect l="0" t="0" r="r" b="b"/>
                              <a:pathLst>
                                <a:path w="1441" h="3792">
                                  <a:moveTo>
                                    <a:pt x="1441" y="3792"/>
                                  </a:moveTo>
                                  <a:lnTo>
                                    <a:pt x="0" y="3792"/>
                                  </a:lnTo>
                                  <a:lnTo>
                                    <a:pt x="0" y="0"/>
                                  </a:lnTo>
                                  <a:lnTo>
                                    <a:pt x="1441" y="0"/>
                                  </a:lnTo>
                                  <a:lnTo>
                                    <a:pt x="1441" y="3792"/>
                                  </a:lnTo>
                                  <a:close/>
                                </a:path>
                              </a:pathLst>
                            </a:custGeom>
                            <a:noFill/>
                            <a:ln w="12649">
                              <a:solidFill>
                                <a:srgbClr val="E318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50.35pt;margin-top:487.5pt;width:73.05pt;height:248.4pt;z-index:-251653120;mso-position-horizontal-relative:page" coordorigin="3007,-5101" coordsize="1461,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">
                <v:group id="Group 17" o:spid="_x0000_s1027" style="position:absolute;left:3184;top:-5091;width:1107;height:4948" coordorigin="3184,-5091" coordsize="1107,4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8" o:spid="_x0000_s1028" style="position:absolute;left:3184;top:-5091;width:1107;height:4948;visibility:visible;mso-wrap-style:square;v-text-anchor:top" coordsize="1107,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1y8MA&#10;AADbAAAADwAAAGRycy9kb3ducmV2LnhtbESPS2/CQAyE75X4DysjcSsbkHgFFgRIVXvhwPNsZU0S&#10;kfWG7BbSf18fkLjZmvHM58WqdZV6UBNKzwYG/QQUceZtybmB0/HrcwoqRGSLlWcy8EcBVsvOxwJT&#10;65+8p8ch5kpCOKRooIixTrUOWUEOQ9/XxKJdfeMwytrk2jb4lHBX6WGSjLXDkqWhwJq2BWW3w68z&#10;wHa8q87fx1nt29Hmft/O1pfJzphet13PQUVq49v8uv6xgi+w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31y8MAAADbAAAADwAAAAAAAAAAAAAAAACYAgAAZHJzL2Rv&#10;d25yZXYueG1sUEsFBgAAAAAEAAQA9QAAAIgDAAAAAA==&#10;" path="m554,4947r553,-626l826,4321,826,,281,r,4321l,4321r554,626xe" filled="f" strokecolor="#ed1c24" strokeweight=".35136mm">
                    <v:path arrowok="t" o:connecttype="custom" o:connectlocs="554,-144;1107,-770;826,-770;826,-5091;281,-5091;281,-770;0,-770;554,-144" o:connectangles="0,0,0,0,0,0,0,0"/>
                  </v:shape>
                </v:group>
                <v:group id="Group 19" o:spid="_x0000_s1029" style="position:absolute;left:3017;top:-4804;width:1441;height:3792" coordorigin="3017,-4804" coordsize="1441,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0" o:spid="_x0000_s1030" style="position:absolute;left:3017;top:-4804;width:1441;height:3792;visibility:visible;mso-wrap-style:square;v-text-anchor:top" coordsize="144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5ar8A&#10;AADbAAAADwAAAGRycy9kb3ducmV2LnhtbERPu27CMBTdkfgH6yJ1Iw4MgFJMxENIrKUdOl7FlyQi&#10;vnZiQ9J8fT0gMR6d9zYfTCOe1PnasoJFkoIgLqyuuVTw832eb0D4gKyxsUwK/shDvptOtphp2/MX&#10;Pa+hFDGEfYYKqhBcJqUvKjLoE+uII3ezncEQYVdK3WEfw00jl2m6kgZrjg0VOjpWVNyvD6NgPf7S&#10;EdtxPC9OzunVoW8vQ6/Ux2zYf4IINIS3+OW+aAXLuD5+iT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PlqvwAAANsAAAAPAAAAAAAAAAAAAAAAAJgCAABkcnMvZG93bnJl&#10;di54bWxQSwUGAAAAAAQABAD1AAAAhAMAAAAA&#10;" path="m1441,3792l,3792,,,1441,r,3792e" stroked="f">
                    <v:path arrowok="t" o:connecttype="custom" o:connectlocs="1441,-1012;0,-1012;0,-4804;1441,-4804;1441,-1012" o:connectangles="0,0,0,0,0"/>
                  </v:shape>
                </v:group>
                <v:group id="Group 21" o:spid="_x0000_s1031" style="position:absolute;left:3017;top:-4804;width:1441;height:3792" coordorigin="3017,-4804" coordsize="1441,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2" o:spid="_x0000_s1032" style="position:absolute;left:3017;top:-4804;width:1441;height:3792;visibility:visible;mso-wrap-style:square;v-text-anchor:top" coordsize="144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gtMIA&#10;AADbAAAADwAAAGRycy9kb3ducmV2LnhtbESPQWvCQBSE7wX/w/IEb3VjlCDRVYJQyE1qq+dH9pkE&#10;s29jdhu3/fVdodDjMDPfMNt9MJ0YaXCtZQWLeQKCuLK65VrB58fb6xqE88gaO8uk4Jsc7HeTly3m&#10;2j74ncaTr0WEsMtRQeN9n0vpqoYMurntiaN3tYNBH+VQSz3gI8JNJ9MkyaTBluNCgz0dGqpupy+j&#10;4GhCsT6G+qfMluWlKMY7rc6ZUrNpKDYgPAX/H/5rl1pBmsLz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mC0wgAAANsAAAAPAAAAAAAAAAAAAAAAAJgCAABkcnMvZG93&#10;bnJldi54bWxQSwUGAAAAAAQABAD1AAAAhwMAAAAA&#10;" path="m1441,3792l,3792,,,1441,r,3792xe" filled="f" strokecolor="#e31836" strokeweight=".35136mm">
                    <v:path arrowok="t" o:connecttype="custom" o:connectlocs="1441,-1012;0,-1012;0,-4804;1441,-4804;1441,-1012" o:connectangles="0,0,0,0,0"/>
                  </v:shape>
                </v:group>
                <w10:wrap anchorx="page"/>
              </v:group>
            </w:pict>
          </mc:Fallback>
        </mc:AlternateContent>
      </w:r>
      <w:r w:rsidRPr="00041ED2">
        <w:rPr>
          <w:rFonts w:ascii="Arial" w:hAnsi="Arial" w:cs="Arial"/>
          <w:noProof/>
          <w:color w:val="221E1F"/>
        </w:rPr>
        <mc:AlternateContent>
          <mc:Choice Requires="wpg">
            <w:drawing>
              <wp:anchor distT="0" distB="0" distL="114300" distR="114300" simplePos="0" relativeHeight="251662336" behindDoc="1" locked="0" layoutInCell="1" allowOverlap="1" wp14:anchorId="450C31D6" wp14:editId="7FE0A94B">
                <wp:simplePos x="0" y="0"/>
                <wp:positionH relativeFrom="page">
                  <wp:posOffset>1909445</wp:posOffset>
                </wp:positionH>
                <wp:positionV relativeFrom="paragraph">
                  <wp:posOffset>6191250</wp:posOffset>
                </wp:positionV>
                <wp:extent cx="927735" cy="3154680"/>
                <wp:effectExtent l="4445" t="8890" r="1270" b="82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3154680"/>
                          <a:chOff x="3007" y="-5101"/>
                          <a:chExt cx="1461" cy="4968"/>
                        </a:xfrm>
                      </wpg:grpSpPr>
                      <wpg:grpSp>
                        <wpg:cNvPr id="10" name="Group 10"/>
                        <wpg:cNvGrpSpPr>
                          <a:grpSpLocks/>
                        </wpg:cNvGrpSpPr>
                        <wpg:grpSpPr bwMode="auto">
                          <a:xfrm>
                            <a:off x="3184" y="-5091"/>
                            <a:ext cx="1107" cy="4948"/>
                            <a:chOff x="3184" y="-5091"/>
                            <a:chExt cx="1107" cy="4948"/>
                          </a:xfrm>
                        </wpg:grpSpPr>
                        <wps:wsp>
                          <wps:cNvPr id="11" name="Freeform 11"/>
                          <wps:cNvSpPr>
                            <a:spLocks/>
                          </wps:cNvSpPr>
                          <wps:spPr bwMode="auto">
                            <a:xfrm>
                              <a:off x="3184" y="-5091"/>
                              <a:ext cx="1107" cy="4948"/>
                            </a:xfrm>
                            <a:custGeom>
                              <a:avLst/>
                              <a:gdLst>
                                <a:gd name="T0" fmla="+- 0 3738 3184"/>
                                <a:gd name="T1" fmla="*/ T0 w 1107"/>
                                <a:gd name="T2" fmla="+- 0 -144 -5091"/>
                                <a:gd name="T3" fmla="*/ -144 h 4948"/>
                                <a:gd name="T4" fmla="+- 0 4291 3184"/>
                                <a:gd name="T5" fmla="*/ T4 w 1107"/>
                                <a:gd name="T6" fmla="+- 0 -770 -5091"/>
                                <a:gd name="T7" fmla="*/ -770 h 4948"/>
                                <a:gd name="T8" fmla="+- 0 4010 3184"/>
                                <a:gd name="T9" fmla="*/ T8 w 1107"/>
                                <a:gd name="T10" fmla="+- 0 -770 -5091"/>
                                <a:gd name="T11" fmla="*/ -770 h 4948"/>
                                <a:gd name="T12" fmla="+- 0 4010 3184"/>
                                <a:gd name="T13" fmla="*/ T12 w 1107"/>
                                <a:gd name="T14" fmla="+- 0 -5091 -5091"/>
                                <a:gd name="T15" fmla="*/ -5091 h 4948"/>
                                <a:gd name="T16" fmla="+- 0 3465 3184"/>
                                <a:gd name="T17" fmla="*/ T16 w 1107"/>
                                <a:gd name="T18" fmla="+- 0 -5091 -5091"/>
                                <a:gd name="T19" fmla="*/ -5091 h 4948"/>
                                <a:gd name="T20" fmla="+- 0 3465 3184"/>
                                <a:gd name="T21" fmla="*/ T20 w 1107"/>
                                <a:gd name="T22" fmla="+- 0 -770 -5091"/>
                                <a:gd name="T23" fmla="*/ -770 h 4948"/>
                                <a:gd name="T24" fmla="+- 0 3184 3184"/>
                                <a:gd name="T25" fmla="*/ T24 w 1107"/>
                                <a:gd name="T26" fmla="+- 0 -770 -5091"/>
                                <a:gd name="T27" fmla="*/ -770 h 4948"/>
                                <a:gd name="T28" fmla="+- 0 3738 3184"/>
                                <a:gd name="T29" fmla="*/ T28 w 1107"/>
                                <a:gd name="T30" fmla="+- 0 -144 -5091"/>
                                <a:gd name="T31" fmla="*/ -144 h 49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7" h="4948">
                                  <a:moveTo>
                                    <a:pt x="554" y="4947"/>
                                  </a:moveTo>
                                  <a:lnTo>
                                    <a:pt x="1107" y="4321"/>
                                  </a:lnTo>
                                  <a:lnTo>
                                    <a:pt x="826" y="4321"/>
                                  </a:lnTo>
                                  <a:lnTo>
                                    <a:pt x="826" y="0"/>
                                  </a:lnTo>
                                  <a:lnTo>
                                    <a:pt x="281" y="0"/>
                                  </a:lnTo>
                                  <a:lnTo>
                                    <a:pt x="281" y="4321"/>
                                  </a:lnTo>
                                  <a:lnTo>
                                    <a:pt x="0" y="4321"/>
                                  </a:lnTo>
                                  <a:lnTo>
                                    <a:pt x="554" y="4947"/>
                                  </a:lnTo>
                                  <a:close/>
                                </a:path>
                              </a:pathLst>
                            </a:custGeom>
                            <a:noFill/>
                            <a:ln w="12649">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2"/>
                        <wpg:cNvGrpSpPr>
                          <a:grpSpLocks/>
                        </wpg:cNvGrpSpPr>
                        <wpg:grpSpPr bwMode="auto">
                          <a:xfrm>
                            <a:off x="3017" y="-4804"/>
                            <a:ext cx="1441" cy="3792"/>
                            <a:chOff x="3017" y="-4804"/>
                            <a:chExt cx="1441" cy="3792"/>
                          </a:xfrm>
                        </wpg:grpSpPr>
                        <wps:wsp>
                          <wps:cNvPr id="13" name="Freeform 13"/>
                          <wps:cNvSpPr>
                            <a:spLocks/>
                          </wps:cNvSpPr>
                          <wps:spPr bwMode="auto">
                            <a:xfrm>
                              <a:off x="3017" y="-4804"/>
                              <a:ext cx="1441" cy="3792"/>
                            </a:xfrm>
                            <a:custGeom>
                              <a:avLst/>
                              <a:gdLst>
                                <a:gd name="T0" fmla="+- 0 4458 3017"/>
                                <a:gd name="T1" fmla="*/ T0 w 1441"/>
                                <a:gd name="T2" fmla="+- 0 -1012 -4804"/>
                                <a:gd name="T3" fmla="*/ -1012 h 3792"/>
                                <a:gd name="T4" fmla="+- 0 3017 3017"/>
                                <a:gd name="T5" fmla="*/ T4 w 1441"/>
                                <a:gd name="T6" fmla="+- 0 -1012 -4804"/>
                                <a:gd name="T7" fmla="*/ -1012 h 3792"/>
                                <a:gd name="T8" fmla="+- 0 3017 3017"/>
                                <a:gd name="T9" fmla="*/ T8 w 1441"/>
                                <a:gd name="T10" fmla="+- 0 -4804 -4804"/>
                                <a:gd name="T11" fmla="*/ -4804 h 3792"/>
                                <a:gd name="T12" fmla="+- 0 4458 3017"/>
                                <a:gd name="T13" fmla="*/ T12 w 1441"/>
                                <a:gd name="T14" fmla="+- 0 -4804 -4804"/>
                                <a:gd name="T15" fmla="*/ -4804 h 3792"/>
                                <a:gd name="T16" fmla="+- 0 4458 3017"/>
                                <a:gd name="T17" fmla="*/ T16 w 1441"/>
                                <a:gd name="T18" fmla="+- 0 -1012 -4804"/>
                                <a:gd name="T19" fmla="*/ -1012 h 3792"/>
                              </a:gdLst>
                              <a:ahLst/>
                              <a:cxnLst>
                                <a:cxn ang="0">
                                  <a:pos x="T1" y="T3"/>
                                </a:cxn>
                                <a:cxn ang="0">
                                  <a:pos x="T5" y="T7"/>
                                </a:cxn>
                                <a:cxn ang="0">
                                  <a:pos x="T9" y="T11"/>
                                </a:cxn>
                                <a:cxn ang="0">
                                  <a:pos x="T13" y="T15"/>
                                </a:cxn>
                                <a:cxn ang="0">
                                  <a:pos x="T17" y="T19"/>
                                </a:cxn>
                              </a:cxnLst>
                              <a:rect l="0" t="0" r="r" b="b"/>
                              <a:pathLst>
                                <a:path w="1441" h="3792">
                                  <a:moveTo>
                                    <a:pt x="1441" y="3792"/>
                                  </a:moveTo>
                                  <a:lnTo>
                                    <a:pt x="0" y="3792"/>
                                  </a:lnTo>
                                  <a:lnTo>
                                    <a:pt x="0" y="0"/>
                                  </a:lnTo>
                                  <a:lnTo>
                                    <a:pt x="1441" y="0"/>
                                  </a:lnTo>
                                  <a:lnTo>
                                    <a:pt x="1441" y="37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4"/>
                        <wpg:cNvGrpSpPr>
                          <a:grpSpLocks/>
                        </wpg:cNvGrpSpPr>
                        <wpg:grpSpPr bwMode="auto">
                          <a:xfrm>
                            <a:off x="3017" y="-4804"/>
                            <a:ext cx="1441" cy="3792"/>
                            <a:chOff x="3017" y="-4804"/>
                            <a:chExt cx="1441" cy="3792"/>
                          </a:xfrm>
                        </wpg:grpSpPr>
                        <wps:wsp>
                          <wps:cNvPr id="15" name="Freeform 15"/>
                          <wps:cNvSpPr>
                            <a:spLocks/>
                          </wps:cNvSpPr>
                          <wps:spPr bwMode="auto">
                            <a:xfrm>
                              <a:off x="3017" y="-4804"/>
                              <a:ext cx="1441" cy="3792"/>
                            </a:xfrm>
                            <a:custGeom>
                              <a:avLst/>
                              <a:gdLst>
                                <a:gd name="T0" fmla="+- 0 4458 3017"/>
                                <a:gd name="T1" fmla="*/ T0 w 1441"/>
                                <a:gd name="T2" fmla="+- 0 -1012 -4804"/>
                                <a:gd name="T3" fmla="*/ -1012 h 3792"/>
                                <a:gd name="T4" fmla="+- 0 3017 3017"/>
                                <a:gd name="T5" fmla="*/ T4 w 1441"/>
                                <a:gd name="T6" fmla="+- 0 -1012 -4804"/>
                                <a:gd name="T7" fmla="*/ -1012 h 3792"/>
                                <a:gd name="T8" fmla="+- 0 3017 3017"/>
                                <a:gd name="T9" fmla="*/ T8 w 1441"/>
                                <a:gd name="T10" fmla="+- 0 -4804 -4804"/>
                                <a:gd name="T11" fmla="*/ -4804 h 3792"/>
                                <a:gd name="T12" fmla="+- 0 4458 3017"/>
                                <a:gd name="T13" fmla="*/ T12 w 1441"/>
                                <a:gd name="T14" fmla="+- 0 -4804 -4804"/>
                                <a:gd name="T15" fmla="*/ -4804 h 3792"/>
                                <a:gd name="T16" fmla="+- 0 4458 3017"/>
                                <a:gd name="T17" fmla="*/ T16 w 1441"/>
                                <a:gd name="T18" fmla="+- 0 -1012 -4804"/>
                                <a:gd name="T19" fmla="*/ -1012 h 3792"/>
                              </a:gdLst>
                              <a:ahLst/>
                              <a:cxnLst>
                                <a:cxn ang="0">
                                  <a:pos x="T1" y="T3"/>
                                </a:cxn>
                                <a:cxn ang="0">
                                  <a:pos x="T5" y="T7"/>
                                </a:cxn>
                                <a:cxn ang="0">
                                  <a:pos x="T9" y="T11"/>
                                </a:cxn>
                                <a:cxn ang="0">
                                  <a:pos x="T13" y="T15"/>
                                </a:cxn>
                                <a:cxn ang="0">
                                  <a:pos x="T17" y="T19"/>
                                </a:cxn>
                              </a:cxnLst>
                              <a:rect l="0" t="0" r="r" b="b"/>
                              <a:pathLst>
                                <a:path w="1441" h="3792">
                                  <a:moveTo>
                                    <a:pt x="1441" y="3792"/>
                                  </a:moveTo>
                                  <a:lnTo>
                                    <a:pt x="0" y="3792"/>
                                  </a:lnTo>
                                  <a:lnTo>
                                    <a:pt x="0" y="0"/>
                                  </a:lnTo>
                                  <a:lnTo>
                                    <a:pt x="1441" y="0"/>
                                  </a:lnTo>
                                  <a:lnTo>
                                    <a:pt x="1441" y="3792"/>
                                  </a:lnTo>
                                  <a:close/>
                                </a:path>
                              </a:pathLst>
                            </a:custGeom>
                            <a:noFill/>
                            <a:ln w="12649">
                              <a:solidFill>
                                <a:srgbClr val="E318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0.35pt;margin-top:487.5pt;width:73.05pt;height:248.4pt;z-index:-251654144;mso-position-horizontal-relative:page" coordorigin="3007,-5101" coordsize="1461,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">
                <v:group id="Group 10" o:spid="_x0000_s1027" style="position:absolute;left:3184;top:-5091;width:1107;height:4948" coordorigin="3184,-5091" coordsize="1107,4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 o:spid="_x0000_s1028" style="position:absolute;left:3184;top:-5091;width:1107;height:4948;visibility:visible;mso-wrap-style:square;v-text-anchor:top" coordsize="1107,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cVsEA&#10;AADbAAAADwAAAGRycy9kb3ducmV2LnhtbERPS2vCQBC+C/6HZQRvulHQanQNMVDai4f6Og/ZMQlm&#10;Z5PsVtN/3y0UvM3H95xt0ptaPKhzlWUFs2kEgji3uuJCwfn0PlmBcB5ZY22ZFPyQg2Q3HGwx1vbJ&#10;X/Q4+kKEEHYxKii9b2IpXV6SQTe1DXHgbrYz6APsCqk7fIZwU8t5FC2lwYpDQ4kNZSXl9+O3UcB6&#10;eagvH6d1Y/vFvm2zdXp9Oyg1HvXpBoSn3r/E/+5PHebP4O+XcI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HXFbBAAAA2wAAAA8AAAAAAAAAAAAAAAAAmAIAAGRycy9kb3du&#10;cmV2LnhtbFBLBQYAAAAABAAEAPUAAACGAwAAAAA=&#10;" path="m554,4947r553,-626l826,4321,826,,281,r,4321l,4321r554,626xe" filled="f" strokecolor="#ed1c24" strokeweight=".35136mm">
                    <v:path arrowok="t" o:connecttype="custom" o:connectlocs="554,-144;1107,-770;826,-770;826,-5091;281,-5091;281,-770;0,-770;554,-144" o:connectangles="0,0,0,0,0,0,0,0"/>
                  </v:shape>
                </v:group>
                <v:group id="Group 12" o:spid="_x0000_s1029" style="position:absolute;left:3017;top:-4804;width:1441;height:3792" coordorigin="3017,-4804" coordsize="1441,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 o:spid="_x0000_s1030" style="position:absolute;left:3017;top:-4804;width:1441;height:3792;visibility:visible;mso-wrap-style:square;v-text-anchor:top" coordsize="144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toL8A&#10;AADbAAAADwAAAGRycy9kb3ducmV2LnhtbERPTYvCMBC9C/6HMII3TVVQqUZRF8HrqgePQzO2xWYS&#10;m6yt/fVmYWFv83ifs962phIvqn1pWcFknIAgzqwuOVdwvRxHSxA+IGusLJOCN3nYbvq9NabaNvxN&#10;r3PIRQxhn6KCIgSXSumzggz6sXXEkbvb2mCIsM6lrrGJ4aaS0ySZS4Mlx4YCHR0Kyh7nH6Ng0d3o&#10;gM+uO06+nNPzffM8tY1Sw0G7W4EI1IZ/8Z/7pOP8Gfz+E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yq2gvwAAANsAAAAPAAAAAAAAAAAAAAAAAJgCAABkcnMvZG93bnJl&#10;di54bWxQSwUGAAAAAAQABAD1AAAAhAMAAAAA&#10;" path="m1441,3792l,3792,,,1441,r,3792e" stroked="f">
                    <v:path arrowok="t" o:connecttype="custom" o:connectlocs="1441,-1012;0,-1012;0,-4804;1441,-4804;1441,-1012" o:connectangles="0,0,0,0,0"/>
                  </v:shape>
                </v:group>
                <v:group id="Group 14" o:spid="_x0000_s1031" style="position:absolute;left:3017;top:-4804;width:1441;height:3792" coordorigin="3017,-4804" coordsize="1441,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5" o:spid="_x0000_s1032" style="position:absolute;left:3017;top:-4804;width:1441;height:3792;visibility:visible;mso-wrap-style:square;v-text-anchor:top" coordsize="144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yfcAA&#10;AADbAAAADwAAAGRycy9kb3ducmV2LnhtbERPTWvCQBC9F/oflin0Vje1Nkh0lSAUchOteh6yYxLM&#10;zqbZbVz99a4geJvH+5z5MphWDNS7xrKCz1ECgri0uuFKwe7352MKwnlkja1lUnAhB8vF68scM23P&#10;vKFh6ysRQ9hlqKD2vsukdGVNBt3IdsSRO9reoI+wr6Tu8RzDTSvHSZJKgw3Hhho7WtVUnrb/RsHa&#10;hHy6DtW1SL+KQ54PfzTZp0q9v4V8BsJT8E/xw13oOP8b7r/EA+T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MyfcAAAADbAAAADwAAAAAAAAAAAAAAAACYAgAAZHJzL2Rvd25y&#10;ZXYueG1sUEsFBgAAAAAEAAQA9QAAAIUDAAAAAA==&#10;" path="m1441,3792l,3792,,,1441,r,3792xe" filled="f" strokecolor="#e31836" strokeweight=".35136mm">
                    <v:path arrowok="t" o:connecttype="custom" o:connectlocs="1441,-1012;0,-1012;0,-4804;1441,-4804;1441,-1012" o:connectangles="0,0,0,0,0"/>
                  </v:shape>
                </v:group>
                <w10:wrap anchorx="page"/>
              </v:group>
            </w:pict>
          </mc:Fallback>
        </mc:AlternateContent>
      </w:r>
      <w:r w:rsidRPr="00041ED2">
        <w:rPr>
          <w:rFonts w:ascii="Arial" w:hAnsi="Arial" w:cs="Arial"/>
          <w:noProof/>
          <w:color w:val="221E1F"/>
        </w:rPr>
        <mc:AlternateContent>
          <mc:Choice Requires="wpg">
            <w:drawing>
              <wp:anchor distT="0" distB="0" distL="114300" distR="114300" simplePos="0" relativeHeight="251661312" behindDoc="1" locked="0" layoutInCell="1" allowOverlap="1" wp14:anchorId="659A1951" wp14:editId="63CA14E3">
                <wp:simplePos x="0" y="0"/>
                <wp:positionH relativeFrom="page">
                  <wp:posOffset>1909445</wp:posOffset>
                </wp:positionH>
                <wp:positionV relativeFrom="paragraph">
                  <wp:posOffset>6191250</wp:posOffset>
                </wp:positionV>
                <wp:extent cx="927735" cy="3154680"/>
                <wp:effectExtent l="4445" t="8890" r="1270" b="825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3154680"/>
                          <a:chOff x="3007" y="-5101"/>
                          <a:chExt cx="1461" cy="4968"/>
                        </a:xfrm>
                      </wpg:grpSpPr>
                      <wpg:grpSp>
                        <wpg:cNvPr id="25" name="Group 25"/>
                        <wpg:cNvGrpSpPr>
                          <a:grpSpLocks/>
                        </wpg:cNvGrpSpPr>
                        <wpg:grpSpPr bwMode="auto">
                          <a:xfrm>
                            <a:off x="3184" y="-5091"/>
                            <a:ext cx="1107" cy="4948"/>
                            <a:chOff x="3184" y="-5091"/>
                            <a:chExt cx="1107" cy="4948"/>
                          </a:xfrm>
                        </wpg:grpSpPr>
                        <wps:wsp>
                          <wps:cNvPr id="26" name="Freeform 26"/>
                          <wps:cNvSpPr>
                            <a:spLocks/>
                          </wps:cNvSpPr>
                          <wps:spPr bwMode="auto">
                            <a:xfrm>
                              <a:off x="3184" y="-5091"/>
                              <a:ext cx="1107" cy="4948"/>
                            </a:xfrm>
                            <a:custGeom>
                              <a:avLst/>
                              <a:gdLst>
                                <a:gd name="T0" fmla="+- 0 3738 3184"/>
                                <a:gd name="T1" fmla="*/ T0 w 1107"/>
                                <a:gd name="T2" fmla="+- 0 -144 -5091"/>
                                <a:gd name="T3" fmla="*/ -144 h 4948"/>
                                <a:gd name="T4" fmla="+- 0 4291 3184"/>
                                <a:gd name="T5" fmla="*/ T4 w 1107"/>
                                <a:gd name="T6" fmla="+- 0 -770 -5091"/>
                                <a:gd name="T7" fmla="*/ -770 h 4948"/>
                                <a:gd name="T8" fmla="+- 0 4010 3184"/>
                                <a:gd name="T9" fmla="*/ T8 w 1107"/>
                                <a:gd name="T10" fmla="+- 0 -770 -5091"/>
                                <a:gd name="T11" fmla="*/ -770 h 4948"/>
                                <a:gd name="T12" fmla="+- 0 4010 3184"/>
                                <a:gd name="T13" fmla="*/ T12 w 1107"/>
                                <a:gd name="T14" fmla="+- 0 -5091 -5091"/>
                                <a:gd name="T15" fmla="*/ -5091 h 4948"/>
                                <a:gd name="T16" fmla="+- 0 3465 3184"/>
                                <a:gd name="T17" fmla="*/ T16 w 1107"/>
                                <a:gd name="T18" fmla="+- 0 -5091 -5091"/>
                                <a:gd name="T19" fmla="*/ -5091 h 4948"/>
                                <a:gd name="T20" fmla="+- 0 3465 3184"/>
                                <a:gd name="T21" fmla="*/ T20 w 1107"/>
                                <a:gd name="T22" fmla="+- 0 -770 -5091"/>
                                <a:gd name="T23" fmla="*/ -770 h 4948"/>
                                <a:gd name="T24" fmla="+- 0 3184 3184"/>
                                <a:gd name="T25" fmla="*/ T24 w 1107"/>
                                <a:gd name="T26" fmla="+- 0 -770 -5091"/>
                                <a:gd name="T27" fmla="*/ -770 h 4948"/>
                                <a:gd name="T28" fmla="+- 0 3738 3184"/>
                                <a:gd name="T29" fmla="*/ T28 w 1107"/>
                                <a:gd name="T30" fmla="+- 0 -144 -5091"/>
                                <a:gd name="T31" fmla="*/ -144 h 49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7" h="4948">
                                  <a:moveTo>
                                    <a:pt x="554" y="4947"/>
                                  </a:moveTo>
                                  <a:lnTo>
                                    <a:pt x="1107" y="4321"/>
                                  </a:lnTo>
                                  <a:lnTo>
                                    <a:pt x="826" y="4321"/>
                                  </a:lnTo>
                                  <a:lnTo>
                                    <a:pt x="826" y="0"/>
                                  </a:lnTo>
                                  <a:lnTo>
                                    <a:pt x="281" y="0"/>
                                  </a:lnTo>
                                  <a:lnTo>
                                    <a:pt x="281" y="4321"/>
                                  </a:lnTo>
                                  <a:lnTo>
                                    <a:pt x="0" y="4321"/>
                                  </a:lnTo>
                                  <a:lnTo>
                                    <a:pt x="554" y="4947"/>
                                  </a:lnTo>
                                  <a:close/>
                                </a:path>
                              </a:pathLst>
                            </a:custGeom>
                            <a:noFill/>
                            <a:ln w="12649">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7"/>
                        <wpg:cNvGrpSpPr>
                          <a:grpSpLocks/>
                        </wpg:cNvGrpSpPr>
                        <wpg:grpSpPr bwMode="auto">
                          <a:xfrm>
                            <a:off x="3017" y="-4804"/>
                            <a:ext cx="1441" cy="3792"/>
                            <a:chOff x="3017" y="-4804"/>
                            <a:chExt cx="1441" cy="3792"/>
                          </a:xfrm>
                        </wpg:grpSpPr>
                        <wps:wsp>
                          <wps:cNvPr id="28" name="Freeform 28"/>
                          <wps:cNvSpPr>
                            <a:spLocks/>
                          </wps:cNvSpPr>
                          <wps:spPr bwMode="auto">
                            <a:xfrm>
                              <a:off x="3017" y="-4804"/>
                              <a:ext cx="1441" cy="3792"/>
                            </a:xfrm>
                            <a:custGeom>
                              <a:avLst/>
                              <a:gdLst>
                                <a:gd name="T0" fmla="+- 0 4458 3017"/>
                                <a:gd name="T1" fmla="*/ T0 w 1441"/>
                                <a:gd name="T2" fmla="+- 0 -1012 -4804"/>
                                <a:gd name="T3" fmla="*/ -1012 h 3792"/>
                                <a:gd name="T4" fmla="+- 0 3017 3017"/>
                                <a:gd name="T5" fmla="*/ T4 w 1441"/>
                                <a:gd name="T6" fmla="+- 0 -1012 -4804"/>
                                <a:gd name="T7" fmla="*/ -1012 h 3792"/>
                                <a:gd name="T8" fmla="+- 0 3017 3017"/>
                                <a:gd name="T9" fmla="*/ T8 w 1441"/>
                                <a:gd name="T10" fmla="+- 0 -4804 -4804"/>
                                <a:gd name="T11" fmla="*/ -4804 h 3792"/>
                                <a:gd name="T12" fmla="+- 0 4458 3017"/>
                                <a:gd name="T13" fmla="*/ T12 w 1441"/>
                                <a:gd name="T14" fmla="+- 0 -4804 -4804"/>
                                <a:gd name="T15" fmla="*/ -4804 h 3792"/>
                                <a:gd name="T16" fmla="+- 0 4458 3017"/>
                                <a:gd name="T17" fmla="*/ T16 w 1441"/>
                                <a:gd name="T18" fmla="+- 0 -1012 -4804"/>
                                <a:gd name="T19" fmla="*/ -1012 h 3792"/>
                              </a:gdLst>
                              <a:ahLst/>
                              <a:cxnLst>
                                <a:cxn ang="0">
                                  <a:pos x="T1" y="T3"/>
                                </a:cxn>
                                <a:cxn ang="0">
                                  <a:pos x="T5" y="T7"/>
                                </a:cxn>
                                <a:cxn ang="0">
                                  <a:pos x="T9" y="T11"/>
                                </a:cxn>
                                <a:cxn ang="0">
                                  <a:pos x="T13" y="T15"/>
                                </a:cxn>
                                <a:cxn ang="0">
                                  <a:pos x="T17" y="T19"/>
                                </a:cxn>
                              </a:cxnLst>
                              <a:rect l="0" t="0" r="r" b="b"/>
                              <a:pathLst>
                                <a:path w="1441" h="3792">
                                  <a:moveTo>
                                    <a:pt x="1441" y="3792"/>
                                  </a:moveTo>
                                  <a:lnTo>
                                    <a:pt x="0" y="3792"/>
                                  </a:lnTo>
                                  <a:lnTo>
                                    <a:pt x="0" y="0"/>
                                  </a:lnTo>
                                  <a:lnTo>
                                    <a:pt x="1441" y="0"/>
                                  </a:lnTo>
                                  <a:lnTo>
                                    <a:pt x="1441" y="37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9"/>
                        <wpg:cNvGrpSpPr>
                          <a:grpSpLocks/>
                        </wpg:cNvGrpSpPr>
                        <wpg:grpSpPr bwMode="auto">
                          <a:xfrm>
                            <a:off x="3017" y="-4804"/>
                            <a:ext cx="1441" cy="3792"/>
                            <a:chOff x="3017" y="-4804"/>
                            <a:chExt cx="1441" cy="3792"/>
                          </a:xfrm>
                        </wpg:grpSpPr>
                        <wps:wsp>
                          <wps:cNvPr id="30" name="Freeform 30"/>
                          <wps:cNvSpPr>
                            <a:spLocks/>
                          </wps:cNvSpPr>
                          <wps:spPr bwMode="auto">
                            <a:xfrm>
                              <a:off x="3017" y="-4804"/>
                              <a:ext cx="1441" cy="3792"/>
                            </a:xfrm>
                            <a:custGeom>
                              <a:avLst/>
                              <a:gdLst>
                                <a:gd name="T0" fmla="+- 0 4458 3017"/>
                                <a:gd name="T1" fmla="*/ T0 w 1441"/>
                                <a:gd name="T2" fmla="+- 0 -1012 -4804"/>
                                <a:gd name="T3" fmla="*/ -1012 h 3792"/>
                                <a:gd name="T4" fmla="+- 0 3017 3017"/>
                                <a:gd name="T5" fmla="*/ T4 w 1441"/>
                                <a:gd name="T6" fmla="+- 0 -1012 -4804"/>
                                <a:gd name="T7" fmla="*/ -1012 h 3792"/>
                                <a:gd name="T8" fmla="+- 0 3017 3017"/>
                                <a:gd name="T9" fmla="*/ T8 w 1441"/>
                                <a:gd name="T10" fmla="+- 0 -4804 -4804"/>
                                <a:gd name="T11" fmla="*/ -4804 h 3792"/>
                                <a:gd name="T12" fmla="+- 0 4458 3017"/>
                                <a:gd name="T13" fmla="*/ T12 w 1441"/>
                                <a:gd name="T14" fmla="+- 0 -4804 -4804"/>
                                <a:gd name="T15" fmla="*/ -4804 h 3792"/>
                                <a:gd name="T16" fmla="+- 0 4458 3017"/>
                                <a:gd name="T17" fmla="*/ T16 w 1441"/>
                                <a:gd name="T18" fmla="+- 0 -1012 -4804"/>
                                <a:gd name="T19" fmla="*/ -1012 h 3792"/>
                              </a:gdLst>
                              <a:ahLst/>
                              <a:cxnLst>
                                <a:cxn ang="0">
                                  <a:pos x="T1" y="T3"/>
                                </a:cxn>
                                <a:cxn ang="0">
                                  <a:pos x="T5" y="T7"/>
                                </a:cxn>
                                <a:cxn ang="0">
                                  <a:pos x="T9" y="T11"/>
                                </a:cxn>
                                <a:cxn ang="0">
                                  <a:pos x="T13" y="T15"/>
                                </a:cxn>
                                <a:cxn ang="0">
                                  <a:pos x="T17" y="T19"/>
                                </a:cxn>
                              </a:cxnLst>
                              <a:rect l="0" t="0" r="r" b="b"/>
                              <a:pathLst>
                                <a:path w="1441" h="3792">
                                  <a:moveTo>
                                    <a:pt x="1441" y="3792"/>
                                  </a:moveTo>
                                  <a:lnTo>
                                    <a:pt x="0" y="3792"/>
                                  </a:lnTo>
                                  <a:lnTo>
                                    <a:pt x="0" y="0"/>
                                  </a:lnTo>
                                  <a:lnTo>
                                    <a:pt x="1441" y="0"/>
                                  </a:lnTo>
                                  <a:lnTo>
                                    <a:pt x="1441" y="3792"/>
                                  </a:lnTo>
                                  <a:close/>
                                </a:path>
                              </a:pathLst>
                            </a:custGeom>
                            <a:noFill/>
                            <a:ln w="12649">
                              <a:solidFill>
                                <a:srgbClr val="E318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50.35pt;margin-top:487.5pt;width:73.05pt;height:248.4pt;z-index:-251655168;mso-position-horizontal-relative:page" coordorigin="3007,-5101" coordsize="1461,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">
                <v:group id="Group 25" o:spid="_x0000_s1027" style="position:absolute;left:3184;top:-5091;width:1107;height:4948" coordorigin="3184,-5091" coordsize="1107,4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6" o:spid="_x0000_s1028" style="position:absolute;left:3184;top:-5091;width:1107;height:4948;visibility:visible;mso-wrap-style:square;v-text-anchor:top" coordsize="1107,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On8MA&#10;AADbAAAADwAAAGRycy9kb3ducmV2LnhtbESPT4vCMBTE7wt+h/AEb2uqYHetpkWFRS8e1n/nR/Ns&#10;i81LbbJav70RhD0OM/MbZp51phY3al1lWcFoGIEgzq2uuFBw2P98foNwHlljbZkUPMhBlvY+5pho&#10;e+dfuu18IQKEXYIKSu+bREqXl2TQDW1DHLyzbQ36INtC6hbvAW5qOY6iWBqsOCyU2NCqpPyy+zMK&#10;WMfb+rjeTxvbTZbX62q6OH1tlRr0u8UMhKfO/4ff7Y1WMI7h9SX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IOn8MAAADbAAAADwAAAAAAAAAAAAAAAACYAgAAZHJzL2Rv&#10;d25yZXYueG1sUEsFBgAAAAAEAAQA9QAAAIgDAAAAAA==&#10;" path="m554,4947r553,-626l826,4321,826,,281,r,4321l,4321r554,626xe" filled="f" strokecolor="#ed1c24" strokeweight=".35136mm">
                    <v:path arrowok="t" o:connecttype="custom" o:connectlocs="554,-144;1107,-770;826,-770;826,-5091;281,-5091;281,-770;0,-770;554,-144" o:connectangles="0,0,0,0,0,0,0,0"/>
                  </v:shape>
                </v:group>
                <v:group id="Group 27" o:spid="_x0000_s1029" style="position:absolute;left:3017;top:-4804;width:1441;height:3792" coordorigin="3017,-4804" coordsize="1441,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30" style="position:absolute;left:3017;top:-4804;width:1441;height:3792;visibility:visible;mso-wrap-style:square;v-text-anchor:top" coordsize="144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1bL8A&#10;AADbAAAADwAAAGRycy9kb3ducmV2LnhtbERPu27CMBTdkfgH6yJ1Iw4MgFJMxENIrKUdOl7FlyQi&#10;vnZiQ9J8fT0gMR6d9zYfTCOe1PnasoJFkoIgLqyuuVTw832eb0D4gKyxsUwK/shDvptOtphp2/MX&#10;Pa+hFDGEfYYKqhBcJqUvKjLoE+uII3ezncEQYVdK3WEfw00jl2m6kgZrjg0VOjpWVNyvD6NgPf7S&#10;EdtxPC9OzunVoW8vQ6/Ux2zYf4IINIS3+OW+aAXLODZ+iT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AvVsvwAAANsAAAAPAAAAAAAAAAAAAAAAAJgCAABkcnMvZG93bnJl&#10;di54bWxQSwUGAAAAAAQABAD1AAAAhAMAAAAA&#10;" path="m1441,3792l,3792,,,1441,r,3792e" stroked="f">
                    <v:path arrowok="t" o:connecttype="custom" o:connectlocs="1441,-1012;0,-1012;0,-4804;1441,-4804;1441,-1012" o:connectangles="0,0,0,0,0"/>
                  </v:shape>
                </v:group>
                <v:group id="Group 29" o:spid="_x0000_s1031" style="position:absolute;left:3017;top:-4804;width:1441;height:3792" coordorigin="3017,-4804" coordsize="1441,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30" o:spid="_x0000_s1032" style="position:absolute;left:3017;top:-4804;width:1441;height:3792;visibility:visible;mso-wrap-style:square;v-text-anchor:top" coordsize="144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Nhb8A&#10;AADbAAAADwAAAGRycy9kb3ducmV2LnhtbERPy4rCMBTdC/MP4Qqz09QHRTpGKYLQnfia9aW5tsXm&#10;ptPEmvHrzWJglofzXm+DacVAvWssK5hNExDEpdUNVwou5/1kBcJ5ZI2tZVLwSw62m4/RGjNtn3yk&#10;4eQrEUPYZaig9r7LpHRlTQbd1HbEkbvZ3qCPsK+k7vEZw00r50mSSoMNx4YaO9rVVN5PD6PgYEK+&#10;OoTqVaSL4jvPhx9aXlOlPsch/wLhKfh/8Z+70AoWcX38En+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Mc2FvwAAANsAAAAPAAAAAAAAAAAAAAAAAJgCAABkcnMvZG93bnJl&#10;di54bWxQSwUGAAAAAAQABAD1AAAAhAMAAAAA&#10;" path="m1441,3792l,3792,,,1441,r,3792xe" filled="f" strokecolor="#e31836" strokeweight=".35136mm">
                    <v:path arrowok="t" o:connecttype="custom" o:connectlocs="1441,-1012;0,-1012;0,-4804;1441,-4804;1441,-1012" o:connectangles="0,0,0,0,0"/>
                  </v:shape>
                </v:group>
                <w10:wrap anchorx="page"/>
              </v:group>
            </w:pict>
          </mc:Fallback>
        </mc:AlternateContent>
      </w:r>
      <w:r>
        <w:rPr>
          <w:rFonts w:ascii="Arial" w:hAnsi="Arial" w:cs="Arial"/>
          <w:color w:val="221E1F"/>
          <w:lang w:eastAsia="en-US"/>
        </w:rPr>
        <w:t xml:space="preserve">       </w:t>
      </w:r>
    </w:p>
    <w:p w:rsidR="00BB0659" w:rsidRDefault="00BB0659" w:rsidP="00BB0659">
      <w:pPr>
        <w:autoSpaceDE w:val="0"/>
        <w:autoSpaceDN w:val="0"/>
        <w:adjustRightInd w:val="0"/>
        <w:spacing w:after="0"/>
        <w:ind w:left="-567"/>
        <w:rPr>
          <w:rFonts w:asciiTheme="minorHAnsi" w:hAnsiTheme="minorHAnsi" w:cs="Arial"/>
          <w:b/>
          <w:bCs/>
          <w:color w:val="221E1F"/>
        </w:rPr>
      </w:pPr>
      <w:r w:rsidRPr="00B75D35">
        <w:rPr>
          <w:rFonts w:asciiTheme="minorHAnsi" w:hAnsiTheme="minorHAnsi" w:cs="Arial"/>
          <w:b/>
          <w:bCs/>
          <w:color w:val="221E1F"/>
        </w:rPr>
        <w:lastRenderedPageBreak/>
        <w:t xml:space="preserve">TABLE 7-1: </w:t>
      </w:r>
    </w:p>
    <w:p w:rsidR="00BB0659" w:rsidRPr="00B75D35" w:rsidRDefault="00BB0659" w:rsidP="00BB0659">
      <w:pPr>
        <w:autoSpaceDE w:val="0"/>
        <w:autoSpaceDN w:val="0"/>
        <w:adjustRightInd w:val="0"/>
        <w:spacing w:after="0"/>
        <w:ind w:left="-567"/>
        <w:rPr>
          <w:rFonts w:asciiTheme="minorHAnsi" w:hAnsiTheme="minorHAnsi" w:cs="Arial"/>
          <w:b/>
          <w:bCs/>
          <w:color w:val="221E1F"/>
          <w:vertAlign w:val="superscript"/>
        </w:rPr>
      </w:pPr>
      <w:r w:rsidRPr="00B75D35">
        <w:rPr>
          <w:rFonts w:asciiTheme="minorHAnsi" w:hAnsiTheme="minorHAnsi" w:cs="Arial"/>
          <w:b/>
          <w:bCs/>
          <w:color w:val="221E1F"/>
        </w:rPr>
        <w:t xml:space="preserve">SUGGESTED PLASMA FACTOR PEAK LEVEL AND DURATION OF ADMINISTRATION (WHEN THERE IS NO SIGNIFICANT RESOURCE CONSTRAINT) </w:t>
      </w:r>
      <w:r w:rsidRPr="00B75D35">
        <w:rPr>
          <w:rFonts w:asciiTheme="minorHAnsi" w:hAnsiTheme="minorHAnsi" w:cs="Arial"/>
          <w:b/>
          <w:bCs/>
          <w:color w:val="221E1F"/>
          <w:vertAlign w:val="superscript"/>
        </w:rPr>
        <w:t>[6]</w:t>
      </w:r>
    </w:p>
    <w:p w:rsidR="00BB0659" w:rsidRPr="00B75D35" w:rsidRDefault="00BB0659" w:rsidP="00BB0659">
      <w:pPr>
        <w:autoSpaceDE w:val="0"/>
        <w:autoSpaceDN w:val="0"/>
        <w:adjustRightInd w:val="0"/>
        <w:spacing w:after="0"/>
        <w:ind w:left="-567"/>
        <w:rPr>
          <w:rFonts w:asciiTheme="minorHAnsi" w:hAnsiTheme="minorHAnsi" w:cs="Arial"/>
          <w:b/>
          <w:bCs/>
          <w:color w:val="221E1F"/>
          <w:vertAlign w:val="superscript"/>
        </w:rPr>
      </w:pPr>
    </w:p>
    <w:p w:rsidR="00BB0659" w:rsidRPr="007544F0" w:rsidRDefault="00BB0659" w:rsidP="00BB0659">
      <w:pPr>
        <w:autoSpaceDE w:val="0"/>
        <w:autoSpaceDN w:val="0"/>
        <w:adjustRightInd w:val="0"/>
        <w:spacing w:after="0"/>
        <w:ind w:left="-567"/>
        <w:rPr>
          <w:rFonts w:asciiTheme="minorHAnsi" w:hAnsiTheme="minorHAnsi" w:cs="Arial"/>
          <w:color w:val="221E1F"/>
          <w:lang w:eastAsia="en-US"/>
        </w:rPr>
      </w:pPr>
    </w:p>
    <w:tbl>
      <w:tblPr>
        <w:tblW w:w="10040" w:type="dxa"/>
        <w:tblInd w:w="-666" w:type="dxa"/>
        <w:tblLayout w:type="fixed"/>
        <w:tblCellMar>
          <w:left w:w="0" w:type="dxa"/>
          <w:right w:w="0" w:type="dxa"/>
        </w:tblCellMar>
        <w:tblLook w:val="01E0" w:firstRow="1" w:lastRow="1" w:firstColumn="1" w:lastColumn="1" w:noHBand="0" w:noVBand="0"/>
      </w:tblPr>
      <w:tblGrid>
        <w:gridCol w:w="3264"/>
        <w:gridCol w:w="860"/>
        <w:gridCol w:w="2500"/>
        <w:gridCol w:w="860"/>
        <w:gridCol w:w="2556"/>
      </w:tblGrid>
      <w:tr w:rsidR="00BB0659" w:rsidRPr="007544F0" w:rsidTr="00413A54">
        <w:trPr>
          <w:trHeight w:hRule="exact" w:val="266"/>
        </w:trPr>
        <w:tc>
          <w:tcPr>
            <w:tcW w:w="3264" w:type="dxa"/>
            <w:tcBorders>
              <w:top w:val="nil"/>
              <w:left w:val="nil"/>
              <w:bottom w:val="nil"/>
              <w:right w:val="single" w:sz="32" w:space="0" w:color="FFFFFF"/>
            </w:tcBorders>
          </w:tcPr>
          <w:p w:rsidR="00BB0659" w:rsidRPr="007544F0" w:rsidRDefault="00BB0659" w:rsidP="00413A54">
            <w:pPr>
              <w:rPr>
                <w:rFonts w:asciiTheme="minorHAnsi" w:hAnsiTheme="minorHAnsi"/>
              </w:rPr>
            </w:pPr>
          </w:p>
        </w:tc>
        <w:tc>
          <w:tcPr>
            <w:tcW w:w="3360" w:type="dxa"/>
            <w:gridSpan w:val="2"/>
            <w:tcBorders>
              <w:top w:val="nil"/>
              <w:left w:val="single" w:sz="32" w:space="0" w:color="FFFFFF"/>
              <w:bottom w:val="nil"/>
              <w:right w:val="single" w:sz="32" w:space="0" w:color="FFFFFF"/>
            </w:tcBorders>
            <w:shd w:val="clear" w:color="auto" w:fill="E6E7E8"/>
          </w:tcPr>
          <w:p w:rsidR="00BB0659" w:rsidRPr="007544F0" w:rsidRDefault="00BB0659" w:rsidP="00413A54">
            <w:pPr>
              <w:spacing w:before="54" w:after="0"/>
              <w:ind w:left="1075" w:right="1055"/>
              <w:jc w:val="center"/>
              <w:rPr>
                <w:rFonts w:asciiTheme="minorHAnsi" w:eastAsia="Arial" w:hAnsiTheme="minorHAnsi" w:cs="Arial"/>
                <w:sz w:val="14"/>
                <w:szCs w:val="14"/>
              </w:rPr>
            </w:pPr>
            <w:r w:rsidRPr="007544F0">
              <w:rPr>
                <w:rFonts w:asciiTheme="minorHAnsi" w:eastAsia="Arial" w:hAnsiTheme="minorHAnsi" w:cs="Arial"/>
                <w:color w:val="231F20"/>
                <w:spacing w:val="4"/>
                <w:sz w:val="14"/>
                <w:szCs w:val="14"/>
              </w:rPr>
              <w:t>H</w:t>
            </w:r>
            <w:r>
              <w:rPr>
                <w:rFonts w:asciiTheme="minorHAnsi" w:eastAsia="Arial" w:hAnsiTheme="minorHAnsi" w:cs="Arial"/>
                <w:color w:val="231F20"/>
                <w:spacing w:val="4"/>
                <w:sz w:val="14"/>
                <w:szCs w:val="14"/>
              </w:rPr>
              <w:t>A</w:t>
            </w:r>
            <w:r w:rsidRPr="007544F0">
              <w:rPr>
                <w:rFonts w:asciiTheme="minorHAnsi" w:eastAsia="Arial" w:hAnsiTheme="minorHAnsi" w:cs="Arial"/>
                <w:color w:val="231F20"/>
                <w:spacing w:val="4"/>
                <w:sz w:val="14"/>
                <w:szCs w:val="14"/>
              </w:rPr>
              <w:t>EMOPHILI</w:t>
            </w:r>
            <w:r w:rsidRPr="007544F0">
              <w:rPr>
                <w:rFonts w:asciiTheme="minorHAnsi" w:eastAsia="Arial" w:hAnsiTheme="minorHAnsi" w:cs="Arial"/>
                <w:color w:val="231F20"/>
                <w:sz w:val="14"/>
                <w:szCs w:val="14"/>
              </w:rPr>
              <w:t>A</w:t>
            </w:r>
            <w:r w:rsidRPr="007544F0">
              <w:rPr>
                <w:rFonts w:asciiTheme="minorHAnsi" w:eastAsia="Arial" w:hAnsiTheme="minorHAnsi" w:cs="Arial"/>
                <w:color w:val="231F20"/>
                <w:spacing w:val="24"/>
                <w:sz w:val="14"/>
                <w:szCs w:val="14"/>
              </w:rPr>
              <w:t xml:space="preserve"> </w:t>
            </w:r>
            <w:r w:rsidRPr="007544F0">
              <w:rPr>
                <w:rFonts w:asciiTheme="minorHAnsi" w:eastAsia="Arial" w:hAnsiTheme="minorHAnsi" w:cs="Arial"/>
                <w:color w:val="231F20"/>
                <w:w w:val="108"/>
                <w:sz w:val="14"/>
                <w:szCs w:val="14"/>
              </w:rPr>
              <w:t>A</w:t>
            </w:r>
          </w:p>
        </w:tc>
        <w:tc>
          <w:tcPr>
            <w:tcW w:w="3416" w:type="dxa"/>
            <w:gridSpan w:val="2"/>
            <w:tcBorders>
              <w:top w:val="nil"/>
              <w:left w:val="single" w:sz="32" w:space="0" w:color="FFFFFF"/>
              <w:bottom w:val="nil"/>
              <w:right w:val="nil"/>
            </w:tcBorders>
            <w:shd w:val="clear" w:color="auto" w:fill="E6E7E8"/>
          </w:tcPr>
          <w:p w:rsidR="00BB0659" w:rsidRPr="007544F0" w:rsidRDefault="00BB0659" w:rsidP="00413A54">
            <w:pPr>
              <w:spacing w:before="54" w:after="0"/>
              <w:ind w:left="1108" w:right="1128"/>
              <w:jc w:val="center"/>
              <w:rPr>
                <w:rFonts w:asciiTheme="minorHAnsi" w:eastAsia="Arial" w:hAnsiTheme="minorHAnsi" w:cs="Arial"/>
                <w:sz w:val="14"/>
                <w:szCs w:val="14"/>
              </w:rPr>
            </w:pPr>
            <w:r w:rsidRPr="007544F0">
              <w:rPr>
                <w:rFonts w:asciiTheme="minorHAnsi" w:eastAsia="Arial" w:hAnsiTheme="minorHAnsi" w:cs="Arial"/>
                <w:color w:val="231F20"/>
                <w:spacing w:val="4"/>
                <w:sz w:val="14"/>
                <w:szCs w:val="14"/>
              </w:rPr>
              <w:t>H</w:t>
            </w:r>
            <w:r>
              <w:rPr>
                <w:rFonts w:asciiTheme="minorHAnsi" w:eastAsia="Arial" w:hAnsiTheme="minorHAnsi" w:cs="Arial"/>
                <w:color w:val="231F20"/>
                <w:spacing w:val="4"/>
                <w:sz w:val="14"/>
                <w:szCs w:val="14"/>
              </w:rPr>
              <w:t>A</w:t>
            </w:r>
            <w:r w:rsidRPr="007544F0">
              <w:rPr>
                <w:rFonts w:asciiTheme="minorHAnsi" w:eastAsia="Arial" w:hAnsiTheme="minorHAnsi" w:cs="Arial"/>
                <w:color w:val="231F20"/>
                <w:spacing w:val="4"/>
                <w:sz w:val="14"/>
                <w:szCs w:val="14"/>
              </w:rPr>
              <w:t>EMOPHILI</w:t>
            </w:r>
            <w:r w:rsidRPr="007544F0">
              <w:rPr>
                <w:rFonts w:asciiTheme="minorHAnsi" w:eastAsia="Arial" w:hAnsiTheme="minorHAnsi" w:cs="Arial"/>
                <w:color w:val="231F20"/>
                <w:sz w:val="14"/>
                <w:szCs w:val="14"/>
              </w:rPr>
              <w:t>A</w:t>
            </w:r>
            <w:r w:rsidRPr="007544F0">
              <w:rPr>
                <w:rFonts w:asciiTheme="minorHAnsi" w:eastAsia="Arial" w:hAnsiTheme="minorHAnsi" w:cs="Arial"/>
                <w:color w:val="231F20"/>
                <w:spacing w:val="24"/>
                <w:sz w:val="14"/>
                <w:szCs w:val="14"/>
              </w:rPr>
              <w:t xml:space="preserve"> </w:t>
            </w:r>
            <w:r w:rsidRPr="007544F0">
              <w:rPr>
                <w:rFonts w:asciiTheme="minorHAnsi" w:eastAsia="Arial" w:hAnsiTheme="minorHAnsi" w:cs="Arial"/>
                <w:color w:val="231F20"/>
                <w:w w:val="97"/>
                <w:sz w:val="14"/>
                <w:szCs w:val="14"/>
              </w:rPr>
              <w:t>B</w:t>
            </w:r>
          </w:p>
        </w:tc>
      </w:tr>
      <w:tr w:rsidR="00BB0659" w:rsidRPr="007544F0" w:rsidTr="00413A54">
        <w:trPr>
          <w:trHeight w:hRule="exact" w:val="536"/>
        </w:trPr>
        <w:tc>
          <w:tcPr>
            <w:tcW w:w="4124" w:type="dxa"/>
            <w:gridSpan w:val="2"/>
            <w:tcBorders>
              <w:top w:val="nil"/>
              <w:left w:val="nil"/>
              <w:bottom w:val="nil"/>
              <w:right w:val="single" w:sz="32" w:space="0" w:color="FFFFFF"/>
            </w:tcBorders>
          </w:tcPr>
          <w:p w:rsidR="00BB0659" w:rsidRPr="007544F0" w:rsidRDefault="00BB0659" w:rsidP="00413A54">
            <w:pPr>
              <w:spacing w:before="64" w:after="0" w:line="140" w:lineRule="exact"/>
              <w:ind w:left="3481" w:right="34" w:hanging="95"/>
              <w:rPr>
                <w:rFonts w:asciiTheme="minorHAnsi" w:eastAsia="Arial" w:hAnsiTheme="minorHAnsi" w:cs="Arial"/>
                <w:sz w:val="14"/>
                <w:szCs w:val="14"/>
              </w:rPr>
            </w:pPr>
            <w:r w:rsidRPr="007544F0">
              <w:rPr>
                <w:rFonts w:asciiTheme="minorHAnsi" w:eastAsia="Arial" w:hAnsiTheme="minorHAnsi" w:cs="Arial"/>
                <w:color w:val="231F20"/>
                <w:spacing w:val="4"/>
                <w:w w:val="94"/>
                <w:sz w:val="14"/>
                <w:szCs w:val="14"/>
              </w:rPr>
              <w:t xml:space="preserve">DESIRED </w:t>
            </w:r>
            <w:r w:rsidRPr="007544F0">
              <w:rPr>
                <w:rFonts w:asciiTheme="minorHAnsi" w:eastAsia="Arial" w:hAnsiTheme="minorHAnsi" w:cs="Arial"/>
                <w:color w:val="231F20"/>
                <w:spacing w:val="4"/>
                <w:sz w:val="14"/>
                <w:szCs w:val="14"/>
              </w:rPr>
              <w:t>LEVEL</w:t>
            </w:r>
          </w:p>
          <w:p w:rsidR="00BB0659" w:rsidRPr="007544F0" w:rsidRDefault="00BB0659" w:rsidP="00413A54">
            <w:pPr>
              <w:tabs>
                <w:tab w:val="left" w:pos="3440"/>
              </w:tabs>
              <w:spacing w:after="0" w:line="142" w:lineRule="exact"/>
              <w:ind w:left="120" w:right="-20"/>
              <w:rPr>
                <w:rFonts w:asciiTheme="minorHAnsi" w:eastAsia="Arial" w:hAnsiTheme="minorHAnsi" w:cs="Arial"/>
                <w:sz w:val="14"/>
                <w:szCs w:val="14"/>
              </w:rPr>
            </w:pPr>
            <w:r w:rsidRPr="007544F0">
              <w:rPr>
                <w:rFonts w:asciiTheme="minorHAnsi" w:eastAsia="Arial" w:hAnsiTheme="minorHAnsi" w:cs="Arial"/>
                <w:color w:val="231F20"/>
                <w:spacing w:val="4"/>
                <w:sz w:val="14"/>
                <w:szCs w:val="14"/>
              </w:rPr>
              <w:t>TYP</w:t>
            </w:r>
            <w:r w:rsidRPr="007544F0">
              <w:rPr>
                <w:rFonts w:asciiTheme="minorHAnsi" w:eastAsia="Arial" w:hAnsiTheme="minorHAnsi" w:cs="Arial"/>
                <w:color w:val="231F20"/>
                <w:sz w:val="14"/>
                <w:szCs w:val="14"/>
              </w:rPr>
              <w:t>E</w:t>
            </w:r>
            <w:r w:rsidRPr="007544F0">
              <w:rPr>
                <w:rFonts w:asciiTheme="minorHAnsi" w:eastAsia="Arial" w:hAnsiTheme="minorHAnsi" w:cs="Arial"/>
                <w:color w:val="231F20"/>
                <w:spacing w:val="-14"/>
                <w:sz w:val="14"/>
                <w:szCs w:val="14"/>
              </w:rPr>
              <w:t xml:space="preserve"> </w:t>
            </w:r>
            <w:r w:rsidRPr="007544F0">
              <w:rPr>
                <w:rFonts w:asciiTheme="minorHAnsi" w:eastAsia="Arial" w:hAnsiTheme="minorHAnsi" w:cs="Arial"/>
                <w:color w:val="231F20"/>
                <w:spacing w:val="4"/>
                <w:sz w:val="14"/>
                <w:szCs w:val="14"/>
              </w:rPr>
              <w:t>O</w:t>
            </w:r>
            <w:r w:rsidRPr="007544F0">
              <w:rPr>
                <w:rFonts w:asciiTheme="minorHAnsi" w:eastAsia="Arial" w:hAnsiTheme="minorHAnsi" w:cs="Arial"/>
                <w:color w:val="231F20"/>
                <w:sz w:val="14"/>
                <w:szCs w:val="14"/>
              </w:rPr>
              <w:t>F</w:t>
            </w:r>
            <w:r w:rsidRPr="007544F0">
              <w:rPr>
                <w:rFonts w:asciiTheme="minorHAnsi" w:eastAsia="Arial" w:hAnsiTheme="minorHAnsi" w:cs="Arial"/>
                <w:color w:val="231F20"/>
                <w:spacing w:val="17"/>
                <w:sz w:val="14"/>
                <w:szCs w:val="14"/>
              </w:rPr>
              <w:t xml:space="preserve"> </w:t>
            </w:r>
            <w:r w:rsidRPr="007544F0">
              <w:rPr>
                <w:rFonts w:asciiTheme="minorHAnsi" w:eastAsia="Arial" w:hAnsiTheme="minorHAnsi" w:cs="Arial"/>
                <w:color w:val="231F20"/>
                <w:spacing w:val="4"/>
                <w:sz w:val="14"/>
                <w:szCs w:val="14"/>
              </w:rPr>
              <w:t>H</w:t>
            </w:r>
            <w:r>
              <w:rPr>
                <w:rFonts w:asciiTheme="minorHAnsi" w:eastAsia="Arial" w:hAnsiTheme="minorHAnsi" w:cs="Arial"/>
                <w:color w:val="231F20"/>
                <w:spacing w:val="4"/>
                <w:sz w:val="14"/>
                <w:szCs w:val="14"/>
              </w:rPr>
              <w:t>A</w:t>
            </w:r>
            <w:r w:rsidRPr="007544F0">
              <w:rPr>
                <w:rFonts w:asciiTheme="minorHAnsi" w:eastAsia="Arial" w:hAnsiTheme="minorHAnsi" w:cs="Arial"/>
                <w:color w:val="231F20"/>
                <w:spacing w:val="4"/>
                <w:sz w:val="14"/>
                <w:szCs w:val="14"/>
              </w:rPr>
              <w:t>EMORRHAG</w:t>
            </w:r>
            <w:r w:rsidRPr="007544F0">
              <w:rPr>
                <w:rFonts w:asciiTheme="minorHAnsi" w:eastAsia="Arial" w:hAnsiTheme="minorHAnsi" w:cs="Arial"/>
                <w:color w:val="231F20"/>
                <w:sz w:val="14"/>
                <w:szCs w:val="14"/>
              </w:rPr>
              <w:t>E</w:t>
            </w:r>
            <w:r w:rsidRPr="007544F0">
              <w:rPr>
                <w:rFonts w:asciiTheme="minorHAnsi" w:eastAsia="Arial" w:hAnsiTheme="minorHAnsi" w:cs="Arial"/>
                <w:color w:val="231F20"/>
                <w:sz w:val="14"/>
                <w:szCs w:val="14"/>
              </w:rPr>
              <w:tab/>
            </w:r>
            <w:r w:rsidRPr="007544F0">
              <w:rPr>
                <w:rFonts w:asciiTheme="minorHAnsi" w:eastAsia="Arial" w:hAnsiTheme="minorHAnsi" w:cs="Arial"/>
                <w:color w:val="231F20"/>
                <w:spacing w:val="4"/>
                <w:w w:val="101"/>
                <w:sz w:val="14"/>
                <w:szCs w:val="14"/>
              </w:rPr>
              <w:t>(IU/DL)</w:t>
            </w:r>
          </w:p>
        </w:tc>
        <w:tc>
          <w:tcPr>
            <w:tcW w:w="2500" w:type="dxa"/>
            <w:tcBorders>
              <w:top w:val="nil"/>
              <w:left w:val="single" w:sz="32" w:space="0" w:color="FFFFFF"/>
              <w:bottom w:val="nil"/>
              <w:right w:val="single" w:sz="32" w:space="0" w:color="FFFFFF"/>
            </w:tcBorders>
          </w:tcPr>
          <w:p w:rsidR="00BB0659" w:rsidRPr="007544F0" w:rsidRDefault="00BB0659" w:rsidP="00413A54">
            <w:pPr>
              <w:spacing w:before="5" w:after="0" w:line="120" w:lineRule="exact"/>
              <w:rPr>
                <w:rFonts w:asciiTheme="minorHAnsi" w:hAnsiTheme="minorHAnsi"/>
                <w:sz w:val="12"/>
                <w:szCs w:val="12"/>
              </w:rPr>
            </w:pPr>
          </w:p>
          <w:p w:rsidR="00BB0659" w:rsidRPr="007544F0" w:rsidRDefault="00BB0659" w:rsidP="00413A54">
            <w:pPr>
              <w:spacing w:after="0" w:line="200" w:lineRule="exact"/>
              <w:rPr>
                <w:rFonts w:asciiTheme="minorHAnsi" w:hAnsiTheme="minorHAnsi"/>
                <w:sz w:val="20"/>
                <w:szCs w:val="20"/>
              </w:rPr>
            </w:pPr>
          </w:p>
          <w:p w:rsidR="00BB0659" w:rsidRPr="007544F0" w:rsidRDefault="00BB0659" w:rsidP="00413A54">
            <w:pPr>
              <w:spacing w:after="0"/>
              <w:ind w:left="568" w:right="-20"/>
              <w:rPr>
                <w:rFonts w:asciiTheme="minorHAnsi" w:eastAsia="Arial" w:hAnsiTheme="minorHAnsi" w:cs="Arial"/>
                <w:sz w:val="14"/>
                <w:szCs w:val="14"/>
              </w:rPr>
            </w:pPr>
            <w:r w:rsidRPr="007544F0">
              <w:rPr>
                <w:rFonts w:asciiTheme="minorHAnsi" w:eastAsia="Arial" w:hAnsiTheme="minorHAnsi" w:cs="Arial"/>
                <w:color w:val="231F20"/>
                <w:spacing w:val="4"/>
                <w:sz w:val="14"/>
                <w:szCs w:val="14"/>
              </w:rPr>
              <w:t>DUR</w:t>
            </w:r>
            <w:r w:rsidRPr="007544F0">
              <w:rPr>
                <w:rFonts w:asciiTheme="minorHAnsi" w:eastAsia="Arial" w:hAnsiTheme="minorHAnsi" w:cs="Arial"/>
                <w:color w:val="231F20"/>
                <w:spacing w:val="-9"/>
                <w:sz w:val="14"/>
                <w:szCs w:val="14"/>
              </w:rPr>
              <w:t>A</w:t>
            </w:r>
            <w:r w:rsidRPr="007544F0">
              <w:rPr>
                <w:rFonts w:asciiTheme="minorHAnsi" w:eastAsia="Arial" w:hAnsiTheme="minorHAnsi" w:cs="Arial"/>
                <w:color w:val="231F20"/>
                <w:spacing w:val="4"/>
                <w:sz w:val="14"/>
                <w:szCs w:val="14"/>
              </w:rPr>
              <w:t>TIO</w:t>
            </w:r>
            <w:r w:rsidRPr="007544F0">
              <w:rPr>
                <w:rFonts w:asciiTheme="minorHAnsi" w:eastAsia="Arial" w:hAnsiTheme="minorHAnsi" w:cs="Arial"/>
                <w:color w:val="231F20"/>
                <w:sz w:val="14"/>
                <w:szCs w:val="14"/>
              </w:rPr>
              <w:t>N</w:t>
            </w:r>
            <w:r w:rsidRPr="007544F0">
              <w:rPr>
                <w:rFonts w:asciiTheme="minorHAnsi" w:eastAsia="Arial" w:hAnsiTheme="minorHAnsi" w:cs="Arial"/>
                <w:color w:val="231F20"/>
                <w:spacing w:val="25"/>
                <w:sz w:val="14"/>
                <w:szCs w:val="14"/>
              </w:rPr>
              <w:t xml:space="preserve"> </w:t>
            </w:r>
            <w:r w:rsidRPr="007544F0">
              <w:rPr>
                <w:rFonts w:asciiTheme="minorHAnsi" w:eastAsia="Arial" w:hAnsiTheme="minorHAnsi" w:cs="Arial"/>
                <w:color w:val="231F20"/>
                <w:spacing w:val="4"/>
                <w:sz w:val="14"/>
                <w:szCs w:val="14"/>
              </w:rPr>
              <w:t>(D</w:t>
            </w:r>
            <w:r w:rsidRPr="007544F0">
              <w:rPr>
                <w:rFonts w:asciiTheme="minorHAnsi" w:eastAsia="Arial" w:hAnsiTheme="minorHAnsi" w:cs="Arial"/>
                <w:color w:val="231F20"/>
                <w:spacing w:val="-6"/>
                <w:sz w:val="14"/>
                <w:szCs w:val="14"/>
              </w:rPr>
              <w:t>A</w:t>
            </w:r>
            <w:r w:rsidRPr="007544F0">
              <w:rPr>
                <w:rFonts w:asciiTheme="minorHAnsi" w:eastAsia="Arial" w:hAnsiTheme="minorHAnsi" w:cs="Arial"/>
                <w:color w:val="231F20"/>
                <w:spacing w:val="4"/>
                <w:sz w:val="14"/>
                <w:szCs w:val="14"/>
              </w:rPr>
              <w:t>YS)</w:t>
            </w:r>
          </w:p>
        </w:tc>
        <w:tc>
          <w:tcPr>
            <w:tcW w:w="3416" w:type="dxa"/>
            <w:gridSpan w:val="2"/>
            <w:tcBorders>
              <w:top w:val="nil"/>
              <w:left w:val="single" w:sz="32" w:space="0" w:color="FFFFFF"/>
              <w:bottom w:val="nil"/>
              <w:right w:val="nil"/>
            </w:tcBorders>
          </w:tcPr>
          <w:p w:rsidR="00BB0659" w:rsidRPr="007544F0" w:rsidRDefault="00BB0659" w:rsidP="00413A54">
            <w:pPr>
              <w:spacing w:before="64" w:after="0" w:line="140" w:lineRule="exact"/>
              <w:ind w:left="177" w:right="2630" w:hanging="95"/>
              <w:rPr>
                <w:rFonts w:asciiTheme="minorHAnsi" w:eastAsia="Arial" w:hAnsiTheme="minorHAnsi" w:cs="Arial"/>
                <w:sz w:val="14"/>
                <w:szCs w:val="14"/>
              </w:rPr>
            </w:pPr>
            <w:r w:rsidRPr="007544F0">
              <w:rPr>
                <w:rFonts w:asciiTheme="minorHAnsi" w:eastAsia="Arial" w:hAnsiTheme="minorHAnsi" w:cs="Arial"/>
                <w:color w:val="231F20"/>
                <w:spacing w:val="4"/>
                <w:w w:val="94"/>
                <w:sz w:val="14"/>
                <w:szCs w:val="14"/>
              </w:rPr>
              <w:t xml:space="preserve">DESIRED </w:t>
            </w:r>
            <w:r w:rsidRPr="007544F0">
              <w:rPr>
                <w:rFonts w:asciiTheme="minorHAnsi" w:eastAsia="Arial" w:hAnsiTheme="minorHAnsi" w:cs="Arial"/>
                <w:color w:val="231F20"/>
                <w:spacing w:val="4"/>
                <w:sz w:val="14"/>
                <w:szCs w:val="14"/>
              </w:rPr>
              <w:t>LEVEL</w:t>
            </w:r>
          </w:p>
          <w:p w:rsidR="00BB0659" w:rsidRPr="007544F0" w:rsidRDefault="00BB0659" w:rsidP="00413A54">
            <w:pPr>
              <w:tabs>
                <w:tab w:val="left" w:pos="1440"/>
              </w:tabs>
              <w:spacing w:after="0" w:line="142" w:lineRule="exact"/>
              <w:ind w:left="149" w:right="-20"/>
              <w:rPr>
                <w:rFonts w:asciiTheme="minorHAnsi" w:eastAsia="Arial" w:hAnsiTheme="minorHAnsi" w:cs="Arial"/>
                <w:sz w:val="14"/>
                <w:szCs w:val="14"/>
              </w:rPr>
            </w:pPr>
            <w:r w:rsidRPr="007544F0">
              <w:rPr>
                <w:rFonts w:asciiTheme="minorHAnsi" w:eastAsia="Arial" w:hAnsiTheme="minorHAnsi" w:cs="Arial"/>
                <w:color w:val="231F20"/>
                <w:spacing w:val="4"/>
                <w:sz w:val="14"/>
                <w:szCs w:val="14"/>
              </w:rPr>
              <w:t>(IU/DL</w:t>
            </w:r>
            <w:r w:rsidRPr="007544F0">
              <w:rPr>
                <w:rFonts w:asciiTheme="minorHAnsi" w:eastAsia="Arial" w:hAnsiTheme="minorHAnsi" w:cs="Arial"/>
                <w:color w:val="231F20"/>
                <w:sz w:val="14"/>
                <w:szCs w:val="14"/>
              </w:rPr>
              <w:t>)</w:t>
            </w:r>
            <w:r w:rsidRPr="007544F0">
              <w:rPr>
                <w:rFonts w:asciiTheme="minorHAnsi" w:eastAsia="Arial" w:hAnsiTheme="minorHAnsi" w:cs="Arial"/>
                <w:color w:val="231F20"/>
                <w:spacing w:val="-34"/>
                <w:sz w:val="14"/>
                <w:szCs w:val="14"/>
              </w:rPr>
              <w:t xml:space="preserve"> </w:t>
            </w:r>
            <w:r w:rsidRPr="007544F0">
              <w:rPr>
                <w:rFonts w:asciiTheme="minorHAnsi" w:eastAsia="Arial" w:hAnsiTheme="minorHAnsi" w:cs="Arial"/>
                <w:color w:val="231F20"/>
                <w:sz w:val="14"/>
                <w:szCs w:val="14"/>
              </w:rPr>
              <w:tab/>
            </w:r>
            <w:r w:rsidRPr="007544F0">
              <w:rPr>
                <w:rFonts w:asciiTheme="minorHAnsi" w:eastAsia="Arial" w:hAnsiTheme="minorHAnsi" w:cs="Arial"/>
                <w:color w:val="231F20"/>
                <w:spacing w:val="4"/>
                <w:sz w:val="14"/>
                <w:szCs w:val="14"/>
              </w:rPr>
              <w:t>DUR</w:t>
            </w:r>
            <w:r w:rsidRPr="007544F0">
              <w:rPr>
                <w:rFonts w:asciiTheme="minorHAnsi" w:eastAsia="Arial" w:hAnsiTheme="minorHAnsi" w:cs="Arial"/>
                <w:color w:val="231F20"/>
                <w:spacing w:val="-9"/>
                <w:sz w:val="14"/>
                <w:szCs w:val="14"/>
              </w:rPr>
              <w:t>A</w:t>
            </w:r>
            <w:r w:rsidRPr="007544F0">
              <w:rPr>
                <w:rFonts w:asciiTheme="minorHAnsi" w:eastAsia="Arial" w:hAnsiTheme="minorHAnsi" w:cs="Arial"/>
                <w:color w:val="231F20"/>
                <w:spacing w:val="4"/>
                <w:sz w:val="14"/>
                <w:szCs w:val="14"/>
              </w:rPr>
              <w:t>TIO</w:t>
            </w:r>
            <w:r w:rsidRPr="007544F0">
              <w:rPr>
                <w:rFonts w:asciiTheme="minorHAnsi" w:eastAsia="Arial" w:hAnsiTheme="minorHAnsi" w:cs="Arial"/>
                <w:color w:val="231F20"/>
                <w:sz w:val="14"/>
                <w:szCs w:val="14"/>
              </w:rPr>
              <w:t>N</w:t>
            </w:r>
            <w:r w:rsidRPr="007544F0">
              <w:rPr>
                <w:rFonts w:asciiTheme="minorHAnsi" w:eastAsia="Arial" w:hAnsiTheme="minorHAnsi" w:cs="Arial"/>
                <w:color w:val="231F20"/>
                <w:spacing w:val="25"/>
                <w:sz w:val="14"/>
                <w:szCs w:val="14"/>
              </w:rPr>
              <w:t xml:space="preserve"> </w:t>
            </w:r>
            <w:r w:rsidRPr="007544F0">
              <w:rPr>
                <w:rFonts w:asciiTheme="minorHAnsi" w:eastAsia="Arial" w:hAnsiTheme="minorHAnsi" w:cs="Arial"/>
                <w:color w:val="231F20"/>
                <w:spacing w:val="4"/>
                <w:sz w:val="14"/>
                <w:szCs w:val="14"/>
              </w:rPr>
              <w:t>(D</w:t>
            </w:r>
            <w:r w:rsidRPr="007544F0">
              <w:rPr>
                <w:rFonts w:asciiTheme="minorHAnsi" w:eastAsia="Arial" w:hAnsiTheme="minorHAnsi" w:cs="Arial"/>
                <w:color w:val="231F20"/>
                <w:spacing w:val="-6"/>
                <w:sz w:val="14"/>
                <w:szCs w:val="14"/>
              </w:rPr>
              <w:t>A</w:t>
            </w:r>
            <w:r w:rsidRPr="007544F0">
              <w:rPr>
                <w:rFonts w:asciiTheme="minorHAnsi" w:eastAsia="Arial" w:hAnsiTheme="minorHAnsi" w:cs="Arial"/>
                <w:color w:val="231F20"/>
                <w:spacing w:val="4"/>
                <w:sz w:val="14"/>
                <w:szCs w:val="14"/>
              </w:rPr>
              <w:t>YS)</w:t>
            </w:r>
          </w:p>
        </w:tc>
      </w:tr>
      <w:tr w:rsidR="00BB0659" w:rsidRPr="007544F0" w:rsidTr="00413A54">
        <w:trPr>
          <w:trHeight w:hRule="exact" w:val="636"/>
        </w:trPr>
        <w:tc>
          <w:tcPr>
            <w:tcW w:w="3264" w:type="dxa"/>
            <w:tcBorders>
              <w:top w:val="nil"/>
              <w:left w:val="nil"/>
              <w:bottom w:val="single" w:sz="32" w:space="0" w:color="FFFFFF"/>
              <w:right w:val="single" w:sz="32" w:space="0" w:color="FFFFFF"/>
            </w:tcBorders>
            <w:shd w:val="clear" w:color="auto" w:fill="E6E7E8"/>
          </w:tcPr>
          <w:p w:rsidR="00BB0659" w:rsidRPr="007544F0" w:rsidRDefault="00BB0659" w:rsidP="00413A54">
            <w:pPr>
              <w:spacing w:before="87" w:after="0"/>
              <w:ind w:left="120" w:right="-20"/>
              <w:rPr>
                <w:rFonts w:asciiTheme="minorHAnsi" w:eastAsia="Arial" w:hAnsiTheme="minorHAnsi" w:cs="Arial"/>
                <w:sz w:val="18"/>
                <w:szCs w:val="18"/>
              </w:rPr>
            </w:pPr>
            <w:r w:rsidRPr="007544F0">
              <w:rPr>
                <w:rFonts w:asciiTheme="minorHAnsi" w:eastAsia="Arial" w:hAnsiTheme="minorHAnsi" w:cs="Arial"/>
                <w:color w:val="231F20"/>
                <w:w w:val="110"/>
                <w:sz w:val="18"/>
                <w:szCs w:val="18"/>
              </w:rPr>
              <w:t>Joint</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40–60</w:t>
            </w:r>
          </w:p>
        </w:tc>
        <w:tc>
          <w:tcPr>
            <w:tcW w:w="250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line="255" w:lineRule="auto"/>
              <w:ind w:left="273" w:right="222" w:firstLine="73"/>
              <w:rPr>
                <w:rFonts w:asciiTheme="minorHAnsi" w:eastAsia="Arial" w:hAnsiTheme="minorHAnsi" w:cs="Arial"/>
                <w:sz w:val="18"/>
                <w:szCs w:val="18"/>
              </w:rPr>
            </w:pPr>
            <w:r w:rsidRPr="007544F0">
              <w:rPr>
                <w:rFonts w:asciiTheme="minorHAnsi" w:eastAsia="Arial" w:hAnsiTheme="minorHAnsi" w:cs="Arial"/>
                <w:color w:val="231F20"/>
                <w:sz w:val="18"/>
                <w:szCs w:val="18"/>
              </w:rPr>
              <w:t>1–2,</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may</w:t>
            </w:r>
            <w:r w:rsidRPr="007544F0">
              <w:rPr>
                <w:rFonts w:asciiTheme="minorHAnsi" w:eastAsia="Arial" w:hAnsiTheme="minorHAnsi" w:cs="Arial"/>
                <w:color w:val="231F20"/>
                <w:spacing w:val="-2"/>
                <w:sz w:val="18"/>
                <w:szCs w:val="18"/>
              </w:rPr>
              <w:t xml:space="preserve"> </w:t>
            </w:r>
            <w:r w:rsidRPr="007544F0">
              <w:rPr>
                <w:rFonts w:asciiTheme="minorHAnsi" w:eastAsia="Arial" w:hAnsiTheme="minorHAnsi" w:cs="Arial"/>
                <w:color w:val="231F20"/>
                <w:sz w:val="18"/>
                <w:szCs w:val="18"/>
              </w:rPr>
              <w:t>be</w:t>
            </w:r>
            <w:r w:rsidRPr="007544F0">
              <w:rPr>
                <w:rFonts w:asciiTheme="minorHAnsi" w:eastAsia="Arial" w:hAnsiTheme="minorHAnsi" w:cs="Arial"/>
                <w:color w:val="231F20"/>
                <w:spacing w:val="13"/>
                <w:sz w:val="18"/>
                <w:szCs w:val="18"/>
              </w:rPr>
              <w:t xml:space="preserve"> </w:t>
            </w:r>
            <w:r w:rsidRPr="007544F0">
              <w:rPr>
                <w:rFonts w:asciiTheme="minorHAnsi" w:eastAsia="Arial" w:hAnsiTheme="minorHAnsi" w:cs="Arial"/>
                <w:color w:val="231F20"/>
                <w:sz w:val="18"/>
                <w:szCs w:val="18"/>
              </w:rPr>
              <w:t>longer</w:t>
            </w:r>
            <w:r w:rsidRPr="007544F0">
              <w:rPr>
                <w:rFonts w:asciiTheme="minorHAnsi" w:eastAsia="Arial" w:hAnsiTheme="minorHAnsi" w:cs="Arial"/>
                <w:color w:val="231F20"/>
                <w:spacing w:val="25"/>
                <w:sz w:val="18"/>
                <w:szCs w:val="18"/>
              </w:rPr>
              <w:t xml:space="preserve"> </w:t>
            </w:r>
            <w:r w:rsidRPr="007544F0">
              <w:rPr>
                <w:rFonts w:asciiTheme="minorHAnsi" w:eastAsia="Arial" w:hAnsiTheme="minorHAnsi" w:cs="Arial"/>
                <w:color w:val="231F20"/>
                <w:w w:val="111"/>
                <w:sz w:val="18"/>
                <w:szCs w:val="18"/>
              </w:rPr>
              <w:t xml:space="preserve">if </w:t>
            </w:r>
            <w:r w:rsidRPr="007544F0">
              <w:rPr>
                <w:rFonts w:asciiTheme="minorHAnsi" w:eastAsia="Arial" w:hAnsiTheme="minorHAnsi" w:cs="Arial"/>
                <w:color w:val="231F20"/>
                <w:spacing w:val="-3"/>
                <w:sz w:val="18"/>
                <w:szCs w:val="18"/>
              </w:rPr>
              <w:t>r</w:t>
            </w:r>
            <w:r w:rsidRPr="007544F0">
              <w:rPr>
                <w:rFonts w:asciiTheme="minorHAnsi" w:eastAsia="Arial" w:hAnsiTheme="minorHAnsi" w:cs="Arial"/>
                <w:color w:val="231F20"/>
                <w:sz w:val="18"/>
                <w:szCs w:val="18"/>
              </w:rPr>
              <w:t>esponse</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is</w:t>
            </w:r>
            <w:r w:rsidRPr="007544F0">
              <w:rPr>
                <w:rFonts w:asciiTheme="minorHAnsi" w:eastAsia="Arial" w:hAnsiTheme="minorHAnsi" w:cs="Arial"/>
                <w:color w:val="231F20"/>
                <w:spacing w:val="-5"/>
                <w:sz w:val="18"/>
                <w:szCs w:val="18"/>
              </w:rPr>
              <w:t xml:space="preserve"> </w:t>
            </w:r>
            <w:r w:rsidRPr="007544F0">
              <w:rPr>
                <w:rFonts w:asciiTheme="minorHAnsi" w:eastAsia="Arial" w:hAnsiTheme="minorHAnsi" w:cs="Arial"/>
                <w:color w:val="231F20"/>
                <w:w w:val="102"/>
                <w:sz w:val="18"/>
                <w:szCs w:val="18"/>
              </w:rPr>
              <w:t>inadequate</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40–60</w:t>
            </w:r>
          </w:p>
        </w:tc>
        <w:tc>
          <w:tcPr>
            <w:tcW w:w="2556" w:type="dxa"/>
            <w:tcBorders>
              <w:top w:val="nil"/>
              <w:left w:val="single" w:sz="32" w:space="0" w:color="FFFFFF"/>
              <w:bottom w:val="single" w:sz="32" w:space="0" w:color="FFFFFF"/>
              <w:right w:val="nil"/>
            </w:tcBorders>
            <w:shd w:val="clear" w:color="auto" w:fill="E6E7E8"/>
          </w:tcPr>
          <w:p w:rsidR="00BB0659" w:rsidRPr="007544F0" w:rsidRDefault="00BB0659" w:rsidP="00413A54">
            <w:pPr>
              <w:spacing w:before="87" w:after="0" w:line="255" w:lineRule="auto"/>
              <w:ind w:left="301" w:right="290" w:firstLine="73"/>
              <w:rPr>
                <w:rFonts w:asciiTheme="minorHAnsi" w:eastAsia="Arial" w:hAnsiTheme="minorHAnsi" w:cs="Arial"/>
                <w:sz w:val="18"/>
                <w:szCs w:val="18"/>
              </w:rPr>
            </w:pPr>
            <w:r w:rsidRPr="007544F0">
              <w:rPr>
                <w:rFonts w:asciiTheme="minorHAnsi" w:eastAsia="Arial" w:hAnsiTheme="minorHAnsi" w:cs="Arial"/>
                <w:color w:val="231F20"/>
                <w:sz w:val="18"/>
                <w:szCs w:val="18"/>
              </w:rPr>
              <w:t>1–2,</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may</w:t>
            </w:r>
            <w:r w:rsidRPr="007544F0">
              <w:rPr>
                <w:rFonts w:asciiTheme="minorHAnsi" w:eastAsia="Arial" w:hAnsiTheme="minorHAnsi" w:cs="Arial"/>
                <w:color w:val="231F20"/>
                <w:spacing w:val="-2"/>
                <w:sz w:val="18"/>
                <w:szCs w:val="18"/>
              </w:rPr>
              <w:t xml:space="preserve"> </w:t>
            </w:r>
            <w:r w:rsidRPr="007544F0">
              <w:rPr>
                <w:rFonts w:asciiTheme="minorHAnsi" w:eastAsia="Arial" w:hAnsiTheme="minorHAnsi" w:cs="Arial"/>
                <w:color w:val="231F20"/>
                <w:sz w:val="18"/>
                <w:szCs w:val="18"/>
              </w:rPr>
              <w:t>be</w:t>
            </w:r>
            <w:r w:rsidRPr="007544F0">
              <w:rPr>
                <w:rFonts w:asciiTheme="minorHAnsi" w:eastAsia="Arial" w:hAnsiTheme="minorHAnsi" w:cs="Arial"/>
                <w:color w:val="231F20"/>
                <w:spacing w:val="13"/>
                <w:sz w:val="18"/>
                <w:szCs w:val="18"/>
              </w:rPr>
              <w:t xml:space="preserve"> </w:t>
            </w:r>
            <w:r w:rsidRPr="007544F0">
              <w:rPr>
                <w:rFonts w:asciiTheme="minorHAnsi" w:eastAsia="Arial" w:hAnsiTheme="minorHAnsi" w:cs="Arial"/>
                <w:color w:val="231F20"/>
                <w:sz w:val="18"/>
                <w:szCs w:val="18"/>
              </w:rPr>
              <w:t>longer</w:t>
            </w:r>
            <w:r w:rsidRPr="007544F0">
              <w:rPr>
                <w:rFonts w:asciiTheme="minorHAnsi" w:eastAsia="Arial" w:hAnsiTheme="minorHAnsi" w:cs="Arial"/>
                <w:color w:val="231F20"/>
                <w:spacing w:val="25"/>
                <w:sz w:val="18"/>
                <w:szCs w:val="18"/>
              </w:rPr>
              <w:t xml:space="preserve"> </w:t>
            </w:r>
            <w:r w:rsidRPr="007544F0">
              <w:rPr>
                <w:rFonts w:asciiTheme="minorHAnsi" w:eastAsia="Arial" w:hAnsiTheme="minorHAnsi" w:cs="Arial"/>
                <w:color w:val="231F20"/>
                <w:w w:val="111"/>
                <w:sz w:val="18"/>
                <w:szCs w:val="18"/>
              </w:rPr>
              <w:t xml:space="preserve">if </w:t>
            </w:r>
            <w:r w:rsidRPr="007544F0">
              <w:rPr>
                <w:rFonts w:asciiTheme="minorHAnsi" w:eastAsia="Arial" w:hAnsiTheme="minorHAnsi" w:cs="Arial"/>
                <w:color w:val="231F20"/>
                <w:spacing w:val="-3"/>
                <w:sz w:val="18"/>
                <w:szCs w:val="18"/>
              </w:rPr>
              <w:t>r</w:t>
            </w:r>
            <w:r w:rsidRPr="007544F0">
              <w:rPr>
                <w:rFonts w:asciiTheme="minorHAnsi" w:eastAsia="Arial" w:hAnsiTheme="minorHAnsi" w:cs="Arial"/>
                <w:color w:val="231F20"/>
                <w:sz w:val="18"/>
                <w:szCs w:val="18"/>
              </w:rPr>
              <w:t>esponse</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is</w:t>
            </w:r>
            <w:r w:rsidRPr="007544F0">
              <w:rPr>
                <w:rFonts w:asciiTheme="minorHAnsi" w:eastAsia="Arial" w:hAnsiTheme="minorHAnsi" w:cs="Arial"/>
                <w:color w:val="231F20"/>
                <w:spacing w:val="-5"/>
                <w:sz w:val="18"/>
                <w:szCs w:val="18"/>
              </w:rPr>
              <w:t xml:space="preserve"> </w:t>
            </w:r>
            <w:r w:rsidRPr="007544F0">
              <w:rPr>
                <w:rFonts w:asciiTheme="minorHAnsi" w:eastAsia="Arial" w:hAnsiTheme="minorHAnsi" w:cs="Arial"/>
                <w:color w:val="231F20"/>
                <w:w w:val="102"/>
                <w:sz w:val="18"/>
                <w:szCs w:val="18"/>
              </w:rPr>
              <w:t>inadequate</w:t>
            </w:r>
          </w:p>
        </w:tc>
      </w:tr>
      <w:tr w:rsidR="00BB0659" w:rsidRPr="007544F0" w:rsidTr="00413A54">
        <w:trPr>
          <w:trHeight w:hRule="exact" w:val="676"/>
        </w:trPr>
        <w:tc>
          <w:tcPr>
            <w:tcW w:w="3264" w:type="dxa"/>
            <w:tcBorders>
              <w:top w:val="single" w:sz="32" w:space="0" w:color="FFFFFF"/>
              <w:left w:val="nil"/>
              <w:bottom w:val="single" w:sz="32" w:space="0" w:color="FFFFFF"/>
              <w:right w:val="single" w:sz="32" w:space="0" w:color="FFFFFF"/>
            </w:tcBorders>
            <w:shd w:val="clear" w:color="auto" w:fill="E6E7E8"/>
          </w:tcPr>
          <w:p w:rsidR="00BB0659" w:rsidRPr="007544F0" w:rsidRDefault="00BB0659" w:rsidP="00413A54">
            <w:pPr>
              <w:spacing w:before="87" w:after="0"/>
              <w:ind w:left="120" w:right="-20"/>
              <w:rPr>
                <w:rFonts w:asciiTheme="minorHAnsi" w:eastAsia="Arial" w:hAnsiTheme="minorHAnsi" w:cs="Arial"/>
                <w:sz w:val="18"/>
                <w:szCs w:val="18"/>
              </w:rPr>
            </w:pPr>
            <w:r w:rsidRPr="007544F0">
              <w:rPr>
                <w:rFonts w:asciiTheme="minorHAnsi" w:eastAsia="Arial" w:hAnsiTheme="minorHAnsi" w:cs="Arial"/>
                <w:color w:val="231F20"/>
                <w:sz w:val="18"/>
                <w:szCs w:val="18"/>
              </w:rPr>
              <w:t>Superficial</w:t>
            </w:r>
            <w:r w:rsidRPr="007544F0">
              <w:rPr>
                <w:rFonts w:asciiTheme="minorHAnsi" w:eastAsia="Arial" w:hAnsiTheme="minorHAnsi" w:cs="Arial"/>
                <w:color w:val="231F20"/>
                <w:spacing w:val="42"/>
                <w:sz w:val="18"/>
                <w:szCs w:val="18"/>
              </w:rPr>
              <w:t xml:space="preserve"> </w:t>
            </w:r>
            <w:r w:rsidRPr="007544F0">
              <w:rPr>
                <w:rFonts w:asciiTheme="minorHAnsi" w:eastAsia="Arial" w:hAnsiTheme="minorHAnsi" w:cs="Arial"/>
                <w:color w:val="231F20"/>
                <w:sz w:val="18"/>
                <w:szCs w:val="18"/>
              </w:rPr>
              <w:t>muscle/no</w:t>
            </w:r>
            <w:r w:rsidRPr="007544F0">
              <w:rPr>
                <w:rFonts w:asciiTheme="minorHAnsi" w:eastAsia="Arial" w:hAnsiTheme="minorHAnsi" w:cs="Arial"/>
                <w:color w:val="231F20"/>
                <w:spacing w:val="41"/>
                <w:sz w:val="18"/>
                <w:szCs w:val="18"/>
              </w:rPr>
              <w:t xml:space="preserve"> </w:t>
            </w:r>
            <w:r w:rsidRPr="007544F0">
              <w:rPr>
                <w:rFonts w:asciiTheme="minorHAnsi" w:eastAsia="Arial" w:hAnsiTheme="minorHAnsi" w:cs="Arial"/>
                <w:color w:val="231F20"/>
                <w:w w:val="105"/>
                <w:sz w:val="18"/>
                <w:szCs w:val="18"/>
              </w:rPr>
              <w:t>NV</w:t>
            </w:r>
          </w:p>
          <w:p w:rsidR="00BB0659" w:rsidRPr="007544F0" w:rsidRDefault="00BB0659" w:rsidP="00413A54">
            <w:pPr>
              <w:spacing w:before="13" w:after="0"/>
              <w:ind w:left="120" w:right="-20"/>
              <w:rPr>
                <w:rFonts w:asciiTheme="minorHAnsi" w:eastAsia="Arial" w:hAnsiTheme="minorHAnsi" w:cs="Arial"/>
                <w:sz w:val="18"/>
                <w:szCs w:val="18"/>
              </w:rPr>
            </w:pPr>
            <w:r w:rsidRPr="007544F0">
              <w:rPr>
                <w:rFonts w:asciiTheme="minorHAnsi" w:eastAsia="Arial" w:hAnsiTheme="minorHAnsi" w:cs="Arial"/>
                <w:color w:val="231F20"/>
                <w:sz w:val="18"/>
                <w:szCs w:val="18"/>
              </w:rPr>
              <w:t>comp</w:t>
            </w:r>
            <w:r w:rsidRPr="007544F0">
              <w:rPr>
                <w:rFonts w:asciiTheme="minorHAnsi" w:eastAsia="Arial" w:hAnsiTheme="minorHAnsi" w:cs="Arial"/>
                <w:color w:val="231F20"/>
                <w:spacing w:val="-3"/>
                <w:sz w:val="18"/>
                <w:szCs w:val="18"/>
              </w:rPr>
              <w:t>r</w:t>
            </w:r>
            <w:r w:rsidRPr="007544F0">
              <w:rPr>
                <w:rFonts w:asciiTheme="minorHAnsi" w:eastAsia="Arial" w:hAnsiTheme="minorHAnsi" w:cs="Arial"/>
                <w:color w:val="231F20"/>
                <w:sz w:val="18"/>
                <w:szCs w:val="18"/>
              </w:rPr>
              <w:t xml:space="preserve">omise </w:t>
            </w:r>
            <w:r w:rsidRPr="007544F0">
              <w:rPr>
                <w:rFonts w:asciiTheme="minorHAnsi" w:eastAsia="Arial" w:hAnsiTheme="minorHAnsi" w:cs="Arial"/>
                <w:color w:val="231F20"/>
                <w:spacing w:val="7"/>
                <w:sz w:val="18"/>
                <w:szCs w:val="18"/>
              </w:rPr>
              <w:t xml:space="preserve"> </w:t>
            </w:r>
            <w:r w:rsidRPr="007544F0">
              <w:rPr>
                <w:rFonts w:asciiTheme="minorHAnsi" w:eastAsia="Arial" w:hAnsiTheme="minorHAnsi" w:cs="Arial"/>
                <w:color w:val="231F20"/>
                <w:sz w:val="18"/>
                <w:szCs w:val="18"/>
              </w:rPr>
              <w:t>(except</w:t>
            </w:r>
            <w:r w:rsidRPr="007544F0">
              <w:rPr>
                <w:rFonts w:asciiTheme="minorHAnsi" w:eastAsia="Arial" w:hAnsiTheme="minorHAnsi" w:cs="Arial"/>
                <w:color w:val="231F20"/>
                <w:spacing w:val="43"/>
                <w:sz w:val="18"/>
                <w:szCs w:val="18"/>
              </w:rPr>
              <w:t xml:space="preserve"> </w:t>
            </w:r>
            <w:r w:rsidRPr="007544F0">
              <w:rPr>
                <w:rFonts w:asciiTheme="minorHAnsi" w:eastAsia="Arial" w:hAnsiTheme="minorHAnsi" w:cs="Arial"/>
                <w:color w:val="231F20"/>
                <w:w w:val="103"/>
                <w:sz w:val="18"/>
                <w:szCs w:val="18"/>
              </w:rPr>
              <w:t>iliopsoas)</w:t>
            </w:r>
          </w:p>
        </w:tc>
        <w:tc>
          <w:tcPr>
            <w:tcW w:w="860" w:type="dxa"/>
            <w:tcBorders>
              <w:top w:val="single" w:sz="32" w:space="0" w:color="FFFFFF"/>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40–60</w:t>
            </w:r>
          </w:p>
        </w:tc>
        <w:tc>
          <w:tcPr>
            <w:tcW w:w="2500" w:type="dxa"/>
            <w:tcBorders>
              <w:top w:val="single" w:sz="32" w:space="0" w:color="FFFFFF"/>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line="255" w:lineRule="auto"/>
              <w:ind w:left="273" w:right="158" w:hanging="64"/>
              <w:rPr>
                <w:rFonts w:asciiTheme="minorHAnsi" w:eastAsia="Arial" w:hAnsiTheme="minorHAnsi" w:cs="Arial"/>
                <w:sz w:val="18"/>
                <w:szCs w:val="18"/>
              </w:rPr>
            </w:pPr>
            <w:r w:rsidRPr="007544F0">
              <w:rPr>
                <w:rFonts w:asciiTheme="minorHAnsi" w:eastAsia="Arial" w:hAnsiTheme="minorHAnsi" w:cs="Arial"/>
                <w:color w:val="231F20"/>
                <w:sz w:val="18"/>
                <w:szCs w:val="18"/>
              </w:rPr>
              <w:t>2–3,</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sometimes</w:t>
            </w:r>
            <w:r w:rsidRPr="007544F0">
              <w:rPr>
                <w:rFonts w:asciiTheme="minorHAnsi" w:eastAsia="Arial" w:hAnsiTheme="minorHAnsi" w:cs="Arial"/>
                <w:color w:val="231F20"/>
                <w:spacing w:val="5"/>
                <w:sz w:val="18"/>
                <w:szCs w:val="18"/>
              </w:rPr>
              <w:t xml:space="preserve"> </w:t>
            </w:r>
            <w:r w:rsidRPr="007544F0">
              <w:rPr>
                <w:rFonts w:asciiTheme="minorHAnsi" w:eastAsia="Arial" w:hAnsiTheme="minorHAnsi" w:cs="Arial"/>
                <w:color w:val="231F20"/>
                <w:sz w:val="18"/>
                <w:szCs w:val="18"/>
              </w:rPr>
              <w:t>longer</w:t>
            </w:r>
            <w:r w:rsidRPr="007544F0">
              <w:rPr>
                <w:rFonts w:asciiTheme="minorHAnsi" w:eastAsia="Arial" w:hAnsiTheme="minorHAnsi" w:cs="Arial"/>
                <w:color w:val="231F20"/>
                <w:spacing w:val="25"/>
                <w:sz w:val="18"/>
                <w:szCs w:val="18"/>
              </w:rPr>
              <w:t xml:space="preserve"> </w:t>
            </w:r>
            <w:r w:rsidRPr="007544F0">
              <w:rPr>
                <w:rFonts w:asciiTheme="minorHAnsi" w:eastAsia="Arial" w:hAnsiTheme="minorHAnsi" w:cs="Arial"/>
                <w:color w:val="231F20"/>
                <w:w w:val="111"/>
                <w:sz w:val="18"/>
                <w:szCs w:val="18"/>
              </w:rPr>
              <w:t xml:space="preserve">if </w:t>
            </w:r>
            <w:r w:rsidRPr="007544F0">
              <w:rPr>
                <w:rFonts w:asciiTheme="minorHAnsi" w:eastAsia="Arial" w:hAnsiTheme="minorHAnsi" w:cs="Arial"/>
                <w:color w:val="231F20"/>
                <w:spacing w:val="-3"/>
                <w:sz w:val="18"/>
                <w:szCs w:val="18"/>
              </w:rPr>
              <w:t>r</w:t>
            </w:r>
            <w:r w:rsidRPr="007544F0">
              <w:rPr>
                <w:rFonts w:asciiTheme="minorHAnsi" w:eastAsia="Arial" w:hAnsiTheme="minorHAnsi" w:cs="Arial"/>
                <w:color w:val="231F20"/>
                <w:sz w:val="18"/>
                <w:szCs w:val="18"/>
              </w:rPr>
              <w:t>esponse</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is</w:t>
            </w:r>
            <w:r w:rsidRPr="007544F0">
              <w:rPr>
                <w:rFonts w:asciiTheme="minorHAnsi" w:eastAsia="Arial" w:hAnsiTheme="minorHAnsi" w:cs="Arial"/>
                <w:color w:val="231F20"/>
                <w:spacing w:val="-5"/>
                <w:sz w:val="18"/>
                <w:szCs w:val="18"/>
              </w:rPr>
              <w:t xml:space="preserve"> </w:t>
            </w:r>
            <w:r w:rsidRPr="007544F0">
              <w:rPr>
                <w:rFonts w:asciiTheme="minorHAnsi" w:eastAsia="Arial" w:hAnsiTheme="minorHAnsi" w:cs="Arial"/>
                <w:color w:val="231F20"/>
                <w:w w:val="102"/>
                <w:sz w:val="18"/>
                <w:szCs w:val="18"/>
              </w:rPr>
              <w:t>inadequate</w:t>
            </w:r>
          </w:p>
        </w:tc>
        <w:tc>
          <w:tcPr>
            <w:tcW w:w="860" w:type="dxa"/>
            <w:tcBorders>
              <w:top w:val="single" w:sz="32" w:space="0" w:color="FFFFFF"/>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40–60</w:t>
            </w:r>
          </w:p>
        </w:tc>
        <w:tc>
          <w:tcPr>
            <w:tcW w:w="2556" w:type="dxa"/>
            <w:tcBorders>
              <w:top w:val="single" w:sz="32" w:space="0" w:color="FFFFFF"/>
              <w:left w:val="single" w:sz="32" w:space="0" w:color="FFFFFF"/>
              <w:bottom w:val="single" w:sz="32" w:space="0" w:color="FFFFFF"/>
              <w:right w:val="nil"/>
            </w:tcBorders>
            <w:shd w:val="clear" w:color="auto" w:fill="E6E7E8"/>
          </w:tcPr>
          <w:p w:rsidR="00BB0659" w:rsidRPr="007544F0" w:rsidRDefault="00BB0659" w:rsidP="00413A54">
            <w:pPr>
              <w:spacing w:before="87" w:after="0" w:line="255" w:lineRule="auto"/>
              <w:ind w:left="301" w:right="226" w:hanging="64"/>
              <w:rPr>
                <w:rFonts w:asciiTheme="minorHAnsi" w:eastAsia="Arial" w:hAnsiTheme="minorHAnsi" w:cs="Arial"/>
                <w:sz w:val="18"/>
                <w:szCs w:val="18"/>
              </w:rPr>
            </w:pPr>
            <w:r w:rsidRPr="007544F0">
              <w:rPr>
                <w:rFonts w:asciiTheme="minorHAnsi" w:eastAsia="Arial" w:hAnsiTheme="minorHAnsi" w:cs="Arial"/>
                <w:color w:val="231F20"/>
                <w:sz w:val="18"/>
                <w:szCs w:val="18"/>
              </w:rPr>
              <w:t>2–3,</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sometimes</w:t>
            </w:r>
            <w:r w:rsidRPr="007544F0">
              <w:rPr>
                <w:rFonts w:asciiTheme="minorHAnsi" w:eastAsia="Arial" w:hAnsiTheme="minorHAnsi" w:cs="Arial"/>
                <w:color w:val="231F20"/>
                <w:spacing w:val="5"/>
                <w:sz w:val="18"/>
                <w:szCs w:val="18"/>
              </w:rPr>
              <w:t xml:space="preserve"> </w:t>
            </w:r>
            <w:r w:rsidRPr="007544F0">
              <w:rPr>
                <w:rFonts w:asciiTheme="minorHAnsi" w:eastAsia="Arial" w:hAnsiTheme="minorHAnsi" w:cs="Arial"/>
                <w:color w:val="231F20"/>
                <w:sz w:val="18"/>
                <w:szCs w:val="18"/>
              </w:rPr>
              <w:t>longer</w:t>
            </w:r>
            <w:r w:rsidRPr="007544F0">
              <w:rPr>
                <w:rFonts w:asciiTheme="minorHAnsi" w:eastAsia="Arial" w:hAnsiTheme="minorHAnsi" w:cs="Arial"/>
                <w:color w:val="231F20"/>
                <w:spacing w:val="25"/>
                <w:sz w:val="18"/>
                <w:szCs w:val="18"/>
              </w:rPr>
              <w:t xml:space="preserve"> </w:t>
            </w:r>
            <w:r w:rsidRPr="007544F0">
              <w:rPr>
                <w:rFonts w:asciiTheme="minorHAnsi" w:eastAsia="Arial" w:hAnsiTheme="minorHAnsi" w:cs="Arial"/>
                <w:color w:val="231F20"/>
                <w:w w:val="111"/>
                <w:sz w:val="18"/>
                <w:szCs w:val="18"/>
              </w:rPr>
              <w:t xml:space="preserve">if </w:t>
            </w:r>
            <w:r w:rsidRPr="007544F0">
              <w:rPr>
                <w:rFonts w:asciiTheme="minorHAnsi" w:eastAsia="Arial" w:hAnsiTheme="minorHAnsi" w:cs="Arial"/>
                <w:color w:val="231F20"/>
                <w:spacing w:val="-3"/>
                <w:sz w:val="18"/>
                <w:szCs w:val="18"/>
              </w:rPr>
              <w:t>r</w:t>
            </w:r>
            <w:r w:rsidRPr="007544F0">
              <w:rPr>
                <w:rFonts w:asciiTheme="minorHAnsi" w:eastAsia="Arial" w:hAnsiTheme="minorHAnsi" w:cs="Arial"/>
                <w:color w:val="231F20"/>
                <w:sz w:val="18"/>
                <w:szCs w:val="18"/>
              </w:rPr>
              <w:t>esponse</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is</w:t>
            </w:r>
            <w:r w:rsidRPr="007544F0">
              <w:rPr>
                <w:rFonts w:asciiTheme="minorHAnsi" w:eastAsia="Arial" w:hAnsiTheme="minorHAnsi" w:cs="Arial"/>
                <w:color w:val="231F20"/>
                <w:spacing w:val="-5"/>
                <w:sz w:val="18"/>
                <w:szCs w:val="18"/>
              </w:rPr>
              <w:t xml:space="preserve"> </w:t>
            </w:r>
            <w:r w:rsidRPr="007544F0">
              <w:rPr>
                <w:rFonts w:asciiTheme="minorHAnsi" w:eastAsia="Arial" w:hAnsiTheme="minorHAnsi" w:cs="Arial"/>
                <w:color w:val="231F20"/>
                <w:w w:val="102"/>
                <w:sz w:val="18"/>
                <w:szCs w:val="18"/>
              </w:rPr>
              <w:t>inadequate</w:t>
            </w:r>
          </w:p>
        </w:tc>
      </w:tr>
      <w:tr w:rsidR="00BB0659" w:rsidRPr="007544F0" w:rsidTr="00413A54">
        <w:trPr>
          <w:trHeight w:hRule="exact" w:val="636"/>
        </w:trPr>
        <w:tc>
          <w:tcPr>
            <w:tcW w:w="3264" w:type="dxa"/>
            <w:tcBorders>
              <w:top w:val="single" w:sz="32" w:space="0" w:color="FFFFFF"/>
              <w:left w:val="nil"/>
              <w:bottom w:val="nil"/>
              <w:right w:val="single" w:sz="32" w:space="0" w:color="FFFFFF"/>
            </w:tcBorders>
            <w:shd w:val="clear" w:color="auto" w:fill="E6E7E8"/>
          </w:tcPr>
          <w:p w:rsidR="00BB0659" w:rsidRPr="007544F0" w:rsidRDefault="00BB0659" w:rsidP="00413A54">
            <w:pPr>
              <w:spacing w:before="87" w:after="0"/>
              <w:ind w:left="120" w:right="-20"/>
              <w:rPr>
                <w:rFonts w:asciiTheme="minorHAnsi" w:eastAsia="Arial" w:hAnsiTheme="minorHAnsi" w:cs="Arial"/>
                <w:sz w:val="18"/>
                <w:szCs w:val="18"/>
              </w:rPr>
            </w:pPr>
            <w:r w:rsidRPr="007544F0">
              <w:rPr>
                <w:rFonts w:asciiTheme="minorHAnsi" w:eastAsia="Arial" w:hAnsiTheme="minorHAnsi" w:cs="Arial"/>
                <w:color w:val="231F20"/>
                <w:sz w:val="18"/>
                <w:szCs w:val="18"/>
              </w:rPr>
              <w:t>Iliopsoas</w:t>
            </w:r>
            <w:r w:rsidRPr="007544F0">
              <w:rPr>
                <w:rFonts w:asciiTheme="minorHAnsi" w:eastAsia="Arial" w:hAnsiTheme="minorHAnsi" w:cs="Arial"/>
                <w:color w:val="231F20"/>
                <w:spacing w:val="29"/>
                <w:sz w:val="18"/>
                <w:szCs w:val="18"/>
              </w:rPr>
              <w:t xml:space="preserve"> </w:t>
            </w:r>
            <w:r w:rsidRPr="007544F0">
              <w:rPr>
                <w:rFonts w:asciiTheme="minorHAnsi" w:eastAsia="Arial" w:hAnsiTheme="minorHAnsi" w:cs="Arial"/>
                <w:color w:val="231F20"/>
                <w:sz w:val="18"/>
                <w:szCs w:val="18"/>
              </w:rPr>
              <w:t>and</w:t>
            </w:r>
            <w:r w:rsidRPr="007544F0">
              <w:rPr>
                <w:rFonts w:asciiTheme="minorHAnsi" w:eastAsia="Arial" w:hAnsiTheme="minorHAnsi" w:cs="Arial"/>
                <w:color w:val="231F20"/>
                <w:spacing w:val="21"/>
                <w:sz w:val="18"/>
                <w:szCs w:val="18"/>
              </w:rPr>
              <w:t xml:space="preserve"> </w:t>
            </w:r>
            <w:r w:rsidRPr="007544F0">
              <w:rPr>
                <w:rFonts w:asciiTheme="minorHAnsi" w:eastAsia="Arial" w:hAnsiTheme="minorHAnsi" w:cs="Arial"/>
                <w:color w:val="231F20"/>
                <w:sz w:val="18"/>
                <w:szCs w:val="18"/>
              </w:rPr>
              <w:t>deep</w:t>
            </w:r>
            <w:r w:rsidRPr="007544F0">
              <w:rPr>
                <w:rFonts w:asciiTheme="minorHAnsi" w:eastAsia="Arial" w:hAnsiTheme="minorHAnsi" w:cs="Arial"/>
                <w:color w:val="231F20"/>
                <w:spacing w:val="40"/>
                <w:sz w:val="18"/>
                <w:szCs w:val="18"/>
              </w:rPr>
              <w:t xml:space="preserve"> </w:t>
            </w:r>
            <w:r w:rsidRPr="007544F0">
              <w:rPr>
                <w:rFonts w:asciiTheme="minorHAnsi" w:eastAsia="Arial" w:hAnsiTheme="minorHAnsi" w:cs="Arial"/>
                <w:color w:val="231F20"/>
                <w:sz w:val="18"/>
                <w:szCs w:val="18"/>
              </w:rPr>
              <w:t>muscle</w:t>
            </w:r>
            <w:r w:rsidRPr="007544F0">
              <w:rPr>
                <w:rFonts w:asciiTheme="minorHAnsi" w:eastAsia="Arial" w:hAnsiTheme="minorHAnsi" w:cs="Arial"/>
                <w:color w:val="231F20"/>
                <w:spacing w:val="14"/>
                <w:sz w:val="18"/>
                <w:szCs w:val="18"/>
              </w:rPr>
              <w:t xml:space="preserve"> </w:t>
            </w:r>
            <w:r w:rsidRPr="007544F0">
              <w:rPr>
                <w:rFonts w:asciiTheme="minorHAnsi" w:eastAsia="Arial" w:hAnsiTheme="minorHAnsi" w:cs="Arial"/>
                <w:color w:val="231F20"/>
                <w:sz w:val="18"/>
                <w:szCs w:val="18"/>
              </w:rPr>
              <w:t xml:space="preserve">with </w:t>
            </w:r>
            <w:r w:rsidRPr="007544F0">
              <w:rPr>
                <w:rFonts w:asciiTheme="minorHAnsi" w:eastAsia="Arial" w:hAnsiTheme="minorHAnsi" w:cs="Arial"/>
                <w:color w:val="231F20"/>
                <w:spacing w:val="1"/>
                <w:sz w:val="18"/>
                <w:szCs w:val="18"/>
              </w:rPr>
              <w:t xml:space="preserve"> </w:t>
            </w:r>
            <w:r w:rsidRPr="007544F0">
              <w:rPr>
                <w:rFonts w:asciiTheme="minorHAnsi" w:eastAsia="Arial" w:hAnsiTheme="minorHAnsi" w:cs="Arial"/>
                <w:color w:val="231F20"/>
                <w:w w:val="105"/>
                <w:sz w:val="18"/>
                <w:szCs w:val="18"/>
              </w:rPr>
              <w:t>NV</w:t>
            </w:r>
          </w:p>
          <w:p w:rsidR="00BB0659" w:rsidRPr="007544F0" w:rsidRDefault="00BB0659" w:rsidP="00413A54">
            <w:pPr>
              <w:spacing w:before="13" w:after="0"/>
              <w:ind w:left="120" w:right="-20"/>
              <w:rPr>
                <w:rFonts w:asciiTheme="minorHAnsi" w:eastAsia="Arial" w:hAnsiTheme="minorHAnsi" w:cs="Arial"/>
                <w:sz w:val="18"/>
                <w:szCs w:val="18"/>
              </w:rPr>
            </w:pPr>
            <w:r w:rsidRPr="007544F0">
              <w:rPr>
                <w:rFonts w:asciiTheme="minorHAnsi" w:eastAsia="Arial" w:hAnsiTheme="minorHAnsi" w:cs="Arial"/>
                <w:color w:val="231F20"/>
                <w:sz w:val="18"/>
                <w:szCs w:val="18"/>
              </w:rPr>
              <w:t>injur</w:t>
            </w:r>
            <w:r w:rsidRPr="007544F0">
              <w:rPr>
                <w:rFonts w:asciiTheme="minorHAnsi" w:eastAsia="Arial" w:hAnsiTheme="minorHAnsi" w:cs="Arial"/>
                <w:color w:val="231F20"/>
                <w:spacing w:val="-17"/>
                <w:sz w:val="18"/>
                <w:szCs w:val="18"/>
              </w:rPr>
              <w:t>y</w:t>
            </w:r>
            <w:r w:rsidRPr="007544F0">
              <w:rPr>
                <w:rFonts w:asciiTheme="minorHAnsi" w:eastAsia="Arial" w:hAnsiTheme="minorHAnsi" w:cs="Arial"/>
                <w:color w:val="231F20"/>
                <w:sz w:val="18"/>
                <w:szCs w:val="18"/>
              </w:rPr>
              <w:t>,</w:t>
            </w:r>
            <w:r w:rsidRPr="007544F0">
              <w:rPr>
                <w:rFonts w:asciiTheme="minorHAnsi" w:eastAsia="Arial" w:hAnsiTheme="minorHAnsi" w:cs="Arial"/>
                <w:color w:val="231F20"/>
                <w:spacing w:val="41"/>
                <w:sz w:val="18"/>
                <w:szCs w:val="18"/>
              </w:rPr>
              <w:t xml:space="preserve"> </w:t>
            </w:r>
            <w:r w:rsidRPr="007544F0">
              <w:rPr>
                <w:rFonts w:asciiTheme="minorHAnsi" w:eastAsia="Arial" w:hAnsiTheme="minorHAnsi" w:cs="Arial"/>
                <w:color w:val="231F20"/>
                <w:sz w:val="18"/>
                <w:szCs w:val="18"/>
              </w:rPr>
              <w:t>or</w:t>
            </w:r>
            <w:r w:rsidRPr="007544F0">
              <w:rPr>
                <w:rFonts w:asciiTheme="minorHAnsi" w:eastAsia="Arial" w:hAnsiTheme="minorHAnsi" w:cs="Arial"/>
                <w:color w:val="231F20"/>
                <w:spacing w:val="28"/>
                <w:sz w:val="18"/>
                <w:szCs w:val="18"/>
              </w:rPr>
              <w:t xml:space="preserve"> </w:t>
            </w:r>
            <w:r w:rsidRPr="007544F0">
              <w:rPr>
                <w:rFonts w:asciiTheme="minorHAnsi" w:eastAsia="Arial" w:hAnsiTheme="minorHAnsi" w:cs="Arial"/>
                <w:color w:val="231F20"/>
                <w:sz w:val="18"/>
                <w:szCs w:val="18"/>
              </w:rPr>
              <w:t xml:space="preserve">substantial </w:t>
            </w:r>
            <w:r w:rsidRPr="007544F0">
              <w:rPr>
                <w:rFonts w:asciiTheme="minorHAnsi" w:eastAsia="Arial" w:hAnsiTheme="minorHAnsi" w:cs="Arial"/>
                <w:color w:val="231F20"/>
                <w:spacing w:val="1"/>
                <w:sz w:val="18"/>
                <w:szCs w:val="18"/>
              </w:rPr>
              <w:t xml:space="preserve"> </w:t>
            </w:r>
            <w:r w:rsidRPr="007544F0">
              <w:rPr>
                <w:rFonts w:asciiTheme="minorHAnsi" w:eastAsia="Arial" w:hAnsiTheme="minorHAnsi" w:cs="Arial"/>
                <w:color w:val="231F20"/>
                <w:sz w:val="18"/>
                <w:szCs w:val="18"/>
              </w:rPr>
              <w:t xml:space="preserve">blood </w:t>
            </w:r>
            <w:r w:rsidRPr="007544F0">
              <w:rPr>
                <w:rFonts w:asciiTheme="minorHAnsi" w:eastAsia="Arial" w:hAnsiTheme="minorHAnsi" w:cs="Arial"/>
                <w:color w:val="231F20"/>
                <w:spacing w:val="11"/>
                <w:sz w:val="18"/>
                <w:szCs w:val="18"/>
              </w:rPr>
              <w:t xml:space="preserve"> </w:t>
            </w:r>
            <w:r w:rsidRPr="007544F0">
              <w:rPr>
                <w:rFonts w:asciiTheme="minorHAnsi" w:eastAsia="Arial" w:hAnsiTheme="minorHAnsi" w:cs="Arial"/>
                <w:color w:val="231F20"/>
                <w:sz w:val="18"/>
                <w:szCs w:val="18"/>
              </w:rPr>
              <w:t>loss</w:t>
            </w: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0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56" w:type="dxa"/>
            <w:tcBorders>
              <w:top w:val="single" w:sz="32" w:space="0" w:color="FFFFFF"/>
              <w:left w:val="single" w:sz="32" w:space="0" w:color="FFFFFF"/>
              <w:bottom w:val="nil"/>
              <w:right w:val="nil"/>
            </w:tcBorders>
            <w:shd w:val="clear" w:color="auto" w:fill="E6E7E8"/>
          </w:tcPr>
          <w:p w:rsidR="00BB0659" w:rsidRPr="007544F0" w:rsidRDefault="00BB0659" w:rsidP="00413A54">
            <w:pPr>
              <w:rPr>
                <w:rFonts w:asciiTheme="minorHAnsi" w:hAnsiTheme="minorHAnsi"/>
              </w:rPr>
            </w:pPr>
          </w:p>
        </w:tc>
      </w:tr>
      <w:tr w:rsidR="00BB0659" w:rsidRPr="007544F0" w:rsidTr="00413A54">
        <w:trPr>
          <w:trHeight w:hRule="exact" w:val="296"/>
        </w:trPr>
        <w:tc>
          <w:tcPr>
            <w:tcW w:w="3264" w:type="dxa"/>
            <w:tcBorders>
              <w:top w:val="nil"/>
              <w:left w:val="nil"/>
              <w:bottom w:val="nil"/>
              <w:right w:val="single" w:sz="32" w:space="0" w:color="FFFFFF"/>
            </w:tcBorders>
            <w:shd w:val="clear" w:color="auto" w:fill="D5D7D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w w:val="104"/>
                <w:sz w:val="18"/>
                <w:szCs w:val="18"/>
              </w:rPr>
              <w:t>initial</w:t>
            </w: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95" w:right="-20"/>
              <w:rPr>
                <w:rFonts w:asciiTheme="minorHAnsi" w:eastAsia="Arial" w:hAnsiTheme="minorHAnsi" w:cs="Arial"/>
                <w:sz w:val="18"/>
                <w:szCs w:val="18"/>
              </w:rPr>
            </w:pPr>
            <w:r w:rsidRPr="007544F0">
              <w:rPr>
                <w:rFonts w:asciiTheme="minorHAnsi" w:eastAsia="Arial" w:hAnsiTheme="minorHAnsi" w:cs="Arial"/>
                <w:color w:val="231F20"/>
                <w:sz w:val="18"/>
                <w:szCs w:val="18"/>
              </w:rPr>
              <w:t>80–100</w:t>
            </w:r>
          </w:p>
        </w:tc>
        <w:tc>
          <w:tcPr>
            <w:tcW w:w="250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1031" w:right="1011"/>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1–2</w:t>
            </w: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60–80</w:t>
            </w:r>
          </w:p>
        </w:tc>
        <w:tc>
          <w:tcPr>
            <w:tcW w:w="2556" w:type="dxa"/>
            <w:tcBorders>
              <w:top w:val="nil"/>
              <w:left w:val="single" w:sz="32" w:space="0" w:color="FFFFFF"/>
              <w:bottom w:val="nil"/>
              <w:right w:val="nil"/>
            </w:tcBorders>
            <w:shd w:val="clear" w:color="auto" w:fill="D5D7D8"/>
          </w:tcPr>
          <w:p w:rsidR="00BB0659" w:rsidRPr="007544F0" w:rsidRDefault="00BB0659" w:rsidP="00413A54">
            <w:pPr>
              <w:spacing w:before="47" w:after="0"/>
              <w:ind w:left="1059" w:right="1079"/>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1–2</w:t>
            </w:r>
          </w:p>
        </w:tc>
      </w:tr>
      <w:tr w:rsidR="00BB0659" w:rsidRPr="007544F0" w:rsidTr="00413A54">
        <w:trPr>
          <w:trHeight w:hRule="exact" w:val="816"/>
        </w:trPr>
        <w:tc>
          <w:tcPr>
            <w:tcW w:w="3264" w:type="dxa"/>
            <w:tcBorders>
              <w:top w:val="nil"/>
              <w:left w:val="nil"/>
              <w:bottom w:val="single" w:sz="32" w:space="0" w:color="FFFFFF"/>
              <w:right w:val="single" w:sz="32" w:space="0" w:color="FFFFFF"/>
            </w:tcBorders>
            <w:shd w:val="clear" w:color="auto" w:fill="E6E7E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sz w:val="18"/>
                <w:szCs w:val="18"/>
              </w:rPr>
              <w:t>maintenance</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30–60</w:t>
            </w:r>
          </w:p>
        </w:tc>
        <w:tc>
          <w:tcPr>
            <w:tcW w:w="250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line="255" w:lineRule="auto"/>
              <w:ind w:left="158" w:right="138"/>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3–5,</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sometimes</w:t>
            </w:r>
            <w:r w:rsidRPr="007544F0">
              <w:rPr>
                <w:rFonts w:asciiTheme="minorHAnsi" w:eastAsia="Arial" w:hAnsiTheme="minorHAnsi" w:cs="Arial"/>
                <w:color w:val="231F20"/>
                <w:spacing w:val="5"/>
                <w:sz w:val="18"/>
                <w:szCs w:val="18"/>
              </w:rPr>
              <w:t xml:space="preserve"> </w:t>
            </w:r>
            <w:r w:rsidRPr="007544F0">
              <w:rPr>
                <w:rFonts w:asciiTheme="minorHAnsi" w:eastAsia="Arial" w:hAnsiTheme="minorHAnsi" w:cs="Arial"/>
                <w:color w:val="231F20"/>
                <w:sz w:val="18"/>
                <w:szCs w:val="18"/>
              </w:rPr>
              <w:t>longer</w:t>
            </w:r>
            <w:r w:rsidRPr="007544F0">
              <w:rPr>
                <w:rFonts w:asciiTheme="minorHAnsi" w:eastAsia="Arial" w:hAnsiTheme="minorHAnsi" w:cs="Arial"/>
                <w:color w:val="231F20"/>
                <w:spacing w:val="25"/>
                <w:sz w:val="18"/>
                <w:szCs w:val="18"/>
              </w:rPr>
              <w:t xml:space="preserve"> </w:t>
            </w:r>
            <w:r w:rsidRPr="007544F0">
              <w:rPr>
                <w:rFonts w:asciiTheme="minorHAnsi" w:eastAsia="Arial" w:hAnsiTheme="minorHAnsi" w:cs="Arial"/>
                <w:color w:val="231F20"/>
                <w:w w:val="89"/>
                <w:sz w:val="18"/>
                <w:szCs w:val="18"/>
              </w:rPr>
              <w:t xml:space="preserve">as </w:t>
            </w:r>
            <w:r w:rsidRPr="007544F0">
              <w:rPr>
                <w:rFonts w:asciiTheme="minorHAnsi" w:eastAsia="Arial" w:hAnsiTheme="minorHAnsi" w:cs="Arial"/>
                <w:color w:val="231F20"/>
                <w:sz w:val="18"/>
                <w:szCs w:val="18"/>
              </w:rPr>
              <w:t>secondary</w:t>
            </w:r>
            <w:r w:rsidRPr="007544F0">
              <w:rPr>
                <w:rFonts w:asciiTheme="minorHAnsi" w:eastAsia="Arial" w:hAnsiTheme="minorHAnsi" w:cs="Arial"/>
                <w:color w:val="231F20"/>
                <w:spacing w:val="-3"/>
                <w:sz w:val="18"/>
                <w:szCs w:val="18"/>
              </w:rPr>
              <w:t xml:space="preserve"> </w:t>
            </w:r>
            <w:r w:rsidRPr="007544F0">
              <w:rPr>
                <w:rFonts w:asciiTheme="minorHAnsi" w:eastAsia="Arial" w:hAnsiTheme="minorHAnsi" w:cs="Arial"/>
                <w:color w:val="231F20"/>
                <w:w w:val="108"/>
                <w:sz w:val="18"/>
                <w:szCs w:val="18"/>
              </w:rPr>
              <w:t>p</w:t>
            </w:r>
            <w:r w:rsidRPr="007544F0">
              <w:rPr>
                <w:rFonts w:asciiTheme="minorHAnsi" w:eastAsia="Arial" w:hAnsiTheme="minorHAnsi" w:cs="Arial"/>
                <w:color w:val="231F20"/>
                <w:spacing w:val="-3"/>
                <w:w w:val="108"/>
                <w:sz w:val="18"/>
                <w:szCs w:val="18"/>
              </w:rPr>
              <w:t>r</w:t>
            </w:r>
            <w:r w:rsidRPr="007544F0">
              <w:rPr>
                <w:rFonts w:asciiTheme="minorHAnsi" w:eastAsia="Arial" w:hAnsiTheme="minorHAnsi" w:cs="Arial"/>
                <w:color w:val="231F20"/>
                <w:sz w:val="18"/>
                <w:szCs w:val="18"/>
              </w:rPr>
              <w:t>ophylaxis during</w:t>
            </w:r>
            <w:r w:rsidRPr="007544F0">
              <w:rPr>
                <w:rFonts w:asciiTheme="minorHAnsi" w:eastAsia="Arial" w:hAnsiTheme="minorHAnsi" w:cs="Arial"/>
                <w:color w:val="231F20"/>
                <w:spacing w:val="30"/>
                <w:sz w:val="18"/>
                <w:szCs w:val="18"/>
              </w:rPr>
              <w:t xml:space="preserve"> </w:t>
            </w:r>
            <w:r w:rsidRPr="007544F0">
              <w:rPr>
                <w:rFonts w:asciiTheme="minorHAnsi" w:eastAsia="Arial" w:hAnsiTheme="minorHAnsi" w:cs="Arial"/>
                <w:color w:val="231F20"/>
                <w:w w:val="101"/>
                <w:sz w:val="18"/>
                <w:szCs w:val="18"/>
              </w:rPr>
              <w:t>physiotherapy</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30–60</w:t>
            </w:r>
          </w:p>
        </w:tc>
        <w:tc>
          <w:tcPr>
            <w:tcW w:w="2556" w:type="dxa"/>
            <w:tcBorders>
              <w:top w:val="nil"/>
              <w:left w:val="single" w:sz="32" w:space="0" w:color="FFFFFF"/>
              <w:bottom w:val="single" w:sz="32" w:space="0" w:color="FFFFFF"/>
              <w:right w:val="nil"/>
            </w:tcBorders>
            <w:shd w:val="clear" w:color="auto" w:fill="E6E7E8"/>
          </w:tcPr>
          <w:p w:rsidR="00BB0659" w:rsidRPr="007544F0" w:rsidRDefault="00BB0659" w:rsidP="00413A54">
            <w:pPr>
              <w:spacing w:before="47" w:after="0" w:line="255" w:lineRule="auto"/>
              <w:ind w:left="186" w:right="20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3–5,</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sometimes</w:t>
            </w:r>
            <w:r w:rsidRPr="007544F0">
              <w:rPr>
                <w:rFonts w:asciiTheme="minorHAnsi" w:eastAsia="Arial" w:hAnsiTheme="minorHAnsi" w:cs="Arial"/>
                <w:color w:val="231F20"/>
                <w:spacing w:val="5"/>
                <w:sz w:val="18"/>
                <w:szCs w:val="18"/>
              </w:rPr>
              <w:t xml:space="preserve"> </w:t>
            </w:r>
            <w:r w:rsidRPr="007544F0">
              <w:rPr>
                <w:rFonts w:asciiTheme="minorHAnsi" w:eastAsia="Arial" w:hAnsiTheme="minorHAnsi" w:cs="Arial"/>
                <w:color w:val="231F20"/>
                <w:sz w:val="18"/>
                <w:szCs w:val="18"/>
              </w:rPr>
              <w:t>longer</w:t>
            </w:r>
            <w:r w:rsidRPr="007544F0">
              <w:rPr>
                <w:rFonts w:asciiTheme="minorHAnsi" w:eastAsia="Arial" w:hAnsiTheme="minorHAnsi" w:cs="Arial"/>
                <w:color w:val="231F20"/>
                <w:spacing w:val="25"/>
                <w:sz w:val="18"/>
                <w:szCs w:val="18"/>
              </w:rPr>
              <w:t xml:space="preserve"> </w:t>
            </w:r>
            <w:r w:rsidRPr="007544F0">
              <w:rPr>
                <w:rFonts w:asciiTheme="minorHAnsi" w:eastAsia="Arial" w:hAnsiTheme="minorHAnsi" w:cs="Arial"/>
                <w:color w:val="231F20"/>
                <w:w w:val="89"/>
                <w:sz w:val="18"/>
                <w:szCs w:val="18"/>
              </w:rPr>
              <w:t xml:space="preserve">as </w:t>
            </w:r>
            <w:r w:rsidRPr="007544F0">
              <w:rPr>
                <w:rFonts w:asciiTheme="minorHAnsi" w:eastAsia="Arial" w:hAnsiTheme="minorHAnsi" w:cs="Arial"/>
                <w:color w:val="231F20"/>
                <w:sz w:val="18"/>
                <w:szCs w:val="18"/>
              </w:rPr>
              <w:t>secondary</w:t>
            </w:r>
            <w:r w:rsidRPr="007544F0">
              <w:rPr>
                <w:rFonts w:asciiTheme="minorHAnsi" w:eastAsia="Arial" w:hAnsiTheme="minorHAnsi" w:cs="Arial"/>
                <w:color w:val="231F20"/>
                <w:spacing w:val="-3"/>
                <w:sz w:val="18"/>
                <w:szCs w:val="18"/>
              </w:rPr>
              <w:t xml:space="preserve"> </w:t>
            </w:r>
            <w:r w:rsidRPr="007544F0">
              <w:rPr>
                <w:rFonts w:asciiTheme="minorHAnsi" w:eastAsia="Arial" w:hAnsiTheme="minorHAnsi" w:cs="Arial"/>
                <w:color w:val="231F20"/>
                <w:w w:val="108"/>
                <w:sz w:val="18"/>
                <w:szCs w:val="18"/>
              </w:rPr>
              <w:t>p</w:t>
            </w:r>
            <w:r w:rsidRPr="007544F0">
              <w:rPr>
                <w:rFonts w:asciiTheme="minorHAnsi" w:eastAsia="Arial" w:hAnsiTheme="minorHAnsi" w:cs="Arial"/>
                <w:color w:val="231F20"/>
                <w:spacing w:val="-3"/>
                <w:w w:val="108"/>
                <w:sz w:val="18"/>
                <w:szCs w:val="18"/>
              </w:rPr>
              <w:t>r</w:t>
            </w:r>
            <w:r w:rsidRPr="007544F0">
              <w:rPr>
                <w:rFonts w:asciiTheme="minorHAnsi" w:eastAsia="Arial" w:hAnsiTheme="minorHAnsi" w:cs="Arial"/>
                <w:color w:val="231F20"/>
                <w:sz w:val="18"/>
                <w:szCs w:val="18"/>
              </w:rPr>
              <w:t>ophylaxis during</w:t>
            </w:r>
            <w:r w:rsidRPr="007544F0">
              <w:rPr>
                <w:rFonts w:asciiTheme="minorHAnsi" w:eastAsia="Arial" w:hAnsiTheme="minorHAnsi" w:cs="Arial"/>
                <w:color w:val="231F20"/>
                <w:spacing w:val="30"/>
                <w:sz w:val="18"/>
                <w:szCs w:val="18"/>
              </w:rPr>
              <w:t xml:space="preserve"> </w:t>
            </w:r>
            <w:r w:rsidRPr="007544F0">
              <w:rPr>
                <w:rFonts w:asciiTheme="minorHAnsi" w:eastAsia="Arial" w:hAnsiTheme="minorHAnsi" w:cs="Arial"/>
                <w:color w:val="231F20"/>
                <w:w w:val="101"/>
                <w:sz w:val="18"/>
                <w:szCs w:val="18"/>
              </w:rPr>
              <w:t>physiotherapy</w:t>
            </w:r>
          </w:p>
        </w:tc>
      </w:tr>
      <w:tr w:rsidR="00BB0659" w:rsidRPr="007544F0" w:rsidTr="00413A54">
        <w:trPr>
          <w:trHeight w:hRule="exact" w:val="416"/>
        </w:trPr>
        <w:tc>
          <w:tcPr>
            <w:tcW w:w="3264" w:type="dxa"/>
            <w:tcBorders>
              <w:top w:val="single" w:sz="32" w:space="0" w:color="FFFFFF"/>
              <w:left w:val="nil"/>
              <w:bottom w:val="nil"/>
              <w:right w:val="single" w:sz="32" w:space="0" w:color="FFFFFF"/>
            </w:tcBorders>
            <w:shd w:val="clear" w:color="auto" w:fill="E6E7E8"/>
          </w:tcPr>
          <w:p w:rsidR="00BB0659" w:rsidRPr="007544F0" w:rsidRDefault="00BB0659" w:rsidP="00413A54">
            <w:pPr>
              <w:spacing w:before="87" w:after="0"/>
              <w:ind w:left="120" w:right="-20"/>
              <w:rPr>
                <w:rFonts w:asciiTheme="minorHAnsi" w:eastAsia="Arial" w:hAnsiTheme="minorHAnsi" w:cs="Arial"/>
                <w:sz w:val="18"/>
                <w:szCs w:val="18"/>
              </w:rPr>
            </w:pPr>
            <w:r w:rsidRPr="007544F0">
              <w:rPr>
                <w:rFonts w:asciiTheme="minorHAnsi" w:eastAsia="Arial" w:hAnsiTheme="minorHAnsi" w:cs="Arial"/>
                <w:color w:val="231F20"/>
                <w:w w:val="103"/>
                <w:sz w:val="18"/>
                <w:szCs w:val="18"/>
              </w:rPr>
              <w:t>CNS/head</w:t>
            </w: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0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56" w:type="dxa"/>
            <w:tcBorders>
              <w:top w:val="single" w:sz="32" w:space="0" w:color="FFFFFF"/>
              <w:left w:val="single" w:sz="32" w:space="0" w:color="FFFFFF"/>
              <w:bottom w:val="nil"/>
              <w:right w:val="nil"/>
            </w:tcBorders>
            <w:shd w:val="clear" w:color="auto" w:fill="E6E7E8"/>
          </w:tcPr>
          <w:p w:rsidR="00BB0659" w:rsidRPr="007544F0" w:rsidRDefault="00BB0659" w:rsidP="00413A54">
            <w:pPr>
              <w:rPr>
                <w:rFonts w:asciiTheme="minorHAnsi" w:hAnsiTheme="minorHAnsi"/>
              </w:rPr>
            </w:pPr>
          </w:p>
        </w:tc>
      </w:tr>
      <w:tr w:rsidR="00BB0659" w:rsidRPr="007544F0" w:rsidTr="00413A54">
        <w:trPr>
          <w:trHeight w:hRule="exact" w:val="296"/>
        </w:trPr>
        <w:tc>
          <w:tcPr>
            <w:tcW w:w="3264" w:type="dxa"/>
            <w:tcBorders>
              <w:top w:val="nil"/>
              <w:left w:val="nil"/>
              <w:bottom w:val="nil"/>
              <w:right w:val="single" w:sz="32" w:space="0" w:color="FFFFFF"/>
            </w:tcBorders>
            <w:shd w:val="clear" w:color="auto" w:fill="D5D7D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w w:val="104"/>
                <w:sz w:val="18"/>
                <w:szCs w:val="18"/>
              </w:rPr>
              <w:t>initial</w:t>
            </w: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95" w:right="-20"/>
              <w:rPr>
                <w:rFonts w:asciiTheme="minorHAnsi" w:eastAsia="Arial" w:hAnsiTheme="minorHAnsi" w:cs="Arial"/>
                <w:sz w:val="18"/>
                <w:szCs w:val="18"/>
              </w:rPr>
            </w:pPr>
            <w:r w:rsidRPr="007544F0">
              <w:rPr>
                <w:rFonts w:asciiTheme="minorHAnsi" w:eastAsia="Arial" w:hAnsiTheme="minorHAnsi" w:cs="Arial"/>
                <w:color w:val="231F20"/>
                <w:sz w:val="18"/>
                <w:szCs w:val="18"/>
              </w:rPr>
              <w:t>80–100</w:t>
            </w:r>
          </w:p>
        </w:tc>
        <w:tc>
          <w:tcPr>
            <w:tcW w:w="250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1031" w:right="1011"/>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1–7</w:t>
            </w: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60–80</w:t>
            </w:r>
          </w:p>
        </w:tc>
        <w:tc>
          <w:tcPr>
            <w:tcW w:w="2556" w:type="dxa"/>
            <w:tcBorders>
              <w:top w:val="nil"/>
              <w:left w:val="single" w:sz="32" w:space="0" w:color="FFFFFF"/>
              <w:bottom w:val="nil"/>
              <w:right w:val="nil"/>
            </w:tcBorders>
            <w:shd w:val="clear" w:color="auto" w:fill="D5D7D8"/>
          </w:tcPr>
          <w:p w:rsidR="00BB0659" w:rsidRPr="007544F0" w:rsidRDefault="00BB0659" w:rsidP="00413A54">
            <w:pPr>
              <w:spacing w:before="47" w:after="0"/>
              <w:ind w:left="1059" w:right="1079"/>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1–7</w:t>
            </w:r>
          </w:p>
        </w:tc>
      </w:tr>
      <w:tr w:rsidR="00BB0659" w:rsidRPr="007544F0" w:rsidTr="00413A54">
        <w:trPr>
          <w:trHeight w:hRule="exact" w:val="376"/>
        </w:trPr>
        <w:tc>
          <w:tcPr>
            <w:tcW w:w="3264" w:type="dxa"/>
            <w:tcBorders>
              <w:top w:val="nil"/>
              <w:left w:val="nil"/>
              <w:bottom w:val="single" w:sz="32" w:space="0" w:color="FFFFFF"/>
              <w:right w:val="single" w:sz="32" w:space="0" w:color="FFFFFF"/>
            </w:tcBorders>
            <w:shd w:val="clear" w:color="auto" w:fill="E6E7E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sz w:val="18"/>
                <w:szCs w:val="18"/>
              </w:rPr>
              <w:t>maintenance</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256" w:right="23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50</w:t>
            </w:r>
          </w:p>
        </w:tc>
        <w:tc>
          <w:tcPr>
            <w:tcW w:w="250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981" w:right="961"/>
              <w:jc w:val="center"/>
              <w:rPr>
                <w:rFonts w:asciiTheme="minorHAnsi" w:eastAsia="Arial" w:hAnsiTheme="minorHAnsi" w:cs="Arial"/>
                <w:sz w:val="18"/>
                <w:szCs w:val="18"/>
              </w:rPr>
            </w:pPr>
            <w:r w:rsidRPr="007544F0">
              <w:rPr>
                <w:rFonts w:asciiTheme="minorHAnsi" w:eastAsia="Arial" w:hAnsiTheme="minorHAnsi" w:cs="Arial"/>
                <w:color w:val="231F20"/>
                <w:w w:val="97"/>
                <w:sz w:val="18"/>
                <w:szCs w:val="18"/>
              </w:rPr>
              <w:t>8–21</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256" w:right="23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30</w:t>
            </w:r>
          </w:p>
        </w:tc>
        <w:tc>
          <w:tcPr>
            <w:tcW w:w="2556" w:type="dxa"/>
            <w:tcBorders>
              <w:top w:val="nil"/>
              <w:left w:val="single" w:sz="32" w:space="0" w:color="FFFFFF"/>
              <w:bottom w:val="single" w:sz="32" w:space="0" w:color="FFFFFF"/>
              <w:right w:val="nil"/>
            </w:tcBorders>
            <w:shd w:val="clear" w:color="auto" w:fill="E6E7E8"/>
          </w:tcPr>
          <w:p w:rsidR="00BB0659" w:rsidRPr="007544F0" w:rsidRDefault="00BB0659" w:rsidP="00413A54">
            <w:pPr>
              <w:spacing w:before="47" w:after="0"/>
              <w:ind w:left="1009" w:right="1029"/>
              <w:jc w:val="center"/>
              <w:rPr>
                <w:rFonts w:asciiTheme="minorHAnsi" w:eastAsia="Arial" w:hAnsiTheme="minorHAnsi" w:cs="Arial"/>
                <w:sz w:val="18"/>
                <w:szCs w:val="18"/>
              </w:rPr>
            </w:pPr>
            <w:r w:rsidRPr="007544F0">
              <w:rPr>
                <w:rFonts w:asciiTheme="minorHAnsi" w:eastAsia="Arial" w:hAnsiTheme="minorHAnsi" w:cs="Arial"/>
                <w:color w:val="231F20"/>
                <w:w w:val="97"/>
                <w:sz w:val="18"/>
                <w:szCs w:val="18"/>
              </w:rPr>
              <w:t>8–21</w:t>
            </w:r>
          </w:p>
        </w:tc>
      </w:tr>
      <w:tr w:rsidR="00BB0659" w:rsidRPr="007544F0" w:rsidTr="00413A54">
        <w:trPr>
          <w:trHeight w:hRule="exact" w:val="416"/>
        </w:trPr>
        <w:tc>
          <w:tcPr>
            <w:tcW w:w="3264" w:type="dxa"/>
            <w:tcBorders>
              <w:top w:val="single" w:sz="32" w:space="0" w:color="FFFFFF"/>
              <w:left w:val="nil"/>
              <w:bottom w:val="nil"/>
              <w:right w:val="single" w:sz="32" w:space="0" w:color="FFFFFF"/>
            </w:tcBorders>
            <w:shd w:val="clear" w:color="auto" w:fill="E6E7E8"/>
          </w:tcPr>
          <w:p w:rsidR="00BB0659" w:rsidRPr="007544F0" w:rsidRDefault="00BB0659" w:rsidP="00413A54">
            <w:pPr>
              <w:spacing w:before="87" w:after="0"/>
              <w:ind w:left="120" w:right="-20"/>
              <w:rPr>
                <w:rFonts w:asciiTheme="minorHAnsi" w:eastAsia="Arial" w:hAnsiTheme="minorHAnsi" w:cs="Arial"/>
                <w:sz w:val="18"/>
                <w:szCs w:val="18"/>
              </w:rPr>
            </w:pPr>
            <w:r w:rsidRPr="007544F0">
              <w:rPr>
                <w:rFonts w:asciiTheme="minorHAnsi" w:eastAsia="Arial" w:hAnsiTheme="minorHAnsi" w:cs="Arial"/>
                <w:color w:val="231F20"/>
                <w:sz w:val="18"/>
                <w:szCs w:val="18"/>
              </w:rPr>
              <w:t>Th</w:t>
            </w:r>
            <w:r w:rsidRPr="007544F0">
              <w:rPr>
                <w:rFonts w:asciiTheme="minorHAnsi" w:eastAsia="Arial" w:hAnsiTheme="minorHAnsi" w:cs="Arial"/>
                <w:color w:val="231F20"/>
                <w:spacing w:val="-3"/>
                <w:sz w:val="18"/>
                <w:szCs w:val="18"/>
              </w:rPr>
              <w:t>r</w:t>
            </w:r>
            <w:r w:rsidRPr="007544F0">
              <w:rPr>
                <w:rFonts w:asciiTheme="minorHAnsi" w:eastAsia="Arial" w:hAnsiTheme="minorHAnsi" w:cs="Arial"/>
                <w:color w:val="231F20"/>
                <w:sz w:val="18"/>
                <w:szCs w:val="18"/>
              </w:rPr>
              <w:t>oat</w:t>
            </w:r>
            <w:r w:rsidRPr="007544F0">
              <w:rPr>
                <w:rFonts w:asciiTheme="minorHAnsi" w:eastAsia="Arial" w:hAnsiTheme="minorHAnsi" w:cs="Arial"/>
                <w:color w:val="231F20"/>
                <w:spacing w:val="38"/>
                <w:sz w:val="18"/>
                <w:szCs w:val="18"/>
              </w:rPr>
              <w:t xml:space="preserve"> </w:t>
            </w:r>
            <w:r w:rsidRPr="007544F0">
              <w:rPr>
                <w:rFonts w:asciiTheme="minorHAnsi" w:eastAsia="Arial" w:hAnsiTheme="minorHAnsi" w:cs="Arial"/>
                <w:color w:val="231F20"/>
                <w:sz w:val="18"/>
                <w:szCs w:val="18"/>
              </w:rPr>
              <w:t>and</w:t>
            </w:r>
            <w:r w:rsidRPr="007544F0">
              <w:rPr>
                <w:rFonts w:asciiTheme="minorHAnsi" w:eastAsia="Arial" w:hAnsiTheme="minorHAnsi" w:cs="Arial"/>
                <w:color w:val="231F20"/>
                <w:spacing w:val="21"/>
                <w:sz w:val="18"/>
                <w:szCs w:val="18"/>
              </w:rPr>
              <w:t xml:space="preserve"> </w:t>
            </w:r>
            <w:r w:rsidRPr="007544F0">
              <w:rPr>
                <w:rFonts w:asciiTheme="minorHAnsi" w:eastAsia="Arial" w:hAnsiTheme="minorHAnsi" w:cs="Arial"/>
                <w:color w:val="231F20"/>
                <w:w w:val="102"/>
                <w:sz w:val="18"/>
                <w:szCs w:val="18"/>
              </w:rPr>
              <w:t>neck</w:t>
            </w: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0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56" w:type="dxa"/>
            <w:tcBorders>
              <w:top w:val="single" w:sz="32" w:space="0" w:color="FFFFFF"/>
              <w:left w:val="single" w:sz="32" w:space="0" w:color="FFFFFF"/>
              <w:bottom w:val="nil"/>
              <w:right w:val="nil"/>
            </w:tcBorders>
            <w:shd w:val="clear" w:color="auto" w:fill="E6E7E8"/>
          </w:tcPr>
          <w:p w:rsidR="00BB0659" w:rsidRPr="007544F0" w:rsidRDefault="00BB0659" w:rsidP="00413A54">
            <w:pPr>
              <w:rPr>
                <w:rFonts w:asciiTheme="minorHAnsi" w:hAnsiTheme="minorHAnsi"/>
              </w:rPr>
            </w:pPr>
          </w:p>
        </w:tc>
      </w:tr>
      <w:tr w:rsidR="00BB0659" w:rsidRPr="007544F0" w:rsidTr="00413A54">
        <w:trPr>
          <w:trHeight w:hRule="exact" w:val="296"/>
        </w:trPr>
        <w:tc>
          <w:tcPr>
            <w:tcW w:w="3264" w:type="dxa"/>
            <w:tcBorders>
              <w:top w:val="nil"/>
              <w:left w:val="nil"/>
              <w:bottom w:val="nil"/>
              <w:right w:val="single" w:sz="32" w:space="0" w:color="FFFFFF"/>
            </w:tcBorders>
            <w:shd w:val="clear" w:color="auto" w:fill="D5D7D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w w:val="104"/>
                <w:sz w:val="18"/>
                <w:szCs w:val="18"/>
              </w:rPr>
              <w:t>initial</w:t>
            </w: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95" w:right="-20"/>
              <w:rPr>
                <w:rFonts w:asciiTheme="minorHAnsi" w:eastAsia="Arial" w:hAnsiTheme="minorHAnsi" w:cs="Arial"/>
                <w:sz w:val="18"/>
                <w:szCs w:val="18"/>
              </w:rPr>
            </w:pPr>
            <w:r w:rsidRPr="007544F0">
              <w:rPr>
                <w:rFonts w:asciiTheme="minorHAnsi" w:eastAsia="Arial" w:hAnsiTheme="minorHAnsi" w:cs="Arial"/>
                <w:color w:val="231F20"/>
                <w:sz w:val="18"/>
                <w:szCs w:val="18"/>
              </w:rPr>
              <w:t>80–100</w:t>
            </w:r>
          </w:p>
        </w:tc>
        <w:tc>
          <w:tcPr>
            <w:tcW w:w="250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1031" w:right="1011"/>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1–7</w:t>
            </w: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60–80</w:t>
            </w:r>
          </w:p>
        </w:tc>
        <w:tc>
          <w:tcPr>
            <w:tcW w:w="2556" w:type="dxa"/>
            <w:tcBorders>
              <w:top w:val="nil"/>
              <w:left w:val="single" w:sz="32" w:space="0" w:color="FFFFFF"/>
              <w:bottom w:val="nil"/>
              <w:right w:val="nil"/>
            </w:tcBorders>
            <w:shd w:val="clear" w:color="auto" w:fill="D5D7D8"/>
          </w:tcPr>
          <w:p w:rsidR="00BB0659" w:rsidRPr="007544F0" w:rsidRDefault="00BB0659" w:rsidP="00413A54">
            <w:pPr>
              <w:spacing w:before="47" w:after="0"/>
              <w:ind w:left="1059" w:right="1079"/>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1–7</w:t>
            </w:r>
          </w:p>
        </w:tc>
      </w:tr>
      <w:tr w:rsidR="00BB0659" w:rsidRPr="007544F0" w:rsidTr="00413A54">
        <w:trPr>
          <w:trHeight w:hRule="exact" w:val="376"/>
        </w:trPr>
        <w:tc>
          <w:tcPr>
            <w:tcW w:w="3264" w:type="dxa"/>
            <w:tcBorders>
              <w:top w:val="nil"/>
              <w:left w:val="nil"/>
              <w:bottom w:val="single" w:sz="32" w:space="0" w:color="FFFFFF"/>
              <w:right w:val="single" w:sz="32" w:space="0" w:color="FFFFFF"/>
            </w:tcBorders>
            <w:shd w:val="clear" w:color="auto" w:fill="E6E7E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sz w:val="18"/>
                <w:szCs w:val="18"/>
              </w:rPr>
              <w:t>maintenance</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256" w:right="23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50</w:t>
            </w:r>
          </w:p>
        </w:tc>
        <w:tc>
          <w:tcPr>
            <w:tcW w:w="250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981" w:right="961"/>
              <w:jc w:val="center"/>
              <w:rPr>
                <w:rFonts w:asciiTheme="minorHAnsi" w:eastAsia="Arial" w:hAnsiTheme="minorHAnsi" w:cs="Arial"/>
                <w:sz w:val="18"/>
                <w:szCs w:val="18"/>
              </w:rPr>
            </w:pPr>
            <w:r w:rsidRPr="007544F0">
              <w:rPr>
                <w:rFonts w:asciiTheme="minorHAnsi" w:eastAsia="Arial" w:hAnsiTheme="minorHAnsi" w:cs="Arial"/>
                <w:color w:val="231F20"/>
                <w:w w:val="97"/>
                <w:sz w:val="18"/>
                <w:szCs w:val="18"/>
              </w:rPr>
              <w:t>8–14</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256" w:right="23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30</w:t>
            </w:r>
          </w:p>
        </w:tc>
        <w:tc>
          <w:tcPr>
            <w:tcW w:w="2556" w:type="dxa"/>
            <w:tcBorders>
              <w:top w:val="nil"/>
              <w:left w:val="single" w:sz="32" w:space="0" w:color="FFFFFF"/>
              <w:bottom w:val="single" w:sz="32" w:space="0" w:color="FFFFFF"/>
              <w:right w:val="nil"/>
            </w:tcBorders>
            <w:shd w:val="clear" w:color="auto" w:fill="E6E7E8"/>
          </w:tcPr>
          <w:p w:rsidR="00BB0659" w:rsidRPr="007544F0" w:rsidRDefault="00BB0659" w:rsidP="00413A54">
            <w:pPr>
              <w:spacing w:before="47" w:after="0"/>
              <w:ind w:left="1009" w:right="1029"/>
              <w:jc w:val="center"/>
              <w:rPr>
                <w:rFonts w:asciiTheme="minorHAnsi" w:eastAsia="Arial" w:hAnsiTheme="minorHAnsi" w:cs="Arial"/>
                <w:sz w:val="18"/>
                <w:szCs w:val="18"/>
              </w:rPr>
            </w:pPr>
            <w:r w:rsidRPr="007544F0">
              <w:rPr>
                <w:rFonts w:asciiTheme="minorHAnsi" w:eastAsia="Arial" w:hAnsiTheme="minorHAnsi" w:cs="Arial"/>
                <w:color w:val="231F20"/>
                <w:w w:val="97"/>
                <w:sz w:val="18"/>
                <w:szCs w:val="18"/>
              </w:rPr>
              <w:t>8–14</w:t>
            </w:r>
          </w:p>
        </w:tc>
      </w:tr>
      <w:tr w:rsidR="00BB0659" w:rsidRPr="007544F0" w:rsidTr="00413A54">
        <w:trPr>
          <w:trHeight w:hRule="exact" w:val="416"/>
        </w:trPr>
        <w:tc>
          <w:tcPr>
            <w:tcW w:w="3264" w:type="dxa"/>
            <w:tcBorders>
              <w:top w:val="single" w:sz="32" w:space="0" w:color="FFFFFF"/>
              <w:left w:val="nil"/>
              <w:bottom w:val="nil"/>
              <w:right w:val="single" w:sz="32" w:space="0" w:color="FFFFFF"/>
            </w:tcBorders>
            <w:shd w:val="clear" w:color="auto" w:fill="E6E7E8"/>
          </w:tcPr>
          <w:p w:rsidR="00BB0659" w:rsidRPr="007544F0" w:rsidRDefault="00BB0659" w:rsidP="00413A54">
            <w:pPr>
              <w:spacing w:before="87" w:after="0"/>
              <w:ind w:left="120" w:right="-20"/>
              <w:rPr>
                <w:rFonts w:asciiTheme="minorHAnsi" w:eastAsia="Arial" w:hAnsiTheme="minorHAnsi" w:cs="Arial"/>
                <w:sz w:val="18"/>
                <w:szCs w:val="18"/>
              </w:rPr>
            </w:pPr>
            <w:r w:rsidRPr="007544F0">
              <w:rPr>
                <w:rFonts w:asciiTheme="minorHAnsi" w:eastAsia="Arial" w:hAnsiTheme="minorHAnsi" w:cs="Arial"/>
                <w:color w:val="231F20"/>
                <w:w w:val="103"/>
                <w:sz w:val="18"/>
                <w:szCs w:val="18"/>
              </w:rPr>
              <w:t>Gast</w:t>
            </w:r>
            <w:r w:rsidRPr="007544F0">
              <w:rPr>
                <w:rFonts w:asciiTheme="minorHAnsi" w:eastAsia="Arial" w:hAnsiTheme="minorHAnsi" w:cs="Arial"/>
                <w:color w:val="231F20"/>
                <w:spacing w:val="-3"/>
                <w:w w:val="103"/>
                <w:sz w:val="18"/>
                <w:szCs w:val="18"/>
              </w:rPr>
              <w:t>r</w:t>
            </w:r>
            <w:r w:rsidRPr="007544F0">
              <w:rPr>
                <w:rFonts w:asciiTheme="minorHAnsi" w:eastAsia="Arial" w:hAnsiTheme="minorHAnsi" w:cs="Arial"/>
                <w:color w:val="231F20"/>
                <w:w w:val="108"/>
                <w:sz w:val="18"/>
                <w:szCs w:val="18"/>
              </w:rPr>
              <w:t>ointestinal</w:t>
            </w: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0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56" w:type="dxa"/>
            <w:tcBorders>
              <w:top w:val="single" w:sz="32" w:space="0" w:color="FFFFFF"/>
              <w:left w:val="single" w:sz="32" w:space="0" w:color="FFFFFF"/>
              <w:bottom w:val="nil"/>
              <w:right w:val="nil"/>
            </w:tcBorders>
            <w:shd w:val="clear" w:color="auto" w:fill="E6E7E8"/>
          </w:tcPr>
          <w:p w:rsidR="00BB0659" w:rsidRPr="007544F0" w:rsidRDefault="00BB0659" w:rsidP="00413A54">
            <w:pPr>
              <w:rPr>
                <w:rFonts w:asciiTheme="minorHAnsi" w:hAnsiTheme="minorHAnsi"/>
              </w:rPr>
            </w:pPr>
          </w:p>
        </w:tc>
      </w:tr>
      <w:tr w:rsidR="00BB0659" w:rsidRPr="007544F0" w:rsidTr="00413A54">
        <w:trPr>
          <w:trHeight w:hRule="exact" w:val="296"/>
        </w:trPr>
        <w:tc>
          <w:tcPr>
            <w:tcW w:w="3264" w:type="dxa"/>
            <w:tcBorders>
              <w:top w:val="nil"/>
              <w:left w:val="nil"/>
              <w:bottom w:val="nil"/>
              <w:right w:val="single" w:sz="32" w:space="0" w:color="FFFFFF"/>
            </w:tcBorders>
            <w:shd w:val="clear" w:color="auto" w:fill="D5D7D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w w:val="104"/>
                <w:sz w:val="18"/>
                <w:szCs w:val="18"/>
              </w:rPr>
              <w:t>initial</w:t>
            </w: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95" w:right="-20"/>
              <w:rPr>
                <w:rFonts w:asciiTheme="minorHAnsi" w:eastAsia="Arial" w:hAnsiTheme="minorHAnsi" w:cs="Arial"/>
                <w:sz w:val="18"/>
                <w:szCs w:val="18"/>
              </w:rPr>
            </w:pPr>
            <w:r w:rsidRPr="007544F0">
              <w:rPr>
                <w:rFonts w:asciiTheme="minorHAnsi" w:eastAsia="Arial" w:hAnsiTheme="minorHAnsi" w:cs="Arial"/>
                <w:color w:val="231F20"/>
                <w:sz w:val="18"/>
                <w:szCs w:val="18"/>
              </w:rPr>
              <w:t>80–100</w:t>
            </w:r>
          </w:p>
        </w:tc>
        <w:tc>
          <w:tcPr>
            <w:tcW w:w="250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981" w:right="961"/>
              <w:jc w:val="center"/>
              <w:rPr>
                <w:rFonts w:asciiTheme="minorHAnsi" w:eastAsia="Arial" w:hAnsiTheme="minorHAnsi" w:cs="Arial"/>
                <w:sz w:val="18"/>
                <w:szCs w:val="18"/>
              </w:rPr>
            </w:pPr>
            <w:r w:rsidRPr="007544F0">
              <w:rPr>
                <w:rFonts w:asciiTheme="minorHAnsi" w:eastAsia="Arial" w:hAnsiTheme="minorHAnsi" w:cs="Arial"/>
                <w:color w:val="231F20"/>
                <w:w w:val="97"/>
                <w:sz w:val="18"/>
                <w:szCs w:val="18"/>
              </w:rPr>
              <w:t>7–14</w:t>
            </w: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60–80</w:t>
            </w:r>
          </w:p>
        </w:tc>
        <w:tc>
          <w:tcPr>
            <w:tcW w:w="2556" w:type="dxa"/>
            <w:tcBorders>
              <w:top w:val="nil"/>
              <w:left w:val="single" w:sz="32" w:space="0" w:color="FFFFFF"/>
              <w:bottom w:val="nil"/>
              <w:right w:val="nil"/>
            </w:tcBorders>
            <w:shd w:val="clear" w:color="auto" w:fill="D5D7D8"/>
          </w:tcPr>
          <w:p w:rsidR="00BB0659" w:rsidRPr="007544F0" w:rsidRDefault="00BB0659" w:rsidP="00413A54">
            <w:pPr>
              <w:spacing w:before="47" w:after="0"/>
              <w:ind w:left="1009" w:right="1029"/>
              <w:jc w:val="center"/>
              <w:rPr>
                <w:rFonts w:asciiTheme="minorHAnsi" w:eastAsia="Arial" w:hAnsiTheme="minorHAnsi" w:cs="Arial"/>
                <w:sz w:val="18"/>
                <w:szCs w:val="18"/>
              </w:rPr>
            </w:pPr>
            <w:r w:rsidRPr="007544F0">
              <w:rPr>
                <w:rFonts w:asciiTheme="minorHAnsi" w:eastAsia="Arial" w:hAnsiTheme="minorHAnsi" w:cs="Arial"/>
                <w:color w:val="231F20"/>
                <w:w w:val="97"/>
                <w:sz w:val="18"/>
                <w:szCs w:val="18"/>
              </w:rPr>
              <w:t>7–14</w:t>
            </w:r>
          </w:p>
        </w:tc>
      </w:tr>
      <w:tr w:rsidR="00BB0659" w:rsidRPr="007544F0" w:rsidTr="00413A54">
        <w:trPr>
          <w:trHeight w:hRule="exact" w:val="376"/>
        </w:trPr>
        <w:tc>
          <w:tcPr>
            <w:tcW w:w="3264" w:type="dxa"/>
            <w:tcBorders>
              <w:top w:val="nil"/>
              <w:left w:val="nil"/>
              <w:bottom w:val="single" w:sz="32" w:space="0" w:color="FFFFFF"/>
              <w:right w:val="single" w:sz="32" w:space="0" w:color="FFFFFF"/>
            </w:tcBorders>
            <w:shd w:val="clear" w:color="auto" w:fill="E6E7E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sz w:val="18"/>
                <w:szCs w:val="18"/>
              </w:rPr>
              <w:t>maintenance</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256" w:right="23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50</w:t>
            </w:r>
          </w:p>
        </w:tc>
        <w:tc>
          <w:tcPr>
            <w:tcW w:w="250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rPr>
                <w:rFonts w:asciiTheme="minorHAnsi" w:hAnsiTheme="minorHAnsi"/>
              </w:rPr>
            </w:pP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256" w:right="23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30</w:t>
            </w:r>
          </w:p>
        </w:tc>
        <w:tc>
          <w:tcPr>
            <w:tcW w:w="2556" w:type="dxa"/>
            <w:tcBorders>
              <w:top w:val="nil"/>
              <w:left w:val="single" w:sz="32" w:space="0" w:color="FFFFFF"/>
              <w:bottom w:val="single" w:sz="32" w:space="0" w:color="FFFFFF"/>
              <w:right w:val="nil"/>
            </w:tcBorders>
            <w:shd w:val="clear" w:color="auto" w:fill="E6E7E8"/>
          </w:tcPr>
          <w:p w:rsidR="00BB0659" w:rsidRPr="007544F0" w:rsidRDefault="00BB0659" w:rsidP="00413A54">
            <w:pPr>
              <w:rPr>
                <w:rFonts w:asciiTheme="minorHAnsi" w:hAnsiTheme="minorHAnsi"/>
              </w:rPr>
            </w:pPr>
          </w:p>
        </w:tc>
      </w:tr>
      <w:tr w:rsidR="00BB0659" w:rsidRPr="007544F0" w:rsidTr="00413A54">
        <w:trPr>
          <w:trHeight w:hRule="exact" w:val="456"/>
        </w:trPr>
        <w:tc>
          <w:tcPr>
            <w:tcW w:w="3264" w:type="dxa"/>
            <w:tcBorders>
              <w:top w:val="single" w:sz="32" w:space="0" w:color="FFFFFF"/>
              <w:left w:val="nil"/>
              <w:bottom w:val="single" w:sz="32" w:space="0" w:color="FFFFFF"/>
              <w:right w:val="single" w:sz="32" w:space="0" w:color="FFFFFF"/>
            </w:tcBorders>
            <w:shd w:val="clear" w:color="auto" w:fill="E6E7E8"/>
          </w:tcPr>
          <w:p w:rsidR="00BB0659" w:rsidRPr="007544F0" w:rsidRDefault="00BB0659" w:rsidP="00413A54">
            <w:pPr>
              <w:spacing w:before="87" w:after="0"/>
              <w:ind w:left="120" w:right="-20"/>
              <w:rPr>
                <w:rFonts w:asciiTheme="minorHAnsi" w:eastAsia="Arial" w:hAnsiTheme="minorHAnsi" w:cs="Arial"/>
                <w:sz w:val="18"/>
                <w:szCs w:val="18"/>
              </w:rPr>
            </w:pPr>
            <w:r w:rsidRPr="007544F0">
              <w:rPr>
                <w:rFonts w:asciiTheme="minorHAnsi" w:eastAsia="Arial" w:hAnsiTheme="minorHAnsi" w:cs="Arial"/>
                <w:color w:val="231F20"/>
                <w:sz w:val="18"/>
                <w:szCs w:val="18"/>
              </w:rPr>
              <w:t>Renal</w:t>
            </w:r>
          </w:p>
        </w:tc>
        <w:tc>
          <w:tcPr>
            <w:tcW w:w="860" w:type="dxa"/>
            <w:tcBorders>
              <w:top w:val="single" w:sz="32" w:space="0" w:color="FFFFFF"/>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ind w:left="256" w:right="23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50</w:t>
            </w:r>
          </w:p>
        </w:tc>
        <w:tc>
          <w:tcPr>
            <w:tcW w:w="2500" w:type="dxa"/>
            <w:tcBorders>
              <w:top w:val="single" w:sz="32" w:space="0" w:color="FFFFFF"/>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ind w:left="1031" w:right="1011"/>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3–5</w:t>
            </w:r>
          </w:p>
        </w:tc>
        <w:tc>
          <w:tcPr>
            <w:tcW w:w="860" w:type="dxa"/>
            <w:tcBorders>
              <w:top w:val="single" w:sz="32" w:space="0" w:color="FFFFFF"/>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ind w:left="256" w:right="23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40</w:t>
            </w:r>
          </w:p>
        </w:tc>
        <w:tc>
          <w:tcPr>
            <w:tcW w:w="2556" w:type="dxa"/>
            <w:tcBorders>
              <w:top w:val="single" w:sz="32" w:space="0" w:color="FFFFFF"/>
              <w:left w:val="single" w:sz="32" w:space="0" w:color="FFFFFF"/>
              <w:bottom w:val="single" w:sz="32" w:space="0" w:color="FFFFFF"/>
              <w:right w:val="nil"/>
            </w:tcBorders>
            <w:shd w:val="clear" w:color="auto" w:fill="E6E7E8"/>
          </w:tcPr>
          <w:p w:rsidR="00BB0659" w:rsidRPr="007544F0" w:rsidRDefault="00BB0659" w:rsidP="00413A54">
            <w:pPr>
              <w:spacing w:before="87" w:after="0"/>
              <w:ind w:left="1059" w:right="1079"/>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3–5</w:t>
            </w:r>
          </w:p>
        </w:tc>
      </w:tr>
      <w:tr w:rsidR="00BB0659" w:rsidRPr="007544F0" w:rsidTr="00413A54">
        <w:trPr>
          <w:trHeight w:hRule="exact" w:val="456"/>
        </w:trPr>
        <w:tc>
          <w:tcPr>
            <w:tcW w:w="3264" w:type="dxa"/>
            <w:tcBorders>
              <w:top w:val="single" w:sz="32" w:space="0" w:color="FFFFFF"/>
              <w:left w:val="nil"/>
              <w:bottom w:val="single" w:sz="32" w:space="0" w:color="FFFFFF"/>
              <w:right w:val="single" w:sz="32" w:space="0" w:color="FFFFFF"/>
            </w:tcBorders>
            <w:shd w:val="clear" w:color="auto" w:fill="E6E7E8"/>
          </w:tcPr>
          <w:p w:rsidR="00BB0659" w:rsidRPr="007544F0" w:rsidRDefault="00BB0659" w:rsidP="00413A54">
            <w:pPr>
              <w:spacing w:before="87" w:after="0"/>
              <w:ind w:left="120" w:right="-20"/>
              <w:rPr>
                <w:rFonts w:asciiTheme="minorHAnsi" w:eastAsia="Arial" w:hAnsiTheme="minorHAnsi" w:cs="Arial"/>
                <w:sz w:val="18"/>
                <w:szCs w:val="18"/>
              </w:rPr>
            </w:pPr>
            <w:r w:rsidRPr="007544F0">
              <w:rPr>
                <w:rFonts w:asciiTheme="minorHAnsi" w:eastAsia="Arial" w:hAnsiTheme="minorHAnsi" w:cs="Arial"/>
                <w:color w:val="231F20"/>
                <w:sz w:val="18"/>
                <w:szCs w:val="18"/>
              </w:rPr>
              <w:t>Deep</w:t>
            </w:r>
            <w:r w:rsidRPr="007544F0">
              <w:rPr>
                <w:rFonts w:asciiTheme="minorHAnsi" w:eastAsia="Arial" w:hAnsiTheme="minorHAnsi" w:cs="Arial"/>
                <w:color w:val="231F20"/>
                <w:spacing w:val="35"/>
                <w:sz w:val="18"/>
                <w:szCs w:val="18"/>
              </w:rPr>
              <w:t xml:space="preserve"> </w:t>
            </w:r>
            <w:r w:rsidRPr="007544F0">
              <w:rPr>
                <w:rFonts w:asciiTheme="minorHAnsi" w:eastAsia="Arial" w:hAnsiTheme="minorHAnsi" w:cs="Arial"/>
                <w:color w:val="231F20"/>
                <w:w w:val="106"/>
                <w:sz w:val="18"/>
                <w:szCs w:val="18"/>
              </w:rPr>
              <w:t>laceration</w:t>
            </w:r>
          </w:p>
        </w:tc>
        <w:tc>
          <w:tcPr>
            <w:tcW w:w="860" w:type="dxa"/>
            <w:tcBorders>
              <w:top w:val="single" w:sz="32" w:space="0" w:color="FFFFFF"/>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ind w:left="256" w:right="23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50</w:t>
            </w:r>
          </w:p>
        </w:tc>
        <w:tc>
          <w:tcPr>
            <w:tcW w:w="2500" w:type="dxa"/>
            <w:tcBorders>
              <w:top w:val="single" w:sz="32" w:space="0" w:color="FFFFFF"/>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ind w:left="1031" w:right="1011"/>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5–7</w:t>
            </w:r>
          </w:p>
        </w:tc>
        <w:tc>
          <w:tcPr>
            <w:tcW w:w="860" w:type="dxa"/>
            <w:tcBorders>
              <w:top w:val="single" w:sz="32" w:space="0" w:color="FFFFFF"/>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87" w:after="0"/>
              <w:ind w:left="256" w:right="236"/>
              <w:jc w:val="center"/>
              <w:rPr>
                <w:rFonts w:asciiTheme="minorHAnsi" w:eastAsia="Arial" w:hAnsiTheme="minorHAnsi" w:cs="Arial"/>
                <w:sz w:val="18"/>
                <w:szCs w:val="18"/>
              </w:rPr>
            </w:pPr>
            <w:r w:rsidRPr="007544F0">
              <w:rPr>
                <w:rFonts w:asciiTheme="minorHAnsi" w:eastAsia="Arial" w:hAnsiTheme="minorHAnsi" w:cs="Arial"/>
                <w:color w:val="231F20"/>
                <w:sz w:val="18"/>
                <w:szCs w:val="18"/>
              </w:rPr>
              <w:t>40</w:t>
            </w:r>
          </w:p>
        </w:tc>
        <w:tc>
          <w:tcPr>
            <w:tcW w:w="2556" w:type="dxa"/>
            <w:tcBorders>
              <w:top w:val="single" w:sz="32" w:space="0" w:color="FFFFFF"/>
              <w:left w:val="single" w:sz="32" w:space="0" w:color="FFFFFF"/>
              <w:bottom w:val="single" w:sz="32" w:space="0" w:color="FFFFFF"/>
              <w:right w:val="nil"/>
            </w:tcBorders>
            <w:shd w:val="clear" w:color="auto" w:fill="E6E7E8"/>
          </w:tcPr>
          <w:p w:rsidR="00BB0659" w:rsidRPr="007544F0" w:rsidRDefault="00BB0659" w:rsidP="00413A54">
            <w:pPr>
              <w:spacing w:before="87" w:after="0"/>
              <w:ind w:left="1087" w:right="1052"/>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5–7</w:t>
            </w:r>
          </w:p>
        </w:tc>
      </w:tr>
      <w:tr w:rsidR="00BB0659" w:rsidRPr="007544F0" w:rsidTr="00413A54">
        <w:trPr>
          <w:trHeight w:hRule="exact" w:val="416"/>
        </w:trPr>
        <w:tc>
          <w:tcPr>
            <w:tcW w:w="3264" w:type="dxa"/>
            <w:tcBorders>
              <w:top w:val="single" w:sz="32" w:space="0" w:color="FFFFFF"/>
              <w:left w:val="nil"/>
              <w:bottom w:val="nil"/>
              <w:right w:val="single" w:sz="32" w:space="0" w:color="FFFFFF"/>
            </w:tcBorders>
            <w:shd w:val="clear" w:color="auto" w:fill="E6E7E8"/>
          </w:tcPr>
          <w:p w:rsidR="00BB0659" w:rsidRPr="007544F0" w:rsidRDefault="00BB0659" w:rsidP="00413A54">
            <w:pPr>
              <w:spacing w:before="87" w:after="0"/>
              <w:ind w:left="120" w:right="-20"/>
              <w:rPr>
                <w:rFonts w:asciiTheme="minorHAnsi" w:eastAsia="Arial" w:hAnsiTheme="minorHAnsi" w:cs="Arial"/>
                <w:sz w:val="18"/>
                <w:szCs w:val="18"/>
              </w:rPr>
            </w:pPr>
            <w:r w:rsidRPr="007544F0">
              <w:rPr>
                <w:rFonts w:asciiTheme="minorHAnsi" w:eastAsia="Arial" w:hAnsiTheme="minorHAnsi" w:cs="Arial"/>
                <w:color w:val="231F20"/>
                <w:sz w:val="18"/>
                <w:szCs w:val="18"/>
              </w:rPr>
              <w:t>Su</w:t>
            </w:r>
            <w:r w:rsidRPr="007544F0">
              <w:rPr>
                <w:rFonts w:asciiTheme="minorHAnsi" w:eastAsia="Arial" w:hAnsiTheme="minorHAnsi" w:cs="Arial"/>
                <w:color w:val="231F20"/>
                <w:spacing w:val="-3"/>
                <w:sz w:val="18"/>
                <w:szCs w:val="18"/>
              </w:rPr>
              <w:t>r</w:t>
            </w:r>
            <w:r w:rsidRPr="007544F0">
              <w:rPr>
                <w:rFonts w:asciiTheme="minorHAnsi" w:eastAsia="Arial" w:hAnsiTheme="minorHAnsi" w:cs="Arial"/>
                <w:color w:val="231F20"/>
                <w:sz w:val="18"/>
                <w:szCs w:val="18"/>
              </w:rPr>
              <w:t>gery</w:t>
            </w:r>
            <w:r w:rsidRPr="007544F0">
              <w:rPr>
                <w:rFonts w:asciiTheme="minorHAnsi" w:eastAsia="Arial" w:hAnsiTheme="minorHAnsi" w:cs="Arial"/>
                <w:color w:val="231F20"/>
                <w:spacing w:val="30"/>
                <w:sz w:val="18"/>
                <w:szCs w:val="18"/>
              </w:rPr>
              <w:t xml:space="preserve"> </w:t>
            </w:r>
            <w:r w:rsidRPr="007544F0">
              <w:rPr>
                <w:rFonts w:asciiTheme="minorHAnsi" w:eastAsia="Arial" w:hAnsiTheme="minorHAnsi" w:cs="Arial"/>
                <w:color w:val="231F20"/>
                <w:w w:val="102"/>
                <w:sz w:val="18"/>
                <w:szCs w:val="18"/>
              </w:rPr>
              <w:t>(major)</w:t>
            </w: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0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56" w:type="dxa"/>
            <w:tcBorders>
              <w:top w:val="single" w:sz="32" w:space="0" w:color="FFFFFF"/>
              <w:left w:val="single" w:sz="32" w:space="0" w:color="FFFFFF"/>
              <w:bottom w:val="nil"/>
              <w:right w:val="nil"/>
            </w:tcBorders>
            <w:shd w:val="clear" w:color="auto" w:fill="E6E7E8"/>
          </w:tcPr>
          <w:p w:rsidR="00BB0659" w:rsidRPr="007544F0" w:rsidRDefault="00BB0659" w:rsidP="00413A54">
            <w:pPr>
              <w:rPr>
                <w:rFonts w:asciiTheme="minorHAnsi" w:hAnsiTheme="minorHAnsi"/>
              </w:rPr>
            </w:pPr>
          </w:p>
        </w:tc>
      </w:tr>
      <w:tr w:rsidR="00BB0659" w:rsidRPr="007544F0" w:rsidTr="00413A54">
        <w:trPr>
          <w:trHeight w:hRule="exact" w:val="296"/>
        </w:trPr>
        <w:tc>
          <w:tcPr>
            <w:tcW w:w="3264" w:type="dxa"/>
            <w:tcBorders>
              <w:top w:val="nil"/>
              <w:left w:val="nil"/>
              <w:bottom w:val="nil"/>
              <w:right w:val="single" w:sz="32" w:space="0" w:color="FFFFFF"/>
            </w:tcBorders>
            <w:shd w:val="clear" w:color="auto" w:fill="D5D7D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w w:val="94"/>
                <w:sz w:val="18"/>
                <w:szCs w:val="18"/>
              </w:rPr>
              <w:t>P</w:t>
            </w:r>
            <w:r w:rsidRPr="007544F0">
              <w:rPr>
                <w:rFonts w:asciiTheme="minorHAnsi" w:eastAsia="Arial" w:hAnsiTheme="minorHAnsi" w:cs="Arial"/>
                <w:color w:val="231F20"/>
                <w:spacing w:val="-3"/>
                <w:w w:val="94"/>
                <w:sz w:val="18"/>
                <w:szCs w:val="18"/>
              </w:rPr>
              <w:t>r</w:t>
            </w:r>
            <w:r w:rsidRPr="007544F0">
              <w:rPr>
                <w:rFonts w:asciiTheme="minorHAnsi" w:eastAsia="Arial" w:hAnsiTheme="minorHAnsi" w:cs="Arial"/>
                <w:color w:val="231F20"/>
                <w:w w:val="104"/>
                <w:sz w:val="18"/>
                <w:szCs w:val="18"/>
              </w:rPr>
              <w:t>e-op</w:t>
            </w: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95" w:right="-20"/>
              <w:rPr>
                <w:rFonts w:asciiTheme="minorHAnsi" w:eastAsia="Arial" w:hAnsiTheme="minorHAnsi" w:cs="Arial"/>
                <w:sz w:val="18"/>
                <w:szCs w:val="18"/>
              </w:rPr>
            </w:pPr>
            <w:r w:rsidRPr="007544F0">
              <w:rPr>
                <w:rFonts w:asciiTheme="minorHAnsi" w:eastAsia="Arial" w:hAnsiTheme="minorHAnsi" w:cs="Arial"/>
                <w:color w:val="231F20"/>
                <w:sz w:val="18"/>
                <w:szCs w:val="18"/>
              </w:rPr>
              <w:t>80–100</w:t>
            </w:r>
          </w:p>
        </w:tc>
        <w:tc>
          <w:tcPr>
            <w:tcW w:w="2500" w:type="dxa"/>
            <w:tcBorders>
              <w:top w:val="nil"/>
              <w:left w:val="single" w:sz="32" w:space="0" w:color="FFFFFF"/>
              <w:bottom w:val="nil"/>
              <w:right w:val="single" w:sz="32" w:space="0" w:color="FFFFFF"/>
            </w:tcBorders>
            <w:shd w:val="clear" w:color="auto" w:fill="D5D7D8"/>
          </w:tcPr>
          <w:p w:rsidR="00BB0659" w:rsidRPr="007544F0" w:rsidRDefault="00BB0659" w:rsidP="00413A54">
            <w:pPr>
              <w:rPr>
                <w:rFonts w:asciiTheme="minorHAnsi" w:hAnsiTheme="minorHAnsi"/>
              </w:rPr>
            </w:pP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60–80</w:t>
            </w:r>
          </w:p>
        </w:tc>
        <w:tc>
          <w:tcPr>
            <w:tcW w:w="2556" w:type="dxa"/>
            <w:tcBorders>
              <w:top w:val="nil"/>
              <w:left w:val="single" w:sz="32" w:space="0" w:color="FFFFFF"/>
              <w:bottom w:val="nil"/>
              <w:right w:val="nil"/>
            </w:tcBorders>
            <w:shd w:val="clear" w:color="auto" w:fill="D5D7D8"/>
          </w:tcPr>
          <w:p w:rsidR="00BB0659" w:rsidRPr="007544F0" w:rsidRDefault="00BB0659" w:rsidP="00413A54">
            <w:pPr>
              <w:rPr>
                <w:rFonts w:asciiTheme="minorHAnsi" w:hAnsiTheme="minorHAnsi"/>
              </w:rPr>
            </w:pPr>
          </w:p>
        </w:tc>
      </w:tr>
      <w:tr w:rsidR="00BB0659" w:rsidRPr="007544F0" w:rsidTr="00413A54">
        <w:trPr>
          <w:trHeight w:hRule="exact" w:val="816"/>
        </w:trPr>
        <w:tc>
          <w:tcPr>
            <w:tcW w:w="3264" w:type="dxa"/>
            <w:tcBorders>
              <w:top w:val="nil"/>
              <w:left w:val="nil"/>
              <w:bottom w:val="single" w:sz="32" w:space="0" w:color="FFFFFF"/>
              <w:right w:val="single" w:sz="32" w:space="0" w:color="FFFFFF"/>
            </w:tcBorders>
            <w:shd w:val="clear" w:color="auto" w:fill="E6E7E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w w:val="101"/>
                <w:sz w:val="18"/>
                <w:szCs w:val="18"/>
              </w:rPr>
              <w:t>Post-op</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60–80</w:t>
            </w:r>
          </w:p>
          <w:p w:rsidR="00BB0659" w:rsidRPr="007544F0" w:rsidRDefault="00BB0659" w:rsidP="00413A54">
            <w:pPr>
              <w:spacing w:before="13"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40–60</w:t>
            </w:r>
          </w:p>
          <w:p w:rsidR="00BB0659" w:rsidRPr="007544F0" w:rsidRDefault="00BB0659" w:rsidP="00413A54">
            <w:pPr>
              <w:spacing w:before="13"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30–50</w:t>
            </w:r>
          </w:p>
        </w:tc>
        <w:tc>
          <w:tcPr>
            <w:tcW w:w="250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1031" w:right="1011"/>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1–3</w:t>
            </w:r>
          </w:p>
          <w:p w:rsidR="00BB0659" w:rsidRPr="007544F0" w:rsidRDefault="00BB0659" w:rsidP="00413A54">
            <w:pPr>
              <w:spacing w:before="13" w:after="0"/>
              <w:ind w:left="1031" w:right="1011"/>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4–6</w:t>
            </w:r>
          </w:p>
          <w:p w:rsidR="00BB0659" w:rsidRPr="007544F0" w:rsidRDefault="00BB0659" w:rsidP="00413A54">
            <w:pPr>
              <w:spacing w:before="13" w:after="0"/>
              <w:ind w:left="981" w:right="961"/>
              <w:jc w:val="center"/>
              <w:rPr>
                <w:rFonts w:asciiTheme="minorHAnsi" w:eastAsia="Arial" w:hAnsiTheme="minorHAnsi" w:cs="Arial"/>
                <w:sz w:val="18"/>
                <w:szCs w:val="18"/>
              </w:rPr>
            </w:pPr>
            <w:r w:rsidRPr="007544F0">
              <w:rPr>
                <w:rFonts w:asciiTheme="minorHAnsi" w:eastAsia="Arial" w:hAnsiTheme="minorHAnsi" w:cs="Arial"/>
                <w:color w:val="231F20"/>
                <w:w w:val="97"/>
                <w:sz w:val="18"/>
                <w:szCs w:val="18"/>
              </w:rPr>
              <w:t>7–14</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40–60</w:t>
            </w:r>
          </w:p>
          <w:p w:rsidR="00BB0659" w:rsidRPr="007544F0" w:rsidRDefault="00BB0659" w:rsidP="00413A54">
            <w:pPr>
              <w:spacing w:before="13"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30–50</w:t>
            </w:r>
          </w:p>
          <w:p w:rsidR="00BB0659" w:rsidRPr="007544F0" w:rsidRDefault="00BB0659" w:rsidP="00413A54">
            <w:pPr>
              <w:spacing w:before="13"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20–40</w:t>
            </w:r>
          </w:p>
        </w:tc>
        <w:tc>
          <w:tcPr>
            <w:tcW w:w="2556" w:type="dxa"/>
            <w:tcBorders>
              <w:top w:val="nil"/>
              <w:left w:val="single" w:sz="32" w:space="0" w:color="FFFFFF"/>
              <w:bottom w:val="single" w:sz="32" w:space="0" w:color="FFFFFF"/>
              <w:right w:val="nil"/>
            </w:tcBorders>
            <w:shd w:val="clear" w:color="auto" w:fill="E6E7E8"/>
          </w:tcPr>
          <w:p w:rsidR="00BB0659" w:rsidRPr="007544F0" w:rsidRDefault="00BB0659" w:rsidP="00413A54">
            <w:pPr>
              <w:spacing w:before="47" w:after="0"/>
              <w:ind w:left="1059" w:right="1079"/>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1–3</w:t>
            </w:r>
          </w:p>
          <w:p w:rsidR="00BB0659" w:rsidRPr="007544F0" w:rsidRDefault="00BB0659" w:rsidP="00413A54">
            <w:pPr>
              <w:spacing w:before="13" w:after="0"/>
              <w:ind w:left="1059" w:right="1079"/>
              <w:jc w:val="center"/>
              <w:rPr>
                <w:rFonts w:asciiTheme="minorHAnsi" w:eastAsia="Arial" w:hAnsiTheme="minorHAnsi" w:cs="Arial"/>
                <w:sz w:val="18"/>
                <w:szCs w:val="18"/>
              </w:rPr>
            </w:pPr>
            <w:r w:rsidRPr="007544F0">
              <w:rPr>
                <w:rFonts w:asciiTheme="minorHAnsi" w:eastAsia="Arial" w:hAnsiTheme="minorHAnsi" w:cs="Arial"/>
                <w:color w:val="231F20"/>
                <w:w w:val="96"/>
                <w:sz w:val="18"/>
                <w:szCs w:val="18"/>
              </w:rPr>
              <w:t>4–6</w:t>
            </w:r>
          </w:p>
          <w:p w:rsidR="00BB0659" w:rsidRPr="007544F0" w:rsidRDefault="00BB0659" w:rsidP="00413A54">
            <w:pPr>
              <w:spacing w:before="13" w:after="0"/>
              <w:ind w:left="1009" w:right="1029"/>
              <w:jc w:val="center"/>
              <w:rPr>
                <w:rFonts w:asciiTheme="minorHAnsi" w:eastAsia="Arial" w:hAnsiTheme="minorHAnsi" w:cs="Arial"/>
                <w:sz w:val="18"/>
                <w:szCs w:val="18"/>
              </w:rPr>
            </w:pPr>
            <w:r w:rsidRPr="007544F0">
              <w:rPr>
                <w:rFonts w:asciiTheme="minorHAnsi" w:eastAsia="Arial" w:hAnsiTheme="minorHAnsi" w:cs="Arial"/>
                <w:color w:val="231F20"/>
                <w:w w:val="97"/>
                <w:sz w:val="18"/>
                <w:szCs w:val="18"/>
              </w:rPr>
              <w:t>7–14</w:t>
            </w:r>
          </w:p>
        </w:tc>
      </w:tr>
      <w:tr w:rsidR="00BB0659" w:rsidRPr="007544F0" w:rsidTr="00413A54">
        <w:trPr>
          <w:trHeight w:hRule="exact" w:val="416"/>
        </w:trPr>
        <w:tc>
          <w:tcPr>
            <w:tcW w:w="3264" w:type="dxa"/>
            <w:tcBorders>
              <w:top w:val="single" w:sz="32" w:space="0" w:color="FFFFFF"/>
              <w:left w:val="nil"/>
              <w:bottom w:val="nil"/>
              <w:right w:val="single" w:sz="32" w:space="0" w:color="FFFFFF"/>
            </w:tcBorders>
            <w:shd w:val="clear" w:color="auto" w:fill="E6E7E8"/>
          </w:tcPr>
          <w:p w:rsidR="00BB0659" w:rsidRPr="007544F0" w:rsidRDefault="00BB0659" w:rsidP="00413A54">
            <w:pPr>
              <w:spacing w:before="87" w:after="0"/>
              <w:ind w:left="120" w:right="-20"/>
              <w:rPr>
                <w:rFonts w:asciiTheme="minorHAnsi" w:eastAsia="Arial" w:hAnsiTheme="minorHAnsi" w:cs="Arial"/>
                <w:sz w:val="18"/>
                <w:szCs w:val="18"/>
              </w:rPr>
            </w:pPr>
            <w:r w:rsidRPr="007544F0">
              <w:rPr>
                <w:rFonts w:asciiTheme="minorHAnsi" w:eastAsia="Arial" w:hAnsiTheme="minorHAnsi" w:cs="Arial"/>
                <w:color w:val="231F20"/>
                <w:sz w:val="18"/>
                <w:szCs w:val="18"/>
              </w:rPr>
              <w:t>Su</w:t>
            </w:r>
            <w:r w:rsidRPr="007544F0">
              <w:rPr>
                <w:rFonts w:asciiTheme="minorHAnsi" w:eastAsia="Arial" w:hAnsiTheme="minorHAnsi" w:cs="Arial"/>
                <w:color w:val="231F20"/>
                <w:spacing w:val="-3"/>
                <w:sz w:val="18"/>
                <w:szCs w:val="18"/>
              </w:rPr>
              <w:t>r</w:t>
            </w:r>
            <w:r w:rsidRPr="007544F0">
              <w:rPr>
                <w:rFonts w:asciiTheme="minorHAnsi" w:eastAsia="Arial" w:hAnsiTheme="minorHAnsi" w:cs="Arial"/>
                <w:color w:val="231F20"/>
                <w:sz w:val="18"/>
                <w:szCs w:val="18"/>
              </w:rPr>
              <w:t>gery</w:t>
            </w:r>
            <w:r w:rsidRPr="007544F0">
              <w:rPr>
                <w:rFonts w:asciiTheme="minorHAnsi" w:eastAsia="Arial" w:hAnsiTheme="minorHAnsi" w:cs="Arial"/>
                <w:color w:val="231F20"/>
                <w:spacing w:val="30"/>
                <w:sz w:val="18"/>
                <w:szCs w:val="18"/>
              </w:rPr>
              <w:t xml:space="preserve"> </w:t>
            </w:r>
            <w:r w:rsidRPr="007544F0">
              <w:rPr>
                <w:rFonts w:asciiTheme="minorHAnsi" w:eastAsia="Arial" w:hAnsiTheme="minorHAnsi" w:cs="Arial"/>
                <w:color w:val="231F20"/>
                <w:w w:val="104"/>
                <w:sz w:val="18"/>
                <w:szCs w:val="18"/>
              </w:rPr>
              <w:t>(minor)</w:t>
            </w: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0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860" w:type="dxa"/>
            <w:tcBorders>
              <w:top w:val="single" w:sz="32" w:space="0" w:color="FFFFFF"/>
              <w:left w:val="single" w:sz="32" w:space="0" w:color="FFFFFF"/>
              <w:bottom w:val="nil"/>
              <w:right w:val="single" w:sz="32" w:space="0" w:color="FFFFFF"/>
            </w:tcBorders>
            <w:shd w:val="clear" w:color="auto" w:fill="E6E7E8"/>
          </w:tcPr>
          <w:p w:rsidR="00BB0659" w:rsidRPr="007544F0" w:rsidRDefault="00BB0659" w:rsidP="00413A54">
            <w:pPr>
              <w:rPr>
                <w:rFonts w:asciiTheme="minorHAnsi" w:hAnsiTheme="minorHAnsi"/>
              </w:rPr>
            </w:pPr>
          </w:p>
        </w:tc>
        <w:tc>
          <w:tcPr>
            <w:tcW w:w="2556" w:type="dxa"/>
            <w:tcBorders>
              <w:top w:val="single" w:sz="32" w:space="0" w:color="FFFFFF"/>
              <w:left w:val="single" w:sz="32" w:space="0" w:color="FFFFFF"/>
              <w:bottom w:val="nil"/>
              <w:right w:val="nil"/>
            </w:tcBorders>
            <w:shd w:val="clear" w:color="auto" w:fill="E6E7E8"/>
          </w:tcPr>
          <w:p w:rsidR="00BB0659" w:rsidRPr="007544F0" w:rsidRDefault="00BB0659" w:rsidP="00413A54">
            <w:pPr>
              <w:rPr>
                <w:rFonts w:asciiTheme="minorHAnsi" w:hAnsiTheme="minorHAnsi"/>
              </w:rPr>
            </w:pPr>
          </w:p>
        </w:tc>
      </w:tr>
      <w:tr w:rsidR="00BB0659" w:rsidRPr="007544F0" w:rsidTr="00413A54">
        <w:trPr>
          <w:trHeight w:hRule="exact" w:val="296"/>
        </w:trPr>
        <w:tc>
          <w:tcPr>
            <w:tcW w:w="3264" w:type="dxa"/>
            <w:tcBorders>
              <w:top w:val="nil"/>
              <w:left w:val="nil"/>
              <w:bottom w:val="nil"/>
              <w:right w:val="single" w:sz="32" w:space="0" w:color="FFFFFF"/>
            </w:tcBorders>
            <w:shd w:val="clear" w:color="auto" w:fill="D5D7D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w w:val="94"/>
                <w:sz w:val="18"/>
                <w:szCs w:val="18"/>
              </w:rPr>
              <w:t>P</w:t>
            </w:r>
            <w:r w:rsidRPr="007544F0">
              <w:rPr>
                <w:rFonts w:asciiTheme="minorHAnsi" w:eastAsia="Arial" w:hAnsiTheme="minorHAnsi" w:cs="Arial"/>
                <w:color w:val="231F20"/>
                <w:spacing w:val="-3"/>
                <w:w w:val="94"/>
                <w:sz w:val="18"/>
                <w:szCs w:val="18"/>
              </w:rPr>
              <w:t>r</w:t>
            </w:r>
            <w:r w:rsidRPr="007544F0">
              <w:rPr>
                <w:rFonts w:asciiTheme="minorHAnsi" w:eastAsia="Arial" w:hAnsiTheme="minorHAnsi" w:cs="Arial"/>
                <w:color w:val="231F20"/>
                <w:w w:val="104"/>
                <w:sz w:val="18"/>
                <w:szCs w:val="18"/>
              </w:rPr>
              <w:t>e-op</w:t>
            </w: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50–80</w:t>
            </w:r>
          </w:p>
        </w:tc>
        <w:tc>
          <w:tcPr>
            <w:tcW w:w="2500" w:type="dxa"/>
            <w:tcBorders>
              <w:top w:val="nil"/>
              <w:left w:val="single" w:sz="32" w:space="0" w:color="FFFFFF"/>
              <w:bottom w:val="nil"/>
              <w:right w:val="single" w:sz="32" w:space="0" w:color="FFFFFF"/>
            </w:tcBorders>
            <w:shd w:val="clear" w:color="auto" w:fill="D5D7D8"/>
          </w:tcPr>
          <w:p w:rsidR="00BB0659" w:rsidRPr="007544F0" w:rsidRDefault="00BB0659" w:rsidP="00413A54">
            <w:pPr>
              <w:rPr>
                <w:rFonts w:asciiTheme="minorHAnsi" w:hAnsiTheme="minorHAnsi"/>
              </w:rPr>
            </w:pPr>
          </w:p>
        </w:tc>
        <w:tc>
          <w:tcPr>
            <w:tcW w:w="860" w:type="dxa"/>
            <w:tcBorders>
              <w:top w:val="nil"/>
              <w:left w:val="single" w:sz="32" w:space="0" w:color="FFFFFF"/>
              <w:bottom w:val="nil"/>
              <w:right w:val="single" w:sz="32" w:space="0" w:color="FFFFFF"/>
            </w:tcBorders>
            <w:shd w:val="clear" w:color="auto" w:fill="D5D7D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50–80</w:t>
            </w:r>
          </w:p>
        </w:tc>
        <w:tc>
          <w:tcPr>
            <w:tcW w:w="2556" w:type="dxa"/>
            <w:tcBorders>
              <w:top w:val="nil"/>
              <w:left w:val="single" w:sz="32" w:space="0" w:color="FFFFFF"/>
              <w:bottom w:val="nil"/>
              <w:right w:val="nil"/>
            </w:tcBorders>
            <w:shd w:val="clear" w:color="auto" w:fill="D5D7D8"/>
          </w:tcPr>
          <w:p w:rsidR="00BB0659" w:rsidRPr="007544F0" w:rsidRDefault="00BB0659" w:rsidP="00413A54">
            <w:pPr>
              <w:rPr>
                <w:rFonts w:asciiTheme="minorHAnsi" w:hAnsiTheme="minorHAnsi"/>
              </w:rPr>
            </w:pPr>
          </w:p>
        </w:tc>
      </w:tr>
      <w:tr w:rsidR="00BB0659" w:rsidRPr="007544F0" w:rsidTr="00413A54">
        <w:trPr>
          <w:trHeight w:hRule="exact" w:val="596"/>
        </w:trPr>
        <w:tc>
          <w:tcPr>
            <w:tcW w:w="3264" w:type="dxa"/>
            <w:tcBorders>
              <w:top w:val="nil"/>
              <w:left w:val="nil"/>
              <w:bottom w:val="single" w:sz="32" w:space="0" w:color="FFFFFF"/>
              <w:right w:val="single" w:sz="32" w:space="0" w:color="FFFFFF"/>
            </w:tcBorders>
            <w:shd w:val="clear" w:color="auto" w:fill="E6E7E8"/>
          </w:tcPr>
          <w:p w:rsidR="00BB0659" w:rsidRPr="007544F0" w:rsidRDefault="00BB0659" w:rsidP="00413A54">
            <w:pPr>
              <w:spacing w:before="47" w:after="0"/>
              <w:ind w:left="120" w:right="-20"/>
              <w:rPr>
                <w:rFonts w:asciiTheme="minorHAnsi" w:eastAsia="Arial" w:hAnsiTheme="minorHAnsi" w:cs="Arial"/>
                <w:sz w:val="18"/>
                <w:szCs w:val="18"/>
              </w:rPr>
            </w:pPr>
            <w:r w:rsidRPr="007544F0">
              <w:rPr>
                <w:rFonts w:ascii="Arial" w:hAnsi="Arial" w:cs="Arial"/>
                <w:color w:val="231F20"/>
                <w:w w:val="67"/>
                <w:sz w:val="18"/>
                <w:szCs w:val="18"/>
              </w:rPr>
              <w:t>■</w:t>
            </w:r>
            <w:r w:rsidRPr="007544F0">
              <w:rPr>
                <w:rFonts w:asciiTheme="minorHAnsi" w:hAnsiTheme="minorHAnsi"/>
                <w:color w:val="231F20"/>
                <w:w w:val="67"/>
                <w:sz w:val="18"/>
                <w:szCs w:val="18"/>
              </w:rPr>
              <w:t xml:space="preserve"> </w:t>
            </w:r>
            <w:r w:rsidRPr="007544F0">
              <w:rPr>
                <w:rFonts w:asciiTheme="minorHAnsi" w:hAnsiTheme="minorHAnsi"/>
                <w:color w:val="231F20"/>
                <w:spacing w:val="27"/>
                <w:w w:val="67"/>
                <w:sz w:val="18"/>
                <w:szCs w:val="18"/>
              </w:rPr>
              <w:t xml:space="preserve"> </w:t>
            </w:r>
            <w:r w:rsidRPr="007544F0">
              <w:rPr>
                <w:rFonts w:asciiTheme="minorHAnsi" w:eastAsia="Arial" w:hAnsiTheme="minorHAnsi" w:cs="Arial"/>
                <w:color w:val="231F20"/>
                <w:w w:val="101"/>
                <w:sz w:val="18"/>
                <w:szCs w:val="18"/>
              </w:rPr>
              <w:t>Post-op</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30–80</w:t>
            </w:r>
          </w:p>
        </w:tc>
        <w:tc>
          <w:tcPr>
            <w:tcW w:w="250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line="255" w:lineRule="auto"/>
              <w:ind w:left="476" w:right="404" w:hanging="21"/>
              <w:rPr>
                <w:rFonts w:asciiTheme="minorHAnsi" w:eastAsia="Arial" w:hAnsiTheme="minorHAnsi" w:cs="Arial"/>
                <w:sz w:val="18"/>
                <w:szCs w:val="18"/>
              </w:rPr>
            </w:pPr>
            <w:r w:rsidRPr="007544F0">
              <w:rPr>
                <w:rFonts w:asciiTheme="minorHAnsi" w:eastAsia="Arial" w:hAnsiTheme="minorHAnsi" w:cs="Arial"/>
                <w:color w:val="231F20"/>
                <w:sz w:val="18"/>
                <w:szCs w:val="18"/>
              </w:rPr>
              <w:t>1-5,</w:t>
            </w:r>
            <w:r w:rsidRPr="007544F0">
              <w:rPr>
                <w:rFonts w:asciiTheme="minorHAnsi" w:eastAsia="Arial" w:hAnsiTheme="minorHAnsi" w:cs="Arial"/>
                <w:color w:val="231F20"/>
                <w:spacing w:val="5"/>
                <w:sz w:val="18"/>
                <w:szCs w:val="18"/>
              </w:rPr>
              <w:t xml:space="preserve"> </w:t>
            </w:r>
            <w:r w:rsidRPr="007544F0">
              <w:rPr>
                <w:rFonts w:asciiTheme="minorHAnsi" w:eastAsia="Arial" w:hAnsiTheme="minorHAnsi" w:cs="Arial"/>
                <w:color w:val="231F20"/>
                <w:sz w:val="18"/>
                <w:szCs w:val="18"/>
              </w:rPr>
              <w:t>depending</w:t>
            </w:r>
            <w:r w:rsidRPr="007544F0">
              <w:rPr>
                <w:rFonts w:asciiTheme="minorHAnsi" w:eastAsia="Arial" w:hAnsiTheme="minorHAnsi" w:cs="Arial"/>
                <w:color w:val="231F20"/>
                <w:spacing w:val="47"/>
                <w:sz w:val="18"/>
                <w:szCs w:val="18"/>
              </w:rPr>
              <w:t xml:space="preserve"> </w:t>
            </w:r>
            <w:r w:rsidRPr="007544F0">
              <w:rPr>
                <w:rFonts w:asciiTheme="minorHAnsi" w:eastAsia="Arial" w:hAnsiTheme="minorHAnsi" w:cs="Arial"/>
                <w:color w:val="231F20"/>
                <w:w w:val="103"/>
                <w:sz w:val="18"/>
                <w:szCs w:val="18"/>
              </w:rPr>
              <w:t xml:space="preserve">on </w:t>
            </w:r>
            <w:r w:rsidRPr="007544F0">
              <w:rPr>
                <w:rFonts w:asciiTheme="minorHAnsi" w:eastAsia="Arial" w:hAnsiTheme="minorHAnsi" w:cs="Arial"/>
                <w:color w:val="231F20"/>
                <w:sz w:val="18"/>
                <w:szCs w:val="18"/>
              </w:rPr>
              <w:t>type</w:t>
            </w:r>
            <w:r w:rsidRPr="007544F0">
              <w:rPr>
                <w:rFonts w:asciiTheme="minorHAnsi" w:eastAsia="Arial" w:hAnsiTheme="minorHAnsi" w:cs="Arial"/>
                <w:color w:val="231F20"/>
                <w:spacing w:val="22"/>
                <w:sz w:val="18"/>
                <w:szCs w:val="18"/>
              </w:rPr>
              <w:t xml:space="preserve"> </w:t>
            </w:r>
            <w:r w:rsidRPr="007544F0">
              <w:rPr>
                <w:rFonts w:asciiTheme="minorHAnsi" w:eastAsia="Arial" w:hAnsiTheme="minorHAnsi" w:cs="Arial"/>
                <w:color w:val="231F20"/>
                <w:sz w:val="18"/>
                <w:szCs w:val="18"/>
              </w:rPr>
              <w:t>of</w:t>
            </w:r>
            <w:r w:rsidRPr="007544F0">
              <w:rPr>
                <w:rFonts w:asciiTheme="minorHAnsi" w:eastAsia="Arial" w:hAnsiTheme="minorHAnsi" w:cs="Arial"/>
                <w:color w:val="231F20"/>
                <w:spacing w:val="17"/>
                <w:sz w:val="18"/>
                <w:szCs w:val="18"/>
              </w:rPr>
              <w:t xml:space="preserve"> </w:t>
            </w:r>
            <w:r w:rsidRPr="007544F0">
              <w:rPr>
                <w:rFonts w:asciiTheme="minorHAnsi" w:eastAsia="Arial" w:hAnsiTheme="minorHAnsi" w:cs="Arial"/>
                <w:color w:val="231F20"/>
                <w:w w:val="108"/>
                <w:sz w:val="18"/>
                <w:szCs w:val="18"/>
              </w:rPr>
              <w:t>p</w:t>
            </w:r>
            <w:r w:rsidRPr="007544F0">
              <w:rPr>
                <w:rFonts w:asciiTheme="minorHAnsi" w:eastAsia="Arial" w:hAnsiTheme="minorHAnsi" w:cs="Arial"/>
                <w:color w:val="231F20"/>
                <w:spacing w:val="-3"/>
                <w:w w:val="108"/>
                <w:sz w:val="18"/>
                <w:szCs w:val="18"/>
              </w:rPr>
              <w:t>r</w:t>
            </w:r>
            <w:r w:rsidRPr="007544F0">
              <w:rPr>
                <w:rFonts w:asciiTheme="minorHAnsi" w:eastAsia="Arial" w:hAnsiTheme="minorHAnsi" w:cs="Arial"/>
                <w:color w:val="231F20"/>
                <w:w w:val="103"/>
                <w:sz w:val="18"/>
                <w:szCs w:val="18"/>
              </w:rPr>
              <w:t>ocedu</w:t>
            </w:r>
            <w:r w:rsidRPr="007544F0">
              <w:rPr>
                <w:rFonts w:asciiTheme="minorHAnsi" w:eastAsia="Arial" w:hAnsiTheme="minorHAnsi" w:cs="Arial"/>
                <w:color w:val="231F20"/>
                <w:spacing w:val="-3"/>
                <w:w w:val="103"/>
                <w:sz w:val="18"/>
                <w:szCs w:val="18"/>
              </w:rPr>
              <w:t>r</w:t>
            </w:r>
            <w:r w:rsidRPr="007544F0">
              <w:rPr>
                <w:rFonts w:asciiTheme="minorHAnsi" w:eastAsia="Arial" w:hAnsiTheme="minorHAnsi" w:cs="Arial"/>
                <w:color w:val="231F20"/>
                <w:sz w:val="18"/>
                <w:szCs w:val="18"/>
              </w:rPr>
              <w:t>e</w:t>
            </w:r>
          </w:p>
        </w:tc>
        <w:tc>
          <w:tcPr>
            <w:tcW w:w="860" w:type="dxa"/>
            <w:tcBorders>
              <w:top w:val="nil"/>
              <w:left w:val="single" w:sz="32" w:space="0" w:color="FFFFFF"/>
              <w:bottom w:val="single" w:sz="32" w:space="0" w:color="FFFFFF"/>
              <w:right w:val="single" w:sz="32" w:space="0" w:color="FFFFFF"/>
            </w:tcBorders>
            <w:shd w:val="clear" w:color="auto" w:fill="E6E7E8"/>
          </w:tcPr>
          <w:p w:rsidR="00BB0659" w:rsidRPr="007544F0" w:rsidRDefault="00BB0659" w:rsidP="00413A54">
            <w:pPr>
              <w:spacing w:before="47" w:after="0"/>
              <w:ind w:left="145" w:right="-20"/>
              <w:rPr>
                <w:rFonts w:asciiTheme="minorHAnsi" w:eastAsia="Arial" w:hAnsiTheme="minorHAnsi" w:cs="Arial"/>
                <w:sz w:val="18"/>
                <w:szCs w:val="18"/>
              </w:rPr>
            </w:pPr>
            <w:r w:rsidRPr="007544F0">
              <w:rPr>
                <w:rFonts w:asciiTheme="minorHAnsi" w:eastAsia="Arial" w:hAnsiTheme="minorHAnsi" w:cs="Arial"/>
                <w:color w:val="231F20"/>
                <w:sz w:val="18"/>
                <w:szCs w:val="18"/>
              </w:rPr>
              <w:t>30–80</w:t>
            </w:r>
          </w:p>
        </w:tc>
        <w:tc>
          <w:tcPr>
            <w:tcW w:w="2556" w:type="dxa"/>
            <w:tcBorders>
              <w:top w:val="nil"/>
              <w:left w:val="single" w:sz="32" w:space="0" w:color="FFFFFF"/>
              <w:bottom w:val="single" w:sz="32" w:space="0" w:color="FFFFFF"/>
              <w:right w:val="nil"/>
            </w:tcBorders>
            <w:shd w:val="clear" w:color="auto" w:fill="E6E7E8"/>
          </w:tcPr>
          <w:p w:rsidR="00BB0659" w:rsidRPr="007544F0" w:rsidRDefault="00BB0659" w:rsidP="00413A54">
            <w:pPr>
              <w:spacing w:before="47" w:after="0" w:line="255" w:lineRule="auto"/>
              <w:ind w:left="504" w:right="457" w:hanging="36"/>
              <w:rPr>
                <w:rFonts w:asciiTheme="minorHAnsi" w:eastAsia="Arial" w:hAnsiTheme="minorHAnsi" w:cs="Arial"/>
                <w:sz w:val="18"/>
                <w:szCs w:val="18"/>
              </w:rPr>
            </w:pPr>
            <w:r w:rsidRPr="007544F0">
              <w:rPr>
                <w:rFonts w:asciiTheme="minorHAnsi" w:eastAsia="Arial" w:hAnsiTheme="minorHAnsi" w:cs="Arial"/>
                <w:color w:val="231F20"/>
                <w:sz w:val="18"/>
                <w:szCs w:val="18"/>
              </w:rPr>
              <w:t>1–5,</w:t>
            </w:r>
            <w:r w:rsidRPr="007544F0">
              <w:rPr>
                <w:rFonts w:asciiTheme="minorHAnsi" w:eastAsia="Arial" w:hAnsiTheme="minorHAnsi" w:cs="Arial"/>
                <w:color w:val="231F20"/>
                <w:spacing w:val="-6"/>
                <w:sz w:val="18"/>
                <w:szCs w:val="18"/>
              </w:rPr>
              <w:t xml:space="preserve"> </w:t>
            </w:r>
            <w:r w:rsidRPr="007544F0">
              <w:rPr>
                <w:rFonts w:asciiTheme="minorHAnsi" w:eastAsia="Arial" w:hAnsiTheme="minorHAnsi" w:cs="Arial"/>
                <w:color w:val="231F20"/>
                <w:sz w:val="18"/>
                <w:szCs w:val="18"/>
              </w:rPr>
              <w:t>depending</w:t>
            </w:r>
            <w:r w:rsidRPr="007544F0">
              <w:rPr>
                <w:rFonts w:asciiTheme="minorHAnsi" w:eastAsia="Arial" w:hAnsiTheme="minorHAnsi" w:cs="Arial"/>
                <w:color w:val="231F20"/>
                <w:spacing w:val="47"/>
                <w:sz w:val="18"/>
                <w:szCs w:val="18"/>
              </w:rPr>
              <w:t xml:space="preserve"> </w:t>
            </w:r>
            <w:r w:rsidRPr="007544F0">
              <w:rPr>
                <w:rFonts w:asciiTheme="minorHAnsi" w:eastAsia="Arial" w:hAnsiTheme="minorHAnsi" w:cs="Arial"/>
                <w:color w:val="231F20"/>
                <w:w w:val="103"/>
                <w:sz w:val="18"/>
                <w:szCs w:val="18"/>
              </w:rPr>
              <w:t xml:space="preserve">on </w:t>
            </w:r>
            <w:r w:rsidRPr="007544F0">
              <w:rPr>
                <w:rFonts w:asciiTheme="minorHAnsi" w:eastAsia="Arial" w:hAnsiTheme="minorHAnsi" w:cs="Arial"/>
                <w:color w:val="231F20"/>
                <w:sz w:val="18"/>
                <w:szCs w:val="18"/>
              </w:rPr>
              <w:t>type</w:t>
            </w:r>
            <w:r w:rsidRPr="007544F0">
              <w:rPr>
                <w:rFonts w:asciiTheme="minorHAnsi" w:eastAsia="Arial" w:hAnsiTheme="minorHAnsi" w:cs="Arial"/>
                <w:color w:val="231F20"/>
                <w:spacing w:val="22"/>
                <w:sz w:val="18"/>
                <w:szCs w:val="18"/>
              </w:rPr>
              <w:t xml:space="preserve"> </w:t>
            </w:r>
            <w:r w:rsidRPr="007544F0">
              <w:rPr>
                <w:rFonts w:asciiTheme="minorHAnsi" w:eastAsia="Arial" w:hAnsiTheme="minorHAnsi" w:cs="Arial"/>
                <w:color w:val="231F20"/>
                <w:sz w:val="18"/>
                <w:szCs w:val="18"/>
              </w:rPr>
              <w:t>of</w:t>
            </w:r>
            <w:r w:rsidRPr="007544F0">
              <w:rPr>
                <w:rFonts w:asciiTheme="minorHAnsi" w:eastAsia="Arial" w:hAnsiTheme="minorHAnsi" w:cs="Arial"/>
                <w:color w:val="231F20"/>
                <w:spacing w:val="17"/>
                <w:sz w:val="18"/>
                <w:szCs w:val="18"/>
              </w:rPr>
              <w:t xml:space="preserve"> </w:t>
            </w:r>
            <w:r w:rsidRPr="007544F0">
              <w:rPr>
                <w:rFonts w:asciiTheme="minorHAnsi" w:eastAsia="Arial" w:hAnsiTheme="minorHAnsi" w:cs="Arial"/>
                <w:color w:val="231F20"/>
                <w:w w:val="108"/>
                <w:sz w:val="18"/>
                <w:szCs w:val="18"/>
              </w:rPr>
              <w:t>p</w:t>
            </w:r>
            <w:r w:rsidRPr="007544F0">
              <w:rPr>
                <w:rFonts w:asciiTheme="minorHAnsi" w:eastAsia="Arial" w:hAnsiTheme="minorHAnsi" w:cs="Arial"/>
                <w:color w:val="231F20"/>
                <w:spacing w:val="-3"/>
                <w:w w:val="108"/>
                <w:sz w:val="18"/>
                <w:szCs w:val="18"/>
              </w:rPr>
              <w:t>r</w:t>
            </w:r>
            <w:r w:rsidRPr="007544F0">
              <w:rPr>
                <w:rFonts w:asciiTheme="minorHAnsi" w:eastAsia="Arial" w:hAnsiTheme="minorHAnsi" w:cs="Arial"/>
                <w:color w:val="231F20"/>
                <w:w w:val="103"/>
                <w:sz w:val="18"/>
                <w:szCs w:val="18"/>
              </w:rPr>
              <w:t>ocedu</w:t>
            </w:r>
            <w:r w:rsidRPr="007544F0">
              <w:rPr>
                <w:rFonts w:asciiTheme="minorHAnsi" w:eastAsia="Arial" w:hAnsiTheme="minorHAnsi" w:cs="Arial"/>
                <w:color w:val="231F20"/>
                <w:spacing w:val="-3"/>
                <w:w w:val="103"/>
                <w:sz w:val="18"/>
                <w:szCs w:val="18"/>
              </w:rPr>
              <w:t>r</w:t>
            </w:r>
            <w:r w:rsidRPr="007544F0">
              <w:rPr>
                <w:rFonts w:asciiTheme="minorHAnsi" w:eastAsia="Arial" w:hAnsiTheme="minorHAnsi" w:cs="Arial"/>
                <w:color w:val="231F20"/>
                <w:sz w:val="18"/>
                <w:szCs w:val="18"/>
              </w:rPr>
              <w:t>e</w:t>
            </w:r>
          </w:p>
        </w:tc>
      </w:tr>
    </w:tbl>
    <w:p w:rsidR="000A1EF2" w:rsidRPr="007544F0" w:rsidRDefault="00BB0659">
      <w:pPr>
        <w:spacing w:before="100" w:after="0"/>
        <w:ind w:left="-567" w:right="-20"/>
        <w:rPr>
          <w:rFonts w:asciiTheme="minorHAnsi" w:eastAsia="Arial" w:hAnsiTheme="minorHAnsi" w:cs="Arial"/>
          <w:color w:val="231F20"/>
          <w:sz w:val="16"/>
          <w:szCs w:val="16"/>
        </w:rPr>
      </w:pPr>
      <w:r w:rsidRPr="007544F0">
        <w:rPr>
          <w:rFonts w:asciiTheme="minorHAnsi" w:eastAsia="Arial" w:hAnsiTheme="minorHAnsi" w:cs="Arial"/>
          <w:color w:val="231F20"/>
          <w:sz w:val="16"/>
          <w:szCs w:val="16"/>
        </w:rPr>
        <w:t>NV; neurovascular</w:t>
      </w:r>
      <w:r w:rsidR="000A1EF2">
        <w:rPr>
          <w:rFonts w:asciiTheme="minorHAnsi" w:eastAsia="Arial" w:hAnsiTheme="minorHAnsi" w:cs="Arial"/>
          <w:color w:val="231F20"/>
          <w:sz w:val="16"/>
          <w:szCs w:val="16"/>
        </w:rPr>
        <w:br/>
        <w:t>CNS; central nervous system</w:t>
      </w:r>
    </w:p>
    <w:p w:rsidR="00FE440A" w:rsidRDefault="00FE440A">
      <w:pPr>
        <w:spacing w:after="200" w:line="276" w:lineRule="auto"/>
        <w:ind w:left="0"/>
        <w:rPr>
          <w:rFonts w:asciiTheme="minorHAnsi" w:hAnsiTheme="minorHAnsi" w:cs="Minion Pro"/>
          <w:color w:val="221E1F"/>
          <w:sz w:val="23"/>
          <w:szCs w:val="23"/>
          <w:lang w:eastAsia="en-US"/>
        </w:rPr>
      </w:pPr>
      <w:r>
        <w:rPr>
          <w:rFonts w:asciiTheme="minorHAnsi" w:hAnsiTheme="minorHAnsi" w:cs="Minion Pro"/>
          <w:color w:val="221E1F"/>
          <w:sz w:val="23"/>
          <w:szCs w:val="23"/>
          <w:lang w:eastAsia="en-US"/>
        </w:rPr>
        <w:br w:type="page"/>
      </w:r>
    </w:p>
    <w:p w:rsidR="00BB0659" w:rsidRPr="005C6F0E" w:rsidRDefault="00BB0659" w:rsidP="00041ED2">
      <w:pPr>
        <w:spacing w:before="100" w:after="0"/>
        <w:ind w:left="0" w:right="-20"/>
        <w:rPr>
          <w:rFonts w:asciiTheme="minorHAnsi" w:eastAsia="Arial" w:hAnsiTheme="minorHAnsi" w:cs="Arial"/>
          <w:sz w:val="16"/>
          <w:szCs w:val="16"/>
        </w:rPr>
      </w:pPr>
      <w:r w:rsidRPr="007544F0">
        <w:rPr>
          <w:rFonts w:asciiTheme="minorHAnsi" w:hAnsiTheme="minorHAnsi" w:cs="Avenir LT Std 55 Roman"/>
          <w:b/>
          <w:bCs/>
          <w:color w:val="E31736"/>
          <w:sz w:val="28"/>
          <w:szCs w:val="28"/>
          <w:lang w:eastAsia="en-US"/>
        </w:rPr>
        <w:lastRenderedPageBreak/>
        <w:t>References</w:t>
      </w:r>
    </w:p>
    <w:p w:rsidR="00BB0659" w:rsidRPr="007544F0" w:rsidRDefault="00BB0659" w:rsidP="009E7524">
      <w:pPr>
        <w:numPr>
          <w:ilvl w:val="0"/>
          <w:numId w:val="107"/>
        </w:numPr>
        <w:autoSpaceDE w:val="0"/>
        <w:autoSpaceDN w:val="0"/>
        <w:adjustRightInd w:val="0"/>
        <w:spacing w:after="0" w:line="276" w:lineRule="auto"/>
        <w:ind w:left="567" w:hanging="566"/>
        <w:rPr>
          <w:rFonts w:asciiTheme="minorHAnsi" w:hAnsiTheme="minorHAnsi" w:cs="Arial"/>
          <w:color w:val="221E1F"/>
          <w:lang w:eastAsia="en-US"/>
        </w:rPr>
      </w:pPr>
      <w:r w:rsidRPr="007544F0">
        <w:rPr>
          <w:rFonts w:asciiTheme="minorHAnsi" w:hAnsiTheme="minorHAnsi" w:cs="Arial"/>
          <w:color w:val="221E1F"/>
          <w:lang w:eastAsia="en-US"/>
        </w:rPr>
        <w:t xml:space="preserve">Astermark J, Petrini P, Tengborn L, Schulman S, Ljung R, Berntorp E. Primary prophylaxis in severe haemophilia should be started at an early age but can be in dividualized. </w:t>
      </w:r>
      <w:r w:rsidRPr="007544F0">
        <w:rPr>
          <w:rFonts w:asciiTheme="minorHAnsi" w:hAnsiTheme="minorHAnsi" w:cs="Arial"/>
          <w:i/>
          <w:iCs/>
          <w:color w:val="221E1F"/>
          <w:lang w:eastAsia="en-US"/>
        </w:rPr>
        <w:t xml:space="preserve">Br J Haematol </w:t>
      </w:r>
      <w:r w:rsidRPr="007544F0">
        <w:rPr>
          <w:rFonts w:asciiTheme="minorHAnsi" w:hAnsiTheme="minorHAnsi" w:cs="Arial"/>
          <w:color w:val="221E1F"/>
          <w:lang w:eastAsia="en-US"/>
        </w:rPr>
        <w:t>1999 Jun</w:t>
      </w:r>
      <w:proofErr w:type="gramStart"/>
      <w:r w:rsidRPr="007544F0">
        <w:rPr>
          <w:rFonts w:asciiTheme="minorHAnsi" w:hAnsiTheme="minorHAnsi" w:cs="Arial"/>
          <w:color w:val="221E1F"/>
          <w:lang w:eastAsia="en-US"/>
        </w:rPr>
        <w:t>;105</w:t>
      </w:r>
      <w:proofErr w:type="gramEnd"/>
      <w:r w:rsidRPr="007544F0">
        <w:rPr>
          <w:rFonts w:asciiTheme="minorHAnsi" w:hAnsiTheme="minorHAnsi" w:cs="Arial"/>
          <w:color w:val="221E1F"/>
          <w:lang w:eastAsia="en-US"/>
        </w:rPr>
        <w:t>(4):1109-13.</w:t>
      </w:r>
    </w:p>
    <w:p w:rsidR="00BB0659" w:rsidRPr="007544F0" w:rsidRDefault="00BB0659" w:rsidP="009E7524">
      <w:pPr>
        <w:numPr>
          <w:ilvl w:val="0"/>
          <w:numId w:val="107"/>
        </w:numPr>
        <w:autoSpaceDE w:val="0"/>
        <w:autoSpaceDN w:val="0"/>
        <w:adjustRightInd w:val="0"/>
        <w:spacing w:after="0" w:line="276" w:lineRule="auto"/>
        <w:ind w:left="567" w:hanging="566"/>
        <w:rPr>
          <w:rFonts w:asciiTheme="minorHAnsi" w:hAnsiTheme="minorHAnsi" w:cs="Arial"/>
          <w:color w:val="221E1F"/>
          <w:lang w:eastAsia="en-US"/>
        </w:rPr>
      </w:pPr>
      <w:r w:rsidRPr="007544F0">
        <w:rPr>
          <w:rFonts w:asciiTheme="minorHAnsi" w:hAnsiTheme="minorHAnsi" w:cs="Arial"/>
          <w:color w:val="221E1F"/>
          <w:lang w:eastAsia="en-US"/>
        </w:rPr>
        <w:t xml:space="preserve">Blanchette VS. Prophylaxis in the haemophilia population. </w:t>
      </w:r>
      <w:r w:rsidRPr="007544F0">
        <w:rPr>
          <w:rFonts w:asciiTheme="minorHAnsi" w:hAnsiTheme="minorHAnsi" w:cs="Arial"/>
          <w:i/>
          <w:iCs/>
          <w:color w:val="221E1F"/>
          <w:lang w:eastAsia="en-US"/>
        </w:rPr>
        <w:t xml:space="preserve">Haemophilia </w:t>
      </w:r>
      <w:r w:rsidRPr="007544F0">
        <w:rPr>
          <w:rFonts w:asciiTheme="minorHAnsi" w:hAnsiTheme="minorHAnsi" w:cs="Arial"/>
          <w:color w:val="221E1F"/>
          <w:lang w:eastAsia="en-US"/>
        </w:rPr>
        <w:t>2010</w:t>
      </w:r>
      <w:proofErr w:type="gramStart"/>
      <w:r w:rsidRPr="007544F0">
        <w:rPr>
          <w:rFonts w:asciiTheme="minorHAnsi" w:hAnsiTheme="minorHAnsi" w:cs="Arial"/>
          <w:color w:val="221E1F"/>
          <w:lang w:eastAsia="en-US"/>
        </w:rPr>
        <w:t>;16</w:t>
      </w:r>
      <w:proofErr w:type="gramEnd"/>
      <w:r w:rsidRPr="007544F0">
        <w:rPr>
          <w:rFonts w:asciiTheme="minorHAnsi" w:hAnsiTheme="minorHAnsi" w:cs="Arial"/>
          <w:color w:val="221E1F"/>
          <w:lang w:eastAsia="en-US"/>
        </w:rPr>
        <w:t>(Suppl 5):181-8.</w:t>
      </w:r>
    </w:p>
    <w:p w:rsidR="00BB0659" w:rsidRPr="007544F0" w:rsidRDefault="00BB0659" w:rsidP="009E7524">
      <w:pPr>
        <w:numPr>
          <w:ilvl w:val="0"/>
          <w:numId w:val="107"/>
        </w:numPr>
        <w:autoSpaceDE w:val="0"/>
        <w:autoSpaceDN w:val="0"/>
        <w:adjustRightInd w:val="0"/>
        <w:spacing w:after="0" w:line="276" w:lineRule="auto"/>
        <w:ind w:left="567" w:hanging="566"/>
        <w:rPr>
          <w:rFonts w:asciiTheme="minorHAnsi" w:hAnsiTheme="minorHAnsi" w:cs="Arial"/>
          <w:color w:val="221E1F"/>
          <w:lang w:eastAsia="en-US"/>
        </w:rPr>
      </w:pPr>
      <w:r w:rsidRPr="007544F0">
        <w:rPr>
          <w:rFonts w:asciiTheme="minorHAnsi" w:hAnsiTheme="minorHAnsi" w:cs="Arial"/>
          <w:color w:val="221E1F"/>
          <w:lang w:eastAsia="en-US"/>
        </w:rPr>
        <w:t xml:space="preserve">Gringeri A, Lundin B, von Mackensen S, Mantovani L, Mannucci PM; ESPRIT Study Group. A randomized clinical trial of prophylaxis in children with hemophilia A (the ESPRIT Study). </w:t>
      </w:r>
      <w:r w:rsidRPr="007544F0">
        <w:rPr>
          <w:rFonts w:asciiTheme="minorHAnsi" w:hAnsiTheme="minorHAnsi" w:cs="Arial"/>
          <w:i/>
          <w:iCs/>
          <w:color w:val="221E1F"/>
          <w:lang w:eastAsia="en-US"/>
        </w:rPr>
        <w:t xml:space="preserve">J Thromb Haemost </w:t>
      </w:r>
      <w:r w:rsidRPr="007544F0">
        <w:rPr>
          <w:rFonts w:asciiTheme="minorHAnsi" w:hAnsiTheme="minorHAnsi" w:cs="Arial"/>
          <w:color w:val="221E1F"/>
          <w:lang w:eastAsia="en-US"/>
        </w:rPr>
        <w:t>2011 Apr</w:t>
      </w:r>
      <w:proofErr w:type="gramStart"/>
      <w:r w:rsidRPr="007544F0">
        <w:rPr>
          <w:rFonts w:asciiTheme="minorHAnsi" w:hAnsiTheme="minorHAnsi" w:cs="Arial"/>
          <w:color w:val="221E1F"/>
          <w:lang w:eastAsia="en-US"/>
        </w:rPr>
        <w:t>;9</w:t>
      </w:r>
      <w:proofErr w:type="gramEnd"/>
      <w:r w:rsidRPr="007544F0">
        <w:rPr>
          <w:rFonts w:asciiTheme="minorHAnsi" w:hAnsiTheme="minorHAnsi" w:cs="Arial"/>
          <w:color w:val="221E1F"/>
          <w:lang w:eastAsia="en-US"/>
        </w:rPr>
        <w:t>(4):700-10.</w:t>
      </w:r>
    </w:p>
    <w:p w:rsidR="00BB0659" w:rsidRPr="007544F0" w:rsidRDefault="00BB0659" w:rsidP="009E7524">
      <w:pPr>
        <w:numPr>
          <w:ilvl w:val="0"/>
          <w:numId w:val="107"/>
        </w:numPr>
        <w:autoSpaceDE w:val="0"/>
        <w:autoSpaceDN w:val="0"/>
        <w:adjustRightInd w:val="0"/>
        <w:spacing w:after="0" w:line="276" w:lineRule="auto"/>
        <w:ind w:left="567" w:hanging="566"/>
        <w:rPr>
          <w:rFonts w:asciiTheme="minorHAnsi" w:hAnsiTheme="minorHAnsi" w:cs="Arial"/>
          <w:color w:val="221E1F"/>
          <w:lang w:eastAsia="en-US"/>
        </w:rPr>
      </w:pPr>
      <w:r w:rsidRPr="007544F0">
        <w:rPr>
          <w:rFonts w:asciiTheme="minorHAnsi" w:hAnsiTheme="minorHAnsi" w:cs="Arial"/>
          <w:color w:val="221E1F"/>
          <w:lang w:eastAsia="en-US"/>
        </w:rPr>
        <w:t xml:space="preserve">Fischer K, van der Bom JG, Mauser-Bunschoten EP, Roosendaal G, Prejs R, Grobbee DE, van den Berg HM. Changes in treatment strategies for severe haemophilia over the last 3 decades: effects on clotting factor consumption and arthropathy. </w:t>
      </w:r>
      <w:r w:rsidRPr="007544F0">
        <w:rPr>
          <w:rFonts w:asciiTheme="minorHAnsi" w:hAnsiTheme="minorHAnsi" w:cs="Arial"/>
          <w:i/>
          <w:iCs/>
          <w:color w:val="221E1F"/>
          <w:lang w:eastAsia="en-US"/>
        </w:rPr>
        <w:t xml:space="preserve">Haemophilia </w:t>
      </w:r>
      <w:r w:rsidRPr="007544F0">
        <w:rPr>
          <w:rFonts w:asciiTheme="minorHAnsi" w:hAnsiTheme="minorHAnsi" w:cs="Arial"/>
          <w:color w:val="221E1F"/>
          <w:lang w:eastAsia="en-US"/>
        </w:rPr>
        <w:t>2001 Sep</w:t>
      </w:r>
      <w:proofErr w:type="gramStart"/>
      <w:r w:rsidRPr="007544F0">
        <w:rPr>
          <w:rFonts w:asciiTheme="minorHAnsi" w:hAnsiTheme="minorHAnsi" w:cs="Arial"/>
          <w:color w:val="221E1F"/>
          <w:lang w:eastAsia="en-US"/>
        </w:rPr>
        <w:t>;7</w:t>
      </w:r>
      <w:proofErr w:type="gramEnd"/>
      <w:r w:rsidRPr="007544F0">
        <w:rPr>
          <w:rFonts w:asciiTheme="minorHAnsi" w:hAnsiTheme="minorHAnsi" w:cs="Arial"/>
          <w:color w:val="221E1F"/>
          <w:lang w:eastAsia="en-US"/>
        </w:rPr>
        <w:t>(5):446-52.</w:t>
      </w:r>
    </w:p>
    <w:p w:rsidR="00BB0659" w:rsidRPr="007544F0" w:rsidRDefault="00BB0659" w:rsidP="009E7524">
      <w:pPr>
        <w:numPr>
          <w:ilvl w:val="0"/>
          <w:numId w:val="107"/>
        </w:numPr>
        <w:autoSpaceDE w:val="0"/>
        <w:autoSpaceDN w:val="0"/>
        <w:adjustRightInd w:val="0"/>
        <w:spacing w:after="0" w:line="276" w:lineRule="auto"/>
        <w:ind w:left="567" w:hanging="566"/>
        <w:rPr>
          <w:rFonts w:asciiTheme="minorHAnsi" w:hAnsiTheme="minorHAnsi" w:cs="Arial"/>
          <w:color w:val="221E1F"/>
          <w:lang w:eastAsia="en-US"/>
        </w:rPr>
      </w:pPr>
      <w:r w:rsidRPr="007544F0">
        <w:rPr>
          <w:rFonts w:asciiTheme="minorHAnsi" w:hAnsiTheme="minorHAnsi" w:cs="Arial"/>
          <w:color w:val="221E1F"/>
          <w:lang w:eastAsia="en-US"/>
        </w:rPr>
        <w:t xml:space="preserve">Wu R, Luke KH, Poon MC, Wu X, Zhang N, Zhao L, Su Y, Zhang J. Low dose secondary prophylaxis reduces joint bleeding in severe and moderate haemophilic children: a pilot study in China. </w:t>
      </w:r>
      <w:r w:rsidRPr="007544F0">
        <w:rPr>
          <w:rFonts w:asciiTheme="minorHAnsi" w:hAnsiTheme="minorHAnsi" w:cs="Arial"/>
          <w:i/>
          <w:iCs/>
          <w:color w:val="221E1F"/>
          <w:lang w:eastAsia="en-US"/>
        </w:rPr>
        <w:t xml:space="preserve">Haemophilia </w:t>
      </w:r>
      <w:r w:rsidRPr="007544F0">
        <w:rPr>
          <w:rFonts w:asciiTheme="minorHAnsi" w:hAnsiTheme="minorHAnsi" w:cs="Arial"/>
          <w:color w:val="221E1F"/>
          <w:lang w:eastAsia="en-US"/>
        </w:rPr>
        <w:t>2011 Jan</w:t>
      </w:r>
      <w:proofErr w:type="gramStart"/>
      <w:r w:rsidRPr="007544F0">
        <w:rPr>
          <w:rFonts w:asciiTheme="minorHAnsi" w:hAnsiTheme="minorHAnsi" w:cs="Arial"/>
          <w:color w:val="221E1F"/>
          <w:lang w:eastAsia="en-US"/>
        </w:rPr>
        <w:t>;17</w:t>
      </w:r>
      <w:proofErr w:type="gramEnd"/>
      <w:r w:rsidRPr="007544F0">
        <w:rPr>
          <w:rFonts w:asciiTheme="minorHAnsi" w:hAnsiTheme="minorHAnsi" w:cs="Arial"/>
          <w:color w:val="221E1F"/>
          <w:lang w:eastAsia="en-US"/>
        </w:rPr>
        <w:t>(1):70-4.</w:t>
      </w:r>
    </w:p>
    <w:p w:rsidR="00BB0659" w:rsidRPr="007544F0" w:rsidRDefault="00BB0659" w:rsidP="009E7524">
      <w:pPr>
        <w:numPr>
          <w:ilvl w:val="0"/>
          <w:numId w:val="107"/>
        </w:numPr>
        <w:autoSpaceDE w:val="0"/>
        <w:autoSpaceDN w:val="0"/>
        <w:adjustRightInd w:val="0"/>
        <w:spacing w:after="0" w:line="276" w:lineRule="auto"/>
        <w:ind w:left="567" w:hanging="566"/>
        <w:rPr>
          <w:rFonts w:asciiTheme="minorHAnsi" w:hAnsiTheme="minorHAnsi" w:cs="Arial"/>
          <w:color w:val="221E1F"/>
          <w:lang w:eastAsia="en-US"/>
        </w:rPr>
      </w:pPr>
      <w:r w:rsidRPr="007544F0">
        <w:rPr>
          <w:rFonts w:asciiTheme="minorHAnsi" w:hAnsiTheme="minorHAnsi" w:cs="Arial"/>
          <w:color w:val="221E1F"/>
          <w:lang w:eastAsia="en-US"/>
        </w:rPr>
        <w:t xml:space="preserve">Rickard KA. Guidelines for therapy and optimal dosages of coagulation factors for treatment of bleeding and surgery in haemophilia. </w:t>
      </w:r>
      <w:r w:rsidRPr="007544F0">
        <w:rPr>
          <w:rFonts w:asciiTheme="minorHAnsi" w:hAnsiTheme="minorHAnsi" w:cs="Arial"/>
          <w:i/>
          <w:iCs/>
          <w:color w:val="221E1F"/>
          <w:lang w:eastAsia="en-US"/>
        </w:rPr>
        <w:t xml:space="preserve">Haemophilia </w:t>
      </w:r>
      <w:r w:rsidRPr="007544F0">
        <w:rPr>
          <w:rFonts w:asciiTheme="minorHAnsi" w:hAnsiTheme="minorHAnsi" w:cs="Arial"/>
          <w:color w:val="221E1F"/>
          <w:lang w:eastAsia="en-US"/>
        </w:rPr>
        <w:t>1995;1(S1):8–13</w:t>
      </w:r>
    </w:p>
    <w:p w:rsidR="00BB0659" w:rsidRPr="007544F0" w:rsidRDefault="00BB0659" w:rsidP="00BB0659">
      <w:pPr>
        <w:autoSpaceDE w:val="0"/>
        <w:autoSpaceDN w:val="0"/>
        <w:adjustRightInd w:val="0"/>
        <w:spacing w:after="0"/>
        <w:ind w:left="425" w:hanging="425"/>
        <w:rPr>
          <w:rFonts w:asciiTheme="minorHAnsi" w:hAnsiTheme="minorHAnsi" w:cs="Arial"/>
          <w:color w:val="221E1F"/>
          <w:lang w:eastAsia="en-US"/>
        </w:rPr>
      </w:pPr>
    </w:p>
    <w:p w:rsidR="00BB0659" w:rsidRDefault="00BB0659">
      <w:pPr>
        <w:spacing w:after="200" w:line="276" w:lineRule="auto"/>
        <w:ind w:left="0"/>
      </w:pPr>
      <w:r>
        <w:br w:type="page"/>
      </w:r>
    </w:p>
    <w:p w:rsidR="00FE440A" w:rsidRPr="00214A6A" w:rsidRDefault="00FE440A" w:rsidP="000B0ED6">
      <w:pPr>
        <w:pStyle w:val="Heading2"/>
        <w:spacing w:before="240" w:after="0"/>
        <w:ind w:left="709" w:hanging="709"/>
      </w:pPr>
      <w:bookmarkStart w:id="52" w:name="_Toc431484345"/>
      <w:r w:rsidRPr="00041ED2">
        <w:rPr>
          <w:sz w:val="108"/>
          <w:szCs w:val="108"/>
        </w:rPr>
        <w:lastRenderedPageBreak/>
        <w:t>8</w:t>
      </w:r>
      <w:r w:rsidRPr="00041ED2">
        <w:t xml:space="preserve"> THE FRAMEWORK FOR MANAGEMENT OF BLEEDING DISORDERS</w:t>
      </w:r>
      <w:r w:rsidR="000B0ED6">
        <w:t xml:space="preserve"> </w:t>
      </w:r>
      <w:r w:rsidRPr="00041ED2">
        <w:t>IN AUSTRALIA</w:t>
      </w:r>
      <w:bookmarkEnd w:id="52"/>
    </w:p>
    <w:p w:rsidR="00FE440A" w:rsidRPr="00041ED2" w:rsidRDefault="00FE440A" w:rsidP="00041ED2">
      <w:pPr>
        <w:pStyle w:val="Heading3"/>
        <w:rPr>
          <w:rStyle w:val="A8"/>
        </w:rPr>
      </w:pPr>
      <w:bookmarkStart w:id="53" w:name="_Toc431484346"/>
      <w:r w:rsidRPr="00041ED2">
        <w:rPr>
          <w:rStyle w:val="A8"/>
        </w:rPr>
        <w:t>Introduction</w:t>
      </w:r>
      <w:bookmarkEnd w:id="53"/>
    </w:p>
    <w:p w:rsidR="00FE440A" w:rsidRPr="00E445C3" w:rsidRDefault="00FE440A" w:rsidP="00041ED2">
      <w:pPr>
        <w:ind w:left="0"/>
      </w:pPr>
      <w:r w:rsidRPr="00E445C3">
        <w:t>Australia has a well-established framework of policy, funding, health service and stakeholder arrangements for the care of people with bleeding disorders.</w:t>
      </w:r>
    </w:p>
    <w:p w:rsidR="00FE440A" w:rsidRPr="00E445C3" w:rsidRDefault="00FE440A" w:rsidP="00041ED2">
      <w:pPr>
        <w:ind w:left="0"/>
      </w:pPr>
      <w:r w:rsidRPr="00E445C3">
        <w:t xml:space="preserve">Within this framework, five key elements contribute towards the following complementary objectives:  </w:t>
      </w:r>
    </w:p>
    <w:p w:rsidR="00FE440A" w:rsidRPr="00E445C3" w:rsidRDefault="00FE440A" w:rsidP="00041ED2">
      <w:pPr>
        <w:pStyle w:val="ListParagraph"/>
        <w:numPr>
          <w:ilvl w:val="0"/>
          <w:numId w:val="116"/>
        </w:numPr>
      </w:pPr>
      <w:r w:rsidRPr="00E445C3">
        <w:t>Ensuring an appropriate and high-quality standard of care for people with bleeding disorders.</w:t>
      </w:r>
      <w:r w:rsidR="000A1EF2">
        <w:br/>
      </w:r>
    </w:p>
    <w:p w:rsidR="00FE440A" w:rsidRPr="00E445C3" w:rsidRDefault="00FE440A" w:rsidP="00041ED2">
      <w:pPr>
        <w:pStyle w:val="ListParagraph"/>
        <w:numPr>
          <w:ilvl w:val="0"/>
          <w:numId w:val="116"/>
        </w:numPr>
      </w:pPr>
      <w:r w:rsidRPr="00E445C3">
        <w:t xml:space="preserve">Ensuring an effective and efficient use of clotting factor products, which comprise a significant part of the treatment of many people with bleeding </w:t>
      </w:r>
      <w:proofErr w:type="gramStart"/>
      <w:r w:rsidRPr="00E445C3">
        <w:t>disorders.</w:t>
      </w:r>
      <w:proofErr w:type="gramEnd"/>
      <w:r w:rsidRPr="00E445C3">
        <w:t xml:space="preserve">  </w:t>
      </w:r>
    </w:p>
    <w:p w:rsidR="00FE440A" w:rsidRPr="00E445C3" w:rsidRDefault="00FE440A" w:rsidP="00041ED2">
      <w:pPr>
        <w:ind w:left="0"/>
      </w:pPr>
      <w:r w:rsidRPr="00E445C3">
        <w:t xml:space="preserve">These five key elements are shown in the following diagram and are explained further below. </w:t>
      </w:r>
    </w:p>
    <w:p w:rsidR="00FE440A" w:rsidRPr="00E445C3" w:rsidRDefault="00FE440A" w:rsidP="00FE440A">
      <w:pPr>
        <w:ind w:left="284"/>
      </w:pPr>
      <w:r w:rsidRPr="00E445C3">
        <w:rPr>
          <w:noProof/>
        </w:rPr>
        <w:drawing>
          <wp:inline distT="0" distB="0" distL="0" distR="0" wp14:anchorId="2795FEF0" wp14:editId="4061F289">
            <wp:extent cx="5572125" cy="4545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emophilia framework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3917" cy="4546686"/>
                    </a:xfrm>
                    <a:prstGeom prst="rect">
                      <a:avLst/>
                    </a:prstGeom>
                  </pic:spPr>
                </pic:pic>
              </a:graphicData>
            </a:graphic>
          </wp:inline>
        </w:drawing>
      </w:r>
    </w:p>
    <w:p w:rsidR="00FE440A" w:rsidRPr="00E445C3" w:rsidRDefault="00FE440A" w:rsidP="00FE440A">
      <w:pPr>
        <w:pStyle w:val="Caption"/>
      </w:pPr>
      <w:r w:rsidRPr="00E445C3">
        <w:t xml:space="preserve">Figure </w:t>
      </w:r>
      <w:fldSimple w:instr=" SEQ Figure \* ARABIC ">
        <w:r w:rsidR="00D10E64">
          <w:rPr>
            <w:noProof/>
          </w:rPr>
          <w:t>1</w:t>
        </w:r>
      </w:fldSimple>
      <w:r w:rsidRPr="00E445C3">
        <w:rPr>
          <w:noProof/>
        </w:rPr>
        <w:t xml:space="preserve"> Key Elements of Australian Framework for Management of Bleeding Disorders</w:t>
      </w:r>
    </w:p>
    <w:p w:rsidR="00FE440A" w:rsidRPr="00E445C3" w:rsidRDefault="00FE440A" w:rsidP="00FE440A">
      <w:pPr>
        <w:spacing w:line="276" w:lineRule="auto"/>
        <w:rPr>
          <w:rFonts w:ascii="Arial" w:hAnsi="Arial" w:cs="Arial"/>
          <w:sz w:val="16"/>
          <w:szCs w:val="16"/>
        </w:rPr>
      </w:pPr>
      <w:r w:rsidRPr="00E445C3">
        <w:rPr>
          <w:sz w:val="16"/>
          <w:szCs w:val="16"/>
        </w:rPr>
        <w:br w:type="page"/>
      </w:r>
    </w:p>
    <w:p w:rsidR="00FE440A" w:rsidRPr="00041ED2" w:rsidRDefault="00FE440A" w:rsidP="00041ED2">
      <w:pPr>
        <w:pStyle w:val="Heading3"/>
        <w:rPr>
          <w:rStyle w:val="A8"/>
        </w:rPr>
      </w:pPr>
      <w:bookmarkStart w:id="54" w:name="_Toc431484347"/>
      <w:r w:rsidRPr="00041ED2">
        <w:rPr>
          <w:rStyle w:val="A8"/>
        </w:rPr>
        <w:lastRenderedPageBreak/>
        <w:t>Comprehensive Care</w:t>
      </w:r>
      <w:bookmarkEnd w:id="54"/>
    </w:p>
    <w:p w:rsidR="00FE440A" w:rsidRPr="00E445C3" w:rsidRDefault="00FE440A" w:rsidP="00041ED2">
      <w:pPr>
        <w:ind w:left="0"/>
      </w:pPr>
      <w:r w:rsidRPr="00E445C3">
        <w:t>Comprehensive care is a model of care that provides and coordinates hospital and outpatient care and associated services to people with bleeding disorders and their carers and families. The comprehensive care model seeks to ensure the co-ordinated management of all aspects of haemophilia by a multi-disciplinary team with specialised expertise.</w:t>
      </w:r>
    </w:p>
    <w:p w:rsidR="00FE440A" w:rsidRPr="00E445C3" w:rsidRDefault="00FE440A" w:rsidP="00041ED2">
      <w:pPr>
        <w:ind w:left="0"/>
      </w:pPr>
      <w:r w:rsidRPr="00E445C3">
        <w:t>The identified benefits of comprehensive care include:</w:t>
      </w:r>
    </w:p>
    <w:p w:rsidR="00FE440A" w:rsidRPr="00E445C3" w:rsidRDefault="00FE440A" w:rsidP="00FE440A">
      <w:pPr>
        <w:pStyle w:val="ListParagraph"/>
        <w:numPr>
          <w:ilvl w:val="0"/>
          <w:numId w:val="108"/>
        </w:numPr>
        <w:spacing w:after="200"/>
      </w:pPr>
      <w:r w:rsidRPr="00E445C3">
        <w:t>Reduced hospital days and treatment costs</w:t>
      </w:r>
      <w:r w:rsidRPr="00E445C3">
        <w:rPr>
          <w:rStyle w:val="FootnoteReference"/>
        </w:rPr>
        <w:footnoteReference w:id="2"/>
      </w:r>
    </w:p>
    <w:p w:rsidR="00FE440A" w:rsidRPr="00E445C3" w:rsidRDefault="00FE440A" w:rsidP="00FE440A">
      <w:pPr>
        <w:pStyle w:val="ListParagraph"/>
        <w:numPr>
          <w:ilvl w:val="0"/>
          <w:numId w:val="108"/>
        </w:numPr>
        <w:spacing w:after="200"/>
      </w:pPr>
      <w:r w:rsidRPr="00E445C3">
        <w:t>Reduced number of hospitalisation episodes, decreases in school or work absences or unemployment</w:t>
      </w:r>
      <w:r w:rsidRPr="00E445C3">
        <w:rPr>
          <w:rStyle w:val="FootnoteReference"/>
        </w:rPr>
        <w:footnoteReference w:id="3"/>
      </w:r>
    </w:p>
    <w:p w:rsidR="00FE440A" w:rsidRPr="00E445C3" w:rsidRDefault="00FE440A" w:rsidP="00FE440A">
      <w:pPr>
        <w:pStyle w:val="ListParagraph"/>
        <w:numPr>
          <w:ilvl w:val="0"/>
          <w:numId w:val="108"/>
        </w:numPr>
        <w:spacing w:after="200"/>
      </w:pPr>
      <w:r w:rsidRPr="00E445C3">
        <w:t>Improved mortality and quality of life</w:t>
      </w:r>
      <w:r w:rsidRPr="00E445C3">
        <w:rPr>
          <w:rStyle w:val="FootnoteReference"/>
        </w:rPr>
        <w:footnoteReference w:id="4"/>
      </w:r>
      <w:r w:rsidR="000A1EF2" w:rsidRPr="00041ED2">
        <w:rPr>
          <w:vertAlign w:val="superscript"/>
        </w:rPr>
        <w:t>,</w:t>
      </w:r>
      <w:r w:rsidRPr="00E445C3">
        <w:t xml:space="preserve"> </w:t>
      </w:r>
      <w:r w:rsidRPr="00E445C3">
        <w:rPr>
          <w:rStyle w:val="FootnoteReference"/>
        </w:rPr>
        <w:footnoteReference w:id="5"/>
      </w:r>
    </w:p>
    <w:p w:rsidR="00FE440A" w:rsidRPr="002A6E97" w:rsidRDefault="00FE440A">
      <w:pPr>
        <w:pStyle w:val="Heading4"/>
      </w:pPr>
      <w:r w:rsidRPr="002A6E97">
        <w:t>Implementation of comprehensive care in Australia</w:t>
      </w:r>
    </w:p>
    <w:p w:rsidR="00FE440A" w:rsidRPr="00E445C3" w:rsidRDefault="00FE440A" w:rsidP="00041ED2">
      <w:pPr>
        <w:ind w:left="0"/>
      </w:pPr>
      <w:r w:rsidRPr="00E445C3">
        <w:t>In Australia the majority of people with haemophilia and other bleeding disorders receive care through specialist Haemophilia Treatment Centres (HTCs).  HTCs were established following a decision by Australian Health Ministers Advisory Council (AHMAC) in 1998, to provide a leadership role within their hospital, city and outlying areas to ensure optimal care and an equitable distribution of professional and therapeutic resources, together with responsible record-keeping. The locations of the HTCs in Australia are shown in Figure 2.</w:t>
      </w:r>
    </w:p>
    <w:p w:rsidR="00FE440A" w:rsidRPr="00E445C3" w:rsidRDefault="00FE440A" w:rsidP="00FE440A">
      <w:r w:rsidRPr="00041ED2">
        <w:rPr>
          <w:noProof/>
          <w:color w:val="1F497D"/>
        </w:rPr>
        <w:drawing>
          <wp:inline distT="0" distB="0" distL="0" distR="0" wp14:anchorId="2A8BA0C8" wp14:editId="49A3D845">
            <wp:extent cx="5854065" cy="3269647"/>
            <wp:effectExtent l="0" t="0" r="0" b="6985"/>
            <wp:docPr id="33" name="Picture 33" descr="cid:image002.jpg@01CDF95D.108DB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CDF95D.108DB6D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54065" cy="3269647"/>
                    </a:xfrm>
                    <a:prstGeom prst="rect">
                      <a:avLst/>
                    </a:prstGeom>
                    <a:noFill/>
                    <a:ln>
                      <a:noFill/>
                    </a:ln>
                  </pic:spPr>
                </pic:pic>
              </a:graphicData>
            </a:graphic>
          </wp:inline>
        </w:drawing>
      </w:r>
    </w:p>
    <w:p w:rsidR="00FE440A" w:rsidRPr="00E445C3" w:rsidRDefault="00FE440A" w:rsidP="00FE440A">
      <w:pPr>
        <w:pStyle w:val="Caption"/>
      </w:pPr>
      <w:bookmarkStart w:id="55" w:name="_Ref350267973"/>
      <w:bookmarkStart w:id="56" w:name="_Ref351361689"/>
      <w:bookmarkStart w:id="57" w:name="_Toc359234420"/>
      <w:r w:rsidRPr="00E445C3">
        <w:t xml:space="preserve">Figure </w:t>
      </w:r>
      <w:bookmarkEnd w:id="55"/>
      <w:r w:rsidRPr="00E445C3">
        <w:t>2</w:t>
      </w:r>
      <w:r w:rsidRPr="00E445C3">
        <w:rPr>
          <w:noProof/>
        </w:rPr>
        <w:t xml:space="preserve"> Location of Haemophilia Treatment Centres</w:t>
      </w:r>
      <w:bookmarkEnd w:id="56"/>
      <w:bookmarkEnd w:id="57"/>
    </w:p>
    <w:p w:rsidR="00FE440A" w:rsidRPr="00E445C3" w:rsidRDefault="00FE440A" w:rsidP="00041ED2">
      <w:pPr>
        <w:spacing w:after="0"/>
        <w:ind w:left="0"/>
      </w:pPr>
      <w:r w:rsidRPr="00E445C3">
        <w:t>The operating concept of HTCs is to coordinate and, where possible, integrate patient care, research and education to provide the optimal use of expertise and resources within hospitals and the community.  Specifically, HTCs are intended to provide:</w:t>
      </w:r>
    </w:p>
    <w:p w:rsidR="00FE440A" w:rsidRPr="00E445C3" w:rsidRDefault="00FE440A" w:rsidP="00FE440A">
      <w:pPr>
        <w:pStyle w:val="ListParagraph"/>
        <w:numPr>
          <w:ilvl w:val="0"/>
          <w:numId w:val="108"/>
        </w:numPr>
        <w:spacing w:after="200"/>
      </w:pPr>
      <w:r w:rsidRPr="00E445C3">
        <w:lastRenderedPageBreak/>
        <w:t>Co-ordination of the clinical management of patients with haemophilia and patients with other bleeding disorders that includes</w:t>
      </w:r>
      <w:r w:rsidR="000A1EF2">
        <w:t>:</w:t>
      </w:r>
    </w:p>
    <w:p w:rsidR="00FE440A" w:rsidRPr="00E445C3" w:rsidRDefault="00FE440A" w:rsidP="00FE440A">
      <w:pPr>
        <w:pStyle w:val="ListParagraph"/>
        <w:numPr>
          <w:ilvl w:val="0"/>
          <w:numId w:val="113"/>
        </w:numPr>
        <w:spacing w:after="200"/>
      </w:pPr>
      <w:proofErr w:type="gramStart"/>
      <w:r w:rsidRPr="00E445C3">
        <w:t>access</w:t>
      </w:r>
      <w:proofErr w:type="gramEnd"/>
      <w:r w:rsidRPr="00E445C3">
        <w:t xml:space="preserve"> to specialist medical services including haematology and nursing services.</w:t>
      </w:r>
    </w:p>
    <w:p w:rsidR="00FE440A" w:rsidRPr="00E445C3" w:rsidRDefault="00FE440A" w:rsidP="00FE440A">
      <w:pPr>
        <w:pStyle w:val="ListParagraph"/>
        <w:numPr>
          <w:ilvl w:val="0"/>
          <w:numId w:val="113"/>
        </w:numPr>
        <w:spacing w:after="200"/>
      </w:pPr>
      <w:proofErr w:type="gramStart"/>
      <w:r w:rsidRPr="00E445C3">
        <w:t>access</w:t>
      </w:r>
      <w:proofErr w:type="gramEnd"/>
      <w:r w:rsidRPr="00E445C3">
        <w:t xml:space="preserve"> to or coordination with other medical and allied health services including surgery, rheumatology, infectious diseases, dental and general practice services, and physiotherapy, social work and podiatry services.</w:t>
      </w:r>
    </w:p>
    <w:p w:rsidR="00FE440A" w:rsidRPr="00E445C3" w:rsidRDefault="00FE440A" w:rsidP="00FE440A">
      <w:pPr>
        <w:pStyle w:val="ListParagraph"/>
        <w:numPr>
          <w:ilvl w:val="0"/>
          <w:numId w:val="113"/>
        </w:numPr>
        <w:spacing w:after="200"/>
      </w:pPr>
      <w:proofErr w:type="gramStart"/>
      <w:r w:rsidRPr="00E445C3">
        <w:t>a</w:t>
      </w:r>
      <w:proofErr w:type="gramEnd"/>
      <w:r w:rsidRPr="00E445C3">
        <w:t xml:space="preserve"> counselling and advisory service for people with bleeding disorders and their families including genetic counselling and family planning.</w:t>
      </w:r>
    </w:p>
    <w:p w:rsidR="00FE440A" w:rsidRPr="00E445C3" w:rsidRDefault="00FE440A" w:rsidP="00FE440A">
      <w:pPr>
        <w:pStyle w:val="ListParagraph"/>
        <w:numPr>
          <w:ilvl w:val="0"/>
          <w:numId w:val="113"/>
        </w:numPr>
        <w:spacing w:after="200"/>
      </w:pPr>
      <w:r w:rsidRPr="00E445C3">
        <w:t>a laboratory service able to carry out all investigations required for accurate diagnosis and effective management of bleeding disorders</w:t>
      </w:r>
    </w:p>
    <w:p w:rsidR="00FE440A" w:rsidRPr="00E445C3" w:rsidRDefault="00FE440A" w:rsidP="00FE440A">
      <w:pPr>
        <w:pStyle w:val="ListParagraph"/>
        <w:numPr>
          <w:ilvl w:val="0"/>
          <w:numId w:val="113"/>
        </w:numPr>
        <w:spacing w:after="200"/>
      </w:pPr>
      <w:r w:rsidRPr="00E445C3">
        <w:t>a resource and potentially an outreach service for isolated patients with bleeding disorders and their treating  clinicians</w:t>
      </w:r>
    </w:p>
    <w:p w:rsidR="00FE440A" w:rsidRPr="00E445C3" w:rsidRDefault="00FE440A" w:rsidP="00FE440A">
      <w:pPr>
        <w:pStyle w:val="ListParagraph"/>
        <w:ind w:left="1080"/>
      </w:pPr>
    </w:p>
    <w:p w:rsidR="00FE440A" w:rsidRPr="00E445C3" w:rsidRDefault="00FE440A" w:rsidP="00FE440A">
      <w:pPr>
        <w:pStyle w:val="ListParagraph"/>
        <w:numPr>
          <w:ilvl w:val="0"/>
          <w:numId w:val="108"/>
        </w:numPr>
        <w:spacing w:after="200"/>
      </w:pPr>
      <w:r w:rsidRPr="00E445C3">
        <w:t>A single point of contact with responsibility for the coordination, allocation and distri</w:t>
      </w:r>
      <w:r w:rsidR="000A1EF2">
        <w:t>bution of therapeutic resources</w:t>
      </w:r>
      <w:r w:rsidRPr="00E445C3">
        <w:t>, i.e. coagulation products derived either from blood donors or recombinant technologies. This includes organi</w:t>
      </w:r>
      <w:r w:rsidR="000A1EF2">
        <w:t>s</w:t>
      </w:r>
      <w:r w:rsidRPr="00E445C3">
        <w:t>ation and supervision of home therapy programs.</w:t>
      </w:r>
    </w:p>
    <w:p w:rsidR="00FE440A" w:rsidRPr="00E445C3" w:rsidRDefault="00FE440A" w:rsidP="00FE440A">
      <w:pPr>
        <w:pStyle w:val="ListParagraph"/>
      </w:pPr>
    </w:p>
    <w:p w:rsidR="00FE440A" w:rsidRPr="00E445C3" w:rsidRDefault="00FE440A" w:rsidP="00FE440A">
      <w:pPr>
        <w:pStyle w:val="ListParagraph"/>
        <w:numPr>
          <w:ilvl w:val="0"/>
          <w:numId w:val="108"/>
        </w:numPr>
        <w:spacing w:after="200"/>
      </w:pPr>
      <w:r w:rsidRPr="00E445C3">
        <w:t xml:space="preserve">A system to record all relevant investigations, treatments, </w:t>
      </w:r>
      <w:r w:rsidR="00225A36">
        <w:t>complications and</w:t>
      </w:r>
      <w:r w:rsidRPr="00E445C3">
        <w:t xml:space="preserve"> adverse reactions, including data management resources. In Australia this data should be recorded in the Australian Bleeding Disorder Registry</w:t>
      </w:r>
      <w:r w:rsidR="000A1EF2">
        <w:t xml:space="preserve"> (ABDR).</w:t>
      </w:r>
    </w:p>
    <w:p w:rsidR="00FE440A" w:rsidRPr="00E445C3" w:rsidRDefault="00FE440A" w:rsidP="00FE440A">
      <w:pPr>
        <w:pStyle w:val="ListParagraph"/>
      </w:pPr>
    </w:p>
    <w:p w:rsidR="00FE440A" w:rsidRPr="00E445C3" w:rsidRDefault="00FE440A" w:rsidP="00FE440A">
      <w:pPr>
        <w:pStyle w:val="ListParagraph"/>
        <w:numPr>
          <w:ilvl w:val="0"/>
          <w:numId w:val="108"/>
        </w:numPr>
        <w:spacing w:after="200"/>
      </w:pPr>
      <w:r w:rsidRPr="00E445C3">
        <w:t>The capability to participate in research including clinical trials.</w:t>
      </w:r>
    </w:p>
    <w:p w:rsidR="00FE440A" w:rsidRPr="00E445C3" w:rsidRDefault="00FE440A" w:rsidP="00FE440A">
      <w:pPr>
        <w:pStyle w:val="ListParagraph"/>
      </w:pPr>
    </w:p>
    <w:p w:rsidR="00FE440A" w:rsidRPr="00E445C3" w:rsidRDefault="00FE440A" w:rsidP="00FE440A">
      <w:pPr>
        <w:pStyle w:val="ListParagraph"/>
        <w:numPr>
          <w:ilvl w:val="0"/>
          <w:numId w:val="108"/>
        </w:numPr>
        <w:spacing w:after="200"/>
      </w:pPr>
      <w:r w:rsidRPr="00E445C3">
        <w:t>Educational programs for medical staff and other personnel, and for people with bleeding disorders and their carers and families.</w:t>
      </w:r>
    </w:p>
    <w:p w:rsidR="00FE440A" w:rsidRPr="00E445C3" w:rsidRDefault="00FE440A" w:rsidP="00FE440A">
      <w:pPr>
        <w:pStyle w:val="ListParagraph"/>
      </w:pPr>
    </w:p>
    <w:p w:rsidR="00FE440A" w:rsidRPr="00E445C3" w:rsidRDefault="00FE440A" w:rsidP="00FE440A">
      <w:pPr>
        <w:pStyle w:val="ListParagraph"/>
        <w:numPr>
          <w:ilvl w:val="0"/>
          <w:numId w:val="108"/>
        </w:numPr>
        <w:spacing w:after="200"/>
      </w:pPr>
      <w:r w:rsidRPr="00E445C3">
        <w:t>Coordination and cooperation with patient groups supporting people with bleeding  disorders and their carers and families</w:t>
      </w:r>
    </w:p>
    <w:p w:rsidR="00FE440A" w:rsidRPr="00E445C3" w:rsidRDefault="00FE440A" w:rsidP="00041ED2">
      <w:pPr>
        <w:ind w:left="0"/>
      </w:pPr>
      <w:r w:rsidRPr="00E445C3">
        <w:t>The implementation of the model for HTCs varies between States and Territories in relation to resourcing, availability of a relevant range of medical and allied health services, and centralisation and organisation of services, and also in relation to the demographics of the patient population.</w:t>
      </w:r>
    </w:p>
    <w:p w:rsidR="00FE440A" w:rsidRPr="00E445C3" w:rsidRDefault="00FE440A" w:rsidP="00041ED2">
      <w:pPr>
        <w:ind w:left="0"/>
        <w:rPr>
          <w:lang w:val="en-GB"/>
        </w:rPr>
      </w:pPr>
      <w:r w:rsidRPr="00E445C3">
        <w:t xml:space="preserve">Some care for people with bleeding disorders is managed by clinicians or health services that are not associated with a HTC. This may occur where a patient chooses to attend a private medical practitioner or health service, or where a bleeding disorder has not previously been identified and is initially diagnosed outside an HTC, or becomes apparent as a complication of other medical treatment. </w:t>
      </w:r>
    </w:p>
    <w:p w:rsidR="00FE440A" w:rsidRPr="00041ED2" w:rsidRDefault="00FE440A" w:rsidP="00041ED2">
      <w:pPr>
        <w:pStyle w:val="Heading3"/>
        <w:rPr>
          <w:rStyle w:val="A8"/>
        </w:rPr>
      </w:pPr>
      <w:bookmarkStart w:id="58" w:name="_Toc431484348"/>
      <w:r w:rsidRPr="00041ED2">
        <w:rPr>
          <w:rStyle w:val="A8"/>
        </w:rPr>
        <w:t>Supply of clotting factor products</w:t>
      </w:r>
      <w:bookmarkEnd w:id="58"/>
    </w:p>
    <w:p w:rsidR="00FE440A" w:rsidRPr="00E445C3" w:rsidRDefault="00FE440A" w:rsidP="00041ED2">
      <w:pPr>
        <w:ind w:left="0"/>
      </w:pPr>
      <w:r w:rsidRPr="00E445C3">
        <w:t>A significant part of contemporary medical care of people with bleeding disorders is the use of</w:t>
      </w:r>
      <w:r w:rsidR="000B0ED6">
        <w:t xml:space="preserve"> clotting factor concentrates. </w:t>
      </w:r>
      <w:r w:rsidRPr="00E445C3">
        <w:t>These products are infused to replace the specific blood plasma protein that is not present or functional at adequate levels in that particular individual. The aim is to achieve sufficient levels of that blood plasma protein level to either avoid bleeding symptoms or to stop bleeding that has already occurred.</w:t>
      </w:r>
    </w:p>
    <w:p w:rsidR="00FE440A" w:rsidRPr="00E445C3" w:rsidRDefault="00FE440A" w:rsidP="00041ED2">
      <w:pPr>
        <w:ind w:left="0"/>
      </w:pPr>
      <w:r w:rsidRPr="00E445C3">
        <w:t>Clotting factors can be derived from human blood plasma through the plasma fracti</w:t>
      </w:r>
      <w:r w:rsidR="000B0ED6">
        <w:t xml:space="preserve">onation manufacturing process. </w:t>
      </w:r>
      <w:r w:rsidRPr="00E445C3">
        <w:t xml:space="preserve">Factors VIII, IX and VIIa are also able to be manufactured by commercial scale expression from recombinant cell technology.  While current plasma derived clotting factors have an excellent safety record, recombinant products, where available, are preferred by patients and clinicians due to the lower risk of transmission of diseases that are theoretically transmissible through donated </w:t>
      </w:r>
      <w:r w:rsidRPr="00E445C3">
        <w:lastRenderedPageBreak/>
        <w:t>plasma. A number of manufacturers have new versions of recombinant clotting factor products in development.</w:t>
      </w:r>
    </w:p>
    <w:p w:rsidR="00FE440A" w:rsidRPr="00E445C3" w:rsidRDefault="00FE440A" w:rsidP="00041ED2">
      <w:pPr>
        <w:ind w:left="0"/>
      </w:pPr>
      <w:r w:rsidRPr="00E445C3">
        <w:t>Clotting factor products may be used to treat and manage bleeding disorders in a number of ways:</w:t>
      </w:r>
    </w:p>
    <w:p w:rsidR="00FE440A" w:rsidRPr="00E445C3" w:rsidRDefault="00FE440A" w:rsidP="00FE440A">
      <w:pPr>
        <w:pStyle w:val="ListParagraph"/>
        <w:numPr>
          <w:ilvl w:val="0"/>
          <w:numId w:val="111"/>
        </w:numPr>
        <w:spacing w:after="200"/>
      </w:pPr>
      <w:r w:rsidRPr="00E445C3">
        <w:t>‘on demand’ treatment for specific bleed events</w:t>
      </w:r>
    </w:p>
    <w:p w:rsidR="00FE440A" w:rsidRPr="00E445C3" w:rsidRDefault="00FE440A" w:rsidP="00FE440A">
      <w:pPr>
        <w:pStyle w:val="ListParagraph"/>
        <w:numPr>
          <w:ilvl w:val="0"/>
          <w:numId w:val="111"/>
        </w:numPr>
        <w:spacing w:after="200"/>
      </w:pPr>
      <w:r w:rsidRPr="00E445C3">
        <w:t>short term prophylaxis to cover a specific surgery or other high risk interventions or activities</w:t>
      </w:r>
    </w:p>
    <w:p w:rsidR="00FE440A" w:rsidRPr="00E445C3" w:rsidRDefault="00FE440A" w:rsidP="00FE440A">
      <w:pPr>
        <w:pStyle w:val="ListParagraph"/>
        <w:numPr>
          <w:ilvl w:val="0"/>
          <w:numId w:val="111"/>
        </w:numPr>
        <w:spacing w:after="200"/>
      </w:pPr>
      <w:r w:rsidRPr="00E445C3">
        <w:t>immune tolerisation therapy, or bypass therapy, where a patient has developed inhibitory antibodies to first line clotting factor therapy, or</w:t>
      </w:r>
    </w:p>
    <w:p w:rsidR="00FE440A" w:rsidRPr="00E445C3" w:rsidRDefault="00FE440A" w:rsidP="00FE440A">
      <w:pPr>
        <w:pStyle w:val="ListParagraph"/>
        <w:numPr>
          <w:ilvl w:val="0"/>
          <w:numId w:val="111"/>
        </w:numPr>
        <w:spacing w:after="200"/>
      </w:pPr>
      <w:proofErr w:type="gramStart"/>
      <w:r w:rsidRPr="00E445C3">
        <w:t>routine</w:t>
      </w:r>
      <w:proofErr w:type="gramEnd"/>
      <w:r w:rsidRPr="00E445C3">
        <w:t xml:space="preserve"> prophylaxis to maintain functional trough levels of clotting factor sufficient to prevent bleeding occurring.</w:t>
      </w:r>
    </w:p>
    <w:p w:rsidR="00FE440A" w:rsidRPr="002A6E97" w:rsidRDefault="00FE440A">
      <w:pPr>
        <w:pStyle w:val="Heading4"/>
      </w:pPr>
      <w:r w:rsidRPr="002A6E97">
        <w:t>Supply under national blood arrangements</w:t>
      </w:r>
    </w:p>
    <w:p w:rsidR="00FE440A" w:rsidRPr="00E445C3" w:rsidRDefault="00FE440A" w:rsidP="00041ED2">
      <w:pPr>
        <w:ind w:left="0"/>
      </w:pPr>
      <w:r w:rsidRPr="00E445C3">
        <w:t>Since 2003, clotting factor products have been supplied and funded in Australia through arrangements established under the National Blood Agreement. These arrangements provide an adequate, safe, secure and affordable supply of clotting factor products for the Australian h</w:t>
      </w:r>
      <w:r w:rsidR="000B0ED6">
        <w:t xml:space="preserve">ealth system. </w:t>
      </w:r>
      <w:r w:rsidRPr="00E445C3">
        <w:t>Products are supplied under these arrangements to meet clinical requirements in the scenarios above.</w:t>
      </w:r>
    </w:p>
    <w:p w:rsidR="00FE440A" w:rsidRPr="00E445C3" w:rsidRDefault="00FE440A" w:rsidP="00041ED2">
      <w:pPr>
        <w:ind w:left="0"/>
      </w:pPr>
      <w:r w:rsidRPr="00E445C3">
        <w:t>The National Blood Authority</w:t>
      </w:r>
      <w:r w:rsidR="000A1EF2">
        <w:t xml:space="preserve"> (NBA)</w:t>
      </w:r>
      <w:r w:rsidRPr="00E445C3">
        <w:t xml:space="preserve"> conducts national tendering and contract negotiation for the supply </w:t>
      </w:r>
      <w:r w:rsidR="000A1EF2">
        <w:t>o</w:t>
      </w:r>
      <w:r w:rsidR="000B0ED6">
        <w:t>f clotting factor products.</w:t>
      </w:r>
      <w:r w:rsidRPr="00E445C3">
        <w:t xml:space="preserve"> The NBA manages the national contracts and makes payment for products suppl</w:t>
      </w:r>
      <w:r w:rsidR="000A1EF2">
        <w:t>i</w:t>
      </w:r>
      <w:r w:rsidRPr="00E445C3">
        <w:t xml:space="preserve">ed.  Funding is provided to the NBA for this purpose by the </w:t>
      </w:r>
      <w:r w:rsidR="000A1EF2">
        <w:t>c</w:t>
      </w:r>
      <w:r w:rsidRPr="00E445C3">
        <w:t xml:space="preserve">ommonwealth and </w:t>
      </w:r>
      <w:r w:rsidR="000A1EF2">
        <w:t>s</w:t>
      </w:r>
      <w:r w:rsidRPr="00E445C3">
        <w:t>tate/</w:t>
      </w:r>
      <w:r w:rsidR="000A1EF2">
        <w:t>t</w:t>
      </w:r>
      <w:r w:rsidRPr="00E445C3">
        <w:t>erritory governments through the cost sharing arrangements under the National Blood Agreement. Successive tendering and negotiation rounds conducted by the NBA since 2003 have provided significant improvement in value for money for these products.</w:t>
      </w:r>
    </w:p>
    <w:p w:rsidR="00FE440A" w:rsidRPr="00E445C3" w:rsidRDefault="00FE440A" w:rsidP="00041ED2">
      <w:pPr>
        <w:ind w:left="0"/>
      </w:pPr>
      <w:r w:rsidRPr="00E445C3">
        <w:t>The national contracts managed by the NBA provide for supply of both plasma derived and recombinant clotting factors (full access to which has been funded by Australian governments since 2005), from both Australian and imported sources. The NBA collaborates with AHCDO and state and territory representatives to undertake national supply planning, and to establish protocols for management of supply risk scenarios which may eventuate.  The National Blood Agreement also includes a process for evidence-based evaluation of proposals to add new or materially changed products into the national funding and supply arrangements.</w:t>
      </w:r>
    </w:p>
    <w:p w:rsidR="00FE440A" w:rsidRPr="00E445C3" w:rsidRDefault="00FE440A" w:rsidP="00041ED2">
      <w:pPr>
        <w:ind w:left="0"/>
      </w:pPr>
      <w:r w:rsidRPr="00E445C3">
        <w:t xml:space="preserve">In addition to a primary obligation to supply to meet orders, national supply contracts include obligations for holding of contingency supply reserves and other supplier obligations to ensure supply continuity, as well as obligations to provide product support services and resources suitable for clinical personnel and (through a health care provider) to patients. Suppliers are also required to provide services to support delivery of product direct to suitable patients, for home based therapy under the supervision of a relevant </w:t>
      </w:r>
      <w:r w:rsidR="000A1EF2">
        <w:t>HTC</w:t>
      </w:r>
      <w:r w:rsidRPr="00E445C3">
        <w:t>.</w:t>
      </w:r>
    </w:p>
    <w:p w:rsidR="00FE440A" w:rsidRPr="00E445C3" w:rsidRDefault="00FE440A" w:rsidP="00041ED2">
      <w:pPr>
        <w:spacing w:line="276" w:lineRule="auto"/>
        <w:ind w:left="0"/>
      </w:pPr>
      <w:r w:rsidRPr="00E445C3">
        <w:t>In determining the specific requirements and approach for a national tendering round, the NBA seeks input from clinical and patient group stakeholders and from industry, and obtains policy guidance from funding governments.  Clinical and patient stakeholders are involved to provide expert or user input in the tender development and evaluation process.</w:t>
      </w:r>
    </w:p>
    <w:p w:rsidR="00FE440A" w:rsidRDefault="00FE440A" w:rsidP="00041ED2">
      <w:pPr>
        <w:spacing w:line="276" w:lineRule="auto"/>
        <w:ind w:left="0"/>
      </w:pPr>
      <w:r w:rsidRPr="00E445C3">
        <w:t>For some products, the outcome of a tender process may involve a change in the specific brands of clotting factor products supplied under the national arrangements, and the NBA cooperates closely with clinical and patient stakeholders and suppliers in planning and supporting the transition process between products.</w:t>
      </w:r>
    </w:p>
    <w:p w:rsidR="000B0ED6" w:rsidRPr="00E445C3" w:rsidRDefault="000B0ED6" w:rsidP="00041ED2">
      <w:pPr>
        <w:spacing w:line="276" w:lineRule="auto"/>
        <w:ind w:left="0"/>
      </w:pPr>
    </w:p>
    <w:p w:rsidR="00FE440A" w:rsidRPr="002A6E97" w:rsidRDefault="00FE440A">
      <w:pPr>
        <w:pStyle w:val="Heading4"/>
      </w:pPr>
      <w:r w:rsidRPr="002A6E97">
        <w:lastRenderedPageBreak/>
        <w:t>Other products</w:t>
      </w:r>
    </w:p>
    <w:p w:rsidR="00FE440A" w:rsidRPr="00E445C3" w:rsidRDefault="00FE440A" w:rsidP="00041ED2">
      <w:pPr>
        <w:spacing w:line="276" w:lineRule="auto"/>
        <w:ind w:left="0"/>
      </w:pPr>
      <w:r w:rsidRPr="00E445C3">
        <w:t>In addition to clotting factors, other pharmaceuticals products, medical devices and therapeutic interventions may be important for the care of people with bleeding disorders and may be supplied and funded outside the national blood arrangements via hospital supply or under the Pharmaceutical Benefits Schem</w:t>
      </w:r>
      <w:r w:rsidR="000B0ED6">
        <w:t xml:space="preserve">e or Medicare Benefits Scheme. </w:t>
      </w:r>
      <w:r w:rsidRPr="00E445C3">
        <w:t>These include tranexamic acid, DDAVP (desmopressin), analgesia, antiviral therapy, immune modulating therapy, other fractionated blood products platelets, and mobility aids.</w:t>
      </w:r>
    </w:p>
    <w:p w:rsidR="00FE440A" w:rsidRPr="00041ED2" w:rsidRDefault="00FE440A" w:rsidP="00041ED2">
      <w:pPr>
        <w:pStyle w:val="Heading3"/>
        <w:rPr>
          <w:rStyle w:val="A8"/>
        </w:rPr>
      </w:pPr>
      <w:bookmarkStart w:id="59" w:name="_Toc431484349"/>
      <w:r w:rsidRPr="00041ED2">
        <w:rPr>
          <w:rStyle w:val="A8"/>
        </w:rPr>
        <w:t>Stakeholder partnership and collaboration</w:t>
      </w:r>
      <w:bookmarkEnd w:id="59"/>
    </w:p>
    <w:p w:rsidR="00FE440A" w:rsidRPr="00E445C3" w:rsidRDefault="00FE440A" w:rsidP="00041ED2">
      <w:pPr>
        <w:ind w:left="0"/>
        <w:rPr>
          <w:lang w:val="en"/>
        </w:rPr>
      </w:pPr>
      <w:r w:rsidRPr="00E445C3">
        <w:rPr>
          <w:lang w:val="en"/>
        </w:rPr>
        <w:t xml:space="preserve">The effective treatment and care of patients with bleeding disorders in Australia benefits from the involvement of a number of important clinical and patient stakeholder groups or </w:t>
      </w:r>
      <w:r w:rsidRPr="00E445C3">
        <w:t>organisations</w:t>
      </w:r>
      <w:r w:rsidRPr="00E445C3">
        <w:rPr>
          <w:lang w:val="en"/>
        </w:rPr>
        <w:t>:</w:t>
      </w:r>
    </w:p>
    <w:p w:rsidR="00FE440A" w:rsidRPr="00E445C3" w:rsidRDefault="00FE440A" w:rsidP="00FE440A">
      <w:pPr>
        <w:numPr>
          <w:ilvl w:val="0"/>
          <w:numId w:val="109"/>
        </w:numPr>
        <w:spacing w:after="200"/>
        <w:rPr>
          <w:lang w:val="en"/>
        </w:rPr>
      </w:pPr>
      <w:r w:rsidRPr="00E445C3">
        <w:rPr>
          <w:b/>
          <w:lang w:val="en"/>
        </w:rPr>
        <w:t>Haemophilia Foundation of Australia</w:t>
      </w:r>
      <w:r w:rsidRPr="00E445C3">
        <w:rPr>
          <w:lang w:val="en"/>
        </w:rPr>
        <w:t xml:space="preserve"> (HFA) and state and territory member bodies, which represent the Australian community of people with bleeding disorders and their carers and families. HFA is committed to improving treatment and care through representation and advocacy, education and the promotion of research.</w:t>
      </w:r>
    </w:p>
    <w:p w:rsidR="00FE440A" w:rsidRPr="00E445C3" w:rsidRDefault="00FE440A" w:rsidP="00FE440A">
      <w:pPr>
        <w:numPr>
          <w:ilvl w:val="0"/>
          <w:numId w:val="109"/>
        </w:numPr>
        <w:spacing w:after="200"/>
        <w:rPr>
          <w:lang w:val="en"/>
        </w:rPr>
      </w:pPr>
      <w:r w:rsidRPr="00E445C3">
        <w:rPr>
          <w:b/>
          <w:lang w:val="en"/>
        </w:rPr>
        <w:t xml:space="preserve">Australian Haemophilia Centre Director’s </w:t>
      </w:r>
      <w:r w:rsidRPr="00E445C3">
        <w:rPr>
          <w:b/>
        </w:rPr>
        <w:t>Organisation</w:t>
      </w:r>
      <w:r w:rsidRPr="00E445C3">
        <w:rPr>
          <w:lang w:val="en"/>
        </w:rPr>
        <w:t xml:space="preserve"> (AHCDO) which is the national medical body for haemophilia and other bleeding disorders in Australia. The NBA provides funding to AHCDO for a range of advice, services and management activities to support the effective management of bleeding disorders in Australia.</w:t>
      </w:r>
    </w:p>
    <w:p w:rsidR="00FE440A" w:rsidRPr="00E445C3" w:rsidRDefault="00FE440A" w:rsidP="00FE440A">
      <w:pPr>
        <w:numPr>
          <w:ilvl w:val="0"/>
          <w:numId w:val="109"/>
        </w:numPr>
        <w:spacing w:after="200"/>
        <w:rPr>
          <w:lang w:val="en"/>
        </w:rPr>
      </w:pPr>
      <w:r w:rsidRPr="00E445C3">
        <w:rPr>
          <w:lang w:val="en"/>
        </w:rPr>
        <w:t xml:space="preserve">A number of specialist health professional groups which are supported by HFA and facilitate professional expertise in a number of disciplines which support the comprehensive care of people with bleeding disorders including: </w:t>
      </w:r>
    </w:p>
    <w:p w:rsidR="00FE440A" w:rsidRPr="00E445C3" w:rsidRDefault="00FE440A" w:rsidP="00FE440A">
      <w:pPr>
        <w:numPr>
          <w:ilvl w:val="1"/>
          <w:numId w:val="109"/>
        </w:numPr>
        <w:spacing w:after="200"/>
        <w:rPr>
          <w:b/>
          <w:lang w:val="en"/>
        </w:rPr>
      </w:pPr>
      <w:r w:rsidRPr="00E445C3">
        <w:rPr>
          <w:b/>
          <w:lang w:val="en"/>
        </w:rPr>
        <w:t>Australian Haemophilia Nurses Group</w:t>
      </w:r>
    </w:p>
    <w:p w:rsidR="00FE440A" w:rsidRPr="00E445C3" w:rsidRDefault="00FE440A" w:rsidP="00FE440A">
      <w:pPr>
        <w:numPr>
          <w:ilvl w:val="1"/>
          <w:numId w:val="109"/>
        </w:numPr>
        <w:spacing w:after="200"/>
        <w:rPr>
          <w:b/>
          <w:lang w:val="en"/>
        </w:rPr>
      </w:pPr>
      <w:r w:rsidRPr="00E445C3">
        <w:rPr>
          <w:b/>
          <w:lang w:val="en"/>
        </w:rPr>
        <w:t>Australia/New Zealand Haemophilia Social Workers’ and Counsellors’ Group</w:t>
      </w:r>
    </w:p>
    <w:p w:rsidR="00FE440A" w:rsidRPr="00E445C3" w:rsidRDefault="00FE440A" w:rsidP="00FE440A">
      <w:pPr>
        <w:numPr>
          <w:ilvl w:val="1"/>
          <w:numId w:val="109"/>
        </w:numPr>
        <w:spacing w:after="200"/>
        <w:rPr>
          <w:b/>
          <w:lang w:val="en"/>
        </w:rPr>
      </w:pPr>
      <w:r w:rsidRPr="00E445C3">
        <w:rPr>
          <w:b/>
          <w:lang w:val="en"/>
        </w:rPr>
        <w:t>Australian and New Zealand Physiotherapy Haemophilia Group</w:t>
      </w:r>
    </w:p>
    <w:p w:rsidR="00FE440A" w:rsidRPr="00E445C3" w:rsidRDefault="00FE440A" w:rsidP="00FE440A">
      <w:pPr>
        <w:numPr>
          <w:ilvl w:val="0"/>
          <w:numId w:val="109"/>
        </w:numPr>
        <w:spacing w:after="200"/>
        <w:rPr>
          <w:lang w:val="en"/>
        </w:rPr>
      </w:pPr>
      <w:r w:rsidRPr="00E445C3">
        <w:rPr>
          <w:lang w:val="en"/>
        </w:rPr>
        <w:t xml:space="preserve">The </w:t>
      </w:r>
      <w:r w:rsidRPr="00E445C3">
        <w:rPr>
          <w:b/>
          <w:lang w:val="en"/>
        </w:rPr>
        <w:t>ABDR Data Managers’ Group</w:t>
      </w:r>
      <w:r w:rsidRPr="00E445C3">
        <w:rPr>
          <w:lang w:val="en"/>
        </w:rPr>
        <w:t xml:space="preserve"> which is supported by AHCDO, in order to coordinate the protocols for entry of data into the Australian Bleeding Disorders Registry (ABDR).</w:t>
      </w:r>
    </w:p>
    <w:p w:rsidR="00FE440A" w:rsidRPr="00E445C3" w:rsidRDefault="00FE440A" w:rsidP="00041ED2">
      <w:pPr>
        <w:spacing w:line="276" w:lineRule="auto"/>
        <w:ind w:left="0"/>
        <w:rPr>
          <w:lang w:val="en-ZA"/>
        </w:rPr>
      </w:pPr>
      <w:r w:rsidRPr="00E445C3">
        <w:rPr>
          <w:lang w:val="en-ZA"/>
        </w:rPr>
        <w:t>These groups collaborate through formal partnerships or informal processes to oversee key outcomes or undertake projects to support or improve haemophilia care.  Some key examples include:</w:t>
      </w:r>
    </w:p>
    <w:p w:rsidR="00FE440A" w:rsidRPr="00E445C3" w:rsidRDefault="00FE440A" w:rsidP="00FE440A">
      <w:pPr>
        <w:pStyle w:val="ListParagraph"/>
        <w:numPr>
          <w:ilvl w:val="0"/>
          <w:numId w:val="110"/>
        </w:numPr>
        <w:spacing w:after="200" w:line="276" w:lineRule="auto"/>
        <w:rPr>
          <w:lang w:val="en-ZA"/>
        </w:rPr>
      </w:pPr>
      <w:r w:rsidRPr="00E445C3">
        <w:rPr>
          <w:lang w:val="en-ZA"/>
        </w:rPr>
        <w:t>Management of patients with inhibitors through the Tolerisation Advice Committee.</w:t>
      </w:r>
    </w:p>
    <w:p w:rsidR="00FE440A" w:rsidRPr="00E445C3" w:rsidRDefault="00FE440A" w:rsidP="00FE440A">
      <w:pPr>
        <w:pStyle w:val="ListParagraph"/>
        <w:numPr>
          <w:ilvl w:val="0"/>
          <w:numId w:val="110"/>
        </w:numPr>
        <w:spacing w:after="200" w:line="276" w:lineRule="auto"/>
        <w:rPr>
          <w:lang w:val="en-ZA"/>
        </w:rPr>
      </w:pPr>
      <w:r w:rsidRPr="00E445C3">
        <w:rPr>
          <w:lang w:val="en-ZA"/>
        </w:rPr>
        <w:t>Annual education meetings around topics on bleeding disorders.</w:t>
      </w:r>
    </w:p>
    <w:p w:rsidR="00FE440A" w:rsidRPr="00E445C3" w:rsidRDefault="00FE440A" w:rsidP="00FE440A">
      <w:pPr>
        <w:pStyle w:val="ListParagraph"/>
        <w:numPr>
          <w:ilvl w:val="0"/>
          <w:numId w:val="110"/>
        </w:numPr>
        <w:spacing w:after="200" w:line="276" w:lineRule="auto"/>
        <w:rPr>
          <w:lang w:val="en-ZA"/>
        </w:rPr>
      </w:pPr>
      <w:r w:rsidRPr="00E445C3">
        <w:rPr>
          <w:lang w:val="en-ZA"/>
        </w:rPr>
        <w:t xml:space="preserve">Redevelopment of the ABDR and development of the </w:t>
      </w:r>
      <w:r w:rsidR="00BB12A1">
        <w:rPr>
          <w:lang w:val="en-ZA"/>
        </w:rPr>
        <w:t>MyABDR</w:t>
      </w:r>
      <w:r w:rsidRPr="00E445C3">
        <w:rPr>
          <w:lang w:val="en-ZA"/>
        </w:rPr>
        <w:t xml:space="preserve"> patient recording application.  The processes for detailed </w:t>
      </w:r>
      <w:proofErr w:type="gramStart"/>
      <w:r w:rsidRPr="00E445C3">
        <w:rPr>
          <w:lang w:val="en-ZA"/>
        </w:rPr>
        <w:t>design,</w:t>
      </w:r>
      <w:proofErr w:type="gramEnd"/>
      <w:r w:rsidRPr="00E445C3">
        <w:rPr>
          <w:lang w:val="en-ZA"/>
        </w:rPr>
        <w:t xml:space="preserve"> and for ongoing operation and enhancement of ABDR and MyABDR have been greatly assisted over an extended period of time by the involvement of representatives of all patient and clinical stakeholder groups. The Australian Bleeding Disorder Registry Steering Committee which oversees the development and operation of ABDR and </w:t>
      </w:r>
      <w:r w:rsidR="00BB12A1">
        <w:rPr>
          <w:lang w:val="en-ZA"/>
        </w:rPr>
        <w:t>MyABDR</w:t>
      </w:r>
      <w:r w:rsidRPr="00E445C3">
        <w:rPr>
          <w:lang w:val="en-ZA"/>
        </w:rPr>
        <w:t xml:space="preserve"> is chaired by AHCDO and includes representatives of AHCDO, HFA, state/territory governments and the NBA.  Under the oversight of this Committee, the governance and management of ABDR and </w:t>
      </w:r>
      <w:r w:rsidR="00BB12A1">
        <w:rPr>
          <w:lang w:val="en-ZA"/>
        </w:rPr>
        <w:t>MyABDR</w:t>
      </w:r>
      <w:r w:rsidRPr="00E445C3">
        <w:rPr>
          <w:lang w:val="en-ZA"/>
        </w:rPr>
        <w:t xml:space="preserve"> is conducted as an effective partnership between the key patient and clinical groups and governments.</w:t>
      </w:r>
    </w:p>
    <w:p w:rsidR="00FE440A" w:rsidRPr="00E445C3" w:rsidRDefault="00FE440A" w:rsidP="00FE440A">
      <w:pPr>
        <w:pStyle w:val="ListParagraph"/>
        <w:numPr>
          <w:ilvl w:val="0"/>
          <w:numId w:val="110"/>
        </w:numPr>
        <w:spacing w:after="200" w:line="276" w:lineRule="auto"/>
        <w:rPr>
          <w:lang w:val="en-ZA"/>
        </w:rPr>
      </w:pPr>
      <w:r w:rsidRPr="00E445C3">
        <w:rPr>
          <w:lang w:val="en-ZA"/>
        </w:rPr>
        <w:lastRenderedPageBreak/>
        <w:t>Tender evaluation and associated consultation, reference group or transition committees that oversee major national procurement actions for clotting factors. Australia’s national procurement arrangements realise the best product price and associated service arrangements available globally. Best price enhances affordability, and hence provision of effective haemophilia care</w:t>
      </w:r>
      <w:r w:rsidRPr="00E445C3">
        <w:rPr>
          <w:vertAlign w:val="superscript"/>
        </w:rPr>
        <w:footnoteReference w:id="6"/>
      </w:r>
      <w:r w:rsidRPr="00E445C3">
        <w:rPr>
          <w:lang w:val="en-ZA"/>
        </w:rPr>
        <w:t>. The expertise and involvement of key clinical and patient stakeholder groups in these processes greatly assists in achieving these outcomes.</w:t>
      </w:r>
    </w:p>
    <w:p w:rsidR="00FE440A" w:rsidRPr="00E445C3" w:rsidRDefault="00FE440A" w:rsidP="00FE440A">
      <w:pPr>
        <w:pStyle w:val="ListParagraph"/>
        <w:numPr>
          <w:ilvl w:val="0"/>
          <w:numId w:val="110"/>
        </w:numPr>
        <w:spacing w:after="200" w:line="276" w:lineRule="auto"/>
        <w:rPr>
          <w:lang w:val="en-ZA"/>
        </w:rPr>
      </w:pPr>
      <w:r w:rsidRPr="00E445C3">
        <w:rPr>
          <w:lang w:val="en-ZA"/>
        </w:rPr>
        <w:t xml:space="preserve">Clinical and stakeholder reference groups that oversee the development of supporting clinical guidelines, such as the current document. These guidelines record an increasing level of national consensus on significant aspects of the care and management of bleeding disorders, and the key indicators to be used to guide future quality improvement. </w:t>
      </w:r>
    </w:p>
    <w:p w:rsidR="00FE440A" w:rsidRPr="00041ED2" w:rsidRDefault="00FE440A" w:rsidP="00041ED2">
      <w:pPr>
        <w:pStyle w:val="Heading3"/>
        <w:rPr>
          <w:rStyle w:val="A8"/>
        </w:rPr>
      </w:pPr>
      <w:bookmarkStart w:id="60" w:name="_Toc431484350"/>
      <w:r w:rsidRPr="00041ED2">
        <w:rPr>
          <w:rStyle w:val="A8"/>
        </w:rPr>
        <w:t>Information systems and data</w:t>
      </w:r>
      <w:bookmarkEnd w:id="60"/>
    </w:p>
    <w:p w:rsidR="00FE440A" w:rsidRPr="002A6E97" w:rsidRDefault="00225A36">
      <w:pPr>
        <w:pStyle w:val="Heading4"/>
      </w:pPr>
      <w:r w:rsidRPr="002A6E97">
        <w:t>A</w:t>
      </w:r>
      <w:r w:rsidR="00FE440A" w:rsidRPr="002A6E97">
        <w:t>ustralian Bleeding Disorders Registry</w:t>
      </w:r>
    </w:p>
    <w:p w:rsidR="00FE440A" w:rsidRPr="00E445C3" w:rsidRDefault="00FE440A" w:rsidP="00041ED2">
      <w:pPr>
        <w:ind w:left="0"/>
      </w:pPr>
      <w:r w:rsidRPr="00E445C3">
        <w:t>The Australian Bleeding Disorders Registry (ABDR) is a database that is designed to collect clinical information related to the treatment of people with inherited bleeding disorders. This includes information about patient diagnosis, viral status, treatment details, hospital admissions and administrative information as well as details on ordering, supply and use of clotting factor products. Information is entered into the ABDR web enabled software by staff at HTCs.</w:t>
      </w:r>
    </w:p>
    <w:p w:rsidR="00FE440A" w:rsidRPr="00E445C3" w:rsidRDefault="00FE440A" w:rsidP="00041ED2">
      <w:pPr>
        <w:ind w:left="0"/>
      </w:pPr>
      <w:r w:rsidRPr="00E445C3">
        <w:t>ABDR provides the following benefits:</w:t>
      </w:r>
    </w:p>
    <w:p w:rsidR="00FE440A" w:rsidRPr="00E445C3" w:rsidRDefault="00FE440A" w:rsidP="00FE440A">
      <w:pPr>
        <w:numPr>
          <w:ilvl w:val="0"/>
          <w:numId w:val="109"/>
        </w:numPr>
        <w:spacing w:after="200"/>
        <w:rPr>
          <w:lang w:val="en"/>
        </w:rPr>
      </w:pPr>
      <w:r w:rsidRPr="00E445C3">
        <w:rPr>
          <w:lang w:val="en"/>
        </w:rPr>
        <w:t xml:space="preserve">A single point of access to all relevant individual clinical data relating to the management of haemophilia  for clinicians treating patients with bleeding disorders </w:t>
      </w:r>
    </w:p>
    <w:p w:rsidR="00FE440A" w:rsidRPr="00E445C3" w:rsidRDefault="00FE440A" w:rsidP="00FE440A">
      <w:pPr>
        <w:numPr>
          <w:ilvl w:val="0"/>
          <w:numId w:val="109"/>
        </w:numPr>
        <w:spacing w:after="200"/>
        <w:rPr>
          <w:lang w:val="en"/>
        </w:rPr>
      </w:pPr>
      <w:r w:rsidRPr="00E445C3">
        <w:rPr>
          <w:lang w:val="en"/>
        </w:rPr>
        <w:t xml:space="preserve">Exchange of selected information between states and </w:t>
      </w:r>
      <w:r w:rsidR="00201683">
        <w:rPr>
          <w:lang w:val="en"/>
        </w:rPr>
        <w:t>HTC</w:t>
      </w:r>
      <w:r w:rsidRPr="00E445C3">
        <w:rPr>
          <w:lang w:val="en"/>
        </w:rPr>
        <w:t>s</w:t>
      </w:r>
    </w:p>
    <w:p w:rsidR="00FE440A" w:rsidRPr="00E445C3" w:rsidRDefault="00FE440A" w:rsidP="00FE440A">
      <w:pPr>
        <w:numPr>
          <w:ilvl w:val="0"/>
          <w:numId w:val="109"/>
        </w:numPr>
        <w:spacing w:after="200"/>
        <w:rPr>
          <w:lang w:val="en"/>
        </w:rPr>
      </w:pPr>
      <w:r w:rsidRPr="00E445C3">
        <w:rPr>
          <w:lang w:val="en"/>
        </w:rPr>
        <w:t>National demographic information (age, sex etc.) of persons with bleeding disorders</w:t>
      </w:r>
    </w:p>
    <w:p w:rsidR="00FE440A" w:rsidRPr="00E445C3" w:rsidRDefault="00FE440A" w:rsidP="00FE440A">
      <w:pPr>
        <w:numPr>
          <w:ilvl w:val="0"/>
          <w:numId w:val="109"/>
        </w:numPr>
        <w:spacing w:after="200"/>
        <w:rPr>
          <w:lang w:val="en"/>
        </w:rPr>
      </w:pPr>
      <w:r w:rsidRPr="00E445C3">
        <w:rPr>
          <w:lang w:val="en"/>
        </w:rPr>
        <w:t>National data on inhibitor incidence and outcomes of treatment</w:t>
      </w:r>
    </w:p>
    <w:p w:rsidR="00FE440A" w:rsidRPr="00E445C3" w:rsidRDefault="00FE440A" w:rsidP="00FE440A">
      <w:pPr>
        <w:numPr>
          <w:ilvl w:val="0"/>
          <w:numId w:val="109"/>
        </w:numPr>
        <w:spacing w:after="200"/>
        <w:rPr>
          <w:lang w:val="en"/>
        </w:rPr>
      </w:pPr>
      <w:r w:rsidRPr="00E445C3">
        <w:rPr>
          <w:lang w:val="en"/>
        </w:rPr>
        <w:t>Allied health (physiotherapy and social work) interactions and outcomes</w:t>
      </w:r>
    </w:p>
    <w:p w:rsidR="00FE440A" w:rsidRPr="00E445C3" w:rsidRDefault="00FE440A" w:rsidP="00FE440A">
      <w:pPr>
        <w:numPr>
          <w:ilvl w:val="0"/>
          <w:numId w:val="109"/>
        </w:numPr>
        <w:spacing w:after="200"/>
        <w:rPr>
          <w:lang w:val="en"/>
        </w:rPr>
      </w:pPr>
      <w:r w:rsidRPr="00E445C3">
        <w:rPr>
          <w:lang w:val="en"/>
        </w:rPr>
        <w:t>Recording of personal usage of factor replacement for clinical monitoring</w:t>
      </w:r>
    </w:p>
    <w:p w:rsidR="00FE440A" w:rsidRPr="00E445C3" w:rsidRDefault="00FE440A" w:rsidP="00FE440A">
      <w:pPr>
        <w:numPr>
          <w:ilvl w:val="0"/>
          <w:numId w:val="109"/>
        </w:numPr>
        <w:spacing w:after="200"/>
        <w:rPr>
          <w:lang w:val="en"/>
        </w:rPr>
      </w:pPr>
      <w:r w:rsidRPr="00E445C3">
        <w:rPr>
          <w:lang w:val="en"/>
        </w:rPr>
        <w:t>Data for forward planning and funding of factor concentrates on a national basis</w:t>
      </w:r>
    </w:p>
    <w:p w:rsidR="00FE440A" w:rsidRPr="00E445C3" w:rsidRDefault="00FE440A" w:rsidP="00041ED2">
      <w:pPr>
        <w:ind w:left="0"/>
      </w:pPr>
      <w:r w:rsidRPr="00E445C3">
        <w:t>The ABDR provides health care teams and support staff with a record enabling them to monitor and manage treatment over time to improve patients’ quality of life. De-identified information from the ABDR may be used for research purposes by authorised organisations to understand and improve treatment for bleeding disorders. Considerations for the release of any information for research are made under specific governance arrangements. The ABDR also provides governments with information on total clotting factor product requirements to inform supply planning to meet the needs of all Australians with bleeding disorders.</w:t>
      </w:r>
    </w:p>
    <w:p w:rsidR="00FE440A" w:rsidRPr="00E445C3" w:rsidRDefault="00FE440A" w:rsidP="00041ED2">
      <w:pPr>
        <w:ind w:left="0"/>
      </w:pPr>
      <w:r w:rsidRPr="00E445C3">
        <w:t>The ABDR is managed on a day to day basis by the National Blood Authority (NBA) in accordance with the guidance and policy oversight provided by the ABDR Steering Committee. The Committee consists of representatives of the key stakeholders involved in the clinical management, advocacy and funding of treatment for people with bleeding disorders.</w:t>
      </w:r>
    </w:p>
    <w:p w:rsidR="00FE440A" w:rsidRPr="00E445C3" w:rsidRDefault="00FE440A" w:rsidP="00041ED2">
      <w:pPr>
        <w:ind w:left="0"/>
      </w:pPr>
      <w:r w:rsidRPr="00E445C3">
        <w:lastRenderedPageBreak/>
        <w:t>There is an extremely robust Governance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r>
        <w:t xml:space="preserve"> Individual patients are required to give consent for their data to be recorded in the ABDR.</w:t>
      </w:r>
    </w:p>
    <w:p w:rsidR="00FE440A" w:rsidRPr="00E445C3" w:rsidRDefault="00FE440A" w:rsidP="00041ED2">
      <w:pPr>
        <w:ind w:left="0"/>
      </w:pPr>
      <w:r w:rsidRPr="00E445C3">
        <w:t xml:space="preserve">In addition, there </w:t>
      </w:r>
      <w:proofErr w:type="gramStart"/>
      <w:r w:rsidRPr="00E445C3">
        <w:t>are</w:t>
      </w:r>
      <w:proofErr w:type="gramEnd"/>
      <w:r w:rsidRPr="00E445C3">
        <w:t xml:space="preserve"> stringent security protocols embedded into the technical architecture of the ABDR. These effectively control access to personal data ensuring this information is only accessible to treating health professionals and authorised support staff.</w:t>
      </w:r>
    </w:p>
    <w:p w:rsidR="00FE440A" w:rsidRPr="002A6E97" w:rsidRDefault="00BB12A1" w:rsidP="00041ED2">
      <w:pPr>
        <w:pStyle w:val="Heading4"/>
      </w:pPr>
      <w:r>
        <w:t>MyABDR</w:t>
      </w:r>
    </w:p>
    <w:p w:rsidR="00FE440A" w:rsidRPr="00E445C3" w:rsidRDefault="00BB12A1" w:rsidP="00FE440A">
      <w:pPr>
        <w:pStyle w:val="Default"/>
        <w:rPr>
          <w:rFonts w:asciiTheme="minorHAnsi" w:hAnsiTheme="minorHAnsi"/>
        </w:rPr>
      </w:pPr>
      <w:r>
        <w:rPr>
          <w:rFonts w:asciiTheme="minorHAnsi" w:hAnsiTheme="minorHAnsi"/>
          <w:sz w:val="22"/>
          <w:szCs w:val="22"/>
        </w:rPr>
        <w:t>MyABDR</w:t>
      </w:r>
      <w:r w:rsidR="00FE440A" w:rsidRPr="00E445C3">
        <w:rPr>
          <w:rFonts w:asciiTheme="minorHAnsi" w:hAnsiTheme="minorHAnsi"/>
          <w:sz w:val="22"/>
          <w:szCs w:val="22"/>
        </w:rPr>
        <w:t xml:space="preserve"> is a secure app for use on smartphones or home co</w:t>
      </w:r>
      <w:r w:rsidR="000A1EF2">
        <w:rPr>
          <w:rFonts w:asciiTheme="minorHAnsi" w:hAnsiTheme="minorHAnsi"/>
          <w:sz w:val="22"/>
          <w:szCs w:val="22"/>
        </w:rPr>
        <w:t xml:space="preserve">mputers, developed by the NBA, </w:t>
      </w:r>
      <w:r w:rsidR="00FE440A" w:rsidRPr="00E445C3">
        <w:rPr>
          <w:rFonts w:asciiTheme="minorHAnsi" w:hAnsiTheme="minorHAnsi"/>
          <w:sz w:val="22"/>
          <w:szCs w:val="22"/>
        </w:rPr>
        <w:t xml:space="preserve">for use by people with bleeding disorders or parents/caregivers. </w:t>
      </w:r>
      <w:r>
        <w:rPr>
          <w:rFonts w:asciiTheme="minorHAnsi" w:hAnsiTheme="minorHAnsi"/>
          <w:sz w:val="22"/>
          <w:szCs w:val="22"/>
        </w:rPr>
        <w:t>MyABDR</w:t>
      </w:r>
      <w:r w:rsidR="00FE440A" w:rsidRPr="00E445C3">
        <w:rPr>
          <w:rFonts w:asciiTheme="minorHAnsi" w:hAnsiTheme="minorHAnsi"/>
          <w:sz w:val="22"/>
          <w:szCs w:val="22"/>
        </w:rPr>
        <w:t xml:space="preserve"> can be used to record home treatments for </w:t>
      </w:r>
      <w:proofErr w:type="gramStart"/>
      <w:r w:rsidR="00FE440A" w:rsidRPr="00E445C3">
        <w:rPr>
          <w:rFonts w:asciiTheme="minorHAnsi" w:hAnsiTheme="minorHAnsi"/>
          <w:sz w:val="22"/>
          <w:szCs w:val="22"/>
        </w:rPr>
        <w:t>both prophylaxis or</w:t>
      </w:r>
      <w:proofErr w:type="gramEnd"/>
      <w:r w:rsidR="00FE440A" w:rsidRPr="00E445C3">
        <w:rPr>
          <w:rFonts w:asciiTheme="minorHAnsi" w:hAnsiTheme="minorHAnsi"/>
          <w:sz w:val="22"/>
          <w:szCs w:val="22"/>
        </w:rPr>
        <w:t xml:space="preserve"> bleeding episodes, and to manage treatment product stock. The </w:t>
      </w:r>
      <w:r>
        <w:rPr>
          <w:rFonts w:asciiTheme="minorHAnsi" w:hAnsiTheme="minorHAnsi"/>
          <w:sz w:val="22"/>
          <w:szCs w:val="22"/>
        </w:rPr>
        <w:t>MyABDR</w:t>
      </w:r>
      <w:r w:rsidR="00FE440A" w:rsidRPr="00E445C3">
        <w:rPr>
          <w:rFonts w:asciiTheme="minorHAnsi" w:hAnsiTheme="minorHAnsi"/>
          <w:sz w:val="22"/>
          <w:szCs w:val="22"/>
        </w:rPr>
        <w:t xml:space="preserve"> app and web site link directly to the ABDR and therefore data entered is available to the patients treating clinician. By enhancing the accurate recording of bleed frequency and factor usage, and making that information accessible to the clinician, </w:t>
      </w:r>
      <w:r>
        <w:rPr>
          <w:rFonts w:asciiTheme="minorHAnsi" w:hAnsiTheme="minorHAnsi"/>
          <w:sz w:val="22"/>
          <w:szCs w:val="22"/>
        </w:rPr>
        <w:t>MyABDR</w:t>
      </w:r>
      <w:r w:rsidR="00FE440A" w:rsidRPr="00E445C3">
        <w:rPr>
          <w:rFonts w:asciiTheme="minorHAnsi" w:hAnsiTheme="minorHAnsi"/>
          <w:sz w:val="22"/>
          <w:szCs w:val="22"/>
        </w:rPr>
        <w:t xml:space="preserve"> can help to aid decision making regarding treatment regime</w:t>
      </w:r>
      <w:r w:rsidR="000A1EF2">
        <w:rPr>
          <w:rFonts w:asciiTheme="minorHAnsi" w:hAnsiTheme="minorHAnsi"/>
          <w:sz w:val="22"/>
          <w:szCs w:val="22"/>
        </w:rPr>
        <w:t>n</w:t>
      </w:r>
      <w:r w:rsidR="00FE440A" w:rsidRPr="00E445C3">
        <w:rPr>
          <w:rFonts w:asciiTheme="minorHAnsi" w:hAnsiTheme="minorHAnsi"/>
          <w:sz w:val="22"/>
          <w:szCs w:val="22"/>
        </w:rPr>
        <w:t xml:space="preserve">s and optimise patient care. </w:t>
      </w:r>
      <w:r>
        <w:rPr>
          <w:rFonts w:asciiTheme="minorHAnsi" w:hAnsiTheme="minorHAnsi"/>
          <w:sz w:val="22"/>
          <w:szCs w:val="22"/>
        </w:rPr>
        <w:t>MyABDR</w:t>
      </w:r>
      <w:r w:rsidR="00FE440A" w:rsidRPr="00E445C3">
        <w:rPr>
          <w:rFonts w:asciiTheme="minorHAnsi" w:hAnsiTheme="minorHAnsi"/>
          <w:sz w:val="22"/>
          <w:szCs w:val="22"/>
        </w:rPr>
        <w:t xml:space="preserve"> is the preferred method of patient record keeping in Australia. </w:t>
      </w:r>
    </w:p>
    <w:p w:rsidR="00FE440A" w:rsidRPr="00E445C3" w:rsidRDefault="00FE440A" w:rsidP="00FE440A">
      <w:pPr>
        <w:pStyle w:val="Default"/>
      </w:pPr>
    </w:p>
    <w:p w:rsidR="00FE440A" w:rsidRPr="00041ED2" w:rsidRDefault="00FE440A" w:rsidP="00041ED2">
      <w:pPr>
        <w:pStyle w:val="Heading4"/>
      </w:pPr>
      <w:r w:rsidRPr="00214A6A">
        <w:t>Data reporting</w:t>
      </w:r>
    </w:p>
    <w:p w:rsidR="00FE440A" w:rsidRPr="00E445C3" w:rsidRDefault="00FE440A" w:rsidP="00041ED2">
      <w:pPr>
        <w:ind w:left="0"/>
      </w:pPr>
      <w:r w:rsidRPr="00E445C3">
        <w:t xml:space="preserve">The data recorded in ABDR is able to be used by health professionals for the care and treatment of individual patients and by HTCs in managing the provision of comprehensive care services. It is planned that benchmarking data will be made available to individual HTC’s to identify variation in management among centres, and to help identify areas in which differences can be examined to help standardise practice. </w:t>
      </w:r>
    </w:p>
    <w:p w:rsidR="00FE440A" w:rsidRPr="00E445C3" w:rsidRDefault="00FE440A" w:rsidP="00041ED2">
      <w:pPr>
        <w:ind w:left="0"/>
      </w:pPr>
      <w:r w:rsidRPr="00E445C3">
        <w:t>In addition, a number of useful national level reports are produced from de-identified data in ABDR:</w:t>
      </w:r>
    </w:p>
    <w:p w:rsidR="00FE440A" w:rsidRPr="00E445C3" w:rsidRDefault="00FE440A" w:rsidP="00FE440A">
      <w:pPr>
        <w:pStyle w:val="ListParagraph"/>
        <w:numPr>
          <w:ilvl w:val="0"/>
          <w:numId w:val="112"/>
        </w:numPr>
        <w:spacing w:after="200"/>
      </w:pPr>
      <w:r w:rsidRPr="00E445C3">
        <w:t>Annual reporting, including published report and the above HTC benchmarking reports</w:t>
      </w:r>
    </w:p>
    <w:p w:rsidR="00FE440A" w:rsidRPr="00E445C3" w:rsidRDefault="00FE440A" w:rsidP="00FE440A">
      <w:pPr>
        <w:pStyle w:val="ListParagraph"/>
        <w:numPr>
          <w:ilvl w:val="0"/>
          <w:numId w:val="112"/>
        </w:numPr>
        <w:spacing w:after="200"/>
      </w:pPr>
      <w:r w:rsidRPr="00E445C3">
        <w:t>Adverse event reporting and recording as the AUSHASS reporting scheme</w:t>
      </w:r>
    </w:p>
    <w:p w:rsidR="00FE440A" w:rsidRPr="00E445C3" w:rsidRDefault="00FE440A" w:rsidP="00FE440A">
      <w:pPr>
        <w:pStyle w:val="ListParagraph"/>
        <w:numPr>
          <w:ilvl w:val="0"/>
          <w:numId w:val="112"/>
        </w:numPr>
        <w:spacing w:after="200"/>
      </w:pPr>
      <w:r w:rsidRPr="00E445C3">
        <w:t>National contributions to the WFH survey</w:t>
      </w:r>
    </w:p>
    <w:p w:rsidR="00FE440A" w:rsidRPr="00E445C3" w:rsidRDefault="00FE440A" w:rsidP="00041ED2">
      <w:pPr>
        <w:ind w:left="0"/>
      </w:pPr>
      <w:r w:rsidRPr="00E445C3">
        <w:t>Individual centres are also able to submit data requests for summary data regarding their patient population to enhance clinical management.</w:t>
      </w:r>
    </w:p>
    <w:p w:rsidR="00FE440A" w:rsidRPr="00041ED2" w:rsidRDefault="00FE440A" w:rsidP="00041ED2">
      <w:pPr>
        <w:pStyle w:val="Heading3"/>
        <w:rPr>
          <w:rStyle w:val="A8"/>
        </w:rPr>
      </w:pPr>
      <w:bookmarkStart w:id="61" w:name="_Toc431484351"/>
      <w:r w:rsidRPr="00041ED2">
        <w:rPr>
          <w:rStyle w:val="A8"/>
        </w:rPr>
        <w:t>Knowledge development and practice improvement</w:t>
      </w:r>
      <w:bookmarkEnd w:id="61"/>
    </w:p>
    <w:p w:rsidR="00FE440A" w:rsidRPr="00E445C3" w:rsidRDefault="00FE440A" w:rsidP="00041ED2">
      <w:pPr>
        <w:ind w:left="0"/>
      </w:pPr>
      <w:r w:rsidRPr="00E445C3">
        <w:t>The other elements of the national framework for management of bleeding disorders in Australia enable and support a range of activities which seek to evaluate, maintain and improve an appropriate and high-quality standard of patient treatment care, and the effective and efficient use of clotting factor products.</w:t>
      </w:r>
    </w:p>
    <w:p w:rsidR="00FE440A" w:rsidRPr="00E445C3" w:rsidRDefault="00FE440A" w:rsidP="00041ED2">
      <w:pPr>
        <w:ind w:left="0"/>
      </w:pPr>
      <w:r w:rsidRPr="00E445C3">
        <w:t xml:space="preserve">These activities include </w:t>
      </w:r>
    </w:p>
    <w:p w:rsidR="00FE440A" w:rsidRPr="00E445C3" w:rsidRDefault="00FE440A" w:rsidP="00FE440A">
      <w:pPr>
        <w:numPr>
          <w:ilvl w:val="0"/>
          <w:numId w:val="109"/>
        </w:numPr>
        <w:spacing w:after="200"/>
        <w:rPr>
          <w:lang w:val="en"/>
        </w:rPr>
      </w:pPr>
      <w:r w:rsidRPr="00E445C3">
        <w:rPr>
          <w:b/>
          <w:lang w:val="en"/>
        </w:rPr>
        <w:t>Education and training</w:t>
      </w:r>
      <w:r w:rsidRPr="00E445C3">
        <w:rPr>
          <w:lang w:val="en"/>
        </w:rPr>
        <w:t xml:space="preserve"> – members of AHCDO and other healthcare professionals are regular involved in educational activities including registrar training events, the annual AHCDO education day, participation in national and international conferences, and contribution to patient education material in partnership with HFA.</w:t>
      </w:r>
    </w:p>
    <w:p w:rsidR="00FE440A" w:rsidRPr="00E445C3" w:rsidRDefault="00FE440A" w:rsidP="00FE440A">
      <w:pPr>
        <w:numPr>
          <w:ilvl w:val="0"/>
          <w:numId w:val="109"/>
        </w:numPr>
        <w:spacing w:after="200"/>
        <w:rPr>
          <w:lang w:val="en"/>
        </w:rPr>
      </w:pPr>
      <w:r w:rsidRPr="00E445C3">
        <w:rPr>
          <w:b/>
          <w:lang w:val="en"/>
        </w:rPr>
        <w:lastRenderedPageBreak/>
        <w:t>Practice benchmarking, development and peer review</w:t>
      </w:r>
      <w:r w:rsidRPr="00E445C3">
        <w:rPr>
          <w:lang w:val="en"/>
        </w:rPr>
        <w:t xml:space="preserve"> – forums for peer discussion of difficult clinical management decisions are provided by the tolerisation advisory committee and the complex patient advisory group. The planned provision of regular benchmarking data to individual HTC’s will enable the examination of variation in practice and aid in the standardisation of management where appropriate.  </w:t>
      </w:r>
    </w:p>
    <w:p w:rsidR="00FE440A" w:rsidRPr="00E445C3" w:rsidRDefault="00FE440A" w:rsidP="00FE440A">
      <w:pPr>
        <w:numPr>
          <w:ilvl w:val="0"/>
          <w:numId w:val="109"/>
        </w:numPr>
        <w:spacing w:after="200"/>
        <w:rPr>
          <w:lang w:val="en"/>
        </w:rPr>
      </w:pPr>
      <w:r w:rsidRPr="00E445C3">
        <w:rPr>
          <w:b/>
          <w:lang w:val="en"/>
        </w:rPr>
        <w:t>Guidelines and consensus statements</w:t>
      </w:r>
      <w:r w:rsidRPr="00E445C3">
        <w:rPr>
          <w:lang w:val="en"/>
        </w:rPr>
        <w:t xml:space="preserve"> – AHCDO is committed to the development of clinical guidelines such as these to provide a framework to guide the management of patients with haemophilia. Ongoing activity including detailed systematic review of clinical questions and the development of consensus statements in areas not covered by these guidelines are planned.</w:t>
      </w:r>
    </w:p>
    <w:p w:rsidR="00FE440A" w:rsidRPr="00E445C3" w:rsidRDefault="00FE440A" w:rsidP="00FE440A">
      <w:pPr>
        <w:numPr>
          <w:ilvl w:val="0"/>
          <w:numId w:val="109"/>
        </w:numPr>
        <w:spacing w:after="200"/>
        <w:rPr>
          <w:lang w:val="en"/>
        </w:rPr>
      </w:pPr>
      <w:r w:rsidRPr="00E445C3">
        <w:rPr>
          <w:b/>
          <w:lang w:val="en"/>
        </w:rPr>
        <w:t>Research and publications</w:t>
      </w:r>
      <w:r w:rsidRPr="00E445C3">
        <w:rPr>
          <w:lang w:val="en"/>
        </w:rPr>
        <w:t xml:space="preserve"> – ethics approval for use of the ABDR for demograph</w:t>
      </w:r>
      <w:r w:rsidR="00225A36">
        <w:rPr>
          <w:lang w:val="en"/>
        </w:rPr>
        <w:t xml:space="preserve">ic research is a key component </w:t>
      </w:r>
      <w:r w:rsidRPr="00E445C3">
        <w:rPr>
          <w:lang w:val="en"/>
        </w:rPr>
        <w:t xml:space="preserve">of examining national data to help answer key research questions (see </w:t>
      </w:r>
      <w:r w:rsidR="000A1EF2">
        <w:rPr>
          <w:lang w:val="en"/>
        </w:rPr>
        <w:t>‘Areas for further Research’, Appendix D</w:t>
      </w:r>
      <w:r w:rsidRPr="00E445C3">
        <w:rPr>
          <w:lang w:val="en"/>
        </w:rPr>
        <w:t xml:space="preserve">).  AHCDO has a mechanism for providing funding for local research initiatives in collaboration with the NBA. </w:t>
      </w:r>
    </w:p>
    <w:p w:rsidR="00FE440A" w:rsidRPr="009E38CC" w:rsidRDefault="00FE440A" w:rsidP="00FE440A"/>
    <w:p w:rsidR="00FE440A" w:rsidRDefault="00FE440A">
      <w:pPr>
        <w:spacing w:after="200" w:line="276" w:lineRule="auto"/>
        <w:ind w:left="0"/>
      </w:pPr>
      <w:r>
        <w:br w:type="page"/>
      </w:r>
    </w:p>
    <w:p w:rsidR="00543F5D" w:rsidRPr="00041ED2" w:rsidRDefault="00543F5D" w:rsidP="00041ED2">
      <w:pPr>
        <w:pStyle w:val="Heading1"/>
        <w:rPr>
          <w:rStyle w:val="A0"/>
          <w:rFonts w:cs="Arial"/>
          <w:b w:val="0"/>
          <w:sz w:val="36"/>
          <w:szCs w:val="36"/>
        </w:rPr>
      </w:pPr>
      <w:bookmarkStart w:id="62" w:name="_Toc431484352"/>
      <w:r w:rsidRPr="00041ED2">
        <w:rPr>
          <w:rStyle w:val="A0"/>
          <w:rFonts w:cs="Arial"/>
          <w:sz w:val="36"/>
          <w:szCs w:val="36"/>
        </w:rPr>
        <w:lastRenderedPageBreak/>
        <w:t>A</w:t>
      </w:r>
      <w:r w:rsidR="0091684A" w:rsidRPr="00041ED2">
        <w:rPr>
          <w:rStyle w:val="A0"/>
          <w:rFonts w:cs="Arial"/>
          <w:sz w:val="36"/>
          <w:szCs w:val="36"/>
        </w:rPr>
        <w:t>ppendix A</w:t>
      </w:r>
      <w:r w:rsidR="0091684A" w:rsidRPr="00041ED2">
        <w:rPr>
          <w:rStyle w:val="A0"/>
          <w:rFonts w:cs="Arial"/>
          <w:sz w:val="36"/>
          <w:szCs w:val="36"/>
        </w:rPr>
        <w:tab/>
      </w:r>
      <w:r w:rsidRPr="00041ED2">
        <w:rPr>
          <w:rStyle w:val="A0"/>
          <w:rFonts w:cs="Arial"/>
          <w:sz w:val="36"/>
          <w:szCs w:val="36"/>
        </w:rPr>
        <w:tab/>
        <w:t>A</w:t>
      </w:r>
      <w:r w:rsidR="0091684A" w:rsidRPr="00041ED2">
        <w:rPr>
          <w:rStyle w:val="A0"/>
          <w:rFonts w:cs="Arial"/>
          <w:sz w:val="36"/>
          <w:szCs w:val="36"/>
        </w:rPr>
        <w:t>cronyms and abbreviations</w:t>
      </w:r>
      <w:bookmarkEnd w:id="62"/>
    </w:p>
    <w:tbl>
      <w:tblPr>
        <w:tblW w:w="9887" w:type="dxa"/>
        <w:tblInd w:w="-601" w:type="dxa"/>
        <w:tblLook w:val="04A0" w:firstRow="1" w:lastRow="0" w:firstColumn="1" w:lastColumn="0" w:noHBand="0" w:noVBand="1"/>
      </w:tblPr>
      <w:tblGrid>
        <w:gridCol w:w="2127"/>
        <w:gridCol w:w="7760"/>
      </w:tblGrid>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ASA</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acetylsalicylic acid</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ABDR</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Australian Bleeding Disorder Registry</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ACHDO</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Australian Haemophilia Centre Director's Association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AHMAC</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Australian Health Ministers Advisory Council</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aPCC</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activated prothrombin complex concentrates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AUSHASS</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Australian Haemophilia Safety Surveillance System</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BMD</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bone mineral density</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BMI</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body mass index</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CHO-KLAT</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Canadian Hemophilia Outcomes: Kids' Life Assessment Tool</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CNS</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central nervous system</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CT</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computed tomography</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CVS</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chorionic villus sampling</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DDAVP</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Desmopressin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DIC</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disseminated intravascular coagulation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DM</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diabetes mellitus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DNA</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deoxyribonucleic acid</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ECAT</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External quality Control of diagnostic Assays and Tests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EQAS</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external quality assessment scheme</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factor IX</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FIX</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factor VIII</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FVIII</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FEIBA</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factor eight inhibitor bypassing activity</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FFP</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fresh frozen plasma</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FISH</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Functional Independence Score in Haemophilia</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FVII</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factor VII</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FX</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factor X</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FXI</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factor XI</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GI</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gastrointestinal</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GRADE</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Grading of Recommendations Assessment, Development and Evaluation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HAL</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Haemophilia Activities List</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HAV</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hepatitis A virus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HBV</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hepatitis B virus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HCB</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hepatitis C virus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HDL</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high-density lipoprotein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HIV</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human immunodeficiency virus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HJHS</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Haemophilia Joint Health Score</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HTC</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Haemophilia Treatment Centre</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ICU</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intensive care unit</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IgG</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immunoglobulin G</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IQC</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internal quality control</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ITI</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immune tolerance induction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IV</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intravenous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LDL</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low-density lipoprotein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MMR</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measles, mumps and rubella</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MRI</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magnetic resonance imaging</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lastRenderedPageBreak/>
              <w:t>NAT</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nucleic acid testing</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NATA</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National Association of Testing Authorities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NBA</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National Blood Authority</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NEQAS</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National External Quality Assessment Service</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NSAIDs</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non-steroidal anti-inflammatory drugs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NV</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neurovascular</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PCC</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prothrombin complex concentrates</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PCI</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percutaneous cardiac intervention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PCR</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polymerase chain reaction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PedHAL</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Paediatric Haemophilia Activities List</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PEG-INF</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pegylated interferon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PK</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pharmacokinetic</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PRICE</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protection, rest, ice, compression, and elevation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PWH</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persons with haemophilia</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RCPA</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Royal College of Pathologists of Australia</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rFIX</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recombinant factor IX</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rFVIIa</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recombinant activated factor VIIa</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RhD</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Anti-D immunoglobulin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ROM</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range of motion</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TAC</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Tolerisation Advisory Committee</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UGI</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upper gastrointestinal</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vCJD</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variant Creutzfeldt-Jakob disease</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vWD</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von Willebrand disease</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vWF</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von Willebrand factor</w:t>
            </w:r>
          </w:p>
        </w:tc>
      </w:tr>
      <w:tr w:rsidR="0024116D" w:rsidTr="00041ED2">
        <w:trPr>
          <w:trHeight w:val="300"/>
        </w:trPr>
        <w:tc>
          <w:tcPr>
            <w:tcW w:w="2127" w:type="dxa"/>
            <w:tcBorders>
              <w:top w:val="nil"/>
              <w:left w:val="nil"/>
              <w:bottom w:val="nil"/>
              <w:right w:val="nil"/>
            </w:tcBorders>
            <w:shd w:val="clear" w:color="auto" w:fill="auto"/>
            <w:noWrap/>
            <w:vAlign w:val="center"/>
            <w:hideMark/>
          </w:tcPr>
          <w:p w:rsidR="0024116D" w:rsidRDefault="0024116D" w:rsidP="00041ED2">
            <w:pPr>
              <w:spacing w:after="0"/>
            </w:pPr>
            <w:r>
              <w:t>WFH</w:t>
            </w:r>
          </w:p>
        </w:tc>
        <w:tc>
          <w:tcPr>
            <w:tcW w:w="7760" w:type="dxa"/>
            <w:tcBorders>
              <w:top w:val="nil"/>
              <w:left w:val="nil"/>
              <w:bottom w:val="nil"/>
              <w:right w:val="nil"/>
            </w:tcBorders>
            <w:shd w:val="clear" w:color="auto" w:fill="auto"/>
            <w:noWrap/>
            <w:vAlign w:val="center"/>
            <w:hideMark/>
          </w:tcPr>
          <w:p w:rsidR="0024116D" w:rsidRDefault="0024116D" w:rsidP="00041ED2">
            <w:pPr>
              <w:spacing w:after="0"/>
            </w:pPr>
            <w:r>
              <w:t>World Federation of Haemophilia</w:t>
            </w:r>
          </w:p>
        </w:tc>
      </w:tr>
    </w:tbl>
    <w:p w:rsidR="00F30980" w:rsidRDefault="00F30980" w:rsidP="00F30980">
      <w:pPr>
        <w:spacing w:after="0"/>
        <w:ind w:left="0"/>
      </w:pPr>
    </w:p>
    <w:p w:rsidR="00225A36" w:rsidRDefault="00225A36">
      <w:pPr>
        <w:spacing w:after="200" w:line="276" w:lineRule="auto"/>
        <w:ind w:left="0"/>
        <w:rPr>
          <w:rStyle w:val="A0"/>
          <w:rFonts w:ascii="Arial" w:hAnsi="Arial" w:cs="Arial"/>
          <w:b/>
          <w:sz w:val="36"/>
          <w:szCs w:val="36"/>
        </w:rPr>
      </w:pPr>
      <w:r>
        <w:rPr>
          <w:rStyle w:val="A0"/>
          <w:rFonts w:ascii="Arial" w:hAnsi="Arial" w:cs="Arial"/>
          <w:b/>
          <w:sz w:val="36"/>
          <w:szCs w:val="36"/>
        </w:rPr>
        <w:br w:type="page"/>
      </w:r>
    </w:p>
    <w:p w:rsidR="00392FA3" w:rsidRPr="00041ED2" w:rsidRDefault="00392FA3" w:rsidP="00041ED2">
      <w:pPr>
        <w:pStyle w:val="Heading1"/>
        <w:rPr>
          <w:rStyle w:val="A0"/>
          <w:rFonts w:cs="Arial"/>
          <w:b w:val="0"/>
          <w:sz w:val="36"/>
          <w:szCs w:val="36"/>
        </w:rPr>
      </w:pPr>
      <w:bookmarkStart w:id="63" w:name="_Toc431484353"/>
      <w:r w:rsidRPr="00041ED2">
        <w:rPr>
          <w:rStyle w:val="A0"/>
          <w:rFonts w:cs="Arial"/>
          <w:sz w:val="36"/>
          <w:szCs w:val="36"/>
        </w:rPr>
        <w:lastRenderedPageBreak/>
        <w:t>Appendix B</w:t>
      </w:r>
      <w:r w:rsidRPr="00041ED2">
        <w:rPr>
          <w:rStyle w:val="A0"/>
          <w:rFonts w:cs="Arial"/>
          <w:sz w:val="36"/>
          <w:szCs w:val="36"/>
        </w:rPr>
        <w:tab/>
        <w:t>Development process</w:t>
      </w:r>
      <w:bookmarkEnd w:id="63"/>
      <w:r w:rsidRPr="00041ED2">
        <w:rPr>
          <w:rStyle w:val="A0"/>
          <w:rFonts w:cs="Arial"/>
          <w:sz w:val="36"/>
          <w:szCs w:val="36"/>
        </w:rPr>
        <w:t xml:space="preserve"> </w:t>
      </w:r>
    </w:p>
    <w:p w:rsidR="00392FA3" w:rsidRDefault="00392FA3" w:rsidP="00392FA3">
      <w:pPr>
        <w:ind w:left="0"/>
      </w:pPr>
      <w:r>
        <w:t>In 2013, the NBA and AHCDO agreed that guidance for the management of haemophilia patients should be developed for the Australian setting for the following reasons:</w:t>
      </w:r>
    </w:p>
    <w:p w:rsidR="00392FA3" w:rsidRDefault="00392FA3" w:rsidP="00392FA3">
      <w:pPr>
        <w:pStyle w:val="ListParagraph"/>
        <w:numPr>
          <w:ilvl w:val="0"/>
          <w:numId w:val="6"/>
        </w:numPr>
        <w:spacing w:after="0"/>
        <w:contextualSpacing w:val="0"/>
      </w:pPr>
      <w:r>
        <w:t>Guidelines that provide multidisciplinary guidance on the management of the patients with haemophilia relevant to the Australian setting are not currently available</w:t>
      </w:r>
    </w:p>
    <w:p w:rsidR="00392FA3" w:rsidRDefault="00392FA3" w:rsidP="00392FA3">
      <w:pPr>
        <w:pStyle w:val="ListParagraph"/>
        <w:numPr>
          <w:ilvl w:val="0"/>
          <w:numId w:val="6"/>
        </w:numPr>
        <w:spacing w:before="120" w:after="0"/>
        <w:ind w:left="357" w:hanging="357"/>
        <w:contextualSpacing w:val="0"/>
      </w:pPr>
      <w:r>
        <w:t>It is suspected that there is variation in approaches to some aspects of the management of haemophilia in Australia</w:t>
      </w:r>
    </w:p>
    <w:p w:rsidR="00392FA3" w:rsidRPr="002D5D58" w:rsidRDefault="00392FA3" w:rsidP="00392FA3">
      <w:pPr>
        <w:pStyle w:val="ListParagraph"/>
        <w:numPr>
          <w:ilvl w:val="0"/>
          <w:numId w:val="6"/>
        </w:numPr>
        <w:spacing w:before="120" w:after="0"/>
        <w:ind w:left="357" w:hanging="357"/>
        <w:contextualSpacing w:val="0"/>
        <w:rPr>
          <w:i/>
        </w:rPr>
      </w:pPr>
      <w:r>
        <w:t xml:space="preserve">The </w:t>
      </w:r>
      <w:r w:rsidRPr="002D5D58">
        <w:t xml:space="preserve">Australian </w:t>
      </w:r>
      <w:r w:rsidR="002D5D58" w:rsidRPr="002D5D58">
        <w:rPr>
          <w:i/>
        </w:rPr>
        <w:t>Evidence-based clinical practice guidelines for the use of recombinant and plasma-derived FVIII and FIX products</w:t>
      </w:r>
      <w:r w:rsidR="00C54D2D">
        <w:rPr>
          <w:i/>
        </w:rPr>
        <w:t xml:space="preserve"> </w:t>
      </w:r>
      <w:r w:rsidR="00C54D2D">
        <w:t>were due for revision</w:t>
      </w:r>
    </w:p>
    <w:p w:rsidR="00392FA3" w:rsidRDefault="00392FA3" w:rsidP="00392FA3">
      <w:pPr>
        <w:pStyle w:val="ListParagraph"/>
        <w:numPr>
          <w:ilvl w:val="0"/>
          <w:numId w:val="6"/>
        </w:numPr>
        <w:spacing w:before="120" w:after="0"/>
        <w:ind w:left="357" w:hanging="357"/>
        <w:contextualSpacing w:val="0"/>
      </w:pPr>
      <w:r>
        <w:t xml:space="preserve">The </w:t>
      </w:r>
      <w:r w:rsidRPr="00F30980">
        <w:rPr>
          <w:i/>
        </w:rPr>
        <w:t>National Safety and Quality Health Service Standards</w:t>
      </w:r>
      <w:r>
        <w:t xml:space="preserve"> requires that </w:t>
      </w:r>
      <w:r w:rsidRPr="001D5B72">
        <w:t>blood product</w:t>
      </w:r>
      <w:r>
        <w:t xml:space="preserve"> </w:t>
      </w:r>
      <w:r w:rsidRPr="001D5B72">
        <w:t>policies, procedures</w:t>
      </w:r>
      <w:r>
        <w:t xml:space="preserve"> </w:t>
      </w:r>
      <w:r w:rsidRPr="001D5B72">
        <w:t>and/or protocols</w:t>
      </w:r>
      <w:r>
        <w:t xml:space="preserve"> </w:t>
      </w:r>
      <w:r w:rsidRPr="001D5B72">
        <w:t>are consistent with</w:t>
      </w:r>
      <w:r>
        <w:t xml:space="preserve"> </w:t>
      </w:r>
      <w:r w:rsidRPr="00AD4D98">
        <w:t>national evidence</w:t>
      </w:r>
      <w:r>
        <w:t xml:space="preserve"> </w:t>
      </w:r>
      <w:r w:rsidRPr="001D5B72">
        <w:t>based</w:t>
      </w:r>
      <w:r>
        <w:t xml:space="preserve"> </w:t>
      </w:r>
      <w:r w:rsidRPr="001D5B72">
        <w:t>guidelines</w:t>
      </w:r>
      <w:r>
        <w:t xml:space="preserve"> </w:t>
      </w:r>
      <w:r w:rsidRPr="001D5B72">
        <w:t>for pre-transfusion</w:t>
      </w:r>
      <w:r>
        <w:t xml:space="preserve"> </w:t>
      </w:r>
      <w:r w:rsidRPr="001D5B72">
        <w:t>practices, prescribing</w:t>
      </w:r>
      <w:r>
        <w:t xml:space="preserve"> </w:t>
      </w:r>
      <w:r w:rsidRPr="00AD4D98">
        <w:t>and clinical use</w:t>
      </w:r>
      <w:r w:rsidR="00C54D2D">
        <w:t>.</w:t>
      </w:r>
    </w:p>
    <w:p w:rsidR="00392FA3" w:rsidRDefault="00392FA3" w:rsidP="00392FA3">
      <w:pPr>
        <w:spacing w:after="0"/>
        <w:ind w:left="0"/>
      </w:pPr>
    </w:p>
    <w:p w:rsidR="00392FA3" w:rsidRDefault="00392FA3" w:rsidP="00392FA3">
      <w:pPr>
        <w:spacing w:after="0"/>
        <w:ind w:left="0"/>
      </w:pPr>
      <w:r>
        <w:t xml:space="preserve">The NBA and AHCDO agreed that the </w:t>
      </w:r>
      <w:r w:rsidR="00C97355">
        <w:t>WFH’s</w:t>
      </w:r>
      <w:r>
        <w:t xml:space="preserve"> </w:t>
      </w:r>
      <w:r w:rsidRPr="00740873">
        <w:rPr>
          <w:i/>
        </w:rPr>
        <w:t>Guidelines for the management of hemophilia (2</w:t>
      </w:r>
      <w:r w:rsidRPr="00740873">
        <w:rPr>
          <w:i/>
          <w:vertAlign w:val="superscript"/>
        </w:rPr>
        <w:t>nd</w:t>
      </w:r>
      <w:r w:rsidRPr="00740873">
        <w:rPr>
          <w:i/>
        </w:rPr>
        <w:t xml:space="preserve"> edition) </w:t>
      </w:r>
      <w:r>
        <w:t>provide</w:t>
      </w:r>
      <w:r w:rsidR="00C97355">
        <w:t>d</w:t>
      </w:r>
      <w:r>
        <w:t xml:space="preserve"> a good basis upon which to develop Australian guidance</w:t>
      </w:r>
      <w:r w:rsidR="00C97355">
        <w:t xml:space="preserve">. </w:t>
      </w:r>
      <w:r w:rsidR="009B412A">
        <w:t xml:space="preserve">However, in order to maximise </w:t>
      </w:r>
      <w:r w:rsidR="00C97355">
        <w:t xml:space="preserve">the opportunity of standardising haemophilia </w:t>
      </w:r>
      <w:r w:rsidR="009677F8">
        <w:t>care in Australia, some adaptation</w:t>
      </w:r>
      <w:r w:rsidR="00C97355">
        <w:t xml:space="preserve"> of the WFH guideline was required.</w:t>
      </w:r>
    </w:p>
    <w:p w:rsidR="00C97355" w:rsidRDefault="00C97355" w:rsidP="00392FA3">
      <w:pPr>
        <w:spacing w:after="0"/>
        <w:ind w:left="0"/>
      </w:pPr>
    </w:p>
    <w:p w:rsidR="00C97355" w:rsidRDefault="00C97355" w:rsidP="00C97355">
      <w:pPr>
        <w:spacing w:after="0"/>
        <w:ind w:left="0"/>
      </w:pPr>
      <w:r>
        <w:t xml:space="preserve">Each chapter of the WFH guideline was reviewed by at least two AHCDO members who were </w:t>
      </w:r>
      <w:r w:rsidR="00831439">
        <w:t xml:space="preserve">asked </w:t>
      </w:r>
      <w:r>
        <w:t>to appraise the chapter, assess the need for a systematic review and draft additional content, while being mindful of the Australian setting, the sustainability of products, the appropriateness of treatment regimens and the need for a consensus approach.</w:t>
      </w:r>
      <w:r w:rsidR="00831439">
        <w:t xml:space="preserve"> An additional chapter on the framework for the management of bleeding disorders in Australia was also drafted for inclusion in the guideline. </w:t>
      </w:r>
    </w:p>
    <w:p w:rsidR="00831439" w:rsidRDefault="00831439" w:rsidP="00C97355">
      <w:pPr>
        <w:spacing w:after="0"/>
        <w:ind w:left="0"/>
      </w:pPr>
    </w:p>
    <w:p w:rsidR="00831439" w:rsidRDefault="00831439" w:rsidP="00831439">
      <w:pPr>
        <w:autoSpaceDE w:val="0"/>
        <w:autoSpaceDN w:val="0"/>
        <w:adjustRightInd w:val="0"/>
        <w:spacing w:after="0"/>
        <w:ind w:left="0"/>
        <w:rPr>
          <w:rFonts w:asciiTheme="minorHAnsi" w:eastAsiaTheme="minorHAnsi" w:hAnsiTheme="minorHAnsi" w:cs="Arial"/>
          <w:sz w:val="21"/>
          <w:szCs w:val="21"/>
        </w:rPr>
      </w:pPr>
      <w:r w:rsidRPr="00AC06B3">
        <w:rPr>
          <w:rFonts w:asciiTheme="minorHAnsi" w:eastAsiaTheme="minorHAnsi" w:hAnsiTheme="minorHAnsi" w:cs="Arial"/>
          <w:sz w:val="21"/>
          <w:szCs w:val="21"/>
        </w:rPr>
        <w:t xml:space="preserve">During </w:t>
      </w:r>
      <w:r w:rsidR="00061206">
        <w:rPr>
          <w:rFonts w:asciiTheme="minorHAnsi" w:eastAsiaTheme="minorHAnsi" w:hAnsiTheme="minorHAnsi" w:cs="Arial"/>
          <w:sz w:val="21"/>
          <w:szCs w:val="21"/>
        </w:rPr>
        <w:t>the r</w:t>
      </w:r>
      <w:r w:rsidRPr="00AC06B3">
        <w:rPr>
          <w:rFonts w:asciiTheme="minorHAnsi" w:eastAsiaTheme="minorHAnsi" w:hAnsiTheme="minorHAnsi" w:cs="Arial"/>
          <w:sz w:val="21"/>
          <w:szCs w:val="21"/>
        </w:rPr>
        <w:t>eview of the</w:t>
      </w:r>
      <w:r w:rsidR="00061206">
        <w:rPr>
          <w:rFonts w:asciiTheme="minorHAnsi" w:eastAsiaTheme="minorHAnsi" w:hAnsiTheme="minorHAnsi" w:cs="Arial"/>
          <w:sz w:val="21"/>
          <w:szCs w:val="21"/>
        </w:rPr>
        <w:t xml:space="preserve"> WFH guideline, </w:t>
      </w:r>
      <w:r w:rsidRPr="00AC06B3">
        <w:rPr>
          <w:rFonts w:asciiTheme="minorHAnsi" w:eastAsiaTheme="minorHAnsi" w:hAnsiTheme="minorHAnsi" w:cs="Arial"/>
          <w:sz w:val="21"/>
          <w:szCs w:val="21"/>
        </w:rPr>
        <w:t>AHCDO members identified a number of research areas requiring further consideration and possible systematic review. Following an initial scan of literature, AHCDO recommended that a systematic review should be conducted to address two research questions:</w:t>
      </w:r>
    </w:p>
    <w:p w:rsidR="00831439" w:rsidRDefault="00831439" w:rsidP="00831439">
      <w:pPr>
        <w:autoSpaceDE w:val="0"/>
        <w:autoSpaceDN w:val="0"/>
        <w:adjustRightInd w:val="0"/>
        <w:spacing w:after="0"/>
        <w:ind w:left="0"/>
        <w:rPr>
          <w:rFonts w:asciiTheme="minorHAnsi" w:eastAsiaTheme="minorHAnsi" w:hAnsiTheme="minorHAnsi" w:cs="Arial"/>
          <w:sz w:val="21"/>
          <w:szCs w:val="21"/>
        </w:rPr>
      </w:pPr>
    </w:p>
    <w:p w:rsidR="00831439" w:rsidRPr="00AB6F0E" w:rsidRDefault="00831439" w:rsidP="00831439">
      <w:pPr>
        <w:pStyle w:val="ListParagraph"/>
        <w:numPr>
          <w:ilvl w:val="0"/>
          <w:numId w:val="13"/>
        </w:numPr>
        <w:autoSpaceDE w:val="0"/>
        <w:autoSpaceDN w:val="0"/>
        <w:adjustRightInd w:val="0"/>
        <w:spacing w:after="120"/>
        <w:ind w:left="400" w:hanging="400"/>
        <w:contextualSpacing w:val="0"/>
        <w:rPr>
          <w:rFonts w:asciiTheme="minorHAnsi" w:eastAsiaTheme="minorHAnsi" w:hAnsiTheme="minorHAnsi" w:cs="Arial"/>
          <w:i/>
          <w:sz w:val="21"/>
          <w:szCs w:val="21"/>
        </w:rPr>
      </w:pPr>
      <w:r w:rsidRPr="00AB6F0E">
        <w:rPr>
          <w:rFonts w:asciiTheme="minorHAnsi" w:eastAsiaTheme="minorHAnsi" w:hAnsiTheme="minorHAnsi" w:cs="Arial"/>
          <w:i/>
          <w:sz w:val="21"/>
          <w:szCs w:val="21"/>
        </w:rPr>
        <w:t>In patients with haemophilia what is the effect of anti-inflammatory medication (including aspirin) compared to no anti-inflammatory or a different type of anti-inflammatory medication on bleeding events?</w:t>
      </w:r>
    </w:p>
    <w:p w:rsidR="00831439" w:rsidRPr="00AB6F0E" w:rsidRDefault="00831439" w:rsidP="00831439">
      <w:pPr>
        <w:pStyle w:val="ListParagraph"/>
        <w:numPr>
          <w:ilvl w:val="0"/>
          <w:numId w:val="13"/>
        </w:numPr>
        <w:autoSpaceDE w:val="0"/>
        <w:autoSpaceDN w:val="0"/>
        <w:adjustRightInd w:val="0"/>
        <w:spacing w:after="0"/>
        <w:ind w:left="400" w:hanging="400"/>
        <w:contextualSpacing w:val="0"/>
        <w:rPr>
          <w:rFonts w:asciiTheme="minorHAnsi" w:eastAsiaTheme="minorHAnsi" w:hAnsiTheme="minorHAnsi" w:cs="Arial"/>
          <w:i/>
          <w:sz w:val="21"/>
          <w:szCs w:val="21"/>
        </w:rPr>
      </w:pPr>
      <w:r w:rsidRPr="00AB6F0E">
        <w:rPr>
          <w:rFonts w:asciiTheme="minorHAnsi" w:eastAsiaTheme="minorHAnsi" w:hAnsiTheme="minorHAnsi" w:cs="Arial"/>
          <w:i/>
          <w:sz w:val="21"/>
          <w:szCs w:val="21"/>
        </w:rPr>
        <w:t>In patients with haemophilia who have presented with an acute joint bleed or historical joint bleeds, what is the effect of therapy to reduce inflammation compared to no therapy on recurrent joint haemorrhage and subsequent arthropathy?</w:t>
      </w:r>
    </w:p>
    <w:p w:rsidR="00831439" w:rsidRDefault="00831439" w:rsidP="00C97355">
      <w:pPr>
        <w:spacing w:after="0"/>
        <w:ind w:left="0"/>
      </w:pPr>
    </w:p>
    <w:p w:rsidR="00061206" w:rsidRDefault="00061206" w:rsidP="00061206">
      <w:pPr>
        <w:spacing w:after="0"/>
        <w:ind w:left="0"/>
      </w:pPr>
      <w:r>
        <w:t xml:space="preserve">The findings were considered by AHCDO and incorporated into the guideline. Further details on the systematic review can be found at Appendix C (Systematic review methodology). </w:t>
      </w:r>
    </w:p>
    <w:p w:rsidR="00831439" w:rsidRDefault="00061206" w:rsidP="00C97355">
      <w:pPr>
        <w:spacing w:after="0"/>
        <w:ind w:left="0"/>
      </w:pPr>
      <w:r>
        <w:t xml:space="preserve"> </w:t>
      </w:r>
    </w:p>
    <w:p w:rsidR="00831439" w:rsidRDefault="00C97355" w:rsidP="00C97355">
      <w:pPr>
        <w:spacing w:after="0"/>
        <w:ind w:left="0"/>
      </w:pPr>
      <w:r>
        <w:t xml:space="preserve">The </w:t>
      </w:r>
      <w:r w:rsidR="00061206">
        <w:t xml:space="preserve">revised </w:t>
      </w:r>
      <w:r>
        <w:t xml:space="preserve">chapters </w:t>
      </w:r>
      <w:r w:rsidR="00831439">
        <w:t xml:space="preserve">were then reviewed for consistency, consolidated and circulated to nominated clinical experts as well </w:t>
      </w:r>
      <w:r w:rsidR="005A4E5E">
        <w:t xml:space="preserve">as </w:t>
      </w:r>
      <w:r w:rsidR="00831439">
        <w:t>the Haemophilia Foundation of Australia in a ‘critical friends’ consultation process.</w:t>
      </w:r>
      <w:r w:rsidR="00061206">
        <w:t xml:space="preserve"> </w:t>
      </w:r>
      <w:r w:rsidR="00E928C0">
        <w:t xml:space="preserve">Eight </w:t>
      </w:r>
      <w:r w:rsidR="00061206">
        <w:t xml:space="preserve">submissions were received. </w:t>
      </w:r>
      <w:r w:rsidR="00831439">
        <w:t xml:space="preserve">All comments received were </w:t>
      </w:r>
      <w:r w:rsidR="00061206">
        <w:t xml:space="preserve">not </w:t>
      </w:r>
      <w:r w:rsidR="00831439">
        <w:t xml:space="preserve">considered </w:t>
      </w:r>
      <w:r w:rsidR="00061206">
        <w:t xml:space="preserve">to be </w:t>
      </w:r>
      <w:r w:rsidR="00831439">
        <w:t xml:space="preserve">controversial and were incorporated into the draft guideline in preparation for the </w:t>
      </w:r>
      <w:r w:rsidR="00061206">
        <w:t xml:space="preserve">open public consultation process. </w:t>
      </w:r>
    </w:p>
    <w:p w:rsidR="00061206" w:rsidRDefault="00061206" w:rsidP="00C97355">
      <w:pPr>
        <w:spacing w:after="0"/>
        <w:ind w:left="0"/>
      </w:pPr>
    </w:p>
    <w:p w:rsidR="00061206" w:rsidRDefault="00061206" w:rsidP="00C97355">
      <w:pPr>
        <w:spacing w:after="0"/>
        <w:ind w:left="0"/>
      </w:pPr>
      <w:r>
        <w:t xml:space="preserve">Public consultation was conducted for </w:t>
      </w:r>
      <w:r w:rsidR="006A3D9F">
        <w:t>six</w:t>
      </w:r>
      <w:r>
        <w:t xml:space="preserve"> weeks from</w:t>
      </w:r>
      <w:r w:rsidR="006A3D9F">
        <w:t xml:space="preserve"> Wednesday 11 November 2015 to Wednesday 23 December </w:t>
      </w:r>
      <w:r>
        <w:t>2015, during which time the draft guideline was available on the AHCDO and NBA websites.  [</w:t>
      </w:r>
      <w:r w:rsidRPr="00061206">
        <w:rPr>
          <w:highlight w:val="yellow"/>
        </w:rPr>
        <w:t>xx</w:t>
      </w:r>
      <w:r>
        <w:t xml:space="preserve">] </w:t>
      </w:r>
      <w:proofErr w:type="gramStart"/>
      <w:r>
        <w:t>submissions</w:t>
      </w:r>
      <w:proofErr w:type="gramEnd"/>
      <w:r>
        <w:t xml:space="preserve"> were received. </w:t>
      </w:r>
      <w:r w:rsidR="00430BD1">
        <w:t xml:space="preserve">AHCDO members </w:t>
      </w:r>
      <w:r>
        <w:t>consider</w:t>
      </w:r>
      <w:r w:rsidR="00FA5BF3">
        <w:t>ed</w:t>
      </w:r>
      <w:r>
        <w:t xml:space="preserve"> all the public consultation submissions and, where necessary, revised the guideline in accordance with the submissions.</w:t>
      </w:r>
    </w:p>
    <w:p w:rsidR="00061206" w:rsidRDefault="00061206" w:rsidP="00C97355">
      <w:pPr>
        <w:spacing w:after="0"/>
        <w:ind w:left="0"/>
      </w:pPr>
    </w:p>
    <w:p w:rsidR="00392FA3" w:rsidRDefault="00061206" w:rsidP="00430BD1">
      <w:pPr>
        <w:spacing w:after="0"/>
        <w:ind w:left="0"/>
      </w:pPr>
      <w:r>
        <w:t>During the development process, all AHCDO members and ‘critical friends’ were asked to de</w:t>
      </w:r>
      <w:r w:rsidR="00430BD1">
        <w:t xml:space="preserve">clare any conflicts of interest before contributing to the development process. No conflicts were declared during the development process. </w:t>
      </w:r>
    </w:p>
    <w:p w:rsidR="00F30980" w:rsidRDefault="00F30980" w:rsidP="00F30980">
      <w:pPr>
        <w:spacing w:after="0"/>
        <w:ind w:left="0"/>
      </w:pPr>
    </w:p>
    <w:p w:rsidR="00F30980" w:rsidRDefault="00F30980" w:rsidP="00F30980">
      <w:pPr>
        <w:spacing w:after="0"/>
        <w:ind w:left="0"/>
      </w:pPr>
    </w:p>
    <w:p w:rsidR="00225A36" w:rsidRDefault="00225A36">
      <w:pPr>
        <w:spacing w:after="200" w:line="276" w:lineRule="auto"/>
        <w:ind w:left="0"/>
        <w:rPr>
          <w:rStyle w:val="A0"/>
          <w:rFonts w:ascii="Arial" w:hAnsi="Arial" w:cs="Arial"/>
          <w:b/>
          <w:sz w:val="36"/>
          <w:szCs w:val="36"/>
        </w:rPr>
      </w:pPr>
      <w:r>
        <w:rPr>
          <w:rStyle w:val="A0"/>
          <w:rFonts w:ascii="Arial" w:hAnsi="Arial" w:cs="Arial"/>
          <w:b/>
          <w:sz w:val="36"/>
          <w:szCs w:val="36"/>
        </w:rPr>
        <w:br w:type="page"/>
      </w:r>
    </w:p>
    <w:p w:rsidR="00543F5D" w:rsidRPr="00041ED2" w:rsidRDefault="0091684A" w:rsidP="00041ED2">
      <w:pPr>
        <w:pStyle w:val="Heading1"/>
        <w:rPr>
          <w:rStyle w:val="A0"/>
          <w:rFonts w:cs="Arial"/>
          <w:b w:val="0"/>
          <w:bCs w:val="0"/>
          <w:sz w:val="36"/>
          <w:szCs w:val="36"/>
        </w:rPr>
      </w:pPr>
      <w:bookmarkStart w:id="64" w:name="_Toc431484354"/>
      <w:r w:rsidRPr="00041ED2">
        <w:rPr>
          <w:rStyle w:val="A0"/>
          <w:rFonts w:cs="Arial"/>
          <w:sz w:val="36"/>
          <w:szCs w:val="36"/>
        </w:rPr>
        <w:lastRenderedPageBreak/>
        <w:t>Appendix</w:t>
      </w:r>
      <w:r w:rsidR="00543F5D" w:rsidRPr="00041ED2">
        <w:rPr>
          <w:rStyle w:val="A0"/>
          <w:rFonts w:cs="Arial"/>
          <w:sz w:val="36"/>
          <w:szCs w:val="36"/>
        </w:rPr>
        <w:t xml:space="preserve"> </w:t>
      </w:r>
      <w:r w:rsidR="00392FA3" w:rsidRPr="00041ED2">
        <w:rPr>
          <w:rStyle w:val="A0"/>
          <w:rFonts w:cs="Arial"/>
          <w:sz w:val="36"/>
          <w:szCs w:val="36"/>
        </w:rPr>
        <w:t>C</w:t>
      </w:r>
      <w:r w:rsidR="00543F5D" w:rsidRPr="00041ED2">
        <w:rPr>
          <w:rStyle w:val="A0"/>
          <w:rFonts w:cs="Arial"/>
          <w:sz w:val="36"/>
          <w:szCs w:val="36"/>
        </w:rPr>
        <w:tab/>
        <w:t>S</w:t>
      </w:r>
      <w:r w:rsidRPr="00041ED2">
        <w:rPr>
          <w:rStyle w:val="A0"/>
          <w:rFonts w:cs="Arial"/>
          <w:sz w:val="36"/>
          <w:szCs w:val="36"/>
        </w:rPr>
        <w:t>ystematic review methodology</w:t>
      </w:r>
      <w:bookmarkEnd w:id="64"/>
    </w:p>
    <w:p w:rsidR="00237A9D" w:rsidRDefault="00DF211F" w:rsidP="00AB6F0E">
      <w:pPr>
        <w:autoSpaceDE w:val="0"/>
        <w:autoSpaceDN w:val="0"/>
        <w:adjustRightInd w:val="0"/>
        <w:spacing w:after="0"/>
        <w:ind w:left="0"/>
        <w:rPr>
          <w:rFonts w:asciiTheme="minorHAnsi" w:eastAsiaTheme="minorHAnsi" w:hAnsiTheme="minorHAnsi" w:cs="Arial"/>
          <w:sz w:val="21"/>
          <w:szCs w:val="21"/>
        </w:rPr>
      </w:pPr>
      <w:r>
        <w:rPr>
          <w:rFonts w:asciiTheme="minorHAnsi" w:eastAsiaTheme="minorHAnsi" w:hAnsiTheme="minorHAnsi" w:cs="Arial"/>
          <w:sz w:val="21"/>
          <w:szCs w:val="21"/>
        </w:rPr>
        <w:t xml:space="preserve">The </w:t>
      </w:r>
      <w:r w:rsidRPr="00AC06B3">
        <w:rPr>
          <w:rFonts w:asciiTheme="minorHAnsi" w:eastAsiaTheme="minorHAnsi" w:hAnsiTheme="minorHAnsi" w:cs="Arial"/>
          <w:sz w:val="21"/>
          <w:szCs w:val="21"/>
        </w:rPr>
        <w:t xml:space="preserve">WFH’s </w:t>
      </w:r>
      <w:r w:rsidRPr="00AC06B3">
        <w:rPr>
          <w:rFonts w:asciiTheme="minorHAnsi" w:eastAsiaTheme="minorHAnsi" w:hAnsiTheme="minorHAnsi" w:cs="Arial"/>
          <w:i/>
          <w:sz w:val="21"/>
          <w:szCs w:val="21"/>
        </w:rPr>
        <w:t>Guidelines for the management of hemophila</w:t>
      </w:r>
      <w:r>
        <w:rPr>
          <w:rFonts w:asciiTheme="minorHAnsi" w:eastAsiaTheme="minorHAnsi" w:hAnsiTheme="minorHAnsi" w:cs="Arial"/>
          <w:i/>
          <w:sz w:val="21"/>
          <w:szCs w:val="21"/>
        </w:rPr>
        <w:t xml:space="preserve"> </w:t>
      </w:r>
      <w:r>
        <w:rPr>
          <w:rFonts w:asciiTheme="minorHAnsi" w:eastAsiaTheme="minorHAnsi" w:hAnsiTheme="minorHAnsi" w:cs="Arial"/>
          <w:sz w:val="21"/>
          <w:szCs w:val="21"/>
        </w:rPr>
        <w:t xml:space="preserve">contain </w:t>
      </w:r>
      <w:r w:rsidR="0049565A">
        <w:rPr>
          <w:rFonts w:asciiTheme="minorHAnsi" w:eastAsiaTheme="minorHAnsi" w:hAnsiTheme="minorHAnsi" w:cs="Arial"/>
          <w:sz w:val="21"/>
          <w:szCs w:val="21"/>
        </w:rPr>
        <w:t xml:space="preserve">several </w:t>
      </w:r>
      <w:r>
        <w:rPr>
          <w:rFonts w:asciiTheme="minorHAnsi" w:eastAsiaTheme="minorHAnsi" w:hAnsiTheme="minorHAnsi" w:cs="Arial"/>
          <w:sz w:val="21"/>
          <w:szCs w:val="21"/>
        </w:rPr>
        <w:t>recommendations for the management of haemophilia patients</w:t>
      </w:r>
      <w:r w:rsidR="0049565A">
        <w:rPr>
          <w:rFonts w:asciiTheme="minorHAnsi" w:eastAsiaTheme="minorHAnsi" w:hAnsiTheme="minorHAnsi" w:cs="Arial"/>
          <w:sz w:val="21"/>
          <w:szCs w:val="21"/>
        </w:rPr>
        <w:t xml:space="preserve">. In that guideline, all statements in bold font </w:t>
      </w:r>
      <w:r w:rsidR="00FD16C4">
        <w:rPr>
          <w:rFonts w:asciiTheme="minorHAnsi" w:eastAsiaTheme="minorHAnsi" w:hAnsiTheme="minorHAnsi" w:cs="Arial"/>
          <w:sz w:val="21"/>
          <w:szCs w:val="21"/>
        </w:rPr>
        <w:t xml:space="preserve">were </w:t>
      </w:r>
      <w:r w:rsidR="0049565A">
        <w:rPr>
          <w:rFonts w:asciiTheme="minorHAnsi" w:eastAsiaTheme="minorHAnsi" w:hAnsiTheme="minorHAnsi" w:cs="Arial"/>
          <w:sz w:val="21"/>
          <w:szCs w:val="21"/>
        </w:rPr>
        <w:t>supported by the best practice evidence</w:t>
      </w:r>
      <w:r w:rsidR="00FD16C4">
        <w:rPr>
          <w:rFonts w:asciiTheme="minorHAnsi" w:eastAsiaTheme="minorHAnsi" w:hAnsiTheme="minorHAnsi" w:cs="Arial"/>
          <w:sz w:val="21"/>
          <w:szCs w:val="21"/>
        </w:rPr>
        <w:t xml:space="preserve"> available at that time </w:t>
      </w:r>
      <w:r w:rsidR="0049565A">
        <w:rPr>
          <w:rFonts w:asciiTheme="minorHAnsi" w:eastAsiaTheme="minorHAnsi" w:hAnsiTheme="minorHAnsi" w:cs="Arial"/>
          <w:sz w:val="21"/>
          <w:szCs w:val="21"/>
        </w:rPr>
        <w:t>and were graded using the 2011 Oxford Centre for Evidence-Based Medicine</w:t>
      </w:r>
      <w:r w:rsidR="009F7CF9">
        <w:rPr>
          <w:rFonts w:asciiTheme="minorHAnsi" w:eastAsiaTheme="minorHAnsi" w:hAnsiTheme="minorHAnsi" w:cs="Arial"/>
          <w:sz w:val="21"/>
          <w:szCs w:val="21"/>
        </w:rPr>
        <w:t xml:space="preserve"> levels of evidence</w:t>
      </w:r>
      <w:r w:rsidR="0049565A">
        <w:rPr>
          <w:rFonts w:asciiTheme="minorHAnsi" w:eastAsiaTheme="minorHAnsi" w:hAnsiTheme="minorHAnsi" w:cs="Arial"/>
          <w:sz w:val="21"/>
          <w:szCs w:val="21"/>
        </w:rPr>
        <w:t xml:space="preserve"> (See Appendix G)</w:t>
      </w:r>
      <w:r w:rsidR="009F7CF9">
        <w:rPr>
          <w:rFonts w:asciiTheme="minorHAnsi" w:eastAsiaTheme="minorHAnsi" w:hAnsiTheme="minorHAnsi" w:cs="Arial"/>
          <w:sz w:val="21"/>
          <w:szCs w:val="21"/>
        </w:rPr>
        <w:t>.</w:t>
      </w:r>
      <w:r w:rsidR="00FD16C4">
        <w:rPr>
          <w:rFonts w:asciiTheme="minorHAnsi" w:eastAsiaTheme="minorHAnsi" w:hAnsiTheme="minorHAnsi" w:cs="Arial"/>
          <w:sz w:val="21"/>
          <w:szCs w:val="21"/>
        </w:rPr>
        <w:t xml:space="preserve"> The WFH guideline</w:t>
      </w:r>
      <w:r w:rsidR="00527417">
        <w:rPr>
          <w:rFonts w:asciiTheme="minorHAnsi" w:eastAsiaTheme="minorHAnsi" w:hAnsiTheme="minorHAnsi" w:cs="Arial"/>
          <w:sz w:val="21"/>
          <w:szCs w:val="21"/>
        </w:rPr>
        <w:t>s also contain</w:t>
      </w:r>
      <w:r w:rsidR="00FD16C4">
        <w:rPr>
          <w:rFonts w:asciiTheme="minorHAnsi" w:eastAsiaTheme="minorHAnsi" w:hAnsiTheme="minorHAnsi" w:cs="Arial"/>
          <w:sz w:val="21"/>
          <w:szCs w:val="21"/>
        </w:rPr>
        <w:t xml:space="preserve"> guidance that fell outside the selection for practice statements. These references are included in the guideline but are not highlighted in bold font. </w:t>
      </w:r>
      <w:r w:rsidR="009F7CF9">
        <w:rPr>
          <w:rFonts w:asciiTheme="minorHAnsi" w:eastAsiaTheme="minorHAnsi" w:hAnsiTheme="minorHAnsi" w:cs="Arial"/>
          <w:sz w:val="21"/>
          <w:szCs w:val="21"/>
        </w:rPr>
        <w:t>A</w:t>
      </w:r>
      <w:r w:rsidR="00237A9D">
        <w:rPr>
          <w:rFonts w:asciiTheme="minorHAnsi" w:eastAsiaTheme="minorHAnsi" w:hAnsiTheme="minorHAnsi" w:cs="Arial"/>
          <w:sz w:val="21"/>
          <w:szCs w:val="21"/>
        </w:rPr>
        <w:t xml:space="preserve">HCDO and the NBA agreed to retain the presentation of </w:t>
      </w:r>
      <w:r w:rsidR="00A814D2">
        <w:rPr>
          <w:rFonts w:asciiTheme="minorHAnsi" w:eastAsiaTheme="minorHAnsi" w:hAnsiTheme="minorHAnsi" w:cs="Arial"/>
          <w:sz w:val="21"/>
          <w:szCs w:val="21"/>
        </w:rPr>
        <w:t xml:space="preserve">the </w:t>
      </w:r>
      <w:r w:rsidR="00DA5B2B">
        <w:rPr>
          <w:rFonts w:asciiTheme="minorHAnsi" w:eastAsiaTheme="minorHAnsi" w:hAnsiTheme="minorHAnsi" w:cs="Arial"/>
          <w:sz w:val="21"/>
          <w:szCs w:val="21"/>
        </w:rPr>
        <w:t>clinical guidance</w:t>
      </w:r>
      <w:r w:rsidR="00FD16C4">
        <w:rPr>
          <w:rFonts w:asciiTheme="minorHAnsi" w:eastAsiaTheme="minorHAnsi" w:hAnsiTheme="minorHAnsi" w:cs="Arial"/>
          <w:sz w:val="21"/>
          <w:szCs w:val="21"/>
        </w:rPr>
        <w:t xml:space="preserve"> </w:t>
      </w:r>
      <w:r w:rsidR="007A36E6">
        <w:rPr>
          <w:rFonts w:asciiTheme="minorHAnsi" w:eastAsiaTheme="minorHAnsi" w:hAnsiTheme="minorHAnsi" w:cs="Arial"/>
          <w:sz w:val="21"/>
          <w:szCs w:val="21"/>
        </w:rPr>
        <w:t>for the Australian guideline.</w:t>
      </w:r>
    </w:p>
    <w:p w:rsidR="00237A9D" w:rsidRDefault="00237A9D" w:rsidP="00AB6F0E">
      <w:pPr>
        <w:autoSpaceDE w:val="0"/>
        <w:autoSpaceDN w:val="0"/>
        <w:adjustRightInd w:val="0"/>
        <w:spacing w:after="0"/>
        <w:ind w:left="0"/>
        <w:rPr>
          <w:rFonts w:asciiTheme="minorHAnsi" w:eastAsiaTheme="minorHAnsi" w:hAnsiTheme="minorHAnsi" w:cs="Arial"/>
          <w:sz w:val="21"/>
          <w:szCs w:val="21"/>
        </w:rPr>
      </w:pPr>
    </w:p>
    <w:p w:rsidR="00AB6F0E" w:rsidRDefault="00AB6F0E" w:rsidP="00AB6F0E">
      <w:pPr>
        <w:autoSpaceDE w:val="0"/>
        <w:autoSpaceDN w:val="0"/>
        <w:adjustRightInd w:val="0"/>
        <w:spacing w:after="0"/>
        <w:ind w:left="0"/>
        <w:rPr>
          <w:rFonts w:asciiTheme="minorHAnsi" w:eastAsiaTheme="minorHAnsi" w:hAnsiTheme="minorHAnsi" w:cs="Arial"/>
          <w:sz w:val="21"/>
          <w:szCs w:val="21"/>
        </w:rPr>
      </w:pPr>
      <w:r w:rsidRPr="00AC06B3">
        <w:rPr>
          <w:rFonts w:asciiTheme="minorHAnsi" w:eastAsiaTheme="minorHAnsi" w:hAnsiTheme="minorHAnsi" w:cs="Arial"/>
          <w:sz w:val="21"/>
          <w:szCs w:val="21"/>
        </w:rPr>
        <w:t xml:space="preserve">During a review of the WFH’s </w:t>
      </w:r>
      <w:r w:rsidRPr="00AC06B3">
        <w:rPr>
          <w:rFonts w:asciiTheme="minorHAnsi" w:eastAsiaTheme="minorHAnsi" w:hAnsiTheme="minorHAnsi" w:cs="Arial"/>
          <w:i/>
          <w:sz w:val="21"/>
          <w:szCs w:val="21"/>
        </w:rPr>
        <w:t>Guidelines for the management of hemophila</w:t>
      </w:r>
      <w:r w:rsidRPr="00AC06B3">
        <w:rPr>
          <w:rFonts w:asciiTheme="minorHAnsi" w:eastAsiaTheme="minorHAnsi" w:hAnsiTheme="minorHAnsi" w:cs="Arial"/>
          <w:sz w:val="21"/>
          <w:szCs w:val="21"/>
        </w:rPr>
        <w:t>, AHCDO members identified a number of research areas requiring further consideration and possible systematic review. Following an initial scan of literature, AHCDO recommended that a systematic review should be conducted to address two research questions:</w:t>
      </w:r>
    </w:p>
    <w:p w:rsidR="00AB6F0E" w:rsidRDefault="00AB6F0E" w:rsidP="00AB6F0E">
      <w:pPr>
        <w:autoSpaceDE w:val="0"/>
        <w:autoSpaceDN w:val="0"/>
        <w:adjustRightInd w:val="0"/>
        <w:spacing w:after="0"/>
        <w:ind w:left="0"/>
        <w:rPr>
          <w:rFonts w:asciiTheme="minorHAnsi" w:eastAsiaTheme="minorHAnsi" w:hAnsiTheme="minorHAnsi" w:cs="Arial"/>
          <w:sz w:val="21"/>
          <w:szCs w:val="21"/>
        </w:rPr>
      </w:pPr>
    </w:p>
    <w:p w:rsidR="00AB6F0E" w:rsidRPr="00AB6F0E" w:rsidRDefault="00AB6F0E" w:rsidP="00041ED2">
      <w:pPr>
        <w:pStyle w:val="ListParagraph"/>
        <w:numPr>
          <w:ilvl w:val="0"/>
          <w:numId w:val="117"/>
        </w:numPr>
        <w:autoSpaceDE w:val="0"/>
        <w:autoSpaceDN w:val="0"/>
        <w:adjustRightInd w:val="0"/>
        <w:spacing w:after="120"/>
        <w:ind w:left="426" w:hanging="426"/>
        <w:contextualSpacing w:val="0"/>
        <w:rPr>
          <w:rFonts w:asciiTheme="minorHAnsi" w:eastAsiaTheme="minorHAnsi" w:hAnsiTheme="minorHAnsi" w:cs="Arial"/>
          <w:i/>
          <w:sz w:val="21"/>
          <w:szCs w:val="21"/>
        </w:rPr>
      </w:pPr>
      <w:r w:rsidRPr="00AB6F0E">
        <w:rPr>
          <w:rFonts w:asciiTheme="minorHAnsi" w:eastAsiaTheme="minorHAnsi" w:hAnsiTheme="minorHAnsi" w:cs="Arial"/>
          <w:i/>
          <w:sz w:val="21"/>
          <w:szCs w:val="21"/>
        </w:rPr>
        <w:t>In patients with haemophilia what is the effect of anti-inflammatory medication (including aspirin) compared to no anti-inflammatory or a different type of anti-inflammatory medication on bleeding events?</w:t>
      </w:r>
    </w:p>
    <w:p w:rsidR="00AB6F0E" w:rsidRPr="00AB6F0E" w:rsidRDefault="00AB6F0E" w:rsidP="00041ED2">
      <w:pPr>
        <w:pStyle w:val="ListParagraph"/>
        <w:numPr>
          <w:ilvl w:val="0"/>
          <w:numId w:val="117"/>
        </w:numPr>
        <w:autoSpaceDE w:val="0"/>
        <w:autoSpaceDN w:val="0"/>
        <w:adjustRightInd w:val="0"/>
        <w:spacing w:after="0"/>
        <w:ind w:left="400" w:hanging="400"/>
        <w:contextualSpacing w:val="0"/>
        <w:rPr>
          <w:rFonts w:asciiTheme="minorHAnsi" w:eastAsiaTheme="minorHAnsi" w:hAnsiTheme="minorHAnsi" w:cs="Arial"/>
          <w:i/>
          <w:sz w:val="21"/>
          <w:szCs w:val="21"/>
        </w:rPr>
      </w:pPr>
      <w:r w:rsidRPr="00AB6F0E">
        <w:rPr>
          <w:rFonts w:asciiTheme="minorHAnsi" w:eastAsiaTheme="minorHAnsi" w:hAnsiTheme="minorHAnsi" w:cs="Arial"/>
          <w:i/>
          <w:sz w:val="21"/>
          <w:szCs w:val="21"/>
        </w:rPr>
        <w:t>In patients with haemophilia who have presented with an acute joint bleed or historical joint bleeds, what is the effect of therapy to reduce inflammation compared to no therapy on recurrent joint haemorrhage and subsequent arthropathy?</w:t>
      </w:r>
    </w:p>
    <w:p w:rsidR="003C44D4" w:rsidRDefault="003C44D4" w:rsidP="003C44D4">
      <w:pPr>
        <w:spacing w:after="0"/>
        <w:ind w:left="0"/>
        <w:rPr>
          <w:rFonts w:asciiTheme="minorHAnsi" w:eastAsiaTheme="minorHAnsi" w:hAnsiTheme="minorHAnsi" w:cs="Arial"/>
          <w:sz w:val="21"/>
          <w:szCs w:val="21"/>
        </w:rPr>
      </w:pPr>
    </w:p>
    <w:p w:rsidR="00876C2F" w:rsidRDefault="003C44D4" w:rsidP="00876C2F">
      <w:pPr>
        <w:spacing w:after="0"/>
        <w:ind w:left="0"/>
        <w:rPr>
          <w:rFonts w:asciiTheme="minorHAnsi" w:eastAsiaTheme="minorHAnsi" w:hAnsiTheme="minorHAnsi" w:cs="Arial"/>
          <w:sz w:val="21"/>
          <w:szCs w:val="21"/>
        </w:rPr>
      </w:pPr>
      <w:r w:rsidRPr="00AC06B3">
        <w:rPr>
          <w:rFonts w:asciiTheme="minorHAnsi" w:eastAsiaTheme="minorHAnsi" w:hAnsiTheme="minorHAnsi" w:cs="Arial"/>
          <w:sz w:val="21"/>
          <w:szCs w:val="21"/>
        </w:rPr>
        <w:t>The NBA engage</w:t>
      </w:r>
      <w:r>
        <w:rPr>
          <w:rFonts w:asciiTheme="minorHAnsi" w:eastAsiaTheme="minorHAnsi" w:hAnsiTheme="minorHAnsi" w:cs="Arial"/>
          <w:sz w:val="21"/>
          <w:szCs w:val="21"/>
        </w:rPr>
        <w:t>d</w:t>
      </w:r>
      <w:r w:rsidRPr="00AC06B3">
        <w:rPr>
          <w:rFonts w:asciiTheme="minorHAnsi" w:eastAsiaTheme="minorHAnsi" w:hAnsiTheme="minorHAnsi" w:cs="Arial"/>
          <w:sz w:val="21"/>
          <w:szCs w:val="21"/>
        </w:rPr>
        <w:t xml:space="preserve"> </w:t>
      </w:r>
      <w:r>
        <w:rPr>
          <w:rFonts w:asciiTheme="minorHAnsi" w:eastAsiaTheme="minorHAnsi" w:hAnsiTheme="minorHAnsi" w:cs="Arial"/>
          <w:sz w:val="21"/>
          <w:szCs w:val="21"/>
        </w:rPr>
        <w:t>an expert systematic review team</w:t>
      </w:r>
      <w:r w:rsidR="001A0436">
        <w:rPr>
          <w:rFonts w:asciiTheme="minorHAnsi" w:eastAsiaTheme="minorHAnsi" w:hAnsiTheme="minorHAnsi" w:cs="Arial"/>
          <w:sz w:val="21"/>
          <w:szCs w:val="21"/>
        </w:rPr>
        <w:t xml:space="preserve"> from </w:t>
      </w:r>
      <w:r>
        <w:rPr>
          <w:rFonts w:asciiTheme="minorHAnsi" w:eastAsiaTheme="minorHAnsi" w:hAnsiTheme="minorHAnsi" w:cs="Arial"/>
          <w:sz w:val="21"/>
          <w:szCs w:val="21"/>
        </w:rPr>
        <w:t>HealthConsult,</w:t>
      </w:r>
      <w:r w:rsidRPr="00AC06B3">
        <w:rPr>
          <w:rFonts w:asciiTheme="minorHAnsi" w:eastAsiaTheme="minorHAnsi" w:hAnsiTheme="minorHAnsi" w:cs="Arial"/>
          <w:sz w:val="21"/>
          <w:szCs w:val="21"/>
        </w:rPr>
        <w:t xml:space="preserve"> on behalf of AHCDO, to conduct a systematic review of the scientific literature using GRADE methodology</w:t>
      </w:r>
      <w:r>
        <w:rPr>
          <w:rFonts w:asciiTheme="minorHAnsi" w:eastAsiaTheme="minorHAnsi" w:hAnsiTheme="minorHAnsi" w:cs="Arial"/>
          <w:sz w:val="21"/>
          <w:szCs w:val="21"/>
        </w:rPr>
        <w:t>.</w:t>
      </w:r>
      <w:r w:rsidR="005761EC">
        <w:rPr>
          <w:rFonts w:asciiTheme="minorHAnsi" w:eastAsiaTheme="minorHAnsi" w:hAnsiTheme="minorHAnsi" w:cs="Arial"/>
          <w:sz w:val="21"/>
          <w:szCs w:val="21"/>
        </w:rPr>
        <w:t xml:space="preserve"> </w:t>
      </w:r>
    </w:p>
    <w:p w:rsidR="00847D42" w:rsidRDefault="00847D42" w:rsidP="00876C2F">
      <w:pPr>
        <w:spacing w:after="0"/>
        <w:ind w:left="0"/>
      </w:pPr>
    </w:p>
    <w:p w:rsidR="00FD0C2C" w:rsidRDefault="00FD0C2C" w:rsidP="00876C2F">
      <w:pPr>
        <w:spacing w:after="0"/>
        <w:ind w:left="0"/>
      </w:pPr>
      <w:r w:rsidRPr="00DE3FD1">
        <w:t xml:space="preserve">Electronic searches of EMBASE.com and the Cochrane Library were conducted using search terms </w:t>
      </w:r>
      <w:r>
        <w:t>related to the clinical questions</w:t>
      </w:r>
      <w:r w:rsidRPr="00DE3FD1">
        <w:t>. T</w:t>
      </w:r>
      <w:r w:rsidRPr="006A39EA">
        <w:rPr>
          <w:rFonts w:eastAsia="Calibri"/>
        </w:rPr>
        <w:t xml:space="preserve">he search of EMBASE.com was conducted on 18 February, 2015 and the </w:t>
      </w:r>
      <w:r>
        <w:rPr>
          <w:rFonts w:eastAsia="Calibri"/>
        </w:rPr>
        <w:t xml:space="preserve">search of the </w:t>
      </w:r>
      <w:r w:rsidRPr="006A39EA">
        <w:rPr>
          <w:rFonts w:eastAsia="Calibri"/>
        </w:rPr>
        <w:t xml:space="preserve">Cochrane Library was </w:t>
      </w:r>
      <w:r>
        <w:rPr>
          <w:rFonts w:eastAsia="Calibri"/>
        </w:rPr>
        <w:t>conducted</w:t>
      </w:r>
      <w:r w:rsidRPr="006A39EA">
        <w:rPr>
          <w:rFonts w:eastAsia="Calibri"/>
        </w:rPr>
        <w:t xml:space="preserve"> on 19 February, 2015.</w:t>
      </w:r>
      <w:r>
        <w:rPr>
          <w:rFonts w:eastAsia="Calibri"/>
        </w:rPr>
        <w:t xml:space="preserve"> In addition</w:t>
      </w:r>
      <w:r w:rsidRPr="006A39EA">
        <w:rPr>
          <w:rFonts w:eastAsia="Calibri"/>
        </w:rPr>
        <w:t xml:space="preserve"> </w:t>
      </w:r>
      <w:r>
        <w:rPr>
          <w:rFonts w:eastAsia="Calibri"/>
        </w:rPr>
        <w:t xml:space="preserve">to the database search, the </w:t>
      </w:r>
      <w:r w:rsidRPr="006A39EA">
        <w:rPr>
          <w:rFonts w:eastAsia="Calibri"/>
        </w:rPr>
        <w:t>reference lists of relevant primary studies were hand-searched to identify additional studies</w:t>
      </w:r>
      <w:r>
        <w:rPr>
          <w:rFonts w:eastAsia="Calibri"/>
        </w:rPr>
        <w:t>,</w:t>
      </w:r>
      <w:r w:rsidRPr="006A39EA">
        <w:rPr>
          <w:rFonts w:eastAsia="Calibri"/>
        </w:rPr>
        <w:t xml:space="preserve"> and guideline websites such as the National Guidelines Clearinghouse and the Guidelines International Networked were searched on 24 February, 2015. </w:t>
      </w:r>
      <w:r>
        <w:rPr>
          <w:rFonts w:eastAsia="Calibri"/>
        </w:rPr>
        <w:t xml:space="preserve">Identified guidelines were checked to ensure all relevant studies were identified. </w:t>
      </w:r>
      <w:r>
        <w:t xml:space="preserve">The literature searches resulted in the identification of a total of 773 citations for Question 1, and 54 citations for Question 2. </w:t>
      </w:r>
    </w:p>
    <w:p w:rsidR="001A0436" w:rsidRDefault="001A0436" w:rsidP="001A0436">
      <w:pPr>
        <w:spacing w:after="0"/>
        <w:ind w:left="0"/>
      </w:pPr>
    </w:p>
    <w:p w:rsidR="00FD0C2C" w:rsidRDefault="00FD0C2C" w:rsidP="001A0436">
      <w:pPr>
        <w:spacing w:after="0"/>
        <w:ind w:left="0"/>
      </w:pPr>
      <w:r>
        <w:t xml:space="preserve">The eligibility criteria for inclusion in the </w:t>
      </w:r>
      <w:r w:rsidRPr="00586742">
        <w:t>systematic review were underpinned by the main components of the research question. Specifically, studies were excluded for the following reasons: (i) not a clinical study (excludes narrative reviews, editorials, surveys, individual case reports, animal studies and in vitro studies); (ii) wrong intervention</w:t>
      </w:r>
      <w:r>
        <w:t>; (iii) wrong indication; and (</w:t>
      </w:r>
      <w:proofErr w:type="gramStart"/>
      <w:r>
        <w:t>iv</w:t>
      </w:r>
      <w:proofErr w:type="gramEnd"/>
      <w:r>
        <w:t>) wrong outcomes. Studies were also excluded if they were not published in English or included duplicate data published in another included study. The study sample size was restricted to ≥ 5 subjects, due to the small number of studies available. In addition, study type was not restricted; due to the small number of Level II studies (randomised controlled trials (RCTs)) and Level III studies (cohort and case-control) available, Level IV studies (case series) were also eligible for inclusion</w:t>
      </w:r>
      <w:r>
        <w:rPr>
          <w:rStyle w:val="FootnoteReference"/>
        </w:rPr>
        <w:footnoteReference w:id="7"/>
      </w:r>
      <w:r>
        <w:t xml:space="preserve">. The exclusion criteria were initially applied to the titles/abstracts of the identified citations. Full text articles of the remaining citations were then retrieved and the exclusion criteria were again applied. This resulted in 13 studies being included for Question 1 and 7 studies being included for Question 2. </w:t>
      </w:r>
    </w:p>
    <w:p w:rsidR="001A0436" w:rsidRDefault="001A0436" w:rsidP="001A0436">
      <w:pPr>
        <w:spacing w:after="0"/>
        <w:ind w:left="0"/>
      </w:pPr>
    </w:p>
    <w:p w:rsidR="00FD0C2C" w:rsidRDefault="00FD0C2C" w:rsidP="001A0436">
      <w:pPr>
        <w:spacing w:after="0"/>
        <w:ind w:left="0"/>
      </w:pPr>
      <w:r>
        <w:t xml:space="preserve">Study and patient characteristics for each included study, as well as the results of the selected outcomes, were extracted into data extraction tables. The data extraction tables also included a judgement on the quality of each included study, and a brief description of how this quality judgement </w:t>
      </w:r>
      <w:r>
        <w:lastRenderedPageBreak/>
        <w:t>was made. Quality assessment was performed using checklists related to specific study types (i.e. RCTs and cohort studies) which are based on quality criteria defined by the National Health and Medical Research Council (NHMRC) (2000) and the Scottish Collegiate Guidelines Network</w:t>
      </w:r>
      <w:r>
        <w:rPr>
          <w:rStyle w:val="FootnoteReference"/>
        </w:rPr>
        <w:footnoteReference w:id="8"/>
      </w:r>
      <w:r>
        <w:t xml:space="preserve">. It should be noted that as they presented the lowest level of evidence, Level IV studies (case series) were not assessed for quality and were automatically given a poor quality rating. </w:t>
      </w:r>
    </w:p>
    <w:p w:rsidR="001A0436" w:rsidRDefault="001A0436" w:rsidP="001A0436">
      <w:pPr>
        <w:spacing w:after="0"/>
        <w:ind w:left="0"/>
      </w:pPr>
    </w:p>
    <w:p w:rsidR="00AD21DB" w:rsidRDefault="00FD0C2C" w:rsidP="00192465">
      <w:pPr>
        <w:spacing w:after="0"/>
        <w:ind w:left="0"/>
      </w:pPr>
      <w:r>
        <w:t xml:space="preserve">Results from each of the studies were brought together into evidence summary tables that were organised by outcome. The body of evidence for each comparison and outcome was then assessed using </w:t>
      </w:r>
      <w:r w:rsidRPr="00952EC3">
        <w:rPr>
          <w:i/>
        </w:rPr>
        <w:t xml:space="preserve">Grading of Recommendations Assessment, Development and Evaulation </w:t>
      </w:r>
      <w:r>
        <w:t xml:space="preserve">(GRADE) methodology </w:t>
      </w:r>
      <w:r w:rsidRPr="000419F1">
        <w:t>(Guyatt et al., 2011)</w:t>
      </w:r>
      <w:r>
        <w:t xml:space="preserve">. </w:t>
      </w:r>
    </w:p>
    <w:p w:rsidR="00AD21DB" w:rsidRDefault="00AD21DB" w:rsidP="00192465">
      <w:pPr>
        <w:spacing w:after="0"/>
        <w:ind w:left="0"/>
      </w:pPr>
    </w:p>
    <w:p w:rsidR="00FD0C2C" w:rsidRPr="000419F1" w:rsidRDefault="00FD0C2C" w:rsidP="00192465">
      <w:pPr>
        <w:spacing w:after="0"/>
        <w:ind w:left="0"/>
      </w:pPr>
      <w:r>
        <w:t>The</w:t>
      </w:r>
      <w:r w:rsidRPr="000419F1">
        <w:t xml:space="preserve"> </w:t>
      </w:r>
      <w:r w:rsidRPr="00041ED2">
        <w:t>overall quality</w:t>
      </w:r>
      <w:r w:rsidRPr="000419F1">
        <w:t xml:space="preserve"> of the body of evidence for each outcome </w:t>
      </w:r>
      <w:r>
        <w:t xml:space="preserve">was assessed using an Evidence Profile table, and scored based on the included study types and the gradings of the following critera: </w:t>
      </w:r>
      <w:r w:rsidR="00553357">
        <w:t>limitations</w:t>
      </w:r>
      <w:r>
        <w:t xml:space="preserve">, inconsistency, indirectness, imprecision and publication bias. </w:t>
      </w:r>
      <w:r w:rsidRPr="000419F1">
        <w:t>Systematic reviews are considered to provide the strongest evidence as they summarise one or more well-designed and well-executed RCTs and yield consistent and directly applicable results</w:t>
      </w:r>
      <w:r w:rsidRPr="000419F1">
        <w:rPr>
          <w:rStyle w:val="FootnoteReference"/>
          <w:rFonts w:cs="ArialMT"/>
        </w:rPr>
        <w:footnoteReference w:id="9"/>
      </w:r>
      <w:r>
        <w:t xml:space="preserve">. </w:t>
      </w:r>
      <w:r w:rsidRPr="000419F1">
        <w:t>In the GRADE methodology, systematic reviews and RCTs both s</w:t>
      </w:r>
      <w:r>
        <w:t xml:space="preserve">tart as high-quality evidence. </w:t>
      </w:r>
      <w:r w:rsidRPr="000419F1">
        <w:t xml:space="preserve">However, </w:t>
      </w:r>
      <w:r>
        <w:t xml:space="preserve">the quality of RCT evidence </w:t>
      </w:r>
      <w:r>
        <w:rPr>
          <w:rFonts w:cs="Arial"/>
        </w:rPr>
        <w:t>can be downgraded</w:t>
      </w:r>
      <w:r w:rsidRPr="000419F1">
        <w:rPr>
          <w:rFonts w:cs="Arial"/>
        </w:rPr>
        <w:t xml:space="preserve"> to moderate, low, or even very low, depending on the presence of one or more of the following five </w:t>
      </w:r>
      <w:r>
        <w:rPr>
          <w:rFonts w:cs="Arial"/>
        </w:rPr>
        <w:t>factors</w:t>
      </w:r>
      <w:r w:rsidRPr="000419F1">
        <w:t>:</w:t>
      </w:r>
      <w:r>
        <w:t xml:space="preserve"> (i) l</w:t>
      </w:r>
      <w:r w:rsidRPr="000419F1">
        <w:t>imitations in the design and implementation of available studies suggesting high likelihood of bias;</w:t>
      </w:r>
      <w:r>
        <w:t xml:space="preserve"> (ii) u</w:t>
      </w:r>
      <w:r w:rsidRPr="000419F1">
        <w:t>nexplained heterogeneity or inconsistency of results (including problems with subgroup analyses);</w:t>
      </w:r>
      <w:r>
        <w:t xml:space="preserve"> (iii) i</w:t>
      </w:r>
      <w:r w:rsidRPr="000419F1">
        <w:t xml:space="preserve">ndirectness of evidence (indirect population, intervention, control, outcomes); </w:t>
      </w:r>
      <w:r>
        <w:t>(iv) i</w:t>
      </w:r>
      <w:r w:rsidRPr="000419F1">
        <w:t>mprecision of results (wide confidence intervals);</w:t>
      </w:r>
      <w:r>
        <w:t xml:space="preserve"> and (v) h</w:t>
      </w:r>
      <w:r w:rsidRPr="000419F1">
        <w:t>igh probability of publication bias.</w:t>
      </w:r>
      <w:r>
        <w:t xml:space="preserve"> </w:t>
      </w:r>
      <w:r w:rsidRPr="000419F1">
        <w:t>The moderate strength category is populated by RCTs with important limitations</w:t>
      </w:r>
      <w:r>
        <w:t>.</w:t>
      </w:r>
      <w:r w:rsidRPr="000419F1">
        <w:t xml:space="preserve"> </w:t>
      </w:r>
      <w:r>
        <w:t>O</w:t>
      </w:r>
      <w:r w:rsidRPr="000419F1">
        <w:t>bservational studies are generally graded as low-quality evidence</w:t>
      </w:r>
      <w:r>
        <w:rPr>
          <w:rFonts w:cs="Arial"/>
        </w:rPr>
        <w:t xml:space="preserve">. </w:t>
      </w:r>
      <w:r w:rsidRPr="000419F1">
        <w:rPr>
          <w:rFonts w:cs="Arial"/>
        </w:rPr>
        <w:t>If, however, these studies yield large effects and there is no obvious bias explaining those effects, reviewers may rate the evidence as moderate or – if the effect is large enough – even high quality.</w:t>
      </w:r>
      <w:r>
        <w:rPr>
          <w:rFonts w:cs="Arial"/>
        </w:rPr>
        <w:t xml:space="preserve"> </w:t>
      </w:r>
      <w:r w:rsidRPr="000419F1">
        <w:rPr>
          <w:rFonts w:cs="Arial"/>
        </w:rPr>
        <w:t>The following three factors may lead to a study receiving a higher rating:</w:t>
      </w:r>
      <w:r>
        <w:rPr>
          <w:rFonts w:cs="Arial"/>
        </w:rPr>
        <w:t xml:space="preserve"> (i) l</w:t>
      </w:r>
      <w:r w:rsidRPr="000419F1">
        <w:t>arge magnitude of effect;</w:t>
      </w:r>
      <w:r>
        <w:t xml:space="preserve"> (ii) a</w:t>
      </w:r>
      <w:r w:rsidRPr="000419F1">
        <w:t>ll plausible confounding would reduce a demonstrated effect or suggest a spurious effect when results show no effect;</w:t>
      </w:r>
      <w:r>
        <w:t xml:space="preserve"> and (iii) d</w:t>
      </w:r>
      <w:r w:rsidRPr="000419F1">
        <w:t>ose-response gradient.</w:t>
      </w:r>
      <w:r>
        <w:t xml:space="preserve"> V</w:t>
      </w:r>
      <w:r w:rsidRPr="000419F1">
        <w:t xml:space="preserve">ery low quality </w:t>
      </w:r>
      <w:r>
        <w:t>evidence</w:t>
      </w:r>
      <w:r w:rsidRPr="000419F1">
        <w:t xml:space="preserve"> includes, but is not limited to, studies with critical problems and unsystematic clinical observations (e.g. case series or case reports).</w:t>
      </w:r>
      <w:r>
        <w:t xml:space="preserve"> </w:t>
      </w:r>
    </w:p>
    <w:p w:rsidR="001A0436" w:rsidRDefault="001A0436" w:rsidP="00192465">
      <w:pPr>
        <w:spacing w:after="0"/>
        <w:ind w:left="0"/>
      </w:pPr>
    </w:p>
    <w:p w:rsidR="00FD0C2C" w:rsidRDefault="00FD0C2C" w:rsidP="00192465">
      <w:pPr>
        <w:spacing w:after="0"/>
        <w:ind w:left="0"/>
      </w:pPr>
      <w:r>
        <w:t xml:space="preserve">Upon completion of the Evidence Profile tables, evidence statements were developed for each question and its associated comparisons and outcomes. </w:t>
      </w:r>
      <w:r w:rsidRPr="000419F1">
        <w:t xml:space="preserve">In order to ensure consistency of the </w:t>
      </w:r>
      <w:r>
        <w:t>e</w:t>
      </w:r>
      <w:r w:rsidRPr="000419F1">
        <w:t xml:space="preserve">vidence </w:t>
      </w:r>
      <w:r>
        <w:t>s</w:t>
      </w:r>
      <w:r w:rsidRPr="000419F1">
        <w:t xml:space="preserve">tatements across different questions and outcomes, a standard sentence format </w:t>
      </w:r>
      <w:r>
        <w:t>was</w:t>
      </w:r>
      <w:r w:rsidRPr="000419F1">
        <w:t xml:space="preserve"> applied</w:t>
      </w:r>
      <w:r>
        <w:t xml:space="preserve"> in which the strength of the statement reflected the quality of the underlying evidence. </w:t>
      </w:r>
    </w:p>
    <w:p w:rsidR="001A0436" w:rsidRDefault="001A0436" w:rsidP="00192465">
      <w:pPr>
        <w:spacing w:after="0"/>
        <w:ind w:left="0"/>
      </w:pPr>
    </w:p>
    <w:p w:rsidR="00027665" w:rsidRDefault="00027665" w:rsidP="00192465">
      <w:pPr>
        <w:spacing w:after="0"/>
        <w:ind w:left="0"/>
      </w:pPr>
      <w:r>
        <w:t>The systematic review findings were considered by AHCDO and incorporated into the guideline.</w:t>
      </w:r>
    </w:p>
    <w:p w:rsidR="00F30980" w:rsidRDefault="00F30980" w:rsidP="00F30980">
      <w:pPr>
        <w:spacing w:after="0"/>
        <w:ind w:left="0"/>
      </w:pPr>
    </w:p>
    <w:p w:rsidR="00F30980" w:rsidRDefault="00F30980" w:rsidP="00F30980">
      <w:pPr>
        <w:spacing w:after="0"/>
        <w:ind w:left="0"/>
      </w:pPr>
    </w:p>
    <w:p w:rsidR="00225A36" w:rsidRDefault="00225A36">
      <w:pPr>
        <w:spacing w:after="200" w:line="276" w:lineRule="auto"/>
        <w:ind w:left="0"/>
        <w:rPr>
          <w:rStyle w:val="A0"/>
          <w:rFonts w:ascii="Arial" w:hAnsi="Arial" w:cs="Arial"/>
          <w:b/>
          <w:sz w:val="36"/>
          <w:szCs w:val="36"/>
        </w:rPr>
      </w:pPr>
      <w:r>
        <w:rPr>
          <w:rStyle w:val="A0"/>
          <w:rFonts w:ascii="Arial" w:hAnsi="Arial" w:cs="Arial"/>
          <w:b/>
          <w:sz w:val="36"/>
          <w:szCs w:val="36"/>
        </w:rPr>
        <w:br w:type="page"/>
      </w:r>
    </w:p>
    <w:p w:rsidR="00543F5D" w:rsidRPr="00041ED2" w:rsidRDefault="00543F5D" w:rsidP="00041ED2">
      <w:pPr>
        <w:pStyle w:val="Heading1"/>
        <w:rPr>
          <w:rStyle w:val="A0"/>
          <w:rFonts w:cs="Arial"/>
          <w:b w:val="0"/>
          <w:sz w:val="36"/>
          <w:szCs w:val="36"/>
        </w:rPr>
      </w:pPr>
      <w:bookmarkStart w:id="65" w:name="_Toc431484355"/>
      <w:r w:rsidRPr="00041ED2">
        <w:rPr>
          <w:rStyle w:val="A0"/>
          <w:rFonts w:cs="Arial"/>
          <w:sz w:val="36"/>
          <w:szCs w:val="36"/>
        </w:rPr>
        <w:lastRenderedPageBreak/>
        <w:t>Appendix D</w:t>
      </w:r>
      <w:r w:rsidR="00C26632" w:rsidRPr="00041ED2">
        <w:rPr>
          <w:rStyle w:val="A0"/>
          <w:rFonts w:cs="Arial"/>
          <w:sz w:val="36"/>
          <w:szCs w:val="36"/>
        </w:rPr>
        <w:tab/>
      </w:r>
      <w:r w:rsidRPr="00041ED2">
        <w:rPr>
          <w:rStyle w:val="A0"/>
          <w:rFonts w:cs="Arial"/>
          <w:sz w:val="36"/>
          <w:szCs w:val="36"/>
        </w:rPr>
        <w:t>Areas for further research</w:t>
      </w:r>
      <w:bookmarkEnd w:id="65"/>
      <w:r w:rsidRPr="00041ED2">
        <w:rPr>
          <w:rStyle w:val="A0"/>
          <w:rFonts w:cs="Arial"/>
          <w:sz w:val="36"/>
          <w:szCs w:val="36"/>
        </w:rPr>
        <w:t xml:space="preserve"> </w:t>
      </w:r>
    </w:p>
    <w:p w:rsidR="00F30980" w:rsidRDefault="00216367" w:rsidP="00F30980">
      <w:pPr>
        <w:spacing w:after="0"/>
        <w:ind w:left="0"/>
      </w:pPr>
      <w:r>
        <w:t>The following areas were identified by AHCDO as priority areas for future research.</w:t>
      </w:r>
    </w:p>
    <w:p w:rsidR="00216367" w:rsidRDefault="00216367" w:rsidP="00F30980">
      <w:pPr>
        <w:spacing w:after="0"/>
        <w:ind w:left="0"/>
      </w:pPr>
    </w:p>
    <w:p w:rsidR="00216367" w:rsidRDefault="00216367" w:rsidP="00041ED2">
      <w:pPr>
        <w:pStyle w:val="ListParagraph"/>
        <w:numPr>
          <w:ilvl w:val="0"/>
          <w:numId w:val="15"/>
        </w:numPr>
        <w:spacing w:after="0"/>
      </w:pPr>
      <w:r>
        <w:t xml:space="preserve">What is the optimal </w:t>
      </w:r>
      <w:r w:rsidR="0024116D">
        <w:t>regimen</w:t>
      </w:r>
      <w:r>
        <w:t xml:space="preserve"> when initiating primary prophylaxis in previously untreated patients?</w:t>
      </w:r>
    </w:p>
    <w:p w:rsidR="00216367" w:rsidRDefault="00216367" w:rsidP="00041ED2">
      <w:pPr>
        <w:pStyle w:val="ListParagraph"/>
        <w:spacing w:after="0"/>
      </w:pPr>
    </w:p>
    <w:p w:rsidR="00216367" w:rsidRDefault="00216367" w:rsidP="00041ED2">
      <w:pPr>
        <w:pStyle w:val="ListParagraph"/>
        <w:numPr>
          <w:ilvl w:val="0"/>
          <w:numId w:val="15"/>
        </w:numPr>
        <w:spacing w:after="0"/>
      </w:pPr>
      <w:r>
        <w:t>What are the benefits of continuation of prophylaxis into adulthood?</w:t>
      </w:r>
    </w:p>
    <w:p w:rsidR="00216367" w:rsidRDefault="00216367" w:rsidP="00216367">
      <w:pPr>
        <w:spacing w:after="0"/>
        <w:ind w:left="0"/>
      </w:pPr>
    </w:p>
    <w:p w:rsidR="00216367" w:rsidRDefault="00216367" w:rsidP="00041ED2">
      <w:pPr>
        <w:pStyle w:val="ListParagraph"/>
        <w:numPr>
          <w:ilvl w:val="0"/>
          <w:numId w:val="15"/>
        </w:numPr>
        <w:spacing w:after="0"/>
      </w:pPr>
      <w:r>
        <w:t>What is the role of anti-inflammatory medication, in particular COX-2 inhibitors, in the management of acute joint bleeds, synovitis, and chronic arthropathy?</w:t>
      </w:r>
    </w:p>
    <w:p w:rsidR="00216367" w:rsidRDefault="00216367" w:rsidP="00216367">
      <w:pPr>
        <w:spacing w:after="0"/>
        <w:ind w:left="0"/>
      </w:pPr>
    </w:p>
    <w:p w:rsidR="00216367" w:rsidRDefault="00216367" w:rsidP="00041ED2">
      <w:pPr>
        <w:pStyle w:val="ListParagraph"/>
        <w:numPr>
          <w:ilvl w:val="0"/>
          <w:numId w:val="15"/>
        </w:numPr>
        <w:spacing w:after="0"/>
      </w:pPr>
      <w:r>
        <w:t xml:space="preserve">What impact does joint aspiration, with or without intra-articular steroid injection, following acute haemarthrosis have on the development of haemophilia arthropathy? </w:t>
      </w:r>
    </w:p>
    <w:p w:rsidR="00216367" w:rsidRDefault="00216367" w:rsidP="00041ED2">
      <w:pPr>
        <w:spacing w:after="0"/>
        <w:ind w:left="0"/>
      </w:pPr>
    </w:p>
    <w:p w:rsidR="00216367" w:rsidRDefault="00216367" w:rsidP="008B15C7">
      <w:pPr>
        <w:pStyle w:val="ListParagraph"/>
        <w:numPr>
          <w:ilvl w:val="0"/>
          <w:numId w:val="15"/>
        </w:numPr>
      </w:pPr>
      <w:r w:rsidRPr="00780BB6">
        <w:t xml:space="preserve">How good are clinicians </w:t>
      </w:r>
      <w:r>
        <w:t xml:space="preserve">and patients </w:t>
      </w:r>
      <w:r w:rsidRPr="00780BB6">
        <w:t xml:space="preserve">at distinguishing acute bleeding events </w:t>
      </w:r>
      <w:r w:rsidR="008B15C7">
        <w:t xml:space="preserve">from other causes of joint pain and should additional investigations </w:t>
      </w:r>
      <w:r w:rsidRPr="00780BB6">
        <w:t>be perf</w:t>
      </w:r>
      <w:r w:rsidR="008B15C7">
        <w:t>ormed to aid diagnosis?</w:t>
      </w:r>
    </w:p>
    <w:p w:rsidR="00216367" w:rsidRDefault="00216367" w:rsidP="00041ED2">
      <w:pPr>
        <w:pStyle w:val="ListParagraph"/>
      </w:pPr>
    </w:p>
    <w:p w:rsidR="00216367" w:rsidRDefault="00216367" w:rsidP="00041ED2">
      <w:pPr>
        <w:pStyle w:val="ListParagraph"/>
        <w:numPr>
          <w:ilvl w:val="0"/>
          <w:numId w:val="15"/>
        </w:numPr>
      </w:pPr>
      <w:r>
        <w:t xml:space="preserve">What frequency of inhibitor testing is optimal for patient outcomes? </w:t>
      </w:r>
    </w:p>
    <w:p w:rsidR="00F30980" w:rsidRDefault="00F30980" w:rsidP="00F30980">
      <w:pPr>
        <w:spacing w:after="0"/>
        <w:ind w:left="0"/>
      </w:pPr>
    </w:p>
    <w:p w:rsidR="00F30980" w:rsidRDefault="00F30980" w:rsidP="00F30980">
      <w:pPr>
        <w:spacing w:after="0"/>
        <w:ind w:left="0"/>
      </w:pPr>
    </w:p>
    <w:p w:rsidR="00225A36" w:rsidRDefault="00225A36">
      <w:pPr>
        <w:spacing w:after="200" w:line="276" w:lineRule="auto"/>
        <w:ind w:left="0"/>
        <w:rPr>
          <w:rStyle w:val="A0"/>
          <w:rFonts w:ascii="Arial" w:hAnsi="Arial" w:cs="Arial"/>
          <w:b/>
          <w:sz w:val="36"/>
          <w:szCs w:val="36"/>
        </w:rPr>
      </w:pPr>
      <w:r>
        <w:rPr>
          <w:rStyle w:val="A0"/>
          <w:rFonts w:ascii="Arial" w:hAnsi="Arial" w:cs="Arial"/>
          <w:b/>
          <w:sz w:val="36"/>
          <w:szCs w:val="36"/>
        </w:rPr>
        <w:br w:type="page"/>
      </w:r>
    </w:p>
    <w:p w:rsidR="00C26632" w:rsidRPr="00041ED2" w:rsidRDefault="00543F5D" w:rsidP="00041ED2">
      <w:pPr>
        <w:pStyle w:val="Heading1"/>
        <w:rPr>
          <w:rStyle w:val="A0"/>
          <w:rFonts w:cs="Arial"/>
          <w:b w:val="0"/>
          <w:bCs w:val="0"/>
          <w:sz w:val="36"/>
          <w:szCs w:val="36"/>
        </w:rPr>
      </w:pPr>
      <w:bookmarkStart w:id="66" w:name="_Toc431484356"/>
      <w:r w:rsidRPr="00041ED2">
        <w:rPr>
          <w:rStyle w:val="A0"/>
          <w:rFonts w:cs="Arial"/>
          <w:sz w:val="36"/>
          <w:szCs w:val="36"/>
        </w:rPr>
        <w:lastRenderedPageBreak/>
        <w:t>Appendix E</w:t>
      </w:r>
      <w:r w:rsidR="00C26632" w:rsidRPr="00041ED2">
        <w:rPr>
          <w:rStyle w:val="A0"/>
          <w:rFonts w:cs="Arial"/>
          <w:sz w:val="36"/>
          <w:szCs w:val="36"/>
        </w:rPr>
        <w:tab/>
      </w:r>
      <w:r w:rsidRPr="00041ED2">
        <w:rPr>
          <w:rStyle w:val="A0"/>
          <w:rFonts w:cs="Arial"/>
          <w:sz w:val="36"/>
          <w:szCs w:val="36"/>
        </w:rPr>
        <w:t>Patient information</w:t>
      </w:r>
      <w:bookmarkEnd w:id="66"/>
      <w:r w:rsidRPr="00041ED2">
        <w:rPr>
          <w:rStyle w:val="A0"/>
          <w:rFonts w:cs="Arial"/>
          <w:sz w:val="36"/>
          <w:szCs w:val="36"/>
        </w:rPr>
        <w:t xml:space="preserve"> </w:t>
      </w:r>
    </w:p>
    <w:p w:rsidR="00F30980" w:rsidRDefault="00F01F81" w:rsidP="00F30980">
      <w:pPr>
        <w:spacing w:after="0"/>
        <w:ind w:left="0"/>
        <w:rPr>
          <w:bCs/>
          <w:lang w:val="en-US"/>
        </w:rPr>
      </w:pPr>
      <w:r>
        <w:t xml:space="preserve">Patient information designed for the Australian setting can be obtained from the website of the Haemophilia Foundation of Australia </w:t>
      </w:r>
      <w:r w:rsidR="00216367">
        <w:t xml:space="preserve">at </w:t>
      </w:r>
      <w:hyperlink r:id="rId28" w:history="1">
        <w:r w:rsidR="00FA5BF3" w:rsidRPr="00D13F61">
          <w:rPr>
            <w:rStyle w:val="Hyperlink"/>
            <w:lang w:val="en-US"/>
          </w:rPr>
          <w:t>www.</w:t>
        </w:r>
        <w:r w:rsidR="00FA5BF3" w:rsidRPr="00D13F61">
          <w:rPr>
            <w:rStyle w:val="Hyperlink"/>
            <w:bCs/>
            <w:lang w:val="en-US"/>
          </w:rPr>
          <w:t>haemophilia</w:t>
        </w:r>
        <w:r w:rsidR="00FA5BF3" w:rsidRPr="00D13F61">
          <w:rPr>
            <w:rStyle w:val="Hyperlink"/>
            <w:lang w:val="en-US"/>
          </w:rPr>
          <w:t>.org.</w:t>
        </w:r>
        <w:r w:rsidR="00FA5BF3" w:rsidRPr="00D13F61">
          <w:rPr>
            <w:rStyle w:val="Hyperlink"/>
            <w:bCs/>
            <w:lang w:val="en-US"/>
          </w:rPr>
          <w:t>au</w:t>
        </w:r>
      </w:hyperlink>
    </w:p>
    <w:p w:rsidR="00FA5BF3" w:rsidRDefault="00FA5BF3" w:rsidP="00F30980">
      <w:pPr>
        <w:spacing w:after="0"/>
        <w:ind w:left="0"/>
      </w:pPr>
    </w:p>
    <w:p w:rsidR="00F30980" w:rsidRDefault="00F30980" w:rsidP="00F30980">
      <w:pPr>
        <w:spacing w:after="0"/>
        <w:ind w:left="0"/>
      </w:pPr>
    </w:p>
    <w:p w:rsidR="00AE2350" w:rsidRDefault="00AE2350">
      <w:pPr>
        <w:spacing w:after="200" w:line="276" w:lineRule="auto"/>
        <w:ind w:left="0"/>
        <w:rPr>
          <w:rStyle w:val="A0"/>
          <w:rFonts w:ascii="Arial" w:hAnsi="Arial" w:cs="Arial"/>
          <w:b/>
          <w:sz w:val="36"/>
          <w:szCs w:val="36"/>
        </w:rPr>
        <w:sectPr w:rsidR="00AE2350" w:rsidSect="004B5AE5">
          <w:footerReference w:type="default" r:id="rId29"/>
          <w:pgSz w:w="11906" w:h="16838"/>
          <w:pgMar w:top="1440" w:right="1133" w:bottom="1134" w:left="1440" w:header="708" w:footer="708" w:gutter="0"/>
          <w:cols w:space="708"/>
          <w:titlePg/>
          <w:docGrid w:linePitch="360"/>
        </w:sectPr>
      </w:pPr>
    </w:p>
    <w:p w:rsidR="009456E6" w:rsidRPr="00041ED2" w:rsidRDefault="00543F5D" w:rsidP="00041ED2">
      <w:pPr>
        <w:pStyle w:val="Heading1"/>
        <w:rPr>
          <w:rStyle w:val="A0"/>
          <w:rFonts w:cs="Arial"/>
          <w:b w:val="0"/>
          <w:color w:val="1E1E1E"/>
          <w:sz w:val="36"/>
          <w:szCs w:val="36"/>
        </w:rPr>
      </w:pPr>
      <w:bookmarkStart w:id="67" w:name="_Toc431484357"/>
      <w:r w:rsidRPr="00041ED2">
        <w:rPr>
          <w:rStyle w:val="A0"/>
          <w:rFonts w:cs="Arial"/>
          <w:color w:val="1E1E1E"/>
          <w:sz w:val="36"/>
          <w:szCs w:val="36"/>
        </w:rPr>
        <w:lastRenderedPageBreak/>
        <w:t xml:space="preserve">Appendix F </w:t>
      </w:r>
      <w:r w:rsidR="00C26632" w:rsidRPr="00041ED2">
        <w:rPr>
          <w:rStyle w:val="A0"/>
          <w:rFonts w:cs="Arial"/>
          <w:color w:val="1E1E1E"/>
          <w:sz w:val="36"/>
          <w:szCs w:val="36"/>
        </w:rPr>
        <w:tab/>
      </w:r>
      <w:r w:rsidRPr="00041ED2">
        <w:rPr>
          <w:rStyle w:val="A0"/>
          <w:rFonts w:cs="Arial"/>
          <w:color w:val="1E1E1E"/>
          <w:sz w:val="36"/>
          <w:szCs w:val="36"/>
        </w:rPr>
        <w:t xml:space="preserve">Implementation and review of the Australian </w:t>
      </w:r>
      <w:r w:rsidR="00B15BB6" w:rsidRPr="00041ED2">
        <w:rPr>
          <w:rStyle w:val="A0"/>
          <w:rFonts w:cs="Arial"/>
          <w:color w:val="1E1E1E"/>
          <w:sz w:val="36"/>
          <w:szCs w:val="36"/>
        </w:rPr>
        <w:t>h</w:t>
      </w:r>
      <w:r w:rsidRPr="00041ED2">
        <w:rPr>
          <w:rStyle w:val="A0"/>
          <w:rFonts w:cs="Arial"/>
          <w:color w:val="1E1E1E"/>
          <w:sz w:val="36"/>
          <w:szCs w:val="36"/>
        </w:rPr>
        <w:t>aemophilia guidelines</w:t>
      </w:r>
      <w:bookmarkEnd w:id="67"/>
    </w:p>
    <w:p w:rsidR="00164B97" w:rsidRDefault="00164B97" w:rsidP="00164B97">
      <w:pPr>
        <w:spacing w:after="0"/>
        <w:ind w:left="0"/>
      </w:pPr>
      <w:r>
        <w:t>[</w:t>
      </w:r>
      <w:r w:rsidR="0024116D" w:rsidRPr="00041ED2">
        <w:rPr>
          <w:highlight w:val="yellow"/>
        </w:rPr>
        <w:t xml:space="preserve">AHCDO and the NBA will use the feedback received during public consultation to develop an implementation plan for the </w:t>
      </w:r>
      <w:r w:rsidR="0024116D" w:rsidRPr="00041ED2">
        <w:rPr>
          <w:i/>
          <w:iCs/>
          <w:highlight w:val="yellow"/>
        </w:rPr>
        <w:t>Guidelines for the management of haemophilia in Australia</w:t>
      </w:r>
      <w:r w:rsidR="0024116D" w:rsidRPr="00041ED2">
        <w:rPr>
          <w:highlight w:val="yellow"/>
        </w:rPr>
        <w:t>. Details regarding implementation and review will be included in the guideline before it is published.</w:t>
      </w:r>
      <w:r>
        <w:t>]</w:t>
      </w:r>
    </w:p>
    <w:p w:rsidR="00164B97" w:rsidRDefault="00164B97" w:rsidP="00164B97">
      <w:pPr>
        <w:spacing w:after="0"/>
        <w:ind w:left="0"/>
      </w:pPr>
    </w:p>
    <w:p w:rsidR="00164B97" w:rsidRDefault="00164B97" w:rsidP="00164B97">
      <w:pPr>
        <w:spacing w:after="0"/>
        <w:ind w:left="0"/>
      </w:pPr>
    </w:p>
    <w:p w:rsidR="00AE2350" w:rsidRDefault="00AE2350" w:rsidP="00164B97">
      <w:pPr>
        <w:ind w:left="2880" w:hanging="2880"/>
        <w:rPr>
          <w:rStyle w:val="A0"/>
          <w:rFonts w:ascii="Arial" w:hAnsi="Arial" w:cs="Arial"/>
          <w:b/>
          <w:sz w:val="36"/>
          <w:szCs w:val="36"/>
        </w:rPr>
        <w:sectPr w:rsidR="00AE2350" w:rsidSect="004B5AE5">
          <w:pgSz w:w="11906" w:h="16838"/>
          <w:pgMar w:top="1440" w:right="1133" w:bottom="1134" w:left="1440" w:header="708" w:footer="708" w:gutter="0"/>
          <w:cols w:space="708"/>
          <w:titlePg/>
          <w:docGrid w:linePitch="360"/>
        </w:sectPr>
      </w:pPr>
    </w:p>
    <w:p w:rsidR="00164B97" w:rsidRPr="00041ED2" w:rsidRDefault="00164B97" w:rsidP="00041ED2">
      <w:pPr>
        <w:pStyle w:val="Heading1"/>
        <w:rPr>
          <w:rStyle w:val="A0"/>
          <w:rFonts w:cs="Arial"/>
          <w:b w:val="0"/>
          <w:color w:val="1E1E1E"/>
          <w:sz w:val="36"/>
          <w:szCs w:val="36"/>
        </w:rPr>
      </w:pPr>
      <w:bookmarkStart w:id="68" w:name="_Toc431484358"/>
      <w:r w:rsidRPr="00041ED2">
        <w:rPr>
          <w:rStyle w:val="A0"/>
          <w:rFonts w:cs="Arial"/>
          <w:color w:val="1E1E1E"/>
          <w:sz w:val="36"/>
          <w:szCs w:val="36"/>
        </w:rPr>
        <w:lastRenderedPageBreak/>
        <w:t xml:space="preserve">Appendix G </w:t>
      </w:r>
      <w:r w:rsidRPr="00041ED2">
        <w:rPr>
          <w:rStyle w:val="A0"/>
          <w:rFonts w:cs="Arial"/>
          <w:color w:val="1E1E1E"/>
          <w:sz w:val="36"/>
          <w:szCs w:val="36"/>
        </w:rPr>
        <w:tab/>
      </w:r>
      <w:r w:rsidR="00956C15" w:rsidRPr="00041ED2">
        <w:rPr>
          <w:rStyle w:val="A0"/>
          <w:rFonts w:cs="Arial"/>
          <w:color w:val="1E1E1E"/>
          <w:sz w:val="36"/>
          <w:szCs w:val="36"/>
        </w:rPr>
        <w:t xml:space="preserve">Oxford </w:t>
      </w:r>
      <w:r w:rsidR="00E25756" w:rsidRPr="00041ED2">
        <w:rPr>
          <w:rStyle w:val="A0"/>
          <w:rFonts w:cs="Arial"/>
          <w:color w:val="1E1E1E"/>
          <w:sz w:val="36"/>
          <w:szCs w:val="36"/>
        </w:rPr>
        <w:t>C</w:t>
      </w:r>
      <w:r w:rsidR="00956C15" w:rsidRPr="00041ED2">
        <w:rPr>
          <w:rStyle w:val="A0"/>
          <w:rFonts w:cs="Arial"/>
          <w:color w:val="1E1E1E"/>
          <w:sz w:val="36"/>
          <w:szCs w:val="36"/>
        </w:rPr>
        <w:t xml:space="preserve">entre for </w:t>
      </w:r>
      <w:r w:rsidR="00E25756" w:rsidRPr="00041ED2">
        <w:rPr>
          <w:rStyle w:val="A0"/>
          <w:rFonts w:cs="Arial"/>
          <w:color w:val="1E1E1E"/>
          <w:sz w:val="36"/>
          <w:szCs w:val="36"/>
        </w:rPr>
        <w:t>E</w:t>
      </w:r>
      <w:r w:rsidR="00956C15" w:rsidRPr="00041ED2">
        <w:rPr>
          <w:rStyle w:val="A0"/>
          <w:rFonts w:cs="Arial"/>
          <w:color w:val="1E1E1E"/>
          <w:sz w:val="36"/>
          <w:szCs w:val="36"/>
        </w:rPr>
        <w:t>vidence-</w:t>
      </w:r>
      <w:r w:rsidR="00E25756" w:rsidRPr="00041ED2">
        <w:rPr>
          <w:rStyle w:val="A0"/>
          <w:rFonts w:cs="Arial"/>
          <w:color w:val="1E1E1E"/>
          <w:sz w:val="36"/>
          <w:szCs w:val="36"/>
        </w:rPr>
        <w:t>B</w:t>
      </w:r>
      <w:r w:rsidR="00956C15" w:rsidRPr="00041ED2">
        <w:rPr>
          <w:rStyle w:val="A0"/>
          <w:rFonts w:cs="Arial"/>
          <w:color w:val="1E1E1E"/>
          <w:sz w:val="36"/>
          <w:szCs w:val="36"/>
        </w:rPr>
        <w:t xml:space="preserve">ased </w:t>
      </w:r>
      <w:r w:rsidR="00E25756" w:rsidRPr="00041ED2">
        <w:rPr>
          <w:rStyle w:val="A0"/>
          <w:rFonts w:cs="Arial"/>
          <w:color w:val="1E1E1E"/>
          <w:sz w:val="36"/>
          <w:szCs w:val="36"/>
        </w:rPr>
        <w:t>M</w:t>
      </w:r>
      <w:r w:rsidR="00956C15" w:rsidRPr="00041ED2">
        <w:rPr>
          <w:rStyle w:val="A0"/>
          <w:rFonts w:cs="Arial"/>
          <w:color w:val="1E1E1E"/>
          <w:sz w:val="36"/>
          <w:szCs w:val="36"/>
        </w:rPr>
        <w:t>edicine - 2011 levels of evidence</w:t>
      </w:r>
      <w:bookmarkEnd w:id="68"/>
    </w:p>
    <w:p w:rsidR="00164B97" w:rsidRDefault="00AE2350" w:rsidP="00AE2350">
      <w:pPr>
        <w:spacing w:after="0"/>
        <w:ind w:left="0"/>
      </w:pPr>
      <w:r>
        <w:rPr>
          <w:noProof/>
        </w:rPr>
        <w:drawing>
          <wp:inline distT="0" distB="0" distL="0" distR="0" wp14:anchorId="0DB3981C" wp14:editId="3DDF1482">
            <wp:extent cx="8005841" cy="50729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017169" cy="5080110"/>
                    </a:xfrm>
                    <a:prstGeom prst="rect">
                      <a:avLst/>
                    </a:prstGeom>
                  </pic:spPr>
                </pic:pic>
              </a:graphicData>
            </a:graphic>
          </wp:inline>
        </w:drawing>
      </w:r>
    </w:p>
    <w:sectPr w:rsidR="00164B97" w:rsidSect="00041ED2">
      <w:pgSz w:w="16838" w:h="11906" w:orient="landscape"/>
      <w:pgMar w:top="1440" w:right="1440" w:bottom="113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ED6" w:rsidRDefault="000B0ED6" w:rsidP="00856708">
      <w:pPr>
        <w:spacing w:after="0"/>
      </w:pPr>
      <w:r>
        <w:separator/>
      </w:r>
    </w:p>
  </w:endnote>
  <w:endnote w:type="continuationSeparator" w:id="0">
    <w:p w:rsidR="000B0ED6" w:rsidRDefault="000B0ED6"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ITC Garamond Std Lt">
    <w:altName w:val="ITC Garamond Std Lt"/>
    <w:panose1 w:val="00000000000000000000"/>
    <w:charset w:val="00"/>
    <w:family w:val="roman"/>
    <w:notTrueType/>
    <w:pitch w:val="default"/>
    <w:sig w:usb0="00000003" w:usb1="00000000" w:usb2="00000000" w:usb3="00000000" w:csb0="00000001" w:csb1="00000000"/>
  </w:font>
  <w:font w:name="TitilliumText22L Lt">
    <w:altName w:val="Arial"/>
    <w:panose1 w:val="00000000000000000000"/>
    <w:charset w:val="00"/>
    <w:family w:val="modern"/>
    <w:notTrueType/>
    <w:pitch w:val="variable"/>
    <w:sig w:usb0="A00000EF" w:usb1="0000004B"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venir LT Std 55 Roman">
    <w:altName w:val="Cambri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nion Pro">
    <w:altName w:val="Times New Roman"/>
    <w:charset w:val="00"/>
    <w:family w:val="roman"/>
    <w:pitch w:val="variable"/>
  </w:font>
  <w:font w:name="Avenir LT Std 45 Book">
    <w:altName w:val="Cambria"/>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ED6" w:rsidRPr="00725009" w:rsidRDefault="000B0ED6" w:rsidP="0058526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ED6" w:rsidRPr="00856708" w:rsidRDefault="000B0ED6" w:rsidP="00856708">
    <w:pPr>
      <w:pStyle w:val="Footer"/>
      <w:tabs>
        <w:tab w:val="clear" w:pos="9026"/>
        <w:tab w:val="right" w:pos="9356"/>
      </w:tabs>
      <w:rPr>
        <w:sz w:val="20"/>
        <w:szCs w:val="20"/>
      </w:rPr>
    </w:pPr>
    <w:r w:rsidRPr="00856708">
      <w:rPr>
        <w:sz w:val="20"/>
        <w:szCs w:val="20"/>
      </w:rPr>
      <w:tab/>
    </w:r>
    <w:r w:rsidRPr="00856708">
      <w:rPr>
        <w:sz w:val="20"/>
        <w:szCs w:val="20"/>
      </w:rPr>
      <w:tab/>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D330B8">
      <w:rPr>
        <w:noProof/>
        <w:sz w:val="20"/>
        <w:szCs w:val="20"/>
      </w:rPr>
      <w:t>114</w:t>
    </w:r>
    <w:r w:rsidRPr="00856708">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ED6" w:rsidRDefault="000B0ED6" w:rsidP="00856708">
      <w:pPr>
        <w:spacing w:after="0"/>
      </w:pPr>
      <w:r>
        <w:separator/>
      </w:r>
    </w:p>
  </w:footnote>
  <w:footnote w:type="continuationSeparator" w:id="0">
    <w:p w:rsidR="000B0ED6" w:rsidRDefault="000B0ED6" w:rsidP="00856708">
      <w:pPr>
        <w:spacing w:after="0"/>
      </w:pPr>
      <w:r>
        <w:continuationSeparator/>
      </w:r>
    </w:p>
  </w:footnote>
  <w:footnote w:id="1">
    <w:p w:rsidR="000B0ED6" w:rsidRPr="00D47748" w:rsidRDefault="000B0ED6" w:rsidP="00E928C0">
      <w:pPr>
        <w:pStyle w:val="FootnoteText"/>
        <w:rPr>
          <w:sz w:val="16"/>
          <w:szCs w:val="16"/>
        </w:rPr>
      </w:pPr>
      <w:r w:rsidRPr="00D47748">
        <w:rPr>
          <w:rStyle w:val="FootnoteReference"/>
          <w:sz w:val="16"/>
          <w:szCs w:val="16"/>
        </w:rPr>
        <w:footnoteRef/>
      </w:r>
      <w:r w:rsidRPr="00D47748">
        <w:rPr>
          <w:sz w:val="16"/>
          <w:szCs w:val="16"/>
        </w:rPr>
        <w:t xml:space="preserve"> 8 weeks</w:t>
      </w:r>
    </w:p>
  </w:footnote>
  <w:footnote w:id="2">
    <w:p w:rsidR="000B0ED6" w:rsidRPr="009A5340" w:rsidRDefault="000B0ED6" w:rsidP="00FE440A">
      <w:pPr>
        <w:pStyle w:val="NormalWeb"/>
        <w:spacing w:before="0" w:beforeAutospacing="0" w:after="0" w:afterAutospacing="0"/>
        <w:textAlignment w:val="baseline"/>
        <w:rPr>
          <w:rFonts w:asciiTheme="minorHAnsi" w:hAnsiTheme="minorHAnsi" w:cstheme="minorHAnsi"/>
          <w:sz w:val="22"/>
          <w:szCs w:val="22"/>
        </w:rPr>
      </w:pPr>
      <w:r w:rsidRPr="009A5340">
        <w:rPr>
          <w:rStyle w:val="FootnoteReference"/>
          <w:rFonts w:asciiTheme="minorHAnsi" w:hAnsiTheme="minorHAnsi" w:cstheme="minorHAnsi"/>
          <w:sz w:val="22"/>
          <w:szCs w:val="22"/>
        </w:rPr>
        <w:footnoteRef/>
      </w:r>
      <w:r w:rsidRPr="009A5340">
        <w:rPr>
          <w:rFonts w:asciiTheme="minorHAnsi" w:hAnsiTheme="minorHAnsi" w:cstheme="minorHAnsi"/>
          <w:sz w:val="22"/>
          <w:szCs w:val="22"/>
        </w:rPr>
        <w:t xml:space="preserve"> </w:t>
      </w:r>
      <w:r w:rsidRPr="009A5340">
        <w:rPr>
          <w:rFonts w:asciiTheme="minorHAnsi" w:eastAsia="MS PGothic" w:hAnsiTheme="minorHAnsi" w:cstheme="minorHAnsi"/>
          <w:color w:val="000000" w:themeColor="text1"/>
          <w:kern w:val="24"/>
          <w:sz w:val="22"/>
          <w:szCs w:val="22"/>
          <w:lang w:val="de-DE"/>
        </w:rPr>
        <w:t>Levine Arch Int Med. 1976;136:792</w:t>
      </w:r>
    </w:p>
  </w:footnote>
  <w:footnote w:id="3">
    <w:p w:rsidR="000B0ED6" w:rsidRPr="009A5340" w:rsidRDefault="000B0ED6" w:rsidP="00FE440A">
      <w:pPr>
        <w:pStyle w:val="NormalWeb"/>
        <w:spacing w:before="0" w:beforeAutospacing="0" w:after="0" w:afterAutospacing="0"/>
        <w:textAlignment w:val="baseline"/>
        <w:rPr>
          <w:rFonts w:asciiTheme="minorHAnsi" w:hAnsiTheme="minorHAnsi" w:cstheme="minorHAnsi"/>
          <w:sz w:val="22"/>
          <w:szCs w:val="22"/>
        </w:rPr>
      </w:pPr>
      <w:r w:rsidRPr="009A5340">
        <w:rPr>
          <w:rStyle w:val="FootnoteReference"/>
          <w:rFonts w:asciiTheme="minorHAnsi" w:hAnsiTheme="minorHAnsi" w:cstheme="minorHAnsi"/>
          <w:sz w:val="22"/>
          <w:szCs w:val="22"/>
        </w:rPr>
        <w:footnoteRef/>
      </w:r>
      <w:r w:rsidRPr="009A5340">
        <w:rPr>
          <w:rFonts w:asciiTheme="minorHAnsi" w:hAnsiTheme="minorHAnsi" w:cstheme="minorHAnsi"/>
          <w:sz w:val="22"/>
          <w:szCs w:val="22"/>
        </w:rPr>
        <w:t xml:space="preserve"> </w:t>
      </w:r>
      <w:r w:rsidRPr="009A5340">
        <w:rPr>
          <w:rFonts w:asciiTheme="minorHAnsi" w:eastAsia="MS PGothic" w:hAnsiTheme="minorHAnsi" w:cstheme="minorHAnsi"/>
          <w:color w:val="000000" w:themeColor="text1"/>
          <w:kern w:val="24"/>
          <w:sz w:val="22"/>
          <w:szCs w:val="22"/>
          <w:lang w:val="en-US"/>
        </w:rPr>
        <w:t>Smith Am J Publ Health. 1984;74:616–7</w:t>
      </w:r>
    </w:p>
  </w:footnote>
  <w:footnote w:id="4">
    <w:p w:rsidR="000B0ED6" w:rsidRPr="009A5340" w:rsidRDefault="000B0ED6" w:rsidP="00FE440A">
      <w:pPr>
        <w:pStyle w:val="NormalWeb"/>
        <w:spacing w:before="0" w:beforeAutospacing="0" w:after="0" w:afterAutospacing="0"/>
        <w:textAlignment w:val="baseline"/>
        <w:rPr>
          <w:rFonts w:asciiTheme="minorHAnsi" w:hAnsiTheme="minorHAnsi" w:cstheme="minorHAnsi"/>
          <w:sz w:val="22"/>
          <w:szCs w:val="22"/>
        </w:rPr>
      </w:pPr>
      <w:r w:rsidRPr="009A5340">
        <w:rPr>
          <w:rStyle w:val="FootnoteReference"/>
          <w:rFonts w:asciiTheme="minorHAnsi" w:hAnsiTheme="minorHAnsi" w:cstheme="minorHAnsi"/>
          <w:sz w:val="22"/>
          <w:szCs w:val="22"/>
        </w:rPr>
        <w:footnoteRef/>
      </w:r>
      <w:r w:rsidRPr="009A5340">
        <w:rPr>
          <w:rFonts w:asciiTheme="minorHAnsi" w:hAnsiTheme="minorHAnsi" w:cstheme="minorHAnsi"/>
          <w:sz w:val="22"/>
          <w:szCs w:val="22"/>
        </w:rPr>
        <w:t xml:space="preserve"> </w:t>
      </w:r>
      <w:r w:rsidRPr="009A5340">
        <w:rPr>
          <w:rFonts w:asciiTheme="minorHAnsi" w:eastAsia="MS PGothic" w:hAnsiTheme="minorHAnsi" w:cstheme="minorHAnsi"/>
          <w:color w:val="000000" w:themeColor="text1"/>
          <w:kern w:val="24"/>
          <w:sz w:val="22"/>
          <w:szCs w:val="22"/>
          <w:lang w:val="en-US"/>
        </w:rPr>
        <w:t xml:space="preserve">Soucie </w:t>
      </w:r>
      <w:r w:rsidRPr="009A5340">
        <w:rPr>
          <w:rFonts w:asciiTheme="minorHAnsi" w:eastAsia="MS PGothic" w:hAnsiTheme="minorHAnsi" w:cstheme="minorHAnsi"/>
          <w:color w:val="000000" w:themeColor="text1"/>
          <w:kern w:val="24"/>
          <w:sz w:val="22"/>
          <w:szCs w:val="22"/>
          <w:lang w:val="nl-NL"/>
        </w:rPr>
        <w:t>Blood. 2000;15;96(2):437–42</w:t>
      </w:r>
    </w:p>
  </w:footnote>
  <w:footnote w:id="5">
    <w:p w:rsidR="000B0ED6" w:rsidRPr="009A5340" w:rsidRDefault="000B0ED6" w:rsidP="00FE440A">
      <w:pPr>
        <w:pStyle w:val="NormalWeb"/>
        <w:spacing w:before="0" w:beforeAutospacing="0" w:after="0" w:afterAutospacing="0"/>
        <w:textAlignment w:val="baseline"/>
        <w:rPr>
          <w:rFonts w:asciiTheme="minorHAnsi" w:hAnsiTheme="minorHAnsi" w:cstheme="minorHAnsi"/>
          <w:sz w:val="22"/>
          <w:szCs w:val="22"/>
        </w:rPr>
      </w:pPr>
      <w:r w:rsidRPr="009A5340">
        <w:rPr>
          <w:rStyle w:val="FootnoteReference"/>
          <w:rFonts w:asciiTheme="minorHAnsi" w:hAnsiTheme="minorHAnsi" w:cstheme="minorHAnsi"/>
          <w:sz w:val="22"/>
          <w:szCs w:val="22"/>
        </w:rPr>
        <w:footnoteRef/>
      </w:r>
      <w:r w:rsidRPr="009A5340">
        <w:rPr>
          <w:rFonts w:asciiTheme="minorHAnsi" w:hAnsiTheme="minorHAnsi" w:cstheme="minorHAnsi"/>
          <w:sz w:val="22"/>
          <w:szCs w:val="22"/>
        </w:rPr>
        <w:t xml:space="preserve"> </w:t>
      </w:r>
      <w:r w:rsidRPr="009A5340">
        <w:rPr>
          <w:rFonts w:asciiTheme="minorHAnsi" w:eastAsia="MS PGothic" w:hAnsiTheme="minorHAnsi" w:cstheme="minorHAnsi"/>
          <w:color w:val="000000" w:themeColor="text1"/>
          <w:kern w:val="24"/>
          <w:sz w:val="22"/>
          <w:szCs w:val="22"/>
          <w:lang w:val="nl-NL"/>
        </w:rPr>
        <w:t xml:space="preserve">Plug </w:t>
      </w:r>
      <w:r w:rsidRPr="009A5340">
        <w:rPr>
          <w:rFonts w:asciiTheme="minorHAnsi" w:eastAsia="MS PGothic" w:hAnsiTheme="minorHAnsi" w:cstheme="minorHAnsi"/>
          <w:color w:val="000000" w:themeColor="text1"/>
          <w:kern w:val="24"/>
          <w:sz w:val="22"/>
          <w:szCs w:val="22"/>
          <w:lang w:val="en-US"/>
        </w:rPr>
        <w:t>J Thromb Haemost. 2006;4(3):510–6</w:t>
      </w:r>
    </w:p>
    <w:p w:rsidR="000B0ED6" w:rsidRDefault="000B0ED6" w:rsidP="00FE440A">
      <w:pPr>
        <w:pStyle w:val="FootnoteText"/>
      </w:pPr>
    </w:p>
  </w:footnote>
  <w:footnote w:id="6">
    <w:p w:rsidR="000B0ED6" w:rsidRPr="00F97CF2" w:rsidRDefault="000B0ED6" w:rsidP="00FE440A">
      <w:pPr>
        <w:pStyle w:val="NormalWeb"/>
        <w:spacing w:before="0" w:beforeAutospacing="0" w:after="0" w:afterAutospacing="0"/>
        <w:textAlignment w:val="baseline"/>
        <w:rPr>
          <w:rStyle w:val="FootnoteReference"/>
          <w:rFonts w:asciiTheme="minorHAnsi" w:hAnsiTheme="minorHAnsi" w:cstheme="minorHAnsi"/>
          <w:sz w:val="22"/>
          <w:szCs w:val="22"/>
        </w:rPr>
      </w:pPr>
      <w:r w:rsidRPr="00F97CF2">
        <w:rPr>
          <w:rStyle w:val="FootnoteReference"/>
          <w:rFonts w:asciiTheme="minorHAnsi" w:hAnsiTheme="minorHAnsi" w:cstheme="minorHAnsi"/>
          <w:sz w:val="22"/>
          <w:szCs w:val="22"/>
        </w:rPr>
        <w:footnoteRef/>
      </w:r>
      <w:r w:rsidRPr="00F97CF2">
        <w:rPr>
          <w:rStyle w:val="FootnoteReference"/>
          <w:rFonts w:asciiTheme="minorHAnsi" w:hAnsiTheme="minorHAnsi" w:cstheme="minorHAnsi"/>
          <w:sz w:val="22"/>
          <w:szCs w:val="22"/>
        </w:rPr>
        <w:t xml:space="preserve"> Hay Haemophilia (2013), 19, 660–667</w:t>
      </w:r>
    </w:p>
  </w:footnote>
  <w:footnote w:id="7">
    <w:p w:rsidR="000B0ED6" w:rsidRPr="00850BC3" w:rsidRDefault="000B0ED6" w:rsidP="00FD0C2C">
      <w:pPr>
        <w:pStyle w:val="FootnoteText"/>
        <w:rPr>
          <w:sz w:val="16"/>
          <w:szCs w:val="16"/>
        </w:rPr>
      </w:pPr>
      <w:r w:rsidRPr="00850BC3">
        <w:rPr>
          <w:rStyle w:val="FootnoteReference"/>
          <w:sz w:val="16"/>
          <w:szCs w:val="16"/>
        </w:rPr>
        <w:footnoteRef/>
      </w:r>
      <w:r w:rsidRPr="00850BC3">
        <w:rPr>
          <w:sz w:val="16"/>
          <w:szCs w:val="16"/>
        </w:rPr>
        <w:t xml:space="preserve"> Studies were assigned a level of evidence based on the NHMRC evidence hierarchy for intervention questions.</w:t>
      </w:r>
    </w:p>
  </w:footnote>
  <w:footnote w:id="8">
    <w:p w:rsidR="000B0ED6" w:rsidRPr="00850BC3" w:rsidRDefault="000B0ED6" w:rsidP="00FD0C2C">
      <w:pPr>
        <w:pStyle w:val="FootnoteText"/>
        <w:rPr>
          <w:sz w:val="16"/>
          <w:szCs w:val="16"/>
        </w:rPr>
      </w:pPr>
      <w:r w:rsidRPr="00850BC3">
        <w:rPr>
          <w:rStyle w:val="FootnoteReference"/>
          <w:sz w:val="16"/>
          <w:szCs w:val="16"/>
        </w:rPr>
        <w:footnoteRef/>
      </w:r>
      <w:r w:rsidRPr="00850BC3">
        <w:rPr>
          <w:sz w:val="16"/>
          <w:szCs w:val="16"/>
        </w:rPr>
        <w:t xml:space="preserve"> </w:t>
      </w:r>
      <w:hyperlink r:id="rId1" w:history="1">
        <w:r w:rsidRPr="00850BC3">
          <w:rPr>
            <w:rStyle w:val="Hyperlink"/>
            <w:rFonts w:eastAsia="Dotum"/>
            <w:sz w:val="16"/>
            <w:szCs w:val="16"/>
          </w:rPr>
          <w:t>http://www.sign.ac.uk/methodology/checklists.html</w:t>
        </w:r>
      </w:hyperlink>
      <w:r w:rsidRPr="00850BC3">
        <w:rPr>
          <w:sz w:val="16"/>
          <w:szCs w:val="16"/>
        </w:rPr>
        <w:t xml:space="preserve"> </w:t>
      </w:r>
    </w:p>
  </w:footnote>
  <w:footnote w:id="9">
    <w:p w:rsidR="000B0ED6" w:rsidRPr="00A70F0F" w:rsidRDefault="000B0ED6" w:rsidP="00041ED2">
      <w:pPr>
        <w:ind w:left="0"/>
        <w:rPr>
          <w:sz w:val="16"/>
          <w:szCs w:val="16"/>
        </w:rPr>
      </w:pPr>
      <w:r w:rsidRPr="00A70F0F">
        <w:rPr>
          <w:rStyle w:val="FootnoteReference"/>
          <w:sz w:val="16"/>
          <w:szCs w:val="16"/>
        </w:rPr>
        <w:footnoteRef/>
      </w:r>
      <w:r w:rsidRPr="00A70F0F">
        <w:rPr>
          <w:sz w:val="16"/>
          <w:szCs w:val="16"/>
        </w:rPr>
        <w:t xml:space="preserve"> Institute for Clinical Systems Improvement (2011). </w:t>
      </w:r>
      <w:proofErr w:type="gramStart"/>
      <w:r w:rsidRPr="00A70F0F">
        <w:rPr>
          <w:sz w:val="16"/>
          <w:szCs w:val="16"/>
        </w:rPr>
        <w:t>Reviewing evidence using GRADE.</w:t>
      </w:r>
      <w:proofErr w:type="gramEnd"/>
      <w:r w:rsidRPr="00A70F0F">
        <w:rPr>
          <w:sz w:val="16"/>
          <w:szCs w:val="16"/>
        </w:rPr>
        <w:t xml:space="preserve"> Viewed on 4</w:t>
      </w:r>
      <w:r w:rsidRPr="00A70F0F">
        <w:rPr>
          <w:sz w:val="16"/>
          <w:szCs w:val="16"/>
          <w:vertAlign w:val="superscript"/>
        </w:rPr>
        <w:t>th</w:t>
      </w:r>
      <w:r w:rsidRPr="00A70F0F">
        <w:rPr>
          <w:sz w:val="16"/>
          <w:szCs w:val="16"/>
        </w:rPr>
        <w:t xml:space="preserve"> December, 2014 at: </w:t>
      </w:r>
      <w:hyperlink r:id="rId2" w:history="1">
        <w:r w:rsidRPr="00A70F0F">
          <w:rPr>
            <w:rStyle w:val="Hyperlink"/>
            <w:rFonts w:eastAsia="Dotum" w:cs="Arial"/>
            <w:iCs/>
            <w:sz w:val="16"/>
            <w:szCs w:val="16"/>
          </w:rPr>
          <w:t>https://www.icsi.org/_asset/7mtqyr/</w:t>
        </w:r>
        <w:r w:rsidRPr="00A70F0F">
          <w:rPr>
            <w:rStyle w:val="Hyperlink"/>
            <w:rFonts w:eastAsia="Dotum" w:cs="Arial"/>
            <w:bCs/>
            <w:iCs/>
            <w:sz w:val="16"/>
            <w:szCs w:val="16"/>
          </w:rPr>
          <w:t>ReviewingEvidenceUsingGRADE</w:t>
        </w:r>
        <w:r w:rsidRPr="00A70F0F">
          <w:rPr>
            <w:rStyle w:val="Hyperlink"/>
            <w:rFonts w:eastAsia="Dotum" w:cs="Arial"/>
            <w:iCs/>
            <w:sz w:val="16"/>
            <w:szCs w:val="16"/>
          </w:rPr>
          <w:t>.pdf</w:t>
        </w:r>
      </w:hyperlink>
      <w:r w:rsidRPr="00A70F0F">
        <w:rPr>
          <w:rFonts w:cs="Arial"/>
          <w:iCs/>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ED6" w:rsidRDefault="00D330B8">
    <w:pPr>
      <w:pStyle w:val="Header"/>
    </w:pPr>
    <w:r>
      <w:rPr>
        <w:noProof/>
        <w:lang w:val="x-non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79" o:spid="_x0000_s2050" type="#_x0000_t136" style="position:absolute;left:0;text-align:left;margin-left:0;margin-top:0;width:549.45pt;height:86.75pt;rotation:315;z-index:-251656192;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ED6" w:rsidRDefault="00D330B8">
    <w:pPr>
      <w:pStyle w:val="Header"/>
    </w:pPr>
    <w:r>
      <w:rPr>
        <w:noProof/>
        <w:lang w:val="x-non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80" o:spid="_x0000_s2051" type="#_x0000_t136" style="position:absolute;left:0;text-align:left;margin-left:0;margin-top:0;width:549.45pt;height:86.75pt;rotation:315;z-index:-251655168;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ED6" w:rsidRDefault="00D330B8">
    <w:pPr>
      <w:pStyle w:val="Header"/>
    </w:pPr>
    <w:r>
      <w:rPr>
        <w:noProof/>
        <w:lang w:val="x-non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1078" o:spid="_x0000_s2049" type="#_x0000_t136" style="position:absolute;left:0;text-align:left;margin-left:0;margin-top:0;width:549.45pt;height:86.75pt;rotation:315;z-index:-251657216;mso-position-horizontal:center;mso-position-horizontal-relative:margin;mso-position-vertical:center;mso-position-vertical-relative:margin" o:allowincell="f" fillcolor="silver" stroked="f">
          <v:fill opacity=".5"/>
          <v:textpath style="font-family:&quot;Calibri&quot;;font-size:1pt" string="Public consultation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47687C"/>
    <w:multiLevelType w:val="hybridMultilevel"/>
    <w:tmpl w:val="D16BC23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B1CEBD2"/>
    <w:multiLevelType w:val="hybridMultilevel"/>
    <w:tmpl w:val="9F2842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B522B43"/>
    <w:multiLevelType w:val="hybridMultilevel"/>
    <w:tmpl w:val="B96C459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9EE79B59"/>
    <w:multiLevelType w:val="hybridMultilevel"/>
    <w:tmpl w:val="9A4C662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9FFB558"/>
    <w:multiLevelType w:val="hybridMultilevel"/>
    <w:tmpl w:val="DD5A52B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4AD67AB"/>
    <w:multiLevelType w:val="hybridMultilevel"/>
    <w:tmpl w:val="5EADF5B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D777B2DE"/>
    <w:multiLevelType w:val="hybridMultilevel"/>
    <w:tmpl w:val="445EC3F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8CBD5A3"/>
    <w:multiLevelType w:val="hybridMultilevel"/>
    <w:tmpl w:val="A1BE8C5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EA11029"/>
    <w:multiLevelType w:val="hybridMultilevel"/>
    <w:tmpl w:val="4A726AD8"/>
    <w:lvl w:ilvl="0" w:tplc="FFFFFFFF">
      <w:numFmt w:val="decimal"/>
      <w:lvlText w:val=""/>
      <w:lvlJc w:val="left"/>
      <w:rPr>
        <w:rFonts w:cs="Times New Roman"/>
      </w:rPr>
    </w:lvl>
    <w:lvl w:ilvl="1" w:tplc="FFFFFFFF">
      <w:start w:val="1"/>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E2425297"/>
    <w:multiLevelType w:val="hybridMultilevel"/>
    <w:tmpl w:val="6D1ADCF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E48880DF"/>
    <w:multiLevelType w:val="hybridMultilevel"/>
    <w:tmpl w:val="906AB48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FEDCE281"/>
    <w:multiLevelType w:val="hybridMultilevel"/>
    <w:tmpl w:val="3012A70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47488F"/>
    <w:multiLevelType w:val="hybridMultilevel"/>
    <w:tmpl w:val="94F04132"/>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13">
    <w:nsid w:val="00A44CB1"/>
    <w:multiLevelType w:val="hybridMultilevel"/>
    <w:tmpl w:val="01F20BA0"/>
    <w:lvl w:ilvl="0" w:tplc="0C090001">
      <w:start w:val="1"/>
      <w:numFmt w:val="bullet"/>
      <w:lvlText w:val=""/>
      <w:lvlJc w:val="left"/>
      <w:pPr>
        <w:ind w:left="1050" w:hanging="360"/>
      </w:pPr>
      <w:rPr>
        <w:rFonts w:ascii="Symbol" w:hAnsi="Symbol" w:hint="default"/>
      </w:rPr>
    </w:lvl>
    <w:lvl w:ilvl="1" w:tplc="0C090003" w:tentative="1">
      <w:start w:val="1"/>
      <w:numFmt w:val="bullet"/>
      <w:lvlText w:val="o"/>
      <w:lvlJc w:val="left"/>
      <w:pPr>
        <w:ind w:left="1770" w:hanging="360"/>
      </w:pPr>
      <w:rPr>
        <w:rFonts w:ascii="Courier New" w:hAnsi="Courier New" w:cs="Courier New" w:hint="default"/>
      </w:rPr>
    </w:lvl>
    <w:lvl w:ilvl="2" w:tplc="0C090005" w:tentative="1">
      <w:start w:val="1"/>
      <w:numFmt w:val="bullet"/>
      <w:lvlText w:val=""/>
      <w:lvlJc w:val="left"/>
      <w:pPr>
        <w:ind w:left="2490" w:hanging="360"/>
      </w:pPr>
      <w:rPr>
        <w:rFonts w:ascii="Wingdings" w:hAnsi="Wingdings" w:hint="default"/>
      </w:rPr>
    </w:lvl>
    <w:lvl w:ilvl="3" w:tplc="0C090001" w:tentative="1">
      <w:start w:val="1"/>
      <w:numFmt w:val="bullet"/>
      <w:lvlText w:val=""/>
      <w:lvlJc w:val="left"/>
      <w:pPr>
        <w:ind w:left="3210" w:hanging="360"/>
      </w:pPr>
      <w:rPr>
        <w:rFonts w:ascii="Symbol" w:hAnsi="Symbol" w:hint="default"/>
      </w:rPr>
    </w:lvl>
    <w:lvl w:ilvl="4" w:tplc="0C090003" w:tentative="1">
      <w:start w:val="1"/>
      <w:numFmt w:val="bullet"/>
      <w:lvlText w:val="o"/>
      <w:lvlJc w:val="left"/>
      <w:pPr>
        <w:ind w:left="3930" w:hanging="360"/>
      </w:pPr>
      <w:rPr>
        <w:rFonts w:ascii="Courier New" w:hAnsi="Courier New" w:cs="Courier New" w:hint="default"/>
      </w:rPr>
    </w:lvl>
    <w:lvl w:ilvl="5" w:tplc="0C090005" w:tentative="1">
      <w:start w:val="1"/>
      <w:numFmt w:val="bullet"/>
      <w:lvlText w:val=""/>
      <w:lvlJc w:val="left"/>
      <w:pPr>
        <w:ind w:left="4650" w:hanging="360"/>
      </w:pPr>
      <w:rPr>
        <w:rFonts w:ascii="Wingdings" w:hAnsi="Wingdings" w:hint="default"/>
      </w:rPr>
    </w:lvl>
    <w:lvl w:ilvl="6" w:tplc="0C090001" w:tentative="1">
      <w:start w:val="1"/>
      <w:numFmt w:val="bullet"/>
      <w:lvlText w:val=""/>
      <w:lvlJc w:val="left"/>
      <w:pPr>
        <w:ind w:left="5370" w:hanging="360"/>
      </w:pPr>
      <w:rPr>
        <w:rFonts w:ascii="Symbol" w:hAnsi="Symbol" w:hint="default"/>
      </w:rPr>
    </w:lvl>
    <w:lvl w:ilvl="7" w:tplc="0C090003" w:tentative="1">
      <w:start w:val="1"/>
      <w:numFmt w:val="bullet"/>
      <w:lvlText w:val="o"/>
      <w:lvlJc w:val="left"/>
      <w:pPr>
        <w:ind w:left="6090" w:hanging="360"/>
      </w:pPr>
      <w:rPr>
        <w:rFonts w:ascii="Courier New" w:hAnsi="Courier New" w:cs="Courier New" w:hint="default"/>
      </w:rPr>
    </w:lvl>
    <w:lvl w:ilvl="8" w:tplc="0C090005" w:tentative="1">
      <w:start w:val="1"/>
      <w:numFmt w:val="bullet"/>
      <w:lvlText w:val=""/>
      <w:lvlJc w:val="left"/>
      <w:pPr>
        <w:ind w:left="6810" w:hanging="360"/>
      </w:pPr>
      <w:rPr>
        <w:rFonts w:ascii="Wingdings" w:hAnsi="Wingdings" w:hint="default"/>
      </w:rPr>
    </w:lvl>
  </w:abstractNum>
  <w:abstractNum w:abstractNumId="14">
    <w:nsid w:val="00D47326"/>
    <w:multiLevelType w:val="hybridMultilevel"/>
    <w:tmpl w:val="B5CE56C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nsid w:val="024A2618"/>
    <w:multiLevelType w:val="hybridMultilevel"/>
    <w:tmpl w:val="04BE343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4590200"/>
    <w:multiLevelType w:val="hybridMultilevel"/>
    <w:tmpl w:val="10F25160"/>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17">
    <w:nsid w:val="04834547"/>
    <w:multiLevelType w:val="hybridMultilevel"/>
    <w:tmpl w:val="E62CB0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48D3312"/>
    <w:multiLevelType w:val="hybridMultilevel"/>
    <w:tmpl w:val="DEE21792"/>
    <w:lvl w:ilvl="0" w:tplc="D856F8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0662058E"/>
    <w:multiLevelType w:val="hybridMultilevel"/>
    <w:tmpl w:val="25662206"/>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20">
    <w:nsid w:val="06906254"/>
    <w:multiLevelType w:val="hybridMultilevel"/>
    <w:tmpl w:val="CF0ED68C"/>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06DF5954"/>
    <w:multiLevelType w:val="hybridMultilevel"/>
    <w:tmpl w:val="75EE9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560DC1"/>
    <w:multiLevelType w:val="hybridMultilevel"/>
    <w:tmpl w:val="9BA2433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nsid w:val="09DA0F90"/>
    <w:multiLevelType w:val="hybridMultilevel"/>
    <w:tmpl w:val="51BE5830"/>
    <w:lvl w:ilvl="0" w:tplc="0C090003">
      <w:start w:val="1"/>
      <w:numFmt w:val="bullet"/>
      <w:lvlText w:val="o"/>
      <w:lvlJc w:val="left"/>
      <w:pPr>
        <w:ind w:left="2415" w:hanging="360"/>
      </w:pPr>
      <w:rPr>
        <w:rFonts w:ascii="Courier New" w:hAnsi="Courier New" w:cs="Courier New" w:hint="default"/>
      </w:rPr>
    </w:lvl>
    <w:lvl w:ilvl="1" w:tplc="0C090003" w:tentative="1">
      <w:start w:val="1"/>
      <w:numFmt w:val="bullet"/>
      <w:lvlText w:val="o"/>
      <w:lvlJc w:val="left"/>
      <w:pPr>
        <w:ind w:left="3135" w:hanging="360"/>
      </w:pPr>
      <w:rPr>
        <w:rFonts w:ascii="Courier New" w:hAnsi="Courier New" w:cs="Courier New" w:hint="default"/>
      </w:rPr>
    </w:lvl>
    <w:lvl w:ilvl="2" w:tplc="0C090005" w:tentative="1">
      <w:start w:val="1"/>
      <w:numFmt w:val="bullet"/>
      <w:lvlText w:val=""/>
      <w:lvlJc w:val="left"/>
      <w:pPr>
        <w:ind w:left="3855" w:hanging="360"/>
      </w:pPr>
      <w:rPr>
        <w:rFonts w:ascii="Wingdings" w:hAnsi="Wingdings" w:hint="default"/>
      </w:rPr>
    </w:lvl>
    <w:lvl w:ilvl="3" w:tplc="0C090001" w:tentative="1">
      <w:start w:val="1"/>
      <w:numFmt w:val="bullet"/>
      <w:lvlText w:val=""/>
      <w:lvlJc w:val="left"/>
      <w:pPr>
        <w:ind w:left="4575" w:hanging="360"/>
      </w:pPr>
      <w:rPr>
        <w:rFonts w:ascii="Symbol" w:hAnsi="Symbol" w:hint="default"/>
      </w:rPr>
    </w:lvl>
    <w:lvl w:ilvl="4" w:tplc="0C090003" w:tentative="1">
      <w:start w:val="1"/>
      <w:numFmt w:val="bullet"/>
      <w:lvlText w:val="o"/>
      <w:lvlJc w:val="left"/>
      <w:pPr>
        <w:ind w:left="5295" w:hanging="360"/>
      </w:pPr>
      <w:rPr>
        <w:rFonts w:ascii="Courier New" w:hAnsi="Courier New" w:cs="Courier New" w:hint="default"/>
      </w:rPr>
    </w:lvl>
    <w:lvl w:ilvl="5" w:tplc="0C090005" w:tentative="1">
      <w:start w:val="1"/>
      <w:numFmt w:val="bullet"/>
      <w:lvlText w:val=""/>
      <w:lvlJc w:val="left"/>
      <w:pPr>
        <w:ind w:left="6015" w:hanging="360"/>
      </w:pPr>
      <w:rPr>
        <w:rFonts w:ascii="Wingdings" w:hAnsi="Wingdings" w:hint="default"/>
      </w:rPr>
    </w:lvl>
    <w:lvl w:ilvl="6" w:tplc="0C090001" w:tentative="1">
      <w:start w:val="1"/>
      <w:numFmt w:val="bullet"/>
      <w:lvlText w:val=""/>
      <w:lvlJc w:val="left"/>
      <w:pPr>
        <w:ind w:left="6735" w:hanging="360"/>
      </w:pPr>
      <w:rPr>
        <w:rFonts w:ascii="Symbol" w:hAnsi="Symbol" w:hint="default"/>
      </w:rPr>
    </w:lvl>
    <w:lvl w:ilvl="7" w:tplc="0C090003" w:tentative="1">
      <w:start w:val="1"/>
      <w:numFmt w:val="bullet"/>
      <w:lvlText w:val="o"/>
      <w:lvlJc w:val="left"/>
      <w:pPr>
        <w:ind w:left="7455" w:hanging="360"/>
      </w:pPr>
      <w:rPr>
        <w:rFonts w:ascii="Courier New" w:hAnsi="Courier New" w:cs="Courier New" w:hint="default"/>
      </w:rPr>
    </w:lvl>
    <w:lvl w:ilvl="8" w:tplc="0C090005" w:tentative="1">
      <w:start w:val="1"/>
      <w:numFmt w:val="bullet"/>
      <w:lvlText w:val=""/>
      <w:lvlJc w:val="left"/>
      <w:pPr>
        <w:ind w:left="8175" w:hanging="360"/>
      </w:pPr>
      <w:rPr>
        <w:rFonts w:ascii="Wingdings" w:hAnsi="Wingdings" w:hint="default"/>
      </w:rPr>
    </w:lvl>
  </w:abstractNum>
  <w:abstractNum w:abstractNumId="24">
    <w:nsid w:val="0BE87CBE"/>
    <w:multiLevelType w:val="hybridMultilevel"/>
    <w:tmpl w:val="00F638CE"/>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25">
    <w:nsid w:val="10E12D48"/>
    <w:multiLevelType w:val="hybridMultilevel"/>
    <w:tmpl w:val="F9283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34043DE"/>
    <w:multiLevelType w:val="hybridMultilevel"/>
    <w:tmpl w:val="D624D2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18133F5E"/>
    <w:multiLevelType w:val="hybridMultilevel"/>
    <w:tmpl w:val="AE464D0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8">
    <w:nsid w:val="18287A5E"/>
    <w:multiLevelType w:val="hybridMultilevel"/>
    <w:tmpl w:val="9F7612E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nsid w:val="1A8A5909"/>
    <w:multiLevelType w:val="hybridMultilevel"/>
    <w:tmpl w:val="DF347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BCF7A51"/>
    <w:multiLevelType w:val="hybridMultilevel"/>
    <w:tmpl w:val="18A61E04"/>
    <w:lvl w:ilvl="0" w:tplc="0C090001">
      <w:start w:val="1"/>
      <w:numFmt w:val="bullet"/>
      <w:lvlText w:val=""/>
      <w:lvlJc w:val="left"/>
      <w:pPr>
        <w:ind w:left="2214" w:hanging="360"/>
      </w:pPr>
      <w:rPr>
        <w:rFonts w:ascii="Symbol" w:hAnsi="Symbol"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31">
    <w:nsid w:val="1C5771DA"/>
    <w:multiLevelType w:val="hybridMultilevel"/>
    <w:tmpl w:val="E6F0188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nsid w:val="1DAC7514"/>
    <w:multiLevelType w:val="multilevel"/>
    <w:tmpl w:val="6D221CF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nsid w:val="1F890E38"/>
    <w:multiLevelType w:val="hybridMultilevel"/>
    <w:tmpl w:val="7D78C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204D6968"/>
    <w:multiLevelType w:val="hybridMultilevel"/>
    <w:tmpl w:val="322E5B2C"/>
    <w:lvl w:ilvl="0" w:tplc="DF7E96F2">
      <w:start w:val="2"/>
      <w:numFmt w:val="decimal"/>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1A3228D"/>
    <w:multiLevelType w:val="hybridMultilevel"/>
    <w:tmpl w:val="F1CE297C"/>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36">
    <w:nsid w:val="22166B11"/>
    <w:multiLevelType w:val="hybridMultilevel"/>
    <w:tmpl w:val="89701FF8"/>
    <w:lvl w:ilvl="0" w:tplc="C414DD46">
      <w:start w:val="1"/>
      <w:numFmt w:val="decimal"/>
      <w:lvlText w:val="%1."/>
      <w:lvlJc w:val="left"/>
      <w:pPr>
        <w:ind w:left="720" w:hanging="360"/>
      </w:pPr>
      <w:rPr>
        <w:rFonts w:asciiTheme="minorHAnsi" w:hAnsiTheme="minorHAns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229C792D"/>
    <w:multiLevelType w:val="hybridMultilevel"/>
    <w:tmpl w:val="2B249292"/>
    <w:lvl w:ilvl="0" w:tplc="0C090001">
      <w:start w:val="1"/>
      <w:numFmt w:val="bullet"/>
      <w:lvlText w:val=""/>
      <w:lvlJc w:val="left"/>
      <w:pPr>
        <w:ind w:left="2103" w:hanging="360"/>
      </w:pPr>
      <w:rPr>
        <w:rFonts w:ascii="Symbol" w:hAnsi="Symbol" w:hint="default"/>
      </w:rPr>
    </w:lvl>
    <w:lvl w:ilvl="1" w:tplc="0C090003" w:tentative="1">
      <w:start w:val="1"/>
      <w:numFmt w:val="bullet"/>
      <w:lvlText w:val="o"/>
      <w:lvlJc w:val="left"/>
      <w:pPr>
        <w:ind w:left="2823" w:hanging="360"/>
      </w:pPr>
      <w:rPr>
        <w:rFonts w:ascii="Courier New" w:hAnsi="Courier New" w:cs="Courier New" w:hint="default"/>
      </w:rPr>
    </w:lvl>
    <w:lvl w:ilvl="2" w:tplc="0C090005" w:tentative="1">
      <w:start w:val="1"/>
      <w:numFmt w:val="bullet"/>
      <w:lvlText w:val=""/>
      <w:lvlJc w:val="left"/>
      <w:pPr>
        <w:ind w:left="3543" w:hanging="360"/>
      </w:pPr>
      <w:rPr>
        <w:rFonts w:ascii="Wingdings" w:hAnsi="Wingdings" w:hint="default"/>
      </w:rPr>
    </w:lvl>
    <w:lvl w:ilvl="3" w:tplc="0C090001" w:tentative="1">
      <w:start w:val="1"/>
      <w:numFmt w:val="bullet"/>
      <w:lvlText w:val=""/>
      <w:lvlJc w:val="left"/>
      <w:pPr>
        <w:ind w:left="4263" w:hanging="360"/>
      </w:pPr>
      <w:rPr>
        <w:rFonts w:ascii="Symbol" w:hAnsi="Symbol" w:hint="default"/>
      </w:rPr>
    </w:lvl>
    <w:lvl w:ilvl="4" w:tplc="0C090003" w:tentative="1">
      <w:start w:val="1"/>
      <w:numFmt w:val="bullet"/>
      <w:lvlText w:val="o"/>
      <w:lvlJc w:val="left"/>
      <w:pPr>
        <w:ind w:left="4983" w:hanging="360"/>
      </w:pPr>
      <w:rPr>
        <w:rFonts w:ascii="Courier New" w:hAnsi="Courier New" w:cs="Courier New" w:hint="default"/>
      </w:rPr>
    </w:lvl>
    <w:lvl w:ilvl="5" w:tplc="0C090005" w:tentative="1">
      <w:start w:val="1"/>
      <w:numFmt w:val="bullet"/>
      <w:lvlText w:val=""/>
      <w:lvlJc w:val="left"/>
      <w:pPr>
        <w:ind w:left="5703" w:hanging="360"/>
      </w:pPr>
      <w:rPr>
        <w:rFonts w:ascii="Wingdings" w:hAnsi="Wingdings" w:hint="default"/>
      </w:rPr>
    </w:lvl>
    <w:lvl w:ilvl="6" w:tplc="0C090001" w:tentative="1">
      <w:start w:val="1"/>
      <w:numFmt w:val="bullet"/>
      <w:lvlText w:val=""/>
      <w:lvlJc w:val="left"/>
      <w:pPr>
        <w:ind w:left="6423" w:hanging="360"/>
      </w:pPr>
      <w:rPr>
        <w:rFonts w:ascii="Symbol" w:hAnsi="Symbol" w:hint="default"/>
      </w:rPr>
    </w:lvl>
    <w:lvl w:ilvl="7" w:tplc="0C090003" w:tentative="1">
      <w:start w:val="1"/>
      <w:numFmt w:val="bullet"/>
      <w:lvlText w:val="o"/>
      <w:lvlJc w:val="left"/>
      <w:pPr>
        <w:ind w:left="7143" w:hanging="360"/>
      </w:pPr>
      <w:rPr>
        <w:rFonts w:ascii="Courier New" w:hAnsi="Courier New" w:cs="Courier New" w:hint="default"/>
      </w:rPr>
    </w:lvl>
    <w:lvl w:ilvl="8" w:tplc="0C090005" w:tentative="1">
      <w:start w:val="1"/>
      <w:numFmt w:val="bullet"/>
      <w:lvlText w:val=""/>
      <w:lvlJc w:val="left"/>
      <w:pPr>
        <w:ind w:left="7863" w:hanging="360"/>
      </w:pPr>
      <w:rPr>
        <w:rFonts w:ascii="Wingdings" w:hAnsi="Wingdings" w:hint="default"/>
      </w:rPr>
    </w:lvl>
  </w:abstractNum>
  <w:abstractNum w:abstractNumId="38">
    <w:nsid w:val="248BECFE"/>
    <w:multiLevelType w:val="hybridMultilevel"/>
    <w:tmpl w:val="2377B3E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55F748B"/>
    <w:multiLevelType w:val="hybridMultilevel"/>
    <w:tmpl w:val="3288FE32"/>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40">
    <w:nsid w:val="25962A58"/>
    <w:multiLevelType w:val="hybridMultilevel"/>
    <w:tmpl w:val="790ACF74"/>
    <w:lvl w:ilvl="0" w:tplc="0C090017">
      <w:start w:val="1"/>
      <w:numFmt w:val="lowerLetter"/>
      <w:lvlText w:val="%1)"/>
      <w:lvlJc w:val="left"/>
      <w:pPr>
        <w:ind w:left="1778" w:hanging="360"/>
      </w:p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1">
    <w:nsid w:val="26FDDF79"/>
    <w:multiLevelType w:val="hybridMultilevel"/>
    <w:tmpl w:val="FC8AD64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27E00179"/>
    <w:multiLevelType w:val="hybridMultilevel"/>
    <w:tmpl w:val="66EE4CB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3">
    <w:nsid w:val="27E125AD"/>
    <w:multiLevelType w:val="hybridMultilevel"/>
    <w:tmpl w:val="95B81F10"/>
    <w:lvl w:ilvl="0" w:tplc="0C090003">
      <w:start w:val="1"/>
      <w:numFmt w:val="bullet"/>
      <w:lvlText w:val="o"/>
      <w:lvlJc w:val="left"/>
      <w:pPr>
        <w:ind w:left="2337" w:hanging="360"/>
      </w:pPr>
      <w:rPr>
        <w:rFonts w:ascii="Courier New" w:hAnsi="Courier New" w:cs="Courier New" w:hint="default"/>
      </w:rPr>
    </w:lvl>
    <w:lvl w:ilvl="1" w:tplc="0C090003" w:tentative="1">
      <w:start w:val="1"/>
      <w:numFmt w:val="bullet"/>
      <w:lvlText w:val="o"/>
      <w:lvlJc w:val="left"/>
      <w:pPr>
        <w:ind w:left="3057" w:hanging="360"/>
      </w:pPr>
      <w:rPr>
        <w:rFonts w:ascii="Courier New" w:hAnsi="Courier New" w:cs="Courier New" w:hint="default"/>
      </w:rPr>
    </w:lvl>
    <w:lvl w:ilvl="2" w:tplc="0C090005" w:tentative="1">
      <w:start w:val="1"/>
      <w:numFmt w:val="bullet"/>
      <w:lvlText w:val=""/>
      <w:lvlJc w:val="left"/>
      <w:pPr>
        <w:ind w:left="3777" w:hanging="360"/>
      </w:pPr>
      <w:rPr>
        <w:rFonts w:ascii="Wingdings" w:hAnsi="Wingdings" w:hint="default"/>
      </w:rPr>
    </w:lvl>
    <w:lvl w:ilvl="3" w:tplc="0C090001" w:tentative="1">
      <w:start w:val="1"/>
      <w:numFmt w:val="bullet"/>
      <w:lvlText w:val=""/>
      <w:lvlJc w:val="left"/>
      <w:pPr>
        <w:ind w:left="4497" w:hanging="360"/>
      </w:pPr>
      <w:rPr>
        <w:rFonts w:ascii="Symbol" w:hAnsi="Symbol" w:hint="default"/>
      </w:rPr>
    </w:lvl>
    <w:lvl w:ilvl="4" w:tplc="0C090003" w:tentative="1">
      <w:start w:val="1"/>
      <w:numFmt w:val="bullet"/>
      <w:lvlText w:val="o"/>
      <w:lvlJc w:val="left"/>
      <w:pPr>
        <w:ind w:left="5217" w:hanging="360"/>
      </w:pPr>
      <w:rPr>
        <w:rFonts w:ascii="Courier New" w:hAnsi="Courier New" w:cs="Courier New" w:hint="default"/>
      </w:rPr>
    </w:lvl>
    <w:lvl w:ilvl="5" w:tplc="0C090005" w:tentative="1">
      <w:start w:val="1"/>
      <w:numFmt w:val="bullet"/>
      <w:lvlText w:val=""/>
      <w:lvlJc w:val="left"/>
      <w:pPr>
        <w:ind w:left="5937" w:hanging="360"/>
      </w:pPr>
      <w:rPr>
        <w:rFonts w:ascii="Wingdings" w:hAnsi="Wingdings" w:hint="default"/>
      </w:rPr>
    </w:lvl>
    <w:lvl w:ilvl="6" w:tplc="0C090001" w:tentative="1">
      <w:start w:val="1"/>
      <w:numFmt w:val="bullet"/>
      <w:lvlText w:val=""/>
      <w:lvlJc w:val="left"/>
      <w:pPr>
        <w:ind w:left="6657" w:hanging="360"/>
      </w:pPr>
      <w:rPr>
        <w:rFonts w:ascii="Symbol" w:hAnsi="Symbol" w:hint="default"/>
      </w:rPr>
    </w:lvl>
    <w:lvl w:ilvl="7" w:tplc="0C090003" w:tentative="1">
      <w:start w:val="1"/>
      <w:numFmt w:val="bullet"/>
      <w:lvlText w:val="o"/>
      <w:lvlJc w:val="left"/>
      <w:pPr>
        <w:ind w:left="7377" w:hanging="360"/>
      </w:pPr>
      <w:rPr>
        <w:rFonts w:ascii="Courier New" w:hAnsi="Courier New" w:cs="Courier New" w:hint="default"/>
      </w:rPr>
    </w:lvl>
    <w:lvl w:ilvl="8" w:tplc="0C090005" w:tentative="1">
      <w:start w:val="1"/>
      <w:numFmt w:val="bullet"/>
      <w:lvlText w:val=""/>
      <w:lvlJc w:val="left"/>
      <w:pPr>
        <w:ind w:left="8097" w:hanging="360"/>
      </w:pPr>
      <w:rPr>
        <w:rFonts w:ascii="Wingdings" w:hAnsi="Wingdings" w:hint="default"/>
      </w:rPr>
    </w:lvl>
  </w:abstractNum>
  <w:abstractNum w:abstractNumId="44">
    <w:nsid w:val="2832533D"/>
    <w:multiLevelType w:val="hybridMultilevel"/>
    <w:tmpl w:val="60F0605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5">
    <w:nsid w:val="2880658F"/>
    <w:multiLevelType w:val="hybridMultilevel"/>
    <w:tmpl w:val="8368AA50"/>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46">
    <w:nsid w:val="28B43720"/>
    <w:multiLevelType w:val="hybridMultilevel"/>
    <w:tmpl w:val="C4F6B99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7">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2B1E5B5B"/>
    <w:multiLevelType w:val="hybridMultilevel"/>
    <w:tmpl w:val="7A1E3C5C"/>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49">
    <w:nsid w:val="2CFC7EF1"/>
    <w:multiLevelType w:val="hybridMultilevel"/>
    <w:tmpl w:val="F3B88774"/>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50">
    <w:nsid w:val="2DDB02D8"/>
    <w:multiLevelType w:val="hybridMultilevel"/>
    <w:tmpl w:val="BEBE34AC"/>
    <w:lvl w:ilvl="0" w:tplc="FFFFFFFF">
      <w:start w:val="1"/>
      <w:numFmt w:val="decimal"/>
      <w:lvlText w:val="%1."/>
      <w:lvlJc w:val="left"/>
    </w:lvl>
    <w:lvl w:ilvl="1" w:tplc="0C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nsid w:val="322036D4"/>
    <w:multiLevelType w:val="hybridMultilevel"/>
    <w:tmpl w:val="7A464EC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33050C39"/>
    <w:multiLevelType w:val="hybridMultilevel"/>
    <w:tmpl w:val="573610F4"/>
    <w:lvl w:ilvl="0" w:tplc="0C090001">
      <w:start w:val="1"/>
      <w:numFmt w:val="bullet"/>
      <w:lvlText w:val=""/>
      <w:lvlJc w:val="left"/>
      <w:pPr>
        <w:ind w:left="2146" w:hanging="360"/>
      </w:pPr>
      <w:rPr>
        <w:rFonts w:ascii="Symbol" w:hAnsi="Symbol" w:hint="default"/>
      </w:rPr>
    </w:lvl>
    <w:lvl w:ilvl="1" w:tplc="0C090003" w:tentative="1">
      <w:start w:val="1"/>
      <w:numFmt w:val="bullet"/>
      <w:lvlText w:val="o"/>
      <w:lvlJc w:val="left"/>
      <w:pPr>
        <w:ind w:left="2866" w:hanging="360"/>
      </w:pPr>
      <w:rPr>
        <w:rFonts w:ascii="Courier New" w:hAnsi="Courier New" w:cs="Courier New" w:hint="default"/>
      </w:rPr>
    </w:lvl>
    <w:lvl w:ilvl="2" w:tplc="0C090005" w:tentative="1">
      <w:start w:val="1"/>
      <w:numFmt w:val="bullet"/>
      <w:lvlText w:val=""/>
      <w:lvlJc w:val="left"/>
      <w:pPr>
        <w:ind w:left="3586" w:hanging="360"/>
      </w:pPr>
      <w:rPr>
        <w:rFonts w:ascii="Wingdings" w:hAnsi="Wingdings" w:hint="default"/>
      </w:rPr>
    </w:lvl>
    <w:lvl w:ilvl="3" w:tplc="0C090001" w:tentative="1">
      <w:start w:val="1"/>
      <w:numFmt w:val="bullet"/>
      <w:lvlText w:val=""/>
      <w:lvlJc w:val="left"/>
      <w:pPr>
        <w:ind w:left="4306" w:hanging="360"/>
      </w:pPr>
      <w:rPr>
        <w:rFonts w:ascii="Symbol" w:hAnsi="Symbol" w:hint="default"/>
      </w:rPr>
    </w:lvl>
    <w:lvl w:ilvl="4" w:tplc="0C090003" w:tentative="1">
      <w:start w:val="1"/>
      <w:numFmt w:val="bullet"/>
      <w:lvlText w:val="o"/>
      <w:lvlJc w:val="left"/>
      <w:pPr>
        <w:ind w:left="5026" w:hanging="360"/>
      </w:pPr>
      <w:rPr>
        <w:rFonts w:ascii="Courier New" w:hAnsi="Courier New" w:cs="Courier New" w:hint="default"/>
      </w:rPr>
    </w:lvl>
    <w:lvl w:ilvl="5" w:tplc="0C090005" w:tentative="1">
      <w:start w:val="1"/>
      <w:numFmt w:val="bullet"/>
      <w:lvlText w:val=""/>
      <w:lvlJc w:val="left"/>
      <w:pPr>
        <w:ind w:left="5746" w:hanging="360"/>
      </w:pPr>
      <w:rPr>
        <w:rFonts w:ascii="Wingdings" w:hAnsi="Wingdings" w:hint="default"/>
      </w:rPr>
    </w:lvl>
    <w:lvl w:ilvl="6" w:tplc="0C090001" w:tentative="1">
      <w:start w:val="1"/>
      <w:numFmt w:val="bullet"/>
      <w:lvlText w:val=""/>
      <w:lvlJc w:val="left"/>
      <w:pPr>
        <w:ind w:left="6466" w:hanging="360"/>
      </w:pPr>
      <w:rPr>
        <w:rFonts w:ascii="Symbol" w:hAnsi="Symbol" w:hint="default"/>
      </w:rPr>
    </w:lvl>
    <w:lvl w:ilvl="7" w:tplc="0C090003" w:tentative="1">
      <w:start w:val="1"/>
      <w:numFmt w:val="bullet"/>
      <w:lvlText w:val="o"/>
      <w:lvlJc w:val="left"/>
      <w:pPr>
        <w:ind w:left="7186" w:hanging="360"/>
      </w:pPr>
      <w:rPr>
        <w:rFonts w:ascii="Courier New" w:hAnsi="Courier New" w:cs="Courier New" w:hint="default"/>
      </w:rPr>
    </w:lvl>
    <w:lvl w:ilvl="8" w:tplc="0C090005" w:tentative="1">
      <w:start w:val="1"/>
      <w:numFmt w:val="bullet"/>
      <w:lvlText w:val=""/>
      <w:lvlJc w:val="left"/>
      <w:pPr>
        <w:ind w:left="7906" w:hanging="360"/>
      </w:pPr>
      <w:rPr>
        <w:rFonts w:ascii="Wingdings" w:hAnsi="Wingdings" w:hint="default"/>
      </w:rPr>
    </w:lvl>
  </w:abstractNum>
  <w:abstractNum w:abstractNumId="54">
    <w:nsid w:val="332A04C4"/>
    <w:multiLevelType w:val="hybridMultilevel"/>
    <w:tmpl w:val="5B5C7082"/>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55">
    <w:nsid w:val="3390477B"/>
    <w:multiLevelType w:val="multilevel"/>
    <w:tmpl w:val="1EA4F5E8"/>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35275964"/>
    <w:multiLevelType w:val="hybridMultilevel"/>
    <w:tmpl w:val="27EE45E4"/>
    <w:lvl w:ilvl="0" w:tplc="C12A0DFA">
      <w:start w:val="12"/>
      <w:numFmt w:val="decimal"/>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35C33EEC"/>
    <w:multiLevelType w:val="hybridMultilevel"/>
    <w:tmpl w:val="4B3238D8"/>
    <w:lvl w:ilvl="0" w:tplc="0C090017">
      <w:start w:val="1"/>
      <w:numFmt w:val="lowerLetter"/>
      <w:lvlText w:val="%1)"/>
      <w:lvlJc w:val="left"/>
      <w:pPr>
        <w:ind w:left="1778" w:hanging="360"/>
      </w:p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8">
    <w:nsid w:val="371C5F0B"/>
    <w:multiLevelType w:val="hybridMultilevel"/>
    <w:tmpl w:val="F97002DC"/>
    <w:lvl w:ilvl="0" w:tplc="77A802C8">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59">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77834FE"/>
    <w:multiLevelType w:val="hybridMultilevel"/>
    <w:tmpl w:val="A25C363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1">
    <w:nsid w:val="38374340"/>
    <w:multiLevelType w:val="hybridMultilevel"/>
    <w:tmpl w:val="6DE677E6"/>
    <w:lvl w:ilvl="0" w:tplc="0C090017">
      <w:start w:val="1"/>
      <w:numFmt w:val="lowerLetter"/>
      <w:lvlText w:val="%1)"/>
      <w:lvlJc w:val="left"/>
      <w:pPr>
        <w:ind w:left="1778" w:hanging="360"/>
      </w:p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62">
    <w:nsid w:val="38C35CC8"/>
    <w:multiLevelType w:val="hybridMultilevel"/>
    <w:tmpl w:val="D054BF06"/>
    <w:lvl w:ilvl="0" w:tplc="0C090003">
      <w:start w:val="1"/>
      <w:numFmt w:val="bullet"/>
      <w:lvlText w:val="o"/>
      <w:lvlJc w:val="left"/>
      <w:pPr>
        <w:ind w:left="2405" w:hanging="360"/>
      </w:pPr>
      <w:rPr>
        <w:rFonts w:ascii="Courier New" w:hAnsi="Courier New" w:cs="Courier New" w:hint="default"/>
      </w:rPr>
    </w:lvl>
    <w:lvl w:ilvl="1" w:tplc="0C090003" w:tentative="1">
      <w:start w:val="1"/>
      <w:numFmt w:val="bullet"/>
      <w:lvlText w:val="o"/>
      <w:lvlJc w:val="left"/>
      <w:pPr>
        <w:ind w:left="3125" w:hanging="360"/>
      </w:pPr>
      <w:rPr>
        <w:rFonts w:ascii="Courier New" w:hAnsi="Courier New" w:cs="Courier New" w:hint="default"/>
      </w:rPr>
    </w:lvl>
    <w:lvl w:ilvl="2" w:tplc="0C090005" w:tentative="1">
      <w:start w:val="1"/>
      <w:numFmt w:val="bullet"/>
      <w:lvlText w:val=""/>
      <w:lvlJc w:val="left"/>
      <w:pPr>
        <w:ind w:left="3845" w:hanging="360"/>
      </w:pPr>
      <w:rPr>
        <w:rFonts w:ascii="Wingdings" w:hAnsi="Wingdings" w:hint="default"/>
      </w:rPr>
    </w:lvl>
    <w:lvl w:ilvl="3" w:tplc="0C090001" w:tentative="1">
      <w:start w:val="1"/>
      <w:numFmt w:val="bullet"/>
      <w:lvlText w:val=""/>
      <w:lvlJc w:val="left"/>
      <w:pPr>
        <w:ind w:left="4565" w:hanging="360"/>
      </w:pPr>
      <w:rPr>
        <w:rFonts w:ascii="Symbol" w:hAnsi="Symbol" w:hint="default"/>
      </w:rPr>
    </w:lvl>
    <w:lvl w:ilvl="4" w:tplc="0C090003" w:tentative="1">
      <w:start w:val="1"/>
      <w:numFmt w:val="bullet"/>
      <w:lvlText w:val="o"/>
      <w:lvlJc w:val="left"/>
      <w:pPr>
        <w:ind w:left="5285" w:hanging="360"/>
      </w:pPr>
      <w:rPr>
        <w:rFonts w:ascii="Courier New" w:hAnsi="Courier New" w:cs="Courier New" w:hint="default"/>
      </w:rPr>
    </w:lvl>
    <w:lvl w:ilvl="5" w:tplc="0C090005" w:tentative="1">
      <w:start w:val="1"/>
      <w:numFmt w:val="bullet"/>
      <w:lvlText w:val=""/>
      <w:lvlJc w:val="left"/>
      <w:pPr>
        <w:ind w:left="6005" w:hanging="360"/>
      </w:pPr>
      <w:rPr>
        <w:rFonts w:ascii="Wingdings" w:hAnsi="Wingdings" w:hint="default"/>
      </w:rPr>
    </w:lvl>
    <w:lvl w:ilvl="6" w:tplc="0C090001" w:tentative="1">
      <w:start w:val="1"/>
      <w:numFmt w:val="bullet"/>
      <w:lvlText w:val=""/>
      <w:lvlJc w:val="left"/>
      <w:pPr>
        <w:ind w:left="6725" w:hanging="360"/>
      </w:pPr>
      <w:rPr>
        <w:rFonts w:ascii="Symbol" w:hAnsi="Symbol" w:hint="default"/>
      </w:rPr>
    </w:lvl>
    <w:lvl w:ilvl="7" w:tplc="0C090003" w:tentative="1">
      <w:start w:val="1"/>
      <w:numFmt w:val="bullet"/>
      <w:lvlText w:val="o"/>
      <w:lvlJc w:val="left"/>
      <w:pPr>
        <w:ind w:left="7445" w:hanging="360"/>
      </w:pPr>
      <w:rPr>
        <w:rFonts w:ascii="Courier New" w:hAnsi="Courier New" w:cs="Courier New" w:hint="default"/>
      </w:rPr>
    </w:lvl>
    <w:lvl w:ilvl="8" w:tplc="0C090005" w:tentative="1">
      <w:start w:val="1"/>
      <w:numFmt w:val="bullet"/>
      <w:lvlText w:val=""/>
      <w:lvlJc w:val="left"/>
      <w:pPr>
        <w:ind w:left="8165" w:hanging="360"/>
      </w:pPr>
      <w:rPr>
        <w:rFonts w:ascii="Wingdings" w:hAnsi="Wingdings" w:hint="default"/>
      </w:rPr>
    </w:lvl>
  </w:abstractNum>
  <w:abstractNum w:abstractNumId="63">
    <w:nsid w:val="3C123102"/>
    <w:multiLevelType w:val="hybridMultilevel"/>
    <w:tmpl w:val="5C64E598"/>
    <w:lvl w:ilvl="0" w:tplc="0C090017">
      <w:start w:val="1"/>
      <w:numFmt w:val="lowerLetter"/>
      <w:lvlText w:val="%1)"/>
      <w:lvlJc w:val="left"/>
      <w:pPr>
        <w:ind w:left="1778" w:hanging="360"/>
      </w:p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64">
    <w:nsid w:val="3C4A1BB0"/>
    <w:multiLevelType w:val="hybridMultilevel"/>
    <w:tmpl w:val="4EA2ED9E"/>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65">
    <w:nsid w:val="400E1F96"/>
    <w:multiLevelType w:val="hybridMultilevel"/>
    <w:tmpl w:val="4BEAC17E"/>
    <w:lvl w:ilvl="0" w:tplc="3C04CBDC">
      <w:start w:val="1"/>
      <w:numFmt w:val="decimal"/>
      <w:lvlText w:val="%1."/>
      <w:lvlJc w:val="left"/>
      <w:pPr>
        <w:ind w:left="1080" w:hanging="360"/>
      </w:pPr>
      <w:rPr>
        <w:rFonts w:ascii="Arial" w:hAnsi="Arial" w:cs="Arial" w:hint="default"/>
        <w:b/>
        <w:color w:val="221E1F"/>
        <w:sz w:val="36"/>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nsid w:val="40A12990"/>
    <w:multiLevelType w:val="hybridMultilevel"/>
    <w:tmpl w:val="751AF9F8"/>
    <w:lvl w:ilvl="0" w:tplc="0C090017">
      <w:start w:val="1"/>
      <w:numFmt w:val="lowerLetter"/>
      <w:lvlText w:val="%1)"/>
      <w:lvlJc w:val="left"/>
      <w:pPr>
        <w:ind w:left="2103" w:hanging="360"/>
      </w:pPr>
    </w:lvl>
    <w:lvl w:ilvl="1" w:tplc="0C090019" w:tentative="1">
      <w:start w:val="1"/>
      <w:numFmt w:val="lowerLetter"/>
      <w:lvlText w:val="%2."/>
      <w:lvlJc w:val="left"/>
      <w:pPr>
        <w:ind w:left="2823" w:hanging="360"/>
      </w:pPr>
    </w:lvl>
    <w:lvl w:ilvl="2" w:tplc="0C09001B" w:tentative="1">
      <w:start w:val="1"/>
      <w:numFmt w:val="lowerRoman"/>
      <w:lvlText w:val="%3."/>
      <w:lvlJc w:val="right"/>
      <w:pPr>
        <w:ind w:left="3543" w:hanging="180"/>
      </w:pPr>
    </w:lvl>
    <w:lvl w:ilvl="3" w:tplc="0C09000F" w:tentative="1">
      <w:start w:val="1"/>
      <w:numFmt w:val="decimal"/>
      <w:lvlText w:val="%4."/>
      <w:lvlJc w:val="left"/>
      <w:pPr>
        <w:ind w:left="4263" w:hanging="360"/>
      </w:pPr>
    </w:lvl>
    <w:lvl w:ilvl="4" w:tplc="0C090019" w:tentative="1">
      <w:start w:val="1"/>
      <w:numFmt w:val="lowerLetter"/>
      <w:lvlText w:val="%5."/>
      <w:lvlJc w:val="left"/>
      <w:pPr>
        <w:ind w:left="4983" w:hanging="360"/>
      </w:pPr>
    </w:lvl>
    <w:lvl w:ilvl="5" w:tplc="0C09001B" w:tentative="1">
      <w:start w:val="1"/>
      <w:numFmt w:val="lowerRoman"/>
      <w:lvlText w:val="%6."/>
      <w:lvlJc w:val="right"/>
      <w:pPr>
        <w:ind w:left="5703" w:hanging="180"/>
      </w:pPr>
    </w:lvl>
    <w:lvl w:ilvl="6" w:tplc="0C09000F" w:tentative="1">
      <w:start w:val="1"/>
      <w:numFmt w:val="decimal"/>
      <w:lvlText w:val="%7."/>
      <w:lvlJc w:val="left"/>
      <w:pPr>
        <w:ind w:left="6423" w:hanging="360"/>
      </w:pPr>
    </w:lvl>
    <w:lvl w:ilvl="7" w:tplc="0C090019" w:tentative="1">
      <w:start w:val="1"/>
      <w:numFmt w:val="lowerLetter"/>
      <w:lvlText w:val="%8."/>
      <w:lvlJc w:val="left"/>
      <w:pPr>
        <w:ind w:left="7143" w:hanging="360"/>
      </w:pPr>
    </w:lvl>
    <w:lvl w:ilvl="8" w:tplc="0C09001B" w:tentative="1">
      <w:start w:val="1"/>
      <w:numFmt w:val="lowerRoman"/>
      <w:lvlText w:val="%9."/>
      <w:lvlJc w:val="right"/>
      <w:pPr>
        <w:ind w:left="7863" w:hanging="180"/>
      </w:pPr>
    </w:lvl>
  </w:abstractNum>
  <w:abstractNum w:abstractNumId="67">
    <w:nsid w:val="41650A38"/>
    <w:multiLevelType w:val="hybridMultilevel"/>
    <w:tmpl w:val="F4924158"/>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68">
    <w:nsid w:val="41F22222"/>
    <w:multiLevelType w:val="hybridMultilevel"/>
    <w:tmpl w:val="8D2EA9A4"/>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69">
    <w:nsid w:val="42230D5B"/>
    <w:multiLevelType w:val="hybridMultilevel"/>
    <w:tmpl w:val="129C5FB2"/>
    <w:lvl w:ilvl="0" w:tplc="BE405626">
      <w:start w:val="3"/>
      <w:numFmt w:val="decimal"/>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42266C02"/>
    <w:multiLevelType w:val="multilevel"/>
    <w:tmpl w:val="A9D6F686"/>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42B61477"/>
    <w:multiLevelType w:val="hybridMultilevel"/>
    <w:tmpl w:val="4058B9C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2">
    <w:nsid w:val="435C56BB"/>
    <w:multiLevelType w:val="hybridMultilevel"/>
    <w:tmpl w:val="29006E52"/>
    <w:lvl w:ilvl="0" w:tplc="0C090001">
      <w:start w:val="1"/>
      <w:numFmt w:val="bullet"/>
      <w:lvlText w:val=""/>
      <w:lvlJc w:val="left"/>
      <w:pPr>
        <w:ind w:left="2103" w:hanging="360"/>
      </w:pPr>
      <w:rPr>
        <w:rFonts w:ascii="Symbol" w:hAnsi="Symbol" w:hint="default"/>
      </w:rPr>
    </w:lvl>
    <w:lvl w:ilvl="1" w:tplc="0C090003" w:tentative="1">
      <w:start w:val="1"/>
      <w:numFmt w:val="bullet"/>
      <w:lvlText w:val="o"/>
      <w:lvlJc w:val="left"/>
      <w:pPr>
        <w:ind w:left="2823" w:hanging="360"/>
      </w:pPr>
      <w:rPr>
        <w:rFonts w:ascii="Courier New" w:hAnsi="Courier New" w:cs="Courier New" w:hint="default"/>
      </w:rPr>
    </w:lvl>
    <w:lvl w:ilvl="2" w:tplc="0C090005" w:tentative="1">
      <w:start w:val="1"/>
      <w:numFmt w:val="bullet"/>
      <w:lvlText w:val=""/>
      <w:lvlJc w:val="left"/>
      <w:pPr>
        <w:ind w:left="3543" w:hanging="360"/>
      </w:pPr>
      <w:rPr>
        <w:rFonts w:ascii="Wingdings" w:hAnsi="Wingdings" w:hint="default"/>
      </w:rPr>
    </w:lvl>
    <w:lvl w:ilvl="3" w:tplc="0C090001" w:tentative="1">
      <w:start w:val="1"/>
      <w:numFmt w:val="bullet"/>
      <w:lvlText w:val=""/>
      <w:lvlJc w:val="left"/>
      <w:pPr>
        <w:ind w:left="4263" w:hanging="360"/>
      </w:pPr>
      <w:rPr>
        <w:rFonts w:ascii="Symbol" w:hAnsi="Symbol" w:hint="default"/>
      </w:rPr>
    </w:lvl>
    <w:lvl w:ilvl="4" w:tplc="0C090003" w:tentative="1">
      <w:start w:val="1"/>
      <w:numFmt w:val="bullet"/>
      <w:lvlText w:val="o"/>
      <w:lvlJc w:val="left"/>
      <w:pPr>
        <w:ind w:left="4983" w:hanging="360"/>
      </w:pPr>
      <w:rPr>
        <w:rFonts w:ascii="Courier New" w:hAnsi="Courier New" w:cs="Courier New" w:hint="default"/>
      </w:rPr>
    </w:lvl>
    <w:lvl w:ilvl="5" w:tplc="0C090005" w:tentative="1">
      <w:start w:val="1"/>
      <w:numFmt w:val="bullet"/>
      <w:lvlText w:val=""/>
      <w:lvlJc w:val="left"/>
      <w:pPr>
        <w:ind w:left="5703" w:hanging="360"/>
      </w:pPr>
      <w:rPr>
        <w:rFonts w:ascii="Wingdings" w:hAnsi="Wingdings" w:hint="default"/>
      </w:rPr>
    </w:lvl>
    <w:lvl w:ilvl="6" w:tplc="0C090001" w:tentative="1">
      <w:start w:val="1"/>
      <w:numFmt w:val="bullet"/>
      <w:lvlText w:val=""/>
      <w:lvlJc w:val="left"/>
      <w:pPr>
        <w:ind w:left="6423" w:hanging="360"/>
      </w:pPr>
      <w:rPr>
        <w:rFonts w:ascii="Symbol" w:hAnsi="Symbol" w:hint="default"/>
      </w:rPr>
    </w:lvl>
    <w:lvl w:ilvl="7" w:tplc="0C090003" w:tentative="1">
      <w:start w:val="1"/>
      <w:numFmt w:val="bullet"/>
      <w:lvlText w:val="o"/>
      <w:lvlJc w:val="left"/>
      <w:pPr>
        <w:ind w:left="7143" w:hanging="360"/>
      </w:pPr>
      <w:rPr>
        <w:rFonts w:ascii="Courier New" w:hAnsi="Courier New" w:cs="Courier New" w:hint="default"/>
      </w:rPr>
    </w:lvl>
    <w:lvl w:ilvl="8" w:tplc="0C090005" w:tentative="1">
      <w:start w:val="1"/>
      <w:numFmt w:val="bullet"/>
      <w:lvlText w:val=""/>
      <w:lvlJc w:val="left"/>
      <w:pPr>
        <w:ind w:left="7863" w:hanging="360"/>
      </w:pPr>
      <w:rPr>
        <w:rFonts w:ascii="Wingdings" w:hAnsi="Wingdings" w:hint="default"/>
      </w:rPr>
    </w:lvl>
  </w:abstractNum>
  <w:abstractNum w:abstractNumId="73">
    <w:nsid w:val="454C4987"/>
    <w:multiLevelType w:val="hybridMultilevel"/>
    <w:tmpl w:val="89701FF8"/>
    <w:lvl w:ilvl="0" w:tplc="C414DD46">
      <w:start w:val="1"/>
      <w:numFmt w:val="decimal"/>
      <w:lvlText w:val="%1."/>
      <w:lvlJc w:val="left"/>
      <w:pPr>
        <w:ind w:left="720" w:hanging="360"/>
      </w:pPr>
      <w:rPr>
        <w:rFonts w:asciiTheme="minorHAnsi" w:hAnsiTheme="minorHAns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46920DF2"/>
    <w:multiLevelType w:val="hybridMultilevel"/>
    <w:tmpl w:val="A42A7524"/>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75">
    <w:nsid w:val="46D46B39"/>
    <w:multiLevelType w:val="hybridMultilevel"/>
    <w:tmpl w:val="F552D76C"/>
    <w:lvl w:ilvl="0" w:tplc="44002DF4">
      <w:start w:val="4"/>
      <w:numFmt w:val="bullet"/>
      <w:lvlText w:val=""/>
      <w:lvlJc w:val="left"/>
      <w:pPr>
        <w:ind w:left="1743" w:hanging="360"/>
      </w:pPr>
      <w:rPr>
        <w:rFonts w:ascii="Wingdings" w:eastAsia="Calibri" w:hAnsi="Wingdings" w:cs="Arial" w:hint="default"/>
      </w:rPr>
    </w:lvl>
    <w:lvl w:ilvl="1" w:tplc="0C090003" w:tentative="1">
      <w:start w:val="1"/>
      <w:numFmt w:val="bullet"/>
      <w:lvlText w:val="o"/>
      <w:lvlJc w:val="left"/>
      <w:pPr>
        <w:ind w:left="2463" w:hanging="360"/>
      </w:pPr>
      <w:rPr>
        <w:rFonts w:ascii="Courier New" w:hAnsi="Courier New" w:cs="Courier New" w:hint="default"/>
      </w:rPr>
    </w:lvl>
    <w:lvl w:ilvl="2" w:tplc="0C090005" w:tentative="1">
      <w:start w:val="1"/>
      <w:numFmt w:val="bullet"/>
      <w:lvlText w:val=""/>
      <w:lvlJc w:val="left"/>
      <w:pPr>
        <w:ind w:left="3183" w:hanging="360"/>
      </w:pPr>
      <w:rPr>
        <w:rFonts w:ascii="Wingdings" w:hAnsi="Wingdings" w:hint="default"/>
      </w:rPr>
    </w:lvl>
    <w:lvl w:ilvl="3" w:tplc="0C090001" w:tentative="1">
      <w:start w:val="1"/>
      <w:numFmt w:val="bullet"/>
      <w:lvlText w:val=""/>
      <w:lvlJc w:val="left"/>
      <w:pPr>
        <w:ind w:left="3903" w:hanging="360"/>
      </w:pPr>
      <w:rPr>
        <w:rFonts w:ascii="Symbol" w:hAnsi="Symbol" w:hint="default"/>
      </w:rPr>
    </w:lvl>
    <w:lvl w:ilvl="4" w:tplc="0C090003" w:tentative="1">
      <w:start w:val="1"/>
      <w:numFmt w:val="bullet"/>
      <w:lvlText w:val="o"/>
      <w:lvlJc w:val="left"/>
      <w:pPr>
        <w:ind w:left="4623" w:hanging="360"/>
      </w:pPr>
      <w:rPr>
        <w:rFonts w:ascii="Courier New" w:hAnsi="Courier New" w:cs="Courier New" w:hint="default"/>
      </w:rPr>
    </w:lvl>
    <w:lvl w:ilvl="5" w:tplc="0C090005" w:tentative="1">
      <w:start w:val="1"/>
      <w:numFmt w:val="bullet"/>
      <w:lvlText w:val=""/>
      <w:lvlJc w:val="left"/>
      <w:pPr>
        <w:ind w:left="5343" w:hanging="360"/>
      </w:pPr>
      <w:rPr>
        <w:rFonts w:ascii="Wingdings" w:hAnsi="Wingdings" w:hint="default"/>
      </w:rPr>
    </w:lvl>
    <w:lvl w:ilvl="6" w:tplc="0C090001" w:tentative="1">
      <w:start w:val="1"/>
      <w:numFmt w:val="bullet"/>
      <w:lvlText w:val=""/>
      <w:lvlJc w:val="left"/>
      <w:pPr>
        <w:ind w:left="6063" w:hanging="360"/>
      </w:pPr>
      <w:rPr>
        <w:rFonts w:ascii="Symbol" w:hAnsi="Symbol" w:hint="default"/>
      </w:rPr>
    </w:lvl>
    <w:lvl w:ilvl="7" w:tplc="0C090003" w:tentative="1">
      <w:start w:val="1"/>
      <w:numFmt w:val="bullet"/>
      <w:lvlText w:val="o"/>
      <w:lvlJc w:val="left"/>
      <w:pPr>
        <w:ind w:left="6783" w:hanging="360"/>
      </w:pPr>
      <w:rPr>
        <w:rFonts w:ascii="Courier New" w:hAnsi="Courier New" w:cs="Courier New" w:hint="default"/>
      </w:rPr>
    </w:lvl>
    <w:lvl w:ilvl="8" w:tplc="0C090005" w:tentative="1">
      <w:start w:val="1"/>
      <w:numFmt w:val="bullet"/>
      <w:lvlText w:val=""/>
      <w:lvlJc w:val="left"/>
      <w:pPr>
        <w:ind w:left="7503" w:hanging="360"/>
      </w:pPr>
      <w:rPr>
        <w:rFonts w:ascii="Wingdings" w:hAnsi="Wingdings" w:hint="default"/>
      </w:rPr>
    </w:lvl>
  </w:abstractNum>
  <w:abstractNum w:abstractNumId="76">
    <w:nsid w:val="483B35A2"/>
    <w:multiLevelType w:val="hybridMultilevel"/>
    <w:tmpl w:val="1744C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48D43B77"/>
    <w:multiLevelType w:val="hybridMultilevel"/>
    <w:tmpl w:val="2C449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4989435A"/>
    <w:multiLevelType w:val="hybridMultilevel"/>
    <w:tmpl w:val="2EAE237C"/>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79">
    <w:nsid w:val="4A5D11B6"/>
    <w:multiLevelType w:val="hybridMultilevel"/>
    <w:tmpl w:val="1E8C534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0">
    <w:nsid w:val="4B651A10"/>
    <w:multiLevelType w:val="hybridMultilevel"/>
    <w:tmpl w:val="9C68D9A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1">
    <w:nsid w:val="4CC13BF2"/>
    <w:multiLevelType w:val="hybridMultilevel"/>
    <w:tmpl w:val="F0684876"/>
    <w:lvl w:ilvl="0" w:tplc="D856F8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4E22519C"/>
    <w:multiLevelType w:val="hybridMultilevel"/>
    <w:tmpl w:val="FD100D1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500A42F0"/>
    <w:multiLevelType w:val="hybridMultilevel"/>
    <w:tmpl w:val="2668D4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4">
    <w:nsid w:val="509E0AEA"/>
    <w:multiLevelType w:val="hybridMultilevel"/>
    <w:tmpl w:val="2CCCE5EE"/>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85">
    <w:nsid w:val="53070A88"/>
    <w:multiLevelType w:val="hybridMultilevel"/>
    <w:tmpl w:val="3BA0D87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6">
    <w:nsid w:val="54863BDC"/>
    <w:multiLevelType w:val="hybridMultilevel"/>
    <w:tmpl w:val="2FCC069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54A169A3"/>
    <w:multiLevelType w:val="hybridMultilevel"/>
    <w:tmpl w:val="3894EA86"/>
    <w:lvl w:ilvl="0" w:tplc="0C090001">
      <w:start w:val="1"/>
      <w:numFmt w:val="bullet"/>
      <w:lvlText w:val=""/>
      <w:lvlJc w:val="left"/>
      <w:pPr>
        <w:ind w:left="720" w:hanging="360"/>
      </w:pPr>
      <w:rPr>
        <w:rFonts w:ascii="Symbol" w:hAnsi="Symbol" w:hint="default"/>
      </w:rPr>
    </w:lvl>
    <w:lvl w:ilvl="1" w:tplc="B7C46B60">
      <w:numFmt w:val="bullet"/>
      <w:lvlText w:val="•"/>
      <w:lvlJc w:val="left"/>
      <w:pPr>
        <w:ind w:left="1800" w:hanging="720"/>
      </w:pPr>
      <w:rPr>
        <w:rFonts w:ascii="Calibri" w:eastAsia="Dotum"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54D0EABF"/>
    <w:multiLevelType w:val="hybridMultilevel"/>
    <w:tmpl w:val="0070122E"/>
    <w:lvl w:ilvl="0" w:tplc="FFFFFFFF">
      <w:start w:val="1"/>
      <w:numFmt w:val="decimal"/>
      <w:lvlText w:val="%1."/>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55F448B6"/>
    <w:multiLevelType w:val="hybridMultilevel"/>
    <w:tmpl w:val="03B2FB0C"/>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90">
    <w:nsid w:val="56FA6F85"/>
    <w:multiLevelType w:val="hybridMultilevel"/>
    <w:tmpl w:val="E8B88C78"/>
    <w:lvl w:ilvl="0" w:tplc="05C6EA8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1">
    <w:nsid w:val="5A971F9D"/>
    <w:multiLevelType w:val="hybridMultilevel"/>
    <w:tmpl w:val="8F704A60"/>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92">
    <w:nsid w:val="5B5C1FC8"/>
    <w:multiLevelType w:val="hybridMultilevel"/>
    <w:tmpl w:val="E876AEF8"/>
    <w:lvl w:ilvl="0" w:tplc="0C090001">
      <w:start w:val="1"/>
      <w:numFmt w:val="bullet"/>
      <w:lvlText w:val=""/>
      <w:lvlJc w:val="left"/>
      <w:pPr>
        <w:ind w:left="2279" w:hanging="360"/>
      </w:pPr>
      <w:rPr>
        <w:rFonts w:ascii="Symbol" w:hAnsi="Symbol" w:hint="default"/>
      </w:rPr>
    </w:lvl>
    <w:lvl w:ilvl="1" w:tplc="0C090003" w:tentative="1">
      <w:start w:val="1"/>
      <w:numFmt w:val="bullet"/>
      <w:lvlText w:val="o"/>
      <w:lvlJc w:val="left"/>
      <w:pPr>
        <w:ind w:left="2999" w:hanging="360"/>
      </w:pPr>
      <w:rPr>
        <w:rFonts w:ascii="Courier New" w:hAnsi="Courier New" w:cs="Courier New" w:hint="default"/>
      </w:rPr>
    </w:lvl>
    <w:lvl w:ilvl="2" w:tplc="0C090005" w:tentative="1">
      <w:start w:val="1"/>
      <w:numFmt w:val="bullet"/>
      <w:lvlText w:val=""/>
      <w:lvlJc w:val="left"/>
      <w:pPr>
        <w:ind w:left="3719" w:hanging="360"/>
      </w:pPr>
      <w:rPr>
        <w:rFonts w:ascii="Wingdings" w:hAnsi="Wingdings" w:hint="default"/>
      </w:rPr>
    </w:lvl>
    <w:lvl w:ilvl="3" w:tplc="0C090001" w:tentative="1">
      <w:start w:val="1"/>
      <w:numFmt w:val="bullet"/>
      <w:lvlText w:val=""/>
      <w:lvlJc w:val="left"/>
      <w:pPr>
        <w:ind w:left="4439" w:hanging="360"/>
      </w:pPr>
      <w:rPr>
        <w:rFonts w:ascii="Symbol" w:hAnsi="Symbol" w:hint="default"/>
      </w:rPr>
    </w:lvl>
    <w:lvl w:ilvl="4" w:tplc="0C090003" w:tentative="1">
      <w:start w:val="1"/>
      <w:numFmt w:val="bullet"/>
      <w:lvlText w:val="o"/>
      <w:lvlJc w:val="left"/>
      <w:pPr>
        <w:ind w:left="5159" w:hanging="360"/>
      </w:pPr>
      <w:rPr>
        <w:rFonts w:ascii="Courier New" w:hAnsi="Courier New" w:cs="Courier New" w:hint="default"/>
      </w:rPr>
    </w:lvl>
    <w:lvl w:ilvl="5" w:tplc="0C090005" w:tentative="1">
      <w:start w:val="1"/>
      <w:numFmt w:val="bullet"/>
      <w:lvlText w:val=""/>
      <w:lvlJc w:val="left"/>
      <w:pPr>
        <w:ind w:left="5879" w:hanging="360"/>
      </w:pPr>
      <w:rPr>
        <w:rFonts w:ascii="Wingdings" w:hAnsi="Wingdings" w:hint="default"/>
      </w:rPr>
    </w:lvl>
    <w:lvl w:ilvl="6" w:tplc="0C090001" w:tentative="1">
      <w:start w:val="1"/>
      <w:numFmt w:val="bullet"/>
      <w:lvlText w:val=""/>
      <w:lvlJc w:val="left"/>
      <w:pPr>
        <w:ind w:left="6599" w:hanging="360"/>
      </w:pPr>
      <w:rPr>
        <w:rFonts w:ascii="Symbol" w:hAnsi="Symbol" w:hint="default"/>
      </w:rPr>
    </w:lvl>
    <w:lvl w:ilvl="7" w:tplc="0C090003" w:tentative="1">
      <w:start w:val="1"/>
      <w:numFmt w:val="bullet"/>
      <w:lvlText w:val="o"/>
      <w:lvlJc w:val="left"/>
      <w:pPr>
        <w:ind w:left="7319" w:hanging="360"/>
      </w:pPr>
      <w:rPr>
        <w:rFonts w:ascii="Courier New" w:hAnsi="Courier New" w:cs="Courier New" w:hint="default"/>
      </w:rPr>
    </w:lvl>
    <w:lvl w:ilvl="8" w:tplc="0C090005" w:tentative="1">
      <w:start w:val="1"/>
      <w:numFmt w:val="bullet"/>
      <w:lvlText w:val=""/>
      <w:lvlJc w:val="left"/>
      <w:pPr>
        <w:ind w:left="8039" w:hanging="360"/>
      </w:pPr>
      <w:rPr>
        <w:rFonts w:ascii="Wingdings" w:hAnsi="Wingdings" w:hint="default"/>
      </w:rPr>
    </w:lvl>
  </w:abstractNum>
  <w:abstractNum w:abstractNumId="93">
    <w:nsid w:val="5B837F9F"/>
    <w:multiLevelType w:val="hybridMultilevel"/>
    <w:tmpl w:val="853826DC"/>
    <w:lvl w:ilvl="0" w:tplc="0C090003">
      <w:start w:val="1"/>
      <w:numFmt w:val="bullet"/>
      <w:lvlText w:val="o"/>
      <w:lvlJc w:val="left"/>
      <w:pPr>
        <w:ind w:left="2415" w:hanging="360"/>
      </w:pPr>
      <w:rPr>
        <w:rFonts w:ascii="Courier New" w:hAnsi="Courier New" w:cs="Courier New" w:hint="default"/>
      </w:rPr>
    </w:lvl>
    <w:lvl w:ilvl="1" w:tplc="0C090003" w:tentative="1">
      <w:start w:val="1"/>
      <w:numFmt w:val="bullet"/>
      <w:lvlText w:val="o"/>
      <w:lvlJc w:val="left"/>
      <w:pPr>
        <w:ind w:left="3135" w:hanging="360"/>
      </w:pPr>
      <w:rPr>
        <w:rFonts w:ascii="Courier New" w:hAnsi="Courier New" w:cs="Courier New" w:hint="default"/>
      </w:rPr>
    </w:lvl>
    <w:lvl w:ilvl="2" w:tplc="0C090005" w:tentative="1">
      <w:start w:val="1"/>
      <w:numFmt w:val="bullet"/>
      <w:lvlText w:val=""/>
      <w:lvlJc w:val="left"/>
      <w:pPr>
        <w:ind w:left="3855" w:hanging="360"/>
      </w:pPr>
      <w:rPr>
        <w:rFonts w:ascii="Wingdings" w:hAnsi="Wingdings" w:hint="default"/>
      </w:rPr>
    </w:lvl>
    <w:lvl w:ilvl="3" w:tplc="0C090001" w:tentative="1">
      <w:start w:val="1"/>
      <w:numFmt w:val="bullet"/>
      <w:lvlText w:val=""/>
      <w:lvlJc w:val="left"/>
      <w:pPr>
        <w:ind w:left="4575" w:hanging="360"/>
      </w:pPr>
      <w:rPr>
        <w:rFonts w:ascii="Symbol" w:hAnsi="Symbol" w:hint="default"/>
      </w:rPr>
    </w:lvl>
    <w:lvl w:ilvl="4" w:tplc="0C090003" w:tentative="1">
      <w:start w:val="1"/>
      <w:numFmt w:val="bullet"/>
      <w:lvlText w:val="o"/>
      <w:lvlJc w:val="left"/>
      <w:pPr>
        <w:ind w:left="5295" w:hanging="360"/>
      </w:pPr>
      <w:rPr>
        <w:rFonts w:ascii="Courier New" w:hAnsi="Courier New" w:cs="Courier New" w:hint="default"/>
      </w:rPr>
    </w:lvl>
    <w:lvl w:ilvl="5" w:tplc="0C090005" w:tentative="1">
      <w:start w:val="1"/>
      <w:numFmt w:val="bullet"/>
      <w:lvlText w:val=""/>
      <w:lvlJc w:val="left"/>
      <w:pPr>
        <w:ind w:left="6015" w:hanging="360"/>
      </w:pPr>
      <w:rPr>
        <w:rFonts w:ascii="Wingdings" w:hAnsi="Wingdings" w:hint="default"/>
      </w:rPr>
    </w:lvl>
    <w:lvl w:ilvl="6" w:tplc="0C090001" w:tentative="1">
      <w:start w:val="1"/>
      <w:numFmt w:val="bullet"/>
      <w:lvlText w:val=""/>
      <w:lvlJc w:val="left"/>
      <w:pPr>
        <w:ind w:left="6735" w:hanging="360"/>
      </w:pPr>
      <w:rPr>
        <w:rFonts w:ascii="Symbol" w:hAnsi="Symbol" w:hint="default"/>
      </w:rPr>
    </w:lvl>
    <w:lvl w:ilvl="7" w:tplc="0C090003" w:tentative="1">
      <w:start w:val="1"/>
      <w:numFmt w:val="bullet"/>
      <w:lvlText w:val="o"/>
      <w:lvlJc w:val="left"/>
      <w:pPr>
        <w:ind w:left="7455" w:hanging="360"/>
      </w:pPr>
      <w:rPr>
        <w:rFonts w:ascii="Courier New" w:hAnsi="Courier New" w:cs="Courier New" w:hint="default"/>
      </w:rPr>
    </w:lvl>
    <w:lvl w:ilvl="8" w:tplc="0C090005" w:tentative="1">
      <w:start w:val="1"/>
      <w:numFmt w:val="bullet"/>
      <w:lvlText w:val=""/>
      <w:lvlJc w:val="left"/>
      <w:pPr>
        <w:ind w:left="8175" w:hanging="360"/>
      </w:pPr>
      <w:rPr>
        <w:rFonts w:ascii="Wingdings" w:hAnsi="Wingdings" w:hint="default"/>
      </w:rPr>
    </w:lvl>
  </w:abstractNum>
  <w:abstractNum w:abstractNumId="94">
    <w:nsid w:val="5D8D3D54"/>
    <w:multiLevelType w:val="hybridMultilevel"/>
    <w:tmpl w:val="4B2C6CDC"/>
    <w:lvl w:ilvl="0" w:tplc="0C090001">
      <w:start w:val="1"/>
      <w:numFmt w:val="bullet"/>
      <w:lvlText w:val=""/>
      <w:lvlJc w:val="left"/>
      <w:pPr>
        <w:ind w:left="2153" w:hanging="360"/>
      </w:pPr>
      <w:rPr>
        <w:rFonts w:ascii="Symbol" w:hAnsi="Symbol" w:hint="default"/>
      </w:rPr>
    </w:lvl>
    <w:lvl w:ilvl="1" w:tplc="0C090003" w:tentative="1">
      <w:start w:val="1"/>
      <w:numFmt w:val="bullet"/>
      <w:lvlText w:val="o"/>
      <w:lvlJc w:val="left"/>
      <w:pPr>
        <w:ind w:left="2873" w:hanging="360"/>
      </w:pPr>
      <w:rPr>
        <w:rFonts w:ascii="Courier New" w:hAnsi="Courier New" w:cs="Courier New" w:hint="default"/>
      </w:rPr>
    </w:lvl>
    <w:lvl w:ilvl="2" w:tplc="0C090005" w:tentative="1">
      <w:start w:val="1"/>
      <w:numFmt w:val="bullet"/>
      <w:lvlText w:val=""/>
      <w:lvlJc w:val="left"/>
      <w:pPr>
        <w:ind w:left="3593" w:hanging="360"/>
      </w:pPr>
      <w:rPr>
        <w:rFonts w:ascii="Wingdings" w:hAnsi="Wingdings" w:hint="default"/>
      </w:rPr>
    </w:lvl>
    <w:lvl w:ilvl="3" w:tplc="0C090001" w:tentative="1">
      <w:start w:val="1"/>
      <w:numFmt w:val="bullet"/>
      <w:lvlText w:val=""/>
      <w:lvlJc w:val="left"/>
      <w:pPr>
        <w:ind w:left="4313" w:hanging="360"/>
      </w:pPr>
      <w:rPr>
        <w:rFonts w:ascii="Symbol" w:hAnsi="Symbol" w:hint="default"/>
      </w:rPr>
    </w:lvl>
    <w:lvl w:ilvl="4" w:tplc="0C090003" w:tentative="1">
      <w:start w:val="1"/>
      <w:numFmt w:val="bullet"/>
      <w:lvlText w:val="o"/>
      <w:lvlJc w:val="left"/>
      <w:pPr>
        <w:ind w:left="5033" w:hanging="360"/>
      </w:pPr>
      <w:rPr>
        <w:rFonts w:ascii="Courier New" w:hAnsi="Courier New" w:cs="Courier New" w:hint="default"/>
      </w:rPr>
    </w:lvl>
    <w:lvl w:ilvl="5" w:tplc="0C090005" w:tentative="1">
      <w:start w:val="1"/>
      <w:numFmt w:val="bullet"/>
      <w:lvlText w:val=""/>
      <w:lvlJc w:val="left"/>
      <w:pPr>
        <w:ind w:left="5753" w:hanging="360"/>
      </w:pPr>
      <w:rPr>
        <w:rFonts w:ascii="Wingdings" w:hAnsi="Wingdings" w:hint="default"/>
      </w:rPr>
    </w:lvl>
    <w:lvl w:ilvl="6" w:tplc="0C090001" w:tentative="1">
      <w:start w:val="1"/>
      <w:numFmt w:val="bullet"/>
      <w:lvlText w:val=""/>
      <w:lvlJc w:val="left"/>
      <w:pPr>
        <w:ind w:left="6473" w:hanging="360"/>
      </w:pPr>
      <w:rPr>
        <w:rFonts w:ascii="Symbol" w:hAnsi="Symbol" w:hint="default"/>
      </w:rPr>
    </w:lvl>
    <w:lvl w:ilvl="7" w:tplc="0C090003" w:tentative="1">
      <w:start w:val="1"/>
      <w:numFmt w:val="bullet"/>
      <w:lvlText w:val="o"/>
      <w:lvlJc w:val="left"/>
      <w:pPr>
        <w:ind w:left="7193" w:hanging="360"/>
      </w:pPr>
      <w:rPr>
        <w:rFonts w:ascii="Courier New" w:hAnsi="Courier New" w:cs="Courier New" w:hint="default"/>
      </w:rPr>
    </w:lvl>
    <w:lvl w:ilvl="8" w:tplc="0C090005" w:tentative="1">
      <w:start w:val="1"/>
      <w:numFmt w:val="bullet"/>
      <w:lvlText w:val=""/>
      <w:lvlJc w:val="left"/>
      <w:pPr>
        <w:ind w:left="7913" w:hanging="360"/>
      </w:pPr>
      <w:rPr>
        <w:rFonts w:ascii="Wingdings" w:hAnsi="Wingdings" w:hint="default"/>
      </w:rPr>
    </w:lvl>
  </w:abstractNum>
  <w:abstractNum w:abstractNumId="95">
    <w:nsid w:val="5F451C82"/>
    <w:multiLevelType w:val="hybridMultilevel"/>
    <w:tmpl w:val="D4600246"/>
    <w:lvl w:ilvl="0" w:tplc="0C090001">
      <w:start w:val="1"/>
      <w:numFmt w:val="bullet"/>
      <w:lvlText w:val=""/>
      <w:lvlJc w:val="left"/>
      <w:pPr>
        <w:ind w:left="2103" w:hanging="360"/>
      </w:pPr>
      <w:rPr>
        <w:rFonts w:ascii="Symbol" w:hAnsi="Symbol" w:hint="default"/>
      </w:rPr>
    </w:lvl>
    <w:lvl w:ilvl="1" w:tplc="0C090003" w:tentative="1">
      <w:start w:val="1"/>
      <w:numFmt w:val="bullet"/>
      <w:lvlText w:val="o"/>
      <w:lvlJc w:val="left"/>
      <w:pPr>
        <w:ind w:left="2823" w:hanging="360"/>
      </w:pPr>
      <w:rPr>
        <w:rFonts w:ascii="Courier New" w:hAnsi="Courier New" w:cs="Courier New" w:hint="default"/>
      </w:rPr>
    </w:lvl>
    <w:lvl w:ilvl="2" w:tplc="0C090005" w:tentative="1">
      <w:start w:val="1"/>
      <w:numFmt w:val="bullet"/>
      <w:lvlText w:val=""/>
      <w:lvlJc w:val="left"/>
      <w:pPr>
        <w:ind w:left="3543" w:hanging="360"/>
      </w:pPr>
      <w:rPr>
        <w:rFonts w:ascii="Wingdings" w:hAnsi="Wingdings" w:hint="default"/>
      </w:rPr>
    </w:lvl>
    <w:lvl w:ilvl="3" w:tplc="0C090001" w:tentative="1">
      <w:start w:val="1"/>
      <w:numFmt w:val="bullet"/>
      <w:lvlText w:val=""/>
      <w:lvlJc w:val="left"/>
      <w:pPr>
        <w:ind w:left="4263" w:hanging="360"/>
      </w:pPr>
      <w:rPr>
        <w:rFonts w:ascii="Symbol" w:hAnsi="Symbol" w:hint="default"/>
      </w:rPr>
    </w:lvl>
    <w:lvl w:ilvl="4" w:tplc="0C090003" w:tentative="1">
      <w:start w:val="1"/>
      <w:numFmt w:val="bullet"/>
      <w:lvlText w:val="o"/>
      <w:lvlJc w:val="left"/>
      <w:pPr>
        <w:ind w:left="4983" w:hanging="360"/>
      </w:pPr>
      <w:rPr>
        <w:rFonts w:ascii="Courier New" w:hAnsi="Courier New" w:cs="Courier New" w:hint="default"/>
      </w:rPr>
    </w:lvl>
    <w:lvl w:ilvl="5" w:tplc="0C090005" w:tentative="1">
      <w:start w:val="1"/>
      <w:numFmt w:val="bullet"/>
      <w:lvlText w:val=""/>
      <w:lvlJc w:val="left"/>
      <w:pPr>
        <w:ind w:left="5703" w:hanging="360"/>
      </w:pPr>
      <w:rPr>
        <w:rFonts w:ascii="Wingdings" w:hAnsi="Wingdings" w:hint="default"/>
      </w:rPr>
    </w:lvl>
    <w:lvl w:ilvl="6" w:tplc="0C090001" w:tentative="1">
      <w:start w:val="1"/>
      <w:numFmt w:val="bullet"/>
      <w:lvlText w:val=""/>
      <w:lvlJc w:val="left"/>
      <w:pPr>
        <w:ind w:left="6423" w:hanging="360"/>
      </w:pPr>
      <w:rPr>
        <w:rFonts w:ascii="Symbol" w:hAnsi="Symbol" w:hint="default"/>
      </w:rPr>
    </w:lvl>
    <w:lvl w:ilvl="7" w:tplc="0C090003" w:tentative="1">
      <w:start w:val="1"/>
      <w:numFmt w:val="bullet"/>
      <w:lvlText w:val="o"/>
      <w:lvlJc w:val="left"/>
      <w:pPr>
        <w:ind w:left="7143" w:hanging="360"/>
      </w:pPr>
      <w:rPr>
        <w:rFonts w:ascii="Courier New" w:hAnsi="Courier New" w:cs="Courier New" w:hint="default"/>
      </w:rPr>
    </w:lvl>
    <w:lvl w:ilvl="8" w:tplc="0C090005" w:tentative="1">
      <w:start w:val="1"/>
      <w:numFmt w:val="bullet"/>
      <w:lvlText w:val=""/>
      <w:lvlJc w:val="left"/>
      <w:pPr>
        <w:ind w:left="7863" w:hanging="360"/>
      </w:pPr>
      <w:rPr>
        <w:rFonts w:ascii="Wingdings" w:hAnsi="Wingdings" w:hint="default"/>
      </w:rPr>
    </w:lvl>
  </w:abstractNum>
  <w:abstractNum w:abstractNumId="96">
    <w:nsid w:val="61997626"/>
    <w:multiLevelType w:val="multilevel"/>
    <w:tmpl w:val="BE901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628488A"/>
    <w:multiLevelType w:val="hybridMultilevel"/>
    <w:tmpl w:val="43CEAD76"/>
    <w:lvl w:ilvl="0" w:tplc="F514AF3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nsid w:val="669B03BC"/>
    <w:multiLevelType w:val="hybridMultilevel"/>
    <w:tmpl w:val="4E4C1AF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9">
    <w:nsid w:val="6704412C"/>
    <w:multiLevelType w:val="hybridMultilevel"/>
    <w:tmpl w:val="7E003592"/>
    <w:lvl w:ilvl="0" w:tplc="32904CB8">
      <w:start w:val="2"/>
      <w:numFmt w:val="bullet"/>
      <w:lvlText w:val="-"/>
      <w:lvlJc w:val="left"/>
      <w:pPr>
        <w:ind w:left="1080" w:hanging="360"/>
      </w:pPr>
      <w:rPr>
        <w:rFonts w:ascii="Calibri" w:eastAsia="Dotum"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69A47503"/>
    <w:multiLevelType w:val="hybridMultilevel"/>
    <w:tmpl w:val="39BC62EC"/>
    <w:lvl w:ilvl="0" w:tplc="0C090003">
      <w:start w:val="1"/>
      <w:numFmt w:val="bullet"/>
      <w:lvlText w:val="o"/>
      <w:lvlJc w:val="left"/>
      <w:pPr>
        <w:ind w:left="2847" w:hanging="360"/>
      </w:pPr>
      <w:rPr>
        <w:rFonts w:ascii="Courier New" w:hAnsi="Courier New" w:cs="Courier New" w:hint="default"/>
      </w:rPr>
    </w:lvl>
    <w:lvl w:ilvl="1" w:tplc="0C090003" w:tentative="1">
      <w:start w:val="1"/>
      <w:numFmt w:val="bullet"/>
      <w:lvlText w:val="o"/>
      <w:lvlJc w:val="left"/>
      <w:pPr>
        <w:ind w:left="3567" w:hanging="360"/>
      </w:pPr>
      <w:rPr>
        <w:rFonts w:ascii="Courier New" w:hAnsi="Courier New" w:cs="Courier New" w:hint="default"/>
      </w:rPr>
    </w:lvl>
    <w:lvl w:ilvl="2" w:tplc="0C090005" w:tentative="1">
      <w:start w:val="1"/>
      <w:numFmt w:val="bullet"/>
      <w:lvlText w:val=""/>
      <w:lvlJc w:val="left"/>
      <w:pPr>
        <w:ind w:left="4287" w:hanging="360"/>
      </w:pPr>
      <w:rPr>
        <w:rFonts w:ascii="Wingdings" w:hAnsi="Wingdings" w:hint="default"/>
      </w:rPr>
    </w:lvl>
    <w:lvl w:ilvl="3" w:tplc="0C090001" w:tentative="1">
      <w:start w:val="1"/>
      <w:numFmt w:val="bullet"/>
      <w:lvlText w:val=""/>
      <w:lvlJc w:val="left"/>
      <w:pPr>
        <w:ind w:left="5007" w:hanging="360"/>
      </w:pPr>
      <w:rPr>
        <w:rFonts w:ascii="Symbol" w:hAnsi="Symbol" w:hint="default"/>
      </w:rPr>
    </w:lvl>
    <w:lvl w:ilvl="4" w:tplc="0C090003" w:tentative="1">
      <w:start w:val="1"/>
      <w:numFmt w:val="bullet"/>
      <w:lvlText w:val="o"/>
      <w:lvlJc w:val="left"/>
      <w:pPr>
        <w:ind w:left="5727" w:hanging="360"/>
      </w:pPr>
      <w:rPr>
        <w:rFonts w:ascii="Courier New" w:hAnsi="Courier New" w:cs="Courier New" w:hint="default"/>
      </w:rPr>
    </w:lvl>
    <w:lvl w:ilvl="5" w:tplc="0C090005" w:tentative="1">
      <w:start w:val="1"/>
      <w:numFmt w:val="bullet"/>
      <w:lvlText w:val=""/>
      <w:lvlJc w:val="left"/>
      <w:pPr>
        <w:ind w:left="6447" w:hanging="360"/>
      </w:pPr>
      <w:rPr>
        <w:rFonts w:ascii="Wingdings" w:hAnsi="Wingdings" w:hint="default"/>
      </w:rPr>
    </w:lvl>
    <w:lvl w:ilvl="6" w:tplc="0C090001" w:tentative="1">
      <w:start w:val="1"/>
      <w:numFmt w:val="bullet"/>
      <w:lvlText w:val=""/>
      <w:lvlJc w:val="left"/>
      <w:pPr>
        <w:ind w:left="7167" w:hanging="360"/>
      </w:pPr>
      <w:rPr>
        <w:rFonts w:ascii="Symbol" w:hAnsi="Symbol" w:hint="default"/>
      </w:rPr>
    </w:lvl>
    <w:lvl w:ilvl="7" w:tplc="0C090003" w:tentative="1">
      <w:start w:val="1"/>
      <w:numFmt w:val="bullet"/>
      <w:lvlText w:val="o"/>
      <w:lvlJc w:val="left"/>
      <w:pPr>
        <w:ind w:left="7887" w:hanging="360"/>
      </w:pPr>
      <w:rPr>
        <w:rFonts w:ascii="Courier New" w:hAnsi="Courier New" w:cs="Courier New" w:hint="default"/>
      </w:rPr>
    </w:lvl>
    <w:lvl w:ilvl="8" w:tplc="0C090005" w:tentative="1">
      <w:start w:val="1"/>
      <w:numFmt w:val="bullet"/>
      <w:lvlText w:val=""/>
      <w:lvlJc w:val="left"/>
      <w:pPr>
        <w:ind w:left="8607" w:hanging="360"/>
      </w:pPr>
      <w:rPr>
        <w:rFonts w:ascii="Wingdings" w:hAnsi="Wingdings" w:hint="default"/>
      </w:rPr>
    </w:lvl>
  </w:abstractNum>
  <w:abstractNum w:abstractNumId="101">
    <w:nsid w:val="69EC5ACE"/>
    <w:multiLevelType w:val="hybridMultilevel"/>
    <w:tmpl w:val="A58C7F32"/>
    <w:lvl w:ilvl="0" w:tplc="0C090017">
      <w:start w:val="1"/>
      <w:numFmt w:val="lowerLetter"/>
      <w:lvlText w:val="%1)"/>
      <w:lvlJc w:val="left"/>
      <w:pPr>
        <w:ind w:left="1637" w:hanging="360"/>
      </w:p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02">
    <w:nsid w:val="6E2F55FC"/>
    <w:multiLevelType w:val="hybridMultilevel"/>
    <w:tmpl w:val="8A486A50"/>
    <w:lvl w:ilvl="0" w:tplc="D856F8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6E3C3BE4"/>
    <w:multiLevelType w:val="hybridMultilevel"/>
    <w:tmpl w:val="0F267A2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04">
    <w:nsid w:val="6E447AD1"/>
    <w:multiLevelType w:val="hybridMultilevel"/>
    <w:tmpl w:val="E0CC6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6F4757E1"/>
    <w:multiLevelType w:val="hybridMultilevel"/>
    <w:tmpl w:val="48040E2E"/>
    <w:lvl w:ilvl="0" w:tplc="0A32947C">
      <w:start w:val="1"/>
      <w:numFmt w:val="bullet"/>
      <w:pStyle w:val="bullet"/>
      <w:lvlText w:val=""/>
      <w:lvlJc w:val="left"/>
      <w:pPr>
        <w:ind w:left="360" w:hanging="360"/>
      </w:pPr>
      <w:rPr>
        <w:rFonts w:ascii="Symbol" w:hAnsi="Symbol" w:hint="default"/>
        <w:b w:val="0"/>
        <w:i w:val="0"/>
        <w:color w:val="auto"/>
        <w:sz w:val="24"/>
        <w:szCs w:val="16"/>
      </w:rPr>
    </w:lvl>
    <w:lvl w:ilvl="1" w:tplc="2D98A92C">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07">
    <w:nsid w:val="6F555796"/>
    <w:multiLevelType w:val="hybridMultilevel"/>
    <w:tmpl w:val="5EBE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6FB83B57"/>
    <w:multiLevelType w:val="hybridMultilevel"/>
    <w:tmpl w:val="7B4CB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715222C8"/>
    <w:multiLevelType w:val="hybridMultilevel"/>
    <w:tmpl w:val="35CAFC66"/>
    <w:lvl w:ilvl="0" w:tplc="0C090001">
      <w:start w:val="1"/>
      <w:numFmt w:val="bullet"/>
      <w:lvlText w:val=""/>
      <w:lvlJc w:val="left"/>
      <w:pPr>
        <w:ind w:left="2103" w:hanging="360"/>
      </w:pPr>
      <w:rPr>
        <w:rFonts w:ascii="Symbol" w:hAnsi="Symbol" w:hint="default"/>
      </w:rPr>
    </w:lvl>
    <w:lvl w:ilvl="1" w:tplc="0C090003" w:tentative="1">
      <w:start w:val="1"/>
      <w:numFmt w:val="bullet"/>
      <w:lvlText w:val="o"/>
      <w:lvlJc w:val="left"/>
      <w:pPr>
        <w:ind w:left="2823" w:hanging="360"/>
      </w:pPr>
      <w:rPr>
        <w:rFonts w:ascii="Courier New" w:hAnsi="Courier New" w:cs="Courier New" w:hint="default"/>
      </w:rPr>
    </w:lvl>
    <w:lvl w:ilvl="2" w:tplc="0C090005" w:tentative="1">
      <w:start w:val="1"/>
      <w:numFmt w:val="bullet"/>
      <w:lvlText w:val=""/>
      <w:lvlJc w:val="left"/>
      <w:pPr>
        <w:ind w:left="3543" w:hanging="360"/>
      </w:pPr>
      <w:rPr>
        <w:rFonts w:ascii="Wingdings" w:hAnsi="Wingdings" w:hint="default"/>
      </w:rPr>
    </w:lvl>
    <w:lvl w:ilvl="3" w:tplc="0C090001" w:tentative="1">
      <w:start w:val="1"/>
      <w:numFmt w:val="bullet"/>
      <w:lvlText w:val=""/>
      <w:lvlJc w:val="left"/>
      <w:pPr>
        <w:ind w:left="4263" w:hanging="360"/>
      </w:pPr>
      <w:rPr>
        <w:rFonts w:ascii="Symbol" w:hAnsi="Symbol" w:hint="default"/>
      </w:rPr>
    </w:lvl>
    <w:lvl w:ilvl="4" w:tplc="0C090003" w:tentative="1">
      <w:start w:val="1"/>
      <w:numFmt w:val="bullet"/>
      <w:lvlText w:val="o"/>
      <w:lvlJc w:val="left"/>
      <w:pPr>
        <w:ind w:left="4983" w:hanging="360"/>
      </w:pPr>
      <w:rPr>
        <w:rFonts w:ascii="Courier New" w:hAnsi="Courier New" w:cs="Courier New" w:hint="default"/>
      </w:rPr>
    </w:lvl>
    <w:lvl w:ilvl="5" w:tplc="0C090005" w:tentative="1">
      <w:start w:val="1"/>
      <w:numFmt w:val="bullet"/>
      <w:lvlText w:val=""/>
      <w:lvlJc w:val="left"/>
      <w:pPr>
        <w:ind w:left="5703" w:hanging="360"/>
      </w:pPr>
      <w:rPr>
        <w:rFonts w:ascii="Wingdings" w:hAnsi="Wingdings" w:hint="default"/>
      </w:rPr>
    </w:lvl>
    <w:lvl w:ilvl="6" w:tplc="0C090001" w:tentative="1">
      <w:start w:val="1"/>
      <w:numFmt w:val="bullet"/>
      <w:lvlText w:val=""/>
      <w:lvlJc w:val="left"/>
      <w:pPr>
        <w:ind w:left="6423" w:hanging="360"/>
      </w:pPr>
      <w:rPr>
        <w:rFonts w:ascii="Symbol" w:hAnsi="Symbol" w:hint="default"/>
      </w:rPr>
    </w:lvl>
    <w:lvl w:ilvl="7" w:tplc="0C090003" w:tentative="1">
      <w:start w:val="1"/>
      <w:numFmt w:val="bullet"/>
      <w:lvlText w:val="o"/>
      <w:lvlJc w:val="left"/>
      <w:pPr>
        <w:ind w:left="7143" w:hanging="360"/>
      </w:pPr>
      <w:rPr>
        <w:rFonts w:ascii="Courier New" w:hAnsi="Courier New" w:cs="Courier New" w:hint="default"/>
      </w:rPr>
    </w:lvl>
    <w:lvl w:ilvl="8" w:tplc="0C090005" w:tentative="1">
      <w:start w:val="1"/>
      <w:numFmt w:val="bullet"/>
      <w:lvlText w:val=""/>
      <w:lvlJc w:val="left"/>
      <w:pPr>
        <w:ind w:left="7863" w:hanging="360"/>
      </w:pPr>
      <w:rPr>
        <w:rFonts w:ascii="Wingdings" w:hAnsi="Wingdings" w:hint="default"/>
      </w:rPr>
    </w:lvl>
  </w:abstractNum>
  <w:abstractNum w:abstractNumId="110">
    <w:nsid w:val="72904728"/>
    <w:multiLevelType w:val="hybridMultilevel"/>
    <w:tmpl w:val="3F24CA2E"/>
    <w:lvl w:ilvl="0" w:tplc="0C090003">
      <w:start w:val="1"/>
      <w:numFmt w:val="bullet"/>
      <w:lvlText w:val="o"/>
      <w:lvlJc w:val="left"/>
      <w:pPr>
        <w:ind w:left="2345" w:hanging="360"/>
      </w:pPr>
      <w:rPr>
        <w:rFonts w:ascii="Courier New" w:hAnsi="Courier New" w:cs="Courier New"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111">
    <w:nsid w:val="73486D51"/>
    <w:multiLevelType w:val="hybridMultilevel"/>
    <w:tmpl w:val="8244CFB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2">
    <w:nsid w:val="753F3D16"/>
    <w:multiLevelType w:val="hybridMultilevel"/>
    <w:tmpl w:val="B6DEDE40"/>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13">
    <w:nsid w:val="7A431E55"/>
    <w:multiLevelType w:val="hybridMultilevel"/>
    <w:tmpl w:val="5926669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4">
    <w:nsid w:val="7A795643"/>
    <w:multiLevelType w:val="hybridMultilevel"/>
    <w:tmpl w:val="A7A863A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5">
    <w:nsid w:val="7AA029EA"/>
    <w:multiLevelType w:val="hybridMultilevel"/>
    <w:tmpl w:val="7D64E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7C812BB4"/>
    <w:multiLevelType w:val="hybridMultilevel"/>
    <w:tmpl w:val="2A346254"/>
    <w:lvl w:ilvl="0" w:tplc="0C090003">
      <w:start w:val="1"/>
      <w:numFmt w:val="bullet"/>
      <w:lvlText w:val="o"/>
      <w:lvlJc w:val="left"/>
      <w:pPr>
        <w:ind w:left="2355" w:hanging="360"/>
      </w:pPr>
      <w:rPr>
        <w:rFonts w:ascii="Courier New" w:hAnsi="Courier New" w:cs="Courier New" w:hint="default"/>
      </w:rPr>
    </w:lvl>
    <w:lvl w:ilvl="1" w:tplc="0C090003" w:tentative="1">
      <w:start w:val="1"/>
      <w:numFmt w:val="bullet"/>
      <w:lvlText w:val="o"/>
      <w:lvlJc w:val="left"/>
      <w:pPr>
        <w:ind w:left="3075" w:hanging="360"/>
      </w:pPr>
      <w:rPr>
        <w:rFonts w:ascii="Courier New" w:hAnsi="Courier New" w:cs="Courier New" w:hint="default"/>
      </w:rPr>
    </w:lvl>
    <w:lvl w:ilvl="2" w:tplc="0C090005" w:tentative="1">
      <w:start w:val="1"/>
      <w:numFmt w:val="bullet"/>
      <w:lvlText w:val=""/>
      <w:lvlJc w:val="left"/>
      <w:pPr>
        <w:ind w:left="3795" w:hanging="360"/>
      </w:pPr>
      <w:rPr>
        <w:rFonts w:ascii="Wingdings" w:hAnsi="Wingdings" w:hint="default"/>
      </w:rPr>
    </w:lvl>
    <w:lvl w:ilvl="3" w:tplc="0C090001" w:tentative="1">
      <w:start w:val="1"/>
      <w:numFmt w:val="bullet"/>
      <w:lvlText w:val=""/>
      <w:lvlJc w:val="left"/>
      <w:pPr>
        <w:ind w:left="4515" w:hanging="360"/>
      </w:pPr>
      <w:rPr>
        <w:rFonts w:ascii="Symbol" w:hAnsi="Symbol" w:hint="default"/>
      </w:rPr>
    </w:lvl>
    <w:lvl w:ilvl="4" w:tplc="0C090003" w:tentative="1">
      <w:start w:val="1"/>
      <w:numFmt w:val="bullet"/>
      <w:lvlText w:val="o"/>
      <w:lvlJc w:val="left"/>
      <w:pPr>
        <w:ind w:left="5235" w:hanging="360"/>
      </w:pPr>
      <w:rPr>
        <w:rFonts w:ascii="Courier New" w:hAnsi="Courier New" w:cs="Courier New" w:hint="default"/>
      </w:rPr>
    </w:lvl>
    <w:lvl w:ilvl="5" w:tplc="0C090005" w:tentative="1">
      <w:start w:val="1"/>
      <w:numFmt w:val="bullet"/>
      <w:lvlText w:val=""/>
      <w:lvlJc w:val="left"/>
      <w:pPr>
        <w:ind w:left="5955" w:hanging="360"/>
      </w:pPr>
      <w:rPr>
        <w:rFonts w:ascii="Wingdings" w:hAnsi="Wingdings" w:hint="default"/>
      </w:rPr>
    </w:lvl>
    <w:lvl w:ilvl="6" w:tplc="0C090001" w:tentative="1">
      <w:start w:val="1"/>
      <w:numFmt w:val="bullet"/>
      <w:lvlText w:val=""/>
      <w:lvlJc w:val="left"/>
      <w:pPr>
        <w:ind w:left="6675" w:hanging="360"/>
      </w:pPr>
      <w:rPr>
        <w:rFonts w:ascii="Symbol" w:hAnsi="Symbol" w:hint="default"/>
      </w:rPr>
    </w:lvl>
    <w:lvl w:ilvl="7" w:tplc="0C090003" w:tentative="1">
      <w:start w:val="1"/>
      <w:numFmt w:val="bullet"/>
      <w:lvlText w:val="o"/>
      <w:lvlJc w:val="left"/>
      <w:pPr>
        <w:ind w:left="7395" w:hanging="360"/>
      </w:pPr>
      <w:rPr>
        <w:rFonts w:ascii="Courier New" w:hAnsi="Courier New" w:cs="Courier New" w:hint="default"/>
      </w:rPr>
    </w:lvl>
    <w:lvl w:ilvl="8" w:tplc="0C090005" w:tentative="1">
      <w:start w:val="1"/>
      <w:numFmt w:val="bullet"/>
      <w:lvlText w:val=""/>
      <w:lvlJc w:val="left"/>
      <w:pPr>
        <w:ind w:left="8115" w:hanging="360"/>
      </w:pPr>
      <w:rPr>
        <w:rFonts w:ascii="Wingdings" w:hAnsi="Wingdings" w:hint="default"/>
      </w:rPr>
    </w:lvl>
  </w:abstractNum>
  <w:abstractNum w:abstractNumId="117">
    <w:nsid w:val="7CBA4B25"/>
    <w:multiLevelType w:val="hybridMultilevel"/>
    <w:tmpl w:val="3AA42D7A"/>
    <w:lvl w:ilvl="0" w:tplc="4CCC86DA">
      <w:start w:val="1"/>
      <w:numFmt w:val="decimal"/>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nsid w:val="7CF6475F"/>
    <w:multiLevelType w:val="hybridMultilevel"/>
    <w:tmpl w:val="98A6B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1"/>
  </w:num>
  <w:num w:numId="2">
    <w:abstractNumId w:val="51"/>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59"/>
  </w:num>
  <w:num w:numId="4">
    <w:abstractNumId w:val="105"/>
  </w:num>
  <w:num w:numId="5">
    <w:abstractNumId w:val="47"/>
  </w:num>
  <w:num w:numId="6">
    <w:abstractNumId w:val="77"/>
  </w:num>
  <w:num w:numId="7">
    <w:abstractNumId w:val="26"/>
  </w:num>
  <w:num w:numId="8">
    <w:abstractNumId w:val="97"/>
  </w:num>
  <w:num w:numId="9">
    <w:abstractNumId w:val="104"/>
  </w:num>
  <w:num w:numId="10">
    <w:abstractNumId w:val="65"/>
  </w:num>
  <w:num w:numId="11">
    <w:abstractNumId w:val="90"/>
  </w:num>
  <w:num w:numId="12">
    <w:abstractNumId w:val="32"/>
  </w:num>
  <w:num w:numId="13">
    <w:abstractNumId w:val="36"/>
  </w:num>
  <w:num w:numId="14">
    <w:abstractNumId w:val="33"/>
  </w:num>
  <w:num w:numId="15">
    <w:abstractNumId w:val="21"/>
  </w:num>
  <w:num w:numId="16">
    <w:abstractNumId w:val="8"/>
  </w:num>
  <w:num w:numId="17">
    <w:abstractNumId w:val="52"/>
  </w:num>
  <w:num w:numId="18">
    <w:abstractNumId w:val="15"/>
  </w:num>
  <w:num w:numId="19">
    <w:abstractNumId w:val="71"/>
  </w:num>
  <w:num w:numId="20">
    <w:abstractNumId w:val="83"/>
  </w:num>
  <w:num w:numId="21">
    <w:abstractNumId w:val="94"/>
  </w:num>
  <w:num w:numId="22">
    <w:abstractNumId w:val="114"/>
  </w:num>
  <w:num w:numId="23">
    <w:abstractNumId w:val="110"/>
  </w:num>
  <w:num w:numId="24">
    <w:abstractNumId w:val="111"/>
  </w:num>
  <w:num w:numId="25">
    <w:abstractNumId w:val="60"/>
  </w:num>
  <w:num w:numId="26">
    <w:abstractNumId w:val="62"/>
  </w:num>
  <w:num w:numId="27">
    <w:abstractNumId w:val="48"/>
  </w:num>
  <w:num w:numId="28">
    <w:abstractNumId w:val="78"/>
  </w:num>
  <w:num w:numId="29">
    <w:abstractNumId w:val="53"/>
  </w:num>
  <w:num w:numId="30">
    <w:abstractNumId w:val="67"/>
  </w:num>
  <w:num w:numId="31">
    <w:abstractNumId w:val="30"/>
  </w:num>
  <w:num w:numId="32">
    <w:abstractNumId w:val="68"/>
  </w:num>
  <w:num w:numId="33">
    <w:abstractNumId w:val="45"/>
  </w:num>
  <w:num w:numId="34">
    <w:abstractNumId w:val="19"/>
  </w:num>
  <w:num w:numId="35">
    <w:abstractNumId w:val="24"/>
  </w:num>
  <w:num w:numId="36">
    <w:abstractNumId w:val="43"/>
  </w:num>
  <w:num w:numId="37">
    <w:abstractNumId w:val="112"/>
  </w:num>
  <w:num w:numId="38">
    <w:abstractNumId w:val="91"/>
  </w:num>
  <w:num w:numId="39">
    <w:abstractNumId w:val="100"/>
  </w:num>
  <w:num w:numId="40">
    <w:abstractNumId w:val="40"/>
  </w:num>
  <w:num w:numId="41">
    <w:abstractNumId w:val="63"/>
  </w:num>
  <w:num w:numId="42">
    <w:abstractNumId w:val="58"/>
  </w:num>
  <w:num w:numId="43">
    <w:abstractNumId w:val="4"/>
  </w:num>
  <w:num w:numId="44">
    <w:abstractNumId w:val="85"/>
  </w:num>
  <w:num w:numId="45">
    <w:abstractNumId w:val="49"/>
  </w:num>
  <w:num w:numId="46">
    <w:abstractNumId w:val="44"/>
  </w:num>
  <w:num w:numId="47">
    <w:abstractNumId w:val="16"/>
  </w:num>
  <w:num w:numId="48">
    <w:abstractNumId w:val="74"/>
  </w:num>
  <w:num w:numId="49">
    <w:abstractNumId w:val="39"/>
  </w:num>
  <w:num w:numId="50">
    <w:abstractNumId w:val="10"/>
  </w:num>
  <w:num w:numId="51">
    <w:abstractNumId w:val="5"/>
  </w:num>
  <w:num w:numId="52">
    <w:abstractNumId w:val="9"/>
  </w:num>
  <w:num w:numId="53">
    <w:abstractNumId w:val="46"/>
  </w:num>
  <w:num w:numId="54">
    <w:abstractNumId w:val="80"/>
  </w:num>
  <w:num w:numId="55">
    <w:abstractNumId w:val="31"/>
  </w:num>
  <w:num w:numId="56">
    <w:abstractNumId w:val="27"/>
  </w:num>
  <w:num w:numId="57">
    <w:abstractNumId w:val="25"/>
  </w:num>
  <w:num w:numId="58">
    <w:abstractNumId w:val="76"/>
  </w:num>
  <w:num w:numId="59">
    <w:abstractNumId w:val="103"/>
  </w:num>
  <w:num w:numId="60">
    <w:abstractNumId w:val="7"/>
  </w:num>
  <w:num w:numId="61">
    <w:abstractNumId w:val="107"/>
  </w:num>
  <w:num w:numId="62">
    <w:abstractNumId w:val="89"/>
  </w:num>
  <w:num w:numId="63">
    <w:abstractNumId w:val="98"/>
  </w:num>
  <w:num w:numId="64">
    <w:abstractNumId w:val="13"/>
  </w:num>
  <w:num w:numId="65">
    <w:abstractNumId w:val="42"/>
  </w:num>
  <w:num w:numId="66">
    <w:abstractNumId w:val="113"/>
  </w:num>
  <w:num w:numId="67">
    <w:abstractNumId w:val="106"/>
  </w:num>
  <w:num w:numId="68">
    <w:abstractNumId w:val="101"/>
  </w:num>
  <w:num w:numId="69">
    <w:abstractNumId w:val="92"/>
  </w:num>
  <w:num w:numId="70">
    <w:abstractNumId w:val="88"/>
  </w:num>
  <w:num w:numId="71">
    <w:abstractNumId w:val="50"/>
  </w:num>
  <w:num w:numId="72">
    <w:abstractNumId w:val="3"/>
  </w:num>
  <w:num w:numId="73">
    <w:abstractNumId w:val="41"/>
  </w:num>
  <w:num w:numId="74">
    <w:abstractNumId w:val="6"/>
  </w:num>
  <w:num w:numId="75">
    <w:abstractNumId w:val="0"/>
  </w:num>
  <w:num w:numId="76">
    <w:abstractNumId w:val="86"/>
  </w:num>
  <w:num w:numId="77">
    <w:abstractNumId w:val="11"/>
  </w:num>
  <w:num w:numId="78">
    <w:abstractNumId w:val="82"/>
  </w:num>
  <w:num w:numId="79">
    <w:abstractNumId w:val="38"/>
  </w:num>
  <w:num w:numId="80">
    <w:abstractNumId w:val="1"/>
  </w:num>
  <w:num w:numId="81">
    <w:abstractNumId w:val="20"/>
  </w:num>
  <w:num w:numId="82">
    <w:abstractNumId w:val="14"/>
  </w:num>
  <w:num w:numId="83">
    <w:abstractNumId w:val="56"/>
  </w:num>
  <w:num w:numId="84">
    <w:abstractNumId w:val="69"/>
  </w:num>
  <w:num w:numId="85">
    <w:abstractNumId w:val="117"/>
  </w:num>
  <w:num w:numId="86">
    <w:abstractNumId w:val="34"/>
  </w:num>
  <w:num w:numId="87">
    <w:abstractNumId w:val="22"/>
  </w:num>
  <w:num w:numId="88">
    <w:abstractNumId w:val="70"/>
  </w:num>
  <w:num w:numId="89">
    <w:abstractNumId w:val="55"/>
  </w:num>
  <w:num w:numId="90">
    <w:abstractNumId w:val="72"/>
  </w:num>
  <w:num w:numId="91">
    <w:abstractNumId w:val="66"/>
  </w:num>
  <w:num w:numId="92">
    <w:abstractNumId w:val="37"/>
  </w:num>
  <w:num w:numId="93">
    <w:abstractNumId w:val="75"/>
  </w:num>
  <w:num w:numId="94">
    <w:abstractNumId w:val="61"/>
  </w:num>
  <w:num w:numId="95">
    <w:abstractNumId w:val="109"/>
  </w:num>
  <w:num w:numId="96">
    <w:abstractNumId w:val="116"/>
  </w:num>
  <w:num w:numId="97">
    <w:abstractNumId w:val="95"/>
  </w:num>
  <w:num w:numId="98">
    <w:abstractNumId w:val="57"/>
  </w:num>
  <w:num w:numId="99">
    <w:abstractNumId w:val="79"/>
  </w:num>
  <w:num w:numId="100">
    <w:abstractNumId w:val="64"/>
  </w:num>
  <w:num w:numId="101">
    <w:abstractNumId w:val="84"/>
  </w:num>
  <w:num w:numId="102">
    <w:abstractNumId w:val="54"/>
  </w:num>
  <w:num w:numId="103">
    <w:abstractNumId w:val="35"/>
  </w:num>
  <w:num w:numId="104">
    <w:abstractNumId w:val="23"/>
  </w:num>
  <w:num w:numId="105">
    <w:abstractNumId w:val="93"/>
  </w:num>
  <w:num w:numId="106">
    <w:abstractNumId w:val="28"/>
  </w:num>
  <w:num w:numId="107">
    <w:abstractNumId w:val="2"/>
  </w:num>
  <w:num w:numId="108">
    <w:abstractNumId w:val="29"/>
  </w:num>
  <w:num w:numId="109">
    <w:abstractNumId w:val="96"/>
  </w:num>
  <w:num w:numId="110">
    <w:abstractNumId w:val="87"/>
  </w:num>
  <w:num w:numId="111">
    <w:abstractNumId w:val="115"/>
  </w:num>
  <w:num w:numId="112">
    <w:abstractNumId w:val="108"/>
  </w:num>
  <w:num w:numId="113">
    <w:abstractNumId w:val="99"/>
  </w:num>
  <w:num w:numId="114">
    <w:abstractNumId w:val="12"/>
  </w:num>
  <w:num w:numId="115">
    <w:abstractNumId w:val="118"/>
  </w:num>
  <w:num w:numId="116">
    <w:abstractNumId w:val="17"/>
  </w:num>
  <w:num w:numId="117">
    <w:abstractNumId w:val="73"/>
  </w:num>
  <w:num w:numId="118">
    <w:abstractNumId w:val="102"/>
  </w:num>
  <w:num w:numId="119">
    <w:abstractNumId w:val="18"/>
  </w:num>
  <w:num w:numId="120">
    <w:abstractNumId w:val="8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2"/>
    <o:shapelayout v:ext="edit">
      <o:idmap v:ext="edit" data="2"/>
    </o:shapelayout>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A8"/>
    <w:rsid w:val="00010A58"/>
    <w:rsid w:val="00027665"/>
    <w:rsid w:val="00036EDC"/>
    <w:rsid w:val="00041ED2"/>
    <w:rsid w:val="00045ACB"/>
    <w:rsid w:val="00046F85"/>
    <w:rsid w:val="00061206"/>
    <w:rsid w:val="000A1EF2"/>
    <w:rsid w:val="000A685E"/>
    <w:rsid w:val="000B0ED6"/>
    <w:rsid w:val="000B1689"/>
    <w:rsid w:val="000C124F"/>
    <w:rsid w:val="00112035"/>
    <w:rsid w:val="00122308"/>
    <w:rsid w:val="00124262"/>
    <w:rsid w:val="001535A7"/>
    <w:rsid w:val="001561B8"/>
    <w:rsid w:val="001625A8"/>
    <w:rsid w:val="001649C0"/>
    <w:rsid w:val="00164B97"/>
    <w:rsid w:val="00173B0C"/>
    <w:rsid w:val="00184A48"/>
    <w:rsid w:val="00192465"/>
    <w:rsid w:val="001A0436"/>
    <w:rsid w:val="001C70BF"/>
    <w:rsid w:val="001F54A9"/>
    <w:rsid w:val="001F5CA8"/>
    <w:rsid w:val="00201683"/>
    <w:rsid w:val="00214A6A"/>
    <w:rsid w:val="00216367"/>
    <w:rsid w:val="00225A36"/>
    <w:rsid w:val="00237A9D"/>
    <w:rsid w:val="0024116D"/>
    <w:rsid w:val="002537F2"/>
    <w:rsid w:val="00263F7C"/>
    <w:rsid w:val="002751B6"/>
    <w:rsid w:val="00295CD3"/>
    <w:rsid w:val="002A1763"/>
    <w:rsid w:val="002A4C7A"/>
    <w:rsid w:val="002A6E97"/>
    <w:rsid w:val="002C7A61"/>
    <w:rsid w:val="002D14D9"/>
    <w:rsid w:val="002D5D58"/>
    <w:rsid w:val="00352F94"/>
    <w:rsid w:val="003905EA"/>
    <w:rsid w:val="00392FA3"/>
    <w:rsid w:val="003B7A86"/>
    <w:rsid w:val="003C2FBC"/>
    <w:rsid w:val="003C44D4"/>
    <w:rsid w:val="003D27F1"/>
    <w:rsid w:val="003D730D"/>
    <w:rsid w:val="00406A77"/>
    <w:rsid w:val="00413A54"/>
    <w:rsid w:val="004165FC"/>
    <w:rsid w:val="00430BD1"/>
    <w:rsid w:val="004469F9"/>
    <w:rsid w:val="004504DE"/>
    <w:rsid w:val="00471640"/>
    <w:rsid w:val="004825E0"/>
    <w:rsid w:val="00484EFC"/>
    <w:rsid w:val="0049565A"/>
    <w:rsid w:val="004B0142"/>
    <w:rsid w:val="004B5AE5"/>
    <w:rsid w:val="004D4636"/>
    <w:rsid w:val="004E3B0A"/>
    <w:rsid w:val="00510A95"/>
    <w:rsid w:val="00510FED"/>
    <w:rsid w:val="00514B6C"/>
    <w:rsid w:val="00527417"/>
    <w:rsid w:val="00540020"/>
    <w:rsid w:val="00543F5D"/>
    <w:rsid w:val="00553357"/>
    <w:rsid w:val="0055347B"/>
    <w:rsid w:val="005761EC"/>
    <w:rsid w:val="00585265"/>
    <w:rsid w:val="005A4E5E"/>
    <w:rsid w:val="005B1074"/>
    <w:rsid w:val="005B2B03"/>
    <w:rsid w:val="005E01A8"/>
    <w:rsid w:val="00610C27"/>
    <w:rsid w:val="00652249"/>
    <w:rsid w:val="006550A7"/>
    <w:rsid w:val="006775E1"/>
    <w:rsid w:val="006A3D9F"/>
    <w:rsid w:val="006E52E3"/>
    <w:rsid w:val="00707904"/>
    <w:rsid w:val="00712DA1"/>
    <w:rsid w:val="00737371"/>
    <w:rsid w:val="00740873"/>
    <w:rsid w:val="007610D2"/>
    <w:rsid w:val="007662D5"/>
    <w:rsid w:val="007864FD"/>
    <w:rsid w:val="007A36E6"/>
    <w:rsid w:val="007B542E"/>
    <w:rsid w:val="007B6FF4"/>
    <w:rsid w:val="007C6890"/>
    <w:rsid w:val="007F2B4B"/>
    <w:rsid w:val="0080589B"/>
    <w:rsid w:val="008265B2"/>
    <w:rsid w:val="00831439"/>
    <w:rsid w:val="00847D42"/>
    <w:rsid w:val="00855501"/>
    <w:rsid w:val="00856708"/>
    <w:rsid w:val="00873F0D"/>
    <w:rsid w:val="00876C2F"/>
    <w:rsid w:val="00893E0A"/>
    <w:rsid w:val="008B15C7"/>
    <w:rsid w:val="00903205"/>
    <w:rsid w:val="0091684A"/>
    <w:rsid w:val="009456E6"/>
    <w:rsid w:val="00951B85"/>
    <w:rsid w:val="00956C15"/>
    <w:rsid w:val="009677F8"/>
    <w:rsid w:val="00982295"/>
    <w:rsid w:val="0098742B"/>
    <w:rsid w:val="009B412A"/>
    <w:rsid w:val="009C71F0"/>
    <w:rsid w:val="009E38CC"/>
    <w:rsid w:val="009E54B7"/>
    <w:rsid w:val="009E7524"/>
    <w:rsid w:val="009F6195"/>
    <w:rsid w:val="009F7CF9"/>
    <w:rsid w:val="00A0172D"/>
    <w:rsid w:val="00A03871"/>
    <w:rsid w:val="00A26E94"/>
    <w:rsid w:val="00A33356"/>
    <w:rsid w:val="00A50F26"/>
    <w:rsid w:val="00A61BC9"/>
    <w:rsid w:val="00A62093"/>
    <w:rsid w:val="00A814D2"/>
    <w:rsid w:val="00A9002A"/>
    <w:rsid w:val="00AB2670"/>
    <w:rsid w:val="00AB47DE"/>
    <w:rsid w:val="00AB53F4"/>
    <w:rsid w:val="00AB5825"/>
    <w:rsid w:val="00AB6297"/>
    <w:rsid w:val="00AB6F0E"/>
    <w:rsid w:val="00AB71B4"/>
    <w:rsid w:val="00AD21DB"/>
    <w:rsid w:val="00AD759B"/>
    <w:rsid w:val="00AE2350"/>
    <w:rsid w:val="00AF50AF"/>
    <w:rsid w:val="00B15BB6"/>
    <w:rsid w:val="00B23558"/>
    <w:rsid w:val="00B3726E"/>
    <w:rsid w:val="00B431CE"/>
    <w:rsid w:val="00B434B8"/>
    <w:rsid w:val="00B45322"/>
    <w:rsid w:val="00B52C4E"/>
    <w:rsid w:val="00B65965"/>
    <w:rsid w:val="00B96221"/>
    <w:rsid w:val="00BB0659"/>
    <w:rsid w:val="00BB12A1"/>
    <w:rsid w:val="00BC7F72"/>
    <w:rsid w:val="00C20741"/>
    <w:rsid w:val="00C21039"/>
    <w:rsid w:val="00C26632"/>
    <w:rsid w:val="00C54D2D"/>
    <w:rsid w:val="00C83A3F"/>
    <w:rsid w:val="00C8545A"/>
    <w:rsid w:val="00C97355"/>
    <w:rsid w:val="00CC6DA6"/>
    <w:rsid w:val="00D10E64"/>
    <w:rsid w:val="00D330B8"/>
    <w:rsid w:val="00D40CAA"/>
    <w:rsid w:val="00D558B0"/>
    <w:rsid w:val="00DA5B2B"/>
    <w:rsid w:val="00DB2044"/>
    <w:rsid w:val="00DC68B9"/>
    <w:rsid w:val="00DF211F"/>
    <w:rsid w:val="00DF71EC"/>
    <w:rsid w:val="00E005C6"/>
    <w:rsid w:val="00E15F47"/>
    <w:rsid w:val="00E25756"/>
    <w:rsid w:val="00E437DB"/>
    <w:rsid w:val="00E65720"/>
    <w:rsid w:val="00E85EDC"/>
    <w:rsid w:val="00E928C0"/>
    <w:rsid w:val="00EA18EC"/>
    <w:rsid w:val="00EB1409"/>
    <w:rsid w:val="00EC2855"/>
    <w:rsid w:val="00ED3A1E"/>
    <w:rsid w:val="00F01F81"/>
    <w:rsid w:val="00F30980"/>
    <w:rsid w:val="00F322DE"/>
    <w:rsid w:val="00F65BEE"/>
    <w:rsid w:val="00F76883"/>
    <w:rsid w:val="00F77039"/>
    <w:rsid w:val="00FA5BF3"/>
    <w:rsid w:val="00FD02F1"/>
    <w:rsid w:val="00FD0C2C"/>
    <w:rsid w:val="00FD16C4"/>
    <w:rsid w:val="00FE44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CA8"/>
    <w:pPr>
      <w:spacing w:after="240" w:line="240" w:lineRule="auto"/>
      <w:ind w:left="720"/>
    </w:pPr>
    <w:rPr>
      <w:rFonts w:ascii="Calibri" w:eastAsia="Times New Roman" w:hAnsi="Calibri" w:cs="Tahoma"/>
      <w:color w:val="000000"/>
      <w:lang w:eastAsia="en-AU"/>
    </w:rPr>
  </w:style>
  <w:style w:type="paragraph" w:styleId="Heading1">
    <w:name w:val="heading 1"/>
    <w:next w:val="Normal"/>
    <w:link w:val="Heading1Char"/>
    <w:autoRedefine/>
    <w:uiPriority w:val="9"/>
    <w:qFormat/>
    <w:rsid w:val="009E54B7"/>
    <w:pPr>
      <w:widowControl w:val="0"/>
      <w:spacing w:after="240" w:line="580" w:lineRule="exact"/>
      <w:ind w:right="6"/>
      <w:outlineLvl w:val="0"/>
    </w:pPr>
    <w:rPr>
      <w:rFonts w:eastAsia="HYGothic-Extra" w:cs="Arial"/>
      <w:b/>
      <w:bCs/>
      <w:color w:val="1E1E1E"/>
      <w:spacing w:val="-20"/>
      <w:sz w:val="36"/>
      <w:szCs w:val="36"/>
    </w:rPr>
  </w:style>
  <w:style w:type="paragraph" w:styleId="Heading2">
    <w:name w:val="heading 2"/>
    <w:next w:val="Normal"/>
    <w:link w:val="Heading2Char"/>
    <w:uiPriority w:val="9"/>
    <w:unhideWhenUsed/>
    <w:qFormat/>
    <w:rsid w:val="00707904"/>
    <w:pPr>
      <w:spacing w:before="360" w:after="120" w:line="240" w:lineRule="auto"/>
      <w:outlineLvl w:val="1"/>
    </w:pPr>
    <w:rPr>
      <w:rFonts w:eastAsia="Dotum" w:cs="Arial"/>
      <w:color w:val="FF0000"/>
      <w:sz w:val="32"/>
      <w:szCs w:val="36"/>
    </w:rPr>
  </w:style>
  <w:style w:type="paragraph" w:styleId="Heading3">
    <w:name w:val="heading 3"/>
    <w:basedOn w:val="Normal"/>
    <w:next w:val="Normal"/>
    <w:link w:val="Heading3Char"/>
    <w:uiPriority w:val="9"/>
    <w:unhideWhenUsed/>
    <w:qFormat/>
    <w:rsid w:val="00AB5825"/>
    <w:pPr>
      <w:spacing w:before="120" w:after="120"/>
      <w:ind w:left="0"/>
      <w:outlineLvl w:val="2"/>
    </w:pPr>
    <w:rPr>
      <w:rFonts w:asciiTheme="minorHAnsi" w:hAnsiTheme="minorHAnsi" w:cs="Arial"/>
      <w:color w:val="FF0000"/>
      <w:sz w:val="28"/>
      <w:szCs w:val="28"/>
    </w:rPr>
  </w:style>
  <w:style w:type="paragraph" w:styleId="Heading4">
    <w:name w:val="heading 4"/>
    <w:basedOn w:val="Normal"/>
    <w:next w:val="Normal"/>
    <w:link w:val="Heading4Char"/>
    <w:uiPriority w:val="9"/>
    <w:unhideWhenUsed/>
    <w:qFormat/>
    <w:rsid w:val="002A6E97"/>
    <w:pPr>
      <w:spacing w:before="240"/>
      <w:ind w:left="0"/>
      <w:outlineLvl w:val="3"/>
    </w:pPr>
    <w:rPr>
      <w:rFonts w:asciiTheme="minorHAnsi" w:hAnsiTheme="minorHAnsi" w:cs="Arial"/>
      <w:b/>
      <w:i/>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4B7"/>
    <w:rPr>
      <w:rFonts w:eastAsia="HYGothic-Extra" w:cs="Arial"/>
      <w:b/>
      <w:bCs/>
      <w:color w:val="1E1E1E"/>
      <w:spacing w:val="-20"/>
      <w:sz w:val="36"/>
      <w:szCs w:val="36"/>
    </w:rPr>
  </w:style>
  <w:style w:type="character" w:customStyle="1" w:styleId="Heading2Char">
    <w:name w:val="Heading 2 Char"/>
    <w:basedOn w:val="DefaultParagraphFont"/>
    <w:link w:val="Heading2"/>
    <w:uiPriority w:val="9"/>
    <w:rsid w:val="00707904"/>
    <w:rPr>
      <w:rFonts w:eastAsia="Dotum" w:cs="Arial"/>
      <w:color w:val="FF0000"/>
      <w:sz w:val="32"/>
      <w:szCs w:val="36"/>
    </w:rPr>
  </w:style>
  <w:style w:type="character" w:customStyle="1" w:styleId="Heading3Char">
    <w:name w:val="Heading 3 Char"/>
    <w:basedOn w:val="DefaultParagraphFont"/>
    <w:link w:val="Heading3"/>
    <w:uiPriority w:val="9"/>
    <w:rsid w:val="00AB5825"/>
    <w:rPr>
      <w:rFonts w:eastAsia="Times New Roman" w:cs="Arial"/>
      <w:color w:val="FF0000"/>
      <w:sz w:val="28"/>
      <w:szCs w:val="28"/>
      <w:lang w:eastAsia="en-AU"/>
    </w:rPr>
  </w:style>
  <w:style w:type="character" w:customStyle="1" w:styleId="Heading4Char">
    <w:name w:val="Heading 4 Char"/>
    <w:basedOn w:val="DefaultParagraphFont"/>
    <w:link w:val="Heading4"/>
    <w:uiPriority w:val="9"/>
    <w:rsid w:val="002A6E97"/>
    <w:rPr>
      <w:rFonts w:eastAsia="Times New Roman" w:cs="Arial"/>
      <w:b/>
      <w:i/>
      <w:color w:val="000000"/>
      <w:lang w:eastAsia="en-AU"/>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contextualSpacing/>
    </w:pPr>
  </w:style>
  <w:style w:type="character" w:customStyle="1" w:styleId="ListParagraphChar">
    <w:name w:val="List Paragraph Char"/>
    <w:basedOn w:val="DefaultParagraphFont"/>
    <w:link w:val="ListParagraph"/>
    <w:uiPriority w:val="34"/>
    <w:rsid w:val="00FD0C2C"/>
    <w:rPr>
      <w:rFonts w:ascii="Calibri" w:eastAsia="Times New Roman" w:hAnsi="Calibri" w:cs="Tahoma"/>
      <w:color w:val="000000"/>
      <w:lang w:eastAsia="en-AU"/>
    </w:rPr>
  </w:style>
  <w:style w:type="table" w:styleId="TableGrid">
    <w:name w:val="Table Grid"/>
    <w:basedOn w:val="TableNormal"/>
    <w:uiPriority w:val="59"/>
    <w:rsid w:val="00B37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ReportTitle">
    <w:name w:val="ReportTitle"/>
    <w:basedOn w:val="Normal"/>
    <w:unhideWhenUsed/>
    <w:rsid w:val="001F5CA8"/>
    <w:pPr>
      <w:spacing w:before="240" w:after="60"/>
      <w:jc w:val="right"/>
    </w:pPr>
    <w:rPr>
      <w:rFonts w:ascii="Arial Bold" w:hAnsi="Arial Bold"/>
      <w:b/>
      <w:bCs/>
      <w:sz w:val="48"/>
    </w:rPr>
  </w:style>
  <w:style w:type="paragraph" w:customStyle="1" w:styleId="ReportSubtitle">
    <w:name w:val="Report Subtitle"/>
    <w:basedOn w:val="Normal"/>
    <w:link w:val="ReportSubtitleChar"/>
    <w:unhideWhenUsed/>
    <w:rsid w:val="001F5CA8"/>
    <w:pPr>
      <w:jc w:val="right"/>
    </w:pPr>
    <w:rPr>
      <w:rFonts w:ascii="Arial Bold" w:hAnsi="Arial Bold"/>
      <w:b/>
      <w:bCs/>
      <w:sz w:val="40"/>
    </w:rPr>
  </w:style>
  <w:style w:type="character" w:customStyle="1" w:styleId="ReportSubtitleChar">
    <w:name w:val="Report Subtitle Char"/>
    <w:basedOn w:val="DefaultParagraphFont"/>
    <w:link w:val="ReportSubtitle"/>
    <w:rsid w:val="001F5CA8"/>
    <w:rPr>
      <w:rFonts w:ascii="Arial Bold" w:eastAsia="Times New Roman" w:hAnsi="Arial Bold" w:cs="Tahoma"/>
      <w:b/>
      <w:bCs/>
      <w:color w:val="000000"/>
      <w:sz w:val="40"/>
      <w:lang w:eastAsia="en-AU"/>
    </w:rPr>
  </w:style>
  <w:style w:type="paragraph" w:customStyle="1" w:styleId="Heading3a">
    <w:name w:val="Heading 3a"/>
    <w:basedOn w:val="Heading3"/>
    <w:next w:val="Normal"/>
    <w:uiPriority w:val="99"/>
    <w:unhideWhenUsed/>
    <w:rsid w:val="001F5CA8"/>
    <w:pPr>
      <w:keepNext/>
      <w:spacing w:before="240"/>
      <w:ind w:left="1440" w:hanging="720"/>
      <w:outlineLvl w:val="9"/>
    </w:pPr>
    <w:rPr>
      <w:rFonts w:cs="Times New Roman"/>
      <w:b/>
      <w:bCs/>
      <w:color w:val="000000"/>
      <w:sz w:val="22"/>
      <w:szCs w:val="26"/>
      <w:lang w:val="x-none" w:eastAsia="x-none"/>
    </w:rPr>
  </w:style>
  <w:style w:type="paragraph" w:styleId="Quote">
    <w:name w:val="Quote"/>
    <w:basedOn w:val="Normal"/>
    <w:link w:val="QuoteChar"/>
    <w:qFormat/>
    <w:rsid w:val="001F5CA8"/>
    <w:pPr>
      <w:ind w:left="1440" w:right="720"/>
    </w:pPr>
    <w:rPr>
      <w:rFonts w:cs="Times New Roman"/>
      <w:sz w:val="20"/>
      <w:lang w:val="x-none"/>
    </w:rPr>
  </w:style>
  <w:style w:type="character" w:customStyle="1" w:styleId="QuoteChar">
    <w:name w:val="Quote Char"/>
    <w:basedOn w:val="DefaultParagraphFont"/>
    <w:link w:val="Quote"/>
    <w:rsid w:val="001F5CA8"/>
    <w:rPr>
      <w:rFonts w:ascii="Calibri" w:eastAsia="Times New Roman" w:hAnsi="Calibri" w:cs="Times New Roman"/>
      <w:color w:val="000000"/>
      <w:sz w:val="20"/>
      <w:lang w:val="x-none" w:eastAsia="en-AU"/>
    </w:rPr>
  </w:style>
  <w:style w:type="paragraph" w:customStyle="1" w:styleId="Normalbeforebullet">
    <w:name w:val="Normal (before bullet)"/>
    <w:basedOn w:val="Normal"/>
    <w:link w:val="NormalbeforebulletChar"/>
    <w:unhideWhenUsed/>
    <w:rsid w:val="001F5CA8"/>
    <w:pPr>
      <w:keepNext/>
      <w:spacing w:after="120"/>
      <w:ind w:left="709"/>
    </w:pPr>
    <w:rPr>
      <w:rFonts w:cs="Times New Roman"/>
      <w:szCs w:val="20"/>
      <w:lang w:val="en-GB" w:eastAsia="en-GB"/>
    </w:rPr>
  </w:style>
  <w:style w:type="character" w:customStyle="1" w:styleId="NormalbeforebulletChar">
    <w:name w:val="Normal (before bullet) Char"/>
    <w:basedOn w:val="DefaultParagraphFont"/>
    <w:link w:val="Normalbeforebullet"/>
    <w:rsid w:val="001F5CA8"/>
    <w:rPr>
      <w:rFonts w:ascii="Calibri" w:eastAsia="Times New Roman" w:hAnsi="Calibri" w:cs="Times New Roman"/>
      <w:color w:val="000000"/>
      <w:szCs w:val="20"/>
      <w:lang w:val="en-GB" w:eastAsia="en-GB"/>
    </w:rPr>
  </w:style>
  <w:style w:type="character" w:styleId="Hyperlink">
    <w:name w:val="Hyperlink"/>
    <w:uiPriority w:val="99"/>
    <w:unhideWhenUsed/>
    <w:rsid w:val="001F5CA8"/>
    <w:rPr>
      <w:strike w:val="0"/>
      <w:dstrike w:val="0"/>
      <w:color w:val="004276"/>
      <w:u w:val="none"/>
      <w:effect w:val="none"/>
    </w:rPr>
  </w:style>
  <w:style w:type="character" w:customStyle="1" w:styleId="A0">
    <w:name w:val="A0"/>
    <w:rsid w:val="001F5CA8"/>
    <w:rPr>
      <w:rFonts w:cs="ITC Garamond Std Lt"/>
      <w:color w:val="221E1F"/>
      <w:sz w:val="20"/>
      <w:szCs w:val="20"/>
    </w:rPr>
  </w:style>
  <w:style w:type="character" w:customStyle="1" w:styleId="A21">
    <w:name w:val="A2+1"/>
    <w:uiPriority w:val="99"/>
    <w:rsid w:val="001F5CA8"/>
    <w:rPr>
      <w:rFonts w:cs="TitilliumText22L Lt"/>
      <w:color w:val="000000"/>
      <w:sz w:val="16"/>
      <w:szCs w:val="16"/>
    </w:rPr>
  </w:style>
  <w:style w:type="paragraph" w:styleId="BalloonText">
    <w:name w:val="Balloon Text"/>
    <w:basedOn w:val="Normal"/>
    <w:link w:val="BalloonTextChar"/>
    <w:uiPriority w:val="99"/>
    <w:semiHidden/>
    <w:unhideWhenUsed/>
    <w:rsid w:val="001F5CA8"/>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1F5CA8"/>
    <w:rPr>
      <w:rFonts w:ascii="Tahoma" w:eastAsia="Times New Roman" w:hAnsi="Tahoma" w:cs="Tahoma"/>
      <w:color w:val="000000"/>
      <w:sz w:val="16"/>
      <w:szCs w:val="16"/>
      <w:lang w:eastAsia="en-AU"/>
    </w:rPr>
  </w:style>
  <w:style w:type="paragraph" w:styleId="PlainText">
    <w:name w:val="Plain Text"/>
    <w:basedOn w:val="Normal"/>
    <w:link w:val="PlainTextChar"/>
    <w:uiPriority w:val="99"/>
    <w:semiHidden/>
    <w:unhideWhenUsed/>
    <w:rsid w:val="001F5CA8"/>
    <w:pPr>
      <w:spacing w:after="0"/>
      <w:ind w:left="0"/>
    </w:pPr>
    <w:rPr>
      <w:rFonts w:eastAsiaTheme="minorHAnsi" w:cstheme="minorBidi"/>
      <w:color w:val="auto"/>
      <w:szCs w:val="21"/>
      <w:lang w:eastAsia="en-US"/>
    </w:rPr>
  </w:style>
  <w:style w:type="character" w:customStyle="1" w:styleId="PlainTextChar">
    <w:name w:val="Plain Text Char"/>
    <w:basedOn w:val="DefaultParagraphFont"/>
    <w:link w:val="PlainText"/>
    <w:uiPriority w:val="99"/>
    <w:semiHidden/>
    <w:rsid w:val="001F5CA8"/>
    <w:rPr>
      <w:rFonts w:ascii="Calibri" w:hAnsi="Calibri"/>
      <w:szCs w:val="21"/>
    </w:rPr>
  </w:style>
  <w:style w:type="character" w:styleId="FollowedHyperlink">
    <w:name w:val="FollowedHyperlink"/>
    <w:basedOn w:val="DefaultParagraphFont"/>
    <w:uiPriority w:val="99"/>
    <w:semiHidden/>
    <w:unhideWhenUsed/>
    <w:rsid w:val="001F5CA8"/>
    <w:rPr>
      <w:color w:val="800080" w:themeColor="followedHyperlink"/>
      <w:u w:val="single"/>
    </w:rPr>
  </w:style>
  <w:style w:type="character" w:styleId="CommentReference">
    <w:name w:val="annotation reference"/>
    <w:basedOn w:val="DefaultParagraphFont"/>
    <w:uiPriority w:val="99"/>
    <w:semiHidden/>
    <w:unhideWhenUsed/>
    <w:rsid w:val="00CC6DA6"/>
    <w:rPr>
      <w:sz w:val="16"/>
      <w:szCs w:val="16"/>
    </w:rPr>
  </w:style>
  <w:style w:type="paragraph" w:styleId="CommentText">
    <w:name w:val="annotation text"/>
    <w:basedOn w:val="Normal"/>
    <w:link w:val="CommentTextChar"/>
    <w:uiPriority w:val="99"/>
    <w:unhideWhenUsed/>
    <w:rsid w:val="00CC6DA6"/>
    <w:pPr>
      <w:spacing w:after="200"/>
      <w:ind w:left="0"/>
    </w:pPr>
    <w:rPr>
      <w:rFonts w:eastAsia="Dotum" w:cs="Calibri"/>
      <w:color w:val="auto"/>
      <w:sz w:val="20"/>
      <w:szCs w:val="20"/>
      <w:lang w:eastAsia="en-US"/>
    </w:rPr>
  </w:style>
  <w:style w:type="character" w:customStyle="1" w:styleId="CommentTextChar">
    <w:name w:val="Comment Text Char"/>
    <w:basedOn w:val="DefaultParagraphFont"/>
    <w:link w:val="CommentText"/>
    <w:uiPriority w:val="99"/>
    <w:rsid w:val="00CC6DA6"/>
    <w:rPr>
      <w:rFonts w:ascii="Calibri" w:eastAsia="Dotum" w:hAnsi="Calibri" w:cs="Calibri"/>
      <w:sz w:val="20"/>
      <w:szCs w:val="20"/>
    </w:rPr>
  </w:style>
  <w:style w:type="paragraph" w:styleId="TOC1">
    <w:name w:val="toc 1"/>
    <w:basedOn w:val="Normal"/>
    <w:next w:val="Normal"/>
    <w:autoRedefine/>
    <w:uiPriority w:val="39"/>
    <w:unhideWhenUsed/>
    <w:qFormat/>
    <w:rsid w:val="000B1689"/>
    <w:pPr>
      <w:tabs>
        <w:tab w:val="right" w:leader="dot" w:pos="9323"/>
      </w:tabs>
      <w:spacing w:after="100" w:line="276" w:lineRule="auto"/>
      <w:ind w:left="0"/>
    </w:pPr>
    <w:rPr>
      <w:rFonts w:asciiTheme="minorHAnsi" w:eastAsiaTheme="minorEastAsia" w:hAnsiTheme="minorHAnsi" w:cstheme="minorBidi"/>
      <w:color w:val="auto"/>
      <w:lang w:val="en-US" w:eastAsia="ja-JP"/>
    </w:rPr>
  </w:style>
  <w:style w:type="paragraph" w:styleId="TOC3">
    <w:name w:val="toc 3"/>
    <w:basedOn w:val="Normal"/>
    <w:next w:val="Normal"/>
    <w:autoRedefine/>
    <w:uiPriority w:val="39"/>
    <w:unhideWhenUsed/>
    <w:qFormat/>
    <w:rsid w:val="000B1689"/>
    <w:pPr>
      <w:tabs>
        <w:tab w:val="right" w:leader="dot" w:pos="9323"/>
      </w:tabs>
      <w:spacing w:after="100" w:line="276" w:lineRule="auto"/>
    </w:pPr>
    <w:rPr>
      <w:rFonts w:asciiTheme="minorHAnsi" w:eastAsiaTheme="minorEastAsia" w:hAnsiTheme="minorHAnsi" w:cstheme="minorBidi"/>
      <w:i/>
      <w:color w:val="auto"/>
      <w:sz w:val="20"/>
      <w:szCs w:val="20"/>
      <w:lang w:val="en-US" w:eastAsia="ja-JP"/>
    </w:rPr>
  </w:style>
  <w:style w:type="paragraph" w:styleId="CommentSubject">
    <w:name w:val="annotation subject"/>
    <w:basedOn w:val="CommentText"/>
    <w:next w:val="CommentText"/>
    <w:link w:val="CommentSubjectChar"/>
    <w:uiPriority w:val="99"/>
    <w:semiHidden/>
    <w:unhideWhenUsed/>
    <w:rsid w:val="00EB1409"/>
    <w:pPr>
      <w:spacing w:after="240"/>
      <w:ind w:left="720"/>
    </w:pPr>
    <w:rPr>
      <w:rFonts w:eastAsia="Times New Roman" w:cs="Tahoma"/>
      <w:b/>
      <w:bCs/>
      <w:color w:val="000000"/>
      <w:lang w:eastAsia="en-AU"/>
    </w:rPr>
  </w:style>
  <w:style w:type="character" w:customStyle="1" w:styleId="CommentSubjectChar">
    <w:name w:val="Comment Subject Char"/>
    <w:basedOn w:val="CommentTextChar"/>
    <w:link w:val="CommentSubject"/>
    <w:uiPriority w:val="99"/>
    <w:semiHidden/>
    <w:rsid w:val="00EB1409"/>
    <w:rPr>
      <w:rFonts w:ascii="Calibri" w:eastAsia="Times New Roman" w:hAnsi="Calibri" w:cs="Tahoma"/>
      <w:b/>
      <w:bCs/>
      <w:color w:val="000000"/>
      <w:sz w:val="20"/>
      <w:szCs w:val="20"/>
      <w:lang w:eastAsia="en-AU"/>
    </w:rPr>
  </w:style>
  <w:style w:type="character" w:customStyle="1" w:styleId="A8">
    <w:name w:val="A8"/>
    <w:uiPriority w:val="99"/>
    <w:rsid w:val="001625A8"/>
    <w:rPr>
      <w:color w:val="E31736"/>
      <w:sz w:val="28"/>
    </w:rPr>
  </w:style>
  <w:style w:type="paragraph" w:customStyle="1" w:styleId="Pa30">
    <w:name w:val="Pa30"/>
    <w:basedOn w:val="Normal"/>
    <w:next w:val="Normal"/>
    <w:uiPriority w:val="99"/>
    <w:rsid w:val="001625A8"/>
    <w:pPr>
      <w:autoSpaceDE w:val="0"/>
      <w:autoSpaceDN w:val="0"/>
      <w:adjustRightInd w:val="0"/>
      <w:spacing w:after="0" w:line="181" w:lineRule="atLeast"/>
      <w:ind w:left="0"/>
    </w:pPr>
    <w:rPr>
      <w:rFonts w:ascii="Avenir LT Std 55 Roman" w:eastAsia="Calibri" w:hAnsi="Avenir LT Std 55 Roman" w:cs="Times New Roman"/>
      <w:color w:val="auto"/>
      <w:sz w:val="24"/>
      <w:szCs w:val="24"/>
      <w:lang w:eastAsia="en-US"/>
    </w:rPr>
  </w:style>
  <w:style w:type="paragraph" w:styleId="FootnoteText">
    <w:name w:val="footnote text"/>
    <w:basedOn w:val="Normal"/>
    <w:link w:val="FootnoteTextChar"/>
    <w:uiPriority w:val="99"/>
    <w:rsid w:val="00FD0C2C"/>
    <w:pPr>
      <w:spacing w:after="0"/>
      <w:ind w:left="0"/>
      <w:jc w:val="both"/>
    </w:pPr>
    <w:rPr>
      <w:rFonts w:ascii="Garamond" w:hAnsi="Garamond" w:cs="Times New Roman"/>
      <w:color w:val="auto"/>
      <w:sz w:val="20"/>
      <w:szCs w:val="20"/>
      <w:lang w:eastAsia="en-US"/>
    </w:rPr>
  </w:style>
  <w:style w:type="character" w:customStyle="1" w:styleId="FootnoteTextChar">
    <w:name w:val="Footnote Text Char"/>
    <w:basedOn w:val="DefaultParagraphFont"/>
    <w:link w:val="FootnoteText"/>
    <w:uiPriority w:val="99"/>
    <w:rsid w:val="00FD0C2C"/>
    <w:rPr>
      <w:rFonts w:ascii="Garamond" w:eastAsia="Times New Roman" w:hAnsi="Garamond" w:cs="Times New Roman"/>
      <w:sz w:val="20"/>
      <w:szCs w:val="20"/>
    </w:rPr>
  </w:style>
  <w:style w:type="character" w:styleId="FootnoteReference">
    <w:name w:val="footnote reference"/>
    <w:basedOn w:val="DefaultParagraphFont"/>
    <w:uiPriority w:val="99"/>
    <w:rsid w:val="00FD0C2C"/>
    <w:rPr>
      <w:vertAlign w:val="superscript"/>
    </w:rPr>
  </w:style>
  <w:style w:type="paragraph" w:customStyle="1" w:styleId="Default">
    <w:name w:val="Default"/>
    <w:rsid w:val="00E928C0"/>
    <w:pPr>
      <w:autoSpaceDE w:val="0"/>
      <w:autoSpaceDN w:val="0"/>
      <w:adjustRightInd w:val="0"/>
      <w:spacing w:after="0" w:line="240" w:lineRule="auto"/>
    </w:pPr>
    <w:rPr>
      <w:rFonts w:ascii="Avenir LT Std 55 Roman" w:eastAsia="Calibri" w:hAnsi="Avenir LT Std 55 Roman" w:cs="Avenir LT Std 55 Roman"/>
      <w:color w:val="000000"/>
      <w:sz w:val="24"/>
      <w:szCs w:val="24"/>
    </w:rPr>
  </w:style>
  <w:style w:type="paragraph" w:customStyle="1" w:styleId="Pa3">
    <w:name w:val="Pa3"/>
    <w:basedOn w:val="Default"/>
    <w:next w:val="Default"/>
    <w:uiPriority w:val="99"/>
    <w:rsid w:val="00E928C0"/>
    <w:pPr>
      <w:spacing w:line="261" w:lineRule="atLeast"/>
    </w:pPr>
    <w:rPr>
      <w:rFonts w:cs="Times New Roman"/>
      <w:color w:val="auto"/>
    </w:rPr>
  </w:style>
  <w:style w:type="paragraph" w:customStyle="1" w:styleId="Pa19">
    <w:name w:val="Pa19"/>
    <w:basedOn w:val="Default"/>
    <w:next w:val="Default"/>
    <w:uiPriority w:val="99"/>
    <w:rsid w:val="00E928C0"/>
    <w:pPr>
      <w:spacing w:line="161" w:lineRule="atLeast"/>
    </w:pPr>
    <w:rPr>
      <w:rFonts w:cs="Times New Roman"/>
      <w:color w:val="auto"/>
    </w:rPr>
  </w:style>
  <w:style w:type="paragraph" w:customStyle="1" w:styleId="Pa21">
    <w:name w:val="Pa21"/>
    <w:basedOn w:val="Default"/>
    <w:next w:val="Default"/>
    <w:uiPriority w:val="99"/>
    <w:rsid w:val="00E928C0"/>
    <w:pPr>
      <w:spacing w:line="141" w:lineRule="atLeast"/>
    </w:pPr>
    <w:rPr>
      <w:rFonts w:cs="Times New Roman"/>
      <w:color w:val="auto"/>
    </w:rPr>
  </w:style>
  <w:style w:type="paragraph" w:customStyle="1" w:styleId="Pa22">
    <w:name w:val="Pa22"/>
    <w:basedOn w:val="Default"/>
    <w:next w:val="Default"/>
    <w:uiPriority w:val="99"/>
    <w:rsid w:val="00E928C0"/>
    <w:pPr>
      <w:spacing w:line="181" w:lineRule="atLeast"/>
    </w:pPr>
    <w:rPr>
      <w:rFonts w:cs="Times New Roman"/>
      <w:color w:val="auto"/>
    </w:rPr>
  </w:style>
  <w:style w:type="paragraph" w:customStyle="1" w:styleId="Pa28">
    <w:name w:val="Pa28"/>
    <w:basedOn w:val="Default"/>
    <w:next w:val="Default"/>
    <w:uiPriority w:val="99"/>
    <w:rsid w:val="00E928C0"/>
    <w:pPr>
      <w:spacing w:line="161" w:lineRule="atLeast"/>
    </w:pPr>
    <w:rPr>
      <w:rFonts w:cs="Times New Roman"/>
      <w:color w:val="auto"/>
    </w:rPr>
  </w:style>
  <w:style w:type="paragraph" w:customStyle="1" w:styleId="Pa34">
    <w:name w:val="Pa34"/>
    <w:basedOn w:val="Default"/>
    <w:next w:val="Default"/>
    <w:uiPriority w:val="99"/>
    <w:rsid w:val="00E928C0"/>
    <w:pPr>
      <w:spacing w:line="181" w:lineRule="atLeast"/>
    </w:pPr>
    <w:rPr>
      <w:rFonts w:cs="Times New Roman"/>
      <w:color w:val="auto"/>
    </w:rPr>
  </w:style>
  <w:style w:type="character" w:customStyle="1" w:styleId="A16">
    <w:name w:val="A16"/>
    <w:uiPriority w:val="99"/>
    <w:rsid w:val="00E928C0"/>
    <w:rPr>
      <w:b/>
      <w:color w:val="221E1F"/>
      <w:sz w:val="12"/>
    </w:rPr>
  </w:style>
  <w:style w:type="paragraph" w:customStyle="1" w:styleId="Pa13">
    <w:name w:val="Pa13"/>
    <w:basedOn w:val="Default"/>
    <w:next w:val="Default"/>
    <w:uiPriority w:val="99"/>
    <w:rsid w:val="00E928C0"/>
    <w:pPr>
      <w:spacing w:line="281" w:lineRule="atLeast"/>
    </w:pPr>
    <w:rPr>
      <w:rFonts w:ascii="Minion Pro" w:hAnsi="Minion Pro" w:cs="Times New Roman"/>
      <w:color w:val="auto"/>
    </w:rPr>
  </w:style>
  <w:style w:type="paragraph" w:customStyle="1" w:styleId="Pa31">
    <w:name w:val="Pa31"/>
    <w:basedOn w:val="Default"/>
    <w:next w:val="Default"/>
    <w:uiPriority w:val="99"/>
    <w:rsid w:val="00E928C0"/>
    <w:pPr>
      <w:spacing w:line="161" w:lineRule="atLeast"/>
    </w:pPr>
    <w:rPr>
      <w:rFonts w:cs="Times New Roman"/>
      <w:color w:val="auto"/>
    </w:rPr>
  </w:style>
  <w:style w:type="character" w:styleId="PlaceholderText">
    <w:name w:val="Placeholder Text"/>
    <w:basedOn w:val="DefaultParagraphFont"/>
    <w:uiPriority w:val="99"/>
    <w:semiHidden/>
    <w:rsid w:val="00E928C0"/>
    <w:rPr>
      <w:color w:val="808080"/>
    </w:rPr>
  </w:style>
  <w:style w:type="paragraph" w:customStyle="1" w:styleId="bullet">
    <w:name w:val="bullet"/>
    <w:basedOn w:val="ListParagraph"/>
    <w:qFormat/>
    <w:rsid w:val="00484EFC"/>
    <w:pPr>
      <w:numPr>
        <w:numId w:val="67"/>
      </w:numPr>
      <w:autoSpaceDE w:val="0"/>
      <w:autoSpaceDN w:val="0"/>
      <w:adjustRightInd w:val="0"/>
      <w:spacing w:after="0"/>
      <w:contextualSpacing w:val="0"/>
      <w:jc w:val="both"/>
    </w:pPr>
    <w:rPr>
      <w:rFonts w:ascii="Garamond" w:hAnsi="Garamond" w:cs="Times New Roman"/>
      <w:color w:val="auto"/>
      <w:sz w:val="24"/>
      <w:szCs w:val="24"/>
      <w:lang w:val="en-US" w:eastAsia="en-US"/>
    </w:rPr>
  </w:style>
  <w:style w:type="paragraph" w:customStyle="1" w:styleId="Pa17">
    <w:name w:val="Pa17"/>
    <w:basedOn w:val="Default"/>
    <w:next w:val="Default"/>
    <w:uiPriority w:val="99"/>
    <w:rsid w:val="00484EFC"/>
    <w:pPr>
      <w:spacing w:line="1081" w:lineRule="atLeast"/>
    </w:pPr>
    <w:rPr>
      <w:rFonts w:eastAsiaTheme="minorHAnsi" w:cstheme="minorBidi"/>
      <w:color w:val="auto"/>
    </w:rPr>
  </w:style>
  <w:style w:type="character" w:customStyle="1" w:styleId="A18">
    <w:name w:val="A18"/>
    <w:uiPriority w:val="99"/>
    <w:rsid w:val="00484EFC"/>
    <w:rPr>
      <w:rFonts w:cs="Minion Pro"/>
      <w:color w:val="221E1F"/>
      <w:sz w:val="18"/>
      <w:szCs w:val="18"/>
    </w:rPr>
  </w:style>
  <w:style w:type="paragraph" w:customStyle="1" w:styleId="Pa2">
    <w:name w:val="Pa2"/>
    <w:basedOn w:val="Default"/>
    <w:next w:val="Default"/>
    <w:uiPriority w:val="99"/>
    <w:rsid w:val="00484EFC"/>
    <w:pPr>
      <w:spacing w:line="241" w:lineRule="atLeast"/>
    </w:pPr>
    <w:rPr>
      <w:rFonts w:ascii="Minion Pro" w:eastAsiaTheme="minorHAnsi" w:hAnsi="Minion Pro" w:cstheme="minorBidi"/>
      <w:color w:val="auto"/>
    </w:rPr>
  </w:style>
  <w:style w:type="paragraph" w:customStyle="1" w:styleId="Pa4">
    <w:name w:val="Pa4"/>
    <w:basedOn w:val="Default"/>
    <w:next w:val="Default"/>
    <w:uiPriority w:val="99"/>
    <w:rsid w:val="00484EFC"/>
    <w:pPr>
      <w:spacing w:line="241" w:lineRule="atLeast"/>
    </w:pPr>
    <w:rPr>
      <w:rFonts w:eastAsiaTheme="minorHAnsi" w:cstheme="minorBidi"/>
      <w:color w:val="auto"/>
    </w:rPr>
  </w:style>
  <w:style w:type="paragraph" w:customStyle="1" w:styleId="Pa44">
    <w:name w:val="Pa44"/>
    <w:basedOn w:val="Default"/>
    <w:next w:val="Default"/>
    <w:uiPriority w:val="99"/>
    <w:rsid w:val="00484EFC"/>
    <w:pPr>
      <w:spacing w:line="241" w:lineRule="atLeast"/>
    </w:pPr>
    <w:rPr>
      <w:rFonts w:ascii="Minion Pro" w:eastAsiaTheme="minorHAnsi" w:hAnsi="Minion Pro" w:cstheme="minorBidi"/>
      <w:color w:val="auto"/>
    </w:rPr>
  </w:style>
  <w:style w:type="character" w:customStyle="1" w:styleId="A19">
    <w:name w:val="A19"/>
    <w:uiPriority w:val="99"/>
    <w:rsid w:val="00484EFC"/>
    <w:rPr>
      <w:rFonts w:cs="Minion Pro"/>
      <w:color w:val="221E1F"/>
      <w:sz w:val="15"/>
      <w:szCs w:val="15"/>
    </w:rPr>
  </w:style>
  <w:style w:type="paragraph" w:styleId="Caption">
    <w:name w:val="caption"/>
    <w:basedOn w:val="Normal"/>
    <w:next w:val="Normal"/>
    <w:unhideWhenUsed/>
    <w:qFormat/>
    <w:rsid w:val="00FE440A"/>
    <w:pPr>
      <w:spacing w:after="200"/>
      <w:ind w:left="0"/>
    </w:pPr>
    <w:rPr>
      <w:rFonts w:eastAsia="Dotum" w:cs="Calibri"/>
      <w:b/>
      <w:bCs/>
      <w:caps/>
      <w:color w:val="7A7A7A"/>
      <w:sz w:val="18"/>
      <w:szCs w:val="18"/>
      <w:lang w:eastAsia="en-US"/>
    </w:rPr>
  </w:style>
  <w:style w:type="paragraph" w:styleId="NormalWeb">
    <w:name w:val="Normal (Web)"/>
    <w:basedOn w:val="Normal"/>
    <w:uiPriority w:val="99"/>
    <w:unhideWhenUsed/>
    <w:rsid w:val="00FE440A"/>
    <w:pPr>
      <w:spacing w:before="100" w:beforeAutospacing="1" w:after="100" w:afterAutospacing="1"/>
      <w:ind w:left="0"/>
    </w:pPr>
    <w:rPr>
      <w:rFonts w:ascii="Times New Roman" w:hAnsi="Times New Roman" w:cs="Times New Roman"/>
      <w:color w:val="auto"/>
      <w:sz w:val="24"/>
      <w:szCs w:val="24"/>
    </w:rPr>
  </w:style>
  <w:style w:type="paragraph" w:styleId="TOCHeading">
    <w:name w:val="TOC Heading"/>
    <w:basedOn w:val="Heading1"/>
    <w:next w:val="Normal"/>
    <w:uiPriority w:val="39"/>
    <w:unhideWhenUsed/>
    <w:qFormat/>
    <w:rsid w:val="00707904"/>
    <w:pPr>
      <w:keepNext/>
      <w:keepLines/>
      <w:widowControl/>
      <w:spacing w:before="480" w:after="0" w:line="276" w:lineRule="auto"/>
      <w:ind w:right="0"/>
      <w:outlineLvl w:val="9"/>
    </w:pPr>
    <w:rPr>
      <w:rFonts w:asciiTheme="majorHAnsi" w:eastAsiaTheme="majorEastAsia" w:hAnsiTheme="majorHAnsi" w:cstheme="majorBidi"/>
      <w:color w:val="365F91" w:themeColor="accent1" w:themeShade="BF"/>
      <w:spacing w:val="0"/>
      <w:sz w:val="28"/>
      <w:szCs w:val="28"/>
      <w:lang w:val="en-US" w:eastAsia="ja-JP"/>
    </w:rPr>
  </w:style>
  <w:style w:type="paragraph" w:styleId="TOC2">
    <w:name w:val="toc 2"/>
    <w:basedOn w:val="Normal"/>
    <w:next w:val="Normal"/>
    <w:autoRedefine/>
    <w:uiPriority w:val="39"/>
    <w:unhideWhenUsed/>
    <w:rsid w:val="0070790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CA8"/>
    <w:pPr>
      <w:spacing w:after="240" w:line="240" w:lineRule="auto"/>
      <w:ind w:left="720"/>
    </w:pPr>
    <w:rPr>
      <w:rFonts w:ascii="Calibri" w:eastAsia="Times New Roman" w:hAnsi="Calibri" w:cs="Tahoma"/>
      <w:color w:val="000000"/>
      <w:lang w:eastAsia="en-AU"/>
    </w:rPr>
  </w:style>
  <w:style w:type="paragraph" w:styleId="Heading1">
    <w:name w:val="heading 1"/>
    <w:next w:val="Normal"/>
    <w:link w:val="Heading1Char"/>
    <w:autoRedefine/>
    <w:uiPriority w:val="9"/>
    <w:qFormat/>
    <w:rsid w:val="009E54B7"/>
    <w:pPr>
      <w:widowControl w:val="0"/>
      <w:spacing w:after="240" w:line="580" w:lineRule="exact"/>
      <w:ind w:right="6"/>
      <w:outlineLvl w:val="0"/>
    </w:pPr>
    <w:rPr>
      <w:rFonts w:eastAsia="HYGothic-Extra" w:cs="Arial"/>
      <w:b/>
      <w:bCs/>
      <w:color w:val="1E1E1E"/>
      <w:spacing w:val="-20"/>
      <w:sz w:val="36"/>
      <w:szCs w:val="36"/>
    </w:rPr>
  </w:style>
  <w:style w:type="paragraph" w:styleId="Heading2">
    <w:name w:val="heading 2"/>
    <w:next w:val="Normal"/>
    <w:link w:val="Heading2Char"/>
    <w:uiPriority w:val="9"/>
    <w:unhideWhenUsed/>
    <w:qFormat/>
    <w:rsid w:val="00707904"/>
    <w:pPr>
      <w:spacing w:before="360" w:after="120" w:line="240" w:lineRule="auto"/>
      <w:outlineLvl w:val="1"/>
    </w:pPr>
    <w:rPr>
      <w:rFonts w:eastAsia="Dotum" w:cs="Arial"/>
      <w:color w:val="FF0000"/>
      <w:sz w:val="32"/>
      <w:szCs w:val="36"/>
    </w:rPr>
  </w:style>
  <w:style w:type="paragraph" w:styleId="Heading3">
    <w:name w:val="heading 3"/>
    <w:basedOn w:val="Normal"/>
    <w:next w:val="Normal"/>
    <w:link w:val="Heading3Char"/>
    <w:uiPriority w:val="9"/>
    <w:unhideWhenUsed/>
    <w:qFormat/>
    <w:rsid w:val="00AB5825"/>
    <w:pPr>
      <w:spacing w:before="120" w:after="120"/>
      <w:ind w:left="0"/>
      <w:outlineLvl w:val="2"/>
    </w:pPr>
    <w:rPr>
      <w:rFonts w:asciiTheme="minorHAnsi" w:hAnsiTheme="minorHAnsi" w:cs="Arial"/>
      <w:color w:val="FF0000"/>
      <w:sz w:val="28"/>
      <w:szCs w:val="28"/>
    </w:rPr>
  </w:style>
  <w:style w:type="paragraph" w:styleId="Heading4">
    <w:name w:val="heading 4"/>
    <w:basedOn w:val="Normal"/>
    <w:next w:val="Normal"/>
    <w:link w:val="Heading4Char"/>
    <w:uiPriority w:val="9"/>
    <w:unhideWhenUsed/>
    <w:qFormat/>
    <w:rsid w:val="002A6E97"/>
    <w:pPr>
      <w:spacing w:before="240"/>
      <w:ind w:left="0"/>
      <w:outlineLvl w:val="3"/>
    </w:pPr>
    <w:rPr>
      <w:rFonts w:asciiTheme="minorHAnsi" w:hAnsiTheme="minorHAnsi" w:cs="Arial"/>
      <w:b/>
      <w:i/>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4B7"/>
    <w:rPr>
      <w:rFonts w:eastAsia="HYGothic-Extra" w:cs="Arial"/>
      <w:b/>
      <w:bCs/>
      <w:color w:val="1E1E1E"/>
      <w:spacing w:val="-20"/>
      <w:sz w:val="36"/>
      <w:szCs w:val="36"/>
    </w:rPr>
  </w:style>
  <w:style w:type="character" w:customStyle="1" w:styleId="Heading2Char">
    <w:name w:val="Heading 2 Char"/>
    <w:basedOn w:val="DefaultParagraphFont"/>
    <w:link w:val="Heading2"/>
    <w:uiPriority w:val="9"/>
    <w:rsid w:val="00707904"/>
    <w:rPr>
      <w:rFonts w:eastAsia="Dotum" w:cs="Arial"/>
      <w:color w:val="FF0000"/>
      <w:sz w:val="32"/>
      <w:szCs w:val="36"/>
    </w:rPr>
  </w:style>
  <w:style w:type="character" w:customStyle="1" w:styleId="Heading3Char">
    <w:name w:val="Heading 3 Char"/>
    <w:basedOn w:val="DefaultParagraphFont"/>
    <w:link w:val="Heading3"/>
    <w:uiPriority w:val="9"/>
    <w:rsid w:val="00AB5825"/>
    <w:rPr>
      <w:rFonts w:eastAsia="Times New Roman" w:cs="Arial"/>
      <w:color w:val="FF0000"/>
      <w:sz w:val="28"/>
      <w:szCs w:val="28"/>
      <w:lang w:eastAsia="en-AU"/>
    </w:rPr>
  </w:style>
  <w:style w:type="character" w:customStyle="1" w:styleId="Heading4Char">
    <w:name w:val="Heading 4 Char"/>
    <w:basedOn w:val="DefaultParagraphFont"/>
    <w:link w:val="Heading4"/>
    <w:uiPriority w:val="9"/>
    <w:rsid w:val="002A6E97"/>
    <w:rPr>
      <w:rFonts w:eastAsia="Times New Roman" w:cs="Arial"/>
      <w:b/>
      <w:i/>
      <w:color w:val="000000"/>
      <w:lang w:eastAsia="en-AU"/>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contextualSpacing/>
    </w:pPr>
  </w:style>
  <w:style w:type="character" w:customStyle="1" w:styleId="ListParagraphChar">
    <w:name w:val="List Paragraph Char"/>
    <w:basedOn w:val="DefaultParagraphFont"/>
    <w:link w:val="ListParagraph"/>
    <w:uiPriority w:val="34"/>
    <w:rsid w:val="00FD0C2C"/>
    <w:rPr>
      <w:rFonts w:ascii="Calibri" w:eastAsia="Times New Roman" w:hAnsi="Calibri" w:cs="Tahoma"/>
      <w:color w:val="000000"/>
      <w:lang w:eastAsia="en-AU"/>
    </w:rPr>
  </w:style>
  <w:style w:type="table" w:styleId="TableGrid">
    <w:name w:val="Table Grid"/>
    <w:basedOn w:val="TableNormal"/>
    <w:uiPriority w:val="59"/>
    <w:rsid w:val="00B37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ReportTitle">
    <w:name w:val="ReportTitle"/>
    <w:basedOn w:val="Normal"/>
    <w:unhideWhenUsed/>
    <w:rsid w:val="001F5CA8"/>
    <w:pPr>
      <w:spacing w:before="240" w:after="60"/>
      <w:jc w:val="right"/>
    </w:pPr>
    <w:rPr>
      <w:rFonts w:ascii="Arial Bold" w:hAnsi="Arial Bold"/>
      <w:b/>
      <w:bCs/>
      <w:sz w:val="48"/>
    </w:rPr>
  </w:style>
  <w:style w:type="paragraph" w:customStyle="1" w:styleId="ReportSubtitle">
    <w:name w:val="Report Subtitle"/>
    <w:basedOn w:val="Normal"/>
    <w:link w:val="ReportSubtitleChar"/>
    <w:unhideWhenUsed/>
    <w:rsid w:val="001F5CA8"/>
    <w:pPr>
      <w:jc w:val="right"/>
    </w:pPr>
    <w:rPr>
      <w:rFonts w:ascii="Arial Bold" w:hAnsi="Arial Bold"/>
      <w:b/>
      <w:bCs/>
      <w:sz w:val="40"/>
    </w:rPr>
  </w:style>
  <w:style w:type="character" w:customStyle="1" w:styleId="ReportSubtitleChar">
    <w:name w:val="Report Subtitle Char"/>
    <w:basedOn w:val="DefaultParagraphFont"/>
    <w:link w:val="ReportSubtitle"/>
    <w:rsid w:val="001F5CA8"/>
    <w:rPr>
      <w:rFonts w:ascii="Arial Bold" w:eastAsia="Times New Roman" w:hAnsi="Arial Bold" w:cs="Tahoma"/>
      <w:b/>
      <w:bCs/>
      <w:color w:val="000000"/>
      <w:sz w:val="40"/>
      <w:lang w:eastAsia="en-AU"/>
    </w:rPr>
  </w:style>
  <w:style w:type="paragraph" w:customStyle="1" w:styleId="Heading3a">
    <w:name w:val="Heading 3a"/>
    <w:basedOn w:val="Heading3"/>
    <w:next w:val="Normal"/>
    <w:uiPriority w:val="99"/>
    <w:unhideWhenUsed/>
    <w:rsid w:val="001F5CA8"/>
    <w:pPr>
      <w:keepNext/>
      <w:spacing w:before="240"/>
      <w:ind w:left="1440" w:hanging="720"/>
      <w:outlineLvl w:val="9"/>
    </w:pPr>
    <w:rPr>
      <w:rFonts w:cs="Times New Roman"/>
      <w:b/>
      <w:bCs/>
      <w:color w:val="000000"/>
      <w:sz w:val="22"/>
      <w:szCs w:val="26"/>
      <w:lang w:val="x-none" w:eastAsia="x-none"/>
    </w:rPr>
  </w:style>
  <w:style w:type="paragraph" w:styleId="Quote">
    <w:name w:val="Quote"/>
    <w:basedOn w:val="Normal"/>
    <w:link w:val="QuoteChar"/>
    <w:qFormat/>
    <w:rsid w:val="001F5CA8"/>
    <w:pPr>
      <w:ind w:left="1440" w:right="720"/>
    </w:pPr>
    <w:rPr>
      <w:rFonts w:cs="Times New Roman"/>
      <w:sz w:val="20"/>
      <w:lang w:val="x-none"/>
    </w:rPr>
  </w:style>
  <w:style w:type="character" w:customStyle="1" w:styleId="QuoteChar">
    <w:name w:val="Quote Char"/>
    <w:basedOn w:val="DefaultParagraphFont"/>
    <w:link w:val="Quote"/>
    <w:rsid w:val="001F5CA8"/>
    <w:rPr>
      <w:rFonts w:ascii="Calibri" w:eastAsia="Times New Roman" w:hAnsi="Calibri" w:cs="Times New Roman"/>
      <w:color w:val="000000"/>
      <w:sz w:val="20"/>
      <w:lang w:val="x-none" w:eastAsia="en-AU"/>
    </w:rPr>
  </w:style>
  <w:style w:type="paragraph" w:customStyle="1" w:styleId="Normalbeforebullet">
    <w:name w:val="Normal (before bullet)"/>
    <w:basedOn w:val="Normal"/>
    <w:link w:val="NormalbeforebulletChar"/>
    <w:unhideWhenUsed/>
    <w:rsid w:val="001F5CA8"/>
    <w:pPr>
      <w:keepNext/>
      <w:spacing w:after="120"/>
      <w:ind w:left="709"/>
    </w:pPr>
    <w:rPr>
      <w:rFonts w:cs="Times New Roman"/>
      <w:szCs w:val="20"/>
      <w:lang w:val="en-GB" w:eastAsia="en-GB"/>
    </w:rPr>
  </w:style>
  <w:style w:type="character" w:customStyle="1" w:styleId="NormalbeforebulletChar">
    <w:name w:val="Normal (before bullet) Char"/>
    <w:basedOn w:val="DefaultParagraphFont"/>
    <w:link w:val="Normalbeforebullet"/>
    <w:rsid w:val="001F5CA8"/>
    <w:rPr>
      <w:rFonts w:ascii="Calibri" w:eastAsia="Times New Roman" w:hAnsi="Calibri" w:cs="Times New Roman"/>
      <w:color w:val="000000"/>
      <w:szCs w:val="20"/>
      <w:lang w:val="en-GB" w:eastAsia="en-GB"/>
    </w:rPr>
  </w:style>
  <w:style w:type="character" w:styleId="Hyperlink">
    <w:name w:val="Hyperlink"/>
    <w:uiPriority w:val="99"/>
    <w:unhideWhenUsed/>
    <w:rsid w:val="001F5CA8"/>
    <w:rPr>
      <w:strike w:val="0"/>
      <w:dstrike w:val="0"/>
      <w:color w:val="004276"/>
      <w:u w:val="none"/>
      <w:effect w:val="none"/>
    </w:rPr>
  </w:style>
  <w:style w:type="character" w:customStyle="1" w:styleId="A0">
    <w:name w:val="A0"/>
    <w:rsid w:val="001F5CA8"/>
    <w:rPr>
      <w:rFonts w:cs="ITC Garamond Std Lt"/>
      <w:color w:val="221E1F"/>
      <w:sz w:val="20"/>
      <w:szCs w:val="20"/>
    </w:rPr>
  </w:style>
  <w:style w:type="character" w:customStyle="1" w:styleId="A21">
    <w:name w:val="A2+1"/>
    <w:uiPriority w:val="99"/>
    <w:rsid w:val="001F5CA8"/>
    <w:rPr>
      <w:rFonts w:cs="TitilliumText22L Lt"/>
      <w:color w:val="000000"/>
      <w:sz w:val="16"/>
      <w:szCs w:val="16"/>
    </w:rPr>
  </w:style>
  <w:style w:type="paragraph" w:styleId="BalloonText">
    <w:name w:val="Balloon Text"/>
    <w:basedOn w:val="Normal"/>
    <w:link w:val="BalloonTextChar"/>
    <w:uiPriority w:val="99"/>
    <w:semiHidden/>
    <w:unhideWhenUsed/>
    <w:rsid w:val="001F5CA8"/>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1F5CA8"/>
    <w:rPr>
      <w:rFonts w:ascii="Tahoma" w:eastAsia="Times New Roman" w:hAnsi="Tahoma" w:cs="Tahoma"/>
      <w:color w:val="000000"/>
      <w:sz w:val="16"/>
      <w:szCs w:val="16"/>
      <w:lang w:eastAsia="en-AU"/>
    </w:rPr>
  </w:style>
  <w:style w:type="paragraph" w:styleId="PlainText">
    <w:name w:val="Plain Text"/>
    <w:basedOn w:val="Normal"/>
    <w:link w:val="PlainTextChar"/>
    <w:uiPriority w:val="99"/>
    <w:semiHidden/>
    <w:unhideWhenUsed/>
    <w:rsid w:val="001F5CA8"/>
    <w:pPr>
      <w:spacing w:after="0"/>
      <w:ind w:left="0"/>
    </w:pPr>
    <w:rPr>
      <w:rFonts w:eastAsiaTheme="minorHAnsi" w:cstheme="minorBidi"/>
      <w:color w:val="auto"/>
      <w:szCs w:val="21"/>
      <w:lang w:eastAsia="en-US"/>
    </w:rPr>
  </w:style>
  <w:style w:type="character" w:customStyle="1" w:styleId="PlainTextChar">
    <w:name w:val="Plain Text Char"/>
    <w:basedOn w:val="DefaultParagraphFont"/>
    <w:link w:val="PlainText"/>
    <w:uiPriority w:val="99"/>
    <w:semiHidden/>
    <w:rsid w:val="001F5CA8"/>
    <w:rPr>
      <w:rFonts w:ascii="Calibri" w:hAnsi="Calibri"/>
      <w:szCs w:val="21"/>
    </w:rPr>
  </w:style>
  <w:style w:type="character" w:styleId="FollowedHyperlink">
    <w:name w:val="FollowedHyperlink"/>
    <w:basedOn w:val="DefaultParagraphFont"/>
    <w:uiPriority w:val="99"/>
    <w:semiHidden/>
    <w:unhideWhenUsed/>
    <w:rsid w:val="001F5CA8"/>
    <w:rPr>
      <w:color w:val="800080" w:themeColor="followedHyperlink"/>
      <w:u w:val="single"/>
    </w:rPr>
  </w:style>
  <w:style w:type="character" w:styleId="CommentReference">
    <w:name w:val="annotation reference"/>
    <w:basedOn w:val="DefaultParagraphFont"/>
    <w:uiPriority w:val="99"/>
    <w:semiHidden/>
    <w:unhideWhenUsed/>
    <w:rsid w:val="00CC6DA6"/>
    <w:rPr>
      <w:sz w:val="16"/>
      <w:szCs w:val="16"/>
    </w:rPr>
  </w:style>
  <w:style w:type="paragraph" w:styleId="CommentText">
    <w:name w:val="annotation text"/>
    <w:basedOn w:val="Normal"/>
    <w:link w:val="CommentTextChar"/>
    <w:uiPriority w:val="99"/>
    <w:unhideWhenUsed/>
    <w:rsid w:val="00CC6DA6"/>
    <w:pPr>
      <w:spacing w:after="200"/>
      <w:ind w:left="0"/>
    </w:pPr>
    <w:rPr>
      <w:rFonts w:eastAsia="Dotum" w:cs="Calibri"/>
      <w:color w:val="auto"/>
      <w:sz w:val="20"/>
      <w:szCs w:val="20"/>
      <w:lang w:eastAsia="en-US"/>
    </w:rPr>
  </w:style>
  <w:style w:type="character" w:customStyle="1" w:styleId="CommentTextChar">
    <w:name w:val="Comment Text Char"/>
    <w:basedOn w:val="DefaultParagraphFont"/>
    <w:link w:val="CommentText"/>
    <w:uiPriority w:val="99"/>
    <w:rsid w:val="00CC6DA6"/>
    <w:rPr>
      <w:rFonts w:ascii="Calibri" w:eastAsia="Dotum" w:hAnsi="Calibri" w:cs="Calibri"/>
      <w:sz w:val="20"/>
      <w:szCs w:val="20"/>
    </w:rPr>
  </w:style>
  <w:style w:type="paragraph" w:styleId="TOC1">
    <w:name w:val="toc 1"/>
    <w:basedOn w:val="Normal"/>
    <w:next w:val="Normal"/>
    <w:autoRedefine/>
    <w:uiPriority w:val="39"/>
    <w:unhideWhenUsed/>
    <w:qFormat/>
    <w:rsid w:val="000B1689"/>
    <w:pPr>
      <w:tabs>
        <w:tab w:val="right" w:leader="dot" w:pos="9323"/>
      </w:tabs>
      <w:spacing w:after="100" w:line="276" w:lineRule="auto"/>
      <w:ind w:left="0"/>
    </w:pPr>
    <w:rPr>
      <w:rFonts w:asciiTheme="minorHAnsi" w:eastAsiaTheme="minorEastAsia" w:hAnsiTheme="minorHAnsi" w:cstheme="minorBidi"/>
      <w:color w:val="auto"/>
      <w:lang w:val="en-US" w:eastAsia="ja-JP"/>
    </w:rPr>
  </w:style>
  <w:style w:type="paragraph" w:styleId="TOC3">
    <w:name w:val="toc 3"/>
    <w:basedOn w:val="Normal"/>
    <w:next w:val="Normal"/>
    <w:autoRedefine/>
    <w:uiPriority w:val="39"/>
    <w:unhideWhenUsed/>
    <w:qFormat/>
    <w:rsid w:val="000B1689"/>
    <w:pPr>
      <w:tabs>
        <w:tab w:val="right" w:leader="dot" w:pos="9323"/>
      </w:tabs>
      <w:spacing w:after="100" w:line="276" w:lineRule="auto"/>
    </w:pPr>
    <w:rPr>
      <w:rFonts w:asciiTheme="minorHAnsi" w:eastAsiaTheme="minorEastAsia" w:hAnsiTheme="minorHAnsi" w:cstheme="minorBidi"/>
      <w:i/>
      <w:color w:val="auto"/>
      <w:sz w:val="20"/>
      <w:szCs w:val="20"/>
      <w:lang w:val="en-US" w:eastAsia="ja-JP"/>
    </w:rPr>
  </w:style>
  <w:style w:type="paragraph" w:styleId="CommentSubject">
    <w:name w:val="annotation subject"/>
    <w:basedOn w:val="CommentText"/>
    <w:next w:val="CommentText"/>
    <w:link w:val="CommentSubjectChar"/>
    <w:uiPriority w:val="99"/>
    <w:semiHidden/>
    <w:unhideWhenUsed/>
    <w:rsid w:val="00EB1409"/>
    <w:pPr>
      <w:spacing w:after="240"/>
      <w:ind w:left="720"/>
    </w:pPr>
    <w:rPr>
      <w:rFonts w:eastAsia="Times New Roman" w:cs="Tahoma"/>
      <w:b/>
      <w:bCs/>
      <w:color w:val="000000"/>
      <w:lang w:eastAsia="en-AU"/>
    </w:rPr>
  </w:style>
  <w:style w:type="character" w:customStyle="1" w:styleId="CommentSubjectChar">
    <w:name w:val="Comment Subject Char"/>
    <w:basedOn w:val="CommentTextChar"/>
    <w:link w:val="CommentSubject"/>
    <w:uiPriority w:val="99"/>
    <w:semiHidden/>
    <w:rsid w:val="00EB1409"/>
    <w:rPr>
      <w:rFonts w:ascii="Calibri" w:eastAsia="Times New Roman" w:hAnsi="Calibri" w:cs="Tahoma"/>
      <w:b/>
      <w:bCs/>
      <w:color w:val="000000"/>
      <w:sz w:val="20"/>
      <w:szCs w:val="20"/>
      <w:lang w:eastAsia="en-AU"/>
    </w:rPr>
  </w:style>
  <w:style w:type="character" w:customStyle="1" w:styleId="A8">
    <w:name w:val="A8"/>
    <w:uiPriority w:val="99"/>
    <w:rsid w:val="001625A8"/>
    <w:rPr>
      <w:color w:val="E31736"/>
      <w:sz w:val="28"/>
    </w:rPr>
  </w:style>
  <w:style w:type="paragraph" w:customStyle="1" w:styleId="Pa30">
    <w:name w:val="Pa30"/>
    <w:basedOn w:val="Normal"/>
    <w:next w:val="Normal"/>
    <w:uiPriority w:val="99"/>
    <w:rsid w:val="001625A8"/>
    <w:pPr>
      <w:autoSpaceDE w:val="0"/>
      <w:autoSpaceDN w:val="0"/>
      <w:adjustRightInd w:val="0"/>
      <w:spacing w:after="0" w:line="181" w:lineRule="atLeast"/>
      <w:ind w:left="0"/>
    </w:pPr>
    <w:rPr>
      <w:rFonts w:ascii="Avenir LT Std 55 Roman" w:eastAsia="Calibri" w:hAnsi="Avenir LT Std 55 Roman" w:cs="Times New Roman"/>
      <w:color w:val="auto"/>
      <w:sz w:val="24"/>
      <w:szCs w:val="24"/>
      <w:lang w:eastAsia="en-US"/>
    </w:rPr>
  </w:style>
  <w:style w:type="paragraph" w:styleId="FootnoteText">
    <w:name w:val="footnote text"/>
    <w:basedOn w:val="Normal"/>
    <w:link w:val="FootnoteTextChar"/>
    <w:uiPriority w:val="99"/>
    <w:rsid w:val="00FD0C2C"/>
    <w:pPr>
      <w:spacing w:after="0"/>
      <w:ind w:left="0"/>
      <w:jc w:val="both"/>
    </w:pPr>
    <w:rPr>
      <w:rFonts w:ascii="Garamond" w:hAnsi="Garamond" w:cs="Times New Roman"/>
      <w:color w:val="auto"/>
      <w:sz w:val="20"/>
      <w:szCs w:val="20"/>
      <w:lang w:eastAsia="en-US"/>
    </w:rPr>
  </w:style>
  <w:style w:type="character" w:customStyle="1" w:styleId="FootnoteTextChar">
    <w:name w:val="Footnote Text Char"/>
    <w:basedOn w:val="DefaultParagraphFont"/>
    <w:link w:val="FootnoteText"/>
    <w:uiPriority w:val="99"/>
    <w:rsid w:val="00FD0C2C"/>
    <w:rPr>
      <w:rFonts w:ascii="Garamond" w:eastAsia="Times New Roman" w:hAnsi="Garamond" w:cs="Times New Roman"/>
      <w:sz w:val="20"/>
      <w:szCs w:val="20"/>
    </w:rPr>
  </w:style>
  <w:style w:type="character" w:styleId="FootnoteReference">
    <w:name w:val="footnote reference"/>
    <w:basedOn w:val="DefaultParagraphFont"/>
    <w:uiPriority w:val="99"/>
    <w:rsid w:val="00FD0C2C"/>
    <w:rPr>
      <w:vertAlign w:val="superscript"/>
    </w:rPr>
  </w:style>
  <w:style w:type="paragraph" w:customStyle="1" w:styleId="Default">
    <w:name w:val="Default"/>
    <w:rsid w:val="00E928C0"/>
    <w:pPr>
      <w:autoSpaceDE w:val="0"/>
      <w:autoSpaceDN w:val="0"/>
      <w:adjustRightInd w:val="0"/>
      <w:spacing w:after="0" w:line="240" w:lineRule="auto"/>
    </w:pPr>
    <w:rPr>
      <w:rFonts w:ascii="Avenir LT Std 55 Roman" w:eastAsia="Calibri" w:hAnsi="Avenir LT Std 55 Roman" w:cs="Avenir LT Std 55 Roman"/>
      <w:color w:val="000000"/>
      <w:sz w:val="24"/>
      <w:szCs w:val="24"/>
    </w:rPr>
  </w:style>
  <w:style w:type="paragraph" w:customStyle="1" w:styleId="Pa3">
    <w:name w:val="Pa3"/>
    <w:basedOn w:val="Default"/>
    <w:next w:val="Default"/>
    <w:uiPriority w:val="99"/>
    <w:rsid w:val="00E928C0"/>
    <w:pPr>
      <w:spacing w:line="261" w:lineRule="atLeast"/>
    </w:pPr>
    <w:rPr>
      <w:rFonts w:cs="Times New Roman"/>
      <w:color w:val="auto"/>
    </w:rPr>
  </w:style>
  <w:style w:type="paragraph" w:customStyle="1" w:styleId="Pa19">
    <w:name w:val="Pa19"/>
    <w:basedOn w:val="Default"/>
    <w:next w:val="Default"/>
    <w:uiPriority w:val="99"/>
    <w:rsid w:val="00E928C0"/>
    <w:pPr>
      <w:spacing w:line="161" w:lineRule="atLeast"/>
    </w:pPr>
    <w:rPr>
      <w:rFonts w:cs="Times New Roman"/>
      <w:color w:val="auto"/>
    </w:rPr>
  </w:style>
  <w:style w:type="paragraph" w:customStyle="1" w:styleId="Pa21">
    <w:name w:val="Pa21"/>
    <w:basedOn w:val="Default"/>
    <w:next w:val="Default"/>
    <w:uiPriority w:val="99"/>
    <w:rsid w:val="00E928C0"/>
    <w:pPr>
      <w:spacing w:line="141" w:lineRule="atLeast"/>
    </w:pPr>
    <w:rPr>
      <w:rFonts w:cs="Times New Roman"/>
      <w:color w:val="auto"/>
    </w:rPr>
  </w:style>
  <w:style w:type="paragraph" w:customStyle="1" w:styleId="Pa22">
    <w:name w:val="Pa22"/>
    <w:basedOn w:val="Default"/>
    <w:next w:val="Default"/>
    <w:uiPriority w:val="99"/>
    <w:rsid w:val="00E928C0"/>
    <w:pPr>
      <w:spacing w:line="181" w:lineRule="atLeast"/>
    </w:pPr>
    <w:rPr>
      <w:rFonts w:cs="Times New Roman"/>
      <w:color w:val="auto"/>
    </w:rPr>
  </w:style>
  <w:style w:type="paragraph" w:customStyle="1" w:styleId="Pa28">
    <w:name w:val="Pa28"/>
    <w:basedOn w:val="Default"/>
    <w:next w:val="Default"/>
    <w:uiPriority w:val="99"/>
    <w:rsid w:val="00E928C0"/>
    <w:pPr>
      <w:spacing w:line="161" w:lineRule="atLeast"/>
    </w:pPr>
    <w:rPr>
      <w:rFonts w:cs="Times New Roman"/>
      <w:color w:val="auto"/>
    </w:rPr>
  </w:style>
  <w:style w:type="paragraph" w:customStyle="1" w:styleId="Pa34">
    <w:name w:val="Pa34"/>
    <w:basedOn w:val="Default"/>
    <w:next w:val="Default"/>
    <w:uiPriority w:val="99"/>
    <w:rsid w:val="00E928C0"/>
    <w:pPr>
      <w:spacing w:line="181" w:lineRule="atLeast"/>
    </w:pPr>
    <w:rPr>
      <w:rFonts w:cs="Times New Roman"/>
      <w:color w:val="auto"/>
    </w:rPr>
  </w:style>
  <w:style w:type="character" w:customStyle="1" w:styleId="A16">
    <w:name w:val="A16"/>
    <w:uiPriority w:val="99"/>
    <w:rsid w:val="00E928C0"/>
    <w:rPr>
      <w:b/>
      <w:color w:val="221E1F"/>
      <w:sz w:val="12"/>
    </w:rPr>
  </w:style>
  <w:style w:type="paragraph" w:customStyle="1" w:styleId="Pa13">
    <w:name w:val="Pa13"/>
    <w:basedOn w:val="Default"/>
    <w:next w:val="Default"/>
    <w:uiPriority w:val="99"/>
    <w:rsid w:val="00E928C0"/>
    <w:pPr>
      <w:spacing w:line="281" w:lineRule="atLeast"/>
    </w:pPr>
    <w:rPr>
      <w:rFonts w:ascii="Minion Pro" w:hAnsi="Minion Pro" w:cs="Times New Roman"/>
      <w:color w:val="auto"/>
    </w:rPr>
  </w:style>
  <w:style w:type="paragraph" w:customStyle="1" w:styleId="Pa31">
    <w:name w:val="Pa31"/>
    <w:basedOn w:val="Default"/>
    <w:next w:val="Default"/>
    <w:uiPriority w:val="99"/>
    <w:rsid w:val="00E928C0"/>
    <w:pPr>
      <w:spacing w:line="161" w:lineRule="atLeast"/>
    </w:pPr>
    <w:rPr>
      <w:rFonts w:cs="Times New Roman"/>
      <w:color w:val="auto"/>
    </w:rPr>
  </w:style>
  <w:style w:type="character" w:styleId="PlaceholderText">
    <w:name w:val="Placeholder Text"/>
    <w:basedOn w:val="DefaultParagraphFont"/>
    <w:uiPriority w:val="99"/>
    <w:semiHidden/>
    <w:rsid w:val="00E928C0"/>
    <w:rPr>
      <w:color w:val="808080"/>
    </w:rPr>
  </w:style>
  <w:style w:type="paragraph" w:customStyle="1" w:styleId="bullet">
    <w:name w:val="bullet"/>
    <w:basedOn w:val="ListParagraph"/>
    <w:qFormat/>
    <w:rsid w:val="00484EFC"/>
    <w:pPr>
      <w:numPr>
        <w:numId w:val="67"/>
      </w:numPr>
      <w:autoSpaceDE w:val="0"/>
      <w:autoSpaceDN w:val="0"/>
      <w:adjustRightInd w:val="0"/>
      <w:spacing w:after="0"/>
      <w:contextualSpacing w:val="0"/>
      <w:jc w:val="both"/>
    </w:pPr>
    <w:rPr>
      <w:rFonts w:ascii="Garamond" w:hAnsi="Garamond" w:cs="Times New Roman"/>
      <w:color w:val="auto"/>
      <w:sz w:val="24"/>
      <w:szCs w:val="24"/>
      <w:lang w:val="en-US" w:eastAsia="en-US"/>
    </w:rPr>
  </w:style>
  <w:style w:type="paragraph" w:customStyle="1" w:styleId="Pa17">
    <w:name w:val="Pa17"/>
    <w:basedOn w:val="Default"/>
    <w:next w:val="Default"/>
    <w:uiPriority w:val="99"/>
    <w:rsid w:val="00484EFC"/>
    <w:pPr>
      <w:spacing w:line="1081" w:lineRule="atLeast"/>
    </w:pPr>
    <w:rPr>
      <w:rFonts w:eastAsiaTheme="minorHAnsi" w:cstheme="minorBidi"/>
      <w:color w:val="auto"/>
    </w:rPr>
  </w:style>
  <w:style w:type="character" w:customStyle="1" w:styleId="A18">
    <w:name w:val="A18"/>
    <w:uiPriority w:val="99"/>
    <w:rsid w:val="00484EFC"/>
    <w:rPr>
      <w:rFonts w:cs="Minion Pro"/>
      <w:color w:val="221E1F"/>
      <w:sz w:val="18"/>
      <w:szCs w:val="18"/>
    </w:rPr>
  </w:style>
  <w:style w:type="paragraph" w:customStyle="1" w:styleId="Pa2">
    <w:name w:val="Pa2"/>
    <w:basedOn w:val="Default"/>
    <w:next w:val="Default"/>
    <w:uiPriority w:val="99"/>
    <w:rsid w:val="00484EFC"/>
    <w:pPr>
      <w:spacing w:line="241" w:lineRule="atLeast"/>
    </w:pPr>
    <w:rPr>
      <w:rFonts w:ascii="Minion Pro" w:eastAsiaTheme="minorHAnsi" w:hAnsi="Minion Pro" w:cstheme="minorBidi"/>
      <w:color w:val="auto"/>
    </w:rPr>
  </w:style>
  <w:style w:type="paragraph" w:customStyle="1" w:styleId="Pa4">
    <w:name w:val="Pa4"/>
    <w:basedOn w:val="Default"/>
    <w:next w:val="Default"/>
    <w:uiPriority w:val="99"/>
    <w:rsid w:val="00484EFC"/>
    <w:pPr>
      <w:spacing w:line="241" w:lineRule="atLeast"/>
    </w:pPr>
    <w:rPr>
      <w:rFonts w:eastAsiaTheme="minorHAnsi" w:cstheme="minorBidi"/>
      <w:color w:val="auto"/>
    </w:rPr>
  </w:style>
  <w:style w:type="paragraph" w:customStyle="1" w:styleId="Pa44">
    <w:name w:val="Pa44"/>
    <w:basedOn w:val="Default"/>
    <w:next w:val="Default"/>
    <w:uiPriority w:val="99"/>
    <w:rsid w:val="00484EFC"/>
    <w:pPr>
      <w:spacing w:line="241" w:lineRule="atLeast"/>
    </w:pPr>
    <w:rPr>
      <w:rFonts w:ascii="Minion Pro" w:eastAsiaTheme="minorHAnsi" w:hAnsi="Minion Pro" w:cstheme="minorBidi"/>
      <w:color w:val="auto"/>
    </w:rPr>
  </w:style>
  <w:style w:type="character" w:customStyle="1" w:styleId="A19">
    <w:name w:val="A19"/>
    <w:uiPriority w:val="99"/>
    <w:rsid w:val="00484EFC"/>
    <w:rPr>
      <w:rFonts w:cs="Minion Pro"/>
      <w:color w:val="221E1F"/>
      <w:sz w:val="15"/>
      <w:szCs w:val="15"/>
    </w:rPr>
  </w:style>
  <w:style w:type="paragraph" w:styleId="Caption">
    <w:name w:val="caption"/>
    <w:basedOn w:val="Normal"/>
    <w:next w:val="Normal"/>
    <w:unhideWhenUsed/>
    <w:qFormat/>
    <w:rsid w:val="00FE440A"/>
    <w:pPr>
      <w:spacing w:after="200"/>
      <w:ind w:left="0"/>
    </w:pPr>
    <w:rPr>
      <w:rFonts w:eastAsia="Dotum" w:cs="Calibri"/>
      <w:b/>
      <w:bCs/>
      <w:caps/>
      <w:color w:val="7A7A7A"/>
      <w:sz w:val="18"/>
      <w:szCs w:val="18"/>
      <w:lang w:eastAsia="en-US"/>
    </w:rPr>
  </w:style>
  <w:style w:type="paragraph" w:styleId="NormalWeb">
    <w:name w:val="Normal (Web)"/>
    <w:basedOn w:val="Normal"/>
    <w:uiPriority w:val="99"/>
    <w:unhideWhenUsed/>
    <w:rsid w:val="00FE440A"/>
    <w:pPr>
      <w:spacing w:before="100" w:beforeAutospacing="1" w:after="100" w:afterAutospacing="1"/>
      <w:ind w:left="0"/>
    </w:pPr>
    <w:rPr>
      <w:rFonts w:ascii="Times New Roman" w:hAnsi="Times New Roman" w:cs="Times New Roman"/>
      <w:color w:val="auto"/>
      <w:sz w:val="24"/>
      <w:szCs w:val="24"/>
    </w:rPr>
  </w:style>
  <w:style w:type="paragraph" w:styleId="TOCHeading">
    <w:name w:val="TOC Heading"/>
    <w:basedOn w:val="Heading1"/>
    <w:next w:val="Normal"/>
    <w:uiPriority w:val="39"/>
    <w:unhideWhenUsed/>
    <w:qFormat/>
    <w:rsid w:val="00707904"/>
    <w:pPr>
      <w:keepNext/>
      <w:keepLines/>
      <w:widowControl/>
      <w:spacing w:before="480" w:after="0" w:line="276" w:lineRule="auto"/>
      <w:ind w:right="0"/>
      <w:outlineLvl w:val="9"/>
    </w:pPr>
    <w:rPr>
      <w:rFonts w:asciiTheme="majorHAnsi" w:eastAsiaTheme="majorEastAsia" w:hAnsiTheme="majorHAnsi" w:cstheme="majorBidi"/>
      <w:color w:val="365F91" w:themeColor="accent1" w:themeShade="BF"/>
      <w:spacing w:val="0"/>
      <w:sz w:val="28"/>
      <w:szCs w:val="28"/>
      <w:lang w:val="en-US" w:eastAsia="ja-JP"/>
    </w:rPr>
  </w:style>
  <w:style w:type="paragraph" w:styleId="TOC2">
    <w:name w:val="toc 2"/>
    <w:basedOn w:val="Normal"/>
    <w:next w:val="Normal"/>
    <w:autoRedefine/>
    <w:uiPriority w:val="39"/>
    <w:unhideWhenUsed/>
    <w:rsid w:val="0070790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604417">
      <w:bodyDiv w:val="1"/>
      <w:marLeft w:val="0"/>
      <w:marRight w:val="0"/>
      <w:marTop w:val="0"/>
      <w:marBottom w:val="0"/>
      <w:divBdr>
        <w:top w:val="none" w:sz="0" w:space="0" w:color="auto"/>
        <w:left w:val="none" w:sz="0" w:space="0" w:color="auto"/>
        <w:bottom w:val="none" w:sz="0" w:space="0" w:color="auto"/>
        <w:right w:val="none" w:sz="0" w:space="0" w:color="auto"/>
      </w:divBdr>
    </w:div>
    <w:div w:id="683367007">
      <w:bodyDiv w:val="1"/>
      <w:marLeft w:val="0"/>
      <w:marRight w:val="0"/>
      <w:marTop w:val="0"/>
      <w:marBottom w:val="0"/>
      <w:divBdr>
        <w:top w:val="none" w:sz="0" w:space="0" w:color="auto"/>
        <w:left w:val="none" w:sz="0" w:space="0" w:color="auto"/>
        <w:bottom w:val="none" w:sz="0" w:space="0" w:color="auto"/>
        <w:right w:val="none" w:sz="0" w:space="0" w:color="auto"/>
      </w:divBdr>
    </w:div>
    <w:div w:id="1217472535">
      <w:bodyDiv w:val="1"/>
      <w:marLeft w:val="0"/>
      <w:marRight w:val="0"/>
      <w:marTop w:val="0"/>
      <w:marBottom w:val="0"/>
      <w:divBdr>
        <w:top w:val="none" w:sz="0" w:space="0" w:color="auto"/>
        <w:left w:val="none" w:sz="0" w:space="0" w:color="auto"/>
        <w:bottom w:val="none" w:sz="0" w:space="0" w:color="auto"/>
        <w:right w:val="none" w:sz="0" w:space="0" w:color="auto"/>
      </w:divBdr>
    </w:div>
    <w:div w:id="1529367619">
      <w:bodyDiv w:val="1"/>
      <w:marLeft w:val="0"/>
      <w:marRight w:val="0"/>
      <w:marTop w:val="0"/>
      <w:marBottom w:val="0"/>
      <w:divBdr>
        <w:top w:val="none" w:sz="0" w:space="0" w:color="auto"/>
        <w:left w:val="none" w:sz="0" w:space="0" w:color="auto"/>
        <w:bottom w:val="none" w:sz="0" w:space="0" w:color="auto"/>
        <w:right w:val="none" w:sz="0" w:space="0" w:color="auto"/>
      </w:divBdr>
    </w:div>
    <w:div w:id="192001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hcdo.org.au/" TargetMode="External"/><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ncbi.nlm.nih.gov/pubmed?term=Jaworski%20K%5BAuthor%5D&amp;cauthor=true&amp;cauthor_uid=24252161"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ncbi.nlm.nih.gov/pubmed?term=Graham%20A%5BAuthor%5D&amp;cauthor=true&amp;cauthor_uid=24252161"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testingportal.ashm.org.au" TargetMode="External"/><Relationship Id="rId28" Type="http://schemas.openxmlformats.org/officeDocument/2006/relationships/hyperlink" Target="http://www.haemophilia.org.au" TargetMode="External"/><Relationship Id="rId10" Type="http://schemas.openxmlformats.org/officeDocument/2006/relationships/hyperlink" Target="http://creativecommons.org/licenses/by-nc-sa/3.0/au/" TargetMode="External"/><Relationship Id="rId19" Type="http://schemas.openxmlformats.org/officeDocument/2006/relationships/footer" Target="foot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yperlink" Target="http://testingportal.ashm.org.au" TargetMode="External"/><Relationship Id="rId27" Type="http://schemas.openxmlformats.org/officeDocument/2006/relationships/image" Target="cid:image002.jpg@01CDF95D.108DB6D0" TargetMode="External"/><Relationship Id="rId30"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icsi.org/_asset/7mtqyr/ReviewingEvidenceUsingGRADE.pdf" TargetMode="External"/><Relationship Id="rId1" Type="http://schemas.openxmlformats.org/officeDocument/2006/relationships/hyperlink" Target="http://www.sign.ac.uk/methodology/checklis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8D9E5-1EA5-4093-A098-7E4B510C5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116</Pages>
  <Words>36967</Words>
  <Characters>218776</Characters>
  <Application>Microsoft Office Word</Application>
  <DocSecurity>4</DocSecurity>
  <Lines>4752</Lines>
  <Paragraphs>2084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2015-09-29T05:07:00Z</cp:lastPrinted>
  <dcterms:created xsi:type="dcterms:W3CDTF">2015-11-11T02:25:00Z</dcterms:created>
  <dcterms:modified xsi:type="dcterms:W3CDTF">2015-11-11T02:25:00Z</dcterms:modified>
</cp:coreProperties>
</file>