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44" w:rsidRPr="003465E7" w:rsidRDefault="00052544" w:rsidP="003465E7">
      <w:pPr>
        <w:pStyle w:val="Heading1"/>
        <w:spacing w:before="0"/>
        <w:jc w:val="center"/>
        <w:rPr>
          <w:sz w:val="48"/>
          <w:szCs w:val="48"/>
        </w:rPr>
      </w:pPr>
      <w:bookmarkStart w:id="0" w:name="_Toc46496123"/>
      <w:bookmarkStart w:id="1" w:name="_GoBack"/>
      <w:bookmarkEnd w:id="1"/>
      <w:r w:rsidRPr="003465E7">
        <w:rPr>
          <w:sz w:val="48"/>
          <w:szCs w:val="48"/>
        </w:rPr>
        <w:t>Guideline for the prophylactic use of Rh D immunoglobulin in pregnancy care</w:t>
      </w:r>
    </w:p>
    <w:p w:rsidR="00052544" w:rsidRPr="00EB440B" w:rsidRDefault="00052544" w:rsidP="00A90931">
      <w:pPr>
        <w:pStyle w:val="Heading2"/>
        <w:rPr>
          <w:noProof/>
        </w:rPr>
      </w:pPr>
      <w:r w:rsidRPr="00EB440B">
        <w:rPr>
          <w:noProof/>
        </w:rPr>
        <w:t>Summary of recommendations and expert opinion points</w:t>
      </w:r>
      <w:bookmarkEnd w:id="0"/>
    </w:p>
    <w:p w:rsidR="00052544" w:rsidRPr="00EB440B" w:rsidRDefault="00052544" w:rsidP="00052544">
      <w:pPr>
        <w:pStyle w:val="BodyText"/>
        <w:rPr>
          <w:noProof/>
        </w:rPr>
      </w:pPr>
      <w:r w:rsidRPr="00EB440B">
        <w:rPr>
          <w:noProof/>
        </w:rPr>
        <w:t>The Expert Reference Group (ERG) developed recommendations</w:t>
      </w:r>
      <w:r w:rsidR="00D928A6">
        <w:rPr>
          <w:noProof/>
        </w:rPr>
        <w:t xml:space="preserve"> (Rs)</w:t>
      </w:r>
      <w:r w:rsidRPr="00EB440B">
        <w:rPr>
          <w:noProof/>
        </w:rPr>
        <w:t xml:space="preserve"> where sufficient evidence was available from the systematic review of the literature. The recommendations have been carefully worded to reflect the strength of the body of evidence. Each recommendation has been given a grade in accordance with Grading of Recommendations Assessment, Development and Evaluation (GRADE) methodology. The definitions of each grade are provided in Chapter 2</w:t>
      </w:r>
      <w:r>
        <w:rPr>
          <w:noProof/>
        </w:rPr>
        <w:t xml:space="preserve"> of the Guideline</w:t>
      </w:r>
      <w:r w:rsidRPr="00EB440B">
        <w:rPr>
          <w:noProof/>
        </w:rPr>
        <w:t>.</w:t>
      </w:r>
    </w:p>
    <w:p w:rsidR="00052544" w:rsidRPr="00EB440B" w:rsidRDefault="00052544" w:rsidP="00052544">
      <w:pPr>
        <w:pStyle w:val="BodyText"/>
        <w:rPr>
          <w:noProof/>
        </w:rPr>
      </w:pPr>
      <w:r w:rsidRPr="00EB440B">
        <w:rPr>
          <w:noProof/>
        </w:rPr>
        <w:t>The ERG also developed expert opinion points (EOPs) for material that was outside the scope of the systematic review, and for guidance for which no new systematic review was conducted. The EOPs are based on consensus among the members of the ERG.</w:t>
      </w:r>
    </w:p>
    <w:tbl>
      <w:tblPr>
        <w:tblStyle w:val="TableGrid"/>
        <w:tblW w:w="9923" w:type="dxa"/>
        <w:tblInd w:w="-176" w:type="dxa"/>
        <w:tblLayout w:type="fixed"/>
        <w:tblLook w:val="04A0" w:firstRow="1" w:lastRow="0" w:firstColumn="1" w:lastColumn="0" w:noHBand="0" w:noVBand="1"/>
      </w:tblPr>
      <w:tblGrid>
        <w:gridCol w:w="1277"/>
        <w:gridCol w:w="7371"/>
        <w:gridCol w:w="1275"/>
      </w:tblGrid>
      <w:tr w:rsidR="00052544" w:rsidRPr="0032749C" w:rsidTr="002F076E">
        <w:trPr>
          <w:tblHeader/>
        </w:trPr>
        <w:tc>
          <w:tcPr>
            <w:tcW w:w="1277" w:type="dxa"/>
            <w:shd w:val="clear" w:color="auto" w:fill="336A89"/>
          </w:tcPr>
          <w:p w:rsidR="00052544" w:rsidRPr="0032749C" w:rsidRDefault="00052544" w:rsidP="00B57901">
            <w:pPr>
              <w:pStyle w:val="TableH1"/>
              <w:keepNext w:val="0"/>
              <w:ind w:left="0"/>
              <w:rPr>
                <w:rFonts w:asciiTheme="minorHAnsi" w:hAnsiTheme="minorHAnsi" w:cstheme="minorHAnsi"/>
                <w:b/>
                <w:bCs/>
                <w:noProof/>
                <w:szCs w:val="20"/>
              </w:rPr>
            </w:pPr>
            <w:r w:rsidRPr="0032749C">
              <w:rPr>
                <w:rFonts w:asciiTheme="minorHAnsi" w:hAnsiTheme="minorHAnsi" w:cstheme="minorHAnsi"/>
                <w:b/>
                <w:bCs/>
                <w:noProof/>
                <w:szCs w:val="20"/>
              </w:rPr>
              <w:t>Identifier</w:t>
            </w:r>
          </w:p>
        </w:tc>
        <w:tc>
          <w:tcPr>
            <w:tcW w:w="7371" w:type="dxa"/>
            <w:shd w:val="clear" w:color="auto" w:fill="336A89"/>
          </w:tcPr>
          <w:p w:rsidR="00052544" w:rsidRPr="0032749C" w:rsidRDefault="00052544" w:rsidP="00472EC1">
            <w:pPr>
              <w:pStyle w:val="TableH1"/>
              <w:keepNext w:val="0"/>
              <w:rPr>
                <w:rFonts w:asciiTheme="minorHAnsi" w:hAnsiTheme="minorHAnsi" w:cstheme="minorHAnsi"/>
                <w:b/>
                <w:bCs/>
                <w:noProof/>
                <w:szCs w:val="20"/>
              </w:rPr>
            </w:pPr>
            <w:r w:rsidRPr="0032749C">
              <w:rPr>
                <w:rFonts w:asciiTheme="minorHAnsi" w:hAnsiTheme="minorHAnsi" w:cstheme="minorHAnsi"/>
                <w:b/>
                <w:bCs/>
                <w:noProof/>
                <w:szCs w:val="20"/>
              </w:rPr>
              <w:t>Guidance – recommendations and expert opinion points</w:t>
            </w:r>
          </w:p>
        </w:tc>
        <w:tc>
          <w:tcPr>
            <w:tcW w:w="1275" w:type="dxa"/>
            <w:shd w:val="clear" w:color="auto" w:fill="336A89"/>
          </w:tcPr>
          <w:p w:rsidR="00052544" w:rsidRPr="0032749C" w:rsidRDefault="00312704" w:rsidP="00312704">
            <w:pPr>
              <w:pStyle w:val="TableH1"/>
              <w:keepNext w:val="0"/>
              <w:ind w:left="0"/>
              <w:rPr>
                <w:rFonts w:asciiTheme="minorHAnsi" w:hAnsiTheme="minorHAnsi" w:cstheme="minorHAnsi"/>
                <w:b/>
                <w:bCs/>
                <w:noProof/>
                <w:szCs w:val="20"/>
              </w:rPr>
            </w:pPr>
            <w:r>
              <w:rPr>
                <w:rFonts w:asciiTheme="minorHAnsi" w:hAnsiTheme="minorHAnsi" w:cstheme="minorHAnsi"/>
                <w:b/>
                <w:bCs/>
                <w:noProof/>
                <w:szCs w:val="20"/>
              </w:rPr>
              <w:t>Relevant s</w:t>
            </w:r>
            <w:r w:rsidR="00052544">
              <w:rPr>
                <w:rFonts w:asciiTheme="minorHAnsi" w:hAnsiTheme="minorHAnsi" w:cstheme="minorHAnsi"/>
                <w:b/>
                <w:bCs/>
                <w:noProof/>
                <w:szCs w:val="20"/>
              </w:rPr>
              <w:t>ection of Guideline</w:t>
            </w:r>
          </w:p>
        </w:tc>
      </w:tr>
      <w:tr w:rsidR="00052544" w:rsidRPr="0032749C" w:rsidTr="002E73AF">
        <w:tc>
          <w:tcPr>
            <w:tcW w:w="9923" w:type="dxa"/>
            <w:gridSpan w:val="3"/>
            <w:shd w:val="clear" w:color="auto" w:fill="D2E4EE"/>
          </w:tcPr>
          <w:p w:rsidR="00052544" w:rsidRPr="002B4B35" w:rsidRDefault="00052544" w:rsidP="002B4B35">
            <w:pPr>
              <w:pStyle w:val="TableH2"/>
            </w:pPr>
            <w:r w:rsidRPr="002B4B35">
              <w:t>Blood group and antibody screening in all pregnant women</w:t>
            </w:r>
          </w:p>
        </w:tc>
      </w:tr>
      <w:tr w:rsidR="00052544" w:rsidRPr="0032749C" w:rsidTr="002F076E">
        <w:tc>
          <w:tcPr>
            <w:tcW w:w="1277" w:type="dxa"/>
            <w:shd w:val="clear" w:color="auto" w:fill="467ABA"/>
          </w:tcPr>
          <w:p w:rsidR="00052544" w:rsidRPr="004A2315" w:rsidRDefault="00052544" w:rsidP="00472EC1">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EOP1</w:t>
            </w:r>
          </w:p>
        </w:tc>
        <w:tc>
          <w:tcPr>
            <w:tcW w:w="7371" w:type="dxa"/>
            <w:vAlign w:val="center"/>
          </w:tcPr>
          <w:p w:rsidR="00052544" w:rsidRPr="002B4B35" w:rsidRDefault="00052544" w:rsidP="00472EC1">
            <w:pPr>
              <w:pStyle w:val="TableH1"/>
              <w:rPr>
                <w:noProof/>
                <w:color w:val="auto"/>
              </w:rPr>
            </w:pPr>
            <w:r w:rsidRPr="002B4B35">
              <w:rPr>
                <w:noProof/>
                <w:color w:val="auto"/>
              </w:rPr>
              <w:t xml:space="preserve">All </w:t>
            </w:r>
            <w:r w:rsidRPr="002B4B35">
              <w:rPr>
                <w:color w:val="auto"/>
              </w:rPr>
              <w:t>women</w:t>
            </w:r>
            <w:r w:rsidRPr="002B4B35">
              <w:rPr>
                <w:noProof/>
                <w:color w:val="auto"/>
              </w:rPr>
              <w:t xml:space="preserve"> should have an ABO / Rh D type and antibody screen performed early in pregnancy. Rh D positive pregnant women do not require Rh D immunoglobulin. </w:t>
            </w:r>
          </w:p>
        </w:tc>
        <w:tc>
          <w:tcPr>
            <w:tcW w:w="1275" w:type="dxa"/>
          </w:tcPr>
          <w:p w:rsidR="00052544" w:rsidRPr="002B4B35" w:rsidRDefault="00052544" w:rsidP="00472EC1">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3.1.1</w:t>
            </w:r>
          </w:p>
        </w:tc>
      </w:tr>
      <w:tr w:rsidR="00052544" w:rsidRPr="0032749C" w:rsidTr="002F076E">
        <w:tc>
          <w:tcPr>
            <w:tcW w:w="1277" w:type="dxa"/>
            <w:shd w:val="clear" w:color="auto" w:fill="467ABA"/>
          </w:tcPr>
          <w:p w:rsidR="00052544" w:rsidRPr="004A2315" w:rsidRDefault="00052544" w:rsidP="00472EC1">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EOP2</w:t>
            </w:r>
          </w:p>
        </w:tc>
        <w:tc>
          <w:tcPr>
            <w:tcW w:w="7371" w:type="dxa"/>
            <w:vAlign w:val="center"/>
          </w:tcPr>
          <w:p w:rsidR="00052544" w:rsidRPr="002B4B35" w:rsidRDefault="00052544" w:rsidP="00472EC1">
            <w:pPr>
              <w:pStyle w:val="TableH1"/>
              <w:rPr>
                <w:noProof/>
                <w:color w:val="auto"/>
              </w:rPr>
            </w:pPr>
            <w:r w:rsidRPr="002B4B35">
              <w:rPr>
                <w:noProof/>
                <w:color w:val="auto"/>
              </w:rPr>
              <w:t>If antibody screening identifies anti-D in an Rh D negative pregnant woman, consideration of clinical history and laboratory findings is required to determine whether the anti-D is likely to be preformed (due to sensitisation) or passive (due to administration of Rh D immunoglobulin in the past 12 weeks).</w:t>
            </w:r>
            <w:r w:rsidRPr="002B4B35">
              <w:rPr>
                <w:noProof/>
                <w:color w:val="auto"/>
                <w:vertAlign w:val="superscript"/>
              </w:rPr>
              <w:t>a</w:t>
            </w:r>
            <w:r w:rsidRPr="002B4B35">
              <w:rPr>
                <w:rFonts w:eastAsiaTheme="minorHAnsi"/>
                <w:noProof/>
                <w:color w:val="auto"/>
              </w:rPr>
              <w:t xml:space="preserve"> In cases of likely preformed anti-D antibodies, seek specialist obstetric advice, manage as Rh D sensitised and consider NIPT for fetal </w:t>
            </w:r>
            <w:r w:rsidRPr="002B4B35">
              <w:rPr>
                <w:rFonts w:eastAsiaTheme="minorHAnsi"/>
                <w:i/>
                <w:noProof/>
                <w:color w:val="auto"/>
              </w:rPr>
              <w:t>RHD</w:t>
            </w:r>
            <w:r w:rsidRPr="002B4B35">
              <w:rPr>
                <w:rFonts w:eastAsiaTheme="minorHAnsi"/>
                <w:noProof/>
                <w:color w:val="auto"/>
              </w:rPr>
              <w:t xml:space="preserve"> status.</w:t>
            </w:r>
          </w:p>
          <w:p w:rsidR="00052544" w:rsidRPr="002B4B35" w:rsidRDefault="00052544" w:rsidP="00472EC1">
            <w:pPr>
              <w:pStyle w:val="Tabletext9pt"/>
              <w:rPr>
                <w:noProof/>
              </w:rPr>
            </w:pPr>
            <w:r w:rsidRPr="002B4B35">
              <w:rPr>
                <w:noProof/>
                <w:vertAlign w:val="superscript"/>
              </w:rPr>
              <w:t xml:space="preserve">a </w:t>
            </w:r>
            <w:r w:rsidRPr="002B4B35">
              <w:rPr>
                <w:noProof/>
              </w:rPr>
              <w:t xml:space="preserve">See </w:t>
            </w:r>
            <w:r w:rsidRPr="002B4B35">
              <w:t>EOP3</w:t>
            </w:r>
          </w:p>
        </w:tc>
        <w:tc>
          <w:tcPr>
            <w:tcW w:w="1275" w:type="dxa"/>
          </w:tcPr>
          <w:p w:rsidR="00052544" w:rsidRPr="002B4B35" w:rsidRDefault="00052544" w:rsidP="00472EC1">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1.1</w:t>
            </w:r>
          </w:p>
          <w:p w:rsidR="00052544" w:rsidRPr="002B4B35" w:rsidRDefault="00052544" w:rsidP="00472EC1">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3.1.1</w:t>
            </w:r>
          </w:p>
        </w:tc>
      </w:tr>
      <w:tr w:rsidR="00052544" w:rsidRPr="0032749C" w:rsidTr="002F076E">
        <w:tc>
          <w:tcPr>
            <w:tcW w:w="1277" w:type="dxa"/>
            <w:shd w:val="clear" w:color="auto" w:fill="467ABA"/>
          </w:tcPr>
          <w:p w:rsidR="00052544" w:rsidRPr="004A2315" w:rsidRDefault="00052544" w:rsidP="00472EC1">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EOP3</w:t>
            </w:r>
          </w:p>
        </w:tc>
        <w:tc>
          <w:tcPr>
            <w:tcW w:w="7371" w:type="dxa"/>
            <w:shd w:val="clear" w:color="auto" w:fill="auto"/>
          </w:tcPr>
          <w:p w:rsidR="00052544" w:rsidRPr="002B4B35" w:rsidRDefault="00052544" w:rsidP="00472EC1">
            <w:pPr>
              <w:pStyle w:val="TableH1"/>
              <w:rPr>
                <w:noProof/>
                <w:color w:val="auto"/>
              </w:rPr>
            </w:pPr>
            <w:r w:rsidRPr="002B4B35">
              <w:rPr>
                <w:noProof/>
                <w:color w:val="auto"/>
              </w:rPr>
              <w:t>Rh D immunoglobulin should not be given to Rh D negative pregnant women with preformed anti-D antibodies. However, if it is unclear whether the anti-D detected in the mother’s blood is preformed (due to sensitisation) or passive (due to administration of Rh D immunoglobulin in the past 12 weeks), the treating clinician should be consulted. If there is continuing doubt, Rh D immunoglobulin should be administered.</w:t>
            </w:r>
          </w:p>
        </w:tc>
        <w:tc>
          <w:tcPr>
            <w:tcW w:w="1275" w:type="dxa"/>
            <w:shd w:val="clear" w:color="auto" w:fill="auto"/>
          </w:tcPr>
          <w:p w:rsidR="00052544" w:rsidRPr="002B4B35" w:rsidRDefault="00052544" w:rsidP="00472EC1">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3.1.1</w:t>
            </w:r>
          </w:p>
        </w:tc>
      </w:tr>
      <w:tr w:rsidR="00052544" w:rsidRPr="0032749C" w:rsidTr="002E73AF">
        <w:tc>
          <w:tcPr>
            <w:tcW w:w="9923" w:type="dxa"/>
            <w:gridSpan w:val="3"/>
            <w:shd w:val="clear" w:color="auto" w:fill="D2E4EE"/>
          </w:tcPr>
          <w:p w:rsidR="00052544" w:rsidRPr="002B4B35" w:rsidRDefault="00052544" w:rsidP="002B4B35">
            <w:pPr>
              <w:pStyle w:val="TableH2"/>
            </w:pPr>
            <w:r w:rsidRPr="002B4B35">
              <w:t>Non-invasive prenatal testing for fetal RHD in all Rh D negative pregnant women</w:t>
            </w:r>
          </w:p>
        </w:tc>
      </w:tr>
      <w:tr w:rsidR="00052544" w:rsidRPr="0032749C" w:rsidTr="002F076E">
        <w:tc>
          <w:tcPr>
            <w:tcW w:w="1277" w:type="dxa"/>
            <w:shd w:val="clear" w:color="auto" w:fill="648F90"/>
          </w:tcPr>
          <w:p w:rsidR="00052544" w:rsidRPr="004A2315" w:rsidRDefault="00052544" w:rsidP="00472EC1">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R9</w:t>
            </w:r>
          </w:p>
        </w:tc>
        <w:tc>
          <w:tcPr>
            <w:tcW w:w="7371" w:type="dxa"/>
          </w:tcPr>
          <w:p w:rsidR="00052544" w:rsidRPr="002B4B35" w:rsidRDefault="00052544" w:rsidP="00472EC1">
            <w:pPr>
              <w:pStyle w:val="TableH1"/>
              <w:rPr>
                <w:noProof/>
                <w:color w:val="auto"/>
              </w:rPr>
            </w:pPr>
            <w:r w:rsidRPr="002B4B35">
              <w:rPr>
                <w:noProof/>
                <w:color w:val="auto"/>
              </w:rPr>
              <w:t xml:space="preserve">The ERG </w:t>
            </w:r>
            <w:r w:rsidRPr="002B4B35">
              <w:rPr>
                <w:rStyle w:val="Strong"/>
                <w:rFonts w:asciiTheme="minorHAnsi" w:hAnsiTheme="minorHAnsi" w:cstheme="minorHAnsi"/>
                <w:noProof/>
                <w:color w:val="auto"/>
                <w:szCs w:val="20"/>
              </w:rPr>
              <w:t>recommends</w:t>
            </w:r>
            <w:r w:rsidRPr="002B4B35">
              <w:rPr>
                <w:noProof/>
                <w:color w:val="auto"/>
              </w:rPr>
              <w:t xml:space="preserve"> the testing of maternal blood to determine fetal </w:t>
            </w:r>
            <w:r w:rsidRPr="002B4B35">
              <w:rPr>
                <w:i/>
                <w:iCs/>
                <w:noProof/>
                <w:color w:val="auto"/>
              </w:rPr>
              <w:t>RHD</w:t>
            </w:r>
            <w:r w:rsidRPr="002B4B35">
              <w:rPr>
                <w:noProof/>
                <w:color w:val="auto"/>
              </w:rPr>
              <w:t xml:space="preserve"> genotype in all Rh D negative pregnant women to enable targeted antenatal Rh D immunoprophylaxis.</w:t>
            </w:r>
            <w:r w:rsidRPr="002B4B35">
              <w:rPr>
                <w:noProof/>
                <w:color w:val="auto"/>
                <w:vertAlign w:val="superscript"/>
              </w:rPr>
              <w:t>a</w:t>
            </w:r>
            <w:r w:rsidRPr="002B4B35">
              <w:rPr>
                <w:noProof/>
                <w:color w:val="auto"/>
              </w:rPr>
              <w:t xml:space="preserve"> </w:t>
            </w:r>
            <w:r w:rsidRPr="002B4B35">
              <w:rPr>
                <w:noProof/>
                <w:color w:val="auto"/>
              </w:rPr>
              <w:br/>
              <w:t>(</w:t>
            </w:r>
            <w:r w:rsidRPr="002B4B35">
              <w:rPr>
                <w:rStyle w:val="Emphasis"/>
                <w:rFonts w:asciiTheme="minorHAnsi" w:hAnsiTheme="minorHAnsi" w:cstheme="minorHAnsi"/>
                <w:noProof/>
                <w:color w:val="auto"/>
                <w:szCs w:val="20"/>
              </w:rPr>
              <w:t>Strong recommendation, high certainty of evidence about the accuracy of the test</w:t>
            </w:r>
            <w:r w:rsidRPr="002B4B35">
              <w:rPr>
                <w:noProof/>
                <w:color w:val="auto"/>
              </w:rPr>
              <w:t>)</w:t>
            </w:r>
          </w:p>
          <w:p w:rsidR="00052544" w:rsidRPr="002B4B35" w:rsidRDefault="00052544" w:rsidP="00472EC1">
            <w:pPr>
              <w:pStyle w:val="Tabletext9pt"/>
              <w:rPr>
                <w:rFonts w:eastAsiaTheme="minorHAnsi"/>
                <w:noProof/>
                <w:szCs w:val="20"/>
              </w:rPr>
            </w:pPr>
            <w:r w:rsidRPr="002B4B35">
              <w:rPr>
                <w:noProof/>
                <w:szCs w:val="20"/>
                <w:vertAlign w:val="superscript"/>
              </w:rPr>
              <w:t xml:space="preserve">a </w:t>
            </w:r>
            <w:r w:rsidRPr="002B4B35">
              <w:t xml:space="preserve">The ERG’s recommendation on the use of NIPT for fetal </w:t>
            </w:r>
            <w:r w:rsidRPr="002B4B35">
              <w:rPr>
                <w:i/>
              </w:rPr>
              <w:t>RHD</w:t>
            </w:r>
            <w:r w:rsidRPr="002B4B35">
              <w:t xml:space="preserve"> is not a policy statement on funding and supply arrangements for the national provisions of NIPT for blood group genotyping to determine the Rh D status of the fetus.</w:t>
            </w:r>
          </w:p>
        </w:tc>
        <w:tc>
          <w:tcPr>
            <w:tcW w:w="1275" w:type="dxa"/>
          </w:tcPr>
          <w:p w:rsidR="00052544" w:rsidRPr="002B4B35" w:rsidRDefault="00052544" w:rsidP="00472EC1">
            <w:pPr>
              <w:pStyle w:val="TableH1"/>
              <w:keepNext w:val="0"/>
              <w:rPr>
                <w:rFonts w:asciiTheme="minorHAnsi" w:hAnsiTheme="minorHAnsi" w:cstheme="minorHAnsi"/>
                <w:noProof/>
                <w:color w:val="auto"/>
                <w:szCs w:val="20"/>
              </w:rPr>
            </w:pPr>
            <w:r w:rsidRPr="002B4B35">
              <w:rPr>
                <w:rFonts w:asciiTheme="minorHAnsi" w:hAnsiTheme="minorHAnsi" w:cstheme="minorHAnsi"/>
                <w:bCs/>
                <w:noProof/>
                <w:color w:val="auto"/>
                <w:szCs w:val="20"/>
              </w:rPr>
              <w:t>3.3.1</w:t>
            </w:r>
          </w:p>
        </w:tc>
      </w:tr>
      <w:tr w:rsidR="00052544" w:rsidRPr="0032749C" w:rsidTr="002F076E">
        <w:tc>
          <w:tcPr>
            <w:tcW w:w="1277" w:type="dxa"/>
            <w:shd w:val="clear" w:color="auto" w:fill="648F90"/>
          </w:tcPr>
          <w:p w:rsidR="00052544" w:rsidRPr="004A2315" w:rsidRDefault="00052544" w:rsidP="00472EC1">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R10</w:t>
            </w:r>
          </w:p>
        </w:tc>
        <w:tc>
          <w:tcPr>
            <w:tcW w:w="7371" w:type="dxa"/>
          </w:tcPr>
          <w:p w:rsidR="00052544" w:rsidRPr="002B4B35" w:rsidRDefault="00052544" w:rsidP="00472EC1">
            <w:pPr>
              <w:pStyle w:val="TableH1"/>
              <w:rPr>
                <w:rFonts w:eastAsiaTheme="minorHAnsi"/>
                <w:noProof/>
                <w:color w:val="auto"/>
              </w:rPr>
            </w:pPr>
            <w:r w:rsidRPr="002B4B35">
              <w:rPr>
                <w:noProof/>
                <w:color w:val="auto"/>
              </w:rPr>
              <w:t xml:space="preserve">The ERG </w:t>
            </w:r>
            <w:r w:rsidRPr="002B4B35">
              <w:rPr>
                <w:rStyle w:val="Strong"/>
                <w:rFonts w:asciiTheme="minorHAnsi" w:hAnsiTheme="minorHAnsi" w:cstheme="minorHAnsi"/>
                <w:noProof/>
                <w:color w:val="auto"/>
                <w:szCs w:val="20"/>
              </w:rPr>
              <w:t>recommends</w:t>
            </w:r>
            <w:r w:rsidRPr="002B4B35">
              <w:rPr>
                <w:noProof/>
                <w:color w:val="auto"/>
              </w:rPr>
              <w:t xml:space="preserve"> that test sensitivity be at least 99% in order to minimise </w:t>
            </w:r>
            <w:r w:rsidRPr="002B4B35">
              <w:rPr>
                <w:color w:val="auto"/>
              </w:rPr>
              <w:t>the number of Rh D positive fetuses being missed by the test.</w:t>
            </w:r>
            <w:r w:rsidRPr="002B4B35">
              <w:rPr>
                <w:noProof/>
                <w:color w:val="auto"/>
              </w:rPr>
              <w:br/>
            </w:r>
            <w:r w:rsidRPr="00A5685C">
              <w:rPr>
                <w:noProof/>
                <w:color w:val="auto"/>
                <w:sz w:val="20"/>
                <w:szCs w:val="20"/>
              </w:rPr>
              <w:t>(</w:t>
            </w:r>
            <w:r w:rsidRPr="00A5685C">
              <w:rPr>
                <w:rStyle w:val="Emphasis"/>
                <w:rFonts w:asciiTheme="minorHAnsi" w:hAnsiTheme="minorHAnsi" w:cstheme="minorHAnsi"/>
                <w:noProof/>
                <w:color w:val="auto"/>
                <w:sz w:val="20"/>
                <w:szCs w:val="20"/>
              </w:rPr>
              <w:t>Strong recommendation, high certainty of evidence about the accuracy of the test</w:t>
            </w:r>
            <w:r w:rsidRPr="00A5685C">
              <w:rPr>
                <w:noProof/>
                <w:color w:val="auto"/>
                <w:sz w:val="20"/>
                <w:szCs w:val="20"/>
              </w:rPr>
              <w:t>)</w:t>
            </w:r>
          </w:p>
        </w:tc>
        <w:tc>
          <w:tcPr>
            <w:tcW w:w="1275" w:type="dxa"/>
          </w:tcPr>
          <w:p w:rsidR="00052544" w:rsidRPr="002B4B35" w:rsidRDefault="00052544" w:rsidP="00472EC1">
            <w:pPr>
              <w:pStyle w:val="TableH1"/>
              <w:keepNext w:val="0"/>
              <w:rPr>
                <w:rFonts w:asciiTheme="minorHAnsi" w:hAnsiTheme="minorHAnsi" w:cstheme="minorHAnsi"/>
                <w:noProof/>
                <w:color w:val="auto"/>
                <w:szCs w:val="20"/>
              </w:rPr>
            </w:pPr>
            <w:r w:rsidRPr="002B4B35">
              <w:rPr>
                <w:rFonts w:asciiTheme="minorHAnsi" w:hAnsiTheme="minorHAnsi" w:cstheme="minorHAnsi"/>
                <w:bCs/>
                <w:noProof/>
                <w:color w:val="auto"/>
                <w:szCs w:val="20"/>
              </w:rPr>
              <w:t>3.3.1</w:t>
            </w:r>
          </w:p>
        </w:tc>
      </w:tr>
      <w:tr w:rsidR="00052544" w:rsidRPr="0032749C" w:rsidTr="002F076E">
        <w:tc>
          <w:tcPr>
            <w:tcW w:w="1277" w:type="dxa"/>
            <w:shd w:val="clear" w:color="auto" w:fill="648F90"/>
          </w:tcPr>
          <w:p w:rsidR="00052544" w:rsidRPr="004A2315" w:rsidRDefault="00052544" w:rsidP="00472EC1">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R11</w:t>
            </w:r>
          </w:p>
        </w:tc>
        <w:tc>
          <w:tcPr>
            <w:tcW w:w="7371" w:type="dxa"/>
          </w:tcPr>
          <w:p w:rsidR="00052544" w:rsidRPr="002B4B35" w:rsidRDefault="00052544" w:rsidP="00472EC1">
            <w:pPr>
              <w:pStyle w:val="TableH1"/>
              <w:rPr>
                <w:rFonts w:eastAsiaTheme="minorHAnsi"/>
                <w:noProof/>
                <w:color w:val="auto"/>
              </w:rPr>
            </w:pPr>
            <w:r w:rsidRPr="002B4B35">
              <w:rPr>
                <w:color w:val="auto"/>
              </w:rPr>
              <w:t xml:space="preserve">The ERG </w:t>
            </w:r>
            <w:r w:rsidRPr="002B4B35">
              <w:rPr>
                <w:rStyle w:val="Strong"/>
                <w:rFonts w:asciiTheme="minorHAnsi" w:hAnsiTheme="minorHAnsi" w:cstheme="minorHAnsi"/>
                <w:color w:val="auto"/>
                <w:szCs w:val="20"/>
              </w:rPr>
              <w:t>recommends</w:t>
            </w:r>
            <w:r w:rsidRPr="002B4B35">
              <w:rPr>
                <w:color w:val="auto"/>
              </w:rPr>
              <w:t xml:space="preserve"> NIPT for fetal </w:t>
            </w:r>
            <w:r w:rsidRPr="002B4B35">
              <w:rPr>
                <w:i/>
                <w:iCs/>
                <w:color w:val="auto"/>
              </w:rPr>
              <w:t>RHD</w:t>
            </w:r>
            <w:r w:rsidRPr="002B4B35">
              <w:rPr>
                <w:color w:val="auto"/>
              </w:rPr>
              <w:t xml:space="preserve"> from 11</w:t>
            </w:r>
            <w:r w:rsidRPr="002B4B35">
              <w:rPr>
                <w:color w:val="auto"/>
                <w:vertAlign w:val="superscript"/>
              </w:rPr>
              <w:t>+0</w:t>
            </w:r>
            <w:r w:rsidRPr="002B4B35">
              <w:rPr>
                <w:color w:val="auto"/>
              </w:rPr>
              <w:t xml:space="preserve"> weeks of pregnancy because of higher test accuracy than at earlier weeks. </w:t>
            </w:r>
            <w:r w:rsidRPr="002B4B35">
              <w:rPr>
                <w:color w:val="auto"/>
              </w:rPr>
              <w:br/>
            </w:r>
            <w:r w:rsidRPr="00A5685C">
              <w:rPr>
                <w:color w:val="auto"/>
                <w:sz w:val="20"/>
                <w:szCs w:val="20"/>
              </w:rPr>
              <w:t>(</w:t>
            </w:r>
            <w:r w:rsidRPr="00A5685C">
              <w:rPr>
                <w:rStyle w:val="Emphasis"/>
                <w:rFonts w:asciiTheme="minorHAnsi" w:hAnsiTheme="minorHAnsi" w:cstheme="minorHAnsi"/>
                <w:color w:val="auto"/>
                <w:sz w:val="20"/>
                <w:szCs w:val="20"/>
              </w:rPr>
              <w:t>Strong recommendation, high certainty of evidence about the accuracy of the test</w:t>
            </w:r>
            <w:r w:rsidRPr="00A5685C">
              <w:rPr>
                <w:color w:val="auto"/>
                <w:sz w:val="20"/>
                <w:szCs w:val="20"/>
              </w:rPr>
              <w:t>)</w:t>
            </w:r>
          </w:p>
        </w:tc>
        <w:tc>
          <w:tcPr>
            <w:tcW w:w="1275" w:type="dxa"/>
          </w:tcPr>
          <w:p w:rsidR="00052544" w:rsidRPr="003F4945" w:rsidRDefault="00052544" w:rsidP="00A5685C">
            <w:pPr>
              <w:pStyle w:val="TableH1"/>
              <w:keepNext w:val="0"/>
            </w:pPr>
            <w:r w:rsidRPr="002B4B35">
              <w:rPr>
                <w:rFonts w:asciiTheme="minorHAnsi" w:hAnsiTheme="minorHAnsi" w:cstheme="minorHAnsi"/>
                <w:noProof/>
                <w:color w:val="auto"/>
                <w:szCs w:val="20"/>
              </w:rPr>
              <w:t>3.3.1</w:t>
            </w:r>
            <w:r w:rsidR="003F4945">
              <w:tab/>
            </w:r>
          </w:p>
        </w:tc>
      </w:tr>
    </w:tbl>
    <w:p w:rsidR="00182AF6" w:rsidRDefault="00182AF6" w:rsidP="00182AF6">
      <w:bookmarkStart w:id="2" w:name="_Toc46496121"/>
    </w:p>
    <w:tbl>
      <w:tblPr>
        <w:tblStyle w:val="TableGrid"/>
        <w:tblW w:w="9923" w:type="dxa"/>
        <w:tblInd w:w="-176" w:type="dxa"/>
        <w:tblLayout w:type="fixed"/>
        <w:tblLook w:val="04A0" w:firstRow="1" w:lastRow="0" w:firstColumn="1" w:lastColumn="0" w:noHBand="0" w:noVBand="1"/>
      </w:tblPr>
      <w:tblGrid>
        <w:gridCol w:w="1277"/>
        <w:gridCol w:w="7371"/>
        <w:gridCol w:w="1275"/>
      </w:tblGrid>
      <w:tr w:rsidR="00182AF6" w:rsidRPr="0032749C" w:rsidTr="00617348">
        <w:trPr>
          <w:tblHeader/>
        </w:trPr>
        <w:tc>
          <w:tcPr>
            <w:tcW w:w="1277" w:type="dxa"/>
            <w:shd w:val="clear" w:color="auto" w:fill="336A89"/>
          </w:tcPr>
          <w:p w:rsidR="00182AF6" w:rsidRPr="0032749C" w:rsidRDefault="00182AF6" w:rsidP="00617348">
            <w:pPr>
              <w:pStyle w:val="TableH1"/>
              <w:keepNext w:val="0"/>
              <w:ind w:left="0"/>
              <w:rPr>
                <w:rFonts w:asciiTheme="minorHAnsi" w:hAnsiTheme="minorHAnsi" w:cstheme="minorHAnsi"/>
                <w:b/>
                <w:bCs/>
                <w:noProof/>
                <w:szCs w:val="20"/>
              </w:rPr>
            </w:pPr>
            <w:r w:rsidRPr="0032749C">
              <w:rPr>
                <w:rFonts w:asciiTheme="minorHAnsi" w:hAnsiTheme="minorHAnsi" w:cstheme="minorHAnsi"/>
                <w:b/>
                <w:bCs/>
                <w:noProof/>
                <w:szCs w:val="20"/>
              </w:rPr>
              <w:lastRenderedPageBreak/>
              <w:t>Identifier</w:t>
            </w:r>
          </w:p>
        </w:tc>
        <w:tc>
          <w:tcPr>
            <w:tcW w:w="7371" w:type="dxa"/>
            <w:shd w:val="clear" w:color="auto" w:fill="336A89"/>
          </w:tcPr>
          <w:p w:rsidR="00182AF6" w:rsidRPr="0032749C" w:rsidRDefault="00182AF6" w:rsidP="00617348">
            <w:pPr>
              <w:pStyle w:val="TableH1"/>
              <w:keepNext w:val="0"/>
              <w:rPr>
                <w:rFonts w:asciiTheme="minorHAnsi" w:hAnsiTheme="minorHAnsi" w:cstheme="minorHAnsi"/>
                <w:b/>
                <w:bCs/>
                <w:noProof/>
                <w:szCs w:val="20"/>
              </w:rPr>
            </w:pPr>
            <w:r w:rsidRPr="0032749C">
              <w:rPr>
                <w:rFonts w:asciiTheme="minorHAnsi" w:hAnsiTheme="minorHAnsi" w:cstheme="minorHAnsi"/>
                <w:b/>
                <w:bCs/>
                <w:noProof/>
                <w:szCs w:val="20"/>
              </w:rPr>
              <w:t>Guidance – recommendations and expert opinion points</w:t>
            </w:r>
          </w:p>
        </w:tc>
        <w:tc>
          <w:tcPr>
            <w:tcW w:w="1275" w:type="dxa"/>
            <w:shd w:val="clear" w:color="auto" w:fill="336A89"/>
          </w:tcPr>
          <w:p w:rsidR="00182AF6" w:rsidRPr="0032749C" w:rsidRDefault="00182AF6" w:rsidP="00617348">
            <w:pPr>
              <w:pStyle w:val="TableH1"/>
              <w:keepNext w:val="0"/>
              <w:ind w:left="0"/>
              <w:rPr>
                <w:rFonts w:asciiTheme="minorHAnsi" w:hAnsiTheme="minorHAnsi" w:cstheme="minorHAnsi"/>
                <w:b/>
                <w:bCs/>
                <w:noProof/>
                <w:szCs w:val="20"/>
              </w:rPr>
            </w:pPr>
            <w:r>
              <w:rPr>
                <w:rFonts w:asciiTheme="minorHAnsi" w:hAnsiTheme="minorHAnsi" w:cstheme="minorHAnsi"/>
                <w:b/>
                <w:bCs/>
                <w:noProof/>
                <w:szCs w:val="20"/>
              </w:rPr>
              <w:t>Relevant section of Guideline</w:t>
            </w:r>
          </w:p>
        </w:tc>
      </w:tr>
      <w:tr w:rsidR="00182AF6" w:rsidRPr="0032749C" w:rsidTr="00617348">
        <w:tc>
          <w:tcPr>
            <w:tcW w:w="9923" w:type="dxa"/>
            <w:gridSpan w:val="3"/>
            <w:shd w:val="clear" w:color="auto" w:fill="D2E4EE"/>
          </w:tcPr>
          <w:p w:rsidR="00182AF6" w:rsidRPr="002B4B35" w:rsidRDefault="00182AF6" w:rsidP="00617348">
            <w:pPr>
              <w:pStyle w:val="TableH2"/>
            </w:pPr>
            <w:r w:rsidRPr="002B4B35">
              <w:t>Targeted immunoprophylaxis in Rh D negative pregnant women</w:t>
            </w:r>
          </w:p>
        </w:tc>
      </w:tr>
      <w:tr w:rsidR="00182AF6" w:rsidRPr="0032749C" w:rsidTr="00617348">
        <w:tc>
          <w:tcPr>
            <w:tcW w:w="1277" w:type="dxa"/>
            <w:shd w:val="clear" w:color="auto" w:fill="648F90"/>
          </w:tcPr>
          <w:p w:rsidR="00182AF6" w:rsidRPr="004A2315" w:rsidRDefault="00182AF6" w:rsidP="00617348">
            <w:pPr>
              <w:pStyle w:val="TableH1"/>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R6</w:t>
            </w:r>
          </w:p>
        </w:tc>
        <w:tc>
          <w:tcPr>
            <w:tcW w:w="7371" w:type="dxa"/>
            <w:vAlign w:val="center"/>
          </w:tcPr>
          <w:p w:rsidR="00182AF6" w:rsidRPr="002B4B35" w:rsidRDefault="00182AF6" w:rsidP="00617348">
            <w:pPr>
              <w:pStyle w:val="TableH1"/>
              <w:rPr>
                <w:noProof/>
                <w:color w:val="auto"/>
              </w:rPr>
            </w:pPr>
            <w:r w:rsidRPr="002B4B35">
              <w:rPr>
                <w:noProof/>
                <w:color w:val="auto"/>
              </w:rPr>
              <w:t xml:space="preserve">The ERG </w:t>
            </w:r>
            <w:r w:rsidRPr="002B4B35">
              <w:rPr>
                <w:rStyle w:val="Strong"/>
                <w:rFonts w:asciiTheme="minorHAnsi" w:hAnsiTheme="minorHAnsi" w:cstheme="minorHAnsi"/>
                <w:noProof/>
                <w:color w:val="auto"/>
                <w:szCs w:val="20"/>
              </w:rPr>
              <w:t>recommends</w:t>
            </w:r>
            <w:r w:rsidRPr="002B4B35">
              <w:rPr>
                <w:noProof/>
                <w:color w:val="auto"/>
              </w:rPr>
              <w:t xml:space="preserve"> that antenatal Rh D immunoprophylaxis in Rh D negative pregnant women with no preformed anti-D antibodies be targeted to those predicted to be carrying an Rh D positive fetus, based on </w:t>
            </w:r>
            <w:r w:rsidRPr="002B4B35">
              <w:rPr>
                <w:color w:val="auto"/>
              </w:rPr>
              <w:t xml:space="preserve">NIPT for fetal </w:t>
            </w:r>
            <w:r w:rsidRPr="002B4B35">
              <w:rPr>
                <w:i/>
                <w:iCs/>
                <w:color w:val="auto"/>
              </w:rPr>
              <w:t>RHD</w:t>
            </w:r>
            <w:r w:rsidRPr="002B4B35">
              <w:rPr>
                <w:color w:val="auto"/>
              </w:rPr>
              <w:t xml:space="preserve">. This applies to both routine and sensitising event immunoprophylaxis, if the result of fetal </w:t>
            </w:r>
            <w:r w:rsidRPr="002B4B35">
              <w:rPr>
                <w:i/>
                <w:color w:val="auto"/>
              </w:rPr>
              <w:t xml:space="preserve">RHD </w:t>
            </w:r>
            <w:r w:rsidRPr="002B4B35">
              <w:rPr>
                <w:color w:val="auto"/>
              </w:rPr>
              <w:t>genotyping is available.</w:t>
            </w:r>
            <w:r w:rsidRPr="002B4B35">
              <w:rPr>
                <w:noProof/>
                <w:color w:val="auto"/>
                <w:vertAlign w:val="superscript"/>
              </w:rPr>
              <w:t>a</w:t>
            </w:r>
            <w:r w:rsidRPr="002B4B35">
              <w:rPr>
                <w:noProof/>
                <w:color w:val="auto"/>
              </w:rPr>
              <w:br/>
            </w:r>
            <w:r w:rsidRPr="00A5685C">
              <w:rPr>
                <w:noProof/>
                <w:color w:val="auto"/>
                <w:sz w:val="20"/>
                <w:szCs w:val="20"/>
              </w:rPr>
              <w:t>(</w:t>
            </w:r>
            <w:r w:rsidRPr="00A5685C">
              <w:rPr>
                <w:rStyle w:val="Emphasis"/>
                <w:rFonts w:asciiTheme="minorHAnsi" w:hAnsiTheme="minorHAnsi" w:cstheme="minorHAnsi"/>
                <w:noProof/>
                <w:color w:val="auto"/>
                <w:sz w:val="20"/>
                <w:szCs w:val="20"/>
              </w:rPr>
              <w:t>Strong recommendation, low certainty of evidence about the size of effect</w:t>
            </w:r>
            <w:r w:rsidRPr="00A5685C">
              <w:rPr>
                <w:noProof/>
                <w:color w:val="auto"/>
                <w:sz w:val="20"/>
                <w:szCs w:val="20"/>
              </w:rPr>
              <w:t xml:space="preserve">) </w:t>
            </w:r>
          </w:p>
          <w:p w:rsidR="00182AF6" w:rsidRPr="002B4B35" w:rsidRDefault="00182AF6" w:rsidP="00617348">
            <w:pPr>
              <w:pStyle w:val="Tabletext9pt"/>
              <w:rPr>
                <w:noProof/>
              </w:rPr>
            </w:pPr>
            <w:r w:rsidRPr="002B4B35">
              <w:rPr>
                <w:noProof/>
                <w:vertAlign w:val="superscript"/>
              </w:rPr>
              <w:t xml:space="preserve">a </w:t>
            </w:r>
            <w:r w:rsidRPr="002B4B35">
              <w:rPr>
                <w:noProof/>
              </w:rPr>
              <w:t xml:space="preserve">See </w:t>
            </w:r>
            <w:r w:rsidRPr="002B4B35">
              <w:t>EOP3</w:t>
            </w:r>
            <w:r w:rsidRPr="002B4B35">
              <w:rPr>
                <w:noProof/>
              </w:rPr>
              <w:t xml:space="preserve"> and EOP7</w:t>
            </w:r>
          </w:p>
        </w:tc>
        <w:tc>
          <w:tcPr>
            <w:tcW w:w="1275" w:type="dxa"/>
          </w:tcPr>
          <w:p w:rsidR="00182AF6" w:rsidRPr="002B4B35" w:rsidRDefault="00182AF6" w:rsidP="00617348">
            <w:pPr>
              <w:pStyle w:val="TableH1"/>
              <w:ind w:left="0"/>
              <w:rPr>
                <w:rFonts w:asciiTheme="minorHAnsi" w:hAnsiTheme="minorHAnsi" w:cstheme="minorHAnsi"/>
                <w:bCs/>
                <w:noProof/>
                <w:color w:val="auto"/>
                <w:szCs w:val="20"/>
              </w:rPr>
            </w:pPr>
            <w:r w:rsidRPr="002B4B35">
              <w:rPr>
                <w:rFonts w:asciiTheme="minorHAnsi" w:hAnsiTheme="minorHAnsi" w:cstheme="minorHAnsi"/>
                <w:bCs/>
                <w:noProof/>
                <w:color w:val="auto"/>
                <w:szCs w:val="20"/>
              </w:rPr>
              <w:t>3.3.1</w:t>
            </w:r>
          </w:p>
        </w:tc>
      </w:tr>
      <w:tr w:rsidR="00182AF6" w:rsidRPr="0032749C" w:rsidTr="00617348">
        <w:trPr>
          <w:cantSplit/>
        </w:trPr>
        <w:tc>
          <w:tcPr>
            <w:tcW w:w="1277" w:type="dxa"/>
            <w:shd w:val="clear" w:color="auto" w:fill="648F90"/>
          </w:tcPr>
          <w:p w:rsidR="00182AF6" w:rsidRPr="004A2315" w:rsidRDefault="00182AF6" w:rsidP="00617348">
            <w:pPr>
              <w:pStyle w:val="TableH1"/>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R7</w:t>
            </w:r>
          </w:p>
        </w:tc>
        <w:tc>
          <w:tcPr>
            <w:tcW w:w="7371" w:type="dxa"/>
            <w:vAlign w:val="center"/>
          </w:tcPr>
          <w:p w:rsidR="00182AF6" w:rsidRPr="002B4B35" w:rsidRDefault="00182AF6" w:rsidP="00617348">
            <w:pPr>
              <w:pStyle w:val="TableH1"/>
              <w:rPr>
                <w:noProof/>
                <w:color w:val="auto"/>
              </w:rPr>
            </w:pPr>
            <w:r w:rsidRPr="002B4B35">
              <w:rPr>
                <w:noProof/>
                <w:color w:val="auto"/>
              </w:rPr>
              <w:t xml:space="preserve">If fetal </w:t>
            </w:r>
            <w:r w:rsidRPr="002B4B35">
              <w:rPr>
                <w:rStyle w:val="Emphasis"/>
                <w:rFonts w:asciiTheme="minorHAnsi" w:hAnsiTheme="minorHAnsi" w:cstheme="minorHAnsi"/>
                <w:noProof/>
                <w:color w:val="auto"/>
                <w:szCs w:val="20"/>
              </w:rPr>
              <w:t>Rh D</w:t>
            </w:r>
            <w:r w:rsidRPr="002B4B35">
              <w:rPr>
                <w:noProof/>
                <w:color w:val="auto"/>
              </w:rPr>
              <w:t xml:space="preserve"> status is not available or is uncertain, the ERG </w:t>
            </w:r>
            <w:r w:rsidRPr="002B4B35">
              <w:rPr>
                <w:rStyle w:val="Strong"/>
                <w:rFonts w:asciiTheme="minorHAnsi" w:hAnsiTheme="minorHAnsi" w:cstheme="minorHAnsi"/>
                <w:noProof/>
                <w:color w:val="auto"/>
                <w:szCs w:val="20"/>
              </w:rPr>
              <w:t xml:space="preserve">recommends </w:t>
            </w:r>
            <w:r w:rsidRPr="00946674">
              <w:rPr>
                <w:rStyle w:val="Strong"/>
                <w:rFonts w:asciiTheme="minorHAnsi" w:hAnsiTheme="minorHAnsi" w:cstheme="minorHAnsi"/>
                <w:b w:val="0"/>
                <w:noProof/>
                <w:color w:val="auto"/>
                <w:szCs w:val="20"/>
              </w:rPr>
              <w:t>that</w:t>
            </w:r>
            <w:r w:rsidRPr="002B4B35">
              <w:rPr>
                <w:rStyle w:val="Strong"/>
                <w:rFonts w:asciiTheme="minorHAnsi" w:hAnsiTheme="minorHAnsi" w:cstheme="minorHAnsi"/>
                <w:noProof/>
                <w:color w:val="auto"/>
                <w:szCs w:val="20"/>
              </w:rPr>
              <w:t xml:space="preserve"> </w:t>
            </w:r>
            <w:r w:rsidRPr="002B4B35">
              <w:rPr>
                <w:noProof/>
                <w:color w:val="auto"/>
              </w:rPr>
              <w:t xml:space="preserve">antenatal Rh D immunoprophylaxis be offered to Rh D negative pregnant women with no preformed anti-D antibodies. </w:t>
            </w:r>
            <w:r w:rsidRPr="002B4B35">
              <w:rPr>
                <w:noProof/>
                <w:color w:val="auto"/>
              </w:rPr>
              <w:br/>
            </w:r>
            <w:r w:rsidRPr="00A5685C">
              <w:rPr>
                <w:noProof/>
                <w:color w:val="auto"/>
                <w:sz w:val="20"/>
                <w:szCs w:val="20"/>
              </w:rPr>
              <w:t>(</w:t>
            </w:r>
            <w:r w:rsidRPr="00A5685C">
              <w:rPr>
                <w:rStyle w:val="Emphasis"/>
                <w:rFonts w:asciiTheme="minorHAnsi" w:hAnsiTheme="minorHAnsi" w:cstheme="minorHAnsi"/>
                <w:noProof/>
                <w:color w:val="auto"/>
                <w:sz w:val="20"/>
                <w:szCs w:val="20"/>
              </w:rPr>
              <w:t>Strong recommendation, low certainty of evidence about the size of effect</w:t>
            </w:r>
            <w:r w:rsidRPr="00A5685C">
              <w:rPr>
                <w:noProof/>
                <w:color w:val="auto"/>
                <w:sz w:val="20"/>
                <w:szCs w:val="20"/>
              </w:rPr>
              <w:t xml:space="preserve">) </w:t>
            </w:r>
          </w:p>
        </w:tc>
        <w:tc>
          <w:tcPr>
            <w:tcW w:w="1275" w:type="dxa"/>
          </w:tcPr>
          <w:p w:rsidR="00182AF6" w:rsidRPr="002B4B35" w:rsidRDefault="00182AF6" w:rsidP="00617348">
            <w:pPr>
              <w:pStyle w:val="TableH1"/>
              <w:rPr>
                <w:rFonts w:asciiTheme="minorHAnsi" w:hAnsiTheme="minorHAnsi" w:cstheme="minorHAnsi"/>
                <w:bCs/>
                <w:noProof/>
                <w:color w:val="auto"/>
                <w:szCs w:val="20"/>
              </w:rPr>
            </w:pPr>
            <w:r w:rsidRPr="002B4B35">
              <w:rPr>
                <w:rFonts w:asciiTheme="minorHAnsi" w:hAnsiTheme="minorHAnsi" w:cstheme="minorHAnsi"/>
                <w:bCs/>
                <w:noProof/>
                <w:color w:val="auto"/>
                <w:szCs w:val="20"/>
              </w:rPr>
              <w:t>3.3.1</w:t>
            </w:r>
          </w:p>
        </w:tc>
      </w:tr>
      <w:tr w:rsidR="00182AF6" w:rsidRPr="0032749C" w:rsidTr="00617348">
        <w:trPr>
          <w:cantSplit/>
        </w:trPr>
        <w:tc>
          <w:tcPr>
            <w:tcW w:w="9923" w:type="dxa"/>
            <w:gridSpan w:val="3"/>
            <w:shd w:val="clear" w:color="auto" w:fill="D2E4EE"/>
          </w:tcPr>
          <w:p w:rsidR="00182AF6" w:rsidRPr="002B4B35" w:rsidRDefault="00182AF6" w:rsidP="00617348">
            <w:pPr>
              <w:pStyle w:val="TableH2"/>
            </w:pPr>
            <w:r w:rsidRPr="002B4B35">
              <w:t>Routine antenatal immunoprophylaxis in Rh D negative pregnant women</w:t>
            </w:r>
          </w:p>
        </w:tc>
      </w:tr>
      <w:tr w:rsidR="00182AF6" w:rsidRPr="0032749C" w:rsidTr="00617348">
        <w:trPr>
          <w:cantSplit/>
        </w:trPr>
        <w:tc>
          <w:tcPr>
            <w:tcW w:w="1277" w:type="dxa"/>
            <w:shd w:val="clear" w:color="auto" w:fill="648F90"/>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R1</w:t>
            </w:r>
          </w:p>
        </w:tc>
        <w:tc>
          <w:tcPr>
            <w:tcW w:w="7371" w:type="dxa"/>
            <w:vAlign w:val="center"/>
          </w:tcPr>
          <w:p w:rsidR="00182AF6" w:rsidRPr="002B4B35" w:rsidRDefault="00182AF6" w:rsidP="00617348">
            <w:pPr>
              <w:pStyle w:val="TableH1"/>
              <w:rPr>
                <w:noProof/>
                <w:color w:val="auto"/>
              </w:rPr>
            </w:pPr>
            <w:r w:rsidRPr="002B4B35">
              <w:rPr>
                <w:noProof/>
                <w:color w:val="auto"/>
              </w:rPr>
              <w:t>The ERG</w:t>
            </w:r>
            <w:r w:rsidRPr="002B4B35">
              <w:rPr>
                <w:b/>
                <w:bCs/>
                <w:noProof/>
                <w:color w:val="auto"/>
              </w:rPr>
              <w:t xml:space="preserve"> recommends</w:t>
            </w:r>
            <w:r w:rsidRPr="002B4B35">
              <w:rPr>
                <w:noProof/>
                <w:color w:val="auto"/>
              </w:rPr>
              <w:t xml:space="preserve"> access to antenatal Rh D immunoglobulin for the prevention of Rh D alloimmunisation in Rh D negative pregnant women with no preformed anti-D antibodies.</w:t>
            </w:r>
            <w:r w:rsidRPr="002B4B35">
              <w:rPr>
                <w:noProof/>
                <w:color w:val="auto"/>
                <w:vertAlign w:val="superscript"/>
              </w:rPr>
              <w:t>a</w:t>
            </w:r>
            <w:r w:rsidRPr="002B4B35">
              <w:rPr>
                <w:noProof/>
                <w:color w:val="auto"/>
              </w:rPr>
              <w:br/>
            </w:r>
            <w:r w:rsidRPr="00A5685C">
              <w:rPr>
                <w:noProof/>
                <w:color w:val="auto"/>
                <w:sz w:val="20"/>
                <w:szCs w:val="20"/>
              </w:rPr>
              <w:t>(</w:t>
            </w:r>
            <w:r w:rsidRPr="00A5685C">
              <w:rPr>
                <w:rStyle w:val="Emphasis"/>
                <w:rFonts w:asciiTheme="minorHAnsi" w:hAnsiTheme="minorHAnsi" w:cstheme="minorHAnsi"/>
                <w:noProof/>
                <w:color w:val="auto"/>
                <w:sz w:val="20"/>
                <w:szCs w:val="20"/>
              </w:rPr>
              <w:t>Strong recommendation, low to very low certainty of evidence about the size of effect</w:t>
            </w:r>
            <w:r w:rsidRPr="00A5685C">
              <w:rPr>
                <w:noProof/>
                <w:color w:val="auto"/>
                <w:sz w:val="20"/>
                <w:szCs w:val="20"/>
              </w:rPr>
              <w:t>)</w:t>
            </w:r>
          </w:p>
          <w:p w:rsidR="00182AF6" w:rsidRPr="002B4B35" w:rsidRDefault="00182AF6" w:rsidP="00617348">
            <w:pPr>
              <w:pStyle w:val="Tabletext9pt"/>
              <w:rPr>
                <w:b/>
                <w:noProof/>
              </w:rPr>
            </w:pPr>
            <w:r w:rsidRPr="002B4B35">
              <w:rPr>
                <w:noProof/>
                <w:vertAlign w:val="superscript"/>
              </w:rPr>
              <w:t xml:space="preserve">a </w:t>
            </w:r>
            <w:r w:rsidRPr="002B4B35">
              <w:t>See</w:t>
            </w:r>
            <w:r w:rsidRPr="002B4B35">
              <w:rPr>
                <w:noProof/>
              </w:rPr>
              <w:t xml:space="preserve"> R6</w:t>
            </w:r>
          </w:p>
        </w:tc>
        <w:tc>
          <w:tcPr>
            <w:tcW w:w="1275" w:type="dxa"/>
          </w:tcPr>
          <w:p w:rsidR="00182AF6" w:rsidRPr="002B4B35" w:rsidRDefault="00182AF6" w:rsidP="00617348">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3.1.1</w:t>
            </w:r>
          </w:p>
        </w:tc>
      </w:tr>
      <w:tr w:rsidR="00182AF6" w:rsidRPr="0032749C" w:rsidTr="00617348">
        <w:trPr>
          <w:cantSplit/>
        </w:trPr>
        <w:tc>
          <w:tcPr>
            <w:tcW w:w="8648" w:type="dxa"/>
            <w:gridSpan w:val="2"/>
            <w:shd w:val="clear" w:color="auto" w:fill="D2E4EE"/>
          </w:tcPr>
          <w:p w:rsidR="00182AF6" w:rsidRPr="002B4B35" w:rsidDel="00843377" w:rsidRDefault="00182AF6" w:rsidP="00617348">
            <w:pPr>
              <w:pStyle w:val="TableH2"/>
            </w:pPr>
            <w:r w:rsidRPr="002B4B35">
              <w:t>Routine dosage regimens in Rh D negative pregnant women</w:t>
            </w:r>
          </w:p>
        </w:tc>
        <w:tc>
          <w:tcPr>
            <w:tcW w:w="1275" w:type="dxa"/>
            <w:shd w:val="clear" w:color="auto" w:fill="D2E4EE"/>
          </w:tcPr>
          <w:p w:rsidR="00182AF6" w:rsidRPr="002B4B35" w:rsidRDefault="00182AF6" w:rsidP="00617348">
            <w:pPr>
              <w:pStyle w:val="TableH2"/>
            </w:pPr>
          </w:p>
        </w:tc>
      </w:tr>
      <w:tr w:rsidR="00182AF6" w:rsidRPr="0032749C" w:rsidTr="00617348">
        <w:trPr>
          <w:cantSplit/>
          <w:trHeight w:val="2987"/>
        </w:trPr>
        <w:tc>
          <w:tcPr>
            <w:tcW w:w="1277" w:type="dxa"/>
            <w:shd w:val="clear" w:color="auto" w:fill="648F90"/>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R2</w:t>
            </w:r>
          </w:p>
        </w:tc>
        <w:tc>
          <w:tcPr>
            <w:tcW w:w="7371" w:type="dxa"/>
          </w:tcPr>
          <w:p w:rsidR="00182AF6" w:rsidRPr="00A5685C" w:rsidRDefault="00182AF6" w:rsidP="00617348">
            <w:pPr>
              <w:pStyle w:val="TableH1"/>
              <w:rPr>
                <w:noProof/>
                <w:color w:val="auto"/>
                <w:sz w:val="20"/>
                <w:szCs w:val="20"/>
              </w:rPr>
            </w:pPr>
            <w:r w:rsidRPr="002B4B35">
              <w:rPr>
                <w:noProof/>
                <w:color w:val="auto"/>
              </w:rPr>
              <w:t xml:space="preserve">The ERG </w:t>
            </w:r>
            <w:r w:rsidRPr="002B4B35">
              <w:rPr>
                <w:b/>
                <w:noProof/>
                <w:color w:val="auto"/>
              </w:rPr>
              <w:t>recommends</w:t>
            </w:r>
            <w:r w:rsidRPr="002B4B35">
              <w:rPr>
                <w:noProof/>
                <w:color w:val="auto"/>
              </w:rPr>
              <w:t xml:space="preserve"> that administration of Rh D immunoglobulin 625 IU at 28 and 34 weeks of pregnancy</w:t>
            </w:r>
            <w:r w:rsidRPr="002B4B35">
              <w:rPr>
                <w:noProof/>
                <w:color w:val="auto"/>
                <w:vertAlign w:val="superscript"/>
              </w:rPr>
              <w:t>a</w:t>
            </w:r>
            <w:r w:rsidRPr="002B4B35">
              <w:rPr>
                <w:noProof/>
                <w:color w:val="auto"/>
              </w:rPr>
              <w:t xml:space="preserve"> continue in Rh D negative pregnant women with no preformed anti-D antibodies unless NIPT for fetal </w:t>
            </w:r>
            <w:r w:rsidRPr="002B4B35">
              <w:rPr>
                <w:i/>
                <w:noProof/>
                <w:color w:val="auto"/>
              </w:rPr>
              <w:t>RHD</w:t>
            </w:r>
            <w:r w:rsidRPr="002B4B35">
              <w:rPr>
                <w:noProof/>
                <w:color w:val="auto"/>
                <w:vertAlign w:val="superscript"/>
              </w:rPr>
              <w:t>b</w:t>
            </w:r>
            <w:r w:rsidRPr="002B4B35">
              <w:rPr>
                <w:noProof/>
                <w:color w:val="auto"/>
              </w:rPr>
              <w:t xml:space="preserve"> has predicted that they are not carrying an Rh D positive fetus. The ERG does not currently suggest changing to a single dose of Rh D immunoglobulin 1500 IU.</w:t>
            </w:r>
            <w:r w:rsidRPr="002B4B35">
              <w:rPr>
                <w:noProof/>
                <w:color w:val="auto"/>
              </w:rPr>
              <w:br/>
            </w:r>
            <w:r w:rsidRPr="00A5685C">
              <w:rPr>
                <w:noProof/>
                <w:color w:val="auto"/>
                <w:sz w:val="20"/>
                <w:szCs w:val="20"/>
              </w:rPr>
              <w:t>(</w:t>
            </w:r>
            <w:r w:rsidRPr="00A5685C">
              <w:rPr>
                <w:rStyle w:val="Emphasis"/>
                <w:rFonts w:asciiTheme="minorHAnsi" w:hAnsiTheme="minorHAnsi" w:cstheme="minorHAnsi"/>
                <w:noProof/>
                <w:color w:val="auto"/>
                <w:sz w:val="20"/>
                <w:szCs w:val="20"/>
              </w:rPr>
              <w:t>Weak recommendation, low to very low certainty of evidence about the size of effect</w:t>
            </w:r>
            <w:r w:rsidRPr="00A5685C">
              <w:rPr>
                <w:noProof/>
                <w:color w:val="auto"/>
                <w:sz w:val="20"/>
                <w:szCs w:val="20"/>
              </w:rPr>
              <w:t>)</w:t>
            </w:r>
          </w:p>
          <w:p w:rsidR="00182AF6" w:rsidRPr="002B4B35" w:rsidRDefault="00182AF6" w:rsidP="00617348">
            <w:pPr>
              <w:pStyle w:val="Tabletext9pt"/>
            </w:pPr>
            <w:r w:rsidRPr="002B4B35">
              <w:rPr>
                <w:noProof/>
                <w:vertAlign w:val="superscript"/>
              </w:rPr>
              <w:t>a</w:t>
            </w:r>
            <w:r w:rsidRPr="002B4B35">
              <w:t xml:space="preserve"> A woman’s pregnancy care schedule and clinical discretion may warrant the administration of Rh D immunoglobulin within 2 weeks before or after the recommended 28 and 34 weeks of pregnancy. However, if the second dose of Rh D immunoglobulin is given before 34 weeks and the pregnancy goes beyond the due date, the risk of inadequate anti-D coverage at birth increases. </w:t>
            </w:r>
          </w:p>
          <w:p w:rsidR="00182AF6" w:rsidRPr="002B4B35" w:rsidRDefault="00182AF6" w:rsidP="00874A8F">
            <w:pPr>
              <w:pStyle w:val="Tabletext9pt"/>
              <w:rPr>
                <w:rFonts w:eastAsia="Calibri"/>
                <w:noProof/>
              </w:rPr>
            </w:pPr>
            <w:r w:rsidRPr="002B4B35">
              <w:rPr>
                <w:vertAlign w:val="superscript"/>
              </w:rPr>
              <w:t xml:space="preserve">b </w:t>
            </w:r>
            <w:r w:rsidRPr="002B4B35">
              <w:t xml:space="preserve">All women should have an ABO/Rh D type and antibody screen performed early in pregnancy. Women who are Rh D negative should be retested at 28 weeks </w:t>
            </w:r>
            <w:r w:rsidRPr="002B4B35">
              <w:rPr>
                <w:noProof/>
              </w:rPr>
              <w:t xml:space="preserve">unless NIPT for fetal </w:t>
            </w:r>
            <w:r w:rsidRPr="002B4B35">
              <w:rPr>
                <w:i/>
                <w:noProof/>
              </w:rPr>
              <w:t>RHD</w:t>
            </w:r>
            <w:r w:rsidRPr="002B4B35">
              <w:rPr>
                <w:noProof/>
              </w:rPr>
              <w:t xml:space="preserve"> has predicted that they are not carrying an Rh D positive fetus</w:t>
            </w:r>
            <w:r w:rsidRPr="002B4B35">
              <w:t>. The specimen should be collected before giving prophylactic Rh D immunoglobulin; however, the immunoglobulin can be given before the results are available</w:t>
            </w:r>
            <w:r w:rsidR="00874A8F">
              <w:t>.</w:t>
            </w:r>
            <w:r w:rsidRPr="00511428">
              <w:rPr>
                <w:vertAlign w:val="superscript"/>
              </w:rPr>
              <w:fldChar w:fldCharType="begin"/>
            </w:r>
            <w:r w:rsidRPr="00511428">
              <w:rPr>
                <w:vertAlign w:val="superscript"/>
              </w:rPr>
              <w:instrText xml:space="preserve"> ADDIN EN.CITE &lt;EndNote&gt;&lt;Cite&gt;&lt;Author&gt;RANZCOG&lt;/Author&gt;&lt;Year&gt;2019&lt;/Year&gt;&lt;RecNum&gt;125&lt;/RecNum&gt;&lt;DisplayText&gt;&lt;style face="italic"&gt;(2)&lt;/style&gt;&lt;/DisplayText&gt;&lt;record&gt;&lt;rec-number&gt;125&lt;/rec-number&gt;&lt;foreign-keys&gt;&lt;key app="EN" db-id="2f5d25tzo2t05qe2xdlvtv2u2saw20svrd52" timestamp="1595372705"&gt;125&lt;/key&gt;&lt;/foreign-keys&gt;&lt;ref-type name="Electronic Article"&gt;43&lt;/ref-type&gt;&lt;contributors&gt;&lt;authors&gt;&lt;author&gt;The Royal Australian and New Zealand Colege of Obstetricians and Gynaecologists (RANZCOG),&lt;/author&gt;&lt;/authors&gt;&lt;/contributors&gt;&lt;titles&gt;&lt;title&gt;Routine antenatal assessment in the absence of pregnancy complications (C-Obs 3b)&lt;/title&gt;&lt;/titles&gt;&lt;dates&gt;&lt;year&gt;2019&lt;/year&gt;&lt;/dates&gt;&lt;pub-location&gt;The Royal Australian and New Zealand Colege of Obstetricians and Gynaecologists&lt;/pub-location&gt;&lt;urls&gt;&lt;related-urls&gt;&lt;url&gt;https://ranzcog.edu.au/RANZCOG_SITE/media/RANZCOG-MEDIA/Women%27s%20Health/Statement%20and%20guidelines/Clinical-Obstetrics/Routine-antenatal-assessment-in-the-absence-of-pregnancy-complications-(C-Obs-3b)_2.pdf?ext=.pdf&lt;/url&gt;&lt;/related-urls&gt;&lt;/urls&gt;&lt;/record&gt;&lt;/Cite&gt;&lt;/EndNote&gt;</w:instrText>
            </w:r>
            <w:r w:rsidRPr="00511428">
              <w:rPr>
                <w:vertAlign w:val="superscript"/>
              </w:rPr>
              <w:fldChar w:fldCharType="separate"/>
            </w:r>
            <w:r w:rsidRPr="00511428">
              <w:rPr>
                <w:i/>
                <w:noProof/>
                <w:vertAlign w:val="superscript"/>
              </w:rPr>
              <w:t>1</w:t>
            </w:r>
            <w:r w:rsidRPr="00511428">
              <w:rPr>
                <w:vertAlign w:val="superscript"/>
              </w:rPr>
              <w:fldChar w:fldCharType="end"/>
            </w:r>
          </w:p>
        </w:tc>
        <w:tc>
          <w:tcPr>
            <w:tcW w:w="1275" w:type="dxa"/>
          </w:tcPr>
          <w:p w:rsidR="00182AF6" w:rsidRPr="002B4B35" w:rsidRDefault="00182AF6" w:rsidP="00617348">
            <w:pPr>
              <w:rPr>
                <w:rFonts w:asciiTheme="minorHAnsi" w:hAnsiTheme="minorHAnsi" w:cstheme="minorHAnsi"/>
                <w:noProof/>
                <w:sz w:val="20"/>
                <w:szCs w:val="20"/>
              </w:rPr>
            </w:pPr>
            <w:r w:rsidRPr="002B4B35">
              <w:rPr>
                <w:rFonts w:asciiTheme="minorHAnsi" w:hAnsiTheme="minorHAnsi" w:cstheme="minorHAnsi"/>
                <w:noProof/>
                <w:sz w:val="20"/>
                <w:szCs w:val="20"/>
              </w:rPr>
              <w:t>3.1.1</w:t>
            </w:r>
          </w:p>
        </w:tc>
      </w:tr>
      <w:tr w:rsidR="00182AF6" w:rsidRPr="0032749C" w:rsidTr="00617348">
        <w:trPr>
          <w:cantSplit/>
        </w:trPr>
        <w:tc>
          <w:tcPr>
            <w:tcW w:w="9923" w:type="dxa"/>
            <w:gridSpan w:val="3"/>
            <w:shd w:val="clear" w:color="auto" w:fill="D2E4EE"/>
          </w:tcPr>
          <w:p w:rsidR="00182AF6" w:rsidRPr="002B4B35" w:rsidRDefault="00182AF6" w:rsidP="00617348">
            <w:pPr>
              <w:pStyle w:val="TableH2"/>
            </w:pPr>
            <w:r w:rsidRPr="002B4B35">
              <w:t>Sensitising event immunoprophylaxis in the first 12 weeks of pregnancy in Rh D negative women</w:t>
            </w:r>
          </w:p>
        </w:tc>
      </w:tr>
      <w:tr w:rsidR="00182AF6" w:rsidRPr="0032749C" w:rsidTr="00617348">
        <w:trPr>
          <w:cantSplit/>
        </w:trPr>
        <w:tc>
          <w:tcPr>
            <w:tcW w:w="1277" w:type="dxa"/>
            <w:shd w:val="clear" w:color="auto" w:fill="648F90"/>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R3</w:t>
            </w:r>
          </w:p>
        </w:tc>
        <w:tc>
          <w:tcPr>
            <w:tcW w:w="7371" w:type="dxa"/>
          </w:tcPr>
          <w:p w:rsidR="00182AF6" w:rsidRPr="002B4B35" w:rsidRDefault="00182AF6" w:rsidP="00617348">
            <w:pPr>
              <w:pStyle w:val="TableH1"/>
              <w:rPr>
                <w:rFonts w:asciiTheme="minorHAnsi" w:hAnsiTheme="minorHAnsi" w:cstheme="minorHAnsi"/>
                <w:noProof/>
                <w:color w:val="auto"/>
                <w:szCs w:val="20"/>
              </w:rPr>
            </w:pPr>
            <w:r w:rsidRPr="002B4B35">
              <w:rPr>
                <w:color w:val="auto"/>
              </w:rPr>
              <w:t>After the following sensitising events in the first 12 weeks of singleton or multiple pregnancy: miscarriage, termination of pregnancy (medical after 10 weeks gestation or surgical), ectopic pregnancy, molar pregnancy and chorionic villus sampling</w:t>
            </w:r>
            <w:r w:rsidRPr="002B4B35">
              <w:rPr>
                <w:rFonts w:asciiTheme="minorHAnsi" w:hAnsiTheme="minorHAnsi" w:cstheme="minorHAnsi"/>
                <w:noProof/>
                <w:color w:val="auto"/>
                <w:szCs w:val="20"/>
              </w:rPr>
              <w:t>, the ERG</w:t>
            </w:r>
            <w:r w:rsidRPr="002B4B35">
              <w:rPr>
                <w:rFonts w:asciiTheme="minorHAnsi" w:hAnsiTheme="minorHAnsi" w:cstheme="minorHAnsi"/>
                <w:b/>
                <w:bCs/>
                <w:noProof/>
                <w:color w:val="auto"/>
                <w:szCs w:val="20"/>
              </w:rPr>
              <w:t xml:space="preserve"> recommends</w:t>
            </w:r>
            <w:r w:rsidRPr="002B4B35">
              <w:rPr>
                <w:rFonts w:asciiTheme="minorHAnsi" w:hAnsiTheme="minorHAnsi" w:cstheme="minorHAnsi"/>
                <w:noProof/>
                <w:color w:val="auto"/>
                <w:szCs w:val="20"/>
              </w:rPr>
              <w:t xml:space="preserve"> that a dose of Rh D immunoglobulin 250 IU be given to all Rh D negative women with no preformed anti-D antibodies to prevent Rh D alloimmunisation. </w:t>
            </w:r>
            <w:r w:rsidRPr="002B4B35">
              <w:rPr>
                <w:rFonts w:asciiTheme="minorHAnsi" w:hAnsiTheme="minorHAnsi" w:cstheme="minorHAnsi"/>
                <w:noProof/>
                <w:color w:val="auto"/>
                <w:szCs w:val="20"/>
              </w:rPr>
              <w:br/>
            </w:r>
            <w:r w:rsidRPr="00A5685C">
              <w:rPr>
                <w:rFonts w:asciiTheme="minorHAnsi" w:hAnsiTheme="minorHAnsi" w:cstheme="minorHAnsi"/>
                <w:noProof/>
                <w:color w:val="auto"/>
                <w:sz w:val="20"/>
                <w:szCs w:val="20"/>
              </w:rPr>
              <w:t>(</w:t>
            </w:r>
            <w:r w:rsidRPr="00A5685C">
              <w:rPr>
                <w:rStyle w:val="Emphasis"/>
                <w:rFonts w:asciiTheme="minorHAnsi" w:hAnsiTheme="minorHAnsi" w:cstheme="minorHAnsi"/>
                <w:noProof/>
                <w:color w:val="auto"/>
                <w:sz w:val="20"/>
                <w:szCs w:val="20"/>
              </w:rPr>
              <w:t>Strong recommendation, very low certainty of evidence about the size of effect</w:t>
            </w:r>
            <w:r w:rsidRPr="00A5685C">
              <w:rPr>
                <w:rFonts w:asciiTheme="minorHAnsi" w:hAnsiTheme="minorHAnsi" w:cstheme="minorHAnsi"/>
                <w:noProof/>
                <w:color w:val="auto"/>
                <w:sz w:val="20"/>
                <w:szCs w:val="20"/>
              </w:rPr>
              <w:t>)</w:t>
            </w:r>
          </w:p>
        </w:tc>
        <w:tc>
          <w:tcPr>
            <w:tcW w:w="1275" w:type="dxa"/>
          </w:tcPr>
          <w:p w:rsidR="00182AF6" w:rsidRPr="002B4B35" w:rsidRDefault="00182AF6" w:rsidP="00617348">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3.2.1</w:t>
            </w:r>
          </w:p>
        </w:tc>
      </w:tr>
      <w:tr w:rsidR="00182AF6" w:rsidRPr="0032749C" w:rsidTr="00617348">
        <w:trPr>
          <w:cantSplit/>
        </w:trPr>
        <w:tc>
          <w:tcPr>
            <w:tcW w:w="1277" w:type="dxa"/>
            <w:shd w:val="clear" w:color="auto" w:fill="648F90"/>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R4</w:t>
            </w:r>
          </w:p>
        </w:tc>
        <w:tc>
          <w:tcPr>
            <w:tcW w:w="7371" w:type="dxa"/>
          </w:tcPr>
          <w:p w:rsidR="00874A8F" w:rsidRDefault="00182AF6" w:rsidP="00874A8F">
            <w:pPr>
              <w:pStyle w:val="TableH1"/>
              <w:rPr>
                <w:color w:val="auto"/>
              </w:rPr>
            </w:pPr>
            <w:r w:rsidRPr="002B4B35">
              <w:rPr>
                <w:color w:val="auto"/>
              </w:rPr>
              <w:t>In the setting of medical termination of pregnancy before 10 weeks of gestation there is insufficient evidence to suggest the routine use of Rh D immunoglobulin</w:t>
            </w:r>
            <w:r w:rsidR="00874A8F">
              <w:rPr>
                <w:color w:val="auto"/>
              </w:rPr>
              <w:t>.</w:t>
            </w:r>
            <w:r w:rsidRPr="00874A8F">
              <w:rPr>
                <w:color w:val="auto"/>
                <w:vertAlign w:val="superscript"/>
              </w:rPr>
              <w:fldChar w:fldCharType="begin">
                <w:fldData xml:space="preserve">PEVuZE5vdGU+PENpdGU+PEF1dGhvcj5OYXRpb25hbCBJbnN0aXR1dGUgb2YgSGVhbHRoIGFuZCBD
YXJlIEV4Y2VsbGVuY2U8L0F1dGhvcj48WWVhcj4yMDE5PC9ZZWFyPjxSZWNOdW0+MTI2PC9SZWNO
dW0+PERpc3BsYXlUZXh0PjxzdHlsZSBmYWNlPSJpdGFsaWMiPigzLCA0KTwvc3R5bGU+PC9EaXNw
bGF5VGV4dD48cmVjb3JkPjxyZWMtbnVtYmVyPjEyNjwvcmVjLW51bWJlcj48Zm9yZWlnbi1rZXlz
PjxrZXkgYXBwPSJFTiIgZGItaWQ9IjJmNWQyNXR6bzJ0MDVxZTJ4ZGx2dHYydTJzYXcyMHN2cmQ1
MiIgdGltZXN0YW1wPSIxNTk1Mzc0Mjc3Ij4xMjY8L2tleT48L2ZvcmVpZ24ta2V5cz48cmVmLXR5
cGUgbmFtZT0iRWxlY3Ryb25pYyBBcnRpY2xlIj40MzwvcmVmLXR5cGU+PGNvbnRyaWJ1dG9ycz48
YXV0aG9ycz48YXV0aG9yPk5hdGlvbmFsIEluc3RpdHV0ZSBvZiBIZWFsdGggYW5kIENhcmUgRXhj
ZWxsZW5jZSAoTklDRSksPC9hdXRob3I+PC9hdXRob3JzPjwvY29udHJpYnV0b3JzPjx0aXRsZXM+
PHRpdGxlPkFib3J0aW9uIGNhcmU8L3RpdGxlPjxzZWNvbmRhcnktdGl0bGU+TklDRSBndWlkZWxp
bmUgW05HMTQwXTwvc2Vjb25kYXJ5LXRpdGxlPjwvdGl0bGVzPjxwZXJpb2RpY2FsPjxmdWxsLXRp
dGxlPk5JQ0UgZ3VpZGVsaW5lIFtORzE0MF08L2Z1bGwtdGl0bGU+PC9wZXJpb2RpY2FsPjxkYXRl
cz48eWVhcj4yMDE5PC95ZWFyPjwvZGF0ZXM+PHB1Yi1sb2NhdGlvbj5odHRwczovL3d3dy5uaWNl
Lm9yZy51ay9ndWlkYW5jZS9uZzE0MDwvcHViLWxvY2F0aW9uPjx1cmxzPjxyZWxhdGVkLXVybHM+
PHVybD5odHRwczovL3d3dy5uaWNlLm9yZy51ay9ndWlkYW5jZS9uZzE0MDwvdXJsPjwvcmVsYXRl
ZC11cmxzPjwvdXJscz48L3JlY29yZD48L0NpdGU+PENpdGU+PEF1dGhvcj5NYXJrPC9BdXRob3I+
PFllYXI+MjAxOTwvWWVhcj48UmVjTnVtPjEyNzwvUmVjTnVtPjxyZWNvcmQ+PHJlYy1udW1iZXI+
MTI3PC9yZWMtbnVtYmVyPjxmb3JlaWduLWtleXM+PGtleSBhcHA9IkVOIiBkYi1pZD0iMmY1ZDI1
dHpvMnQwNXFlMnhkbHZ0djJ1MnNhdzIwc3ZyZDUyIiB0aW1lc3RhbXA9IjE1OTUzNzUxNjUiPjEy
Nzwva2V5PjwvZm9yZWlnbi1rZXlzPjxyZWYtdHlwZSBuYW1lPSJKb3VybmFsIEFydGljbGUiPjE3
PC9yZWYtdHlwZT48Y29udHJpYnV0b3JzPjxhdXRob3JzPjxhdXRob3I+TWFyaywgQS48L2F1dGhv
cj48YXV0aG9yPkZvc3RlciwgQS4gTS48L2F1dGhvcj48YXV0aG9yPkdyb3NzbWFuLCBELjwvYXV0
aG9yPjxhdXRob3I+UHJhZ2VyLCBTLiBXLjwvYXV0aG9yPjxhdXRob3I+UmVldmVzLCBNLjwvYXV0
aG9yPjxhdXRob3I+VmVsw6FzcXVleiwgQy4gVi48L2F1dGhvcj48YXV0aG9yPldpbmlrb2ZmLCBC
LjwvYXV0aG9yPjwvYXV0aG9ycz48L2NvbnRyaWJ1dG9ycz48YXV0aC1hZGRyZXNzPk5hdGlvbmFs
IEFib3J0aW9uIEZlZGVyYXRpb24sIDEwOTAgVmVybW9udCBBdmUgTlcgU3VpdGUgMTAwMCwgV2Fz
aGluZ3RvbiBEQywgMjAwMDUsIFVTQS4gRWxlY3Ryb25pYyBhZGRyZXNzOiBhbWFya0Bwcm9jaG9p
Y2Uub3JnLiYjeEQ7TmF0aW9uYWwgQWJvcnRpb24gRmVkZXJhdGlvbiwgQ2xpbmljYWwgUG9saWNp
ZXMgQ29tbWl0dGVlLCBXYXNoaW5ndG9uLCBEQywgVVNBOyBVbml2ZXJzaXR5IG9mIE90dGF3YSwg
T3R0YXdhLCBPbnRhcmlvLCBDYW5hZGEuIEVsZWN0cm9uaWMgYWRkcmVzczogYW5nZWwuZm9zdGVy
QHVPdHRhd2EuY2EuJiN4RDtOYXRpb25hbCBBYm9ydGlvbiBGZWRlcmF0aW9uLCBDbGluaWNhbCBQ
b2xpY2llcyBDb21taXR0ZWUsIFdhc2hpbmd0b24sIERDLCBVU0E7IFVuaXZlcnNpdHkgb2YgQ2Fs
aWZvcm5pYSBTYW4gRnJhbmNpc2NvIGFuZCBBZHZhbmNpbmcgTmV3IFN0YW5kYXJkcyBpbiBSZXBy
b2R1Y3RpdmUgSGVhbHRoIENhcmUgKEFOU0lSSCksIFNhbiBGcmFuY2lzY28sIENBLCBVU0EuIEVs
ZWN0cm9uaWMgYWRkcmVzczogZGFuaWVsLmdyb3NzbWFuQHVjc2YuZWR1LiYjeEQ7TmF0aW9uYWwg
QWJvcnRpb24gRmVkZXJhdGlvbiwgQ2xpbmljYWwgUG9saWNpZXMgQ29tbWl0dGVlLCBXYXNoaW5n
dG9uLCBEQywgVVNBOyBVbml2ZXJzaXR5IG9mIFdhc2hpbmd0b24sIFNlYXR0bGUsIFdBLCBVU0Eu
IEVsZWN0cm9uaWMgYWRkcmVzczogcHJhZ2Vyc0B1dy5lZHUuJiN4RDtOYXRpb25hbCBBYm9ydGlv
biBGZWRlcmF0aW9uLCBDbGluaWNhbCBQb2xpY2llcyBDb21taXR0ZWUsIFdhc2hpbmd0b24sIERD
LCBVU0E7IER1cG9udCBDbGluaWMsIFdhc2hpbmd0b24gREMsIFVTQS4gRWxlY3Ryb25pYyBhZGRy
ZXNzOiBtcmVldmVzQGR1cG9udGNsaW5pYy5jb20uJiN4RDtOYXRpb25hbCBBYm9ydGlvbiBGZWRl
cmF0aW9uLCBDbGluaWNhbCBQb2xpY2llcyBDb21taXR0ZWUsIFdhc2hpbmd0b24sIERDLCBVU0E7
IEZ1bmRhY2nDs24gT3Jpw6ludGFtZSBhbmQgRVNBUiwgQm9nb3TDoSwgQ29sb21iaWEuIEVsZWN0
cm9uaWMgYWRkcmVzczogY3ZpbGxhcnJlYWxAb3JpZW50YW1lLm9yZy5jby4mI3hEO05hdGlvbmFs
IEFib3J0aW9uIEZlZGVyYXRpb24sIENsaW5pY2FsIFBvbGljaWVzIENvbW1pdHRlZSwgV2FzaGlu
Z3RvbiwgREMsIFVTQTsgR3ludWl0eSBIZWFsdGggUHJvamVjdHMsIE5ldyBZb3JrIENpdHksIE5Z
LCBVU0EuIEVsZWN0cm9uaWMgYWRkcmVzczogYndpbmlrb2ZmQGd5bnVpdHkub3JnLjwvYXV0aC1h
ZGRyZXNzPjx0aXRsZXM+PHRpdGxlPkZvcmVnb2luZyBSaCB0ZXN0aW5nIGFuZCBhbnRpLUQgaW1t
dW5vZ2xvYnVsaW4gZm9yIHdvbWVuIHByZXNlbnRpbmcgZm9yIGVhcmx5IGFib3J0aW9uOiBhIHJl
Y29tbWVuZGF0aW9uIGZyb20gdGhlIE5hdGlvbmFsIEFib3J0aW9uIEZlZGVyYXRpb24mYXBvcztz
IENsaW5pY2FsIFBvbGljaWVzIENvbW1pdHRlZTwvdGl0bGU+PHNlY29uZGFyeS10aXRsZT5Db250
cmFjZXB0aW9uPC9zZWNvbmRhcnktdGl0bGU+PGFsdC10aXRsZT5Db250cmFjZXB0aW9uPC9hbHQt
dGl0bGU+PC90aXRsZXM+PHBlcmlvZGljYWw+PGZ1bGwtdGl0bGU+Q29udHJhY2VwdGlvbjwvZnVs
bC10aXRsZT48YWJici0xPkNvbnRyYWNlcHRpb248L2FiYnItMT48L3BlcmlvZGljYWw+PGFsdC1w
ZXJpb2RpY2FsPjxmdWxsLXRpdGxlPkNvbnRyYWNlcHRpb248L2Z1bGwtdGl0bGU+PGFiYnItMT5D
b250cmFjZXB0aW9uPC9hYmJyLTE+PC9hbHQtcGVyaW9kaWNhbD48cGFnZXM+MjY1LTI2NjwvcGFn
ZXM+PHZvbHVtZT45OTwvdm9sdW1lPjxudW1iZXI+NTwvbnVtYmVyPjxlZGl0aW9uPjIwMTkvMDMv
MTU8L2VkaXRpb24+PGRhdGVzPjx5ZWFyPjIwMTk8L3llYXI+PHB1Yi1kYXRlcz48ZGF0ZT5NYXk8
L2RhdGU+PC9wdWItZGF0ZXM+PC9kYXRlcz48aXNibj4wMDEwLTc4MjQ8L2lzYm4+PGFjY2Vzc2lv
bi1udW0+MzA4NjcxMjE8L2FjY2Vzc2lvbi1udW0+PHVybHM+PHJlbGF0ZWQtdXJscz48dXJsPnd3
dy5uY2JpLm5sbS5uaWguZ292L3B1Ym1lZC8zMDg2NzEyMTwvdXJsPjwvcmVsYXRlZC11cmxzPjwv
dXJscz48ZWxlY3Ryb25pYy1yZXNvdXJjZS1udW0+MTAuMTAxNi9qLmNvbnRyYWNlcHRpb24uMjAx
OS4wMi4wMDg8L2VsZWN0cm9uaWMtcmVzb3VyY2UtbnVtPjxyZW1vdGUtZGF0YWJhc2UtcHJvdmlk
ZXI+TkxNPC9yZW1vdGUtZGF0YWJhc2UtcHJvdmlkZXI+PGxhbmd1YWdlPmVuZzwvbGFuZ3VhZ2U+
PC9yZWNvcmQ+PC9DaXRlPjwvRW5kTm90ZT5=
</w:fldData>
              </w:fldChar>
            </w:r>
            <w:r w:rsidRPr="00874A8F">
              <w:rPr>
                <w:color w:val="auto"/>
                <w:vertAlign w:val="superscript"/>
              </w:rPr>
              <w:instrText xml:space="preserve"> ADDIN EN.CITE </w:instrText>
            </w:r>
            <w:r w:rsidRPr="00874A8F">
              <w:rPr>
                <w:color w:val="auto"/>
                <w:vertAlign w:val="superscript"/>
              </w:rPr>
              <w:fldChar w:fldCharType="begin">
                <w:fldData xml:space="preserve">PEVuZE5vdGU+PENpdGU+PEF1dGhvcj5OYXRpb25hbCBJbnN0aXR1dGUgb2YgSGVhbHRoIGFuZCBD
YXJlIEV4Y2VsbGVuY2U8L0F1dGhvcj48WWVhcj4yMDE5PC9ZZWFyPjxSZWNOdW0+MTI2PC9SZWNO
dW0+PERpc3BsYXlUZXh0PjxzdHlsZSBmYWNlPSJpdGFsaWMiPigzLCA0KTwvc3R5bGU+PC9EaXNw
bGF5VGV4dD48cmVjb3JkPjxyZWMtbnVtYmVyPjEyNjwvcmVjLW51bWJlcj48Zm9yZWlnbi1rZXlz
PjxrZXkgYXBwPSJFTiIgZGItaWQ9IjJmNWQyNXR6bzJ0MDVxZTJ4ZGx2dHYydTJzYXcyMHN2cmQ1
MiIgdGltZXN0YW1wPSIxNTk1Mzc0Mjc3Ij4xMjY8L2tleT48L2ZvcmVpZ24ta2V5cz48cmVmLXR5
cGUgbmFtZT0iRWxlY3Ryb25pYyBBcnRpY2xlIj40MzwvcmVmLXR5cGU+PGNvbnRyaWJ1dG9ycz48
YXV0aG9ycz48YXV0aG9yPk5hdGlvbmFsIEluc3RpdHV0ZSBvZiBIZWFsdGggYW5kIENhcmUgRXhj
ZWxsZW5jZSAoTklDRSksPC9hdXRob3I+PC9hdXRob3JzPjwvY29udHJpYnV0b3JzPjx0aXRsZXM+
PHRpdGxlPkFib3J0aW9uIGNhcmU8L3RpdGxlPjxzZWNvbmRhcnktdGl0bGU+TklDRSBndWlkZWxp
bmUgW05HMTQwXTwvc2Vjb25kYXJ5LXRpdGxlPjwvdGl0bGVzPjxwZXJpb2RpY2FsPjxmdWxsLXRp
dGxlPk5JQ0UgZ3VpZGVsaW5lIFtORzE0MF08L2Z1bGwtdGl0bGU+PC9wZXJpb2RpY2FsPjxkYXRl
cz48eWVhcj4yMDE5PC95ZWFyPjwvZGF0ZXM+PHB1Yi1sb2NhdGlvbj5odHRwczovL3d3dy5uaWNl
Lm9yZy51ay9ndWlkYW5jZS9uZzE0MDwvcHViLWxvY2F0aW9uPjx1cmxzPjxyZWxhdGVkLXVybHM+
PHVybD5odHRwczovL3d3dy5uaWNlLm9yZy51ay9ndWlkYW5jZS9uZzE0MDwvdXJsPjwvcmVsYXRl
ZC11cmxzPjwvdXJscz48L3JlY29yZD48L0NpdGU+PENpdGU+PEF1dGhvcj5NYXJrPC9BdXRob3I+
PFllYXI+MjAxOTwvWWVhcj48UmVjTnVtPjEyNzwvUmVjTnVtPjxyZWNvcmQ+PHJlYy1udW1iZXI+
MTI3PC9yZWMtbnVtYmVyPjxmb3JlaWduLWtleXM+PGtleSBhcHA9IkVOIiBkYi1pZD0iMmY1ZDI1
dHpvMnQwNXFlMnhkbHZ0djJ1MnNhdzIwc3ZyZDUyIiB0aW1lc3RhbXA9IjE1OTUzNzUxNjUiPjEy
Nzwva2V5PjwvZm9yZWlnbi1rZXlzPjxyZWYtdHlwZSBuYW1lPSJKb3VybmFsIEFydGljbGUiPjE3
PC9yZWYtdHlwZT48Y29udHJpYnV0b3JzPjxhdXRob3JzPjxhdXRob3I+TWFyaywgQS48L2F1dGhv
cj48YXV0aG9yPkZvc3RlciwgQS4gTS48L2F1dGhvcj48YXV0aG9yPkdyb3NzbWFuLCBELjwvYXV0
aG9yPjxhdXRob3I+UHJhZ2VyLCBTLiBXLjwvYXV0aG9yPjxhdXRob3I+UmVldmVzLCBNLjwvYXV0
aG9yPjxhdXRob3I+VmVsw6FzcXVleiwgQy4gVi48L2F1dGhvcj48YXV0aG9yPldpbmlrb2ZmLCBC
LjwvYXV0aG9yPjwvYXV0aG9ycz48L2NvbnRyaWJ1dG9ycz48YXV0aC1hZGRyZXNzPk5hdGlvbmFs
IEFib3J0aW9uIEZlZGVyYXRpb24sIDEwOTAgVmVybW9udCBBdmUgTlcgU3VpdGUgMTAwMCwgV2Fz
aGluZ3RvbiBEQywgMjAwMDUsIFVTQS4gRWxlY3Ryb25pYyBhZGRyZXNzOiBhbWFya0Bwcm9jaG9p
Y2Uub3JnLiYjeEQ7TmF0aW9uYWwgQWJvcnRpb24gRmVkZXJhdGlvbiwgQ2xpbmljYWwgUG9saWNp
ZXMgQ29tbWl0dGVlLCBXYXNoaW5ndG9uLCBEQywgVVNBOyBVbml2ZXJzaXR5IG9mIE90dGF3YSwg
T3R0YXdhLCBPbnRhcmlvLCBDYW5hZGEuIEVsZWN0cm9uaWMgYWRkcmVzczogYW5nZWwuZm9zdGVy
QHVPdHRhd2EuY2EuJiN4RDtOYXRpb25hbCBBYm9ydGlvbiBGZWRlcmF0aW9uLCBDbGluaWNhbCBQ
b2xpY2llcyBDb21taXR0ZWUsIFdhc2hpbmd0b24sIERDLCBVU0E7IFVuaXZlcnNpdHkgb2YgQ2Fs
aWZvcm5pYSBTYW4gRnJhbmNpc2NvIGFuZCBBZHZhbmNpbmcgTmV3IFN0YW5kYXJkcyBpbiBSZXBy
b2R1Y3RpdmUgSGVhbHRoIENhcmUgKEFOU0lSSCksIFNhbiBGcmFuY2lzY28sIENBLCBVU0EuIEVs
ZWN0cm9uaWMgYWRkcmVzczogZGFuaWVsLmdyb3NzbWFuQHVjc2YuZWR1LiYjeEQ7TmF0aW9uYWwg
QWJvcnRpb24gRmVkZXJhdGlvbiwgQ2xpbmljYWwgUG9saWNpZXMgQ29tbWl0dGVlLCBXYXNoaW5n
dG9uLCBEQywgVVNBOyBVbml2ZXJzaXR5IG9mIFdhc2hpbmd0b24sIFNlYXR0bGUsIFdBLCBVU0Eu
IEVsZWN0cm9uaWMgYWRkcmVzczogcHJhZ2Vyc0B1dy5lZHUuJiN4RDtOYXRpb25hbCBBYm9ydGlv
biBGZWRlcmF0aW9uLCBDbGluaWNhbCBQb2xpY2llcyBDb21taXR0ZWUsIFdhc2hpbmd0b24sIERD
LCBVU0E7IER1cG9udCBDbGluaWMsIFdhc2hpbmd0b24gREMsIFVTQS4gRWxlY3Ryb25pYyBhZGRy
ZXNzOiBtcmVldmVzQGR1cG9udGNsaW5pYy5jb20uJiN4RDtOYXRpb25hbCBBYm9ydGlvbiBGZWRl
cmF0aW9uLCBDbGluaWNhbCBQb2xpY2llcyBDb21taXR0ZWUsIFdhc2hpbmd0b24sIERDLCBVU0E7
IEZ1bmRhY2nDs24gT3Jpw6ludGFtZSBhbmQgRVNBUiwgQm9nb3TDoSwgQ29sb21iaWEuIEVsZWN0
cm9uaWMgYWRkcmVzczogY3ZpbGxhcnJlYWxAb3JpZW50YW1lLm9yZy5jby4mI3hEO05hdGlvbmFs
IEFib3J0aW9uIEZlZGVyYXRpb24sIENsaW5pY2FsIFBvbGljaWVzIENvbW1pdHRlZSwgV2FzaGlu
Z3RvbiwgREMsIFVTQTsgR3ludWl0eSBIZWFsdGggUHJvamVjdHMsIE5ldyBZb3JrIENpdHksIE5Z
LCBVU0EuIEVsZWN0cm9uaWMgYWRkcmVzczogYndpbmlrb2ZmQGd5bnVpdHkub3JnLjwvYXV0aC1h
ZGRyZXNzPjx0aXRsZXM+PHRpdGxlPkZvcmVnb2luZyBSaCB0ZXN0aW5nIGFuZCBhbnRpLUQgaW1t
dW5vZ2xvYnVsaW4gZm9yIHdvbWVuIHByZXNlbnRpbmcgZm9yIGVhcmx5IGFib3J0aW9uOiBhIHJl
Y29tbWVuZGF0aW9uIGZyb20gdGhlIE5hdGlvbmFsIEFib3J0aW9uIEZlZGVyYXRpb24mYXBvcztz
IENsaW5pY2FsIFBvbGljaWVzIENvbW1pdHRlZTwvdGl0bGU+PHNlY29uZGFyeS10aXRsZT5Db250
cmFjZXB0aW9uPC9zZWNvbmRhcnktdGl0bGU+PGFsdC10aXRsZT5Db250cmFjZXB0aW9uPC9hbHQt
dGl0bGU+PC90aXRsZXM+PHBlcmlvZGljYWw+PGZ1bGwtdGl0bGU+Q29udHJhY2VwdGlvbjwvZnVs
bC10aXRsZT48YWJici0xPkNvbnRyYWNlcHRpb248L2FiYnItMT48L3BlcmlvZGljYWw+PGFsdC1w
ZXJpb2RpY2FsPjxmdWxsLXRpdGxlPkNvbnRyYWNlcHRpb248L2Z1bGwtdGl0bGU+PGFiYnItMT5D
b250cmFjZXB0aW9uPC9hYmJyLTE+PC9hbHQtcGVyaW9kaWNhbD48cGFnZXM+MjY1LTI2NjwvcGFn
ZXM+PHZvbHVtZT45OTwvdm9sdW1lPjxudW1iZXI+NTwvbnVtYmVyPjxlZGl0aW9uPjIwMTkvMDMv
MTU8L2VkaXRpb24+PGRhdGVzPjx5ZWFyPjIwMTk8L3llYXI+PHB1Yi1kYXRlcz48ZGF0ZT5NYXk8
L2RhdGU+PC9wdWItZGF0ZXM+PC9kYXRlcz48aXNibj4wMDEwLTc4MjQ8L2lzYm4+PGFjY2Vzc2lv
bi1udW0+MzA4NjcxMjE8L2FjY2Vzc2lvbi1udW0+PHVybHM+PHJlbGF0ZWQtdXJscz48dXJsPnd3
dy5uY2JpLm5sbS5uaWguZ292L3B1Ym1lZC8zMDg2NzEyMTwvdXJsPjwvcmVsYXRlZC11cmxzPjwv
dXJscz48ZWxlY3Ryb25pYy1yZXNvdXJjZS1udW0+MTAuMTAxNi9qLmNvbnRyYWNlcHRpb24uMjAx
OS4wMi4wMDg8L2VsZWN0cm9uaWMtcmVzb3VyY2UtbnVtPjxyZW1vdGUtZGF0YWJhc2UtcHJvdmlk
ZXI+TkxNPC9yZW1vdGUtZGF0YWJhc2UtcHJvdmlkZXI+PGxhbmd1YWdlPmVuZzwvbGFuZ3VhZ2U+
PC9yZWNvcmQ+PC9DaXRlPjwvRW5kTm90ZT5=
</w:fldData>
              </w:fldChar>
            </w:r>
            <w:r w:rsidRPr="00874A8F">
              <w:rPr>
                <w:color w:val="auto"/>
                <w:vertAlign w:val="superscript"/>
              </w:rPr>
              <w:instrText xml:space="preserve"> ADDIN EN.CITE.DATA </w:instrText>
            </w:r>
            <w:r w:rsidRPr="00874A8F">
              <w:rPr>
                <w:color w:val="auto"/>
                <w:vertAlign w:val="superscript"/>
              </w:rPr>
            </w:r>
            <w:r w:rsidRPr="00874A8F">
              <w:rPr>
                <w:color w:val="auto"/>
                <w:vertAlign w:val="superscript"/>
              </w:rPr>
              <w:fldChar w:fldCharType="end"/>
            </w:r>
            <w:r w:rsidRPr="00874A8F">
              <w:rPr>
                <w:color w:val="auto"/>
                <w:vertAlign w:val="superscript"/>
              </w:rPr>
            </w:r>
            <w:r w:rsidRPr="00874A8F">
              <w:rPr>
                <w:color w:val="auto"/>
                <w:vertAlign w:val="superscript"/>
              </w:rPr>
              <w:fldChar w:fldCharType="separate"/>
            </w:r>
            <w:r w:rsidRPr="00874A8F">
              <w:rPr>
                <w:i/>
                <w:noProof/>
                <w:color w:val="auto"/>
                <w:vertAlign w:val="superscript"/>
              </w:rPr>
              <w:t>2</w:t>
            </w:r>
            <w:r w:rsidR="00874A8F">
              <w:rPr>
                <w:i/>
                <w:noProof/>
                <w:color w:val="auto"/>
                <w:vertAlign w:val="superscript"/>
              </w:rPr>
              <w:t>,</w:t>
            </w:r>
            <w:r w:rsidRPr="00874A8F">
              <w:rPr>
                <w:i/>
                <w:noProof/>
                <w:color w:val="auto"/>
                <w:vertAlign w:val="superscript"/>
              </w:rPr>
              <w:t xml:space="preserve"> 3</w:t>
            </w:r>
            <w:r w:rsidRPr="00874A8F">
              <w:rPr>
                <w:color w:val="auto"/>
                <w:vertAlign w:val="superscript"/>
              </w:rPr>
              <w:fldChar w:fldCharType="end"/>
            </w:r>
          </w:p>
          <w:p w:rsidR="00182AF6" w:rsidRPr="002B4B35" w:rsidRDefault="00182AF6" w:rsidP="00874A8F">
            <w:pPr>
              <w:pStyle w:val="TableH1"/>
              <w:rPr>
                <w:rFonts w:asciiTheme="minorHAnsi" w:hAnsiTheme="minorHAnsi" w:cstheme="minorHAnsi"/>
                <w:noProof/>
                <w:color w:val="auto"/>
                <w:szCs w:val="20"/>
              </w:rPr>
            </w:pPr>
            <w:r w:rsidRPr="00A5685C">
              <w:rPr>
                <w:rStyle w:val="Emphasis"/>
                <w:color w:val="auto"/>
                <w:sz w:val="20"/>
                <w:szCs w:val="20"/>
              </w:rPr>
              <w:t>(Discretionary (weak) recommendation, expert consensus)</w:t>
            </w:r>
          </w:p>
        </w:tc>
        <w:tc>
          <w:tcPr>
            <w:tcW w:w="1275" w:type="dxa"/>
          </w:tcPr>
          <w:p w:rsidR="00182AF6" w:rsidRPr="002B4B35" w:rsidRDefault="00182AF6" w:rsidP="00617348">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3.2.1</w:t>
            </w:r>
          </w:p>
        </w:tc>
      </w:tr>
    </w:tbl>
    <w:p w:rsidR="00182AF6" w:rsidRDefault="00182AF6" w:rsidP="00182AF6"/>
    <w:p w:rsidR="00182AF6" w:rsidRPr="00E575BC" w:rsidRDefault="00182AF6" w:rsidP="00182AF6"/>
    <w:tbl>
      <w:tblPr>
        <w:tblStyle w:val="TableGrid"/>
        <w:tblW w:w="10207" w:type="dxa"/>
        <w:tblInd w:w="-176" w:type="dxa"/>
        <w:tblLayout w:type="fixed"/>
        <w:tblLook w:val="04A0" w:firstRow="1" w:lastRow="0" w:firstColumn="1" w:lastColumn="0" w:noHBand="0" w:noVBand="1"/>
      </w:tblPr>
      <w:tblGrid>
        <w:gridCol w:w="1277"/>
        <w:gridCol w:w="7512"/>
        <w:gridCol w:w="1418"/>
      </w:tblGrid>
      <w:tr w:rsidR="00182AF6" w:rsidRPr="0032749C" w:rsidTr="00617348">
        <w:trPr>
          <w:tblHeader/>
        </w:trPr>
        <w:tc>
          <w:tcPr>
            <w:tcW w:w="1277" w:type="dxa"/>
            <w:shd w:val="clear" w:color="auto" w:fill="336A89"/>
          </w:tcPr>
          <w:p w:rsidR="00182AF6" w:rsidRPr="0032749C" w:rsidRDefault="00182AF6" w:rsidP="00617348">
            <w:pPr>
              <w:pStyle w:val="TableH1"/>
              <w:keepNext w:val="0"/>
              <w:ind w:left="0"/>
              <w:rPr>
                <w:rFonts w:asciiTheme="minorHAnsi" w:hAnsiTheme="minorHAnsi" w:cstheme="minorHAnsi"/>
                <w:b/>
                <w:bCs/>
                <w:noProof/>
                <w:szCs w:val="20"/>
              </w:rPr>
            </w:pPr>
            <w:r w:rsidRPr="0032749C">
              <w:rPr>
                <w:rFonts w:asciiTheme="minorHAnsi" w:hAnsiTheme="minorHAnsi" w:cstheme="minorHAnsi"/>
                <w:b/>
                <w:bCs/>
                <w:noProof/>
                <w:szCs w:val="20"/>
              </w:rPr>
              <w:lastRenderedPageBreak/>
              <w:t>Identifier</w:t>
            </w:r>
          </w:p>
        </w:tc>
        <w:tc>
          <w:tcPr>
            <w:tcW w:w="7512" w:type="dxa"/>
            <w:shd w:val="clear" w:color="auto" w:fill="336A89"/>
          </w:tcPr>
          <w:p w:rsidR="00182AF6" w:rsidRPr="0032749C" w:rsidRDefault="00182AF6" w:rsidP="00617348">
            <w:pPr>
              <w:pStyle w:val="TableH1"/>
              <w:keepNext w:val="0"/>
              <w:rPr>
                <w:rFonts w:asciiTheme="minorHAnsi" w:hAnsiTheme="minorHAnsi" w:cstheme="minorHAnsi"/>
                <w:b/>
                <w:bCs/>
                <w:noProof/>
                <w:szCs w:val="20"/>
              </w:rPr>
            </w:pPr>
            <w:r w:rsidRPr="0032749C">
              <w:rPr>
                <w:rFonts w:asciiTheme="minorHAnsi" w:hAnsiTheme="minorHAnsi" w:cstheme="minorHAnsi"/>
                <w:b/>
                <w:bCs/>
                <w:noProof/>
                <w:szCs w:val="20"/>
              </w:rPr>
              <w:t>Guidance – recommendations and expert opinion points</w:t>
            </w:r>
          </w:p>
        </w:tc>
        <w:tc>
          <w:tcPr>
            <w:tcW w:w="1418" w:type="dxa"/>
            <w:shd w:val="clear" w:color="auto" w:fill="336A89"/>
          </w:tcPr>
          <w:p w:rsidR="00182AF6" w:rsidRPr="0032749C" w:rsidRDefault="00182AF6" w:rsidP="00617348">
            <w:pPr>
              <w:pStyle w:val="TableH1"/>
              <w:keepNext w:val="0"/>
              <w:ind w:left="0"/>
              <w:rPr>
                <w:rFonts w:asciiTheme="minorHAnsi" w:hAnsiTheme="minorHAnsi" w:cstheme="minorHAnsi"/>
                <w:b/>
                <w:bCs/>
                <w:noProof/>
                <w:szCs w:val="20"/>
              </w:rPr>
            </w:pPr>
            <w:r>
              <w:rPr>
                <w:rFonts w:asciiTheme="minorHAnsi" w:hAnsiTheme="minorHAnsi" w:cstheme="minorHAnsi"/>
                <w:b/>
                <w:bCs/>
                <w:noProof/>
                <w:szCs w:val="20"/>
              </w:rPr>
              <w:t>Relevant section of Guideline</w:t>
            </w:r>
          </w:p>
        </w:tc>
      </w:tr>
      <w:tr w:rsidR="00182AF6" w:rsidRPr="002B4B35" w:rsidTr="00617348">
        <w:trPr>
          <w:cantSplit/>
        </w:trPr>
        <w:tc>
          <w:tcPr>
            <w:tcW w:w="10207" w:type="dxa"/>
            <w:gridSpan w:val="3"/>
            <w:shd w:val="clear" w:color="auto" w:fill="D2E4EE"/>
          </w:tcPr>
          <w:p w:rsidR="00182AF6" w:rsidRPr="002B4B35" w:rsidRDefault="00182AF6" w:rsidP="00617348">
            <w:pPr>
              <w:pStyle w:val="TableH2"/>
            </w:pPr>
            <w:r w:rsidRPr="002B4B35">
              <w:t>Sensitising event immunoprophylaxis in the first 12 weeks of pregnancy in Rh D negative women</w:t>
            </w:r>
            <w:r>
              <w:t xml:space="preserve"> </w:t>
            </w:r>
            <w:r w:rsidRPr="00986FFE">
              <w:rPr>
                <w:i/>
              </w:rPr>
              <w:t>(cont.)</w:t>
            </w:r>
          </w:p>
        </w:tc>
      </w:tr>
      <w:tr w:rsidR="00182AF6" w:rsidRPr="002B4B35" w:rsidTr="00617348">
        <w:trPr>
          <w:cantSplit/>
        </w:trPr>
        <w:tc>
          <w:tcPr>
            <w:tcW w:w="1277" w:type="dxa"/>
            <w:shd w:val="clear" w:color="auto" w:fill="648F90"/>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R5</w:t>
            </w:r>
          </w:p>
        </w:tc>
        <w:tc>
          <w:tcPr>
            <w:tcW w:w="7512" w:type="dxa"/>
          </w:tcPr>
          <w:p w:rsidR="00182AF6" w:rsidRPr="002B4B35" w:rsidRDefault="00182AF6" w:rsidP="00617348">
            <w:pPr>
              <w:pStyle w:val="TableH1"/>
              <w:rPr>
                <w:rFonts w:asciiTheme="minorHAnsi" w:hAnsiTheme="minorHAnsi" w:cstheme="minorHAnsi"/>
                <w:noProof/>
                <w:color w:val="auto"/>
                <w:szCs w:val="20"/>
              </w:rPr>
            </w:pPr>
            <w:r w:rsidRPr="002B4B35">
              <w:rPr>
                <w:color w:val="auto"/>
              </w:rPr>
              <w:t>In Rh D negative women with an ongoing pregnancy who have uterine bleeding in the first 12 weeks of pregnancy t</w:t>
            </w:r>
            <w:r w:rsidRPr="002B4B35">
              <w:rPr>
                <w:rFonts w:asciiTheme="minorHAnsi" w:hAnsiTheme="minorHAnsi" w:cstheme="minorHAnsi"/>
                <w:noProof/>
                <w:color w:val="auto"/>
                <w:szCs w:val="20"/>
              </w:rPr>
              <w:t xml:space="preserve">here is insufficient evidence to support the routine use of Rh D immunoglobulin. However, </w:t>
            </w:r>
            <w:r w:rsidRPr="002B4B35">
              <w:rPr>
                <w:color w:val="auto"/>
              </w:rPr>
              <w:t>where the bleeding is repeated, heavy or associated with abdominal pain or significant pelvic trauma</w:t>
            </w:r>
            <w:r w:rsidRPr="002B4B35">
              <w:rPr>
                <w:rFonts w:asciiTheme="minorHAnsi" w:hAnsiTheme="minorHAnsi" w:cstheme="minorHAnsi"/>
                <w:noProof/>
                <w:color w:val="auto"/>
                <w:szCs w:val="20"/>
              </w:rPr>
              <w:t xml:space="preserve">, immunoprophylaxis may be administered to women with no preformed anti-D antibodies. </w:t>
            </w:r>
            <w:r w:rsidRPr="002B4B35">
              <w:rPr>
                <w:rFonts w:asciiTheme="minorHAnsi" w:hAnsiTheme="minorHAnsi" w:cstheme="minorHAnsi"/>
                <w:noProof/>
                <w:color w:val="auto"/>
                <w:szCs w:val="20"/>
              </w:rPr>
              <w:br/>
            </w:r>
            <w:r w:rsidRPr="00A5685C">
              <w:rPr>
                <w:rFonts w:asciiTheme="minorHAnsi" w:hAnsiTheme="minorHAnsi" w:cstheme="minorHAnsi"/>
                <w:noProof/>
                <w:color w:val="auto"/>
                <w:sz w:val="20"/>
                <w:szCs w:val="20"/>
              </w:rPr>
              <w:t>(</w:t>
            </w:r>
            <w:r w:rsidRPr="00A5685C">
              <w:rPr>
                <w:rStyle w:val="Emphasis"/>
                <w:rFonts w:asciiTheme="minorHAnsi" w:hAnsiTheme="minorHAnsi" w:cstheme="minorHAnsi"/>
                <w:noProof/>
                <w:color w:val="auto"/>
                <w:sz w:val="20"/>
                <w:szCs w:val="20"/>
              </w:rPr>
              <w:t>Qualified (weak) recommendation, expert consensus</w:t>
            </w:r>
            <w:r w:rsidRPr="00A5685C">
              <w:rPr>
                <w:rFonts w:asciiTheme="minorHAnsi" w:hAnsiTheme="minorHAnsi" w:cstheme="minorHAnsi"/>
                <w:noProof/>
                <w:color w:val="auto"/>
                <w:sz w:val="20"/>
                <w:szCs w:val="20"/>
              </w:rPr>
              <w:t>)</w:t>
            </w:r>
          </w:p>
        </w:tc>
        <w:tc>
          <w:tcPr>
            <w:tcW w:w="1418" w:type="dxa"/>
          </w:tcPr>
          <w:p w:rsidR="00182AF6" w:rsidRPr="002B4B35" w:rsidRDefault="00182AF6" w:rsidP="00617348">
            <w:pPr>
              <w:pStyle w:val="TableH1"/>
              <w:keepNext w:val="0"/>
              <w:rPr>
                <w:rFonts w:asciiTheme="minorHAnsi" w:hAnsiTheme="minorHAnsi" w:cstheme="minorHAnsi"/>
                <w:noProof/>
                <w:color w:val="auto"/>
                <w:szCs w:val="20"/>
              </w:rPr>
            </w:pPr>
            <w:r w:rsidRPr="002B4B35">
              <w:rPr>
                <w:rFonts w:asciiTheme="minorHAnsi" w:hAnsiTheme="minorHAnsi" w:cstheme="minorHAnsi"/>
                <w:noProof/>
                <w:color w:val="auto"/>
                <w:szCs w:val="20"/>
              </w:rPr>
              <w:t>3.2.1</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EOP4</w:t>
            </w:r>
          </w:p>
        </w:tc>
        <w:tc>
          <w:tcPr>
            <w:tcW w:w="7512" w:type="dxa"/>
          </w:tcPr>
          <w:p w:rsidR="00182AF6" w:rsidRPr="002B4B35" w:rsidRDefault="00182AF6" w:rsidP="00617348">
            <w:pPr>
              <w:pStyle w:val="TableH1"/>
              <w:rPr>
                <w:noProof/>
                <w:color w:val="auto"/>
              </w:rPr>
            </w:pPr>
            <w:r w:rsidRPr="002B4B35">
              <w:rPr>
                <w:noProof/>
                <w:color w:val="auto"/>
              </w:rPr>
              <w:t xml:space="preserve">At all times when Rh D immunoglobulin is being administered for a sensitising event, it should be given as soon as practical within 72 hours. </w:t>
            </w:r>
            <w:r w:rsidRPr="002B4B35">
              <w:rPr>
                <w:rFonts w:eastAsiaTheme="minorHAnsi"/>
                <w:noProof/>
                <w:color w:val="auto"/>
              </w:rPr>
              <w:t>If delayed beyond 72 hours, the dose should be given up to 10 days</w:t>
            </w:r>
            <w:r w:rsidR="00EC7FB9">
              <w:rPr>
                <w:rFonts w:eastAsiaTheme="minorHAnsi"/>
                <w:noProof/>
                <w:color w:val="auto"/>
              </w:rPr>
              <w:t xml:space="preserve"> from the sensitising event</w:t>
            </w:r>
            <w:r w:rsidRPr="002B4B35">
              <w:rPr>
                <w:rFonts w:eastAsiaTheme="minorHAnsi"/>
                <w:noProof/>
                <w:color w:val="auto"/>
              </w:rPr>
              <w:t>, but may have lower efficacy.</w:t>
            </w:r>
          </w:p>
        </w:tc>
        <w:tc>
          <w:tcPr>
            <w:tcW w:w="1418" w:type="dxa"/>
          </w:tcPr>
          <w:p w:rsidR="00182AF6" w:rsidRPr="002B4B35" w:rsidRDefault="00182AF6" w:rsidP="00617348">
            <w:pPr>
              <w:pStyle w:val="TableH1"/>
              <w:keepNext w:val="0"/>
              <w:ind w:left="0"/>
              <w:rPr>
                <w:rFonts w:asciiTheme="minorHAnsi" w:hAnsiTheme="minorHAnsi" w:cstheme="minorHAnsi"/>
                <w:noProof/>
                <w:color w:val="auto"/>
                <w:szCs w:val="20"/>
              </w:rPr>
            </w:pPr>
            <w:r w:rsidRPr="002B4B35">
              <w:rPr>
                <w:rFonts w:asciiTheme="minorHAnsi" w:hAnsiTheme="minorHAnsi" w:cstheme="minorHAnsi"/>
                <w:noProof/>
                <w:color w:val="auto"/>
                <w:szCs w:val="20"/>
              </w:rPr>
              <w:t>3.2.1</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b/>
                <w:color w:val="FFFFFF" w:themeColor="background1"/>
              </w:rPr>
              <w:t>EOP5</w:t>
            </w:r>
          </w:p>
        </w:tc>
        <w:tc>
          <w:tcPr>
            <w:tcW w:w="7512" w:type="dxa"/>
          </w:tcPr>
          <w:p w:rsidR="00182AF6" w:rsidRPr="002B4B35" w:rsidRDefault="00182AF6" w:rsidP="009D612C">
            <w:pPr>
              <w:pStyle w:val="TableH1"/>
              <w:rPr>
                <w:noProof/>
                <w:color w:val="auto"/>
              </w:rPr>
            </w:pPr>
            <w:r w:rsidRPr="002B4B35">
              <w:rPr>
                <w:noProof/>
                <w:color w:val="auto"/>
              </w:rPr>
              <w:t>For repeated sensitising events in the first 12 weeks of pregnancy, there is no evidence to guide practice. Specialist obstetric consultation is advised regarding further administration of Rh D immunoprophylaxis. For new sensitising events a repeated dose of Rh D immunoglobulin may be indicated. For ongoing uterine bleeding alone, a repeat dose of Rh D immunoglobulin (250 IU if during the first 12 weeks and 625 IU if after) may be appropriate after an interval of 6 weeks</w:t>
            </w:r>
            <w:r w:rsidR="009D612C">
              <w:rPr>
                <w:noProof/>
                <w:color w:val="auto"/>
              </w:rPr>
              <w:t>.</w:t>
            </w:r>
            <w:r w:rsidRPr="002805D2">
              <w:rPr>
                <w:noProof/>
                <w:color w:val="auto"/>
              </w:rPr>
              <w:fldChar w:fldCharType="begin">
                <w:fldData xml:space="preserve">PEVuZE5vdGU+PENpdGU+PEF1dGhvcj5MZWU8L0F1dGhvcj48WWVhcj4xOTk5PC9ZZWFyPjxSZWNO
dW0+MTI5PC9SZWNOdW0+PERpc3BsYXlUZXh0PjxzdHlsZSBmYWNlPSJpdGFsaWMiPig1LCA2KTwv
c3R5bGU+PC9EaXNwbGF5VGV4dD48cmVjb3JkPjxyZWMtbnVtYmVyPjEyOTwvcmVjLW51bWJlcj48
Zm9yZWlnbi1rZXlzPjxrZXkgYXBwPSJFTiIgZGItaWQ9IjJmNWQyNXR6bzJ0MDVxZTJ4ZGx2dHYy
dTJzYXcyMHN2cmQ1MiIgdGltZXN0YW1wPSIxNTk1Mzc1OTA2Ij4xMjk8L2tleT48L2ZvcmVpZ24t
a2V5cz48cmVmLXR5cGUgbmFtZT0iSm91cm5hbCBBcnRpY2xlIj4xNzwvcmVmLXR5cGU+PGNvbnRy
aWJ1dG9ycz48YXV0aG9ycz48YXV0aG9yPkxlZSwgRC48L2F1dGhvcj48YXV0aG9yPkNvbnRyZXJh
cywgTS48L2F1dGhvcj48YXV0aG9yPlJvYnNvbiwgUy4gQy48L2F1dGhvcj48YXV0aG9yPlJvZGVj
aywgQy4gSC48L2F1dGhvcj48YXV0aG9yPldoaXR0bGUsIE0uIEouPC9hdXRob3I+PC9hdXRob3Jz
PjwvY29udHJpYnV0b3JzPjxhdXRoLWFkZHJlc3M+QnJpdGlzaCBCbG9vZCBUcmFuc2Z1c2lvbiBT
b2NpZXR5LCBSb3lhbCBWaWN0b3JpYSBJbmZpcm1hcnksIE5ld2Nhc3RsZSB1cG9uIFR5bmUsIFVL
LjwvYXV0aC1hZGRyZXNzPjx0aXRsZXM+PHRpdGxlPlJlY29tbWVuZGF0aW9ucyBmb3IgdGhlIHVz
ZSBvZiBhbnRpLUQgaW1tdW5vZ2xvYnVsaW4gZm9yIFJoIHByb3BoeWxheGlzLiBCcml0aXNoIEJs
b29kIFRyYW5zZnVzaW9uIFNvY2lldHkgYW5kIHRoZSBSb3lhbCBDb2xsZWdlIG9mIE9ic3RldHJp
Y2lhbnMgYW5kIEd5bmFlY29sb2dpc3RzPC90aXRsZT48c2Vjb25kYXJ5LXRpdGxlPlRyYW5zZnVz
IE1lZDwvc2Vjb25kYXJ5LXRpdGxlPjxhbHQtdGl0bGU+VHJhbnNmdXNpb24gbWVkaWNpbmUgKE94
Zm9yZCwgRW5nbGFuZCk8L2FsdC10aXRsZT48L3RpdGxlcz48cGVyaW9kaWNhbD48ZnVsbC10aXRs
ZT5UcmFuc2Z1cyBNZWQ8L2Z1bGwtdGl0bGU+PC9wZXJpb2RpY2FsPjxwYWdlcz45My03PC9wYWdl
cz48dm9sdW1lPjk8L3ZvbHVtZT48bnVtYmVyPjE8L251bWJlcj48ZWRpdGlvbj4xOTk5LzA0LzI3
PC9lZGl0aW9uPjxrZXl3b3Jkcz48a2V5d29yZD5CbG9vZCBDb21wb25lbnQgVHJhbnNmdXNpb248
L2tleXdvcmQ+PGtleXdvcmQ+RG9zZS1SZXNwb25zZSBSZWxhdGlvbnNoaXAsIEltbXVub2xvZ2lj
PC9rZXl3b3JkPjxrZXl3b3JkPkZlbWFsZTwva2V5d29yZD48a2V5d29yZD5IdW1hbnM8L2tleXdv
cmQ+PGtleXdvcmQ+UGVwdGlkZXMvKmJsb29kPC9rZXl3b3JkPjxrZXl3b3JkPlByZWduYW5jeTwv
a2V5d29yZD48a2V5d29yZD5QcmVuYXRhbCBDYXJlLyptZXRob2RzPC9rZXl3b3JkPjxrZXl3b3Jk
PlJoIElzb2ltbXVuaXphdGlvbi8qcHJldmVudGlvbiAmYW1wOyBjb250cm9sPC9rZXl3b3JkPjxr
ZXl3b3JkPlJoLUhyIEJsb29kLUdyb3VwIFN5c3RlbS8qYmxvb2Q8L2tleXdvcmQ+PGtleXdvcmQ+
UmhvKEQpIEltbXVuZSBHbG9idWxpbi8qdGhlcmFwZXV0aWMgdXNlPC9rZXl3b3JkPjxrZXl3b3Jk
PlVuaXRlZCBLaW5nZG9tPC9rZXl3b3JkPjwva2V5d29yZHM+PGRhdGVzPjx5ZWFyPjE5OTk8L3ll
YXI+PHB1Yi1kYXRlcz48ZGF0ZT5NYXI8L2RhdGU+PC9wdWItZGF0ZXM+PC9kYXRlcz48aXNibj4w
OTU4LTc1NzggKFByaW50KSYjeEQ7MDk1OC03NTc4PC9pc2JuPjxhY2Nlc3Npb24tbnVtPjEwMjE2
OTEwPC9hY2Nlc3Npb24tbnVtPjx1cmxzPjxyZWxhdGVkLXVybHM+PHVybD5odHRwczovL3B1Ym1l
ZC5uY2JpLm5sbS5uaWguZ292LzEwMjE2OTEwLzwvdXJsPjwvcmVsYXRlZC11cmxzPjwvdXJscz48
ZWxlY3Ryb25pYy1yZXNvdXJjZS1udW0+MTAuMTA0Ni9qLjEzNjUtMzE0OC4xOTk5LjAwOTAwMTA5
My54PC9lbGVjdHJvbmljLXJlc291cmNlLW51bT48cmVtb3RlLWRhdGFiYXNlLXByb3ZpZGVyPk5M
TTwvcmVtb3RlLWRhdGFiYXNlLXByb3ZpZGVyPjxsYW5ndWFnZT5lbmc8L2xhbmd1YWdlPjwvcmVj
b3JkPjwvQ2l0ZT48Q2l0ZT48QXV0aG9yPldlaW5iZXJnPC9BdXRob3I+PFllYXI+MjAwMTwvWWVh
cj48UmVjTnVtPjEzMDwvUmVjTnVtPjxyZWNvcmQ+PHJlYy1udW1iZXI+MTMwPC9yZWMtbnVtYmVy
Pjxmb3JlaWduLWtleXM+PGtleSBhcHA9IkVOIiBkYi1pZD0iMmY1ZDI1dHpvMnQwNXFlMnhkbHZ0
djJ1MnNhdzIwc3ZyZDUyIiB0aW1lc3RhbXA9IjE1OTUzNzYwMjAiPjEzMDwva2V5PjwvZm9yZWln
bi1rZXlzPjxyZWYtdHlwZSBuYW1lPSJKb3VybmFsIEFydGljbGUiPjE3PC9yZWYtdHlwZT48Y29u
dHJpYnV0b3JzPjxhdXRob3JzPjxhdXRob3I+V2VpbmJlcmcsIEwuPC9hdXRob3I+PC9hdXRob3Jz
PjwvY29udHJpYnV0b3JzPjxhdXRoLWFkZHJlc3M+QWNjaWRlbnQgYW5kIEVtZXJnZW5jeSBEZXBh
cnRtZW50LCBSb3lhbCBDb3Jud2FsbCBIb3NwaXRhbCwgVHJ1cm8sIFVLLiB3ZWluYmVyZzE0QGFv
bC5jb208L2F1dGgtYWRkcmVzcz48dGl0bGVzPjx0aXRsZT5Vc2Ugb2YgYW50aS1EIGltbXVub2ds
b2J1bGluIGluIHRoZSB0cmVhdG1lbnQgb2YgdGhyZWF0ZW5lZCBtaXNjYXJyaWFnZSBpbiB0aGUg
YWNjaWRlbnQgYW5kIGVtZXJnZW5jeSBkZXBhcnRtZW50PC90aXRsZT48c2Vjb25kYXJ5LXRpdGxl
PkVtZXJnIE1lZCBKPC9zZWNvbmRhcnktdGl0bGU+PGFsdC10aXRsZT5FbWVyZ2VuY3kgbWVkaWNp
bmUgam91cm5hbDogRU1KPC9hbHQtdGl0bGU+PC90aXRsZXM+PHBlcmlvZGljYWw+PGZ1bGwtdGl0
bGU+RW1lcmcgTWVkIEo8L2Z1bGwtdGl0bGU+PGFiYnItMT5FbWVyZ2VuY3kgbWVkaWNpbmUgam91
cm5hbCA6IEVNSjwvYWJici0xPjwvcGVyaW9kaWNhbD48cGFnZXM+NDQ0LTc8L3BhZ2VzPjx2b2x1
bWU+MTg8L3ZvbHVtZT48bnVtYmVyPjY8L251bWJlcj48ZWRpdGlvbj4yMDAxLzExLzA3PC9lZGl0
aW9uPjxrZXl3b3Jkcz48a2V5d29yZD5BYmRvbWluYWwgUGFpbi9ldGlvbG9neS90aGVyYXB5PC9r
ZXl3b3JkPjxrZXl3b3JkPkFib3J0aW9uLCBUaHJlYXRlbmVkL2NvbXBsaWNhdGlvbnMvKnRoZXJh
cHk8L2tleXdvcmQ+PGtleXdvcmQ+RW1lcmdlbmN5IFNlcnZpY2UsIEhvc3BpdGFsLypzdGFuZGFy
ZHM8L2tleXdvcmQ+PGtleXdvcmQ+RW5nbGFuZDwva2V5d29yZD48a2V5d29yZD5GZW1hbGU8L2tl
eXdvcmQ+PGtleXdvcmQ+Kkd1aWRlbGluZSBBZGhlcmVuY2U8L2tleXdvcmQ+PGtleXdvcmQ+SHVt
YW5zPC9rZXl3b3JkPjxrZXl3b3JkPipQcmFjdGljZSBHdWlkZWxpbmVzIGFzIFRvcGljPC9rZXl3
b3JkPjxrZXl3b3JkPlByZWduYW5jeTwva2V5d29yZD48a2V5d29yZD5QcmVnbmFuY3kgVHJpbWVz
dGVyLCBGaXJzdDwva2V5d29yZD48a2V5d29yZD5SZXRyb3NwZWN0aXZlIFN0dWRpZXM8L2tleXdv
cmQ+PGtleXdvcmQ+UmggSXNvaW1tdW5pemF0aW9uL3ByZXZlbnRpb24gJmFtcDsgY29udHJvbDwv
a2V5d29yZD48a2V5d29yZD5SaG8oRCkgSW1tdW5lIEdsb2J1bGluLyp0aGVyYXBldXRpYyB1c2U8
L2tleXdvcmQ+PGtleXdvcmQ+VXRlcmluZSBIZW1vcnJoYWdlL2V0aW9sb2d5L3RoZXJhcHk8L2tl
eXdvcmQ+PC9rZXl3b3Jkcz48ZGF0ZXM+PHllYXI+MjAwMTwveWVhcj48cHViLWRhdGVzPjxkYXRl
Pk5vdjwvZGF0ZT48L3B1Yi1kYXRlcz48L2RhdGVzPjxpc2JuPjE0NzItMDIwNSAoUHJpbnQpJiN4
RDsxNDcyLTAyMDU8L2lzYm4+PGFjY2Vzc2lvbi1udW0+MTE2OTY0OTE8L2FjY2Vzc2lvbi1udW0+
PHVybHM+PHJlbGF0ZWQtdXJscz48dXJsPmh0dHBzOi8vcHVibWVkLm5jYmkubmxtLm5paC5nb3Yv
MTE2OTY0OTEvPC91cmw+PC9yZWxhdGVkLXVybHM+PC91cmxzPjxjdXN0b20yPlBNQzE3MjU3MzQ8
L2N1c3RvbTI+PGVsZWN0cm9uaWMtcmVzb3VyY2UtbnVtPjEwLjExMzYvZW1qLjE4LjYuNDQ0PC9l
bGVjdHJvbmljLXJlc291cmNlLW51bT48cmVtb3RlLWRhdGFiYXNlLXByb3ZpZGVyPk5MTTwvcmVt
b3RlLWRhdGFiYXNlLXByb3ZpZGVyPjxsYW5ndWFnZT5lbmc8L2xhbmd1YWdlPjwvcmVjb3JkPjwv
Q2l0ZT48L0VuZE5vdGU+AG==
</w:fldData>
              </w:fldChar>
            </w:r>
            <w:r w:rsidRPr="002805D2">
              <w:rPr>
                <w:noProof/>
                <w:color w:val="auto"/>
              </w:rPr>
              <w:instrText xml:space="preserve"> ADDIN EN.CITE </w:instrText>
            </w:r>
            <w:r w:rsidRPr="002805D2">
              <w:rPr>
                <w:noProof/>
                <w:color w:val="auto"/>
              </w:rPr>
              <w:fldChar w:fldCharType="begin">
                <w:fldData xml:space="preserve">PEVuZE5vdGU+PENpdGU+PEF1dGhvcj5MZWU8L0F1dGhvcj48WWVhcj4xOTk5PC9ZZWFyPjxSZWNO
dW0+MTI5PC9SZWNOdW0+PERpc3BsYXlUZXh0PjxzdHlsZSBmYWNlPSJpdGFsaWMiPig1LCA2KTwv
c3R5bGU+PC9EaXNwbGF5VGV4dD48cmVjb3JkPjxyZWMtbnVtYmVyPjEyOTwvcmVjLW51bWJlcj48
Zm9yZWlnbi1rZXlzPjxrZXkgYXBwPSJFTiIgZGItaWQ9IjJmNWQyNXR6bzJ0MDVxZTJ4ZGx2dHYy
dTJzYXcyMHN2cmQ1MiIgdGltZXN0YW1wPSIxNTk1Mzc1OTA2Ij4xMjk8L2tleT48L2ZvcmVpZ24t
a2V5cz48cmVmLXR5cGUgbmFtZT0iSm91cm5hbCBBcnRpY2xlIj4xNzwvcmVmLXR5cGU+PGNvbnRy
aWJ1dG9ycz48YXV0aG9ycz48YXV0aG9yPkxlZSwgRC48L2F1dGhvcj48YXV0aG9yPkNvbnRyZXJh
cywgTS48L2F1dGhvcj48YXV0aG9yPlJvYnNvbiwgUy4gQy48L2F1dGhvcj48YXV0aG9yPlJvZGVj
aywgQy4gSC48L2F1dGhvcj48YXV0aG9yPldoaXR0bGUsIE0uIEouPC9hdXRob3I+PC9hdXRob3Jz
PjwvY29udHJpYnV0b3JzPjxhdXRoLWFkZHJlc3M+QnJpdGlzaCBCbG9vZCBUcmFuc2Z1c2lvbiBT
b2NpZXR5LCBSb3lhbCBWaWN0b3JpYSBJbmZpcm1hcnksIE5ld2Nhc3RsZSB1cG9uIFR5bmUsIFVL
LjwvYXV0aC1hZGRyZXNzPjx0aXRsZXM+PHRpdGxlPlJlY29tbWVuZGF0aW9ucyBmb3IgdGhlIHVz
ZSBvZiBhbnRpLUQgaW1tdW5vZ2xvYnVsaW4gZm9yIFJoIHByb3BoeWxheGlzLiBCcml0aXNoIEJs
b29kIFRyYW5zZnVzaW9uIFNvY2lldHkgYW5kIHRoZSBSb3lhbCBDb2xsZWdlIG9mIE9ic3RldHJp
Y2lhbnMgYW5kIEd5bmFlY29sb2dpc3RzPC90aXRsZT48c2Vjb25kYXJ5LXRpdGxlPlRyYW5zZnVz
IE1lZDwvc2Vjb25kYXJ5LXRpdGxlPjxhbHQtdGl0bGU+VHJhbnNmdXNpb24gbWVkaWNpbmUgKE94
Zm9yZCwgRW5nbGFuZCk8L2FsdC10aXRsZT48L3RpdGxlcz48cGVyaW9kaWNhbD48ZnVsbC10aXRs
ZT5UcmFuc2Z1cyBNZWQ8L2Z1bGwtdGl0bGU+PC9wZXJpb2RpY2FsPjxwYWdlcz45My03PC9wYWdl
cz48dm9sdW1lPjk8L3ZvbHVtZT48bnVtYmVyPjE8L251bWJlcj48ZWRpdGlvbj4xOTk5LzA0LzI3
PC9lZGl0aW9uPjxrZXl3b3Jkcz48a2V5d29yZD5CbG9vZCBDb21wb25lbnQgVHJhbnNmdXNpb248
L2tleXdvcmQ+PGtleXdvcmQ+RG9zZS1SZXNwb25zZSBSZWxhdGlvbnNoaXAsIEltbXVub2xvZ2lj
PC9rZXl3b3JkPjxrZXl3b3JkPkZlbWFsZTwva2V5d29yZD48a2V5d29yZD5IdW1hbnM8L2tleXdv
cmQ+PGtleXdvcmQ+UGVwdGlkZXMvKmJsb29kPC9rZXl3b3JkPjxrZXl3b3JkPlByZWduYW5jeTwv
a2V5d29yZD48a2V5d29yZD5QcmVuYXRhbCBDYXJlLyptZXRob2RzPC9rZXl3b3JkPjxrZXl3b3Jk
PlJoIElzb2ltbXVuaXphdGlvbi8qcHJldmVudGlvbiAmYW1wOyBjb250cm9sPC9rZXl3b3JkPjxr
ZXl3b3JkPlJoLUhyIEJsb29kLUdyb3VwIFN5c3RlbS8qYmxvb2Q8L2tleXdvcmQ+PGtleXdvcmQ+
UmhvKEQpIEltbXVuZSBHbG9idWxpbi8qdGhlcmFwZXV0aWMgdXNlPC9rZXl3b3JkPjxrZXl3b3Jk
PlVuaXRlZCBLaW5nZG9tPC9rZXl3b3JkPjwva2V5d29yZHM+PGRhdGVzPjx5ZWFyPjE5OTk8L3ll
YXI+PHB1Yi1kYXRlcz48ZGF0ZT5NYXI8L2RhdGU+PC9wdWItZGF0ZXM+PC9kYXRlcz48aXNibj4w
OTU4LTc1NzggKFByaW50KSYjeEQ7MDk1OC03NTc4PC9pc2JuPjxhY2Nlc3Npb24tbnVtPjEwMjE2
OTEwPC9hY2Nlc3Npb24tbnVtPjx1cmxzPjxyZWxhdGVkLXVybHM+PHVybD5odHRwczovL3B1Ym1l
ZC5uY2JpLm5sbS5uaWguZ292LzEwMjE2OTEwLzwvdXJsPjwvcmVsYXRlZC11cmxzPjwvdXJscz48
ZWxlY3Ryb25pYy1yZXNvdXJjZS1udW0+MTAuMTA0Ni9qLjEzNjUtMzE0OC4xOTk5LjAwOTAwMTA5
My54PC9lbGVjdHJvbmljLXJlc291cmNlLW51bT48cmVtb3RlLWRhdGFiYXNlLXByb3ZpZGVyPk5M
TTwvcmVtb3RlLWRhdGFiYXNlLXByb3ZpZGVyPjxsYW5ndWFnZT5lbmc8L2xhbmd1YWdlPjwvcmVj
b3JkPjwvQ2l0ZT48Q2l0ZT48QXV0aG9yPldlaW5iZXJnPC9BdXRob3I+PFllYXI+MjAwMTwvWWVh
cj48UmVjTnVtPjEzMDwvUmVjTnVtPjxyZWNvcmQ+PHJlYy1udW1iZXI+MTMwPC9yZWMtbnVtYmVy
Pjxmb3JlaWduLWtleXM+PGtleSBhcHA9IkVOIiBkYi1pZD0iMmY1ZDI1dHpvMnQwNXFlMnhkbHZ0
djJ1MnNhdzIwc3ZyZDUyIiB0aW1lc3RhbXA9IjE1OTUzNzYwMjAiPjEzMDwva2V5PjwvZm9yZWln
bi1rZXlzPjxyZWYtdHlwZSBuYW1lPSJKb3VybmFsIEFydGljbGUiPjE3PC9yZWYtdHlwZT48Y29u
dHJpYnV0b3JzPjxhdXRob3JzPjxhdXRob3I+V2VpbmJlcmcsIEwuPC9hdXRob3I+PC9hdXRob3Jz
PjwvY29udHJpYnV0b3JzPjxhdXRoLWFkZHJlc3M+QWNjaWRlbnQgYW5kIEVtZXJnZW5jeSBEZXBh
cnRtZW50LCBSb3lhbCBDb3Jud2FsbCBIb3NwaXRhbCwgVHJ1cm8sIFVLLiB3ZWluYmVyZzE0QGFv
bC5jb208L2F1dGgtYWRkcmVzcz48dGl0bGVzPjx0aXRsZT5Vc2Ugb2YgYW50aS1EIGltbXVub2ds
b2J1bGluIGluIHRoZSB0cmVhdG1lbnQgb2YgdGhyZWF0ZW5lZCBtaXNjYXJyaWFnZSBpbiB0aGUg
YWNjaWRlbnQgYW5kIGVtZXJnZW5jeSBkZXBhcnRtZW50PC90aXRsZT48c2Vjb25kYXJ5LXRpdGxl
PkVtZXJnIE1lZCBKPC9zZWNvbmRhcnktdGl0bGU+PGFsdC10aXRsZT5FbWVyZ2VuY3kgbWVkaWNp
bmUgam91cm5hbDogRU1KPC9hbHQtdGl0bGU+PC90aXRsZXM+PHBlcmlvZGljYWw+PGZ1bGwtdGl0
bGU+RW1lcmcgTWVkIEo8L2Z1bGwtdGl0bGU+PGFiYnItMT5FbWVyZ2VuY3kgbWVkaWNpbmUgam91
cm5hbCA6IEVNSjwvYWJici0xPjwvcGVyaW9kaWNhbD48cGFnZXM+NDQ0LTc8L3BhZ2VzPjx2b2x1
bWU+MTg8L3ZvbHVtZT48bnVtYmVyPjY8L251bWJlcj48ZWRpdGlvbj4yMDAxLzExLzA3PC9lZGl0
aW9uPjxrZXl3b3Jkcz48a2V5d29yZD5BYmRvbWluYWwgUGFpbi9ldGlvbG9neS90aGVyYXB5PC9r
ZXl3b3JkPjxrZXl3b3JkPkFib3J0aW9uLCBUaHJlYXRlbmVkL2NvbXBsaWNhdGlvbnMvKnRoZXJh
cHk8L2tleXdvcmQ+PGtleXdvcmQ+RW1lcmdlbmN5IFNlcnZpY2UsIEhvc3BpdGFsLypzdGFuZGFy
ZHM8L2tleXdvcmQ+PGtleXdvcmQ+RW5nbGFuZDwva2V5d29yZD48a2V5d29yZD5GZW1hbGU8L2tl
eXdvcmQ+PGtleXdvcmQ+Kkd1aWRlbGluZSBBZGhlcmVuY2U8L2tleXdvcmQ+PGtleXdvcmQ+SHVt
YW5zPC9rZXl3b3JkPjxrZXl3b3JkPipQcmFjdGljZSBHdWlkZWxpbmVzIGFzIFRvcGljPC9rZXl3
b3JkPjxrZXl3b3JkPlByZWduYW5jeTwva2V5d29yZD48a2V5d29yZD5QcmVnbmFuY3kgVHJpbWVz
dGVyLCBGaXJzdDwva2V5d29yZD48a2V5d29yZD5SZXRyb3NwZWN0aXZlIFN0dWRpZXM8L2tleXdv
cmQ+PGtleXdvcmQ+UmggSXNvaW1tdW5pemF0aW9uL3ByZXZlbnRpb24gJmFtcDsgY29udHJvbDwv
a2V5d29yZD48a2V5d29yZD5SaG8oRCkgSW1tdW5lIEdsb2J1bGluLyp0aGVyYXBldXRpYyB1c2U8
L2tleXdvcmQ+PGtleXdvcmQ+VXRlcmluZSBIZW1vcnJoYWdlL2V0aW9sb2d5L3RoZXJhcHk8L2tl
eXdvcmQ+PC9rZXl3b3Jkcz48ZGF0ZXM+PHllYXI+MjAwMTwveWVhcj48cHViLWRhdGVzPjxkYXRl
Pk5vdjwvZGF0ZT48L3B1Yi1kYXRlcz48L2RhdGVzPjxpc2JuPjE0NzItMDIwNSAoUHJpbnQpJiN4
RDsxNDcyLTAyMDU8L2lzYm4+PGFjY2Vzc2lvbi1udW0+MTE2OTY0OTE8L2FjY2Vzc2lvbi1udW0+
PHVybHM+PHJlbGF0ZWQtdXJscz48dXJsPmh0dHBzOi8vcHVibWVkLm5jYmkubmxtLm5paC5nb3Yv
MTE2OTY0OTEvPC91cmw+PC9yZWxhdGVkLXVybHM+PC91cmxzPjxjdXN0b20yPlBNQzE3MjU3MzQ8
L2N1c3RvbTI+PGVsZWN0cm9uaWMtcmVzb3VyY2UtbnVtPjEwLjExMzYvZW1qLjE4LjYuNDQ0PC9l
bGVjdHJvbmljLXJlc291cmNlLW51bT48cmVtb3RlLWRhdGFiYXNlLXByb3ZpZGVyPk5MTTwvcmVt
b3RlLWRhdGFiYXNlLXByb3ZpZGVyPjxsYW5ndWFnZT5lbmc8L2xhbmd1YWdlPjwvcmVjb3JkPjwv
Q2l0ZT48L0VuZE5vdGU+AG==
</w:fldData>
              </w:fldChar>
            </w:r>
            <w:r w:rsidRPr="002805D2">
              <w:rPr>
                <w:noProof/>
                <w:color w:val="auto"/>
              </w:rPr>
              <w:instrText xml:space="preserve"> ADDIN EN.CITE.DATA </w:instrText>
            </w:r>
            <w:r w:rsidRPr="002805D2">
              <w:rPr>
                <w:noProof/>
                <w:color w:val="auto"/>
              </w:rPr>
            </w:r>
            <w:r w:rsidRPr="002805D2">
              <w:rPr>
                <w:noProof/>
                <w:color w:val="auto"/>
              </w:rPr>
              <w:fldChar w:fldCharType="end"/>
            </w:r>
            <w:r w:rsidRPr="002805D2">
              <w:rPr>
                <w:noProof/>
                <w:color w:val="auto"/>
              </w:rPr>
            </w:r>
            <w:r w:rsidRPr="002805D2">
              <w:rPr>
                <w:noProof/>
                <w:color w:val="auto"/>
              </w:rPr>
              <w:fldChar w:fldCharType="separate"/>
            </w:r>
            <w:r w:rsidRPr="009D612C">
              <w:rPr>
                <w:i/>
                <w:noProof/>
                <w:color w:val="auto"/>
                <w:vertAlign w:val="superscript"/>
              </w:rPr>
              <w:t>4,5</w:t>
            </w:r>
            <w:r w:rsidRPr="002805D2">
              <w:rPr>
                <w:noProof/>
                <w:color w:val="auto"/>
              </w:rPr>
              <w:fldChar w:fldCharType="end"/>
            </w:r>
          </w:p>
        </w:tc>
        <w:tc>
          <w:tcPr>
            <w:tcW w:w="1418" w:type="dxa"/>
          </w:tcPr>
          <w:p w:rsidR="00182AF6" w:rsidRPr="002B4B35" w:rsidRDefault="00182AF6" w:rsidP="00617348">
            <w:pPr>
              <w:pStyle w:val="TableH1"/>
              <w:keepNext w:val="0"/>
              <w:ind w:left="0"/>
              <w:rPr>
                <w:rFonts w:asciiTheme="minorHAnsi" w:hAnsiTheme="minorHAnsi" w:cstheme="minorHAnsi"/>
                <w:noProof/>
                <w:color w:val="auto"/>
                <w:szCs w:val="20"/>
              </w:rPr>
            </w:pPr>
            <w:r w:rsidRPr="002B4B35">
              <w:rPr>
                <w:rFonts w:asciiTheme="minorHAnsi" w:hAnsiTheme="minorHAnsi" w:cstheme="minorHAnsi"/>
                <w:noProof/>
                <w:color w:val="auto"/>
                <w:szCs w:val="20"/>
              </w:rPr>
              <w:t>3.2.1</w:t>
            </w:r>
          </w:p>
        </w:tc>
      </w:tr>
      <w:tr w:rsidR="00182AF6" w:rsidRPr="002B4B35" w:rsidTr="00617348">
        <w:trPr>
          <w:cantSplit/>
        </w:trPr>
        <w:tc>
          <w:tcPr>
            <w:tcW w:w="10207" w:type="dxa"/>
            <w:gridSpan w:val="3"/>
            <w:shd w:val="clear" w:color="auto" w:fill="D2E4EE"/>
          </w:tcPr>
          <w:p w:rsidR="00182AF6" w:rsidRPr="002B4B35" w:rsidRDefault="00182AF6" w:rsidP="00617348">
            <w:pPr>
              <w:pStyle w:val="TableH2"/>
            </w:pPr>
            <w:r w:rsidRPr="002B4B35">
              <w:t>Sensitisting event immunoprophylaxis beyond the first 12 weeks of pregnancy in Rh D negative women</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b/>
                <w:color w:val="FFFFFF" w:themeColor="background1"/>
              </w:rPr>
            </w:pPr>
            <w:r w:rsidRPr="004A2315">
              <w:rPr>
                <w:rFonts w:asciiTheme="minorHAnsi" w:hAnsiTheme="minorHAnsi" w:cstheme="minorHAnsi"/>
                <w:b/>
                <w:noProof/>
                <w:color w:val="FFFFFF" w:themeColor="background1"/>
                <w:szCs w:val="20"/>
              </w:rPr>
              <w:t>EOP7</w:t>
            </w:r>
          </w:p>
        </w:tc>
        <w:tc>
          <w:tcPr>
            <w:tcW w:w="7512" w:type="dxa"/>
          </w:tcPr>
          <w:p w:rsidR="00182AF6" w:rsidRPr="002B4B35" w:rsidRDefault="00182AF6" w:rsidP="00617348">
            <w:pPr>
              <w:pStyle w:val="TableH1"/>
              <w:rPr>
                <w:noProof/>
                <w:color w:val="auto"/>
              </w:rPr>
            </w:pPr>
            <w:r w:rsidRPr="002B4B35">
              <w:rPr>
                <w:noProof/>
                <w:color w:val="auto"/>
              </w:rPr>
              <w:t xml:space="preserve">A dose of Rh D immunoglobulin 625 IU should be offered to every Rh D negative woman with no preformed anti-D antibodies, </w:t>
            </w:r>
            <w:r w:rsidRPr="002B4B35">
              <w:rPr>
                <w:color w:val="auto"/>
              </w:rPr>
              <w:t xml:space="preserve">unless NIPT for fetal </w:t>
            </w:r>
            <w:r w:rsidRPr="002B4B35">
              <w:rPr>
                <w:i/>
                <w:iCs/>
                <w:color w:val="auto"/>
              </w:rPr>
              <w:t>RHD</w:t>
            </w:r>
            <w:r w:rsidRPr="002B4B35">
              <w:rPr>
                <w:color w:val="auto"/>
              </w:rPr>
              <w:t xml:space="preserve"> has predicted the fetus to be Rh D negative, </w:t>
            </w:r>
            <w:r w:rsidRPr="002B4B35">
              <w:rPr>
                <w:noProof/>
                <w:color w:val="auto"/>
              </w:rPr>
              <w:t>to ensure adequate protection against alloimmunisation for the following indications after 12</w:t>
            </w:r>
            <w:r w:rsidRPr="002B4B35">
              <w:rPr>
                <w:noProof/>
                <w:color w:val="auto"/>
                <w:vertAlign w:val="superscript"/>
              </w:rPr>
              <w:t>+6</w:t>
            </w:r>
            <w:r w:rsidRPr="002B4B35">
              <w:rPr>
                <w:noProof/>
                <w:color w:val="auto"/>
              </w:rPr>
              <w:t xml:space="preserve"> weeks of pregnancy:</w:t>
            </w:r>
          </w:p>
          <w:p w:rsidR="00182AF6" w:rsidRPr="002B4B35" w:rsidRDefault="00182AF6" w:rsidP="00617348">
            <w:pPr>
              <w:pStyle w:val="TableH1"/>
              <w:numPr>
                <w:ilvl w:val="0"/>
                <w:numId w:val="6"/>
              </w:numPr>
              <w:rPr>
                <w:rFonts w:asciiTheme="minorHAnsi" w:hAnsiTheme="minorHAnsi" w:cstheme="minorHAnsi"/>
                <w:noProof/>
                <w:color w:val="auto"/>
                <w:szCs w:val="20"/>
              </w:rPr>
            </w:pPr>
            <w:r w:rsidRPr="002B4B35">
              <w:rPr>
                <w:rFonts w:asciiTheme="minorHAnsi" w:hAnsiTheme="minorHAnsi" w:cstheme="minorHAnsi"/>
                <w:noProof/>
                <w:color w:val="auto"/>
                <w:szCs w:val="20"/>
              </w:rPr>
              <w:t>genetic studies (chorionic villus sampling, amniocentesis and cordocentesis)</w:t>
            </w:r>
          </w:p>
          <w:p w:rsidR="00182AF6" w:rsidRPr="002B4B35" w:rsidRDefault="00182AF6" w:rsidP="00617348">
            <w:pPr>
              <w:pStyle w:val="TableH1"/>
              <w:numPr>
                <w:ilvl w:val="0"/>
                <w:numId w:val="6"/>
              </w:numPr>
              <w:rPr>
                <w:rFonts w:asciiTheme="minorHAnsi" w:hAnsiTheme="minorHAnsi" w:cstheme="minorHAnsi"/>
                <w:noProof/>
                <w:color w:val="auto"/>
                <w:szCs w:val="20"/>
              </w:rPr>
            </w:pPr>
            <w:r w:rsidRPr="002B4B35">
              <w:rPr>
                <w:rFonts w:asciiTheme="minorHAnsi" w:hAnsiTheme="minorHAnsi" w:cstheme="minorHAnsi"/>
                <w:noProof/>
                <w:color w:val="auto"/>
                <w:szCs w:val="20"/>
              </w:rPr>
              <w:t>abdominal trauma considered sufficient to cause</w:t>
            </w:r>
            <w:r w:rsidRPr="002B4B35">
              <w:rPr>
                <w:rFonts w:asciiTheme="minorHAnsi" w:hAnsiTheme="minorHAnsi" w:cstheme="minorHAnsi"/>
                <w:noProof/>
                <w:color w:val="auto"/>
              </w:rPr>
              <w:t xml:space="preserve"> </w:t>
            </w:r>
            <w:r w:rsidRPr="002B4B35">
              <w:rPr>
                <w:rFonts w:asciiTheme="minorHAnsi" w:hAnsiTheme="minorHAnsi" w:cstheme="minorHAnsi"/>
                <w:noProof/>
                <w:color w:val="auto"/>
                <w:szCs w:val="20"/>
              </w:rPr>
              <w:t>FMH</w:t>
            </w:r>
            <w:r w:rsidRPr="002B4B35">
              <w:rPr>
                <w:color w:val="auto"/>
                <w:szCs w:val="20"/>
              </w:rPr>
              <w:t>, even if FMH testing is negative</w:t>
            </w:r>
          </w:p>
          <w:p w:rsidR="00182AF6" w:rsidRPr="002B4B35" w:rsidRDefault="00182AF6" w:rsidP="00617348">
            <w:pPr>
              <w:pStyle w:val="TableH1"/>
              <w:numPr>
                <w:ilvl w:val="0"/>
                <w:numId w:val="6"/>
              </w:numPr>
              <w:rPr>
                <w:rFonts w:asciiTheme="minorHAnsi" w:hAnsiTheme="minorHAnsi" w:cstheme="minorHAnsi"/>
                <w:noProof/>
                <w:color w:val="auto"/>
                <w:szCs w:val="20"/>
              </w:rPr>
            </w:pPr>
            <w:r w:rsidRPr="002B4B35">
              <w:rPr>
                <w:rFonts w:asciiTheme="minorHAnsi" w:hAnsiTheme="minorHAnsi" w:cstheme="minorHAnsi"/>
                <w:noProof/>
                <w:color w:val="auto"/>
                <w:szCs w:val="20"/>
              </w:rPr>
              <w:t>each occasion of revealed or concealed antepartum haemorrhage. Where the woman suffers unexplained uterine pain the possibility of concealed antepartum haemorrhage (and the need for immunoprophylaxis) should be considered</w:t>
            </w:r>
          </w:p>
          <w:p w:rsidR="00182AF6" w:rsidRPr="002B4B35" w:rsidRDefault="00182AF6" w:rsidP="00617348">
            <w:pPr>
              <w:pStyle w:val="TableH1"/>
              <w:numPr>
                <w:ilvl w:val="0"/>
                <w:numId w:val="6"/>
              </w:numPr>
              <w:rPr>
                <w:rFonts w:asciiTheme="minorHAnsi" w:hAnsiTheme="minorHAnsi" w:cstheme="minorHAnsi"/>
                <w:noProof/>
                <w:color w:val="auto"/>
                <w:szCs w:val="20"/>
              </w:rPr>
            </w:pPr>
            <w:r w:rsidRPr="002B4B35">
              <w:rPr>
                <w:rFonts w:asciiTheme="minorHAnsi" w:hAnsiTheme="minorHAnsi" w:cstheme="minorHAnsi"/>
                <w:noProof/>
                <w:color w:val="auto"/>
                <w:szCs w:val="20"/>
              </w:rPr>
              <w:t>external cephalic version (successful or attempted)</w:t>
            </w:r>
          </w:p>
          <w:p w:rsidR="00182AF6" w:rsidRPr="002B4B35" w:rsidDel="0066241E" w:rsidRDefault="00182AF6" w:rsidP="00617348">
            <w:pPr>
              <w:pStyle w:val="TableH1"/>
              <w:numPr>
                <w:ilvl w:val="0"/>
                <w:numId w:val="6"/>
              </w:numPr>
              <w:rPr>
                <w:rFonts w:asciiTheme="minorHAnsi" w:hAnsiTheme="minorHAnsi" w:cstheme="minorHAnsi"/>
                <w:noProof/>
                <w:color w:val="auto"/>
                <w:szCs w:val="20"/>
              </w:rPr>
            </w:pPr>
            <w:r w:rsidRPr="002B4B35">
              <w:rPr>
                <w:rFonts w:asciiTheme="minorHAnsi" w:hAnsiTheme="minorHAnsi" w:cstheme="minorHAnsi"/>
                <w:noProof/>
                <w:color w:val="auto"/>
                <w:szCs w:val="20"/>
              </w:rPr>
              <w:t>miscarriage or termination of pregnancy.</w:t>
            </w:r>
          </w:p>
        </w:tc>
        <w:tc>
          <w:tcPr>
            <w:tcW w:w="1418" w:type="dxa"/>
          </w:tcPr>
          <w:p w:rsidR="00182AF6" w:rsidRPr="002B4B35" w:rsidRDefault="00182AF6" w:rsidP="00617348">
            <w:pPr>
              <w:pStyle w:val="TableH1"/>
              <w:keepNext w:val="0"/>
              <w:ind w:left="0"/>
              <w:rPr>
                <w:rFonts w:asciiTheme="minorHAnsi" w:hAnsiTheme="minorHAnsi" w:cstheme="minorHAnsi"/>
                <w:noProof/>
                <w:color w:val="auto"/>
                <w:szCs w:val="20"/>
              </w:rPr>
            </w:pPr>
            <w:r w:rsidRPr="002B4B35">
              <w:rPr>
                <w:rFonts w:asciiTheme="minorHAnsi" w:hAnsiTheme="minorHAnsi" w:cstheme="minorHAnsi"/>
                <w:noProof/>
                <w:color w:val="auto"/>
                <w:szCs w:val="20"/>
              </w:rPr>
              <w:t>3.5.1</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EOP8</w:t>
            </w:r>
          </w:p>
        </w:tc>
        <w:tc>
          <w:tcPr>
            <w:tcW w:w="7512" w:type="dxa"/>
          </w:tcPr>
          <w:p w:rsidR="00182AF6" w:rsidRPr="002B4B35" w:rsidRDefault="00182AF6" w:rsidP="00617348">
            <w:pPr>
              <w:pStyle w:val="TableH1"/>
              <w:rPr>
                <w:noProof/>
                <w:color w:val="auto"/>
              </w:rPr>
            </w:pPr>
            <w:r w:rsidRPr="002B4B35">
              <w:rPr>
                <w:noProof/>
                <w:color w:val="auto"/>
              </w:rPr>
              <w:t>For sensitising events after 20 weeks of pregnancy, the magnitude of FMH should be assessed, and further doses of Rh D immunoglobulin administered if required.</w:t>
            </w:r>
            <w:r w:rsidRPr="002B4B35">
              <w:rPr>
                <w:noProof/>
                <w:color w:val="auto"/>
                <w:vertAlign w:val="superscript"/>
              </w:rPr>
              <w:t>a,b,c</w:t>
            </w:r>
            <w:r w:rsidRPr="002B4B35">
              <w:rPr>
                <w:noProof/>
                <w:color w:val="auto"/>
              </w:rPr>
              <w:t xml:space="preserve"> </w:t>
            </w:r>
          </w:p>
          <w:p w:rsidR="00182AF6" w:rsidRPr="002B4B35" w:rsidRDefault="00182AF6" w:rsidP="00617348">
            <w:pPr>
              <w:pStyle w:val="Tabletext9pt"/>
              <w:rPr>
                <w:noProof/>
              </w:rPr>
            </w:pPr>
            <w:r w:rsidRPr="002B4B35">
              <w:rPr>
                <w:noProof/>
                <w:vertAlign w:val="superscript"/>
              </w:rPr>
              <w:t xml:space="preserve">a </w:t>
            </w:r>
            <w:r w:rsidRPr="002B4B35">
              <w:rPr>
                <w:noProof/>
              </w:rPr>
              <w:t>The first dose of the Rh D immunoglobulin should be given without waiting for the result of the test for FMH.</w:t>
            </w:r>
          </w:p>
          <w:p w:rsidR="00182AF6" w:rsidRPr="002B4B35" w:rsidRDefault="00182AF6" w:rsidP="00617348">
            <w:pPr>
              <w:pStyle w:val="Tabletext9pt"/>
              <w:rPr>
                <w:rFonts w:eastAsiaTheme="minorHAnsi"/>
                <w:noProof/>
              </w:rPr>
            </w:pPr>
            <w:r w:rsidRPr="002B4B35">
              <w:rPr>
                <w:rFonts w:eastAsiaTheme="minorHAnsi"/>
                <w:noProof/>
                <w:vertAlign w:val="superscript"/>
              </w:rPr>
              <w:t>b</w:t>
            </w:r>
            <w:r w:rsidRPr="002B4B35">
              <w:t xml:space="preserve"> Taken from Point 4.3 of the BCSH </w:t>
            </w:r>
            <w:r w:rsidRPr="002B4B35">
              <w:rPr>
                <w:i/>
                <w:iCs/>
              </w:rPr>
              <w:t>Guidelines for the estimation of fetomaternal haemorrhage</w:t>
            </w:r>
            <w:r w:rsidR="00B54853">
              <w:rPr>
                <w:i/>
                <w:iCs/>
              </w:rPr>
              <w:t>.</w:t>
            </w:r>
            <w:r w:rsidRPr="00B54853">
              <w:rPr>
                <w:vertAlign w:val="superscript"/>
              </w:rPr>
              <w:fldChar w:fldCharType="begin"/>
            </w:r>
            <w:r w:rsidRPr="00B54853">
              <w:rPr>
                <w:vertAlign w:val="superscript"/>
              </w:rPr>
              <w:instrText xml:space="preserve"> ADDIN EN.CITE &lt;EndNote&gt;&lt;Cite&gt;&lt;Author&gt;Austin&lt;/Author&gt;&lt;Year&gt;2009&lt;/Year&gt;&lt;RecNum&gt;131&lt;/RecNum&gt;&lt;DisplayText&gt;&lt;style face="italic"&gt;(7)&lt;/style&gt;&lt;/DisplayText&gt;&lt;record&gt;&lt;rec-number&gt;131&lt;/rec-number&gt;&lt;foreign-keys&gt;&lt;key app="EN" db-id="2f5d25tzo2t05qe2xdlvtv2u2saw20svrd52" timestamp="1595388178"&gt;131&lt;/key&gt;&lt;/foreign-keys&gt;&lt;ref-type name="Electronic Book"&gt;44&lt;/ref-type&gt;&lt;contributors&gt;&lt;authors&gt;&lt;author&gt;Austin, E. &lt;/author&gt;&lt;author&gt;Bates, S.&lt;/author&gt;&lt;author&gt;de Silva, M.&lt;/author&gt;&lt;author&gt;Howarth, D. &lt;/author&gt;&lt;author&gt;Lubenko, A.&lt;/author&gt;&lt;author&gt;Rowley, M.&lt;/author&gt;&lt;author&gt;Scott, M.&lt;/author&gt;&lt;author&gt;Thomas, E.&lt;/author&gt;&lt;author&gt;White, J.&lt;/author&gt;&lt;author&gt;Williams, M. &lt;/author&gt;&lt;/authors&gt;&lt;secondary-authors&gt;&lt;author&gt;British Society for Haematology &lt;/author&gt;&lt;/secondary-authors&gt;&lt;/contributors&gt;&lt;titles&gt;&lt;title&gt;Guidelines for the Estimation of Fetomaternal Haemorrhage&lt;/title&gt;&lt;/titles&gt;&lt;pages&gt;1-23&lt;/pages&gt;&lt;num-vols&gt;15&lt;/num-vols&gt;&lt;dates&gt;&lt;year&gt;2009&lt;/year&gt;&lt;/dates&gt;&lt;pub-location&gt;London&lt;/pub-location&gt;&lt;publisher&gt;Working Party of the British Committee for Standards in Haematology (BCSH), Transfusion Taskforce&lt;/publisher&gt;&lt;urls&gt;&lt;related-urls&gt;&lt;url&gt;https://b-s-h.org.uk/media/15705/transfusion-austin-the-estimation-of-fetomaternal-haemorrhage.pdf&lt;/url&gt;&lt;/related-urls&gt;&lt;/urls&gt;&lt;/record&gt;&lt;/Cite&gt;&lt;/EndNote&gt;</w:instrText>
            </w:r>
            <w:r w:rsidRPr="00B54853">
              <w:rPr>
                <w:vertAlign w:val="superscript"/>
              </w:rPr>
              <w:fldChar w:fldCharType="separate"/>
            </w:r>
            <w:r w:rsidRPr="00B54853">
              <w:rPr>
                <w:i/>
                <w:noProof/>
                <w:vertAlign w:val="superscript"/>
              </w:rPr>
              <w:t>6</w:t>
            </w:r>
            <w:r w:rsidRPr="00B54853">
              <w:rPr>
                <w:vertAlign w:val="superscript"/>
              </w:rPr>
              <w:fldChar w:fldCharType="end"/>
            </w:r>
          </w:p>
          <w:p w:rsidR="00182AF6" w:rsidRPr="002B4B35" w:rsidRDefault="00182AF6" w:rsidP="00617348">
            <w:pPr>
              <w:pStyle w:val="Tabletext9pt"/>
              <w:rPr>
                <w:noProof/>
                <w:szCs w:val="20"/>
              </w:rPr>
            </w:pPr>
            <w:r w:rsidRPr="002B4B35">
              <w:rPr>
                <w:noProof/>
                <w:vertAlign w:val="superscript"/>
              </w:rPr>
              <w:t xml:space="preserve">c </w:t>
            </w:r>
            <w:r w:rsidRPr="002B4B35">
              <w:rPr>
                <w:noProof/>
              </w:rPr>
              <w:t xml:space="preserve">See Appendix C </w:t>
            </w:r>
            <w:r>
              <w:rPr>
                <w:noProof/>
              </w:rPr>
              <w:t xml:space="preserve">of the Guideline </w:t>
            </w:r>
            <w:r w:rsidRPr="002B4B35">
              <w:rPr>
                <w:noProof/>
              </w:rPr>
              <w:t>for guidance on dosing.</w:t>
            </w:r>
          </w:p>
        </w:tc>
        <w:tc>
          <w:tcPr>
            <w:tcW w:w="1418" w:type="dxa"/>
          </w:tcPr>
          <w:p w:rsidR="00182AF6" w:rsidRPr="002B4B35" w:rsidRDefault="00182AF6" w:rsidP="00617348">
            <w:pPr>
              <w:pStyle w:val="TableH1"/>
              <w:keepNext w:val="0"/>
              <w:ind w:left="0"/>
              <w:rPr>
                <w:rFonts w:asciiTheme="minorHAnsi" w:hAnsiTheme="minorHAnsi" w:cstheme="minorHAnsi"/>
                <w:noProof/>
                <w:color w:val="auto"/>
                <w:szCs w:val="20"/>
              </w:rPr>
            </w:pPr>
            <w:r w:rsidRPr="002B4B35">
              <w:rPr>
                <w:rFonts w:asciiTheme="minorHAnsi" w:eastAsiaTheme="minorHAnsi" w:hAnsiTheme="minorHAnsi" w:cstheme="minorHAnsi"/>
                <w:noProof/>
                <w:color w:val="auto"/>
                <w:szCs w:val="20"/>
              </w:rPr>
              <w:t>3.5.1</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EOP9</w:t>
            </w:r>
          </w:p>
        </w:tc>
        <w:tc>
          <w:tcPr>
            <w:tcW w:w="7512" w:type="dxa"/>
          </w:tcPr>
          <w:p w:rsidR="00182AF6" w:rsidRPr="00B54853" w:rsidRDefault="00182AF6" w:rsidP="00617348">
            <w:pPr>
              <w:pStyle w:val="TableH1"/>
              <w:rPr>
                <w:color w:val="auto"/>
              </w:rPr>
            </w:pPr>
            <w:r w:rsidRPr="002B4B35">
              <w:rPr>
                <w:color w:val="auto"/>
              </w:rPr>
              <w:t>For ongoing uterine bleeding alone beyond 12 weeks’ gestation a further dose of Rh D immunoglobulin (625 IU) may be appropriate at 6 weekly intervals</w:t>
            </w:r>
            <w:r w:rsidR="000D3358">
              <w:rPr>
                <w:color w:val="auto"/>
              </w:rPr>
              <w:t>.</w:t>
            </w:r>
            <w:r w:rsidRPr="000D3358">
              <w:rPr>
                <w:color w:val="auto"/>
                <w:vertAlign w:val="superscript"/>
              </w:rPr>
              <w:fldChar w:fldCharType="begin"/>
            </w:r>
            <w:r w:rsidRPr="000D3358">
              <w:rPr>
                <w:color w:val="auto"/>
                <w:vertAlign w:val="superscript"/>
              </w:rPr>
              <w:instrText xml:space="preserve"> ADDIN EN.CITE &lt;EndNote&gt;&lt;Cite&gt;&lt;Author&gt;Qureshi&lt;/Author&gt;&lt;Year&gt;2014&lt;/Year&gt;&lt;RecNum&gt;95&lt;/RecNum&gt;&lt;DisplayText&gt;&lt;style face="italic"&gt;(8)&lt;/style&gt;&lt;/DisplayText&gt;&lt;record&gt;&lt;rec-number&gt;95&lt;/rec-number&gt;&lt;foreign-keys&gt;&lt;key app="EN" db-id="2f5d25tzo2t05qe2xdlvtv2u2saw20svrd52" timestamp="1557201639"&gt;95&lt;/key&gt;&lt;/foreign-keys&gt;&lt;ref-type name="Journal Article"&gt;17&lt;/ref-type&gt;&lt;contributors&gt;&lt;authors&gt;&lt;author&gt;Qureshi, H.&lt;/author&gt;&lt;author&gt;Massey, E.&lt;/author&gt;&lt;author&gt;Kirwan, D.&lt;/author&gt;&lt;author&gt;Davies, T.&lt;/author&gt;&lt;author&gt;Robson, S.&lt;/author&gt;&lt;author&gt;White, J.&lt;/author&gt;&lt;author&gt;Jones, J.&lt;/author&gt;&lt;author&gt;Allard, S.&lt;/author&gt;&lt;author&gt;British Society for Haematology,&lt;/author&gt;&lt;/authors&gt;&lt;/contributors&gt;&lt;titles&gt;&lt;title&gt;BCSH guideline for the use of anti-D immunoglobulin for the prevention of haemolytic disease of the fetus and newborn&lt;/title&gt;&lt;secondary-title&gt;Transfus Med&lt;/secondary-title&gt;&lt;/titles&gt;&lt;periodical&gt;&lt;full-title&gt;Transfus Med&lt;/full-title&gt;&lt;/periodical&gt;&lt;pages&gt;8-20&lt;/pages&gt;&lt;volume&gt;24&lt;/volume&gt;&lt;number&gt;1&lt;/number&gt;&lt;keywords&gt;&lt;keyword&gt;Erythroblastosis, Fetal/blood/epidemiology/*prevention &amp;amp; control&lt;/keyword&gt;&lt;keyword&gt;Female&lt;/keyword&gt;&lt;keyword&gt;Humans&lt;/keyword&gt;&lt;keyword&gt;Immunologic Factors/*administration &amp;amp; dosage&lt;/keyword&gt;&lt;keyword&gt;Infant, Newborn&lt;/keyword&gt;&lt;keyword&gt;Male&lt;/keyword&gt;&lt;keyword&gt;Pregnancy&lt;/keyword&gt;&lt;keyword&gt;*Pregnancy Trimester, Third&lt;/keyword&gt;&lt;keyword&gt;Rh-Hr Blood-Group System/blood&lt;/keyword&gt;&lt;keyword&gt;Rho(D) Immune Globulin/*administration &amp;amp; dosage&lt;/keyword&gt;&lt;/keywords&gt;&lt;dates&gt;&lt;year&gt;2014&lt;/year&gt;&lt;pub-dates&gt;&lt;date&gt;Feb&lt;/date&gt;&lt;/pub-dates&gt;&lt;/dates&gt;&lt;isbn&gt;1365-3148 (Electronic)&amp;#xD;0958-7578 (Linking)&lt;/isbn&gt;&lt;accession-num&gt;25121158&lt;/accession-num&gt;&lt;urls&gt;&lt;related-urls&gt;&lt;url&gt;https://www.ncbi.nlm.nih.gov/pubmed/25121158&lt;/url&gt;&lt;/related-urls&gt;&lt;/urls&gt;&lt;/record&gt;&lt;/Cite&gt;&lt;/EndNote&gt;</w:instrText>
            </w:r>
            <w:r w:rsidRPr="000D3358">
              <w:rPr>
                <w:color w:val="auto"/>
                <w:vertAlign w:val="superscript"/>
              </w:rPr>
              <w:fldChar w:fldCharType="separate"/>
            </w:r>
            <w:r w:rsidRPr="000D3358">
              <w:rPr>
                <w:i/>
                <w:noProof/>
                <w:color w:val="auto"/>
                <w:vertAlign w:val="superscript"/>
              </w:rPr>
              <w:t>7</w:t>
            </w:r>
            <w:r w:rsidRPr="000D3358">
              <w:rPr>
                <w:color w:val="auto"/>
                <w:vertAlign w:val="superscript"/>
              </w:rPr>
              <w:fldChar w:fldCharType="end"/>
            </w:r>
            <w:r w:rsidRPr="002B4B35">
              <w:rPr>
                <w:color w:val="auto"/>
              </w:rPr>
              <w:t xml:space="preserve"> New sensitising events should be managed with a further dose of Rh D immunoglobulin (625 IU) and assessment of FMH (after 20 weeks or where otherwise indicated) with additional dosing to cover large volume FMH if </w:t>
            </w:r>
            <w:r w:rsidRPr="00B54853">
              <w:rPr>
                <w:color w:val="auto"/>
              </w:rPr>
              <w:t>required (100 IU for each mL of fetal red cells beyond 6 mL).</w:t>
            </w:r>
            <w:r w:rsidR="00B54853" w:rsidRPr="00B54853">
              <w:rPr>
                <w:color w:val="auto"/>
                <w:vertAlign w:val="superscript"/>
              </w:rPr>
              <w:t>a</w:t>
            </w:r>
          </w:p>
          <w:p w:rsidR="00B54853" w:rsidRPr="00B54853" w:rsidRDefault="00B54853" w:rsidP="00617348">
            <w:pPr>
              <w:pStyle w:val="TableH1"/>
              <w:rPr>
                <w:rFonts w:asciiTheme="minorHAnsi" w:eastAsiaTheme="minorHAnsi" w:hAnsiTheme="minorHAnsi" w:cstheme="minorHAnsi"/>
                <w:noProof/>
                <w:color w:val="auto"/>
                <w:sz w:val="18"/>
                <w:szCs w:val="18"/>
              </w:rPr>
            </w:pPr>
            <w:r>
              <w:rPr>
                <w:noProof/>
                <w:color w:val="auto"/>
                <w:sz w:val="18"/>
                <w:szCs w:val="18"/>
                <w:vertAlign w:val="superscript"/>
              </w:rPr>
              <w:t>a</w:t>
            </w:r>
            <w:r w:rsidRPr="00B54853">
              <w:rPr>
                <w:noProof/>
                <w:color w:val="auto"/>
                <w:sz w:val="18"/>
                <w:szCs w:val="18"/>
                <w:vertAlign w:val="superscript"/>
              </w:rPr>
              <w:t xml:space="preserve"> </w:t>
            </w:r>
            <w:r w:rsidRPr="00B54853">
              <w:rPr>
                <w:noProof/>
                <w:color w:val="auto"/>
                <w:sz w:val="18"/>
                <w:szCs w:val="18"/>
              </w:rPr>
              <w:t>See Appendix C of the Guideline for guidance on dosing.</w:t>
            </w:r>
          </w:p>
        </w:tc>
        <w:tc>
          <w:tcPr>
            <w:tcW w:w="1418" w:type="dxa"/>
          </w:tcPr>
          <w:p w:rsidR="00182AF6" w:rsidRPr="002B4B35" w:rsidRDefault="00182AF6" w:rsidP="00617348">
            <w:pPr>
              <w:pStyle w:val="TableH1"/>
              <w:keepNext w:val="0"/>
              <w:ind w:left="0"/>
              <w:rPr>
                <w:rFonts w:asciiTheme="minorHAnsi" w:eastAsiaTheme="minorHAnsi" w:hAnsiTheme="minorHAnsi" w:cstheme="minorHAnsi"/>
                <w:noProof/>
                <w:color w:val="auto"/>
                <w:szCs w:val="20"/>
              </w:rPr>
            </w:pPr>
            <w:r w:rsidRPr="002B4B35">
              <w:rPr>
                <w:rFonts w:asciiTheme="minorHAnsi" w:hAnsiTheme="minorHAnsi" w:cstheme="minorHAnsi"/>
                <w:noProof/>
                <w:color w:val="auto"/>
                <w:szCs w:val="20"/>
              </w:rPr>
              <w:t>3.5.1</w:t>
            </w:r>
          </w:p>
        </w:tc>
      </w:tr>
    </w:tbl>
    <w:p w:rsidR="00182AF6" w:rsidRDefault="00182AF6" w:rsidP="00182AF6"/>
    <w:p w:rsidR="00182AF6" w:rsidRDefault="00182AF6" w:rsidP="00182AF6"/>
    <w:tbl>
      <w:tblPr>
        <w:tblStyle w:val="TableGrid"/>
        <w:tblW w:w="10207" w:type="dxa"/>
        <w:tblInd w:w="-176" w:type="dxa"/>
        <w:tblLayout w:type="fixed"/>
        <w:tblLook w:val="04A0" w:firstRow="1" w:lastRow="0" w:firstColumn="1" w:lastColumn="0" w:noHBand="0" w:noVBand="1"/>
      </w:tblPr>
      <w:tblGrid>
        <w:gridCol w:w="1277"/>
        <w:gridCol w:w="7512"/>
        <w:gridCol w:w="1418"/>
      </w:tblGrid>
      <w:tr w:rsidR="00182AF6" w:rsidRPr="0032749C" w:rsidTr="00617348">
        <w:trPr>
          <w:tblHeader/>
        </w:trPr>
        <w:tc>
          <w:tcPr>
            <w:tcW w:w="1277" w:type="dxa"/>
            <w:shd w:val="clear" w:color="auto" w:fill="336A89"/>
          </w:tcPr>
          <w:p w:rsidR="00182AF6" w:rsidRPr="0032749C" w:rsidRDefault="00182AF6" w:rsidP="00617348">
            <w:pPr>
              <w:pStyle w:val="TableH1"/>
              <w:keepNext w:val="0"/>
              <w:ind w:left="0"/>
              <w:rPr>
                <w:rFonts w:asciiTheme="minorHAnsi" w:hAnsiTheme="minorHAnsi" w:cstheme="minorHAnsi"/>
                <w:b/>
                <w:bCs/>
                <w:noProof/>
                <w:szCs w:val="20"/>
              </w:rPr>
            </w:pPr>
            <w:r w:rsidRPr="0032749C">
              <w:rPr>
                <w:rFonts w:asciiTheme="minorHAnsi" w:hAnsiTheme="minorHAnsi" w:cstheme="minorHAnsi"/>
                <w:b/>
                <w:bCs/>
                <w:noProof/>
                <w:szCs w:val="20"/>
              </w:rPr>
              <w:lastRenderedPageBreak/>
              <w:t>Identifier</w:t>
            </w:r>
          </w:p>
        </w:tc>
        <w:tc>
          <w:tcPr>
            <w:tcW w:w="7512" w:type="dxa"/>
            <w:shd w:val="clear" w:color="auto" w:fill="336A89"/>
          </w:tcPr>
          <w:p w:rsidR="00182AF6" w:rsidRPr="0032749C" w:rsidRDefault="00182AF6" w:rsidP="00617348">
            <w:pPr>
              <w:pStyle w:val="TableH1"/>
              <w:keepNext w:val="0"/>
              <w:rPr>
                <w:rFonts w:asciiTheme="minorHAnsi" w:hAnsiTheme="minorHAnsi" w:cstheme="minorHAnsi"/>
                <w:b/>
                <w:bCs/>
                <w:noProof/>
                <w:szCs w:val="20"/>
              </w:rPr>
            </w:pPr>
            <w:r w:rsidRPr="0032749C">
              <w:rPr>
                <w:rFonts w:asciiTheme="minorHAnsi" w:hAnsiTheme="minorHAnsi" w:cstheme="minorHAnsi"/>
                <w:b/>
                <w:bCs/>
                <w:noProof/>
                <w:szCs w:val="20"/>
              </w:rPr>
              <w:t>Guidance – recommendations and expert opinion points</w:t>
            </w:r>
          </w:p>
        </w:tc>
        <w:tc>
          <w:tcPr>
            <w:tcW w:w="1418" w:type="dxa"/>
            <w:shd w:val="clear" w:color="auto" w:fill="336A89"/>
          </w:tcPr>
          <w:p w:rsidR="00182AF6" w:rsidRPr="0032749C" w:rsidRDefault="00182AF6" w:rsidP="00617348">
            <w:pPr>
              <w:pStyle w:val="TableH1"/>
              <w:keepNext w:val="0"/>
              <w:ind w:left="0"/>
              <w:rPr>
                <w:rFonts w:asciiTheme="minorHAnsi" w:hAnsiTheme="minorHAnsi" w:cstheme="minorHAnsi"/>
                <w:b/>
                <w:bCs/>
                <w:noProof/>
                <w:szCs w:val="20"/>
              </w:rPr>
            </w:pPr>
            <w:r>
              <w:rPr>
                <w:rFonts w:asciiTheme="minorHAnsi" w:hAnsiTheme="minorHAnsi" w:cstheme="minorHAnsi"/>
                <w:b/>
                <w:bCs/>
                <w:noProof/>
                <w:szCs w:val="20"/>
              </w:rPr>
              <w:t>Relevant section of Guideline</w:t>
            </w:r>
          </w:p>
        </w:tc>
      </w:tr>
      <w:tr w:rsidR="00182AF6" w:rsidRPr="002B4B35" w:rsidTr="00617348">
        <w:trPr>
          <w:cantSplit/>
        </w:trPr>
        <w:tc>
          <w:tcPr>
            <w:tcW w:w="10207" w:type="dxa"/>
            <w:gridSpan w:val="3"/>
            <w:shd w:val="clear" w:color="auto" w:fill="D2E4EE"/>
          </w:tcPr>
          <w:p w:rsidR="00182AF6" w:rsidRPr="002B4B35" w:rsidRDefault="00182AF6" w:rsidP="00617348">
            <w:pPr>
              <w:pStyle w:val="TableH2"/>
            </w:pPr>
            <w:r w:rsidRPr="002B4B35">
              <w:t>Sensitisting event immunoprophylaxis beyond the first 12 weeks of pregnancy in Rh D negative women</w:t>
            </w:r>
            <w:r>
              <w:t xml:space="preserve"> </w:t>
            </w:r>
            <w:r w:rsidRPr="00986FFE">
              <w:rPr>
                <w:i/>
              </w:rPr>
              <w:t>(cont.)</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EOP10</w:t>
            </w:r>
          </w:p>
        </w:tc>
        <w:tc>
          <w:tcPr>
            <w:tcW w:w="7512" w:type="dxa"/>
          </w:tcPr>
          <w:p w:rsidR="00182AF6" w:rsidRPr="002B4B35" w:rsidRDefault="00182AF6" w:rsidP="00617348">
            <w:pPr>
              <w:pStyle w:val="TableH1"/>
              <w:rPr>
                <w:color w:val="auto"/>
              </w:rPr>
            </w:pPr>
            <w:r w:rsidRPr="002B4B35">
              <w:rPr>
                <w:noProof/>
                <w:color w:val="auto"/>
              </w:rPr>
              <w:t>In reference to antenatal sensitising events after 20 weeks of pregnancy and after giving birth, a maternal sample to assess the volume of FMH should be taken before administration of Rh D immunoglobulin. However, at no time should Rh D immunoglobulin be delayed based on, or pending, the results of testing to quantitate FMH. Between 13 and 20 weeks of pregnancy, the magnitude of FMH may be assessed at clinical discretion.</w:t>
            </w:r>
          </w:p>
        </w:tc>
        <w:tc>
          <w:tcPr>
            <w:tcW w:w="1418" w:type="dxa"/>
          </w:tcPr>
          <w:p w:rsidR="00182AF6" w:rsidRPr="002B4B35" w:rsidRDefault="00182AF6" w:rsidP="00617348">
            <w:pPr>
              <w:pStyle w:val="TableH1"/>
              <w:keepNext w:val="0"/>
              <w:ind w:left="0"/>
              <w:rPr>
                <w:rFonts w:asciiTheme="minorHAnsi" w:hAnsiTheme="minorHAnsi" w:cstheme="minorHAnsi"/>
                <w:noProof/>
                <w:color w:val="auto"/>
                <w:szCs w:val="20"/>
              </w:rPr>
            </w:pPr>
            <w:r w:rsidRPr="002B4B35">
              <w:rPr>
                <w:rFonts w:asciiTheme="minorHAnsi" w:hAnsiTheme="minorHAnsi" w:cstheme="minorHAnsi"/>
                <w:noProof/>
                <w:color w:val="auto"/>
                <w:szCs w:val="20"/>
              </w:rPr>
              <w:t>3.5.1</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FFFFFF" w:themeColor="background1"/>
                <w:szCs w:val="20"/>
              </w:rPr>
            </w:pPr>
            <w:r w:rsidRPr="004A2315">
              <w:rPr>
                <w:rFonts w:asciiTheme="minorHAnsi" w:hAnsiTheme="minorHAnsi" w:cstheme="minorHAnsi"/>
                <w:b/>
                <w:noProof/>
                <w:color w:val="FFFFFF" w:themeColor="background1"/>
                <w:szCs w:val="20"/>
              </w:rPr>
              <w:t>EOP11</w:t>
            </w:r>
          </w:p>
        </w:tc>
        <w:tc>
          <w:tcPr>
            <w:tcW w:w="7512" w:type="dxa"/>
          </w:tcPr>
          <w:p w:rsidR="00182AF6" w:rsidRPr="002B4B35" w:rsidRDefault="00182AF6" w:rsidP="00617348">
            <w:pPr>
              <w:pStyle w:val="TableH1"/>
              <w:rPr>
                <w:noProof/>
                <w:color w:val="auto"/>
              </w:rPr>
            </w:pPr>
            <w:r w:rsidRPr="002B4B35">
              <w:rPr>
                <w:noProof/>
                <w:color w:val="auto"/>
              </w:rPr>
              <w:t>The magnitude of the FMH should be assessed by a method capable of quantifying a haemorrhage of ≥6 mL of fetal red cells (equivalent to 12 mL of whole blood). Flow cytometry is accepted as the most accurate quantitative test for FMH and is the method of choice for quantitation if readily available. Where FMH quantitation shows that FMH greater than that covered by the dose already administered has occurred, an additional dose or doses of Rh D immunoglobulin sufficient to provide immunoprophylaxis must be administered as soon as practical within 72 hours.</w:t>
            </w:r>
            <w:r w:rsidRPr="002B4B35">
              <w:rPr>
                <w:noProof/>
                <w:color w:val="auto"/>
                <w:vertAlign w:val="superscript"/>
              </w:rPr>
              <w:t>a</w:t>
            </w:r>
            <w:r w:rsidRPr="002B4B35">
              <w:rPr>
                <w:noProof/>
                <w:color w:val="auto"/>
              </w:rPr>
              <w:t xml:space="preserve"> If delayed beyond 72 hours, the dose should be given up to 10 days</w:t>
            </w:r>
            <w:r w:rsidR="005A00E7">
              <w:rPr>
                <w:noProof/>
                <w:color w:val="auto"/>
              </w:rPr>
              <w:t xml:space="preserve"> from the sensitising event</w:t>
            </w:r>
            <w:r w:rsidRPr="002B4B35">
              <w:rPr>
                <w:noProof/>
                <w:color w:val="auto"/>
              </w:rPr>
              <w:t>, but may have lower efficacy.</w:t>
            </w:r>
          </w:p>
          <w:p w:rsidR="00182AF6" w:rsidRPr="002B4B35" w:rsidRDefault="00182AF6" w:rsidP="00617348">
            <w:pPr>
              <w:pStyle w:val="Tabletext9pt"/>
              <w:rPr>
                <w:noProof/>
              </w:rPr>
            </w:pPr>
            <w:r w:rsidRPr="002B4B35">
              <w:rPr>
                <w:noProof/>
                <w:vertAlign w:val="superscript"/>
              </w:rPr>
              <w:t xml:space="preserve">a </w:t>
            </w:r>
            <w:r w:rsidRPr="002B4B35">
              <w:rPr>
                <w:noProof/>
              </w:rPr>
              <w:t xml:space="preserve">See Appendix C </w:t>
            </w:r>
            <w:r>
              <w:rPr>
                <w:noProof/>
              </w:rPr>
              <w:t xml:space="preserve">of the Guideline </w:t>
            </w:r>
            <w:r w:rsidRPr="002B4B35">
              <w:rPr>
                <w:noProof/>
              </w:rPr>
              <w:t>for guidance on dosing.</w:t>
            </w:r>
          </w:p>
        </w:tc>
        <w:tc>
          <w:tcPr>
            <w:tcW w:w="1418" w:type="dxa"/>
          </w:tcPr>
          <w:p w:rsidR="00182AF6" w:rsidRPr="002B4B35" w:rsidRDefault="00182AF6" w:rsidP="00617348">
            <w:pPr>
              <w:autoSpaceDE w:val="0"/>
              <w:autoSpaceDN w:val="0"/>
              <w:adjustRightInd w:val="0"/>
              <w:rPr>
                <w:rFonts w:asciiTheme="minorHAnsi" w:hAnsiTheme="minorHAnsi" w:cstheme="minorHAnsi"/>
                <w:noProof/>
                <w:sz w:val="20"/>
                <w:szCs w:val="20"/>
              </w:rPr>
            </w:pPr>
            <w:r w:rsidRPr="002B4B35">
              <w:rPr>
                <w:rFonts w:asciiTheme="minorHAnsi" w:hAnsiTheme="minorHAnsi" w:cstheme="minorHAnsi"/>
                <w:noProof/>
                <w:sz w:val="20"/>
                <w:szCs w:val="20"/>
              </w:rPr>
              <w:t xml:space="preserve">3.5.1 </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auto"/>
                <w:szCs w:val="20"/>
              </w:rPr>
            </w:pPr>
            <w:r w:rsidRPr="004A2315">
              <w:rPr>
                <w:rFonts w:asciiTheme="minorHAnsi" w:hAnsiTheme="minorHAnsi" w:cstheme="minorHAnsi"/>
                <w:b/>
                <w:noProof/>
                <w:color w:val="FFFFFF" w:themeColor="background1"/>
                <w:szCs w:val="20"/>
              </w:rPr>
              <w:t>EOP12</w:t>
            </w:r>
          </w:p>
        </w:tc>
        <w:tc>
          <w:tcPr>
            <w:tcW w:w="7512" w:type="dxa"/>
          </w:tcPr>
          <w:p w:rsidR="00182AF6" w:rsidRPr="002B4B35" w:rsidRDefault="00182AF6" w:rsidP="00617348">
            <w:pPr>
              <w:pStyle w:val="TableH1"/>
              <w:rPr>
                <w:rFonts w:asciiTheme="minorHAnsi" w:eastAsiaTheme="minorHAnsi" w:hAnsiTheme="minorHAnsi" w:cstheme="minorHAnsi"/>
                <w:noProof/>
                <w:color w:val="auto"/>
                <w:szCs w:val="20"/>
              </w:rPr>
            </w:pPr>
            <w:r w:rsidRPr="002B4B35">
              <w:rPr>
                <w:noProof/>
                <w:color w:val="auto"/>
              </w:rPr>
              <w:t xml:space="preserve">For large bleeds ≥ 6 mL of fetal red cells (equivalent to 12 mL of whole blood), follow-up testing should be performed on a sample collected 48 hours post intravenous Rh D immunoglobulin administration or 72 hours post intramuscular Rh D immunoglobulin administration, to determine whether further dosing is required. Supplemental Rh D immunoglobulin should be administered if the test for </w:t>
            </w:r>
            <w:r w:rsidRPr="002B4B35">
              <w:rPr>
                <w:rFonts w:asciiTheme="minorHAnsi" w:eastAsiaTheme="minorHAnsi" w:hAnsiTheme="minorHAnsi" w:cstheme="minorHAnsi"/>
                <w:noProof/>
                <w:color w:val="auto"/>
                <w:szCs w:val="20"/>
              </w:rPr>
              <w:t>FMH is still positive.</w:t>
            </w:r>
            <w:r w:rsidRPr="002B4B35">
              <w:rPr>
                <w:rFonts w:asciiTheme="minorHAnsi" w:eastAsiaTheme="minorHAnsi" w:hAnsiTheme="minorHAnsi" w:cstheme="minorHAnsi"/>
                <w:noProof/>
                <w:color w:val="auto"/>
                <w:sz w:val="18"/>
                <w:szCs w:val="18"/>
                <w:vertAlign w:val="superscript"/>
              </w:rPr>
              <w:t>a</w:t>
            </w:r>
            <w:r w:rsidRPr="002B4B35">
              <w:rPr>
                <w:rFonts w:asciiTheme="minorHAnsi" w:eastAsiaTheme="minorHAnsi" w:hAnsiTheme="minorHAnsi" w:cstheme="minorHAnsi"/>
                <w:noProof/>
                <w:color w:val="auto"/>
                <w:szCs w:val="20"/>
              </w:rPr>
              <w:t xml:space="preserve"> If testing for fetal cells is negative on a follow-up sample, no further testing is required. </w:t>
            </w:r>
          </w:p>
          <w:p w:rsidR="00182AF6" w:rsidRPr="002B4B35" w:rsidRDefault="00182AF6" w:rsidP="00617348">
            <w:pPr>
              <w:pStyle w:val="Tabletext9pt"/>
              <w:rPr>
                <w:noProof/>
              </w:rPr>
            </w:pPr>
            <w:r w:rsidRPr="002B4B35">
              <w:rPr>
                <w:noProof/>
                <w:vertAlign w:val="superscript"/>
              </w:rPr>
              <w:t xml:space="preserve">a </w:t>
            </w:r>
            <w:r w:rsidRPr="002B4B35">
              <w:rPr>
                <w:noProof/>
              </w:rPr>
              <w:t>See Appendix C</w:t>
            </w:r>
            <w:r>
              <w:rPr>
                <w:noProof/>
              </w:rPr>
              <w:t xml:space="preserve"> of the Guideline </w:t>
            </w:r>
            <w:r w:rsidRPr="002B4B35">
              <w:rPr>
                <w:noProof/>
              </w:rPr>
              <w:t>for guidance on dosing.</w:t>
            </w:r>
          </w:p>
        </w:tc>
        <w:tc>
          <w:tcPr>
            <w:tcW w:w="1418" w:type="dxa"/>
          </w:tcPr>
          <w:p w:rsidR="00182AF6" w:rsidRPr="002B4B35" w:rsidRDefault="00182AF6" w:rsidP="00617348">
            <w:pPr>
              <w:autoSpaceDE w:val="0"/>
              <w:autoSpaceDN w:val="0"/>
              <w:adjustRightInd w:val="0"/>
              <w:rPr>
                <w:rFonts w:asciiTheme="minorHAnsi" w:hAnsiTheme="minorHAnsi" w:cstheme="minorHAnsi"/>
                <w:noProof/>
                <w:sz w:val="20"/>
                <w:szCs w:val="20"/>
              </w:rPr>
            </w:pPr>
            <w:r w:rsidRPr="002B4B35">
              <w:rPr>
                <w:rFonts w:asciiTheme="minorHAnsi" w:hAnsiTheme="minorHAnsi" w:cstheme="minorHAnsi"/>
                <w:noProof/>
                <w:sz w:val="20"/>
                <w:szCs w:val="20"/>
              </w:rPr>
              <w:t>3.5.1</w:t>
            </w:r>
          </w:p>
        </w:tc>
      </w:tr>
      <w:tr w:rsidR="00182AF6" w:rsidRPr="002B4B35" w:rsidTr="00617348">
        <w:trPr>
          <w:cantSplit/>
        </w:trPr>
        <w:tc>
          <w:tcPr>
            <w:tcW w:w="10207" w:type="dxa"/>
            <w:gridSpan w:val="3"/>
            <w:shd w:val="clear" w:color="auto" w:fill="D2E4EE"/>
          </w:tcPr>
          <w:p w:rsidR="00182AF6" w:rsidRPr="002B4B35" w:rsidRDefault="00182AF6" w:rsidP="00617348">
            <w:pPr>
              <w:pStyle w:val="TableH2"/>
            </w:pPr>
            <w:r w:rsidRPr="002B4B35">
              <w:t>Targeted immunoprophylaxis in postnatal Rh D negative women</w:t>
            </w:r>
          </w:p>
        </w:tc>
      </w:tr>
      <w:tr w:rsidR="00182AF6" w:rsidRPr="002B4B35" w:rsidTr="00617348">
        <w:trPr>
          <w:cantSplit/>
        </w:trPr>
        <w:tc>
          <w:tcPr>
            <w:tcW w:w="1277" w:type="dxa"/>
            <w:shd w:val="clear" w:color="auto" w:fill="648F90"/>
          </w:tcPr>
          <w:p w:rsidR="00182AF6" w:rsidRPr="004A2315" w:rsidRDefault="00182AF6" w:rsidP="00617348">
            <w:pPr>
              <w:pStyle w:val="TableH1"/>
              <w:rPr>
                <w:rFonts w:asciiTheme="minorHAnsi" w:hAnsiTheme="minorHAnsi" w:cstheme="minorHAnsi"/>
                <w:b/>
                <w:noProof/>
                <w:color w:val="auto"/>
                <w:szCs w:val="20"/>
              </w:rPr>
            </w:pPr>
            <w:r w:rsidRPr="004A2315">
              <w:rPr>
                <w:rFonts w:asciiTheme="minorHAnsi" w:hAnsiTheme="minorHAnsi" w:cstheme="minorHAnsi"/>
                <w:b/>
                <w:noProof/>
                <w:color w:val="FFFFFF" w:themeColor="background1"/>
                <w:szCs w:val="20"/>
              </w:rPr>
              <w:t>R8</w:t>
            </w:r>
          </w:p>
        </w:tc>
        <w:tc>
          <w:tcPr>
            <w:tcW w:w="7512" w:type="dxa"/>
            <w:vAlign w:val="center"/>
          </w:tcPr>
          <w:p w:rsidR="00182AF6" w:rsidRPr="002B4B35" w:rsidRDefault="00182AF6" w:rsidP="00617348">
            <w:pPr>
              <w:pStyle w:val="TableH1"/>
              <w:rPr>
                <w:rFonts w:asciiTheme="minorHAnsi" w:hAnsiTheme="minorHAnsi" w:cstheme="minorHAnsi"/>
                <w:noProof/>
                <w:color w:val="auto"/>
                <w:szCs w:val="20"/>
              </w:rPr>
            </w:pPr>
            <w:r w:rsidRPr="002B4B35">
              <w:rPr>
                <w:color w:val="auto"/>
              </w:rPr>
              <w:t xml:space="preserve">The ERG currently </w:t>
            </w:r>
            <w:r w:rsidRPr="002B4B35">
              <w:rPr>
                <w:b/>
                <w:bCs/>
                <w:color w:val="auto"/>
              </w:rPr>
              <w:t>recommends</w:t>
            </w:r>
            <w:r w:rsidRPr="002B4B35">
              <w:rPr>
                <w:color w:val="auto"/>
              </w:rPr>
              <w:t xml:space="preserve"> that postnatal Rh D immunoprophylaxis (Rh D immunoglobulin 625 IU) continue to be administered to all Rh D negative women with no preformed anti-D antibodies who have a baby who is </w:t>
            </w:r>
            <w:r w:rsidR="005A00E7">
              <w:rPr>
                <w:color w:val="auto"/>
              </w:rPr>
              <w:t xml:space="preserve">predicted to be </w:t>
            </w:r>
            <w:r w:rsidRPr="002B4B35">
              <w:rPr>
                <w:color w:val="auto"/>
              </w:rPr>
              <w:t xml:space="preserve">Rh D positive based on NIPT for fetal </w:t>
            </w:r>
            <w:r w:rsidRPr="002B4B35">
              <w:rPr>
                <w:i/>
                <w:color w:val="auto"/>
              </w:rPr>
              <w:t>RHD</w:t>
            </w:r>
            <w:r w:rsidRPr="002B4B35">
              <w:rPr>
                <w:color w:val="auto"/>
              </w:rPr>
              <w:t xml:space="preserve">, or cord blood or neonatal Rh D typing. The cord blood or neonatal testing should be performed regardless of the results of NIPT for fetal </w:t>
            </w:r>
            <w:r w:rsidRPr="002B4B35">
              <w:rPr>
                <w:i/>
                <w:iCs/>
                <w:color w:val="auto"/>
              </w:rPr>
              <w:t>RHD</w:t>
            </w:r>
            <w:r w:rsidRPr="002B4B35">
              <w:rPr>
                <w:color w:val="auto"/>
              </w:rPr>
              <w:t xml:space="preserve">, but need not delay administration of Rh D immunoprophylaxis when the fetus has been shown to be </w:t>
            </w:r>
            <w:r w:rsidRPr="002B4B35">
              <w:rPr>
                <w:i/>
                <w:iCs/>
                <w:color w:val="auto"/>
              </w:rPr>
              <w:t>RHD</w:t>
            </w:r>
            <w:r w:rsidRPr="002B4B35">
              <w:rPr>
                <w:color w:val="auto"/>
              </w:rPr>
              <w:t xml:space="preserve"> positive by NIPT testing. If the baby is Rh D positive, administer Rh D immunoglobulin even if the NIPT predicted an Rh D negative baby.</w:t>
            </w:r>
            <w:r w:rsidRPr="002B4B35">
              <w:rPr>
                <w:color w:val="auto"/>
              </w:rPr>
              <w:br/>
            </w:r>
            <w:r w:rsidRPr="00467297">
              <w:rPr>
                <w:rFonts w:asciiTheme="minorHAnsi" w:hAnsiTheme="minorHAnsi" w:cstheme="minorHAnsi"/>
                <w:i/>
                <w:iCs/>
                <w:color w:val="auto"/>
                <w:sz w:val="20"/>
                <w:szCs w:val="20"/>
              </w:rPr>
              <w:t>(Strong recommendation, high certainty of evidence)</w:t>
            </w:r>
          </w:p>
        </w:tc>
        <w:tc>
          <w:tcPr>
            <w:tcW w:w="1418" w:type="dxa"/>
          </w:tcPr>
          <w:p w:rsidR="00182AF6" w:rsidRPr="002B4B35" w:rsidRDefault="00182AF6" w:rsidP="00617348">
            <w:pPr>
              <w:pStyle w:val="TableH1"/>
              <w:rPr>
                <w:rFonts w:asciiTheme="minorHAnsi" w:hAnsiTheme="minorHAnsi" w:cstheme="minorHAnsi"/>
                <w:bCs/>
                <w:noProof/>
                <w:color w:val="auto"/>
                <w:szCs w:val="20"/>
              </w:rPr>
            </w:pPr>
            <w:r w:rsidRPr="002B4B35">
              <w:rPr>
                <w:rFonts w:asciiTheme="minorHAnsi" w:hAnsiTheme="minorHAnsi" w:cstheme="minorHAnsi"/>
                <w:bCs/>
                <w:noProof/>
                <w:color w:val="auto"/>
                <w:szCs w:val="20"/>
              </w:rPr>
              <w:t>3.3.1</w:t>
            </w:r>
          </w:p>
        </w:tc>
      </w:tr>
      <w:tr w:rsidR="00182AF6" w:rsidRPr="002B4B35" w:rsidTr="00617348">
        <w:trPr>
          <w:cantSplit/>
        </w:trPr>
        <w:tc>
          <w:tcPr>
            <w:tcW w:w="10207" w:type="dxa"/>
            <w:gridSpan w:val="3"/>
            <w:shd w:val="clear" w:color="auto" w:fill="D2E4EE"/>
          </w:tcPr>
          <w:p w:rsidR="00182AF6" w:rsidRPr="002B4B35" w:rsidRDefault="00182AF6" w:rsidP="00617348">
            <w:pPr>
              <w:pStyle w:val="TableH2"/>
            </w:pPr>
            <w:r w:rsidRPr="002B4B35">
              <w:t>High BMI</w:t>
            </w:r>
          </w:p>
        </w:tc>
      </w:tr>
      <w:tr w:rsidR="00182AF6" w:rsidRPr="002B4B35" w:rsidTr="00617348">
        <w:trPr>
          <w:cantSplit/>
        </w:trPr>
        <w:tc>
          <w:tcPr>
            <w:tcW w:w="1277" w:type="dxa"/>
            <w:shd w:val="clear" w:color="auto" w:fill="648F90"/>
          </w:tcPr>
          <w:p w:rsidR="00182AF6" w:rsidRPr="004A2315" w:rsidRDefault="00182AF6" w:rsidP="00617348">
            <w:pPr>
              <w:pStyle w:val="TableH1"/>
              <w:rPr>
                <w:rFonts w:asciiTheme="minorHAnsi" w:hAnsiTheme="minorHAnsi" w:cstheme="minorHAnsi"/>
                <w:b/>
                <w:noProof/>
                <w:color w:val="auto"/>
                <w:szCs w:val="20"/>
              </w:rPr>
            </w:pPr>
            <w:r w:rsidRPr="004A2315">
              <w:rPr>
                <w:rFonts w:asciiTheme="minorHAnsi" w:hAnsiTheme="minorHAnsi" w:cstheme="minorHAnsi"/>
                <w:b/>
                <w:noProof/>
                <w:color w:val="FFFFFF" w:themeColor="background1"/>
                <w:szCs w:val="20"/>
              </w:rPr>
              <w:t>R12</w:t>
            </w:r>
          </w:p>
        </w:tc>
        <w:tc>
          <w:tcPr>
            <w:tcW w:w="7512" w:type="dxa"/>
          </w:tcPr>
          <w:p w:rsidR="00182AF6" w:rsidRPr="002B4B35" w:rsidRDefault="00182AF6" w:rsidP="00617348">
            <w:pPr>
              <w:pStyle w:val="TableH1"/>
              <w:rPr>
                <w:noProof/>
                <w:color w:val="auto"/>
              </w:rPr>
            </w:pPr>
            <w:r w:rsidRPr="002B4B35">
              <w:rPr>
                <w:noProof/>
                <w:color w:val="auto"/>
              </w:rPr>
              <w:t xml:space="preserve">The ERG </w:t>
            </w:r>
            <w:r w:rsidRPr="002B4B35">
              <w:rPr>
                <w:rStyle w:val="Strong"/>
                <w:rFonts w:asciiTheme="minorHAnsi" w:hAnsiTheme="minorHAnsi" w:cstheme="minorHAnsi"/>
                <w:noProof/>
                <w:color w:val="auto"/>
                <w:szCs w:val="20"/>
              </w:rPr>
              <w:t xml:space="preserve">does not currently support </w:t>
            </w:r>
            <w:r w:rsidRPr="00C57F15">
              <w:rPr>
                <w:rStyle w:val="Strong"/>
                <w:rFonts w:asciiTheme="minorHAnsi" w:hAnsiTheme="minorHAnsi" w:cstheme="minorHAnsi"/>
                <w:b w:val="0"/>
                <w:noProof/>
                <w:color w:val="auto"/>
                <w:szCs w:val="20"/>
              </w:rPr>
              <w:t xml:space="preserve">an increased dose of Rh D immunoglobulin or changes in </w:t>
            </w:r>
            <w:r w:rsidRPr="002B4B35">
              <w:rPr>
                <w:noProof/>
                <w:color w:val="auto"/>
              </w:rPr>
              <w:t>laboratory testing on the basis of high BMI in Rh D negative pregnant women.</w:t>
            </w:r>
            <w:r w:rsidRPr="002B4B35">
              <w:rPr>
                <w:noProof/>
                <w:color w:val="auto"/>
              </w:rPr>
              <w:br/>
            </w:r>
            <w:r w:rsidRPr="00467297">
              <w:rPr>
                <w:rStyle w:val="Emphasis"/>
                <w:rFonts w:asciiTheme="minorHAnsi" w:hAnsiTheme="minorHAnsi" w:cstheme="minorHAnsi"/>
                <w:noProof/>
                <w:color w:val="auto"/>
                <w:sz w:val="20"/>
                <w:szCs w:val="20"/>
              </w:rPr>
              <w:t>(Weak recommendation, very low certainty of evidence about the size of effect)</w:t>
            </w:r>
            <w:r w:rsidRPr="00467297">
              <w:rPr>
                <w:noProof/>
                <w:color w:val="auto"/>
                <w:sz w:val="20"/>
                <w:szCs w:val="20"/>
              </w:rPr>
              <w:t xml:space="preserve"> </w:t>
            </w:r>
          </w:p>
        </w:tc>
        <w:tc>
          <w:tcPr>
            <w:tcW w:w="1418" w:type="dxa"/>
          </w:tcPr>
          <w:p w:rsidR="00182AF6" w:rsidRPr="002B4B35" w:rsidRDefault="00182AF6" w:rsidP="00617348">
            <w:pPr>
              <w:pStyle w:val="TableH1"/>
              <w:rPr>
                <w:rFonts w:asciiTheme="minorHAnsi" w:hAnsiTheme="minorHAnsi" w:cstheme="minorHAnsi"/>
                <w:bCs/>
                <w:noProof/>
                <w:color w:val="auto"/>
                <w:szCs w:val="20"/>
              </w:rPr>
            </w:pPr>
            <w:r w:rsidRPr="002B4B35">
              <w:rPr>
                <w:rFonts w:asciiTheme="minorHAnsi" w:hAnsiTheme="minorHAnsi" w:cstheme="minorHAnsi"/>
                <w:bCs/>
                <w:noProof/>
                <w:color w:val="auto"/>
                <w:szCs w:val="20"/>
              </w:rPr>
              <w:t>3.4.1</w:t>
            </w:r>
          </w:p>
        </w:tc>
      </w:tr>
      <w:tr w:rsidR="00182AF6" w:rsidRPr="002B4B35" w:rsidTr="00617348">
        <w:trPr>
          <w:cantSplit/>
        </w:trPr>
        <w:tc>
          <w:tcPr>
            <w:tcW w:w="1277" w:type="dxa"/>
            <w:shd w:val="clear" w:color="auto" w:fill="467ABA"/>
          </w:tcPr>
          <w:p w:rsidR="00182AF6" w:rsidRPr="004A2315" w:rsidRDefault="00182AF6" w:rsidP="00617348">
            <w:pPr>
              <w:pStyle w:val="TableH1"/>
              <w:keepNext w:val="0"/>
              <w:rPr>
                <w:rFonts w:asciiTheme="minorHAnsi" w:hAnsiTheme="minorHAnsi" w:cstheme="minorHAnsi"/>
                <w:b/>
                <w:noProof/>
                <w:color w:val="auto"/>
                <w:szCs w:val="20"/>
              </w:rPr>
            </w:pPr>
            <w:r w:rsidRPr="004A2315">
              <w:rPr>
                <w:rFonts w:asciiTheme="minorHAnsi" w:hAnsiTheme="minorHAnsi" w:cstheme="minorHAnsi"/>
                <w:b/>
                <w:noProof/>
                <w:color w:val="FFFFFF" w:themeColor="background1"/>
                <w:szCs w:val="20"/>
              </w:rPr>
              <w:t>EOP6</w:t>
            </w:r>
          </w:p>
        </w:tc>
        <w:tc>
          <w:tcPr>
            <w:tcW w:w="7512" w:type="dxa"/>
          </w:tcPr>
          <w:p w:rsidR="00182AF6" w:rsidRPr="002B4B35" w:rsidRDefault="00182AF6" w:rsidP="00617348">
            <w:pPr>
              <w:pStyle w:val="TableH1"/>
              <w:rPr>
                <w:noProof/>
                <w:color w:val="auto"/>
              </w:rPr>
            </w:pPr>
            <w:r w:rsidRPr="002B4B35">
              <w:rPr>
                <w:noProof/>
                <w:color w:val="auto"/>
              </w:rPr>
              <w:t>Rh D immunoglobulin must be given by deep intramuscular injection. For women with a BMI of more than 30, particular consideration should be given to factors that may affect the adequacy of the injection (e.g. the site of administration and the length of the needle used).</w:t>
            </w:r>
          </w:p>
        </w:tc>
        <w:tc>
          <w:tcPr>
            <w:tcW w:w="1418" w:type="dxa"/>
          </w:tcPr>
          <w:p w:rsidR="00182AF6" w:rsidRPr="002B4B35" w:rsidRDefault="00182AF6" w:rsidP="00617348">
            <w:pPr>
              <w:pStyle w:val="TableH1"/>
              <w:keepNext w:val="0"/>
              <w:rPr>
                <w:rFonts w:asciiTheme="minorHAnsi" w:hAnsiTheme="minorHAnsi" w:cstheme="minorHAnsi"/>
                <w:bCs/>
                <w:noProof/>
                <w:color w:val="auto"/>
                <w:szCs w:val="20"/>
              </w:rPr>
            </w:pPr>
            <w:r w:rsidRPr="002B4B35">
              <w:rPr>
                <w:rFonts w:asciiTheme="minorHAnsi" w:hAnsiTheme="minorHAnsi" w:cstheme="minorHAnsi"/>
                <w:bCs/>
                <w:noProof/>
                <w:color w:val="auto"/>
                <w:szCs w:val="20"/>
              </w:rPr>
              <w:t>3.4.1</w:t>
            </w:r>
          </w:p>
        </w:tc>
      </w:tr>
    </w:tbl>
    <w:p w:rsidR="00182AF6" w:rsidRPr="001209BC" w:rsidRDefault="00182AF6" w:rsidP="00182AF6">
      <w:pPr>
        <w:pStyle w:val="Tablefignotes"/>
        <w:spacing w:before="80" w:after="0"/>
        <w:ind w:left="0"/>
        <w:rPr>
          <w:rFonts w:asciiTheme="minorHAnsi" w:hAnsiTheme="minorHAnsi" w:cstheme="minorHAnsi"/>
          <w:i/>
          <w:noProof/>
          <w:color w:val="auto"/>
          <w:sz w:val="18"/>
          <w:szCs w:val="18"/>
        </w:rPr>
      </w:pPr>
      <w:r w:rsidRPr="001209BC">
        <w:rPr>
          <w:rFonts w:asciiTheme="minorHAnsi" w:hAnsiTheme="minorHAnsi" w:cstheme="minorHAnsi"/>
          <w:noProof/>
          <w:color w:val="auto"/>
          <w:sz w:val="18"/>
          <w:szCs w:val="18"/>
        </w:rPr>
        <w:t xml:space="preserve">BMI: body mass index, EOP: expert opinion point, ERG: Expert Reference Group, FMH: fetomaternal haemorrhage, IU: international units, NIPT: non-invasive prenatal testing, R: recommendation; </w:t>
      </w:r>
    </w:p>
    <w:p w:rsidR="005A00E7" w:rsidRDefault="00182AF6" w:rsidP="00182AF6">
      <w:pPr>
        <w:pStyle w:val="Tablefignotes"/>
        <w:spacing w:before="80" w:after="0"/>
        <w:ind w:left="0"/>
        <w:rPr>
          <w:rFonts w:asciiTheme="minorHAnsi" w:eastAsiaTheme="minorHAnsi" w:hAnsiTheme="minorHAnsi" w:cstheme="minorHAnsi"/>
          <w:color w:val="000000"/>
          <w:sz w:val="18"/>
          <w:szCs w:val="18"/>
        </w:rPr>
      </w:pPr>
      <w:r w:rsidRPr="001209BC">
        <w:rPr>
          <w:rFonts w:asciiTheme="minorHAnsi" w:eastAsiaTheme="minorHAnsi" w:hAnsiTheme="minorHAnsi" w:cstheme="minorHAnsi"/>
          <w:color w:val="000000"/>
          <w:sz w:val="18"/>
          <w:szCs w:val="18"/>
        </w:rPr>
        <w:t xml:space="preserve">anti-D - refers to circulating antibodies, </w:t>
      </w:r>
      <w:r w:rsidRPr="001209BC">
        <w:rPr>
          <w:rFonts w:asciiTheme="minorHAnsi" w:eastAsiaTheme="minorHAnsi" w:hAnsiTheme="minorHAnsi" w:cstheme="minorHAnsi"/>
          <w:i/>
          <w:iCs/>
          <w:color w:val="000000"/>
          <w:sz w:val="18"/>
          <w:szCs w:val="18"/>
        </w:rPr>
        <w:t>RHD -</w:t>
      </w:r>
      <w:r w:rsidRPr="001209BC">
        <w:rPr>
          <w:rFonts w:asciiTheme="minorHAnsi" w:eastAsiaTheme="minorHAnsi" w:hAnsiTheme="minorHAnsi" w:cstheme="minorHAnsi"/>
          <w:color w:val="000000"/>
          <w:sz w:val="18"/>
          <w:szCs w:val="18"/>
        </w:rPr>
        <w:t xml:space="preserve"> refers to genotype, Rh D immunoglobulin - refers to the product, </w:t>
      </w:r>
    </w:p>
    <w:p w:rsidR="00182AF6" w:rsidRPr="001209BC" w:rsidRDefault="00182AF6" w:rsidP="005A00E7">
      <w:pPr>
        <w:pStyle w:val="Tablefignotes"/>
        <w:spacing w:before="0" w:after="0"/>
        <w:ind w:left="0"/>
        <w:rPr>
          <w:noProof/>
          <w:color w:val="auto"/>
        </w:rPr>
      </w:pPr>
      <w:r w:rsidRPr="001209BC">
        <w:rPr>
          <w:rFonts w:asciiTheme="minorHAnsi" w:eastAsiaTheme="minorHAnsi" w:hAnsiTheme="minorHAnsi" w:cstheme="minorHAnsi"/>
          <w:color w:val="000000"/>
          <w:sz w:val="18"/>
          <w:szCs w:val="18"/>
        </w:rPr>
        <w:t>Rh D positive/negative - refers to blood type</w:t>
      </w:r>
      <w:r w:rsidRPr="001209BC">
        <w:rPr>
          <w:noProof/>
        </w:rPr>
        <w:br w:type="page"/>
      </w:r>
    </w:p>
    <w:p w:rsidR="00A5685C" w:rsidRDefault="00A5685C" w:rsidP="003465E7">
      <w:pPr>
        <w:pStyle w:val="Heading2"/>
        <w:rPr>
          <w:noProof/>
        </w:rPr>
      </w:pPr>
      <w:r>
        <w:rPr>
          <w:noProof/>
        </w:rPr>
        <w:lastRenderedPageBreak/>
        <w:t>Summary of clinical guidance on the use and timing of pathology testing</w:t>
      </w:r>
      <w:bookmarkEnd w:id="2"/>
      <w:r>
        <w:rPr>
          <w:noProof/>
        </w:rPr>
        <w:t xml:space="preserve"> </w:t>
      </w:r>
    </w:p>
    <w:tbl>
      <w:tblPr>
        <w:tblStyle w:val="TableGrid"/>
        <w:tblW w:w="9923" w:type="dxa"/>
        <w:tblInd w:w="-34" w:type="dxa"/>
        <w:tblLayout w:type="fixed"/>
        <w:tblLook w:val="04A0" w:firstRow="1" w:lastRow="0" w:firstColumn="1" w:lastColumn="0" w:noHBand="0" w:noVBand="1"/>
      </w:tblPr>
      <w:tblGrid>
        <w:gridCol w:w="2865"/>
        <w:gridCol w:w="2900"/>
        <w:gridCol w:w="2798"/>
        <w:gridCol w:w="1360"/>
      </w:tblGrid>
      <w:tr w:rsidR="00A5685C" w:rsidRPr="005A6BDA" w:rsidTr="003465E7">
        <w:trPr>
          <w:trHeight w:val="159"/>
        </w:trPr>
        <w:tc>
          <w:tcPr>
            <w:tcW w:w="2865"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Test</w:t>
            </w:r>
          </w:p>
        </w:tc>
        <w:tc>
          <w:tcPr>
            <w:tcW w:w="2900"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Timing</w:t>
            </w:r>
          </w:p>
        </w:tc>
        <w:tc>
          <w:tcPr>
            <w:tcW w:w="2798"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Target group</w:t>
            </w:r>
          </w:p>
        </w:tc>
        <w:tc>
          <w:tcPr>
            <w:tcW w:w="1360"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Relevant section of document</w:t>
            </w:r>
          </w:p>
        </w:tc>
      </w:tr>
      <w:tr w:rsidR="00A5685C" w:rsidRPr="005A6BDA" w:rsidTr="003465E7">
        <w:tc>
          <w:tcPr>
            <w:tcW w:w="2865"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ABO/Rh D type and antibody screen</w:t>
            </w:r>
          </w:p>
        </w:tc>
        <w:tc>
          <w:tcPr>
            <w:tcW w:w="290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First visit (at approximately  10 weeks)</w:t>
            </w:r>
          </w:p>
        </w:tc>
        <w:tc>
          <w:tcPr>
            <w:tcW w:w="2798"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All pregnant women</w:t>
            </w:r>
          </w:p>
        </w:tc>
        <w:tc>
          <w:tcPr>
            <w:tcW w:w="13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3.1.1</w:t>
            </w:r>
          </w:p>
        </w:tc>
      </w:tr>
      <w:tr w:rsidR="00A5685C" w:rsidRPr="005A6BDA" w:rsidTr="003465E7">
        <w:tc>
          <w:tcPr>
            <w:tcW w:w="2865"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 xml:space="preserve">NIPT </w:t>
            </w:r>
            <w:r w:rsidRPr="00E575BC">
              <w:rPr>
                <w:rFonts w:asciiTheme="minorHAnsi" w:hAnsiTheme="minorHAnsi" w:cstheme="minorHAnsi"/>
                <w:sz w:val="22"/>
                <w:szCs w:val="22"/>
              </w:rPr>
              <w:t xml:space="preserve">for fetal </w:t>
            </w:r>
            <w:r w:rsidRPr="00E575BC">
              <w:rPr>
                <w:rFonts w:asciiTheme="minorHAnsi" w:hAnsiTheme="minorHAnsi" w:cstheme="minorHAnsi"/>
                <w:i/>
                <w:iCs/>
                <w:sz w:val="22"/>
                <w:szCs w:val="22"/>
              </w:rPr>
              <w:t>RHD</w:t>
            </w:r>
          </w:p>
        </w:tc>
        <w:tc>
          <w:tcPr>
            <w:tcW w:w="2900" w:type="dxa"/>
          </w:tcPr>
          <w:p w:rsidR="00A5685C" w:rsidRPr="00E575BC" w:rsidRDefault="00A5685C" w:rsidP="00241494">
            <w:pPr>
              <w:pStyle w:val="Tabletext"/>
              <w:rPr>
                <w:noProof/>
                <w:sz w:val="22"/>
                <w:szCs w:val="22"/>
              </w:rPr>
            </w:pPr>
            <w:r w:rsidRPr="00E575BC">
              <w:rPr>
                <w:noProof/>
                <w:sz w:val="22"/>
                <w:szCs w:val="22"/>
              </w:rPr>
              <w:t>From 11</w:t>
            </w:r>
            <w:r w:rsidRPr="00E575BC">
              <w:rPr>
                <w:sz w:val="22"/>
                <w:szCs w:val="22"/>
                <w:vertAlign w:val="superscript"/>
              </w:rPr>
              <w:t>+0</w:t>
            </w:r>
            <w:r w:rsidRPr="00E575BC">
              <w:rPr>
                <w:noProof/>
                <w:sz w:val="22"/>
                <w:szCs w:val="22"/>
              </w:rPr>
              <w:t xml:space="preserve"> weeks of pregnancy</w:t>
            </w:r>
          </w:p>
        </w:tc>
        <w:tc>
          <w:tcPr>
            <w:tcW w:w="2798"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 xml:space="preserve">All Rh D negative pregnant women </w:t>
            </w:r>
          </w:p>
        </w:tc>
        <w:tc>
          <w:tcPr>
            <w:tcW w:w="13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3.3.1</w:t>
            </w:r>
          </w:p>
        </w:tc>
      </w:tr>
      <w:tr w:rsidR="00A5685C" w:rsidRPr="005A6BDA" w:rsidTr="003465E7">
        <w:tc>
          <w:tcPr>
            <w:tcW w:w="2865" w:type="dxa"/>
          </w:tcPr>
          <w:p w:rsidR="00A5685C" w:rsidRPr="00E575BC" w:rsidRDefault="00A5685C" w:rsidP="00241494">
            <w:pPr>
              <w:pStyle w:val="Tabletext"/>
              <w:widowControl w:val="0"/>
              <w:rPr>
                <w:rFonts w:asciiTheme="minorHAnsi" w:hAnsiTheme="minorHAnsi" w:cstheme="minorHAnsi"/>
                <w:noProof/>
                <w:sz w:val="22"/>
                <w:szCs w:val="22"/>
              </w:rPr>
            </w:pPr>
            <w:r w:rsidRPr="00E575BC">
              <w:rPr>
                <w:rFonts w:asciiTheme="minorHAnsi" w:hAnsiTheme="minorHAnsi" w:cstheme="minorHAnsi"/>
                <w:noProof/>
                <w:sz w:val="22"/>
                <w:szCs w:val="22"/>
              </w:rPr>
              <w:t>Magnitude of FMH</w:t>
            </w:r>
            <w:r w:rsidRPr="00E575BC">
              <w:rPr>
                <w:rFonts w:asciiTheme="minorHAnsi" w:hAnsiTheme="minorHAnsi" w:cstheme="minorHAnsi"/>
                <w:noProof/>
                <w:sz w:val="22"/>
                <w:szCs w:val="22"/>
                <w:vertAlign w:val="superscript"/>
              </w:rPr>
              <w:t>a</w:t>
            </w:r>
            <w:r w:rsidRPr="00E575BC">
              <w:rPr>
                <w:rFonts w:asciiTheme="minorHAnsi" w:hAnsiTheme="minorHAnsi" w:cstheme="minorHAnsi"/>
                <w:noProof/>
                <w:sz w:val="22"/>
                <w:szCs w:val="22"/>
              </w:rPr>
              <w:t xml:space="preserve"> </w:t>
            </w:r>
          </w:p>
        </w:tc>
        <w:tc>
          <w:tcPr>
            <w:tcW w:w="2900" w:type="dxa"/>
          </w:tcPr>
          <w:p w:rsidR="00A5685C" w:rsidRPr="00E575BC" w:rsidRDefault="00A5685C" w:rsidP="00A5685C">
            <w:pPr>
              <w:pStyle w:val="Tabletext"/>
              <w:keepNext w:val="0"/>
              <w:widowControl w:val="0"/>
              <w:numPr>
                <w:ilvl w:val="0"/>
                <w:numId w:val="9"/>
              </w:numPr>
              <w:ind w:left="171" w:hanging="171"/>
              <w:rPr>
                <w:rFonts w:asciiTheme="minorHAnsi" w:hAnsiTheme="minorHAnsi" w:cstheme="minorHAnsi"/>
                <w:noProof/>
                <w:sz w:val="22"/>
                <w:szCs w:val="22"/>
              </w:rPr>
            </w:pPr>
            <w:r w:rsidRPr="00E575BC">
              <w:rPr>
                <w:rFonts w:asciiTheme="minorHAnsi" w:hAnsiTheme="minorHAnsi" w:cstheme="minorHAnsi"/>
                <w:noProof/>
                <w:sz w:val="22"/>
                <w:szCs w:val="22"/>
              </w:rPr>
              <w:t>After 20 weeks of pregnancy</w:t>
            </w:r>
          </w:p>
          <w:p w:rsidR="00A5685C" w:rsidRPr="00E575BC" w:rsidRDefault="00A5685C" w:rsidP="00A5685C">
            <w:pPr>
              <w:pStyle w:val="Tabletext"/>
              <w:keepNext w:val="0"/>
              <w:widowControl w:val="0"/>
              <w:numPr>
                <w:ilvl w:val="0"/>
                <w:numId w:val="9"/>
              </w:numPr>
              <w:spacing w:before="120"/>
              <w:ind w:left="171" w:hanging="171"/>
              <w:rPr>
                <w:rFonts w:asciiTheme="minorHAnsi" w:hAnsiTheme="minorHAnsi" w:cstheme="minorHAnsi"/>
                <w:noProof/>
                <w:sz w:val="22"/>
                <w:szCs w:val="22"/>
              </w:rPr>
            </w:pPr>
            <w:r w:rsidRPr="00E575BC">
              <w:rPr>
                <w:rFonts w:asciiTheme="minorHAnsi" w:hAnsiTheme="minorHAnsi" w:cstheme="minorHAnsi"/>
                <w:noProof/>
                <w:sz w:val="22"/>
                <w:szCs w:val="22"/>
              </w:rPr>
              <w:t xml:space="preserve">At delivery </w:t>
            </w:r>
          </w:p>
        </w:tc>
        <w:tc>
          <w:tcPr>
            <w:tcW w:w="2798" w:type="dxa"/>
          </w:tcPr>
          <w:p w:rsidR="00A5685C" w:rsidRPr="00E575BC" w:rsidRDefault="00A5685C" w:rsidP="00241494">
            <w:pPr>
              <w:pStyle w:val="Tabletext"/>
              <w:rPr>
                <w:i/>
                <w:noProof/>
                <w:sz w:val="22"/>
                <w:szCs w:val="22"/>
              </w:rPr>
            </w:pPr>
            <w:r w:rsidRPr="00E575BC">
              <w:rPr>
                <w:noProof/>
                <w:sz w:val="22"/>
                <w:szCs w:val="22"/>
              </w:rPr>
              <w:t xml:space="preserve">Rh D negative women following </w:t>
            </w:r>
            <w:r w:rsidRPr="00E575BC">
              <w:rPr>
                <w:sz w:val="22"/>
                <w:szCs w:val="22"/>
              </w:rPr>
              <w:t>birth</w:t>
            </w:r>
            <w:r w:rsidRPr="00E575BC">
              <w:rPr>
                <w:noProof/>
                <w:sz w:val="22"/>
                <w:szCs w:val="22"/>
              </w:rPr>
              <w:t xml:space="preserve"> or a sensitising event during pregnancy (after 20 weeks)</w:t>
            </w:r>
          </w:p>
        </w:tc>
        <w:tc>
          <w:tcPr>
            <w:tcW w:w="13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3.5.1</w:t>
            </w:r>
          </w:p>
        </w:tc>
      </w:tr>
      <w:tr w:rsidR="00A5685C" w:rsidRPr="005A6BDA" w:rsidTr="003465E7">
        <w:tc>
          <w:tcPr>
            <w:tcW w:w="2865" w:type="dxa"/>
          </w:tcPr>
          <w:p w:rsidR="00A5685C" w:rsidRPr="00E575BC" w:rsidRDefault="00A5685C" w:rsidP="00241494">
            <w:pPr>
              <w:pStyle w:val="Tabletext"/>
              <w:widowControl w:val="0"/>
              <w:rPr>
                <w:rFonts w:asciiTheme="minorHAnsi" w:hAnsiTheme="minorHAnsi" w:cstheme="minorHAnsi"/>
                <w:noProof/>
                <w:sz w:val="22"/>
                <w:szCs w:val="22"/>
              </w:rPr>
            </w:pPr>
            <w:r w:rsidRPr="00E575BC">
              <w:rPr>
                <w:rFonts w:asciiTheme="minorHAnsi" w:hAnsiTheme="minorHAnsi" w:cstheme="minorHAnsi"/>
                <w:noProof/>
                <w:sz w:val="22"/>
                <w:szCs w:val="22"/>
              </w:rPr>
              <w:t>Rh D type and antibody screen (Retest)</w:t>
            </w:r>
          </w:p>
        </w:tc>
        <w:tc>
          <w:tcPr>
            <w:tcW w:w="290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28 weeks (prior to administration of Rh D immunoglobulin)</w:t>
            </w:r>
          </w:p>
        </w:tc>
        <w:tc>
          <w:tcPr>
            <w:tcW w:w="2798" w:type="dxa"/>
          </w:tcPr>
          <w:p w:rsidR="00A5685C" w:rsidRPr="00E575BC" w:rsidRDefault="00A5685C" w:rsidP="00241494">
            <w:pPr>
              <w:pStyle w:val="Tabletext"/>
              <w:keepNext w:val="0"/>
              <w:widowControl w:val="0"/>
              <w:rPr>
                <w:rFonts w:asciiTheme="minorHAnsi" w:hAnsiTheme="minorHAnsi" w:cstheme="minorHAnsi"/>
                <w:i/>
                <w:noProof/>
                <w:sz w:val="22"/>
                <w:szCs w:val="22"/>
              </w:rPr>
            </w:pPr>
            <w:r w:rsidRPr="00E575BC">
              <w:rPr>
                <w:rFonts w:asciiTheme="minorHAnsi" w:hAnsiTheme="minorHAnsi" w:cstheme="minorHAnsi"/>
                <w:noProof/>
                <w:sz w:val="22"/>
                <w:szCs w:val="22"/>
              </w:rPr>
              <w:t xml:space="preserve">Rh D negative pregnant women (unless NIPT for fetal </w:t>
            </w:r>
            <w:r w:rsidRPr="00E575BC">
              <w:rPr>
                <w:rFonts w:asciiTheme="minorHAnsi" w:hAnsiTheme="minorHAnsi" w:cstheme="minorHAnsi"/>
                <w:i/>
                <w:noProof/>
                <w:sz w:val="22"/>
                <w:szCs w:val="22"/>
              </w:rPr>
              <w:t>RHD</w:t>
            </w:r>
            <w:r w:rsidRPr="00E575BC">
              <w:rPr>
                <w:rFonts w:asciiTheme="minorHAnsi" w:hAnsiTheme="minorHAnsi" w:cstheme="minorHAnsi"/>
                <w:noProof/>
                <w:sz w:val="22"/>
                <w:szCs w:val="22"/>
              </w:rPr>
              <w:t xml:space="preserve"> has predicted that they are not carrying an Rh D positive fetus)</w:t>
            </w:r>
          </w:p>
        </w:tc>
        <w:tc>
          <w:tcPr>
            <w:tcW w:w="13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3.1.1</w:t>
            </w:r>
          </w:p>
        </w:tc>
      </w:tr>
      <w:tr w:rsidR="00A5685C" w:rsidRPr="005A6BDA" w:rsidTr="003465E7">
        <w:tc>
          <w:tcPr>
            <w:tcW w:w="2865" w:type="dxa"/>
          </w:tcPr>
          <w:p w:rsidR="00A5685C" w:rsidRPr="00E575BC" w:rsidRDefault="00A5685C" w:rsidP="00241494">
            <w:pPr>
              <w:pStyle w:val="Tabletext"/>
              <w:widowControl w:val="0"/>
              <w:rPr>
                <w:rFonts w:asciiTheme="minorHAnsi" w:hAnsiTheme="minorHAnsi" w:cstheme="minorHAnsi"/>
                <w:noProof/>
                <w:sz w:val="22"/>
                <w:szCs w:val="22"/>
              </w:rPr>
            </w:pPr>
            <w:r w:rsidRPr="00E575BC">
              <w:rPr>
                <w:rFonts w:asciiTheme="minorHAnsi" w:hAnsiTheme="minorHAnsi" w:cstheme="minorHAnsi"/>
                <w:noProof/>
                <w:sz w:val="22"/>
                <w:szCs w:val="22"/>
              </w:rPr>
              <w:t>Cord blood or neonatal testing for Rh D ty</w:t>
            </w:r>
            <w:r w:rsidR="00365FE4">
              <w:rPr>
                <w:rFonts w:asciiTheme="minorHAnsi" w:hAnsiTheme="minorHAnsi" w:cstheme="minorHAnsi"/>
                <w:noProof/>
                <w:sz w:val="22"/>
                <w:szCs w:val="22"/>
              </w:rPr>
              <w:t>pe and direct antiglobulin test</w:t>
            </w:r>
          </w:p>
        </w:tc>
        <w:tc>
          <w:tcPr>
            <w:tcW w:w="290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At delivery</w:t>
            </w:r>
          </w:p>
        </w:tc>
        <w:tc>
          <w:tcPr>
            <w:tcW w:w="2798" w:type="dxa"/>
          </w:tcPr>
          <w:p w:rsidR="00A5685C" w:rsidRPr="00E575BC" w:rsidRDefault="00A5685C" w:rsidP="00241494">
            <w:pPr>
              <w:pStyle w:val="Tabletext"/>
              <w:keepNext w:val="0"/>
              <w:widowControl w:val="0"/>
              <w:rPr>
                <w:rFonts w:asciiTheme="minorHAnsi" w:hAnsiTheme="minorHAnsi" w:cstheme="minorHAnsi"/>
                <w:sz w:val="22"/>
                <w:szCs w:val="22"/>
              </w:rPr>
            </w:pPr>
            <w:r w:rsidRPr="00E575BC">
              <w:rPr>
                <w:rFonts w:asciiTheme="minorHAnsi" w:hAnsiTheme="minorHAnsi" w:cstheme="minorHAnsi"/>
                <w:noProof/>
                <w:sz w:val="22"/>
                <w:szCs w:val="22"/>
              </w:rPr>
              <w:t>All babies of Rh D negative women</w:t>
            </w:r>
          </w:p>
        </w:tc>
        <w:tc>
          <w:tcPr>
            <w:tcW w:w="13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3.3.1</w:t>
            </w:r>
          </w:p>
        </w:tc>
      </w:tr>
      <w:tr w:rsidR="00A5685C" w:rsidRPr="005A6BDA" w:rsidTr="003465E7">
        <w:tc>
          <w:tcPr>
            <w:tcW w:w="2865" w:type="dxa"/>
          </w:tcPr>
          <w:p w:rsidR="00A5685C" w:rsidRPr="00E575BC" w:rsidRDefault="00A5685C" w:rsidP="00241494">
            <w:pPr>
              <w:pStyle w:val="Tabletext"/>
              <w:keepNext w:val="0"/>
              <w:widowControl w:val="0"/>
              <w:ind w:right="39"/>
              <w:rPr>
                <w:rFonts w:asciiTheme="minorHAnsi" w:hAnsiTheme="minorHAnsi" w:cstheme="minorHAnsi"/>
                <w:noProof/>
                <w:sz w:val="22"/>
                <w:szCs w:val="22"/>
              </w:rPr>
            </w:pPr>
            <w:r w:rsidRPr="00E575BC">
              <w:rPr>
                <w:rFonts w:asciiTheme="minorHAnsi" w:hAnsiTheme="minorHAnsi" w:cstheme="minorHAnsi"/>
                <w:noProof/>
                <w:sz w:val="22"/>
                <w:szCs w:val="22"/>
              </w:rPr>
              <w:t>Follow up testing for large FMH</w:t>
            </w:r>
            <w:r w:rsidRPr="00E575BC">
              <w:rPr>
                <w:rFonts w:asciiTheme="minorHAnsi" w:hAnsiTheme="minorHAnsi" w:cstheme="minorHAnsi"/>
                <w:noProof/>
                <w:sz w:val="22"/>
                <w:szCs w:val="22"/>
                <w:vertAlign w:val="superscript"/>
              </w:rPr>
              <w:t>b</w:t>
            </w:r>
            <w:r w:rsidRPr="00E575BC">
              <w:rPr>
                <w:rFonts w:asciiTheme="minorHAnsi" w:hAnsiTheme="minorHAnsi" w:cstheme="minorHAnsi"/>
                <w:noProof/>
                <w:sz w:val="22"/>
                <w:szCs w:val="22"/>
              </w:rPr>
              <w:t xml:space="preserve"> </w:t>
            </w:r>
          </w:p>
        </w:tc>
        <w:tc>
          <w:tcPr>
            <w:tcW w:w="290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48 hours post IV Rh D immununoglobulin adminstiation (or 72 hours post IM Rh D immunoglobulin administration)</w:t>
            </w:r>
          </w:p>
        </w:tc>
        <w:tc>
          <w:tcPr>
            <w:tcW w:w="2798" w:type="dxa"/>
          </w:tcPr>
          <w:p w:rsidR="00A5685C" w:rsidRPr="00E575BC" w:rsidRDefault="00A5685C" w:rsidP="00241494">
            <w:pPr>
              <w:pStyle w:val="Tabletext"/>
              <w:keepNext w:val="0"/>
              <w:widowControl w:val="0"/>
              <w:rPr>
                <w:rFonts w:asciiTheme="minorHAnsi" w:hAnsiTheme="minorHAnsi" w:cstheme="minorHAnsi"/>
                <w:i/>
                <w:noProof/>
                <w:sz w:val="22"/>
                <w:szCs w:val="22"/>
              </w:rPr>
            </w:pPr>
            <w:r w:rsidRPr="00E575BC">
              <w:rPr>
                <w:rFonts w:asciiTheme="minorHAnsi" w:hAnsiTheme="minorHAnsi" w:cstheme="minorHAnsi"/>
                <w:noProof/>
                <w:sz w:val="22"/>
                <w:szCs w:val="22"/>
              </w:rPr>
              <w:t xml:space="preserve">Rh D negative women following FMH </w:t>
            </w:r>
            <w:r w:rsidRPr="00E575BC">
              <w:rPr>
                <w:rFonts w:asciiTheme="minorHAnsi" w:eastAsiaTheme="minorHAnsi" w:hAnsiTheme="minorHAnsi" w:cstheme="minorHAnsi"/>
                <w:noProof/>
                <w:sz w:val="22"/>
                <w:szCs w:val="22"/>
              </w:rPr>
              <w:t xml:space="preserve">≥ </w:t>
            </w:r>
            <w:r w:rsidRPr="00E575BC">
              <w:rPr>
                <w:rFonts w:asciiTheme="minorHAnsi" w:hAnsiTheme="minorHAnsi" w:cstheme="minorHAnsi"/>
                <w:noProof/>
                <w:sz w:val="22"/>
                <w:szCs w:val="22"/>
              </w:rPr>
              <w:t xml:space="preserve">6 mL of fetal red cells </w:t>
            </w:r>
            <w:r w:rsidRPr="00E575BC">
              <w:rPr>
                <w:sz w:val="22"/>
                <w:szCs w:val="22"/>
              </w:rPr>
              <w:t>(equivalent to 12 mL of whole fetal blood)</w:t>
            </w:r>
          </w:p>
        </w:tc>
        <w:tc>
          <w:tcPr>
            <w:tcW w:w="13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3.5.1</w:t>
            </w:r>
          </w:p>
        </w:tc>
      </w:tr>
    </w:tbl>
    <w:p w:rsidR="001D0DEE" w:rsidRPr="00060586" w:rsidRDefault="001D0DEE" w:rsidP="00B70176">
      <w:pPr>
        <w:pStyle w:val="Tablefignotes"/>
        <w:spacing w:before="80" w:after="0"/>
        <w:ind w:left="0"/>
        <w:rPr>
          <w:rFonts w:asciiTheme="minorHAnsi" w:hAnsiTheme="minorHAnsi" w:cstheme="minorHAnsi"/>
          <w:i/>
          <w:noProof/>
          <w:color w:val="auto"/>
          <w:sz w:val="18"/>
          <w:szCs w:val="18"/>
        </w:rPr>
      </w:pPr>
      <w:r w:rsidRPr="00060586">
        <w:rPr>
          <w:rFonts w:asciiTheme="minorHAnsi" w:hAnsiTheme="minorHAnsi" w:cstheme="minorHAnsi"/>
          <w:noProof/>
          <w:color w:val="auto"/>
          <w:sz w:val="18"/>
          <w:szCs w:val="18"/>
        </w:rPr>
        <w:t>FMH: fetomaternal haemorrhage</w:t>
      </w:r>
      <w:r w:rsidR="00060586">
        <w:rPr>
          <w:rFonts w:asciiTheme="minorHAnsi" w:hAnsiTheme="minorHAnsi" w:cstheme="minorHAnsi"/>
          <w:noProof/>
          <w:color w:val="auto"/>
          <w:sz w:val="18"/>
          <w:szCs w:val="18"/>
        </w:rPr>
        <w:t>,</w:t>
      </w:r>
      <w:r w:rsidRPr="00060586">
        <w:rPr>
          <w:rFonts w:asciiTheme="minorHAnsi" w:hAnsiTheme="minorHAnsi" w:cstheme="minorHAnsi"/>
          <w:noProof/>
          <w:color w:val="auto"/>
          <w:sz w:val="18"/>
          <w:szCs w:val="18"/>
        </w:rPr>
        <w:t xml:space="preserve"> IM: intramuscular</w:t>
      </w:r>
      <w:r w:rsidR="00060586">
        <w:rPr>
          <w:rFonts w:asciiTheme="minorHAnsi" w:hAnsiTheme="minorHAnsi" w:cstheme="minorHAnsi"/>
          <w:noProof/>
          <w:color w:val="auto"/>
          <w:sz w:val="18"/>
          <w:szCs w:val="18"/>
        </w:rPr>
        <w:t>,</w:t>
      </w:r>
      <w:r w:rsidRPr="00060586">
        <w:rPr>
          <w:rFonts w:asciiTheme="minorHAnsi" w:hAnsiTheme="minorHAnsi" w:cstheme="minorHAnsi"/>
          <w:noProof/>
          <w:color w:val="auto"/>
          <w:sz w:val="18"/>
          <w:szCs w:val="18"/>
        </w:rPr>
        <w:t xml:space="preserve"> IV: intravenous</w:t>
      </w:r>
      <w:r w:rsidR="00060586">
        <w:rPr>
          <w:rFonts w:asciiTheme="minorHAnsi" w:hAnsiTheme="minorHAnsi" w:cstheme="minorHAnsi"/>
          <w:noProof/>
          <w:color w:val="auto"/>
          <w:sz w:val="18"/>
          <w:szCs w:val="18"/>
        </w:rPr>
        <w:t>,</w:t>
      </w:r>
      <w:r w:rsidRPr="00060586">
        <w:rPr>
          <w:rFonts w:asciiTheme="minorHAnsi" w:hAnsiTheme="minorHAnsi" w:cstheme="minorHAnsi"/>
          <w:noProof/>
          <w:color w:val="auto"/>
          <w:sz w:val="18"/>
          <w:szCs w:val="18"/>
        </w:rPr>
        <w:t xml:space="preserve"> NIPT: non-invasive prenatal testing </w:t>
      </w:r>
    </w:p>
    <w:p w:rsidR="001D0DEE" w:rsidRPr="00060586" w:rsidRDefault="001D0DEE" w:rsidP="001D0DEE">
      <w:pPr>
        <w:pStyle w:val="Tablefignotes"/>
        <w:spacing w:before="80" w:after="0"/>
        <w:ind w:left="0"/>
        <w:rPr>
          <w:rFonts w:asciiTheme="minorHAnsi" w:eastAsiaTheme="minorHAnsi" w:hAnsiTheme="minorHAnsi" w:cstheme="minorHAnsi"/>
          <w:color w:val="000000"/>
          <w:sz w:val="18"/>
          <w:szCs w:val="18"/>
        </w:rPr>
      </w:pPr>
      <w:r w:rsidRPr="00060586">
        <w:rPr>
          <w:rFonts w:asciiTheme="minorHAnsi" w:eastAsiaTheme="minorHAnsi" w:hAnsiTheme="minorHAnsi" w:cstheme="minorHAnsi"/>
          <w:color w:val="000000"/>
          <w:sz w:val="18"/>
          <w:szCs w:val="18"/>
        </w:rPr>
        <w:t>anti-D - refers to circulating antibodies</w:t>
      </w:r>
      <w:r w:rsidR="00060586">
        <w:rPr>
          <w:rFonts w:asciiTheme="minorHAnsi" w:eastAsiaTheme="minorHAnsi" w:hAnsiTheme="minorHAnsi" w:cstheme="minorHAnsi"/>
          <w:color w:val="000000"/>
          <w:sz w:val="18"/>
          <w:szCs w:val="18"/>
        </w:rPr>
        <w:t>,</w:t>
      </w:r>
      <w:r w:rsidRPr="00060586">
        <w:rPr>
          <w:rFonts w:asciiTheme="minorHAnsi" w:eastAsiaTheme="minorHAnsi" w:hAnsiTheme="minorHAnsi" w:cstheme="minorHAnsi"/>
          <w:color w:val="000000"/>
          <w:sz w:val="18"/>
          <w:szCs w:val="18"/>
        </w:rPr>
        <w:t xml:space="preserve"> </w:t>
      </w:r>
      <w:r w:rsidRPr="00060586">
        <w:rPr>
          <w:rFonts w:asciiTheme="minorHAnsi" w:eastAsiaTheme="minorHAnsi" w:hAnsiTheme="minorHAnsi" w:cstheme="minorHAnsi"/>
          <w:i/>
          <w:iCs/>
          <w:color w:val="000000"/>
          <w:sz w:val="18"/>
          <w:szCs w:val="18"/>
        </w:rPr>
        <w:t>RHD -</w:t>
      </w:r>
      <w:r w:rsidR="00060586">
        <w:rPr>
          <w:rFonts w:asciiTheme="minorHAnsi" w:eastAsiaTheme="minorHAnsi" w:hAnsiTheme="minorHAnsi" w:cstheme="minorHAnsi"/>
          <w:color w:val="000000"/>
          <w:sz w:val="18"/>
          <w:szCs w:val="18"/>
        </w:rPr>
        <w:t xml:space="preserve"> refers to genotype,</w:t>
      </w:r>
      <w:r w:rsidRPr="00060586">
        <w:rPr>
          <w:rFonts w:asciiTheme="minorHAnsi" w:eastAsiaTheme="minorHAnsi" w:hAnsiTheme="minorHAnsi" w:cstheme="minorHAnsi"/>
          <w:color w:val="000000"/>
          <w:sz w:val="18"/>
          <w:szCs w:val="18"/>
        </w:rPr>
        <w:t xml:space="preserve"> Rh D immunoglobulin - refers to the product</w:t>
      </w:r>
      <w:r w:rsidR="00060586">
        <w:rPr>
          <w:rFonts w:asciiTheme="minorHAnsi" w:eastAsiaTheme="minorHAnsi" w:hAnsiTheme="minorHAnsi" w:cstheme="minorHAnsi"/>
          <w:color w:val="000000"/>
          <w:sz w:val="18"/>
          <w:szCs w:val="18"/>
        </w:rPr>
        <w:t>,</w:t>
      </w:r>
      <w:r w:rsidRPr="00060586">
        <w:rPr>
          <w:rFonts w:asciiTheme="minorHAnsi" w:eastAsiaTheme="minorHAnsi" w:hAnsiTheme="minorHAnsi" w:cstheme="minorHAnsi"/>
          <w:color w:val="000000"/>
          <w:sz w:val="18"/>
          <w:szCs w:val="18"/>
        </w:rPr>
        <w:t xml:space="preserve"> Rh D positive/negative - refers to blood type.</w:t>
      </w:r>
    </w:p>
    <w:p w:rsidR="00A5685C" w:rsidRPr="001D0DEE" w:rsidRDefault="001D0DEE" w:rsidP="001D0DEE">
      <w:pPr>
        <w:pStyle w:val="Tablefignotes"/>
        <w:spacing w:before="80" w:after="0"/>
        <w:ind w:left="0"/>
        <w:rPr>
          <w:color w:val="auto"/>
          <w:lang w:val="en-US" w:eastAsia="ja-JP"/>
        </w:rPr>
      </w:pPr>
      <w:r w:rsidRPr="00060586">
        <w:rPr>
          <w:rFonts w:asciiTheme="minorHAnsi" w:hAnsiTheme="minorHAnsi" w:cstheme="minorHAnsi"/>
          <w:noProof/>
          <w:color w:val="auto"/>
          <w:sz w:val="18"/>
          <w:szCs w:val="18"/>
          <w:vertAlign w:val="superscript"/>
        </w:rPr>
        <w:t>a,b</w:t>
      </w:r>
      <w:r w:rsidRPr="00060586">
        <w:rPr>
          <w:rFonts w:asciiTheme="minorHAnsi" w:hAnsiTheme="minorHAnsi" w:cstheme="minorHAnsi"/>
          <w:noProof/>
          <w:color w:val="auto"/>
          <w:sz w:val="18"/>
          <w:szCs w:val="18"/>
        </w:rPr>
        <w:t xml:space="preserve"> The magnitude of FMH should be assessed by a method capable of quantifying a haemorrhage of ≥6 mL of fetal red cells (equivalent to 12 mL of whole blood). Flow cytometry is accepted as the most accurate quantitative test for FMH and is the method of choice for quantitation if readily available (Refer to EOP11).</w:t>
      </w:r>
      <w:r w:rsidR="00A5685C" w:rsidRPr="00060586">
        <w:rPr>
          <w:rFonts w:asciiTheme="minorHAnsi" w:hAnsiTheme="minorHAnsi" w:cstheme="minorHAnsi"/>
          <w:noProof/>
          <w:sz w:val="18"/>
          <w:szCs w:val="18"/>
        </w:rPr>
        <w:t>quantitatio</w:t>
      </w:r>
      <w:r w:rsidR="00A5685C" w:rsidRPr="00F8017B">
        <w:rPr>
          <w:noProof/>
        </w:rPr>
        <w:t>n if readily available</w:t>
      </w:r>
      <w:r w:rsidR="00A5685C">
        <w:rPr>
          <w:noProof/>
        </w:rPr>
        <w:t xml:space="preserve"> (Refer to EOP11)</w:t>
      </w:r>
      <w:r w:rsidR="00A5685C" w:rsidRPr="00F8017B">
        <w:rPr>
          <w:noProof/>
        </w:rPr>
        <w:t>.</w:t>
      </w:r>
    </w:p>
    <w:p w:rsidR="00A5685C" w:rsidRDefault="00A5685C" w:rsidP="00A5685C">
      <w:pPr>
        <w:spacing w:line="276" w:lineRule="auto"/>
        <w:rPr>
          <w:sz w:val="16"/>
          <w:szCs w:val="16"/>
          <w:lang w:val="en-US" w:eastAsia="ja-JP"/>
        </w:rPr>
      </w:pPr>
      <w:r>
        <w:rPr>
          <w:sz w:val="16"/>
          <w:szCs w:val="16"/>
          <w:lang w:val="en-US" w:eastAsia="ja-JP"/>
        </w:rPr>
        <w:br w:type="page"/>
      </w:r>
    </w:p>
    <w:p w:rsidR="00A5685C" w:rsidRPr="009F4403" w:rsidRDefault="00A5685C" w:rsidP="003465E7">
      <w:pPr>
        <w:pStyle w:val="Heading2"/>
        <w:rPr>
          <w:noProof/>
        </w:rPr>
      </w:pPr>
      <w:bookmarkStart w:id="3" w:name="_Toc46496122"/>
      <w:r w:rsidRPr="009F4403">
        <w:rPr>
          <w:noProof/>
        </w:rPr>
        <w:lastRenderedPageBreak/>
        <w:t>Summary of clinical guidance on the use and timing of Rh D immunoglobulin</w:t>
      </w:r>
      <w:bookmarkEnd w:id="3"/>
    </w:p>
    <w:tbl>
      <w:tblPr>
        <w:tblStyle w:val="TableGrid"/>
        <w:tblW w:w="5159" w:type="pct"/>
        <w:tblInd w:w="-5" w:type="dxa"/>
        <w:tblLayout w:type="fixed"/>
        <w:tblLook w:val="04A0" w:firstRow="1" w:lastRow="0" w:firstColumn="1" w:lastColumn="0" w:noHBand="0" w:noVBand="1"/>
      </w:tblPr>
      <w:tblGrid>
        <w:gridCol w:w="2112"/>
        <w:gridCol w:w="2411"/>
        <w:gridCol w:w="4454"/>
        <w:gridCol w:w="1250"/>
      </w:tblGrid>
      <w:tr w:rsidR="00E575BC" w:rsidRPr="00E575BC" w:rsidTr="003A3E01">
        <w:trPr>
          <w:trHeight w:val="441"/>
          <w:tblHeader/>
        </w:trPr>
        <w:tc>
          <w:tcPr>
            <w:tcW w:w="2159"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Clinical indication</w:t>
            </w:r>
          </w:p>
        </w:tc>
        <w:tc>
          <w:tcPr>
            <w:tcW w:w="2466"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Rh D immunoglobulin dose and timing</w:t>
            </w:r>
          </w:p>
        </w:tc>
        <w:tc>
          <w:tcPr>
            <w:tcW w:w="4560"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Target group</w:t>
            </w:r>
          </w:p>
        </w:tc>
        <w:tc>
          <w:tcPr>
            <w:tcW w:w="1276" w:type="dxa"/>
            <w:tcBorders>
              <w:bottom w:val="single" w:sz="4" w:space="0" w:color="auto"/>
            </w:tcBorders>
            <w:shd w:val="clear" w:color="auto" w:fill="336A89"/>
          </w:tcPr>
          <w:p w:rsidR="00A5685C" w:rsidRPr="00E575BC"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E575BC">
              <w:rPr>
                <w:rFonts w:asciiTheme="minorHAnsi" w:hAnsiTheme="minorHAnsi" w:cstheme="minorHAnsi"/>
                <w:b/>
                <w:noProof/>
                <w:color w:val="FFFFFF" w:themeColor="background1"/>
                <w:szCs w:val="22"/>
              </w:rPr>
              <w:t xml:space="preserve">Relevant section of </w:t>
            </w:r>
            <w:r w:rsidR="00E575BC">
              <w:rPr>
                <w:rFonts w:asciiTheme="minorHAnsi" w:hAnsiTheme="minorHAnsi" w:cstheme="minorHAnsi"/>
                <w:b/>
                <w:noProof/>
                <w:color w:val="FFFFFF" w:themeColor="background1"/>
                <w:szCs w:val="22"/>
              </w:rPr>
              <w:t>Guideline</w:t>
            </w:r>
          </w:p>
        </w:tc>
      </w:tr>
      <w:tr w:rsidR="00A5685C" w:rsidRPr="005A6BDA" w:rsidTr="003A3E01">
        <w:tc>
          <w:tcPr>
            <w:tcW w:w="9185" w:type="dxa"/>
            <w:gridSpan w:val="3"/>
            <w:shd w:val="clear" w:color="auto" w:fill="D2E4EE"/>
          </w:tcPr>
          <w:p w:rsidR="00A5685C" w:rsidRPr="00E575BC" w:rsidRDefault="00A5685C" w:rsidP="00241494">
            <w:pPr>
              <w:pStyle w:val="Tabletext"/>
              <w:keepNext w:val="0"/>
              <w:widowControl w:val="0"/>
              <w:rPr>
                <w:rFonts w:asciiTheme="minorHAnsi" w:hAnsiTheme="minorHAnsi" w:cstheme="minorHAnsi"/>
                <w:b/>
                <w:bCs/>
                <w:noProof/>
                <w:sz w:val="22"/>
                <w:szCs w:val="22"/>
              </w:rPr>
            </w:pPr>
            <w:r w:rsidRPr="00E575BC">
              <w:rPr>
                <w:rFonts w:asciiTheme="minorHAnsi" w:hAnsiTheme="minorHAnsi" w:cstheme="minorHAnsi"/>
                <w:b/>
                <w:bCs/>
                <w:noProof/>
                <w:sz w:val="22"/>
                <w:szCs w:val="22"/>
              </w:rPr>
              <w:t>Routine immunoprophylaxis</w:t>
            </w:r>
          </w:p>
        </w:tc>
        <w:tc>
          <w:tcPr>
            <w:tcW w:w="1276" w:type="dxa"/>
            <w:shd w:val="clear" w:color="auto" w:fill="D2E4EE"/>
          </w:tcPr>
          <w:p w:rsidR="00A5685C" w:rsidRPr="00E575BC" w:rsidRDefault="00A5685C" w:rsidP="00241494">
            <w:pPr>
              <w:pStyle w:val="Tabletext"/>
              <w:keepNext w:val="0"/>
              <w:widowControl w:val="0"/>
              <w:rPr>
                <w:rFonts w:asciiTheme="minorHAnsi" w:hAnsiTheme="minorHAnsi" w:cstheme="minorHAnsi"/>
                <w:b/>
                <w:bCs/>
                <w:noProof/>
                <w:sz w:val="22"/>
                <w:szCs w:val="22"/>
              </w:rPr>
            </w:pPr>
          </w:p>
        </w:tc>
      </w:tr>
      <w:tr w:rsidR="00A5685C" w:rsidRPr="005A6BDA" w:rsidTr="003A3E01">
        <w:trPr>
          <w:trHeight w:val="829"/>
        </w:trPr>
        <w:tc>
          <w:tcPr>
            <w:tcW w:w="2159" w:type="dxa"/>
          </w:tcPr>
          <w:p w:rsidR="00A5685C" w:rsidRPr="00E575BC" w:rsidRDefault="00A5685C" w:rsidP="00241494">
            <w:pPr>
              <w:pStyle w:val="Tabletext"/>
              <w:keepNext w:val="0"/>
              <w:widowControl w:val="0"/>
              <w:rPr>
                <w:rFonts w:asciiTheme="minorHAnsi" w:hAnsiTheme="minorHAnsi" w:cstheme="minorHAnsi"/>
                <w:b/>
                <w:noProof/>
                <w:color w:val="FFFFFF" w:themeColor="background1"/>
                <w:sz w:val="22"/>
                <w:szCs w:val="22"/>
              </w:rPr>
            </w:pPr>
            <w:r w:rsidRPr="00E575BC">
              <w:rPr>
                <w:rFonts w:asciiTheme="minorHAnsi" w:hAnsiTheme="minorHAnsi" w:cstheme="minorHAnsi"/>
                <w:noProof/>
                <w:sz w:val="22"/>
                <w:szCs w:val="22"/>
              </w:rPr>
              <w:t xml:space="preserve">Routine antenatal </w:t>
            </w:r>
            <w:r w:rsidRPr="00E575BC">
              <w:rPr>
                <w:rFonts w:asciiTheme="minorHAnsi" w:hAnsiTheme="minorHAnsi" w:cstheme="minorHAnsi"/>
                <w:sz w:val="22"/>
                <w:szCs w:val="22"/>
              </w:rPr>
              <w:t>immunoprophylaxis</w:t>
            </w:r>
          </w:p>
        </w:tc>
        <w:tc>
          <w:tcPr>
            <w:tcW w:w="2466"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625 IU</w:t>
            </w:r>
          </w:p>
          <w:p w:rsidR="00A5685C" w:rsidRPr="00E575BC" w:rsidRDefault="00A5685C" w:rsidP="00E575BC">
            <w:pPr>
              <w:pStyle w:val="Tabletext"/>
              <w:rPr>
                <w:b/>
                <w:noProof/>
                <w:color w:val="FFFFFF" w:themeColor="background1"/>
                <w:sz w:val="22"/>
                <w:szCs w:val="22"/>
              </w:rPr>
            </w:pPr>
            <w:r w:rsidRPr="00E575BC">
              <w:rPr>
                <w:noProof/>
                <w:sz w:val="22"/>
                <w:szCs w:val="22"/>
              </w:rPr>
              <w:t xml:space="preserve">At 28 and 34 weeks of </w:t>
            </w:r>
            <w:r w:rsidRPr="00E575BC">
              <w:rPr>
                <w:sz w:val="22"/>
                <w:szCs w:val="22"/>
              </w:rPr>
              <w:t>pregnancy</w:t>
            </w:r>
          </w:p>
        </w:tc>
        <w:tc>
          <w:tcPr>
            <w:tcW w:w="4560" w:type="dxa"/>
          </w:tcPr>
          <w:p w:rsidR="00A5685C" w:rsidRPr="00E575BC" w:rsidRDefault="00A5685C" w:rsidP="00241494">
            <w:pPr>
              <w:pStyle w:val="Tabletext"/>
              <w:keepNext w:val="0"/>
              <w:widowControl w:val="0"/>
              <w:rPr>
                <w:rFonts w:asciiTheme="minorHAnsi" w:hAnsiTheme="minorHAnsi" w:cstheme="minorHAnsi"/>
                <w:b/>
                <w:noProof/>
                <w:color w:val="FFFFFF" w:themeColor="background1"/>
                <w:sz w:val="22"/>
                <w:szCs w:val="22"/>
              </w:rPr>
            </w:pPr>
            <w:r w:rsidRPr="00E575BC">
              <w:rPr>
                <w:rFonts w:asciiTheme="minorHAnsi" w:hAnsiTheme="minorHAnsi" w:cstheme="minorHAnsi"/>
                <w:noProof/>
                <w:sz w:val="22"/>
                <w:szCs w:val="22"/>
              </w:rPr>
              <w:t xml:space="preserve">Rh D negative pregnant women with no preformed anti-D antibodies (unless NIPT for fetal </w:t>
            </w:r>
            <w:r w:rsidRPr="00E575BC">
              <w:rPr>
                <w:rFonts w:asciiTheme="minorHAnsi" w:hAnsiTheme="minorHAnsi" w:cstheme="minorHAnsi"/>
                <w:i/>
                <w:noProof/>
                <w:sz w:val="22"/>
                <w:szCs w:val="22"/>
              </w:rPr>
              <w:t>RHD</w:t>
            </w:r>
            <w:r w:rsidRPr="00E575BC">
              <w:rPr>
                <w:rFonts w:asciiTheme="minorHAnsi" w:hAnsiTheme="minorHAnsi" w:cstheme="minorHAnsi"/>
                <w:noProof/>
                <w:sz w:val="22"/>
                <w:szCs w:val="22"/>
              </w:rPr>
              <w:t xml:space="preserve"> has predicted that they are not carrying an Rh D positive fetus) </w:t>
            </w:r>
          </w:p>
        </w:tc>
        <w:tc>
          <w:tcPr>
            <w:tcW w:w="1276"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3.1.1</w:t>
            </w:r>
          </w:p>
        </w:tc>
      </w:tr>
      <w:tr w:rsidR="00A5685C" w:rsidRPr="005A6BDA" w:rsidTr="003A3E01">
        <w:trPr>
          <w:trHeight w:val="93"/>
        </w:trPr>
        <w:tc>
          <w:tcPr>
            <w:tcW w:w="2159"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 xml:space="preserve">Routine postnatal </w:t>
            </w:r>
            <w:r w:rsidRPr="00E575BC">
              <w:rPr>
                <w:rFonts w:asciiTheme="minorHAnsi" w:hAnsiTheme="minorHAnsi" w:cstheme="minorHAnsi"/>
                <w:sz w:val="22"/>
                <w:szCs w:val="22"/>
              </w:rPr>
              <w:t>immunoprophylaxis</w:t>
            </w:r>
          </w:p>
        </w:tc>
        <w:tc>
          <w:tcPr>
            <w:tcW w:w="2466"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625 IU</w:t>
            </w:r>
          </w:p>
          <w:p w:rsidR="00A5685C" w:rsidRPr="00E575BC" w:rsidRDefault="00A5685C" w:rsidP="00E575BC">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After giving birth</w:t>
            </w:r>
          </w:p>
        </w:tc>
        <w:tc>
          <w:tcPr>
            <w:tcW w:w="4560"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All Rh D negative women with no preformed anti-D antibodies after giving birth to an Rh D positive baby (based on cord blood or neonatal Rh D typing</w:t>
            </w:r>
            <w:r w:rsidRPr="00E575BC">
              <w:rPr>
                <w:rFonts w:asciiTheme="minorHAnsi" w:hAnsiTheme="minorHAnsi" w:cstheme="minorHAnsi"/>
                <w:noProof/>
                <w:sz w:val="22"/>
                <w:szCs w:val="22"/>
                <w:vertAlign w:val="superscript"/>
              </w:rPr>
              <w:t>a</w:t>
            </w:r>
            <w:r w:rsidRPr="00E575BC">
              <w:rPr>
                <w:rFonts w:asciiTheme="minorHAnsi" w:hAnsiTheme="minorHAnsi" w:cstheme="minorHAnsi"/>
                <w:noProof/>
                <w:sz w:val="22"/>
                <w:szCs w:val="22"/>
              </w:rPr>
              <w:t>). If the baby is Rh D postive, administer Rh D immunoglobulin even if the NIPT predicted an Rh D negative baby</w:t>
            </w:r>
          </w:p>
          <w:p w:rsidR="00A5685C" w:rsidRPr="00980B7F" w:rsidRDefault="00A5685C" w:rsidP="00241494">
            <w:pPr>
              <w:pStyle w:val="Tabletext"/>
              <w:keepNext w:val="0"/>
              <w:widowControl w:val="0"/>
              <w:spacing w:before="60"/>
              <w:rPr>
                <w:rFonts w:asciiTheme="minorHAnsi" w:hAnsiTheme="minorHAnsi" w:cstheme="minorHAnsi"/>
                <w:noProof/>
                <w:sz w:val="14"/>
                <w:szCs w:val="14"/>
              </w:rPr>
            </w:pPr>
            <w:r w:rsidRPr="00980B7F">
              <w:rPr>
                <w:rFonts w:asciiTheme="minorHAnsi" w:hAnsiTheme="minorHAnsi" w:cstheme="minorHAnsi"/>
                <w:noProof/>
                <w:sz w:val="14"/>
                <w:szCs w:val="14"/>
                <w:vertAlign w:val="superscript"/>
              </w:rPr>
              <w:t>a</w:t>
            </w:r>
            <w:r w:rsidRPr="00980B7F">
              <w:rPr>
                <w:rFonts w:asciiTheme="minorHAnsi" w:hAnsiTheme="minorHAnsi" w:cstheme="minorHAnsi"/>
                <w:noProof/>
                <w:sz w:val="14"/>
                <w:szCs w:val="14"/>
              </w:rPr>
              <w:t xml:space="preserve"> Cord</w:t>
            </w:r>
            <w:r>
              <w:rPr>
                <w:rFonts w:asciiTheme="minorHAnsi" w:hAnsiTheme="minorHAnsi" w:cstheme="minorHAnsi"/>
                <w:noProof/>
                <w:sz w:val="14"/>
                <w:szCs w:val="14"/>
              </w:rPr>
              <w:t xml:space="preserve"> </w:t>
            </w:r>
            <w:r w:rsidRPr="00980B7F">
              <w:rPr>
                <w:rFonts w:asciiTheme="minorHAnsi" w:hAnsiTheme="minorHAnsi" w:cstheme="minorHAnsi"/>
                <w:noProof/>
                <w:sz w:val="14"/>
                <w:szCs w:val="14"/>
              </w:rPr>
              <w:t>blood or</w:t>
            </w:r>
            <w:r>
              <w:rPr>
                <w:rFonts w:asciiTheme="minorHAnsi" w:hAnsiTheme="minorHAnsi" w:cstheme="minorHAnsi"/>
                <w:noProof/>
                <w:sz w:val="14"/>
                <w:szCs w:val="14"/>
              </w:rPr>
              <w:t xml:space="preserve"> neonatal testing </w:t>
            </w:r>
            <w:r w:rsidRPr="00980B7F">
              <w:rPr>
                <w:rFonts w:asciiTheme="minorHAnsi" w:hAnsiTheme="minorHAnsi" w:cstheme="minorHAnsi"/>
                <w:noProof/>
                <w:sz w:val="14"/>
                <w:szCs w:val="14"/>
              </w:rPr>
              <w:t>should be p</w:t>
            </w:r>
            <w:r>
              <w:rPr>
                <w:rFonts w:asciiTheme="minorHAnsi" w:hAnsiTheme="minorHAnsi" w:cstheme="minorHAnsi"/>
                <w:noProof/>
                <w:sz w:val="14"/>
                <w:szCs w:val="14"/>
              </w:rPr>
              <w:t>er</w:t>
            </w:r>
            <w:r w:rsidRPr="00980B7F">
              <w:rPr>
                <w:rFonts w:asciiTheme="minorHAnsi" w:hAnsiTheme="minorHAnsi" w:cstheme="minorHAnsi"/>
                <w:noProof/>
                <w:sz w:val="14"/>
                <w:szCs w:val="14"/>
              </w:rPr>
              <w:t xml:space="preserve">formed regardless of NIPT results </w:t>
            </w:r>
            <w:r>
              <w:rPr>
                <w:rFonts w:asciiTheme="minorHAnsi" w:hAnsiTheme="minorHAnsi" w:cstheme="minorHAnsi"/>
                <w:noProof/>
                <w:sz w:val="14"/>
                <w:szCs w:val="14"/>
              </w:rPr>
              <w:t xml:space="preserve">for fetal </w:t>
            </w:r>
            <w:r w:rsidRPr="00672B48">
              <w:rPr>
                <w:rFonts w:asciiTheme="minorHAnsi" w:hAnsiTheme="minorHAnsi" w:cstheme="minorHAnsi"/>
                <w:i/>
                <w:noProof/>
                <w:sz w:val="14"/>
                <w:szCs w:val="14"/>
              </w:rPr>
              <w:t>RHD</w:t>
            </w:r>
            <w:r>
              <w:rPr>
                <w:rFonts w:asciiTheme="minorHAnsi" w:hAnsiTheme="minorHAnsi" w:cstheme="minorHAnsi"/>
                <w:i/>
                <w:noProof/>
                <w:sz w:val="14"/>
                <w:szCs w:val="14"/>
              </w:rPr>
              <w:t>.</w:t>
            </w:r>
          </w:p>
        </w:tc>
        <w:tc>
          <w:tcPr>
            <w:tcW w:w="1276" w:type="dxa"/>
          </w:tcPr>
          <w:p w:rsidR="00A5685C" w:rsidRPr="00E575BC" w:rsidRDefault="00A5685C" w:rsidP="00241494">
            <w:pPr>
              <w:pStyle w:val="Tabletext"/>
              <w:keepNext w:val="0"/>
              <w:widowControl w:val="0"/>
              <w:rPr>
                <w:rFonts w:asciiTheme="minorHAnsi" w:hAnsiTheme="minorHAnsi" w:cstheme="minorHAnsi"/>
                <w:noProof/>
                <w:sz w:val="22"/>
                <w:szCs w:val="22"/>
              </w:rPr>
            </w:pPr>
            <w:r w:rsidRPr="00E575BC">
              <w:rPr>
                <w:rFonts w:asciiTheme="minorHAnsi" w:hAnsiTheme="minorHAnsi" w:cstheme="minorHAnsi"/>
                <w:noProof/>
                <w:sz w:val="22"/>
                <w:szCs w:val="22"/>
              </w:rPr>
              <w:t>3.3.1</w:t>
            </w:r>
          </w:p>
        </w:tc>
      </w:tr>
    </w:tbl>
    <w:p w:rsidR="00E575BC" w:rsidRPr="00674FBC" w:rsidRDefault="00E575BC" w:rsidP="007C2438">
      <w:pPr>
        <w:pStyle w:val="Tablefignotes"/>
        <w:spacing w:before="120"/>
        <w:ind w:left="0"/>
        <w:rPr>
          <w:color w:val="auto"/>
          <w:sz w:val="18"/>
          <w:szCs w:val="18"/>
        </w:rPr>
      </w:pPr>
      <w:r w:rsidRPr="00674FBC">
        <w:rPr>
          <w:noProof/>
          <w:color w:val="auto"/>
          <w:sz w:val="18"/>
          <w:szCs w:val="18"/>
        </w:rPr>
        <w:t>FMH: fetomaternal haemorrhage</w:t>
      </w:r>
      <w:r w:rsidR="0028747C">
        <w:rPr>
          <w:noProof/>
          <w:color w:val="auto"/>
          <w:sz w:val="18"/>
          <w:szCs w:val="18"/>
        </w:rPr>
        <w:t>,</w:t>
      </w:r>
      <w:r w:rsidRPr="00674FBC">
        <w:rPr>
          <w:noProof/>
          <w:color w:val="auto"/>
          <w:sz w:val="18"/>
          <w:szCs w:val="18"/>
        </w:rPr>
        <w:t xml:space="preserve"> IM: intramuscular</w:t>
      </w:r>
      <w:r w:rsidR="0028747C">
        <w:rPr>
          <w:noProof/>
          <w:color w:val="auto"/>
          <w:sz w:val="18"/>
          <w:szCs w:val="18"/>
        </w:rPr>
        <w:t>,</w:t>
      </w:r>
      <w:r w:rsidRPr="00674FBC">
        <w:rPr>
          <w:noProof/>
          <w:color w:val="auto"/>
          <w:sz w:val="18"/>
          <w:szCs w:val="18"/>
        </w:rPr>
        <w:t xml:space="preserve"> </w:t>
      </w:r>
      <w:r w:rsidR="007C2438" w:rsidRPr="00674FBC">
        <w:rPr>
          <w:noProof/>
          <w:color w:val="auto"/>
          <w:sz w:val="18"/>
          <w:szCs w:val="18"/>
        </w:rPr>
        <w:t>IU: international units</w:t>
      </w:r>
      <w:r w:rsidR="0028747C">
        <w:rPr>
          <w:noProof/>
          <w:color w:val="auto"/>
          <w:sz w:val="18"/>
          <w:szCs w:val="18"/>
        </w:rPr>
        <w:t>,</w:t>
      </w:r>
      <w:r w:rsidR="007C2438" w:rsidRPr="00674FBC">
        <w:rPr>
          <w:noProof/>
          <w:color w:val="auto"/>
          <w:sz w:val="18"/>
          <w:szCs w:val="18"/>
        </w:rPr>
        <w:t xml:space="preserve"> </w:t>
      </w:r>
      <w:r w:rsidRPr="00674FBC">
        <w:rPr>
          <w:noProof/>
          <w:color w:val="auto"/>
          <w:sz w:val="18"/>
          <w:szCs w:val="18"/>
        </w:rPr>
        <w:t>NIPT: non-invasive prenatal testing</w:t>
      </w:r>
      <w:r w:rsidRPr="00674FBC">
        <w:rPr>
          <w:color w:val="auto"/>
          <w:sz w:val="18"/>
          <w:szCs w:val="18"/>
        </w:rPr>
        <w:t xml:space="preserve"> </w:t>
      </w:r>
    </w:p>
    <w:p w:rsidR="007C2438" w:rsidRPr="00674FBC" w:rsidRDefault="007C2438" w:rsidP="007C2438">
      <w:pPr>
        <w:pStyle w:val="Tablefignotes"/>
        <w:spacing w:before="80" w:after="0"/>
        <w:ind w:left="0"/>
        <w:rPr>
          <w:rFonts w:ascii="Corbel" w:eastAsiaTheme="minorHAnsi" w:hAnsi="Corbel" w:cs="Corbel"/>
          <w:color w:val="000000"/>
          <w:sz w:val="18"/>
          <w:szCs w:val="18"/>
        </w:rPr>
      </w:pPr>
      <w:r w:rsidRPr="00674FBC">
        <w:rPr>
          <w:rFonts w:ascii="Corbel" w:eastAsiaTheme="minorHAnsi" w:hAnsi="Corbel" w:cs="Corbel"/>
          <w:color w:val="000000"/>
          <w:sz w:val="18"/>
          <w:szCs w:val="18"/>
        </w:rPr>
        <w:t>anti-D - refers to circulating antibodies</w:t>
      </w:r>
      <w:r w:rsidR="0028747C">
        <w:rPr>
          <w:rFonts w:ascii="Corbel" w:eastAsiaTheme="minorHAnsi" w:hAnsi="Corbel" w:cs="Corbel"/>
          <w:color w:val="000000"/>
          <w:sz w:val="18"/>
          <w:szCs w:val="18"/>
        </w:rPr>
        <w:t>,</w:t>
      </w:r>
      <w:r w:rsidRPr="00674FBC">
        <w:rPr>
          <w:rFonts w:ascii="Corbel" w:eastAsiaTheme="minorHAnsi" w:hAnsi="Corbel" w:cs="Corbel"/>
          <w:color w:val="000000"/>
          <w:sz w:val="18"/>
          <w:szCs w:val="18"/>
        </w:rPr>
        <w:t xml:space="preserve"> </w:t>
      </w:r>
      <w:r w:rsidRPr="00674FBC">
        <w:rPr>
          <w:rFonts w:ascii="Corbel" w:eastAsiaTheme="minorHAnsi" w:hAnsi="Corbel" w:cs="Corbel"/>
          <w:i/>
          <w:iCs/>
          <w:color w:val="000000"/>
          <w:sz w:val="18"/>
          <w:szCs w:val="18"/>
        </w:rPr>
        <w:t>RHD -</w:t>
      </w:r>
      <w:r w:rsidRPr="00674FBC">
        <w:rPr>
          <w:rFonts w:ascii="Corbel" w:eastAsiaTheme="minorHAnsi" w:hAnsi="Corbel" w:cs="Corbel"/>
          <w:color w:val="000000"/>
          <w:sz w:val="18"/>
          <w:szCs w:val="18"/>
        </w:rPr>
        <w:t xml:space="preserve"> refers to genotype</w:t>
      </w:r>
      <w:r w:rsidR="0028747C">
        <w:rPr>
          <w:rFonts w:ascii="Corbel" w:eastAsiaTheme="minorHAnsi" w:hAnsi="Corbel" w:cs="Corbel"/>
          <w:color w:val="000000"/>
          <w:sz w:val="18"/>
          <w:szCs w:val="18"/>
        </w:rPr>
        <w:t>,</w:t>
      </w:r>
      <w:r w:rsidRPr="00674FBC">
        <w:rPr>
          <w:rFonts w:ascii="Corbel" w:eastAsiaTheme="minorHAnsi" w:hAnsi="Corbel" w:cs="Corbel"/>
          <w:color w:val="000000"/>
          <w:sz w:val="18"/>
          <w:szCs w:val="18"/>
        </w:rPr>
        <w:t xml:space="preserve"> Rh D immunoglobulin - refers to the product</w:t>
      </w:r>
      <w:r w:rsidR="0028747C">
        <w:rPr>
          <w:rFonts w:ascii="Corbel" w:eastAsiaTheme="minorHAnsi" w:hAnsi="Corbel" w:cs="Corbel"/>
          <w:color w:val="000000"/>
          <w:sz w:val="18"/>
          <w:szCs w:val="18"/>
        </w:rPr>
        <w:t>,</w:t>
      </w:r>
      <w:r w:rsidRPr="00674FBC">
        <w:rPr>
          <w:rFonts w:ascii="Corbel" w:eastAsiaTheme="minorHAnsi" w:hAnsi="Corbel" w:cs="Corbel"/>
          <w:color w:val="000000"/>
          <w:sz w:val="18"/>
          <w:szCs w:val="18"/>
        </w:rPr>
        <w:t xml:space="preserve"> Rh D positive/negative - refers to blood type.</w:t>
      </w:r>
    </w:p>
    <w:p w:rsidR="007C2438" w:rsidRPr="00E575BC" w:rsidRDefault="007C2438" w:rsidP="00E575BC">
      <w:pPr>
        <w:pStyle w:val="Tablefignotes"/>
        <w:spacing w:before="120"/>
        <w:rPr>
          <w:color w:val="auto"/>
        </w:rPr>
      </w:pPr>
    </w:p>
    <w:p w:rsidR="00E575BC" w:rsidRDefault="00E575BC">
      <w:pPr>
        <w:spacing w:line="276" w:lineRule="auto"/>
        <w:rPr>
          <w:rFonts w:asciiTheme="minorHAnsi" w:eastAsia="HYGothic-Extra" w:hAnsiTheme="minorHAnsi"/>
          <w:b/>
          <w:bCs/>
          <w:noProof/>
          <w:color w:val="21265E"/>
          <w:spacing w:val="-20"/>
          <w:sz w:val="36"/>
          <w:szCs w:val="72"/>
        </w:rPr>
      </w:pPr>
      <w:r>
        <w:rPr>
          <w:noProof/>
        </w:rPr>
        <w:br w:type="page"/>
      </w:r>
    </w:p>
    <w:p w:rsidR="00E575BC" w:rsidRPr="009F4403" w:rsidRDefault="00E575BC" w:rsidP="003465E7">
      <w:pPr>
        <w:pStyle w:val="Heading2"/>
        <w:rPr>
          <w:noProof/>
        </w:rPr>
      </w:pPr>
      <w:r w:rsidRPr="009F4403">
        <w:rPr>
          <w:noProof/>
        </w:rPr>
        <w:lastRenderedPageBreak/>
        <w:t>Summary of clinical guidance on the use and timing of Rh D immunoglobulin</w:t>
      </w:r>
    </w:p>
    <w:tbl>
      <w:tblPr>
        <w:tblStyle w:val="TableGrid"/>
        <w:tblW w:w="5330" w:type="pct"/>
        <w:tblInd w:w="-176" w:type="dxa"/>
        <w:tblLayout w:type="fixed"/>
        <w:tblLook w:val="04A0" w:firstRow="1" w:lastRow="0" w:firstColumn="1" w:lastColumn="0" w:noHBand="0" w:noVBand="1"/>
      </w:tblPr>
      <w:tblGrid>
        <w:gridCol w:w="2079"/>
        <w:gridCol w:w="2770"/>
        <w:gridCol w:w="2770"/>
        <w:gridCol w:w="1803"/>
        <w:gridCol w:w="1144"/>
      </w:tblGrid>
      <w:tr w:rsidR="007C2438" w:rsidRPr="007C2438" w:rsidTr="00D928A6">
        <w:trPr>
          <w:trHeight w:val="441"/>
          <w:tblHeader/>
        </w:trPr>
        <w:tc>
          <w:tcPr>
            <w:tcW w:w="4849" w:type="dxa"/>
            <w:gridSpan w:val="2"/>
            <w:tcBorders>
              <w:bottom w:val="single" w:sz="4" w:space="0" w:color="auto"/>
            </w:tcBorders>
            <w:shd w:val="clear" w:color="auto" w:fill="336A89"/>
          </w:tcPr>
          <w:p w:rsidR="00A5685C" w:rsidRPr="007C2438"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7C2438">
              <w:rPr>
                <w:rFonts w:asciiTheme="minorHAnsi" w:hAnsiTheme="minorHAnsi" w:cstheme="minorHAnsi"/>
                <w:b/>
                <w:noProof/>
                <w:color w:val="FFFFFF" w:themeColor="background1"/>
                <w:szCs w:val="22"/>
              </w:rPr>
              <w:t>Clinical indication</w:t>
            </w:r>
          </w:p>
        </w:tc>
        <w:tc>
          <w:tcPr>
            <w:tcW w:w="2770" w:type="dxa"/>
            <w:tcBorders>
              <w:bottom w:val="single" w:sz="4" w:space="0" w:color="auto"/>
            </w:tcBorders>
            <w:shd w:val="clear" w:color="auto" w:fill="336A89"/>
          </w:tcPr>
          <w:p w:rsidR="00A5685C" w:rsidRPr="007C2438"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7C2438">
              <w:rPr>
                <w:rFonts w:asciiTheme="minorHAnsi" w:hAnsiTheme="minorHAnsi" w:cstheme="minorHAnsi"/>
                <w:b/>
                <w:noProof/>
                <w:color w:val="FFFFFF" w:themeColor="background1"/>
                <w:szCs w:val="22"/>
              </w:rPr>
              <w:t>Rh D immunoglobulin dose and timing</w:t>
            </w:r>
          </w:p>
        </w:tc>
        <w:tc>
          <w:tcPr>
            <w:tcW w:w="1803" w:type="dxa"/>
            <w:tcBorders>
              <w:bottom w:val="single" w:sz="4" w:space="0" w:color="auto"/>
            </w:tcBorders>
            <w:shd w:val="clear" w:color="auto" w:fill="336A89"/>
          </w:tcPr>
          <w:p w:rsidR="00A5685C" w:rsidRPr="007C2438" w:rsidRDefault="00A5685C" w:rsidP="00E575BC">
            <w:pPr>
              <w:pStyle w:val="BodyText"/>
              <w:widowControl w:val="0"/>
              <w:spacing w:before="40" w:after="40"/>
              <w:jc w:val="center"/>
              <w:rPr>
                <w:rFonts w:asciiTheme="minorHAnsi" w:hAnsiTheme="minorHAnsi" w:cstheme="minorHAnsi"/>
                <w:b/>
                <w:noProof/>
                <w:color w:val="FFFFFF" w:themeColor="background1"/>
                <w:szCs w:val="22"/>
              </w:rPr>
            </w:pPr>
            <w:r w:rsidRPr="007C2438">
              <w:rPr>
                <w:rFonts w:asciiTheme="minorHAnsi" w:hAnsiTheme="minorHAnsi" w:cstheme="minorHAnsi"/>
                <w:b/>
                <w:noProof/>
                <w:color w:val="FFFFFF" w:themeColor="background1"/>
                <w:szCs w:val="22"/>
              </w:rPr>
              <w:t>Target group</w:t>
            </w:r>
          </w:p>
        </w:tc>
        <w:tc>
          <w:tcPr>
            <w:tcW w:w="1144" w:type="dxa"/>
            <w:tcBorders>
              <w:bottom w:val="single" w:sz="4" w:space="0" w:color="auto"/>
            </w:tcBorders>
            <w:shd w:val="clear" w:color="auto" w:fill="336A89"/>
          </w:tcPr>
          <w:p w:rsidR="00A5685C" w:rsidRPr="007C2438" w:rsidRDefault="00A5685C" w:rsidP="002C2EB5">
            <w:pPr>
              <w:pStyle w:val="BodyText"/>
              <w:widowControl w:val="0"/>
              <w:spacing w:before="40" w:after="40"/>
              <w:jc w:val="center"/>
              <w:rPr>
                <w:rFonts w:asciiTheme="minorHAnsi" w:hAnsiTheme="minorHAnsi" w:cstheme="minorHAnsi"/>
                <w:b/>
                <w:noProof/>
                <w:color w:val="FFFFFF" w:themeColor="background1"/>
                <w:szCs w:val="22"/>
              </w:rPr>
            </w:pPr>
            <w:r w:rsidRPr="007C2438">
              <w:rPr>
                <w:rFonts w:asciiTheme="minorHAnsi" w:hAnsiTheme="minorHAnsi" w:cstheme="minorHAnsi"/>
                <w:b/>
                <w:noProof/>
                <w:color w:val="FFFFFF" w:themeColor="background1"/>
                <w:szCs w:val="22"/>
              </w:rPr>
              <w:t xml:space="preserve">Relevant section of </w:t>
            </w:r>
            <w:r w:rsidR="002C2EB5" w:rsidRPr="007C2438">
              <w:rPr>
                <w:rFonts w:asciiTheme="minorHAnsi" w:hAnsiTheme="minorHAnsi" w:cstheme="minorHAnsi"/>
                <w:b/>
                <w:noProof/>
                <w:color w:val="FFFFFF" w:themeColor="background1"/>
                <w:szCs w:val="22"/>
              </w:rPr>
              <w:t>Guideline</w:t>
            </w:r>
          </w:p>
        </w:tc>
      </w:tr>
      <w:tr w:rsidR="00A5685C" w:rsidRPr="005A6BDA" w:rsidTr="00D928A6">
        <w:tc>
          <w:tcPr>
            <w:tcW w:w="10566" w:type="dxa"/>
            <w:gridSpan w:val="5"/>
            <w:shd w:val="clear" w:color="auto" w:fill="D2E4EE"/>
          </w:tcPr>
          <w:p w:rsidR="00A5685C" w:rsidRPr="00E575BC" w:rsidRDefault="00A5685C" w:rsidP="00241494">
            <w:pPr>
              <w:pStyle w:val="BodyText"/>
              <w:widowControl w:val="0"/>
              <w:spacing w:before="40" w:after="40"/>
              <w:rPr>
                <w:rFonts w:asciiTheme="minorHAnsi" w:hAnsiTheme="minorHAnsi" w:cstheme="minorHAnsi"/>
                <w:b/>
                <w:noProof/>
                <w:szCs w:val="22"/>
              </w:rPr>
            </w:pPr>
            <w:r w:rsidRPr="00E575BC">
              <w:rPr>
                <w:rFonts w:asciiTheme="minorHAnsi" w:hAnsiTheme="minorHAnsi" w:cstheme="minorHAnsi"/>
                <w:b/>
                <w:noProof/>
                <w:szCs w:val="22"/>
              </w:rPr>
              <w:t>Sensitising event immunoprophylaxis</w:t>
            </w:r>
          </w:p>
        </w:tc>
      </w:tr>
      <w:tr w:rsidR="00A5685C" w:rsidRPr="00E575BC" w:rsidTr="00D928A6">
        <w:tc>
          <w:tcPr>
            <w:tcW w:w="2079" w:type="dxa"/>
          </w:tcPr>
          <w:p w:rsidR="00A5685C" w:rsidRPr="00E575BC" w:rsidRDefault="00A5685C" w:rsidP="00241494">
            <w:pPr>
              <w:pStyle w:val="Tabletext"/>
              <w:keepNext w:val="0"/>
              <w:widowControl w:val="0"/>
              <w:rPr>
                <w:rFonts w:asciiTheme="minorHAnsi" w:hAnsiTheme="minorHAnsi" w:cstheme="minorHAnsi"/>
                <w:noProof/>
                <w:sz w:val="21"/>
                <w:szCs w:val="21"/>
              </w:rPr>
            </w:pPr>
            <w:r w:rsidRPr="00E575BC">
              <w:rPr>
                <w:rFonts w:asciiTheme="minorHAnsi" w:hAnsiTheme="minorHAnsi" w:cstheme="minorHAnsi"/>
                <w:noProof/>
                <w:sz w:val="21"/>
                <w:szCs w:val="21"/>
              </w:rPr>
              <w:t xml:space="preserve">Sensitising event immunoprophylaxis in the first 12 weeks of pregnancy </w:t>
            </w:r>
          </w:p>
        </w:tc>
        <w:tc>
          <w:tcPr>
            <w:tcW w:w="2770" w:type="dxa"/>
          </w:tcPr>
          <w:p w:rsidR="00A5685C" w:rsidRPr="00E575BC" w:rsidRDefault="00A5685C" w:rsidP="00241494">
            <w:pPr>
              <w:pStyle w:val="Tablebullet"/>
              <w:rPr>
                <w:sz w:val="21"/>
                <w:szCs w:val="21"/>
              </w:rPr>
            </w:pPr>
            <w:r w:rsidRPr="00E575BC">
              <w:rPr>
                <w:sz w:val="21"/>
                <w:szCs w:val="21"/>
              </w:rPr>
              <w:t>Miscarriage</w:t>
            </w:r>
          </w:p>
          <w:p w:rsidR="00A5685C" w:rsidRPr="00E575BC" w:rsidRDefault="00A5685C" w:rsidP="00241494">
            <w:pPr>
              <w:pStyle w:val="Tablebullet"/>
              <w:rPr>
                <w:sz w:val="21"/>
                <w:szCs w:val="21"/>
              </w:rPr>
            </w:pPr>
            <w:r w:rsidRPr="00E575BC">
              <w:rPr>
                <w:sz w:val="21"/>
                <w:szCs w:val="21"/>
              </w:rPr>
              <w:t>Termination of pregnancy (medical after 10 weeks gestation or surgical)</w:t>
            </w:r>
          </w:p>
          <w:p w:rsidR="00A5685C" w:rsidRPr="00E575BC" w:rsidRDefault="00A5685C" w:rsidP="00241494">
            <w:pPr>
              <w:pStyle w:val="Tablebullet"/>
              <w:rPr>
                <w:sz w:val="21"/>
                <w:szCs w:val="21"/>
              </w:rPr>
            </w:pPr>
            <w:r w:rsidRPr="00E575BC">
              <w:rPr>
                <w:sz w:val="21"/>
                <w:szCs w:val="21"/>
              </w:rPr>
              <w:t>Ectopic pregnancy</w:t>
            </w:r>
          </w:p>
          <w:p w:rsidR="00A5685C" w:rsidRPr="00E575BC" w:rsidRDefault="00A5685C" w:rsidP="00241494">
            <w:pPr>
              <w:pStyle w:val="Tablebullet"/>
              <w:rPr>
                <w:sz w:val="21"/>
                <w:szCs w:val="21"/>
              </w:rPr>
            </w:pPr>
            <w:r w:rsidRPr="00E575BC">
              <w:rPr>
                <w:sz w:val="21"/>
                <w:szCs w:val="21"/>
              </w:rPr>
              <w:t>Molar pregnancy</w:t>
            </w:r>
          </w:p>
          <w:p w:rsidR="00A5685C" w:rsidRPr="00E575BC" w:rsidRDefault="00A5685C" w:rsidP="00241494">
            <w:pPr>
              <w:pStyle w:val="Tablebullet"/>
              <w:rPr>
                <w:sz w:val="21"/>
                <w:szCs w:val="21"/>
              </w:rPr>
            </w:pPr>
            <w:r w:rsidRPr="00E575BC">
              <w:rPr>
                <w:sz w:val="21"/>
                <w:szCs w:val="21"/>
              </w:rPr>
              <w:t>Chorionic villus sampling</w:t>
            </w:r>
          </w:p>
        </w:tc>
        <w:tc>
          <w:tcPr>
            <w:tcW w:w="2770" w:type="dxa"/>
          </w:tcPr>
          <w:p w:rsidR="00A5685C" w:rsidRPr="00E575BC" w:rsidRDefault="00A5685C" w:rsidP="00241494">
            <w:pPr>
              <w:pStyle w:val="Tabletext"/>
              <w:keepNext w:val="0"/>
              <w:widowControl w:val="0"/>
              <w:rPr>
                <w:rFonts w:asciiTheme="minorHAnsi" w:hAnsiTheme="minorHAnsi" w:cstheme="minorHAnsi"/>
                <w:noProof/>
                <w:sz w:val="21"/>
                <w:szCs w:val="21"/>
              </w:rPr>
            </w:pPr>
            <w:r w:rsidRPr="00E575BC">
              <w:rPr>
                <w:rFonts w:asciiTheme="minorHAnsi" w:hAnsiTheme="minorHAnsi" w:cstheme="minorHAnsi"/>
                <w:noProof/>
                <w:sz w:val="21"/>
                <w:szCs w:val="21"/>
              </w:rPr>
              <w:t>250 IU</w:t>
            </w:r>
          </w:p>
          <w:p w:rsidR="00A5685C" w:rsidRPr="00E575BC" w:rsidRDefault="00A5685C" w:rsidP="00E575BC">
            <w:pPr>
              <w:pStyle w:val="Tabletext"/>
              <w:keepNext w:val="0"/>
              <w:widowControl w:val="0"/>
              <w:rPr>
                <w:rFonts w:asciiTheme="minorHAnsi" w:eastAsiaTheme="minorHAnsi" w:hAnsiTheme="minorHAnsi" w:cstheme="minorHAnsi"/>
                <w:noProof/>
                <w:sz w:val="21"/>
                <w:szCs w:val="21"/>
              </w:rPr>
            </w:pPr>
            <w:r w:rsidRPr="00E575BC">
              <w:rPr>
                <w:rFonts w:asciiTheme="minorHAnsi" w:eastAsiaTheme="minorHAnsi" w:hAnsiTheme="minorHAnsi" w:cstheme="minorHAnsi"/>
                <w:noProof/>
                <w:sz w:val="21"/>
                <w:szCs w:val="21"/>
              </w:rPr>
              <w:t>As soon as practical</w:t>
            </w:r>
            <w:r w:rsidRPr="00E575BC">
              <w:rPr>
                <w:rFonts w:asciiTheme="minorHAnsi" w:hAnsiTheme="minorHAnsi" w:cstheme="minorHAnsi"/>
                <w:noProof/>
                <w:sz w:val="21"/>
                <w:szCs w:val="21"/>
              </w:rPr>
              <w:t xml:space="preserve"> within 72 hours</w:t>
            </w:r>
            <w:r w:rsidRPr="00E575BC">
              <w:rPr>
                <w:rFonts w:asciiTheme="minorHAnsi" w:eastAsiaTheme="minorHAnsi" w:hAnsiTheme="minorHAnsi" w:cstheme="minorHAnsi"/>
                <w:noProof/>
                <w:sz w:val="21"/>
                <w:szCs w:val="21"/>
              </w:rPr>
              <w:t>. If delayed beyond 72 hours, the dose should be given up to 10 days</w:t>
            </w:r>
            <w:r w:rsidR="007C07A1">
              <w:rPr>
                <w:rFonts w:asciiTheme="minorHAnsi" w:eastAsiaTheme="minorHAnsi" w:hAnsiTheme="minorHAnsi" w:cstheme="minorHAnsi"/>
                <w:noProof/>
                <w:sz w:val="21"/>
                <w:szCs w:val="21"/>
              </w:rPr>
              <w:t xml:space="preserve"> from the sensitising event</w:t>
            </w:r>
            <w:r w:rsidRPr="00E575BC">
              <w:rPr>
                <w:rFonts w:asciiTheme="minorHAnsi" w:eastAsiaTheme="minorHAnsi" w:hAnsiTheme="minorHAnsi" w:cstheme="minorHAnsi"/>
                <w:noProof/>
                <w:sz w:val="21"/>
                <w:szCs w:val="21"/>
              </w:rPr>
              <w:t>, but may have lower efficacy</w:t>
            </w:r>
          </w:p>
          <w:p w:rsidR="00A5685C" w:rsidRPr="00E575BC" w:rsidRDefault="00A5685C" w:rsidP="007C2438">
            <w:pPr>
              <w:pStyle w:val="Tabletext"/>
              <w:keepNext w:val="0"/>
              <w:widowControl w:val="0"/>
              <w:spacing w:before="120" w:after="0"/>
              <w:rPr>
                <w:rFonts w:asciiTheme="minorHAnsi" w:hAnsiTheme="minorHAnsi" w:cstheme="minorHAnsi"/>
                <w:noProof/>
                <w:sz w:val="21"/>
                <w:szCs w:val="21"/>
              </w:rPr>
            </w:pPr>
            <w:r w:rsidRPr="00E575BC">
              <w:rPr>
                <w:rFonts w:asciiTheme="minorHAnsi" w:hAnsiTheme="minorHAnsi" w:cstheme="minorHAnsi"/>
                <w:noProof/>
                <w:sz w:val="21"/>
                <w:szCs w:val="21"/>
              </w:rPr>
              <w:t>For ongoing uterine bleeding alone, a repeat dose of Rh D immunoglobulin (250 IU if before 12 weeks and 625 IU if after) may be appropriate after an interval of 6 weeks</w:t>
            </w:r>
          </w:p>
        </w:tc>
        <w:tc>
          <w:tcPr>
            <w:tcW w:w="1803" w:type="dxa"/>
          </w:tcPr>
          <w:p w:rsidR="00A5685C" w:rsidRPr="00E575BC" w:rsidRDefault="00A5685C" w:rsidP="00241494">
            <w:pPr>
              <w:pStyle w:val="Tabletext"/>
              <w:keepNext w:val="0"/>
              <w:widowControl w:val="0"/>
              <w:ind w:right="0"/>
              <w:rPr>
                <w:rFonts w:asciiTheme="minorHAnsi" w:hAnsiTheme="minorHAnsi" w:cstheme="minorHAnsi"/>
                <w:noProof/>
                <w:sz w:val="21"/>
                <w:szCs w:val="21"/>
              </w:rPr>
            </w:pPr>
            <w:r w:rsidRPr="00E575BC">
              <w:rPr>
                <w:rFonts w:asciiTheme="minorHAnsi" w:hAnsiTheme="minorHAnsi" w:cstheme="minorHAnsi"/>
                <w:noProof/>
                <w:sz w:val="21"/>
                <w:szCs w:val="21"/>
              </w:rPr>
              <w:t xml:space="preserve">All Rh D negative women with no preformed anti-D antibodies </w:t>
            </w:r>
          </w:p>
        </w:tc>
        <w:tc>
          <w:tcPr>
            <w:tcW w:w="1144" w:type="dxa"/>
          </w:tcPr>
          <w:p w:rsidR="00A5685C" w:rsidRPr="00E575BC" w:rsidRDefault="00A5685C" w:rsidP="00241494">
            <w:pPr>
              <w:pStyle w:val="Tabletext"/>
              <w:keepNext w:val="0"/>
              <w:widowControl w:val="0"/>
              <w:ind w:left="30"/>
              <w:rPr>
                <w:rFonts w:asciiTheme="minorHAnsi" w:hAnsiTheme="minorHAnsi" w:cstheme="minorHAnsi"/>
                <w:noProof/>
                <w:sz w:val="21"/>
                <w:szCs w:val="21"/>
              </w:rPr>
            </w:pPr>
            <w:r w:rsidRPr="00E575BC">
              <w:rPr>
                <w:rFonts w:asciiTheme="minorHAnsi" w:hAnsiTheme="minorHAnsi" w:cstheme="minorHAnsi"/>
                <w:noProof/>
                <w:sz w:val="21"/>
                <w:szCs w:val="21"/>
              </w:rPr>
              <w:t>3.2.1</w:t>
            </w:r>
          </w:p>
        </w:tc>
      </w:tr>
      <w:tr w:rsidR="00A5685C" w:rsidRPr="00E575BC" w:rsidTr="00D928A6">
        <w:tc>
          <w:tcPr>
            <w:tcW w:w="2079" w:type="dxa"/>
          </w:tcPr>
          <w:p w:rsidR="00A5685C" w:rsidRPr="00E575BC" w:rsidRDefault="00A5685C" w:rsidP="00241494">
            <w:pPr>
              <w:pStyle w:val="Tabletext"/>
              <w:keepNext w:val="0"/>
              <w:widowControl w:val="0"/>
              <w:rPr>
                <w:rFonts w:asciiTheme="minorHAnsi" w:hAnsiTheme="minorHAnsi" w:cstheme="minorHAnsi"/>
                <w:noProof/>
                <w:sz w:val="21"/>
                <w:szCs w:val="21"/>
              </w:rPr>
            </w:pPr>
            <w:r w:rsidRPr="00E575BC">
              <w:rPr>
                <w:rFonts w:asciiTheme="minorHAnsi" w:hAnsiTheme="minorHAnsi" w:cstheme="minorHAnsi"/>
                <w:noProof/>
                <w:sz w:val="21"/>
                <w:szCs w:val="21"/>
              </w:rPr>
              <w:t>Sensitising event immunoprophylaxis after 12</w:t>
            </w:r>
            <w:r w:rsidRPr="00E575BC">
              <w:rPr>
                <w:rFonts w:asciiTheme="minorHAnsi" w:hAnsiTheme="minorHAnsi" w:cstheme="minorHAnsi"/>
                <w:noProof/>
                <w:sz w:val="21"/>
                <w:szCs w:val="21"/>
                <w:vertAlign w:val="superscript"/>
              </w:rPr>
              <w:t>+6</w:t>
            </w:r>
            <w:r w:rsidRPr="00E575BC">
              <w:rPr>
                <w:rFonts w:asciiTheme="minorHAnsi" w:hAnsiTheme="minorHAnsi" w:cstheme="minorHAnsi"/>
                <w:noProof/>
                <w:sz w:val="21"/>
                <w:szCs w:val="21"/>
              </w:rPr>
              <w:t xml:space="preserve"> weeks of pregnancy</w:t>
            </w:r>
          </w:p>
        </w:tc>
        <w:tc>
          <w:tcPr>
            <w:tcW w:w="2770" w:type="dxa"/>
          </w:tcPr>
          <w:p w:rsidR="00A5685C" w:rsidRPr="00E575BC" w:rsidRDefault="00A5685C" w:rsidP="00241494">
            <w:pPr>
              <w:pStyle w:val="Tablebullet"/>
              <w:rPr>
                <w:sz w:val="21"/>
                <w:szCs w:val="21"/>
              </w:rPr>
            </w:pPr>
            <w:r w:rsidRPr="00E575BC">
              <w:rPr>
                <w:sz w:val="21"/>
                <w:szCs w:val="21"/>
              </w:rPr>
              <w:t>Genetic studies (chorionic villus sampling, amniocentesis and cordocentesis)</w:t>
            </w:r>
          </w:p>
          <w:p w:rsidR="00A5685C" w:rsidRPr="00E575BC" w:rsidRDefault="00A5685C" w:rsidP="00241494">
            <w:pPr>
              <w:pStyle w:val="Tablebullet"/>
              <w:rPr>
                <w:sz w:val="21"/>
                <w:szCs w:val="21"/>
              </w:rPr>
            </w:pPr>
            <w:r w:rsidRPr="00E575BC">
              <w:rPr>
                <w:sz w:val="21"/>
                <w:szCs w:val="21"/>
              </w:rPr>
              <w:t>Abdominal trauma considered sufficient to cause fetomaternal haemorrhage, even if FMH testing is negative</w:t>
            </w:r>
          </w:p>
          <w:p w:rsidR="00A5685C" w:rsidRPr="00E575BC" w:rsidRDefault="00A5685C" w:rsidP="007C2438">
            <w:pPr>
              <w:pStyle w:val="Tablebullet"/>
              <w:rPr>
                <w:sz w:val="21"/>
                <w:szCs w:val="21"/>
              </w:rPr>
            </w:pPr>
            <w:r w:rsidRPr="00E575BC">
              <w:rPr>
                <w:sz w:val="21"/>
                <w:szCs w:val="21"/>
              </w:rPr>
              <w:t>Each occasion of revealed or concealed antepartum haemorrhage. Where the woman suffers unexplained uterine pain the possibility of concealed antepartum haemorrhage (and the need for immunoprophylaxis) should be considered.</w:t>
            </w:r>
          </w:p>
          <w:p w:rsidR="00A5685C" w:rsidRPr="00E575BC" w:rsidRDefault="00A5685C" w:rsidP="00241494">
            <w:pPr>
              <w:pStyle w:val="Tablebullet"/>
              <w:rPr>
                <w:sz w:val="21"/>
                <w:szCs w:val="21"/>
              </w:rPr>
            </w:pPr>
            <w:r w:rsidRPr="00E575BC">
              <w:rPr>
                <w:sz w:val="21"/>
                <w:szCs w:val="21"/>
              </w:rPr>
              <w:t>External cephalic version (successful or attempted)</w:t>
            </w:r>
          </w:p>
          <w:p w:rsidR="00A5685C" w:rsidRPr="00E575BC" w:rsidRDefault="00A5685C" w:rsidP="007C2438">
            <w:pPr>
              <w:pStyle w:val="Tablebullet"/>
              <w:spacing w:after="0"/>
              <w:rPr>
                <w:sz w:val="21"/>
                <w:szCs w:val="21"/>
              </w:rPr>
            </w:pPr>
            <w:r w:rsidRPr="00E575BC">
              <w:rPr>
                <w:sz w:val="21"/>
                <w:szCs w:val="21"/>
              </w:rPr>
              <w:t>Miscarriage or termination of pregnancy</w:t>
            </w:r>
          </w:p>
        </w:tc>
        <w:tc>
          <w:tcPr>
            <w:tcW w:w="2770" w:type="dxa"/>
          </w:tcPr>
          <w:p w:rsidR="00A5685C" w:rsidRPr="00E575BC" w:rsidRDefault="00A5685C" w:rsidP="00241494">
            <w:pPr>
              <w:pStyle w:val="Tabletext"/>
              <w:keepNext w:val="0"/>
              <w:widowControl w:val="0"/>
              <w:rPr>
                <w:rFonts w:asciiTheme="minorHAnsi" w:hAnsiTheme="minorHAnsi" w:cstheme="minorHAnsi"/>
                <w:noProof/>
                <w:sz w:val="21"/>
                <w:szCs w:val="21"/>
              </w:rPr>
            </w:pPr>
            <w:r w:rsidRPr="00E575BC">
              <w:rPr>
                <w:rFonts w:asciiTheme="minorHAnsi" w:hAnsiTheme="minorHAnsi" w:cstheme="minorHAnsi"/>
                <w:noProof/>
                <w:sz w:val="21"/>
                <w:szCs w:val="21"/>
              </w:rPr>
              <w:t>625 IU</w:t>
            </w:r>
          </w:p>
          <w:p w:rsidR="00A5685C" w:rsidRPr="00E575BC" w:rsidRDefault="00A5685C" w:rsidP="00E575BC">
            <w:pPr>
              <w:pStyle w:val="Tabletext"/>
              <w:keepNext w:val="0"/>
              <w:widowControl w:val="0"/>
              <w:rPr>
                <w:rFonts w:asciiTheme="minorHAnsi" w:eastAsiaTheme="minorHAnsi" w:hAnsiTheme="minorHAnsi" w:cstheme="minorHAnsi"/>
                <w:noProof/>
                <w:sz w:val="21"/>
                <w:szCs w:val="21"/>
              </w:rPr>
            </w:pPr>
            <w:r w:rsidRPr="00E575BC">
              <w:rPr>
                <w:rFonts w:asciiTheme="minorHAnsi" w:eastAsiaTheme="minorHAnsi" w:hAnsiTheme="minorHAnsi" w:cstheme="minorHAnsi"/>
                <w:noProof/>
                <w:sz w:val="21"/>
                <w:szCs w:val="21"/>
              </w:rPr>
              <w:t>As soon as practical</w:t>
            </w:r>
            <w:r w:rsidRPr="00E575BC">
              <w:rPr>
                <w:rFonts w:asciiTheme="minorHAnsi" w:hAnsiTheme="minorHAnsi" w:cstheme="minorHAnsi"/>
                <w:noProof/>
                <w:sz w:val="21"/>
                <w:szCs w:val="21"/>
              </w:rPr>
              <w:t xml:space="preserve"> within 72 hours</w:t>
            </w:r>
            <w:r w:rsidRPr="00E575BC">
              <w:rPr>
                <w:rFonts w:asciiTheme="minorHAnsi" w:eastAsiaTheme="minorHAnsi" w:hAnsiTheme="minorHAnsi" w:cstheme="minorHAnsi"/>
                <w:noProof/>
                <w:sz w:val="21"/>
                <w:szCs w:val="21"/>
              </w:rPr>
              <w:t>. If delayed beyond 72 hours, the dose should be given up to 10 days</w:t>
            </w:r>
            <w:r w:rsidR="007C07A1">
              <w:rPr>
                <w:rFonts w:asciiTheme="minorHAnsi" w:eastAsiaTheme="minorHAnsi" w:hAnsiTheme="minorHAnsi" w:cstheme="minorHAnsi"/>
                <w:noProof/>
                <w:sz w:val="21"/>
                <w:szCs w:val="21"/>
              </w:rPr>
              <w:t xml:space="preserve"> from the sensitising event</w:t>
            </w:r>
            <w:r w:rsidRPr="00E575BC">
              <w:rPr>
                <w:rFonts w:asciiTheme="minorHAnsi" w:eastAsiaTheme="minorHAnsi" w:hAnsiTheme="minorHAnsi" w:cstheme="minorHAnsi"/>
                <w:noProof/>
                <w:sz w:val="21"/>
                <w:szCs w:val="21"/>
              </w:rPr>
              <w:t>, but may have lower efficacy</w:t>
            </w:r>
          </w:p>
          <w:p w:rsidR="00A5685C" w:rsidRPr="00E575BC" w:rsidRDefault="00A5685C" w:rsidP="00B70176">
            <w:pPr>
              <w:pStyle w:val="Tabletext"/>
              <w:keepNext w:val="0"/>
              <w:widowControl w:val="0"/>
              <w:spacing w:before="120"/>
              <w:rPr>
                <w:rFonts w:asciiTheme="minorHAnsi" w:hAnsiTheme="minorHAnsi" w:cstheme="minorHAnsi"/>
                <w:noProof/>
                <w:sz w:val="21"/>
                <w:szCs w:val="21"/>
              </w:rPr>
            </w:pPr>
            <w:r w:rsidRPr="00E575BC">
              <w:rPr>
                <w:rFonts w:asciiTheme="minorHAnsi" w:eastAsiaTheme="minorHAnsi" w:hAnsiTheme="minorHAnsi" w:cstheme="minorHAnsi"/>
                <w:noProof/>
                <w:sz w:val="21"/>
                <w:szCs w:val="21"/>
              </w:rPr>
              <w:t xml:space="preserve">For ongoing uterine bleeding alone, a repeat dose may be appropriate at 6 weekly intervals </w:t>
            </w:r>
          </w:p>
        </w:tc>
        <w:tc>
          <w:tcPr>
            <w:tcW w:w="1803" w:type="dxa"/>
          </w:tcPr>
          <w:p w:rsidR="00A5685C" w:rsidRPr="00E575BC" w:rsidRDefault="00A5685C" w:rsidP="00241494">
            <w:pPr>
              <w:pStyle w:val="Tabletext"/>
              <w:keepNext w:val="0"/>
              <w:widowControl w:val="0"/>
              <w:rPr>
                <w:rFonts w:asciiTheme="minorHAnsi" w:hAnsiTheme="minorHAnsi" w:cstheme="minorHAnsi"/>
                <w:noProof/>
                <w:sz w:val="21"/>
                <w:szCs w:val="21"/>
              </w:rPr>
            </w:pPr>
            <w:r w:rsidRPr="00E575BC">
              <w:rPr>
                <w:rFonts w:asciiTheme="minorHAnsi" w:hAnsiTheme="minorHAnsi" w:cstheme="minorHAnsi"/>
                <w:noProof/>
                <w:sz w:val="21"/>
                <w:szCs w:val="21"/>
              </w:rPr>
              <w:t xml:space="preserve">All Rh D negative women with no preformed anti-D antibodies (unless NIPT for fetal </w:t>
            </w:r>
            <w:r w:rsidRPr="00E575BC">
              <w:rPr>
                <w:rFonts w:asciiTheme="minorHAnsi" w:hAnsiTheme="minorHAnsi" w:cstheme="minorHAnsi"/>
                <w:i/>
                <w:noProof/>
                <w:sz w:val="21"/>
                <w:szCs w:val="21"/>
              </w:rPr>
              <w:t>RHD</w:t>
            </w:r>
            <w:r w:rsidRPr="00E575BC">
              <w:rPr>
                <w:rFonts w:asciiTheme="minorHAnsi" w:hAnsiTheme="minorHAnsi" w:cstheme="minorHAnsi"/>
                <w:noProof/>
                <w:sz w:val="21"/>
                <w:szCs w:val="21"/>
              </w:rPr>
              <w:t xml:space="preserve"> has predicted the fetus to be Rh D negative)</w:t>
            </w:r>
          </w:p>
        </w:tc>
        <w:tc>
          <w:tcPr>
            <w:tcW w:w="1144" w:type="dxa"/>
          </w:tcPr>
          <w:p w:rsidR="00A5685C" w:rsidRPr="00E575BC" w:rsidRDefault="00A5685C" w:rsidP="00241494">
            <w:pPr>
              <w:pStyle w:val="Tabletext"/>
              <w:keepNext w:val="0"/>
              <w:widowControl w:val="0"/>
              <w:rPr>
                <w:rFonts w:asciiTheme="minorHAnsi" w:hAnsiTheme="minorHAnsi" w:cstheme="minorHAnsi"/>
                <w:noProof/>
                <w:sz w:val="21"/>
                <w:szCs w:val="21"/>
              </w:rPr>
            </w:pPr>
            <w:r w:rsidRPr="00E575BC">
              <w:rPr>
                <w:rFonts w:asciiTheme="minorHAnsi" w:hAnsiTheme="minorHAnsi" w:cstheme="minorHAnsi"/>
                <w:noProof/>
                <w:sz w:val="21"/>
                <w:szCs w:val="21"/>
              </w:rPr>
              <w:t>3.5.1</w:t>
            </w:r>
          </w:p>
        </w:tc>
      </w:tr>
      <w:tr w:rsidR="007C2438" w:rsidRPr="007C2438" w:rsidTr="00D928A6">
        <w:tc>
          <w:tcPr>
            <w:tcW w:w="2079" w:type="dxa"/>
          </w:tcPr>
          <w:p w:rsidR="00A5685C" w:rsidRPr="007C2438" w:rsidRDefault="00A5685C" w:rsidP="00241494">
            <w:pPr>
              <w:pStyle w:val="Tabletext"/>
              <w:keepNext w:val="0"/>
              <w:widowControl w:val="0"/>
              <w:rPr>
                <w:rFonts w:asciiTheme="minorHAnsi" w:hAnsiTheme="minorHAnsi" w:cstheme="minorHAnsi"/>
                <w:noProof/>
                <w:sz w:val="21"/>
                <w:szCs w:val="21"/>
              </w:rPr>
            </w:pPr>
            <w:r w:rsidRPr="007C2438">
              <w:rPr>
                <w:rFonts w:asciiTheme="minorHAnsi" w:hAnsiTheme="minorHAnsi" w:cstheme="minorHAnsi"/>
                <w:noProof/>
                <w:sz w:val="21"/>
                <w:szCs w:val="21"/>
              </w:rPr>
              <w:t xml:space="preserve">Large FMH </w:t>
            </w:r>
            <w:r w:rsidRPr="007C2438">
              <w:rPr>
                <w:rFonts w:cstheme="minorHAnsi"/>
                <w:sz w:val="21"/>
                <w:szCs w:val="21"/>
              </w:rPr>
              <w:t>≥</w:t>
            </w:r>
            <w:r w:rsidRPr="007C2438">
              <w:rPr>
                <w:sz w:val="21"/>
                <w:szCs w:val="21"/>
              </w:rPr>
              <w:t>6 mL of fetal red cells (equivalent to 12 mL of whole blood)</w:t>
            </w:r>
          </w:p>
        </w:tc>
        <w:tc>
          <w:tcPr>
            <w:tcW w:w="2770" w:type="dxa"/>
          </w:tcPr>
          <w:p w:rsidR="00A5685C" w:rsidRPr="007C2438" w:rsidRDefault="00A5685C" w:rsidP="00241494">
            <w:pPr>
              <w:pStyle w:val="Tablebullet"/>
              <w:rPr>
                <w:color w:val="auto"/>
                <w:sz w:val="21"/>
                <w:szCs w:val="21"/>
              </w:rPr>
            </w:pPr>
            <w:r w:rsidRPr="007C2438">
              <w:rPr>
                <w:color w:val="auto"/>
                <w:sz w:val="21"/>
                <w:szCs w:val="21"/>
              </w:rPr>
              <w:t>Antepartum</w:t>
            </w:r>
          </w:p>
          <w:p w:rsidR="00A5685C" w:rsidRPr="007C2438" w:rsidRDefault="00A5685C" w:rsidP="00241494">
            <w:pPr>
              <w:pStyle w:val="Tablebullet"/>
              <w:rPr>
                <w:color w:val="auto"/>
                <w:sz w:val="21"/>
                <w:szCs w:val="21"/>
              </w:rPr>
            </w:pPr>
            <w:r w:rsidRPr="007C2438">
              <w:rPr>
                <w:color w:val="auto"/>
                <w:sz w:val="21"/>
                <w:szCs w:val="21"/>
              </w:rPr>
              <w:t>Postpartum</w:t>
            </w:r>
          </w:p>
        </w:tc>
        <w:tc>
          <w:tcPr>
            <w:tcW w:w="2770" w:type="dxa"/>
          </w:tcPr>
          <w:p w:rsidR="00A5685C" w:rsidRPr="007C2438" w:rsidRDefault="00A5685C" w:rsidP="00241494">
            <w:pPr>
              <w:pStyle w:val="Tabletext"/>
              <w:keepNext w:val="0"/>
              <w:widowControl w:val="0"/>
              <w:rPr>
                <w:rFonts w:asciiTheme="minorHAnsi" w:hAnsiTheme="minorHAnsi" w:cstheme="minorHAnsi"/>
                <w:noProof/>
                <w:sz w:val="21"/>
                <w:szCs w:val="21"/>
              </w:rPr>
            </w:pPr>
            <w:r w:rsidRPr="007C2438">
              <w:rPr>
                <w:rFonts w:asciiTheme="minorHAnsi" w:hAnsiTheme="minorHAnsi" w:cstheme="minorHAnsi"/>
                <w:noProof/>
                <w:sz w:val="21"/>
                <w:szCs w:val="21"/>
              </w:rPr>
              <w:t>625 IU as soon as possible</w:t>
            </w:r>
          </w:p>
          <w:p w:rsidR="00A5685C" w:rsidRPr="007C2438" w:rsidRDefault="00A5685C" w:rsidP="00241494">
            <w:pPr>
              <w:pStyle w:val="Tabletext"/>
              <w:keepNext w:val="0"/>
              <w:widowControl w:val="0"/>
              <w:spacing w:before="120"/>
              <w:rPr>
                <w:rFonts w:asciiTheme="minorHAnsi" w:hAnsiTheme="minorHAnsi" w:cstheme="minorHAnsi"/>
                <w:noProof/>
                <w:sz w:val="21"/>
                <w:szCs w:val="21"/>
              </w:rPr>
            </w:pPr>
            <w:r w:rsidRPr="007C2438">
              <w:rPr>
                <w:rFonts w:asciiTheme="minorHAnsi" w:hAnsiTheme="minorHAnsi" w:cstheme="minorHAnsi"/>
                <w:noProof/>
                <w:sz w:val="21"/>
                <w:szCs w:val="21"/>
              </w:rPr>
              <w:t xml:space="preserve">Follow laboratory or specialist obstetric advice for additional doses of IM Rh </w:t>
            </w:r>
            <w:r w:rsidR="00B70176">
              <w:rPr>
                <w:rFonts w:asciiTheme="minorHAnsi" w:hAnsiTheme="minorHAnsi" w:cstheme="minorHAnsi"/>
                <w:noProof/>
                <w:sz w:val="21"/>
                <w:szCs w:val="21"/>
              </w:rPr>
              <w:t xml:space="preserve">D </w:t>
            </w:r>
            <w:r w:rsidRPr="007C2438">
              <w:rPr>
                <w:rFonts w:asciiTheme="minorHAnsi" w:hAnsiTheme="minorHAnsi" w:cstheme="minorHAnsi"/>
                <w:noProof/>
                <w:sz w:val="21"/>
                <w:szCs w:val="21"/>
              </w:rPr>
              <w:t>immunoglobulin or IV Rh D immunoglobulin, and for follow-up testing</w:t>
            </w:r>
          </w:p>
        </w:tc>
        <w:tc>
          <w:tcPr>
            <w:tcW w:w="1803" w:type="dxa"/>
          </w:tcPr>
          <w:p w:rsidR="00A5685C" w:rsidRPr="007C2438" w:rsidDel="00F519A2" w:rsidRDefault="00A5685C" w:rsidP="007C2438">
            <w:pPr>
              <w:pStyle w:val="Tabletext"/>
              <w:keepNext w:val="0"/>
              <w:widowControl w:val="0"/>
              <w:spacing w:after="0"/>
              <w:rPr>
                <w:rFonts w:asciiTheme="minorHAnsi" w:hAnsiTheme="minorHAnsi" w:cstheme="minorHAnsi"/>
                <w:i/>
                <w:noProof/>
                <w:sz w:val="21"/>
                <w:szCs w:val="21"/>
              </w:rPr>
            </w:pPr>
            <w:r w:rsidRPr="007C2438">
              <w:rPr>
                <w:rFonts w:asciiTheme="minorHAnsi" w:hAnsiTheme="minorHAnsi" w:cstheme="minorHAnsi"/>
                <w:noProof/>
                <w:sz w:val="21"/>
                <w:szCs w:val="21"/>
              </w:rPr>
              <w:t xml:space="preserve">All Rh D negative women with no preformed anti-D antibodies (unless NIPT for fetal </w:t>
            </w:r>
            <w:r w:rsidRPr="007C2438">
              <w:rPr>
                <w:rFonts w:asciiTheme="minorHAnsi" w:hAnsiTheme="minorHAnsi" w:cstheme="minorHAnsi"/>
                <w:i/>
                <w:noProof/>
                <w:sz w:val="21"/>
                <w:szCs w:val="21"/>
              </w:rPr>
              <w:t>RHD</w:t>
            </w:r>
            <w:r w:rsidRPr="007C2438">
              <w:rPr>
                <w:rFonts w:asciiTheme="minorHAnsi" w:hAnsiTheme="minorHAnsi" w:cstheme="minorHAnsi"/>
                <w:noProof/>
                <w:sz w:val="21"/>
                <w:szCs w:val="21"/>
              </w:rPr>
              <w:t xml:space="preserve"> has predicted the fetus to be Rh D negative)</w:t>
            </w:r>
          </w:p>
        </w:tc>
        <w:tc>
          <w:tcPr>
            <w:tcW w:w="1144" w:type="dxa"/>
          </w:tcPr>
          <w:p w:rsidR="00A5685C" w:rsidRPr="007C2438" w:rsidRDefault="00A5685C" w:rsidP="00241494">
            <w:pPr>
              <w:pStyle w:val="Tabletext"/>
              <w:keepNext w:val="0"/>
              <w:widowControl w:val="0"/>
              <w:rPr>
                <w:rFonts w:asciiTheme="minorHAnsi" w:hAnsiTheme="minorHAnsi" w:cstheme="minorHAnsi"/>
                <w:noProof/>
                <w:sz w:val="21"/>
                <w:szCs w:val="21"/>
              </w:rPr>
            </w:pPr>
            <w:r w:rsidRPr="007C2438">
              <w:rPr>
                <w:rFonts w:asciiTheme="minorHAnsi" w:hAnsiTheme="minorHAnsi" w:cstheme="minorHAnsi"/>
                <w:noProof/>
                <w:sz w:val="21"/>
                <w:szCs w:val="21"/>
              </w:rPr>
              <w:t>3.5.1</w:t>
            </w:r>
          </w:p>
        </w:tc>
      </w:tr>
    </w:tbl>
    <w:p w:rsidR="007C2438" w:rsidRPr="00674FBC" w:rsidRDefault="007C2438" w:rsidP="00B70176">
      <w:pPr>
        <w:spacing w:before="80" w:after="0"/>
        <w:rPr>
          <w:rFonts w:asciiTheme="minorHAnsi" w:hAnsiTheme="minorHAnsi" w:cstheme="minorHAnsi"/>
          <w:sz w:val="18"/>
          <w:szCs w:val="18"/>
        </w:rPr>
      </w:pPr>
      <w:r w:rsidRPr="00674FBC">
        <w:rPr>
          <w:rFonts w:asciiTheme="minorHAnsi" w:hAnsiTheme="minorHAnsi" w:cstheme="minorHAnsi"/>
          <w:sz w:val="18"/>
          <w:szCs w:val="18"/>
        </w:rPr>
        <w:t xml:space="preserve">FMH: fetomaternal haemorrhage, IM: intramuscular, </w:t>
      </w:r>
      <w:r w:rsidR="00B70176" w:rsidRPr="00674FBC">
        <w:rPr>
          <w:noProof/>
          <w:sz w:val="18"/>
          <w:szCs w:val="18"/>
        </w:rPr>
        <w:t xml:space="preserve">IU: international units; </w:t>
      </w:r>
      <w:r w:rsidRPr="00674FBC">
        <w:rPr>
          <w:rFonts w:asciiTheme="minorHAnsi" w:hAnsiTheme="minorHAnsi" w:cstheme="minorHAnsi"/>
          <w:sz w:val="18"/>
          <w:szCs w:val="18"/>
        </w:rPr>
        <w:t xml:space="preserve">IV: intravenous, NIPT: non-invasive prenatal testing </w:t>
      </w:r>
    </w:p>
    <w:p w:rsidR="00A5685C" w:rsidRPr="00674FBC" w:rsidRDefault="00B70176" w:rsidP="00B70176">
      <w:pPr>
        <w:spacing w:before="80" w:after="0"/>
        <w:rPr>
          <w:rFonts w:asciiTheme="minorHAnsi" w:hAnsiTheme="minorHAnsi" w:cstheme="minorHAnsi"/>
          <w:sz w:val="18"/>
          <w:szCs w:val="18"/>
        </w:rPr>
      </w:pPr>
      <w:r w:rsidRPr="00674FBC">
        <w:rPr>
          <w:rFonts w:asciiTheme="minorHAnsi" w:eastAsiaTheme="minorHAnsi" w:hAnsiTheme="minorHAnsi" w:cstheme="minorHAnsi"/>
          <w:color w:val="000000"/>
          <w:sz w:val="18"/>
          <w:szCs w:val="18"/>
        </w:rPr>
        <w:t>anti-D - refers to circulating antibodies</w:t>
      </w:r>
      <w:r w:rsidR="00674FBC">
        <w:rPr>
          <w:rFonts w:asciiTheme="minorHAnsi" w:eastAsiaTheme="minorHAnsi" w:hAnsiTheme="minorHAnsi" w:cstheme="minorHAnsi"/>
          <w:color w:val="000000"/>
          <w:sz w:val="18"/>
          <w:szCs w:val="18"/>
        </w:rPr>
        <w:t xml:space="preserve">, </w:t>
      </w:r>
      <w:r w:rsidRPr="00674FBC">
        <w:rPr>
          <w:rFonts w:asciiTheme="minorHAnsi" w:eastAsiaTheme="minorHAnsi" w:hAnsiTheme="minorHAnsi" w:cstheme="minorHAnsi"/>
          <w:i/>
          <w:iCs/>
          <w:color w:val="000000"/>
          <w:sz w:val="18"/>
          <w:szCs w:val="18"/>
        </w:rPr>
        <w:t>RHD -</w:t>
      </w:r>
      <w:r w:rsidRPr="00674FBC">
        <w:rPr>
          <w:rFonts w:asciiTheme="minorHAnsi" w:eastAsiaTheme="minorHAnsi" w:hAnsiTheme="minorHAnsi" w:cstheme="minorHAnsi"/>
          <w:color w:val="000000"/>
          <w:sz w:val="18"/>
          <w:szCs w:val="18"/>
        </w:rPr>
        <w:t xml:space="preserve"> refers to genotype</w:t>
      </w:r>
      <w:r w:rsidR="00674FBC">
        <w:rPr>
          <w:rFonts w:asciiTheme="minorHAnsi" w:eastAsiaTheme="minorHAnsi" w:hAnsiTheme="minorHAnsi" w:cstheme="minorHAnsi"/>
          <w:color w:val="000000"/>
          <w:sz w:val="18"/>
          <w:szCs w:val="18"/>
        </w:rPr>
        <w:t>,</w:t>
      </w:r>
      <w:r w:rsidRPr="00674FBC">
        <w:rPr>
          <w:rFonts w:asciiTheme="minorHAnsi" w:eastAsiaTheme="minorHAnsi" w:hAnsiTheme="minorHAnsi" w:cstheme="minorHAnsi"/>
          <w:color w:val="000000"/>
          <w:sz w:val="18"/>
          <w:szCs w:val="18"/>
        </w:rPr>
        <w:t xml:space="preserve"> Rh D immunoglobulin - refers to the </w:t>
      </w:r>
      <w:r w:rsidR="00674FBC">
        <w:rPr>
          <w:rFonts w:asciiTheme="minorHAnsi" w:eastAsiaTheme="minorHAnsi" w:hAnsiTheme="minorHAnsi" w:cstheme="minorHAnsi"/>
          <w:color w:val="000000"/>
          <w:sz w:val="18"/>
          <w:szCs w:val="18"/>
        </w:rPr>
        <w:t>product,</w:t>
      </w:r>
      <w:r w:rsidRPr="00674FBC">
        <w:rPr>
          <w:rFonts w:asciiTheme="minorHAnsi" w:eastAsiaTheme="minorHAnsi" w:hAnsiTheme="minorHAnsi" w:cstheme="minorHAnsi"/>
          <w:color w:val="000000"/>
          <w:sz w:val="18"/>
          <w:szCs w:val="18"/>
        </w:rPr>
        <w:t xml:space="preserve"> Rh D positive/negative - refers to blood type</w:t>
      </w:r>
    </w:p>
    <w:p w:rsidR="00C57F15" w:rsidRDefault="00C57F15" w:rsidP="00C57F15">
      <w:pPr>
        <w:pStyle w:val="Tablefignotes"/>
        <w:spacing w:before="80" w:after="0"/>
        <w:ind w:left="0"/>
        <w:rPr>
          <w:rFonts w:asciiTheme="minorHAnsi" w:eastAsia="Dotum" w:hAnsiTheme="minorHAnsi" w:cs="Arial"/>
          <w:b/>
          <w:noProof/>
          <w:color w:val="648F90"/>
          <w:sz w:val="28"/>
          <w:szCs w:val="36"/>
        </w:rPr>
      </w:pPr>
      <w:r>
        <w:rPr>
          <w:rFonts w:asciiTheme="minorHAnsi" w:eastAsia="Dotum" w:hAnsiTheme="minorHAnsi" w:cs="Arial"/>
          <w:b/>
          <w:noProof/>
          <w:color w:val="648F90"/>
          <w:sz w:val="28"/>
          <w:szCs w:val="36"/>
        </w:rPr>
        <w:lastRenderedPageBreak/>
        <w:t>References</w:t>
      </w:r>
    </w:p>
    <w:p w:rsidR="00312704" w:rsidRPr="00312704" w:rsidRDefault="00312704" w:rsidP="00312704">
      <w:pPr>
        <w:pStyle w:val="Tablefignotes"/>
        <w:spacing w:before="80" w:after="0"/>
        <w:ind w:left="360"/>
        <w:rPr>
          <w:rFonts w:asciiTheme="minorHAnsi" w:eastAsia="Dotum" w:hAnsiTheme="minorHAnsi" w:cs="Arial"/>
          <w:noProof/>
          <w:color w:val="auto"/>
          <w:sz w:val="22"/>
          <w:szCs w:val="22"/>
        </w:rPr>
      </w:pPr>
    </w:p>
    <w:p w:rsidR="00312704" w:rsidRPr="00D61DA7" w:rsidRDefault="00312704" w:rsidP="00312704">
      <w:pPr>
        <w:pStyle w:val="EndNoteBibliography"/>
        <w:numPr>
          <w:ilvl w:val="0"/>
          <w:numId w:val="7"/>
        </w:numPr>
        <w:spacing w:after="240"/>
      </w:pPr>
      <w:r w:rsidRPr="00D61DA7">
        <w:t>The Royal Australian and New Zealand Colege of Obstetricians and Gynaecologists (RANZCOG) (2019). Routine antenatal assessment in the absence of pregnancy complications (c-obs 3b). (</w:t>
      </w:r>
      <w:hyperlink r:id="rId8" w:history="1">
        <w:r w:rsidRPr="00D61DA7">
          <w:rPr>
            <w:rStyle w:val="Hyperlink"/>
          </w:rPr>
          <w:t>https://ranzcog.edu.au/RANZCOG_SITE/media/RANZCOG-MEDIA/Women%27s%20Health/Statement%20and%20guidelines/Clinical-Obstetrics/Routine-antenatal-assessment-in-the-absence-of-pregnancy-complications-(C-Obs-3b)_2.pdf?ext=.pdf</w:t>
        </w:r>
      </w:hyperlink>
      <w:r w:rsidRPr="00D61DA7">
        <w:t>)</w:t>
      </w:r>
    </w:p>
    <w:p w:rsidR="00312704" w:rsidRDefault="00312704" w:rsidP="00312704">
      <w:pPr>
        <w:pStyle w:val="EndNoteBibliography"/>
        <w:numPr>
          <w:ilvl w:val="0"/>
          <w:numId w:val="7"/>
        </w:numPr>
        <w:spacing w:after="0"/>
        <w:ind w:left="357" w:hanging="357"/>
      </w:pPr>
      <w:r w:rsidRPr="00D61DA7">
        <w:t>National Institute of Health and Care Excellence (NICE) (2019). Abortion care. NICE guideline [NG140] [Internet]</w:t>
      </w:r>
    </w:p>
    <w:p w:rsidR="00312704" w:rsidRPr="00D61DA7" w:rsidRDefault="00312704" w:rsidP="00312704">
      <w:pPr>
        <w:pStyle w:val="EndNoteBibliography"/>
        <w:spacing w:after="240"/>
        <w:ind w:left="360"/>
      </w:pPr>
      <w:r w:rsidRPr="00D61DA7">
        <w:t>(</w:t>
      </w:r>
      <w:hyperlink r:id="rId9" w:history="1">
        <w:r w:rsidRPr="00D61DA7">
          <w:rPr>
            <w:rStyle w:val="Hyperlink"/>
          </w:rPr>
          <w:t>https://www.nice.org.uk/guidance/ng140</w:t>
        </w:r>
      </w:hyperlink>
      <w:r w:rsidRPr="00D61DA7">
        <w:t>)</w:t>
      </w:r>
    </w:p>
    <w:p w:rsidR="00312704" w:rsidRPr="00D61DA7" w:rsidRDefault="00312704" w:rsidP="00312704">
      <w:pPr>
        <w:pStyle w:val="EndNoteBibliography"/>
        <w:numPr>
          <w:ilvl w:val="0"/>
          <w:numId w:val="7"/>
        </w:numPr>
        <w:spacing w:after="240"/>
      </w:pPr>
      <w:r w:rsidRPr="00D61DA7">
        <w:t xml:space="preserve">Mark A, Foster AM, Grossman D, Prager SW, Reeves M, Velásquez CV, et al. (2019). Foregoing rh testing and anti-d immunoglobulin for women presenting for early abortion: A recommendation from the national abortion federation's clinical policies committee. </w:t>
      </w:r>
      <w:r w:rsidRPr="00D61DA7">
        <w:rPr>
          <w:i/>
        </w:rPr>
        <w:t>Contraception</w:t>
      </w:r>
      <w:r w:rsidRPr="00D61DA7">
        <w:t>. 99(5):265-6 (</w:t>
      </w:r>
      <w:hyperlink r:id="rId10" w:history="1">
        <w:r w:rsidRPr="00D61DA7">
          <w:rPr>
            <w:rStyle w:val="Hyperlink"/>
          </w:rPr>
          <w:t>www.ncbi.nlm.nih.gov/pubmed/30867121</w:t>
        </w:r>
      </w:hyperlink>
      <w:r w:rsidRPr="00D61DA7">
        <w:t>)</w:t>
      </w:r>
    </w:p>
    <w:p w:rsidR="00312704" w:rsidRPr="00D61DA7" w:rsidRDefault="00312704" w:rsidP="00312704">
      <w:pPr>
        <w:pStyle w:val="EndNoteBibliography"/>
        <w:numPr>
          <w:ilvl w:val="0"/>
          <w:numId w:val="7"/>
        </w:numPr>
        <w:spacing w:after="240"/>
      </w:pPr>
      <w:r w:rsidRPr="00D61DA7">
        <w:t xml:space="preserve">Lee D, Contreras M, Robson SC, Rodeck CH, Whittle MJ (1999). Recommendations for the use of anti-d immunoglobulin for rh prophylaxis. British blood transfusion society and the royal college of obstetricians and gynaecologists. </w:t>
      </w:r>
      <w:r w:rsidRPr="00D61DA7">
        <w:rPr>
          <w:i/>
        </w:rPr>
        <w:t>Transfus Med</w:t>
      </w:r>
      <w:r w:rsidRPr="00D61DA7">
        <w:t>. 9(1):93-7 (</w:t>
      </w:r>
      <w:hyperlink r:id="rId11" w:history="1">
        <w:r w:rsidRPr="00D61DA7">
          <w:rPr>
            <w:rStyle w:val="Hyperlink"/>
          </w:rPr>
          <w:t>https://pubmed.ncbi.nlm.nih.gov/10216910/</w:t>
        </w:r>
      </w:hyperlink>
      <w:r w:rsidRPr="00D61DA7">
        <w:t>)</w:t>
      </w:r>
    </w:p>
    <w:p w:rsidR="00312704" w:rsidRPr="00D61DA7" w:rsidRDefault="00312704" w:rsidP="00312704">
      <w:pPr>
        <w:pStyle w:val="EndNoteBibliography"/>
        <w:numPr>
          <w:ilvl w:val="0"/>
          <w:numId w:val="7"/>
        </w:numPr>
        <w:spacing w:after="240"/>
      </w:pPr>
      <w:r w:rsidRPr="00D61DA7">
        <w:t xml:space="preserve">Weinberg L (2001). Use of anti-d immunoglobulin in the treatment of threatened miscarriage in the accident and emergency department. </w:t>
      </w:r>
      <w:r w:rsidRPr="00D61DA7">
        <w:rPr>
          <w:i/>
        </w:rPr>
        <w:t>Emergency medicine journal : EMJ</w:t>
      </w:r>
      <w:r w:rsidRPr="00D61DA7">
        <w:t>. 18(6):444-7 (</w:t>
      </w:r>
      <w:hyperlink r:id="rId12" w:history="1">
        <w:r w:rsidRPr="00D61DA7">
          <w:rPr>
            <w:rStyle w:val="Hyperlink"/>
          </w:rPr>
          <w:t>https://pubmed.ncbi.nlm.nih.gov/11696491/</w:t>
        </w:r>
      </w:hyperlink>
      <w:r w:rsidRPr="00D61DA7">
        <w:t>)</w:t>
      </w:r>
    </w:p>
    <w:p w:rsidR="002805D2" w:rsidRDefault="002805D2" w:rsidP="002805D2">
      <w:pPr>
        <w:pStyle w:val="EndNoteBibliography"/>
        <w:numPr>
          <w:ilvl w:val="0"/>
          <w:numId w:val="7"/>
        </w:numPr>
        <w:spacing w:after="0"/>
        <w:ind w:left="357" w:hanging="357"/>
      </w:pPr>
      <w:r w:rsidRPr="00D61DA7">
        <w:t xml:space="preserve">Austin E, Bates S, de Silva M, Howarth D, Lubenko A, Rowley M, et al. (2009). Guidelines for the estimation of fetomaternal haemorrhage. London: Working Party of the British Committee for Standards in Haematology (BCSH), Transfusion Taskforce </w:t>
      </w:r>
    </w:p>
    <w:p w:rsidR="002805D2" w:rsidRPr="00D61DA7" w:rsidRDefault="002805D2" w:rsidP="002805D2">
      <w:pPr>
        <w:pStyle w:val="EndNoteBibliography"/>
        <w:spacing w:after="240"/>
        <w:ind w:left="360"/>
      </w:pPr>
      <w:r w:rsidRPr="00D61DA7">
        <w:t>(</w:t>
      </w:r>
      <w:hyperlink r:id="rId13" w:history="1">
        <w:r w:rsidRPr="00D61DA7">
          <w:rPr>
            <w:rStyle w:val="Hyperlink"/>
          </w:rPr>
          <w:t>https://b-s-h.org.uk/media/15705/transfusion-austin-the-estimation-of-fetomaternal-haemorrhage.pdf</w:t>
        </w:r>
      </w:hyperlink>
      <w:r w:rsidRPr="00D61DA7">
        <w:t>)</w:t>
      </w:r>
    </w:p>
    <w:p w:rsidR="002805D2" w:rsidRPr="002805D2" w:rsidRDefault="002805D2" w:rsidP="00C57F15">
      <w:pPr>
        <w:pStyle w:val="Tablefignotes"/>
        <w:numPr>
          <w:ilvl w:val="0"/>
          <w:numId w:val="7"/>
        </w:numPr>
        <w:spacing w:before="80" w:after="0"/>
        <w:rPr>
          <w:rFonts w:asciiTheme="minorHAnsi" w:eastAsia="Dotum" w:hAnsiTheme="minorHAnsi" w:cs="Arial"/>
          <w:noProof/>
          <w:color w:val="auto"/>
          <w:sz w:val="22"/>
          <w:szCs w:val="22"/>
        </w:rPr>
      </w:pPr>
      <w:r w:rsidRPr="002805D2">
        <w:rPr>
          <w:color w:val="auto"/>
          <w:sz w:val="22"/>
          <w:szCs w:val="22"/>
        </w:rPr>
        <w:t xml:space="preserve">Qureshi H, Massey E, Kirwan D, Davies T, Robson S, White J, et al. (2014). BCSH guideline for the use of anti-d immunoglobulin for the prevention of haemolytic disease of the fetus and newborn. </w:t>
      </w:r>
      <w:r w:rsidRPr="002805D2">
        <w:rPr>
          <w:i/>
          <w:color w:val="auto"/>
          <w:sz w:val="22"/>
          <w:szCs w:val="22"/>
        </w:rPr>
        <w:t>Transfus Med</w:t>
      </w:r>
      <w:r w:rsidRPr="002805D2">
        <w:rPr>
          <w:color w:val="auto"/>
          <w:sz w:val="22"/>
          <w:szCs w:val="22"/>
        </w:rPr>
        <w:t xml:space="preserve">. 24(1):8-20 </w:t>
      </w:r>
      <w:r w:rsidRPr="002805D2">
        <w:rPr>
          <w:sz w:val="22"/>
          <w:szCs w:val="22"/>
        </w:rPr>
        <w:t>(</w:t>
      </w:r>
    </w:p>
    <w:p w:rsidR="00C57F15" w:rsidRPr="002805D2" w:rsidRDefault="002805D2" w:rsidP="002805D2">
      <w:pPr>
        <w:pStyle w:val="Tablefignotes"/>
        <w:spacing w:before="80" w:after="0"/>
        <w:ind w:left="360"/>
        <w:rPr>
          <w:rFonts w:asciiTheme="minorHAnsi" w:eastAsia="Dotum" w:hAnsiTheme="minorHAnsi" w:cs="Arial"/>
          <w:noProof/>
          <w:color w:val="auto"/>
          <w:sz w:val="22"/>
          <w:szCs w:val="22"/>
        </w:rPr>
      </w:pPr>
      <w:r w:rsidRPr="002805D2">
        <w:rPr>
          <w:color w:val="auto"/>
          <w:sz w:val="22"/>
          <w:szCs w:val="22"/>
        </w:rPr>
        <w:t>(</w:t>
      </w:r>
      <w:hyperlink r:id="rId14" w:history="1">
        <w:r w:rsidRPr="002805D2">
          <w:rPr>
            <w:rStyle w:val="Hyperlink"/>
            <w:sz w:val="22"/>
            <w:szCs w:val="22"/>
          </w:rPr>
          <w:t>https://www.ncbi.nlm.nih.gov/pubmed/25121158</w:t>
        </w:r>
      </w:hyperlink>
      <w:r w:rsidRPr="002805D2">
        <w:rPr>
          <w:color w:val="auto"/>
          <w:sz w:val="22"/>
          <w:szCs w:val="22"/>
        </w:rPr>
        <w:t>)</w:t>
      </w:r>
    </w:p>
    <w:sectPr w:rsidR="00C57F15" w:rsidRPr="002805D2" w:rsidSect="00D928A6">
      <w:footerReference w:type="even" r:id="rId15"/>
      <w:footerReference w:type="default" r:id="rId16"/>
      <w:footerReference w:type="first" r:id="rId17"/>
      <w:pgSz w:w="11906" w:h="16838"/>
      <w:pgMar w:top="851" w:right="1133" w:bottom="426" w:left="851"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6A" w:rsidRDefault="008D796A" w:rsidP="00856708">
      <w:pPr>
        <w:spacing w:after="0"/>
      </w:pPr>
      <w:r>
        <w:separator/>
      </w:r>
    </w:p>
  </w:endnote>
  <w:endnote w:type="continuationSeparator" w:id="0">
    <w:p w:rsidR="008D796A" w:rsidRDefault="008D796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6F" w:rsidRPr="00856708" w:rsidRDefault="00954B6F" w:rsidP="006D6FB6">
    <w:pPr>
      <w:pStyle w:val="Footer"/>
      <w:tabs>
        <w:tab w:val="clear" w:pos="9026"/>
        <w:tab w:val="right" w:pos="9356"/>
      </w:tabs>
      <w:jc w:val="right"/>
      <w:rPr>
        <w:sz w:val="20"/>
        <w:szCs w:val="20"/>
      </w:rPr>
    </w:pPr>
    <w:r w:rsidRPr="00856708">
      <w:rPr>
        <w:sz w:val="20"/>
        <w:szCs w:val="20"/>
      </w:rPr>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F4945">
      <w:rPr>
        <w:noProof/>
        <w:sz w:val="20"/>
        <w:szCs w:val="20"/>
      </w:rPr>
      <w:t>2</w:t>
    </w:r>
    <w:r w:rsidRPr="00856708">
      <w:rPr>
        <w:sz w:val="20"/>
        <w:szCs w:val="20"/>
      </w:rPr>
      <w:fldChar w:fldCharType="end"/>
    </w:r>
  </w:p>
  <w:p w:rsidR="00954B6F" w:rsidRDefault="00954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281265"/>
      <w:docPartObj>
        <w:docPartGallery w:val="Page Numbers (Bottom of Page)"/>
        <w:docPartUnique/>
      </w:docPartObj>
    </w:sdtPr>
    <w:sdtEndPr>
      <w:rPr>
        <w:noProof/>
      </w:rPr>
    </w:sdtEndPr>
    <w:sdtContent>
      <w:p w:rsidR="00856708" w:rsidRPr="003F4945" w:rsidRDefault="006D6FB6" w:rsidP="00B51EDE">
        <w:pPr>
          <w:pStyle w:val="Footer"/>
          <w:jc w:val="right"/>
        </w:pPr>
        <w:r>
          <w:fldChar w:fldCharType="begin"/>
        </w:r>
        <w:r>
          <w:instrText xml:space="preserve"> PAGE   \* MERGEFORMAT </w:instrText>
        </w:r>
        <w:r>
          <w:fldChar w:fldCharType="separate"/>
        </w:r>
        <w:r w:rsidR="00365FE4">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45" w:rsidRDefault="003F494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6D6FB6" w:rsidRDefault="006D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6A" w:rsidRDefault="008D796A" w:rsidP="00856708">
      <w:pPr>
        <w:spacing w:after="0"/>
      </w:pPr>
      <w:r>
        <w:separator/>
      </w:r>
    </w:p>
  </w:footnote>
  <w:footnote w:type="continuationSeparator" w:id="0">
    <w:p w:rsidR="008D796A" w:rsidRDefault="008D796A" w:rsidP="00856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777"/>
    <w:multiLevelType w:val="hybridMultilevel"/>
    <w:tmpl w:val="1C5C6C82"/>
    <w:lvl w:ilvl="0" w:tplc="0F0A6E9E">
      <w:start w:val="1"/>
      <w:numFmt w:val="bullet"/>
      <w:lvlText w:val=""/>
      <w:lvlJc w:val="left"/>
      <w:pPr>
        <w:ind w:left="417" w:hanging="360"/>
      </w:pPr>
      <w:rPr>
        <w:rFonts w:ascii="Symbol" w:hAnsi="Symbol" w:hint="default"/>
        <w:sz w:val="16"/>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6B143A"/>
    <w:multiLevelType w:val="hybridMultilevel"/>
    <w:tmpl w:val="B65EE5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46332AF"/>
    <w:multiLevelType w:val="hybridMultilevel"/>
    <w:tmpl w:val="75E8C89C"/>
    <w:lvl w:ilvl="0" w:tplc="803CF162">
      <w:start w:val="1"/>
      <w:numFmt w:val="bullet"/>
      <w:pStyle w:val="Tablebullet"/>
      <w:lvlText w:val=""/>
      <w:lvlJc w:val="left"/>
      <w:pPr>
        <w:ind w:left="425" w:hanging="360"/>
      </w:pPr>
      <w:rPr>
        <w:rFonts w:ascii="Symbol" w:hAnsi="Symbol" w:hint="default"/>
      </w:rPr>
    </w:lvl>
    <w:lvl w:ilvl="1" w:tplc="0C090003">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7755D0"/>
    <w:multiLevelType w:val="hybridMultilevel"/>
    <w:tmpl w:val="49FE2C0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6"/>
  </w:num>
  <w:num w:numId="5">
    <w:abstractNumId w:val="1"/>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44"/>
    <w:rsid w:val="00006E04"/>
    <w:rsid w:val="00036EDC"/>
    <w:rsid w:val="00052544"/>
    <w:rsid w:val="00060586"/>
    <w:rsid w:val="000C5F77"/>
    <w:rsid w:val="000D3358"/>
    <w:rsid w:val="001209BC"/>
    <w:rsid w:val="00121DDB"/>
    <w:rsid w:val="001250EE"/>
    <w:rsid w:val="00182AF6"/>
    <w:rsid w:val="001D0DEE"/>
    <w:rsid w:val="002537F2"/>
    <w:rsid w:val="00254638"/>
    <w:rsid w:val="002805D2"/>
    <w:rsid w:val="0028747C"/>
    <w:rsid w:val="00295CD3"/>
    <w:rsid w:val="002A161C"/>
    <w:rsid w:val="002B4B35"/>
    <w:rsid w:val="002C2EB5"/>
    <w:rsid w:val="002E73AF"/>
    <w:rsid w:val="002E7B9D"/>
    <w:rsid w:val="002F076E"/>
    <w:rsid w:val="00312704"/>
    <w:rsid w:val="00325072"/>
    <w:rsid w:val="003465E7"/>
    <w:rsid w:val="00354C41"/>
    <w:rsid w:val="00365FE4"/>
    <w:rsid w:val="003A3E01"/>
    <w:rsid w:val="003D27F1"/>
    <w:rsid w:val="003F4945"/>
    <w:rsid w:val="00467297"/>
    <w:rsid w:val="00485699"/>
    <w:rsid w:val="004A2315"/>
    <w:rsid w:val="004D4636"/>
    <w:rsid w:val="00511428"/>
    <w:rsid w:val="00540020"/>
    <w:rsid w:val="005564DE"/>
    <w:rsid w:val="005A00E7"/>
    <w:rsid w:val="005C6AFB"/>
    <w:rsid w:val="00610DFD"/>
    <w:rsid w:val="00674FBC"/>
    <w:rsid w:val="006D6FB6"/>
    <w:rsid w:val="007B4594"/>
    <w:rsid w:val="007C07A1"/>
    <w:rsid w:val="007C2438"/>
    <w:rsid w:val="00856708"/>
    <w:rsid w:val="00874A8F"/>
    <w:rsid w:val="00893E0A"/>
    <w:rsid w:val="008D796A"/>
    <w:rsid w:val="008F3DE4"/>
    <w:rsid w:val="00906E9F"/>
    <w:rsid w:val="00926314"/>
    <w:rsid w:val="00946674"/>
    <w:rsid w:val="00951B85"/>
    <w:rsid w:val="00954B6F"/>
    <w:rsid w:val="00986FFE"/>
    <w:rsid w:val="009D612C"/>
    <w:rsid w:val="009E38CC"/>
    <w:rsid w:val="00A5685C"/>
    <w:rsid w:val="00A90931"/>
    <w:rsid w:val="00AC695A"/>
    <w:rsid w:val="00B3726E"/>
    <w:rsid w:val="00B51EDE"/>
    <w:rsid w:val="00B54853"/>
    <w:rsid w:val="00B57901"/>
    <w:rsid w:val="00B65EF9"/>
    <w:rsid w:val="00B70176"/>
    <w:rsid w:val="00BD2E3D"/>
    <w:rsid w:val="00C57F15"/>
    <w:rsid w:val="00CC0B94"/>
    <w:rsid w:val="00D76C29"/>
    <w:rsid w:val="00D928A6"/>
    <w:rsid w:val="00E175BA"/>
    <w:rsid w:val="00E2374E"/>
    <w:rsid w:val="00E35748"/>
    <w:rsid w:val="00E575BC"/>
    <w:rsid w:val="00E83FF0"/>
    <w:rsid w:val="00EC7FB9"/>
    <w:rsid w:val="00F0033C"/>
    <w:rsid w:val="00F11FD2"/>
    <w:rsid w:val="00F62FC8"/>
    <w:rsid w:val="00FE2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41CA8B5-0287-42D7-896A-63E8B4DB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44"/>
    <w:pPr>
      <w:spacing w:line="240" w:lineRule="auto"/>
    </w:pPr>
    <w:rPr>
      <w:rFonts w:ascii="Calibri" w:eastAsia="Dotum" w:hAnsi="Calibri" w:cs="Calibri"/>
    </w:rPr>
  </w:style>
  <w:style w:type="paragraph" w:styleId="Heading1">
    <w:name w:val="heading 1"/>
    <w:next w:val="Normal"/>
    <w:link w:val="Heading1Char"/>
    <w:uiPriority w:val="9"/>
    <w:qFormat/>
    <w:rsid w:val="002B4B35"/>
    <w:pPr>
      <w:widowControl w:val="0"/>
      <w:spacing w:before="360" w:after="120" w:line="240" w:lineRule="auto"/>
      <w:ind w:right="6"/>
      <w:outlineLvl w:val="0"/>
    </w:pPr>
    <w:rPr>
      <w:rFonts w:eastAsia="HYGothic-Extra" w:cs="Calibri"/>
      <w:b/>
      <w:bCs/>
      <w:color w:val="21265E"/>
      <w:spacing w:val="-20"/>
      <w:sz w:val="36"/>
      <w:szCs w:val="72"/>
    </w:rPr>
  </w:style>
  <w:style w:type="paragraph" w:styleId="Heading2">
    <w:name w:val="heading 2"/>
    <w:next w:val="Normal"/>
    <w:link w:val="Heading2Char"/>
    <w:uiPriority w:val="9"/>
    <w:unhideWhenUsed/>
    <w:qFormat/>
    <w:rsid w:val="002B4B35"/>
    <w:pPr>
      <w:spacing w:before="120" w:after="120" w:line="240" w:lineRule="auto"/>
      <w:contextualSpacing/>
      <w:outlineLvl w:val="1"/>
    </w:pPr>
    <w:rPr>
      <w:rFonts w:eastAsia="Dotum" w:cs="Arial"/>
      <w:b/>
      <w:color w:val="648F90"/>
      <w:sz w:val="28"/>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5"/>
    <w:rPr>
      <w:rFonts w:eastAsia="HYGothic-Extra" w:cs="Calibri"/>
      <w:b/>
      <w:bCs/>
      <w:color w:val="21265E"/>
      <w:spacing w:val="-20"/>
      <w:sz w:val="36"/>
      <w:szCs w:val="72"/>
    </w:rPr>
  </w:style>
  <w:style w:type="character" w:customStyle="1" w:styleId="Heading2Char">
    <w:name w:val="Heading 2 Char"/>
    <w:basedOn w:val="DefaultParagraphFont"/>
    <w:link w:val="Heading2"/>
    <w:uiPriority w:val="9"/>
    <w:rsid w:val="002B4B35"/>
    <w:rPr>
      <w:rFonts w:eastAsia="Dotum" w:cs="Arial"/>
      <w:b/>
      <w:color w:val="648F90"/>
      <w:sz w:val="28"/>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HTAtableplain"/>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unhideWhenUsed/>
    <w:rsid w:val="00052544"/>
    <w:rPr>
      <w:sz w:val="16"/>
      <w:szCs w:val="16"/>
    </w:rPr>
  </w:style>
  <w:style w:type="character" w:styleId="Emphasis">
    <w:name w:val="Emphasis"/>
    <w:basedOn w:val="DefaultParagraphFont"/>
    <w:uiPriority w:val="20"/>
    <w:qFormat/>
    <w:rsid w:val="00052544"/>
    <w:rPr>
      <w:i/>
      <w:iCs/>
    </w:rPr>
  </w:style>
  <w:style w:type="character" w:styleId="Strong">
    <w:name w:val="Strong"/>
    <w:uiPriority w:val="22"/>
    <w:qFormat/>
    <w:rsid w:val="00052544"/>
    <w:rPr>
      <w:b/>
      <w:bCs/>
    </w:rPr>
  </w:style>
  <w:style w:type="paragraph" w:customStyle="1" w:styleId="TableH1">
    <w:name w:val="Table H1"/>
    <w:basedOn w:val="BodyText"/>
    <w:link w:val="TableH1Char"/>
    <w:uiPriority w:val="4"/>
    <w:qFormat/>
    <w:rsid w:val="002B4B35"/>
    <w:pPr>
      <w:keepNext/>
      <w:spacing w:before="20" w:after="20" w:line="240" w:lineRule="auto"/>
      <w:ind w:left="57" w:right="57"/>
    </w:pPr>
    <w:rPr>
      <w:color w:val="FFFFFF"/>
      <w:szCs w:val="16"/>
    </w:rPr>
  </w:style>
  <w:style w:type="paragraph" w:styleId="BodyText">
    <w:name w:val="Body Text"/>
    <w:link w:val="BodyTextChar"/>
    <w:qFormat/>
    <w:rsid w:val="00052544"/>
    <w:pPr>
      <w:spacing w:after="120"/>
    </w:pPr>
    <w:rPr>
      <w:rFonts w:ascii="Calibri" w:eastAsia="Calibri" w:hAnsi="Calibri" w:cs="Calibri"/>
      <w:szCs w:val="20"/>
    </w:rPr>
  </w:style>
  <w:style w:type="character" w:customStyle="1" w:styleId="BodyTextChar">
    <w:name w:val="Body Text Char"/>
    <w:basedOn w:val="DefaultParagraphFont"/>
    <w:link w:val="BodyText"/>
    <w:rsid w:val="00052544"/>
    <w:rPr>
      <w:rFonts w:ascii="Calibri" w:eastAsia="Calibri" w:hAnsi="Calibri" w:cs="Calibri"/>
      <w:szCs w:val="20"/>
    </w:rPr>
  </w:style>
  <w:style w:type="character" w:customStyle="1" w:styleId="TableH1Char">
    <w:name w:val="Table H1 Char"/>
    <w:basedOn w:val="DefaultParagraphFont"/>
    <w:link w:val="TableH1"/>
    <w:uiPriority w:val="4"/>
    <w:locked/>
    <w:rsid w:val="002B4B35"/>
    <w:rPr>
      <w:rFonts w:ascii="Calibri" w:eastAsia="Calibri" w:hAnsi="Calibri" w:cs="Calibri"/>
      <w:color w:val="FFFFFF"/>
      <w:szCs w:val="16"/>
    </w:rPr>
  </w:style>
  <w:style w:type="paragraph" w:customStyle="1" w:styleId="Tablefignotes">
    <w:name w:val="Tablefignotes"/>
    <w:basedOn w:val="TableH1"/>
    <w:qFormat/>
    <w:rsid w:val="00052544"/>
    <w:pPr>
      <w:spacing w:after="120"/>
    </w:pPr>
    <w:rPr>
      <w:sz w:val="16"/>
    </w:rPr>
  </w:style>
  <w:style w:type="paragraph" w:customStyle="1" w:styleId="Tabletext9pt">
    <w:name w:val="Table text 9pt"/>
    <w:basedOn w:val="Normal"/>
    <w:link w:val="Tabletext9ptChar"/>
    <w:qFormat/>
    <w:rsid w:val="00052544"/>
    <w:pPr>
      <w:tabs>
        <w:tab w:val="left" w:pos="147"/>
      </w:tabs>
      <w:spacing w:before="60" w:after="20"/>
    </w:pPr>
    <w:rPr>
      <w:rFonts w:cstheme="minorHAnsi"/>
      <w:sz w:val="18"/>
      <w:szCs w:val="18"/>
    </w:rPr>
  </w:style>
  <w:style w:type="character" w:customStyle="1" w:styleId="Tabletext9ptChar">
    <w:name w:val="Table text 9pt Char"/>
    <w:basedOn w:val="TableH1Char"/>
    <w:link w:val="Tabletext9pt"/>
    <w:rsid w:val="00052544"/>
    <w:rPr>
      <w:rFonts w:ascii="Calibri" w:eastAsia="Dotum" w:hAnsi="Calibri" w:cstheme="minorHAnsi"/>
      <w:color w:val="FFFFFF"/>
      <w:sz w:val="18"/>
      <w:szCs w:val="18"/>
    </w:rPr>
  </w:style>
  <w:style w:type="paragraph" w:customStyle="1" w:styleId="TableH2">
    <w:name w:val="Table H2"/>
    <w:basedOn w:val="TableH1"/>
    <w:link w:val="TableH2Char"/>
    <w:qFormat/>
    <w:rsid w:val="002B4B35"/>
    <w:pPr>
      <w:keepNext w:val="0"/>
      <w:spacing w:before="40" w:after="40"/>
    </w:pPr>
    <w:rPr>
      <w:rFonts w:asciiTheme="minorHAnsi" w:hAnsiTheme="minorHAnsi" w:cstheme="minorHAnsi"/>
      <w:b/>
      <w:noProof/>
      <w:color w:val="auto"/>
      <w:szCs w:val="20"/>
    </w:rPr>
  </w:style>
  <w:style w:type="character" w:styleId="Hyperlink">
    <w:name w:val="Hyperlink"/>
    <w:uiPriority w:val="99"/>
    <w:unhideWhenUsed/>
    <w:rsid w:val="00312704"/>
    <w:rPr>
      <w:strike w:val="0"/>
      <w:dstrike w:val="0"/>
      <w:color w:val="004276"/>
      <w:u w:val="none"/>
      <w:effect w:val="none"/>
    </w:rPr>
  </w:style>
  <w:style w:type="character" w:customStyle="1" w:styleId="TableH2Char">
    <w:name w:val="Table H2 Char"/>
    <w:basedOn w:val="TableH1Char"/>
    <w:link w:val="TableH2"/>
    <w:rsid w:val="002B4B35"/>
    <w:rPr>
      <w:rFonts w:ascii="Calibri" w:eastAsia="Calibri" w:hAnsi="Calibri" w:cstheme="minorHAnsi"/>
      <w:b/>
      <w:noProof/>
      <w:color w:val="FFFFFF"/>
      <w:szCs w:val="20"/>
    </w:rPr>
  </w:style>
  <w:style w:type="paragraph" w:customStyle="1" w:styleId="EndNoteBibliography">
    <w:name w:val="EndNote Bibliography"/>
    <w:basedOn w:val="Normal"/>
    <w:link w:val="EndNoteBibliographyChar"/>
    <w:rsid w:val="00312704"/>
    <w:rPr>
      <w:noProof/>
      <w:szCs w:val="20"/>
      <w:lang w:val="en-US"/>
    </w:rPr>
  </w:style>
  <w:style w:type="character" w:customStyle="1" w:styleId="EndNoteBibliographyChar">
    <w:name w:val="EndNote Bibliography Char"/>
    <w:basedOn w:val="BodyTextChar"/>
    <w:link w:val="EndNoteBibliography"/>
    <w:rsid w:val="00312704"/>
    <w:rPr>
      <w:rFonts w:ascii="Calibri" w:eastAsia="Dotum" w:hAnsi="Calibri" w:cs="Calibri"/>
      <w:noProof/>
      <w:szCs w:val="20"/>
      <w:lang w:val="en-US"/>
    </w:rPr>
  </w:style>
  <w:style w:type="character" w:styleId="FollowedHyperlink">
    <w:name w:val="FollowedHyperlink"/>
    <w:basedOn w:val="DefaultParagraphFont"/>
    <w:uiPriority w:val="99"/>
    <w:semiHidden/>
    <w:unhideWhenUsed/>
    <w:rsid w:val="00312704"/>
    <w:rPr>
      <w:color w:val="800080" w:themeColor="followedHyperlink"/>
      <w:u w:val="single"/>
    </w:rPr>
  </w:style>
  <w:style w:type="paragraph" w:styleId="BalloonText">
    <w:name w:val="Balloon Text"/>
    <w:basedOn w:val="Normal"/>
    <w:link w:val="BalloonTextChar"/>
    <w:uiPriority w:val="99"/>
    <w:semiHidden/>
    <w:unhideWhenUsed/>
    <w:rsid w:val="00FE22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D2"/>
    <w:rPr>
      <w:rFonts w:ascii="Segoe UI" w:eastAsia="Dotum" w:hAnsi="Segoe UI" w:cs="Segoe UI"/>
      <w:sz w:val="18"/>
      <w:szCs w:val="18"/>
    </w:rPr>
  </w:style>
  <w:style w:type="paragraph" w:customStyle="1" w:styleId="Tabletext">
    <w:name w:val="Table text"/>
    <w:basedOn w:val="BodyText"/>
    <w:link w:val="TabletextChar"/>
    <w:uiPriority w:val="4"/>
    <w:qFormat/>
    <w:rsid w:val="00A5685C"/>
    <w:pPr>
      <w:keepNext/>
      <w:spacing w:before="20" w:after="20" w:line="240" w:lineRule="auto"/>
      <w:ind w:left="57" w:right="57"/>
    </w:pPr>
    <w:rPr>
      <w:sz w:val="20"/>
      <w:szCs w:val="16"/>
    </w:rPr>
  </w:style>
  <w:style w:type="paragraph" w:customStyle="1" w:styleId="Tablebullet">
    <w:name w:val="Table bullet"/>
    <w:uiPriority w:val="4"/>
    <w:rsid w:val="00A5685C"/>
    <w:pPr>
      <w:numPr>
        <w:numId w:val="8"/>
      </w:numPr>
      <w:spacing w:before="40" w:after="60" w:line="240" w:lineRule="auto"/>
      <w:ind w:left="227" w:hanging="170"/>
    </w:pPr>
    <w:rPr>
      <w:rFonts w:ascii="Calibri" w:eastAsia="Times New Roman" w:hAnsi="Calibri" w:cs="Calibri"/>
      <w:bCs/>
      <w:noProof/>
      <w:color w:val="000000"/>
      <w:sz w:val="20"/>
      <w:szCs w:val="20"/>
    </w:rPr>
  </w:style>
  <w:style w:type="paragraph" w:customStyle="1" w:styleId="TableFigNotes18">
    <w:name w:val="TableFigNotes+18"/>
    <w:basedOn w:val="Normal"/>
    <w:next w:val="BodyText"/>
    <w:link w:val="TableFigNotes18Char"/>
    <w:uiPriority w:val="4"/>
    <w:qFormat/>
    <w:rsid w:val="00A5685C"/>
    <w:pPr>
      <w:spacing w:after="360"/>
      <w:ind w:left="284" w:hanging="284"/>
      <w:contextualSpacing/>
    </w:pPr>
    <w:rPr>
      <w:sz w:val="16"/>
    </w:rPr>
  </w:style>
  <w:style w:type="character" w:customStyle="1" w:styleId="TabletextChar">
    <w:name w:val="Table text Char"/>
    <w:basedOn w:val="DefaultParagraphFont"/>
    <w:link w:val="Tabletext"/>
    <w:uiPriority w:val="4"/>
    <w:locked/>
    <w:rsid w:val="00A5685C"/>
    <w:rPr>
      <w:rFonts w:ascii="Calibri" w:eastAsia="Calibri" w:hAnsi="Calibri" w:cs="Calibri"/>
      <w:sz w:val="20"/>
      <w:szCs w:val="16"/>
    </w:rPr>
  </w:style>
  <w:style w:type="character" w:customStyle="1" w:styleId="TableFigNotes18Char">
    <w:name w:val="TableFigNotes+18 Char"/>
    <w:basedOn w:val="DefaultParagraphFont"/>
    <w:link w:val="TableFigNotes18"/>
    <w:uiPriority w:val="4"/>
    <w:locked/>
    <w:rsid w:val="00A5685C"/>
    <w:rPr>
      <w:rFonts w:ascii="Calibri" w:eastAsia="Dotum"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zcog.edu.au/RANZCOG_SITE/media/RANZCOG-MEDIA/Women%27s%20Health/Statement%20and%20guidelines/Clinical-Obstetrics/Routine-antenatal-assessment-in-the-absence-of-pregnancy-complications-(C-Obs-3b)_2.pdf?ext=.pdf" TargetMode="External"/><Relationship Id="rId13" Type="http://schemas.openxmlformats.org/officeDocument/2006/relationships/hyperlink" Target="https://b-s-h.org.uk/media/15705/transfusion-austin-the-estimation-of-fetomaternal-haemorrha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1169649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02169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308671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ng140" TargetMode="External"/><Relationship Id="rId14" Type="http://schemas.openxmlformats.org/officeDocument/2006/relationships/hyperlink" Target="https://www.ncbi.nlm.nih.gov/pubmed/25121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E344-4C72-4AE5-B775-C0BF09C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Cassoni, Donna</dc:creator>
  <cp:keywords/>
  <dc:description/>
  <cp:lastModifiedBy>Sharma, Pritanjali</cp:lastModifiedBy>
  <cp:revision>2</cp:revision>
  <cp:lastPrinted>2020-08-26T05:44:00Z</cp:lastPrinted>
  <dcterms:created xsi:type="dcterms:W3CDTF">2021-08-02T02:08:00Z</dcterms:created>
  <dcterms:modified xsi:type="dcterms:W3CDTF">2021-08-02T02:08:00Z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e58c649b-6f40-46fb-bafd-e74cdd741199</vt:lpwstr>
  </property>
</Properties>
</file>