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F76EC" w14:textId="3D63CA98" w:rsidR="00965187" w:rsidRPr="000C50B8" w:rsidRDefault="000C50B8" w:rsidP="00965187">
      <w:pPr>
        <w:rPr>
          <w:rFonts w:cstheme="minorHAnsi"/>
          <w:b/>
          <w:bCs/>
          <w:sz w:val="36"/>
          <w:szCs w:val="36"/>
        </w:rPr>
      </w:pPr>
      <w:r w:rsidRPr="000C50B8">
        <w:rPr>
          <w:rFonts w:cstheme="minorHAnsi"/>
          <w:b/>
          <w:bCs/>
          <w:sz w:val="36"/>
          <w:szCs w:val="36"/>
        </w:rPr>
        <w:t xml:space="preserve">Round 1 Project Summary, Publications, aims and objectives </w:t>
      </w:r>
    </w:p>
    <w:tbl>
      <w:tblPr>
        <w:tblW w:w="23106" w:type="dxa"/>
        <w:tblInd w:w="-1144" w:type="dxa"/>
        <w:tblLayout w:type="fixed"/>
        <w:tblCellMar>
          <w:left w:w="0" w:type="dxa"/>
          <w:right w:w="0" w:type="dxa"/>
        </w:tblCellMar>
        <w:tblLook w:val="0420" w:firstRow="1" w:lastRow="0" w:firstColumn="0" w:lastColumn="0" w:noHBand="0" w:noVBand="1"/>
      </w:tblPr>
      <w:tblGrid>
        <w:gridCol w:w="1843"/>
        <w:gridCol w:w="2126"/>
        <w:gridCol w:w="1701"/>
        <w:gridCol w:w="1418"/>
        <w:gridCol w:w="1417"/>
        <w:gridCol w:w="3828"/>
        <w:gridCol w:w="6662"/>
        <w:gridCol w:w="4111"/>
      </w:tblGrid>
      <w:tr w:rsidR="00965187" w:rsidRPr="008F4079" w14:paraId="2C2A0C56" w14:textId="77777777" w:rsidTr="00A264CD">
        <w:trPr>
          <w:trHeight w:val="962"/>
        </w:trPr>
        <w:tc>
          <w:tcPr>
            <w:tcW w:w="1843"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767171" w:themeFill="background2" w:themeFillShade="80"/>
            <w:tcMar>
              <w:top w:w="72" w:type="dxa"/>
              <w:left w:w="144" w:type="dxa"/>
              <w:bottom w:w="72" w:type="dxa"/>
              <w:right w:w="144" w:type="dxa"/>
            </w:tcMar>
            <w:hideMark/>
          </w:tcPr>
          <w:p w14:paraId="3C623605" w14:textId="77777777" w:rsidR="00965187" w:rsidRPr="008F4079" w:rsidRDefault="00965187" w:rsidP="00A264CD">
            <w:pPr>
              <w:rPr>
                <w:rFonts w:cstheme="minorHAnsi"/>
                <w:color w:val="FFFFFF" w:themeColor="background1"/>
              </w:rPr>
            </w:pPr>
            <w:r w:rsidRPr="008F4079">
              <w:rPr>
                <w:rFonts w:cstheme="minorHAnsi"/>
                <w:b/>
                <w:bCs/>
                <w:color w:val="FFFFFF" w:themeColor="background1"/>
              </w:rPr>
              <w:t>Grant type</w:t>
            </w:r>
          </w:p>
        </w:tc>
        <w:tc>
          <w:tcPr>
            <w:tcW w:w="2126"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767171" w:themeFill="background2" w:themeFillShade="80"/>
            <w:tcMar>
              <w:top w:w="72" w:type="dxa"/>
              <w:left w:w="144" w:type="dxa"/>
              <w:bottom w:w="72" w:type="dxa"/>
              <w:right w:w="144" w:type="dxa"/>
            </w:tcMar>
            <w:hideMark/>
          </w:tcPr>
          <w:p w14:paraId="1EBF2214" w14:textId="77777777" w:rsidR="00965187" w:rsidRPr="008F4079" w:rsidRDefault="00965187" w:rsidP="00A264CD">
            <w:pPr>
              <w:rPr>
                <w:rFonts w:cstheme="minorHAnsi"/>
                <w:color w:val="FFFFFF" w:themeColor="background1"/>
              </w:rPr>
            </w:pPr>
            <w:r w:rsidRPr="008F4079">
              <w:rPr>
                <w:rFonts w:cstheme="minorHAnsi"/>
                <w:b/>
                <w:bCs/>
                <w:color w:val="FFFFFF" w:themeColor="background1"/>
              </w:rPr>
              <w:t>Project Title</w:t>
            </w:r>
          </w:p>
        </w:tc>
        <w:tc>
          <w:tcPr>
            <w:tcW w:w="1701"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767171" w:themeFill="background2" w:themeFillShade="80"/>
            <w:tcMar>
              <w:top w:w="72" w:type="dxa"/>
              <w:left w:w="144" w:type="dxa"/>
              <w:bottom w:w="72" w:type="dxa"/>
              <w:right w:w="144" w:type="dxa"/>
            </w:tcMar>
            <w:hideMark/>
          </w:tcPr>
          <w:p w14:paraId="258B1EF3" w14:textId="77777777" w:rsidR="00965187" w:rsidRPr="008F4079" w:rsidRDefault="00965187" w:rsidP="00A264CD">
            <w:pPr>
              <w:rPr>
                <w:rFonts w:cstheme="minorHAnsi"/>
                <w:color w:val="FFFFFF" w:themeColor="background1"/>
              </w:rPr>
            </w:pPr>
            <w:r w:rsidRPr="008F4079">
              <w:rPr>
                <w:rFonts w:cstheme="minorHAnsi"/>
                <w:b/>
                <w:bCs/>
                <w:color w:val="FFFFFF" w:themeColor="background1"/>
              </w:rPr>
              <w:t xml:space="preserve">Administering </w:t>
            </w:r>
            <w:r>
              <w:rPr>
                <w:rFonts w:cstheme="minorHAnsi"/>
                <w:b/>
                <w:bCs/>
                <w:color w:val="FFFFFF" w:themeColor="background1"/>
              </w:rPr>
              <w:t>I</w:t>
            </w:r>
            <w:r w:rsidRPr="008F4079">
              <w:rPr>
                <w:rFonts w:cstheme="minorHAnsi"/>
                <w:b/>
                <w:bCs/>
                <w:color w:val="FFFFFF" w:themeColor="background1"/>
              </w:rPr>
              <w:t>nstitute</w:t>
            </w:r>
          </w:p>
        </w:tc>
        <w:tc>
          <w:tcPr>
            <w:tcW w:w="1418"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767171" w:themeFill="background2" w:themeFillShade="80"/>
            <w:tcMar>
              <w:top w:w="72" w:type="dxa"/>
              <w:left w:w="144" w:type="dxa"/>
              <w:bottom w:w="72" w:type="dxa"/>
              <w:right w:w="144" w:type="dxa"/>
            </w:tcMar>
            <w:hideMark/>
          </w:tcPr>
          <w:p w14:paraId="652F2744" w14:textId="77777777" w:rsidR="00965187" w:rsidRPr="008F4079" w:rsidRDefault="00965187" w:rsidP="00A264CD">
            <w:pPr>
              <w:rPr>
                <w:rFonts w:cstheme="minorHAnsi"/>
                <w:color w:val="FFFFFF" w:themeColor="background1"/>
              </w:rPr>
            </w:pPr>
            <w:r w:rsidRPr="008F4079">
              <w:rPr>
                <w:rFonts w:cstheme="minorHAnsi"/>
                <w:b/>
                <w:bCs/>
                <w:color w:val="FFFFFF" w:themeColor="background1"/>
              </w:rPr>
              <w:t>Amount (inc. GST)</w:t>
            </w:r>
          </w:p>
        </w:tc>
        <w:tc>
          <w:tcPr>
            <w:tcW w:w="1417"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767171" w:themeFill="background2" w:themeFillShade="80"/>
            <w:tcMar>
              <w:top w:w="72" w:type="dxa"/>
              <w:left w:w="144" w:type="dxa"/>
              <w:bottom w:w="72" w:type="dxa"/>
              <w:right w:w="144" w:type="dxa"/>
            </w:tcMar>
            <w:hideMark/>
          </w:tcPr>
          <w:p w14:paraId="5D02577C" w14:textId="77777777" w:rsidR="00965187" w:rsidRPr="008F4079" w:rsidRDefault="00965187" w:rsidP="00A264CD">
            <w:pPr>
              <w:rPr>
                <w:rFonts w:cstheme="minorHAnsi"/>
                <w:color w:val="FFFFFF" w:themeColor="background1"/>
              </w:rPr>
            </w:pPr>
            <w:r w:rsidRPr="008F4079">
              <w:rPr>
                <w:rFonts w:cstheme="minorHAnsi"/>
                <w:b/>
                <w:bCs/>
                <w:color w:val="FFFFFF" w:themeColor="background1"/>
              </w:rPr>
              <w:t xml:space="preserve">Principal </w:t>
            </w:r>
            <w:r>
              <w:rPr>
                <w:rFonts w:cstheme="minorHAnsi"/>
                <w:b/>
                <w:bCs/>
                <w:color w:val="FFFFFF" w:themeColor="background1"/>
              </w:rPr>
              <w:t>C</w:t>
            </w:r>
            <w:r w:rsidRPr="008F4079">
              <w:rPr>
                <w:rFonts w:cstheme="minorHAnsi"/>
                <w:b/>
                <w:bCs/>
                <w:color w:val="FFFFFF" w:themeColor="background1"/>
              </w:rPr>
              <w:t xml:space="preserve">hief </w:t>
            </w:r>
            <w:r>
              <w:rPr>
                <w:rFonts w:cstheme="minorHAnsi"/>
                <w:b/>
                <w:bCs/>
                <w:color w:val="FFFFFF" w:themeColor="background1"/>
              </w:rPr>
              <w:t>I</w:t>
            </w:r>
            <w:r w:rsidRPr="008F4079">
              <w:rPr>
                <w:rFonts w:cstheme="minorHAnsi"/>
                <w:b/>
                <w:bCs/>
                <w:color w:val="FFFFFF" w:themeColor="background1"/>
              </w:rPr>
              <w:t>nvestigator</w:t>
            </w:r>
          </w:p>
        </w:tc>
        <w:tc>
          <w:tcPr>
            <w:tcW w:w="3828"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767171" w:themeFill="background2" w:themeFillShade="80"/>
          </w:tcPr>
          <w:p w14:paraId="3DE30C95" w14:textId="77777777" w:rsidR="00965187" w:rsidRPr="004E203D" w:rsidRDefault="00965187" w:rsidP="00A264CD">
            <w:pPr>
              <w:ind w:left="146"/>
              <w:rPr>
                <w:rFonts w:cstheme="minorHAnsi"/>
                <w:b/>
                <w:bCs/>
                <w:color w:val="FFFFFF" w:themeColor="background1"/>
              </w:rPr>
            </w:pPr>
            <w:r w:rsidRPr="004E203D">
              <w:rPr>
                <w:rFonts w:cstheme="minorHAnsi"/>
                <w:b/>
                <w:bCs/>
                <w:color w:val="FFFFFF" w:themeColor="background1"/>
              </w:rPr>
              <w:t xml:space="preserve">  Project </w:t>
            </w:r>
            <w:r>
              <w:rPr>
                <w:rFonts w:cstheme="minorHAnsi"/>
                <w:b/>
                <w:bCs/>
                <w:color w:val="FFFFFF" w:themeColor="background1"/>
              </w:rPr>
              <w:t>A</w:t>
            </w:r>
            <w:r w:rsidRPr="004E203D">
              <w:rPr>
                <w:rFonts w:cstheme="minorHAnsi"/>
                <w:b/>
                <w:bCs/>
                <w:color w:val="FFFFFF" w:themeColor="background1"/>
              </w:rPr>
              <w:t>ims/</w:t>
            </w:r>
            <w:r>
              <w:rPr>
                <w:rFonts w:cstheme="minorHAnsi"/>
                <w:b/>
                <w:bCs/>
                <w:color w:val="FFFFFF" w:themeColor="background1"/>
              </w:rPr>
              <w:t>O</w:t>
            </w:r>
            <w:r w:rsidRPr="004E203D">
              <w:rPr>
                <w:rFonts w:cstheme="minorHAnsi"/>
                <w:b/>
                <w:bCs/>
                <w:color w:val="FFFFFF" w:themeColor="background1"/>
              </w:rPr>
              <w:t>bjectives</w:t>
            </w:r>
          </w:p>
        </w:tc>
        <w:tc>
          <w:tcPr>
            <w:tcW w:w="6662"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767171" w:themeFill="background2" w:themeFillShade="80"/>
            <w:tcMar>
              <w:top w:w="72" w:type="dxa"/>
              <w:left w:w="144" w:type="dxa"/>
              <w:bottom w:w="72" w:type="dxa"/>
              <w:right w:w="144" w:type="dxa"/>
            </w:tcMar>
            <w:hideMark/>
          </w:tcPr>
          <w:p w14:paraId="4A66967B" w14:textId="77777777" w:rsidR="00965187" w:rsidRPr="008F4079" w:rsidRDefault="00965187" w:rsidP="00A264CD">
            <w:pPr>
              <w:rPr>
                <w:rFonts w:cstheme="minorHAnsi"/>
                <w:color w:val="FFFFFF" w:themeColor="background1"/>
              </w:rPr>
            </w:pPr>
            <w:r w:rsidRPr="008F4079">
              <w:rPr>
                <w:rFonts w:cstheme="minorHAnsi"/>
                <w:b/>
                <w:bCs/>
                <w:color w:val="FFFFFF" w:themeColor="background1"/>
              </w:rPr>
              <w:t>Project Summary</w:t>
            </w:r>
          </w:p>
        </w:tc>
        <w:tc>
          <w:tcPr>
            <w:tcW w:w="4111"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767171" w:themeFill="background2" w:themeFillShade="80"/>
          </w:tcPr>
          <w:p w14:paraId="5CA7CB2B" w14:textId="77777777" w:rsidR="00965187" w:rsidRPr="004E203D" w:rsidRDefault="00965187" w:rsidP="00A264CD">
            <w:pPr>
              <w:ind w:left="138"/>
              <w:rPr>
                <w:rFonts w:cstheme="minorHAnsi"/>
                <w:b/>
                <w:bCs/>
                <w:color w:val="FFFFFF" w:themeColor="background1"/>
              </w:rPr>
            </w:pPr>
            <w:r w:rsidRPr="004E203D">
              <w:rPr>
                <w:rFonts w:cstheme="minorHAnsi"/>
                <w:b/>
                <w:bCs/>
                <w:color w:val="FFFFFF" w:themeColor="background1"/>
              </w:rPr>
              <w:t>Publications</w:t>
            </w:r>
          </w:p>
        </w:tc>
      </w:tr>
      <w:tr w:rsidR="00965187" w:rsidRPr="008F4079" w14:paraId="1F4E89F5" w14:textId="77777777" w:rsidTr="00BE216E">
        <w:trPr>
          <w:trHeight w:val="960"/>
        </w:trPr>
        <w:tc>
          <w:tcPr>
            <w:tcW w:w="1843"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hideMark/>
          </w:tcPr>
          <w:p w14:paraId="6427FF4E" w14:textId="77777777" w:rsidR="00965187" w:rsidRPr="008F4079" w:rsidRDefault="00965187" w:rsidP="00A264CD">
            <w:pPr>
              <w:rPr>
                <w:rFonts w:cstheme="minorHAnsi"/>
                <w:b/>
                <w:bCs/>
              </w:rPr>
            </w:pPr>
            <w:r w:rsidRPr="008F4079">
              <w:rPr>
                <w:rFonts w:cstheme="minorHAnsi"/>
                <w:b/>
                <w:bCs/>
              </w:rPr>
              <w:t>Patient Blood management Project Grant</w:t>
            </w:r>
          </w:p>
        </w:tc>
        <w:tc>
          <w:tcPr>
            <w:tcW w:w="2126"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hideMark/>
          </w:tcPr>
          <w:p w14:paraId="6D7A38C9" w14:textId="77777777" w:rsidR="00965187" w:rsidRPr="008F4079" w:rsidRDefault="00965187" w:rsidP="00A264CD">
            <w:pPr>
              <w:rPr>
                <w:rFonts w:cstheme="minorHAnsi"/>
              </w:rPr>
            </w:pPr>
            <w:r w:rsidRPr="008F4079">
              <w:rPr>
                <w:rFonts w:cstheme="minorHAnsi"/>
              </w:rPr>
              <w:t>Effects of antenatal haemoglobin and obstetric transfusion on adverse maternal outcomes</w:t>
            </w:r>
          </w:p>
        </w:tc>
        <w:tc>
          <w:tcPr>
            <w:tcW w:w="1701"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hideMark/>
          </w:tcPr>
          <w:p w14:paraId="04E174FA" w14:textId="77777777" w:rsidR="00965187" w:rsidRPr="008F4079" w:rsidRDefault="00965187" w:rsidP="00A264CD">
            <w:pPr>
              <w:rPr>
                <w:rFonts w:cstheme="minorHAnsi"/>
              </w:rPr>
            </w:pPr>
            <w:r w:rsidRPr="008F4079">
              <w:rPr>
                <w:rFonts w:cstheme="minorHAnsi"/>
              </w:rPr>
              <w:t>University of Sydney</w:t>
            </w:r>
          </w:p>
        </w:tc>
        <w:tc>
          <w:tcPr>
            <w:tcW w:w="1418"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hideMark/>
          </w:tcPr>
          <w:p w14:paraId="58515B55" w14:textId="77777777" w:rsidR="00965187" w:rsidRPr="008F4079" w:rsidRDefault="00965187" w:rsidP="00A264CD">
            <w:pPr>
              <w:rPr>
                <w:rFonts w:cstheme="minorHAnsi"/>
              </w:rPr>
            </w:pPr>
            <w:r w:rsidRPr="008F4079">
              <w:rPr>
                <w:rFonts w:cstheme="minorHAnsi"/>
              </w:rPr>
              <w:t>$160,930.00</w:t>
            </w:r>
          </w:p>
        </w:tc>
        <w:tc>
          <w:tcPr>
            <w:tcW w:w="1417"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hideMark/>
          </w:tcPr>
          <w:p w14:paraId="4429B4C7" w14:textId="77777777" w:rsidR="00965187" w:rsidRPr="008F4079" w:rsidRDefault="00965187" w:rsidP="00A264CD">
            <w:pPr>
              <w:rPr>
                <w:rFonts w:cstheme="minorHAnsi"/>
              </w:rPr>
            </w:pPr>
            <w:r w:rsidRPr="008F4079">
              <w:rPr>
                <w:rFonts w:cstheme="minorHAnsi"/>
              </w:rPr>
              <w:t>Prof Jane Ford</w:t>
            </w:r>
          </w:p>
        </w:tc>
        <w:tc>
          <w:tcPr>
            <w:tcW w:w="3828"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0F091B86" w14:textId="77777777" w:rsidR="00965187" w:rsidRPr="004E203D" w:rsidRDefault="00965187" w:rsidP="00A264CD">
            <w:pPr>
              <w:spacing w:before="100" w:beforeAutospacing="1" w:after="100" w:afterAutospacing="1" w:line="240" w:lineRule="auto"/>
              <w:ind w:left="146"/>
              <w:rPr>
                <w:rFonts w:cstheme="minorHAnsi"/>
              </w:rPr>
            </w:pPr>
            <w:r w:rsidRPr="004E203D">
              <w:rPr>
                <w:rFonts w:cstheme="minorHAnsi"/>
              </w:rPr>
              <w:t>To use linked whole population data (biomarker, hospitalisations, births, deaths pathology, blood bank) for obstetric patients to ascertain antenatal risk markers for transfusion, and among women transfused, identify adverse outcomes.</w:t>
            </w:r>
          </w:p>
        </w:tc>
        <w:tc>
          <w:tcPr>
            <w:tcW w:w="6662"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tcPr>
          <w:p w14:paraId="6B71A65D" w14:textId="77777777" w:rsidR="00965187" w:rsidRPr="008F4079" w:rsidRDefault="00965187" w:rsidP="00A264CD">
            <w:pPr>
              <w:autoSpaceDE w:val="0"/>
              <w:autoSpaceDN w:val="0"/>
              <w:adjustRightInd w:val="0"/>
              <w:spacing w:after="0" w:line="240" w:lineRule="auto"/>
              <w:rPr>
                <w:rFonts w:cstheme="minorHAnsi"/>
              </w:rPr>
            </w:pPr>
            <w:r w:rsidRPr="008F4079">
              <w:rPr>
                <w:rFonts w:cstheme="minorHAnsi"/>
              </w:rPr>
              <w:t>Around 1 in 10 women suffer excessive bleeding after childbirth and 15% of these women will have a red blood</w:t>
            </w:r>
            <w:r>
              <w:rPr>
                <w:rFonts w:cstheme="minorHAnsi"/>
              </w:rPr>
              <w:t xml:space="preserve"> </w:t>
            </w:r>
            <w:r w:rsidRPr="008F4079">
              <w:rPr>
                <w:rFonts w:cstheme="minorHAnsi"/>
              </w:rPr>
              <w:t>cell transfusion. Obstetric transfusion rates are increasing,</w:t>
            </w:r>
            <w:r>
              <w:rPr>
                <w:rFonts w:cstheme="minorHAnsi"/>
              </w:rPr>
              <w:t xml:space="preserve"> </w:t>
            </w:r>
            <w:r w:rsidRPr="008F4079">
              <w:rPr>
                <w:rFonts w:cstheme="minorHAnsi"/>
              </w:rPr>
              <w:t>against a backdrop of decreasing use in other patient</w:t>
            </w:r>
            <w:r>
              <w:rPr>
                <w:rFonts w:cstheme="minorHAnsi"/>
              </w:rPr>
              <w:t xml:space="preserve"> </w:t>
            </w:r>
            <w:r w:rsidRPr="008F4079">
              <w:rPr>
                <w:rFonts w:cstheme="minorHAnsi"/>
              </w:rPr>
              <w:t>groups. While red cell transfusion is a potentially lifesaving</w:t>
            </w:r>
            <w:r>
              <w:rPr>
                <w:rFonts w:cstheme="minorHAnsi"/>
              </w:rPr>
              <w:t xml:space="preserve"> </w:t>
            </w:r>
            <w:r w:rsidRPr="008F4079">
              <w:rPr>
                <w:rFonts w:cstheme="minorHAnsi"/>
              </w:rPr>
              <w:t>treatment, blood transfusion is not without</w:t>
            </w:r>
            <w:r>
              <w:rPr>
                <w:rFonts w:cstheme="minorHAnsi"/>
              </w:rPr>
              <w:t xml:space="preserve"> </w:t>
            </w:r>
            <w:r w:rsidRPr="008F4079">
              <w:rPr>
                <w:rFonts w:cstheme="minorHAnsi"/>
              </w:rPr>
              <w:t>complication, and there is insufficient evidence to guide</w:t>
            </w:r>
            <w:r>
              <w:rPr>
                <w:rFonts w:cstheme="minorHAnsi"/>
              </w:rPr>
              <w:t xml:space="preserve"> </w:t>
            </w:r>
            <w:r w:rsidRPr="008F4079">
              <w:rPr>
                <w:rFonts w:cstheme="minorHAnsi"/>
              </w:rPr>
              <w:t>practice in terms of identifying the women that will benefit,</w:t>
            </w:r>
            <w:r>
              <w:rPr>
                <w:rFonts w:cstheme="minorHAnsi"/>
              </w:rPr>
              <w:t xml:space="preserve"> </w:t>
            </w:r>
            <w:r w:rsidRPr="008F4079">
              <w:rPr>
                <w:rFonts w:cstheme="minorHAnsi"/>
              </w:rPr>
              <w:t>the optimal timing, the amount transfused and clinically meaningful patient-centred outcomes. Only 4 of 56</w:t>
            </w:r>
            <w:r>
              <w:rPr>
                <w:rFonts w:cstheme="minorHAnsi"/>
              </w:rPr>
              <w:t xml:space="preserve"> </w:t>
            </w:r>
            <w:r w:rsidRPr="008F4079">
              <w:rPr>
                <w:rFonts w:cstheme="minorHAnsi"/>
              </w:rPr>
              <w:t>recommendations in recently released Obstetric and</w:t>
            </w:r>
            <w:r>
              <w:rPr>
                <w:rFonts w:cstheme="minorHAnsi"/>
              </w:rPr>
              <w:t xml:space="preserve"> </w:t>
            </w:r>
            <w:r w:rsidRPr="008F4079">
              <w:rPr>
                <w:rFonts w:cstheme="minorHAnsi"/>
              </w:rPr>
              <w:t>Maternity Patient Blood Management (PBM) guidelines</w:t>
            </w:r>
            <w:r>
              <w:rPr>
                <w:rFonts w:cstheme="minorHAnsi"/>
              </w:rPr>
              <w:t xml:space="preserve"> </w:t>
            </w:r>
            <w:r w:rsidRPr="008F4079">
              <w:rPr>
                <w:rFonts w:cstheme="minorHAnsi"/>
              </w:rPr>
              <w:t>had any evidence (Grade C) to inform practice, with the</w:t>
            </w:r>
          </w:p>
          <w:p w14:paraId="020830F4" w14:textId="77777777" w:rsidR="00965187" w:rsidRPr="008F4079" w:rsidRDefault="00965187" w:rsidP="00A264CD">
            <w:pPr>
              <w:autoSpaceDE w:val="0"/>
              <w:autoSpaceDN w:val="0"/>
              <w:adjustRightInd w:val="0"/>
              <w:spacing w:after="0" w:line="240" w:lineRule="auto"/>
              <w:rPr>
                <w:rFonts w:cstheme="minorHAnsi"/>
              </w:rPr>
            </w:pPr>
            <w:r w:rsidRPr="008F4079">
              <w:rPr>
                <w:rFonts w:cstheme="minorHAnsi"/>
              </w:rPr>
              <w:t>remaining recommendations based on expert opinion.</w:t>
            </w:r>
          </w:p>
          <w:p w14:paraId="0F4ABB2A" w14:textId="77777777" w:rsidR="00965187" w:rsidRPr="008F4079" w:rsidRDefault="00965187" w:rsidP="00A264CD">
            <w:pPr>
              <w:autoSpaceDE w:val="0"/>
              <w:autoSpaceDN w:val="0"/>
              <w:adjustRightInd w:val="0"/>
              <w:spacing w:after="0" w:line="240" w:lineRule="auto"/>
              <w:rPr>
                <w:rFonts w:cstheme="minorHAnsi"/>
              </w:rPr>
            </w:pPr>
          </w:p>
          <w:p w14:paraId="40FAE86B" w14:textId="77777777" w:rsidR="00965187" w:rsidRPr="004E203D" w:rsidRDefault="00965187" w:rsidP="00A264CD">
            <w:pPr>
              <w:autoSpaceDE w:val="0"/>
              <w:autoSpaceDN w:val="0"/>
              <w:adjustRightInd w:val="0"/>
              <w:spacing w:after="0" w:line="240" w:lineRule="auto"/>
            </w:pPr>
            <w:r w:rsidRPr="62727F11">
              <w:t>This project would</w:t>
            </w:r>
            <w:r>
              <w:t xml:space="preserve"> </w:t>
            </w:r>
            <w:r w:rsidRPr="62727F11">
              <w:t xml:space="preserve">address two of the gaps identified in Obstetric and Maternity PBM guidelines: </w:t>
            </w:r>
          </w:p>
          <w:p w14:paraId="74B31727" w14:textId="77777777" w:rsidR="00965187" w:rsidRPr="008F4079" w:rsidRDefault="00965187" w:rsidP="00A264CD">
            <w:pPr>
              <w:autoSpaceDE w:val="0"/>
              <w:autoSpaceDN w:val="0"/>
              <w:adjustRightInd w:val="0"/>
              <w:spacing w:after="0" w:line="240" w:lineRule="auto"/>
              <w:rPr>
                <w:rFonts w:cstheme="minorHAnsi"/>
              </w:rPr>
            </w:pPr>
            <w:r w:rsidRPr="008F4079">
              <w:rPr>
                <w:rFonts w:cstheme="minorHAnsi"/>
              </w:rPr>
              <w:t xml:space="preserve">1) in maternity patients, the Hb and ferritin levels that are associated with optimal maternal and </w:t>
            </w:r>
            <w:r w:rsidRPr="004E203D">
              <w:rPr>
                <w:rFonts w:cstheme="minorHAnsi"/>
              </w:rPr>
              <w:t>foetal</w:t>
            </w:r>
            <w:r w:rsidRPr="008F4079">
              <w:rPr>
                <w:rFonts w:cstheme="minorHAnsi"/>
              </w:rPr>
              <w:t xml:space="preserve"> outcomes; and </w:t>
            </w:r>
          </w:p>
          <w:p w14:paraId="158C1B8C" w14:textId="77777777" w:rsidR="00965187" w:rsidRPr="008F4079" w:rsidRDefault="00965187" w:rsidP="00A264CD">
            <w:pPr>
              <w:autoSpaceDE w:val="0"/>
              <w:autoSpaceDN w:val="0"/>
              <w:adjustRightInd w:val="0"/>
              <w:spacing w:after="0" w:line="240" w:lineRule="auto"/>
              <w:rPr>
                <w:rFonts w:cstheme="minorHAnsi"/>
                <w:b/>
                <w:bCs/>
              </w:rPr>
            </w:pPr>
            <w:r w:rsidRPr="008F4079">
              <w:rPr>
                <w:rFonts w:cstheme="minorHAnsi"/>
              </w:rPr>
              <w:t>2) in bleeding patients, the effect of transfusion on patient centred outcomes, including mortality, morbidity,</w:t>
            </w:r>
            <w:r>
              <w:rPr>
                <w:rFonts w:cstheme="minorHAnsi"/>
                <w:b/>
                <w:bCs/>
              </w:rPr>
              <w:t xml:space="preserve"> </w:t>
            </w:r>
            <w:r w:rsidRPr="008F4079">
              <w:rPr>
                <w:rFonts w:cstheme="minorHAnsi"/>
              </w:rPr>
              <w:t>postnatal recovery, quality of life, functional status,</w:t>
            </w:r>
            <w:r w:rsidRPr="004E203D">
              <w:rPr>
                <w:rFonts w:cstheme="minorHAnsi"/>
              </w:rPr>
              <w:t xml:space="preserve"> </w:t>
            </w:r>
            <w:r w:rsidRPr="008F4079">
              <w:rPr>
                <w:rFonts w:cstheme="minorHAnsi"/>
              </w:rPr>
              <w:t xml:space="preserve">breastfeeding and psychological health. </w:t>
            </w:r>
          </w:p>
          <w:p w14:paraId="3B097E62" w14:textId="77777777" w:rsidR="00965187" w:rsidRPr="008F4079" w:rsidRDefault="00965187" w:rsidP="00A264CD">
            <w:pPr>
              <w:autoSpaceDE w:val="0"/>
              <w:autoSpaceDN w:val="0"/>
              <w:adjustRightInd w:val="0"/>
              <w:spacing w:after="0" w:line="240" w:lineRule="auto"/>
              <w:rPr>
                <w:rFonts w:cstheme="minorHAnsi"/>
              </w:rPr>
            </w:pPr>
          </w:p>
          <w:p w14:paraId="76425C1A" w14:textId="77777777" w:rsidR="00965187" w:rsidRPr="004E203D" w:rsidRDefault="00965187" w:rsidP="00A264CD">
            <w:pPr>
              <w:autoSpaceDE w:val="0"/>
              <w:autoSpaceDN w:val="0"/>
              <w:adjustRightInd w:val="0"/>
              <w:spacing w:after="0" w:line="240" w:lineRule="auto"/>
            </w:pPr>
            <w:r w:rsidRPr="62727F11">
              <w:t xml:space="preserve">Using population level data on Hb and ferritin levels, </w:t>
            </w:r>
            <w:proofErr w:type="gramStart"/>
            <w:r w:rsidRPr="62727F11">
              <w:t>transfusion</w:t>
            </w:r>
            <w:proofErr w:type="gramEnd"/>
            <w:r w:rsidRPr="62727F11">
              <w:t xml:space="preserve"> and subsequent outcomes (morbidity, mortality, readmission and breastfeeding), adjusted for covariates, this project will address these research gaps. On completion of this project the results will be translated into information for patient counselling, monitoring, and treatment; clinician education and transfusion reduction strategies; and form evidence for revised patient blood management guidelines</w:t>
            </w:r>
            <w:r w:rsidRPr="62727F11">
              <w:rPr>
                <w:b/>
              </w:rPr>
              <w:t>.</w:t>
            </w:r>
          </w:p>
          <w:p w14:paraId="6AD43DDD" w14:textId="77777777" w:rsidR="00965187" w:rsidRPr="008F4079" w:rsidRDefault="00965187" w:rsidP="00A264CD">
            <w:pPr>
              <w:autoSpaceDE w:val="0"/>
              <w:autoSpaceDN w:val="0"/>
              <w:adjustRightInd w:val="0"/>
              <w:spacing w:after="0" w:line="240" w:lineRule="auto"/>
              <w:rPr>
                <w:rFonts w:cstheme="minorHAnsi"/>
              </w:rPr>
            </w:pPr>
          </w:p>
          <w:p w14:paraId="6B564131" w14:textId="3F6284CE" w:rsidR="00965187" w:rsidRDefault="00965187" w:rsidP="00A264CD">
            <w:pPr>
              <w:autoSpaceDE w:val="0"/>
              <w:autoSpaceDN w:val="0"/>
              <w:adjustRightInd w:val="0"/>
              <w:spacing w:after="0" w:line="240" w:lineRule="auto"/>
              <w:rPr>
                <w:rFonts w:cstheme="minorHAnsi"/>
              </w:rPr>
            </w:pPr>
            <w:r w:rsidRPr="008F4079">
              <w:rPr>
                <w:rFonts w:cstheme="minorHAnsi"/>
              </w:rPr>
              <w:t>To address the knowledge gaps in obstetric transfusion,</w:t>
            </w:r>
            <w:r>
              <w:rPr>
                <w:rFonts w:cstheme="minorHAnsi"/>
              </w:rPr>
              <w:t xml:space="preserve"> </w:t>
            </w:r>
            <w:r w:rsidRPr="008F4079">
              <w:rPr>
                <w:rFonts w:cstheme="minorHAnsi"/>
              </w:rPr>
              <w:t xml:space="preserve">the team </w:t>
            </w:r>
            <w:r>
              <w:rPr>
                <w:rFonts w:cstheme="minorHAnsi"/>
              </w:rPr>
              <w:t>collaborated</w:t>
            </w:r>
            <w:r w:rsidRPr="008F4079">
              <w:rPr>
                <w:rFonts w:cstheme="minorHAnsi"/>
              </w:rPr>
              <w:t xml:space="preserve"> with the New South Wales (NSW)</w:t>
            </w:r>
            <w:r>
              <w:rPr>
                <w:rFonts w:cstheme="minorHAnsi"/>
              </w:rPr>
              <w:t xml:space="preserve"> </w:t>
            </w:r>
            <w:r w:rsidRPr="008F4079">
              <w:rPr>
                <w:rFonts w:cstheme="minorHAnsi"/>
              </w:rPr>
              <w:t>Clinical Excellence Commission (CEC) and the Australian</w:t>
            </w:r>
            <w:r>
              <w:rPr>
                <w:rFonts w:cstheme="minorHAnsi"/>
              </w:rPr>
              <w:t xml:space="preserve"> </w:t>
            </w:r>
            <w:r w:rsidRPr="008F4079">
              <w:rPr>
                <w:rFonts w:cstheme="minorHAnsi"/>
              </w:rPr>
              <w:t>Red Cross Blood Service (ARCBS) to explore transfusion</w:t>
            </w:r>
            <w:r>
              <w:rPr>
                <w:rFonts w:cstheme="minorHAnsi"/>
              </w:rPr>
              <w:t xml:space="preserve"> </w:t>
            </w:r>
            <w:r w:rsidRPr="008F4079">
              <w:rPr>
                <w:rFonts w:cstheme="minorHAnsi"/>
              </w:rPr>
              <w:t xml:space="preserve">use in NSW. The team </w:t>
            </w:r>
            <w:r w:rsidRPr="004E203D">
              <w:rPr>
                <w:rFonts w:cstheme="minorHAnsi"/>
              </w:rPr>
              <w:t>has</w:t>
            </w:r>
            <w:r w:rsidRPr="008F4079">
              <w:rPr>
                <w:rFonts w:cstheme="minorHAnsi"/>
              </w:rPr>
              <w:t xml:space="preserve"> established a number of large, linked population datasets with core maternity data linked</w:t>
            </w:r>
            <w:r>
              <w:rPr>
                <w:rFonts w:cstheme="minorHAnsi"/>
              </w:rPr>
              <w:t xml:space="preserve"> </w:t>
            </w:r>
            <w:r w:rsidRPr="008F4079">
              <w:rPr>
                <w:rFonts w:cstheme="minorHAnsi"/>
              </w:rPr>
              <w:t>to antenatal screening, pathology and ARCBS data. This is</w:t>
            </w:r>
            <w:r>
              <w:rPr>
                <w:rFonts w:cstheme="minorHAnsi"/>
              </w:rPr>
              <w:t xml:space="preserve"> </w:t>
            </w:r>
            <w:r w:rsidRPr="008F4079">
              <w:rPr>
                <w:rFonts w:cstheme="minorHAnsi"/>
              </w:rPr>
              <w:t xml:space="preserve">the first </w:t>
            </w:r>
            <w:proofErr w:type="spellStart"/>
            <w:r w:rsidRPr="008F4079">
              <w:rPr>
                <w:rFonts w:cstheme="minorHAnsi"/>
              </w:rPr>
              <w:t>statewide</w:t>
            </w:r>
            <w:proofErr w:type="spellEnd"/>
            <w:r w:rsidRPr="008F4079">
              <w:rPr>
                <w:rFonts w:cstheme="minorHAnsi"/>
              </w:rPr>
              <w:t xml:space="preserve"> linkage of blood and blood products</w:t>
            </w:r>
            <w:r>
              <w:rPr>
                <w:rFonts w:cstheme="minorHAnsi"/>
              </w:rPr>
              <w:t xml:space="preserve"> </w:t>
            </w:r>
            <w:r w:rsidRPr="008F4079">
              <w:rPr>
                <w:rFonts w:cstheme="minorHAnsi"/>
              </w:rPr>
              <w:t>information to individual obstetric patient outcomes</w:t>
            </w:r>
            <w:r>
              <w:rPr>
                <w:rFonts w:cstheme="minorHAnsi"/>
              </w:rPr>
              <w:t xml:space="preserve"> </w:t>
            </w:r>
            <w:r w:rsidRPr="008F4079">
              <w:rPr>
                <w:rFonts w:cstheme="minorHAnsi"/>
              </w:rPr>
              <w:t>undertaken in Australia. Initial interrogation of these linked</w:t>
            </w:r>
            <w:r>
              <w:rPr>
                <w:rFonts w:cstheme="minorHAnsi"/>
              </w:rPr>
              <w:t xml:space="preserve"> </w:t>
            </w:r>
            <w:r w:rsidRPr="008F4079">
              <w:rPr>
                <w:rFonts w:cstheme="minorHAnsi"/>
              </w:rPr>
              <w:t>datasets has allowed the team</w:t>
            </w:r>
            <w:r w:rsidRPr="008F4079" w:rsidDel="00F57464">
              <w:rPr>
                <w:rFonts w:cstheme="minorHAnsi"/>
              </w:rPr>
              <w:t xml:space="preserve"> </w:t>
            </w:r>
            <w:r w:rsidRPr="008F4079">
              <w:rPr>
                <w:rFonts w:cstheme="minorHAnsi"/>
              </w:rPr>
              <w:t>to address important preliminary questions including the stage in pregnancy that</w:t>
            </w:r>
            <w:r>
              <w:rPr>
                <w:rFonts w:cstheme="minorHAnsi"/>
              </w:rPr>
              <w:t xml:space="preserve"> </w:t>
            </w:r>
            <w:r w:rsidRPr="008F4079">
              <w:rPr>
                <w:rFonts w:cstheme="minorHAnsi"/>
              </w:rPr>
              <w:t>transfusions are occurring, that age of blood is not</w:t>
            </w:r>
            <w:r>
              <w:rPr>
                <w:rFonts w:cstheme="minorHAnsi"/>
              </w:rPr>
              <w:t xml:space="preserve"> </w:t>
            </w:r>
            <w:r w:rsidRPr="008F4079">
              <w:rPr>
                <w:rFonts w:cstheme="minorHAnsi"/>
              </w:rPr>
              <w:t>associated with adverse outcomes and the reasons for</w:t>
            </w:r>
            <w:r>
              <w:rPr>
                <w:rFonts w:cstheme="minorHAnsi"/>
              </w:rPr>
              <w:t xml:space="preserve"> </w:t>
            </w:r>
            <w:r w:rsidRPr="008F4079">
              <w:rPr>
                <w:rFonts w:cstheme="minorHAnsi"/>
              </w:rPr>
              <w:t>neonatal transfusions. These unique resources have great</w:t>
            </w:r>
            <w:r>
              <w:rPr>
                <w:rFonts w:cstheme="minorHAnsi"/>
              </w:rPr>
              <w:t xml:space="preserve"> </w:t>
            </w:r>
            <w:r w:rsidRPr="008F4079">
              <w:rPr>
                <w:rFonts w:cstheme="minorHAnsi"/>
              </w:rPr>
              <w:t>potential to be used to further explore outcomes by</w:t>
            </w:r>
            <w:r>
              <w:rPr>
                <w:rFonts w:cstheme="minorHAnsi"/>
              </w:rPr>
              <w:t xml:space="preserve"> </w:t>
            </w:r>
            <w:r w:rsidRPr="008F4079">
              <w:rPr>
                <w:rFonts w:cstheme="minorHAnsi"/>
              </w:rPr>
              <w:t>contributing unique information on haemoglobin</w:t>
            </w:r>
            <w:r>
              <w:rPr>
                <w:rFonts w:cstheme="minorHAnsi"/>
              </w:rPr>
              <w:t xml:space="preserve"> </w:t>
            </w:r>
            <w:r w:rsidRPr="008F4079">
              <w:rPr>
                <w:rFonts w:cstheme="minorHAnsi"/>
              </w:rPr>
              <w:lastRenderedPageBreak/>
              <w:t>trajectories through pregnancy and adverse outcomes</w:t>
            </w:r>
            <w:r>
              <w:rPr>
                <w:rFonts w:cstheme="minorHAnsi"/>
              </w:rPr>
              <w:t xml:space="preserve"> </w:t>
            </w:r>
            <w:r w:rsidRPr="008F4079">
              <w:rPr>
                <w:rFonts w:cstheme="minorHAnsi"/>
              </w:rPr>
              <w:t xml:space="preserve">post-transfusion. </w:t>
            </w:r>
          </w:p>
          <w:p w14:paraId="670FE305" w14:textId="77777777" w:rsidR="00965187" w:rsidRDefault="00965187" w:rsidP="00A264CD">
            <w:pPr>
              <w:autoSpaceDE w:val="0"/>
              <w:autoSpaceDN w:val="0"/>
              <w:adjustRightInd w:val="0"/>
              <w:spacing w:after="0" w:line="240" w:lineRule="auto"/>
              <w:rPr>
                <w:rFonts w:cstheme="minorHAnsi"/>
              </w:rPr>
            </w:pPr>
          </w:p>
          <w:p w14:paraId="67851825" w14:textId="77777777" w:rsidR="00965187" w:rsidRPr="008F4079" w:rsidRDefault="00965187" w:rsidP="00A264CD">
            <w:pPr>
              <w:autoSpaceDE w:val="0"/>
              <w:autoSpaceDN w:val="0"/>
              <w:adjustRightInd w:val="0"/>
              <w:spacing w:after="0" w:line="240" w:lineRule="auto"/>
              <w:rPr>
                <w:rFonts w:cstheme="minorHAnsi"/>
              </w:rPr>
            </w:pPr>
            <w:r w:rsidRPr="004E203D">
              <w:rPr>
                <w:rFonts w:cstheme="minorHAnsi"/>
              </w:rPr>
              <w:t xml:space="preserve">     </w:t>
            </w:r>
          </w:p>
        </w:tc>
        <w:tc>
          <w:tcPr>
            <w:tcW w:w="4111"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237405D9" w14:textId="403B7BA8" w:rsidR="00965187" w:rsidRPr="00DF6C9B" w:rsidRDefault="001F59A2" w:rsidP="00BE216E">
            <w:pPr>
              <w:spacing w:before="100" w:beforeAutospacing="1" w:after="100" w:afterAutospacing="1" w:line="240" w:lineRule="auto"/>
              <w:ind w:left="138"/>
              <w:rPr>
                <w:rFonts w:eastAsiaTheme="minorEastAsia" w:cstheme="minorHAnsi"/>
                <w:color w:val="0000FF"/>
                <w:spacing w:val="4"/>
                <w:u w:val="single"/>
                <w:lang w:eastAsia="en-AU"/>
              </w:rPr>
            </w:pPr>
            <w:hyperlink r:id="rId11" w:history="1">
              <w:r w:rsidR="00965187" w:rsidRPr="00DF6C9B">
                <w:rPr>
                  <w:color w:val="0000FF"/>
                  <w:u w:val="single"/>
                </w:rPr>
                <w:t>Outcomes associated with transfusion in low-risk women with obstetric haemorrhage</w:t>
              </w:r>
            </w:hyperlink>
          </w:p>
          <w:p w14:paraId="6D81809F" w14:textId="4503C00F" w:rsidR="00965187" w:rsidRPr="00DF6C9B" w:rsidRDefault="001F59A2" w:rsidP="00BE216E">
            <w:pPr>
              <w:spacing w:before="100" w:beforeAutospacing="1" w:after="100" w:afterAutospacing="1" w:line="240" w:lineRule="auto"/>
              <w:ind w:left="138"/>
              <w:rPr>
                <w:rFonts w:eastAsiaTheme="minorEastAsia" w:cstheme="minorHAnsi"/>
                <w:color w:val="0000FF"/>
                <w:spacing w:val="4"/>
                <w:u w:val="single"/>
                <w:lang w:eastAsia="en-AU"/>
              </w:rPr>
            </w:pPr>
            <w:hyperlink r:id="rId12" w:history="1">
              <w:r w:rsidR="00965187" w:rsidRPr="00DF6C9B">
                <w:rPr>
                  <w:color w:val="0000FF"/>
                  <w:u w:val="single"/>
                </w:rPr>
                <w:t>The association between haemoglobin levels in the first 20 weeks of pregnancy and pregnancy outcomes</w:t>
              </w:r>
            </w:hyperlink>
          </w:p>
          <w:p w14:paraId="04098861" w14:textId="3BEBEC19" w:rsidR="00965187" w:rsidRPr="00DF6C9B" w:rsidRDefault="001F59A2" w:rsidP="00BE216E">
            <w:pPr>
              <w:spacing w:before="100" w:beforeAutospacing="1" w:after="100" w:afterAutospacing="1" w:line="240" w:lineRule="auto"/>
              <w:ind w:left="138"/>
              <w:rPr>
                <w:rFonts w:eastAsiaTheme="minorEastAsia" w:cstheme="minorHAnsi"/>
                <w:color w:val="0000FF"/>
                <w:spacing w:val="4"/>
                <w:u w:val="single"/>
                <w:lang w:eastAsia="en-AU"/>
              </w:rPr>
            </w:pPr>
            <w:hyperlink r:id="rId13" w:history="1">
              <w:r w:rsidR="00965187" w:rsidRPr="00DF6C9B">
                <w:rPr>
                  <w:color w:val="0000FF"/>
                  <w:u w:val="single"/>
                </w:rPr>
                <w:t>Haemoglobin trajectories during pregnancy and associated outcomes using pooled maternity and hospitalization data from two tertiary hospitals</w:t>
              </w:r>
            </w:hyperlink>
          </w:p>
          <w:p w14:paraId="2C266EA9" w14:textId="64CD3D18" w:rsidR="00965187" w:rsidRPr="00DF6C9B" w:rsidRDefault="001F59A2" w:rsidP="00BE216E">
            <w:pPr>
              <w:spacing w:before="100" w:beforeAutospacing="1" w:after="100" w:afterAutospacing="1" w:line="240" w:lineRule="auto"/>
              <w:ind w:left="138"/>
              <w:rPr>
                <w:rFonts w:eastAsiaTheme="minorEastAsia" w:cstheme="minorHAnsi"/>
                <w:color w:val="0000FF"/>
                <w:spacing w:val="4"/>
                <w:u w:val="single"/>
                <w:lang w:eastAsia="en-AU"/>
              </w:rPr>
            </w:pPr>
            <w:hyperlink r:id="rId14" w:history="1">
              <w:r w:rsidR="00965187" w:rsidRPr="00DF6C9B">
                <w:rPr>
                  <w:color w:val="0000FF"/>
                  <w:u w:val="single"/>
                </w:rPr>
                <w:t xml:space="preserve">Validation of anaemia, </w:t>
              </w:r>
              <w:proofErr w:type="gramStart"/>
              <w:r w:rsidR="00965187" w:rsidRPr="00DF6C9B">
                <w:rPr>
                  <w:color w:val="0000FF"/>
                  <w:u w:val="single"/>
                </w:rPr>
                <w:t>haemorrhage</w:t>
              </w:r>
              <w:proofErr w:type="gramEnd"/>
              <w:r w:rsidR="00965187" w:rsidRPr="00DF6C9B">
                <w:rPr>
                  <w:color w:val="0000FF"/>
                  <w:u w:val="single"/>
                </w:rPr>
                <w:t xml:space="preserve"> and blood disorder reporting in hospital data in New South Wales, Australia</w:t>
              </w:r>
            </w:hyperlink>
          </w:p>
          <w:p w14:paraId="597026AE" w14:textId="7A26DEBA" w:rsidR="00965187" w:rsidRPr="00DF6C9B" w:rsidRDefault="001F59A2" w:rsidP="00A264CD">
            <w:pPr>
              <w:spacing w:before="100" w:beforeAutospacing="1" w:after="100" w:afterAutospacing="1" w:line="240" w:lineRule="auto"/>
              <w:ind w:left="138"/>
              <w:rPr>
                <w:rFonts w:eastAsiaTheme="minorEastAsia" w:cstheme="minorHAnsi"/>
                <w:color w:val="0000FF"/>
                <w:spacing w:val="4"/>
                <w:u w:val="single"/>
                <w:lang w:eastAsia="en-AU"/>
              </w:rPr>
            </w:pPr>
            <w:hyperlink r:id="rId15" w:history="1">
              <w:r w:rsidR="00965187" w:rsidRPr="00DF6C9B">
                <w:rPr>
                  <w:color w:val="0000FF"/>
                  <w:u w:val="single"/>
                </w:rPr>
                <w:t>Reporting of gestational diabetes and other maternal medical conditions</w:t>
              </w:r>
            </w:hyperlink>
          </w:p>
          <w:p w14:paraId="3E88C085" w14:textId="77777777" w:rsidR="00965187" w:rsidRPr="004E203D" w:rsidRDefault="00965187" w:rsidP="00A264CD">
            <w:pPr>
              <w:spacing w:before="100" w:beforeAutospacing="1" w:after="100" w:afterAutospacing="1" w:line="240" w:lineRule="auto"/>
              <w:ind w:left="138"/>
              <w:rPr>
                <w:rFonts w:eastAsiaTheme="minorEastAsia" w:cstheme="minorHAnsi"/>
                <w:color w:val="0000FF"/>
                <w:spacing w:val="4"/>
                <w:u w:val="single"/>
                <w:lang w:eastAsia="en-AU"/>
              </w:rPr>
            </w:pPr>
          </w:p>
        </w:tc>
      </w:tr>
      <w:tr w:rsidR="00965187" w:rsidRPr="008F4079" w14:paraId="43BAE14A" w14:textId="77777777" w:rsidTr="00BE216E">
        <w:trPr>
          <w:trHeight w:val="3033"/>
        </w:trPr>
        <w:tc>
          <w:tcPr>
            <w:tcW w:w="1843"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tcPr>
          <w:p w14:paraId="230F351A" w14:textId="77777777" w:rsidR="00965187" w:rsidRPr="00BE216E" w:rsidRDefault="00965187" w:rsidP="00A264CD">
            <w:pPr>
              <w:rPr>
                <w:rFonts w:cstheme="minorHAnsi"/>
              </w:rPr>
            </w:pPr>
            <w:r w:rsidRPr="00BE216E">
              <w:rPr>
                <w:rFonts w:cstheme="minorHAnsi"/>
                <w:b/>
                <w:bCs/>
              </w:rPr>
              <w:t>Patient Blood management Project Grant</w:t>
            </w:r>
          </w:p>
        </w:tc>
        <w:tc>
          <w:tcPr>
            <w:tcW w:w="2126"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tcPr>
          <w:p w14:paraId="1974E9A9" w14:textId="77777777" w:rsidR="00965187" w:rsidRPr="00BE216E" w:rsidRDefault="00965187" w:rsidP="00A264CD">
            <w:pPr>
              <w:rPr>
                <w:rFonts w:cstheme="minorHAnsi"/>
              </w:rPr>
            </w:pPr>
            <w:r w:rsidRPr="00BE216E">
              <w:rPr>
                <w:rFonts w:cstheme="minorHAnsi"/>
              </w:rPr>
              <w:t>Fibrinogen Replacement in Severe Traumatic Haemorrhage</w:t>
            </w:r>
          </w:p>
        </w:tc>
        <w:tc>
          <w:tcPr>
            <w:tcW w:w="1701"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tcPr>
          <w:p w14:paraId="3534A940" w14:textId="77777777" w:rsidR="00965187" w:rsidRPr="00BE216E" w:rsidRDefault="00965187" w:rsidP="00A264CD">
            <w:pPr>
              <w:rPr>
                <w:rFonts w:cstheme="minorHAnsi"/>
              </w:rPr>
            </w:pPr>
            <w:r w:rsidRPr="00BE216E">
              <w:rPr>
                <w:rFonts w:cstheme="minorHAnsi"/>
              </w:rPr>
              <w:t>University of Queensland</w:t>
            </w:r>
          </w:p>
        </w:tc>
        <w:tc>
          <w:tcPr>
            <w:tcW w:w="1418"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tcPr>
          <w:p w14:paraId="404DC036" w14:textId="77777777" w:rsidR="00965187" w:rsidRPr="00BE216E" w:rsidRDefault="00965187" w:rsidP="00A264CD">
            <w:pPr>
              <w:rPr>
                <w:rFonts w:cstheme="minorHAnsi"/>
              </w:rPr>
            </w:pPr>
            <w:r w:rsidRPr="00BE216E">
              <w:rPr>
                <w:rFonts w:cstheme="minorHAnsi"/>
              </w:rPr>
              <w:t>$190,274.70</w:t>
            </w:r>
          </w:p>
        </w:tc>
        <w:tc>
          <w:tcPr>
            <w:tcW w:w="1417"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tcPr>
          <w:p w14:paraId="01D3A7CB" w14:textId="77777777" w:rsidR="00965187" w:rsidRPr="00BE216E" w:rsidRDefault="00965187" w:rsidP="00A264CD">
            <w:pPr>
              <w:rPr>
                <w:rFonts w:cstheme="minorHAnsi"/>
              </w:rPr>
            </w:pPr>
            <w:r w:rsidRPr="00BE216E">
              <w:rPr>
                <w:rFonts w:cstheme="minorHAnsi"/>
              </w:rPr>
              <w:t>Dr James Winearls</w:t>
            </w:r>
          </w:p>
        </w:tc>
        <w:tc>
          <w:tcPr>
            <w:tcW w:w="3828"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2FD8D7DC" w14:textId="77777777" w:rsidR="00965187" w:rsidRPr="00BE216E" w:rsidRDefault="00965187" w:rsidP="00A264CD">
            <w:pPr>
              <w:spacing w:after="200" w:line="276" w:lineRule="auto"/>
              <w:ind w:left="146"/>
              <w:rPr>
                <w:rFonts w:cstheme="minorHAnsi"/>
              </w:rPr>
            </w:pPr>
            <w:r w:rsidRPr="00BE216E">
              <w:rPr>
                <w:rFonts w:cstheme="minorHAnsi"/>
              </w:rPr>
              <w:t>1. To investigate the feasibility of fibrinogen replacement in severe traumatic haemorrhage utilising either fibrinogen concentrate (FC) or Cryoprecipitate.</w:t>
            </w:r>
          </w:p>
          <w:p w14:paraId="2CDDE6D8" w14:textId="77777777" w:rsidR="00965187" w:rsidRPr="00BE216E" w:rsidRDefault="00965187" w:rsidP="00A264CD">
            <w:pPr>
              <w:spacing w:after="200" w:line="276" w:lineRule="auto"/>
              <w:ind w:left="146"/>
              <w:rPr>
                <w:rFonts w:cstheme="minorHAnsi"/>
              </w:rPr>
            </w:pPr>
            <w:r w:rsidRPr="00BE216E">
              <w:rPr>
                <w:rFonts w:cstheme="minorHAnsi"/>
              </w:rPr>
              <w:t>2. Compare time to administration of fibrinogen replacement between FC and Cryoprecipitate.</w:t>
            </w:r>
          </w:p>
          <w:p w14:paraId="57EDC7BB" w14:textId="77777777" w:rsidR="00965187" w:rsidRPr="00BE216E" w:rsidRDefault="00965187" w:rsidP="00A264CD">
            <w:pPr>
              <w:spacing w:after="200" w:line="276" w:lineRule="auto"/>
              <w:ind w:left="146"/>
              <w:rPr>
                <w:rFonts w:cstheme="minorHAnsi"/>
              </w:rPr>
            </w:pPr>
            <w:r w:rsidRPr="00BE216E">
              <w:rPr>
                <w:rFonts w:cstheme="minorHAnsi"/>
              </w:rPr>
              <w:t>3. To investigate the effects of fibrinogen replacement utilising either FC or Cryoprecipitate on fibrinogen levels during traumatic haemorrhage.</w:t>
            </w:r>
          </w:p>
          <w:p w14:paraId="581433EA" w14:textId="77777777" w:rsidR="00965187" w:rsidRPr="00BE216E" w:rsidRDefault="00965187" w:rsidP="00A264CD">
            <w:pPr>
              <w:spacing w:after="200" w:line="276" w:lineRule="auto"/>
              <w:ind w:left="146"/>
              <w:rPr>
                <w:rFonts w:cstheme="minorHAnsi"/>
              </w:rPr>
            </w:pPr>
            <w:r w:rsidRPr="00BE216E">
              <w:rPr>
                <w:rFonts w:cstheme="minorHAnsi"/>
              </w:rPr>
              <w:t>4.Investigating the feasibility of implementing the study protocol in a pilot multicentre study.</w:t>
            </w:r>
          </w:p>
          <w:p w14:paraId="1A186FD4" w14:textId="77777777" w:rsidR="00965187" w:rsidRPr="00BE216E" w:rsidRDefault="00965187" w:rsidP="00A264CD">
            <w:pPr>
              <w:spacing w:after="200" w:line="276" w:lineRule="auto"/>
              <w:ind w:left="146"/>
              <w:rPr>
                <w:rFonts w:eastAsiaTheme="minorEastAsia" w:cstheme="minorHAnsi"/>
                <w14:ligatures w14:val="standardContextual"/>
              </w:rPr>
            </w:pPr>
            <w:r w:rsidRPr="00BE216E">
              <w:rPr>
                <w:rFonts w:eastAsiaTheme="minorEastAsia" w:cstheme="minorHAnsi"/>
                <w14:ligatures w14:val="standardContextual"/>
              </w:rPr>
              <w:t>5. Use the data generated in the pilot study to inform on logistical considerations and guide planning of a large definitive multicentre study with patient centred outcome measures as primary endpoint</w:t>
            </w:r>
          </w:p>
          <w:p w14:paraId="3686C6FF" w14:textId="77777777" w:rsidR="00965187" w:rsidRPr="00BE216E" w:rsidRDefault="00965187" w:rsidP="00A264CD">
            <w:pPr>
              <w:spacing w:after="200" w:line="276" w:lineRule="auto"/>
              <w:ind w:left="146"/>
              <w:rPr>
                <w:rFonts w:cstheme="minorHAnsi"/>
              </w:rPr>
            </w:pPr>
          </w:p>
        </w:tc>
        <w:tc>
          <w:tcPr>
            <w:tcW w:w="6662"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tcPr>
          <w:p w14:paraId="6B8CFA34" w14:textId="77777777" w:rsidR="00965187" w:rsidRPr="00BE216E" w:rsidRDefault="00965187" w:rsidP="00A264CD">
            <w:pPr>
              <w:rPr>
                <w:rFonts w:cstheme="minorHAnsi"/>
              </w:rPr>
            </w:pPr>
            <w:r w:rsidRPr="00BE216E">
              <w:rPr>
                <w:rFonts w:cstheme="minorHAnsi"/>
              </w:rPr>
              <w:t xml:space="preserve">There are over 7000 Australians who are treated for severe trauma in hospitals annually. Major haemorrhage in the setting of severe trauma is associated with significantly poorer outcomes and increased rates of death. Severe trauma is also known to cause a decrease in the factors within the blood that helps clots to form and stop bleeding. There is good evidence to suggest that this loss of clotting factors is also associated with worse outcomes, and it is proposed that early replacement of these factors may reduce haemorrhage and improve outcomes. </w:t>
            </w:r>
          </w:p>
          <w:p w14:paraId="1A67875E" w14:textId="77777777" w:rsidR="00965187" w:rsidRPr="00BE216E" w:rsidRDefault="00965187" w:rsidP="00A264CD">
            <w:pPr>
              <w:rPr>
                <w:rFonts w:cstheme="minorHAnsi"/>
              </w:rPr>
            </w:pPr>
            <w:r w:rsidRPr="00BE216E">
              <w:rPr>
                <w:rFonts w:cstheme="minorHAnsi"/>
              </w:rPr>
              <w:t>Fibrinogen is one of the key clotting factors that needs to be replaced in severe traumatic haemorrhage.</w:t>
            </w:r>
          </w:p>
          <w:p w14:paraId="10C0D8F9" w14:textId="77777777" w:rsidR="00965187" w:rsidRPr="00BE216E" w:rsidRDefault="00965187" w:rsidP="00A264CD">
            <w:pPr>
              <w:rPr>
                <w:rFonts w:cstheme="minorHAnsi"/>
              </w:rPr>
            </w:pPr>
            <w:r w:rsidRPr="00BE216E">
              <w:rPr>
                <w:rFonts w:cstheme="minorHAnsi"/>
              </w:rPr>
              <w:t>Currently fibrinogen is replaced using cryoprecipitate. Cryoprecipitate is a blood product made from blood donated by health donors and is a precious resource. This blood product can take a significant amount of time to administer as it is frozen and stored in the blood bank. This makes timely administration of cryoprecipitate difficult as it needs to be thawed.</w:t>
            </w:r>
          </w:p>
          <w:p w14:paraId="5150884C" w14:textId="77777777" w:rsidR="00965187" w:rsidRPr="00BE216E" w:rsidRDefault="00965187" w:rsidP="00A264CD">
            <w:pPr>
              <w:rPr>
                <w:rFonts w:cstheme="minorHAnsi"/>
              </w:rPr>
            </w:pPr>
            <w:r w:rsidRPr="00BE216E">
              <w:rPr>
                <w:rFonts w:cstheme="minorHAnsi"/>
              </w:rPr>
              <w:t xml:space="preserve">The large doses of cryoprecipitate utilised in traumatic haemorrhage place a significant strain on local blood banks in issuing requested units in a timely manner and on national blood supply agencies in maintaining and providing adequate stocks to individual blood banks. In addition, the size of Australia makes supplying and maintaining adequate stocks of ‘fresh’ allogenic blood products logistically challenging. </w:t>
            </w:r>
          </w:p>
          <w:p w14:paraId="19899C29" w14:textId="77777777" w:rsidR="00965187" w:rsidRPr="00BE216E" w:rsidRDefault="00965187" w:rsidP="00A264CD">
            <w:pPr>
              <w:rPr>
                <w:rFonts w:cstheme="minorHAnsi"/>
              </w:rPr>
            </w:pPr>
            <w:r w:rsidRPr="00BE216E">
              <w:rPr>
                <w:rFonts w:cstheme="minorHAnsi"/>
              </w:rPr>
              <w:t xml:space="preserve">Fibrinogen concentrate (FC) is an alternative product used to assist in blood clotting. It is stored in powder form and can be reconstituted at the bedside and given quickly. It is hypothesised that it will be significantly quicker to administer FC than cryoprecipitate, which will reduce haemorrhage time and improve patient outcomes. The use of a fibrinogen factor concentrate that has a long shelf life and is easy to use has enormous implications for both large urban metropolitan areas and remote isolated communities. </w:t>
            </w:r>
          </w:p>
          <w:p w14:paraId="4F388E7C" w14:textId="77777777" w:rsidR="00965187" w:rsidRPr="00BE216E" w:rsidRDefault="00965187" w:rsidP="00A264CD">
            <w:pPr>
              <w:rPr>
                <w:rFonts w:cstheme="minorHAnsi"/>
              </w:rPr>
            </w:pPr>
            <w:r w:rsidRPr="00BE216E">
              <w:rPr>
                <w:rFonts w:cstheme="minorHAnsi"/>
              </w:rPr>
              <w:t xml:space="preserve">This pilot study included 100 patients from 4 major trauma centres in Queensland. The patients admitted with severe trauma were given either FC or cryoprecipitate and the time to the administration of these products were measured. This study also assessed the effects of FC versus cryoprecipitate in traumatic haemorrhage by analysing routinely collected blood tests designed to measure the levels of clotting factors in the blood. </w:t>
            </w:r>
          </w:p>
          <w:p w14:paraId="47BF10B9" w14:textId="77777777" w:rsidR="00965187" w:rsidRPr="00BE216E" w:rsidRDefault="00965187" w:rsidP="00A264CD">
            <w:pPr>
              <w:rPr>
                <w:rFonts w:cstheme="minorHAnsi"/>
              </w:rPr>
            </w:pPr>
            <w:r w:rsidRPr="00BE216E">
              <w:rPr>
                <w:rFonts w:cstheme="minorHAnsi"/>
              </w:rPr>
              <w:lastRenderedPageBreak/>
              <w:t xml:space="preserve">This study aimed to address several key areas highlighted in the ‘Patient Blood Management Guidelines Module 1: Critical Bleeding and Massive Transfusion’ </w:t>
            </w:r>
          </w:p>
        </w:tc>
        <w:tc>
          <w:tcPr>
            <w:tcW w:w="4111"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553D54D4" w14:textId="30AD9C88" w:rsidR="00965187" w:rsidRPr="00BE216E" w:rsidRDefault="001F59A2" w:rsidP="00BE216E">
            <w:pPr>
              <w:spacing w:before="100" w:beforeAutospacing="1" w:after="100" w:afterAutospacing="1" w:line="240" w:lineRule="auto"/>
              <w:ind w:left="138"/>
              <w:rPr>
                <w:rFonts w:eastAsiaTheme="minorEastAsia" w:cstheme="minorHAnsi"/>
                <w:lang w:eastAsia="en-AU"/>
              </w:rPr>
            </w:pPr>
            <w:hyperlink r:id="rId16" w:tgtFrame="_blank" w:history="1">
              <w:r w:rsidR="00965187" w:rsidRPr="00BE216E">
                <w:rPr>
                  <w:rFonts w:eastAsiaTheme="minorEastAsia" w:cstheme="minorHAnsi"/>
                  <w:color w:val="0000FF"/>
                  <w:spacing w:val="4"/>
                  <w:u w:val="single"/>
                  <w:lang w:eastAsia="en-AU"/>
                </w:rPr>
                <w:t xml:space="preserve">Fibrinogen Early </w:t>
              </w:r>
              <w:proofErr w:type="gramStart"/>
              <w:r w:rsidR="00965187" w:rsidRPr="00BE216E">
                <w:rPr>
                  <w:rFonts w:eastAsiaTheme="minorEastAsia" w:cstheme="minorHAnsi"/>
                  <w:color w:val="0000FF"/>
                  <w:spacing w:val="4"/>
                  <w:u w:val="single"/>
                  <w:lang w:eastAsia="en-AU"/>
                </w:rPr>
                <w:t>In</w:t>
              </w:r>
              <w:proofErr w:type="gramEnd"/>
              <w:r w:rsidR="00965187" w:rsidRPr="00BE216E">
                <w:rPr>
                  <w:rFonts w:eastAsiaTheme="minorEastAsia" w:cstheme="minorHAnsi"/>
                  <w:color w:val="0000FF"/>
                  <w:spacing w:val="4"/>
                  <w:u w:val="single"/>
                  <w:lang w:eastAsia="en-AU"/>
                </w:rPr>
                <w:t xml:space="preserve"> Severe Trauma </w:t>
              </w:r>
              <w:proofErr w:type="spellStart"/>
              <w:r w:rsidR="00965187" w:rsidRPr="00BE216E">
                <w:rPr>
                  <w:rFonts w:eastAsiaTheme="minorEastAsia" w:cstheme="minorHAnsi"/>
                  <w:color w:val="0000FF"/>
                  <w:spacing w:val="4"/>
                  <w:u w:val="single"/>
                  <w:lang w:eastAsia="en-AU"/>
                </w:rPr>
                <w:t>studY</w:t>
              </w:r>
              <w:proofErr w:type="spellEnd"/>
              <w:r w:rsidR="00965187" w:rsidRPr="00BE216E">
                <w:rPr>
                  <w:rFonts w:eastAsiaTheme="minorEastAsia" w:cstheme="minorHAnsi"/>
                  <w:color w:val="0000FF"/>
                  <w:spacing w:val="4"/>
                  <w:u w:val="single"/>
                  <w:lang w:eastAsia="en-AU"/>
                </w:rPr>
                <w:t xml:space="preserve"> (FEISTY): study protocol for a randomised controlled trial</w:t>
              </w:r>
            </w:hyperlink>
          </w:p>
          <w:p w14:paraId="7B638D52" w14:textId="0F5AECF1" w:rsidR="00965187" w:rsidRPr="00BE216E" w:rsidRDefault="001F59A2" w:rsidP="00BE216E">
            <w:pPr>
              <w:spacing w:before="100" w:beforeAutospacing="1" w:after="100" w:afterAutospacing="1" w:line="240" w:lineRule="auto"/>
              <w:ind w:left="138"/>
              <w:rPr>
                <w:rFonts w:eastAsiaTheme="minorEastAsia" w:cstheme="minorHAnsi"/>
                <w:lang w:eastAsia="en-AU"/>
              </w:rPr>
            </w:pPr>
            <w:hyperlink r:id="rId17" w:tgtFrame="_blank" w:history="1">
              <w:proofErr w:type="spellStart"/>
              <w:r w:rsidR="00965187" w:rsidRPr="00BE216E">
                <w:rPr>
                  <w:rFonts w:eastAsiaTheme="minorEastAsia" w:cstheme="minorHAnsi"/>
                  <w:color w:val="0000FF"/>
                  <w:spacing w:val="4"/>
                  <w:u w:val="single"/>
                  <w:lang w:eastAsia="en-AU"/>
                </w:rPr>
                <w:t>Haemotherapy</w:t>
              </w:r>
              <w:proofErr w:type="spellEnd"/>
              <w:r w:rsidR="00965187" w:rsidRPr="00BE216E">
                <w:rPr>
                  <w:rFonts w:eastAsiaTheme="minorEastAsia" w:cstheme="minorHAnsi"/>
                  <w:color w:val="0000FF"/>
                  <w:spacing w:val="4"/>
                  <w:u w:val="single"/>
                  <w:lang w:eastAsia="en-AU"/>
                </w:rPr>
                <w:t xml:space="preserve"> algorithm for the management of trauma-induced coagulopathy: an Australian perspective</w:t>
              </w:r>
            </w:hyperlink>
          </w:p>
          <w:p w14:paraId="46308AD1" w14:textId="48216AF3" w:rsidR="00965187" w:rsidRPr="00BE216E" w:rsidRDefault="001F59A2" w:rsidP="00BE216E">
            <w:pPr>
              <w:spacing w:before="100" w:beforeAutospacing="1" w:after="100" w:afterAutospacing="1" w:line="240" w:lineRule="auto"/>
              <w:ind w:left="138"/>
              <w:rPr>
                <w:rFonts w:eastAsiaTheme="minorEastAsia" w:cstheme="minorHAnsi"/>
                <w:lang w:eastAsia="en-AU"/>
              </w:rPr>
            </w:pPr>
            <w:hyperlink r:id="rId18">
              <w:r w:rsidR="00965187" w:rsidRPr="00BE216E">
                <w:rPr>
                  <w:rStyle w:val="normaltextrun"/>
                  <w:rFonts w:eastAsiaTheme="minorEastAsia" w:cstheme="minorHAnsi"/>
                  <w:color w:val="0000FF"/>
                  <w:u w:val="single"/>
                </w:rPr>
                <w:t xml:space="preserve">Fibrinogen Early </w:t>
              </w:r>
              <w:proofErr w:type="gramStart"/>
              <w:r w:rsidR="00965187" w:rsidRPr="00BE216E">
                <w:rPr>
                  <w:rStyle w:val="normaltextrun"/>
                  <w:rFonts w:eastAsiaTheme="minorEastAsia" w:cstheme="minorHAnsi"/>
                  <w:color w:val="0000FF"/>
                  <w:u w:val="single"/>
                </w:rPr>
                <w:t>In</w:t>
              </w:r>
              <w:proofErr w:type="gramEnd"/>
              <w:r w:rsidR="00965187" w:rsidRPr="00BE216E">
                <w:rPr>
                  <w:rStyle w:val="normaltextrun"/>
                  <w:rFonts w:eastAsiaTheme="minorEastAsia" w:cstheme="minorHAnsi"/>
                  <w:color w:val="0000FF"/>
                  <w:u w:val="single"/>
                </w:rPr>
                <w:t xml:space="preserve"> Severe Trauma </w:t>
              </w:r>
              <w:proofErr w:type="spellStart"/>
              <w:r w:rsidR="00965187" w:rsidRPr="00BE216E">
                <w:rPr>
                  <w:rStyle w:val="normaltextrun"/>
                  <w:rFonts w:eastAsiaTheme="minorEastAsia" w:cstheme="minorHAnsi"/>
                  <w:color w:val="0000FF"/>
                  <w:u w:val="single"/>
                </w:rPr>
                <w:t>studY</w:t>
              </w:r>
              <w:proofErr w:type="spellEnd"/>
              <w:r w:rsidR="00965187" w:rsidRPr="00BE216E">
                <w:rPr>
                  <w:rStyle w:val="normaltextrun"/>
                  <w:rFonts w:eastAsiaTheme="minorEastAsia" w:cstheme="minorHAnsi"/>
                  <w:color w:val="0000FF"/>
                  <w:u w:val="single"/>
                </w:rPr>
                <w:t xml:space="preserve"> (FEISTY): results from an Australian multicentre randomised controlled pilot trial - PMC (nih.gov)</w:t>
              </w:r>
            </w:hyperlink>
          </w:p>
          <w:p w14:paraId="4F4A5AE0" w14:textId="77777777" w:rsidR="00965187" w:rsidRPr="00BE216E" w:rsidRDefault="001F59A2" w:rsidP="00A264CD">
            <w:pPr>
              <w:pStyle w:val="paragraph"/>
              <w:spacing w:before="0" w:beforeAutospacing="0" w:after="0" w:afterAutospacing="0"/>
              <w:ind w:left="138"/>
              <w:textAlignment w:val="baseline"/>
              <w:rPr>
                <w:rFonts w:asciiTheme="minorHAnsi" w:eastAsiaTheme="minorEastAsia" w:hAnsiTheme="minorHAnsi" w:cstheme="minorHAnsi"/>
                <w:color w:val="000000" w:themeColor="text1"/>
                <w:sz w:val="22"/>
                <w:szCs w:val="22"/>
              </w:rPr>
            </w:pPr>
            <w:hyperlink r:id="rId19">
              <w:r w:rsidR="00965187" w:rsidRPr="00BE216E">
                <w:rPr>
                  <w:rStyle w:val="normaltextrun"/>
                  <w:rFonts w:asciiTheme="minorHAnsi" w:eastAsiaTheme="minorEastAsia" w:hAnsiTheme="minorHAnsi" w:cstheme="minorHAnsi"/>
                  <w:color w:val="0000FF"/>
                  <w:sz w:val="22"/>
                  <w:szCs w:val="22"/>
                  <w:u w:val="single"/>
                </w:rPr>
                <w:t>A novel method to quantify fibrin–fibrin and fibrin–α2-antiplasmin cross-links in thrombi formed from human trauma patient plasma - ScienceDirect</w:t>
              </w:r>
            </w:hyperlink>
            <w:r w:rsidR="00965187" w:rsidRPr="00BE216E">
              <w:rPr>
                <w:rStyle w:val="normaltextrun"/>
                <w:rFonts w:asciiTheme="minorHAnsi" w:eastAsiaTheme="minorEastAsia" w:hAnsiTheme="minorHAnsi" w:cstheme="minorHAnsi"/>
                <w:sz w:val="22"/>
                <w:szCs w:val="22"/>
              </w:rPr>
              <w:t xml:space="preserve"> </w:t>
            </w:r>
            <w:proofErr w:type="gramStart"/>
            <w:r w:rsidR="00965187" w:rsidRPr="00BE216E">
              <w:rPr>
                <w:rStyle w:val="normaltextrun"/>
                <w:rFonts w:asciiTheme="minorHAnsi" w:eastAsiaTheme="minorEastAsia" w:hAnsiTheme="minorHAnsi" w:cstheme="minorHAnsi"/>
                <w:color w:val="000000" w:themeColor="text1"/>
                <w:sz w:val="22"/>
                <w:szCs w:val="22"/>
              </w:rPr>
              <w:t>- </w:t>
            </w:r>
            <w:r w:rsidR="00965187" w:rsidRPr="00BE216E">
              <w:rPr>
                <w:rStyle w:val="normaltextrun"/>
                <w:rFonts w:asciiTheme="minorHAnsi" w:eastAsiaTheme="minorEastAsia" w:hAnsiTheme="minorHAnsi" w:cstheme="minorHAnsi"/>
                <w:b/>
                <w:color w:val="000000" w:themeColor="text1"/>
                <w:sz w:val="22"/>
                <w:szCs w:val="22"/>
              </w:rPr>
              <w:t xml:space="preserve"> FEISTY</w:t>
            </w:r>
            <w:proofErr w:type="gramEnd"/>
            <w:r w:rsidR="00965187" w:rsidRPr="00BE216E">
              <w:rPr>
                <w:rStyle w:val="normaltextrun"/>
                <w:rFonts w:asciiTheme="minorHAnsi" w:eastAsiaTheme="minorEastAsia" w:hAnsiTheme="minorHAnsi" w:cstheme="minorHAnsi"/>
                <w:b/>
                <w:color w:val="000000" w:themeColor="text1"/>
                <w:sz w:val="22"/>
                <w:szCs w:val="22"/>
              </w:rPr>
              <w:t xml:space="preserve"> patient samples were used for this research</w:t>
            </w:r>
            <w:r w:rsidR="00965187" w:rsidRPr="00BE216E">
              <w:rPr>
                <w:rStyle w:val="eop"/>
                <w:rFonts w:asciiTheme="minorHAnsi" w:eastAsiaTheme="minorEastAsia" w:hAnsiTheme="minorHAnsi" w:cstheme="minorHAnsi"/>
                <w:color w:val="000000" w:themeColor="text1"/>
                <w:sz w:val="22"/>
                <w:szCs w:val="22"/>
              </w:rPr>
              <w:t> </w:t>
            </w:r>
          </w:p>
          <w:p w14:paraId="728D333D" w14:textId="77777777" w:rsidR="00965187" w:rsidRPr="00BE216E" w:rsidRDefault="00965187" w:rsidP="00A264CD">
            <w:pPr>
              <w:pStyle w:val="paragraph"/>
              <w:spacing w:before="0" w:beforeAutospacing="0" w:after="0" w:afterAutospacing="0"/>
              <w:ind w:left="138"/>
              <w:textAlignment w:val="baseline"/>
              <w:rPr>
                <w:rFonts w:asciiTheme="minorHAnsi" w:eastAsiaTheme="minorEastAsia" w:hAnsiTheme="minorHAnsi" w:cstheme="minorHAnsi"/>
                <w:sz w:val="22"/>
                <w:szCs w:val="22"/>
              </w:rPr>
            </w:pPr>
            <w:r w:rsidRPr="00BE216E">
              <w:rPr>
                <w:rStyle w:val="eop"/>
                <w:rFonts w:asciiTheme="minorHAnsi" w:eastAsiaTheme="minorEastAsia" w:hAnsiTheme="minorHAnsi" w:cstheme="minorHAnsi"/>
                <w:color w:val="FF0000"/>
                <w:sz w:val="22"/>
                <w:szCs w:val="22"/>
              </w:rPr>
              <w:t> </w:t>
            </w:r>
          </w:p>
          <w:p w14:paraId="2DF3B2A2" w14:textId="77777777" w:rsidR="00965187" w:rsidRPr="00BE216E" w:rsidRDefault="001F59A2" w:rsidP="00A264CD">
            <w:pPr>
              <w:pStyle w:val="paragraph"/>
              <w:spacing w:before="0" w:beforeAutospacing="0" w:after="0" w:afterAutospacing="0"/>
              <w:ind w:left="138"/>
              <w:textAlignment w:val="baseline"/>
              <w:rPr>
                <w:rFonts w:asciiTheme="minorHAnsi" w:eastAsiaTheme="minorEastAsia" w:hAnsiTheme="minorHAnsi" w:cstheme="minorHAnsi"/>
                <w:sz w:val="22"/>
                <w:szCs w:val="22"/>
              </w:rPr>
            </w:pPr>
            <w:hyperlink r:id="rId20">
              <w:r w:rsidR="00965187" w:rsidRPr="00BE216E">
                <w:rPr>
                  <w:rStyle w:val="normaltextrun"/>
                  <w:rFonts w:asciiTheme="minorHAnsi" w:eastAsiaTheme="minorEastAsia" w:hAnsiTheme="minorHAnsi" w:cstheme="minorHAnsi"/>
                  <w:color w:val="0000FF"/>
                  <w:sz w:val="22"/>
                  <w:szCs w:val="22"/>
                  <w:u w:val="single"/>
                </w:rPr>
                <w:t>Cryoprecipitate transfusion in trauma patients attenuates hyperfibrinolysis and restores normal clot structure and stability: Results from a laboratory sub-study of the FEISTY trial - PMC (nih.gov)</w:t>
              </w:r>
            </w:hyperlink>
            <w:r w:rsidR="00965187" w:rsidRPr="00BE216E">
              <w:rPr>
                <w:rStyle w:val="normaltextrun"/>
                <w:rFonts w:asciiTheme="minorHAnsi" w:eastAsiaTheme="minorEastAsia" w:hAnsiTheme="minorHAnsi" w:cstheme="minorHAnsi"/>
                <w:sz w:val="22"/>
                <w:szCs w:val="22"/>
              </w:rPr>
              <w:t xml:space="preserve"> </w:t>
            </w:r>
            <w:proofErr w:type="gramStart"/>
            <w:r w:rsidR="00965187" w:rsidRPr="00BE216E">
              <w:rPr>
                <w:rStyle w:val="normaltextrun"/>
                <w:rFonts w:asciiTheme="minorHAnsi" w:eastAsiaTheme="minorEastAsia" w:hAnsiTheme="minorHAnsi" w:cstheme="minorHAnsi"/>
                <w:sz w:val="22"/>
                <w:szCs w:val="22"/>
              </w:rPr>
              <w:t xml:space="preserve">-  </w:t>
            </w:r>
            <w:r w:rsidR="00965187" w:rsidRPr="00BE216E">
              <w:rPr>
                <w:rStyle w:val="normaltextrun"/>
                <w:rFonts w:asciiTheme="minorHAnsi" w:eastAsiaTheme="minorEastAsia" w:hAnsiTheme="minorHAnsi" w:cstheme="minorHAnsi"/>
                <w:b/>
                <w:color w:val="000000" w:themeColor="text1"/>
                <w:sz w:val="22"/>
                <w:szCs w:val="22"/>
              </w:rPr>
              <w:t>FEISTY</w:t>
            </w:r>
            <w:proofErr w:type="gramEnd"/>
            <w:r w:rsidR="00965187" w:rsidRPr="00BE216E">
              <w:rPr>
                <w:rStyle w:val="normaltextrun"/>
                <w:rFonts w:asciiTheme="minorHAnsi" w:eastAsiaTheme="minorEastAsia" w:hAnsiTheme="minorHAnsi" w:cstheme="minorHAnsi"/>
                <w:b/>
                <w:color w:val="000000" w:themeColor="text1"/>
                <w:sz w:val="22"/>
                <w:szCs w:val="22"/>
              </w:rPr>
              <w:t xml:space="preserve"> patient samples were used for this research</w:t>
            </w:r>
            <w:r w:rsidR="00965187" w:rsidRPr="00BE216E">
              <w:rPr>
                <w:rStyle w:val="eop"/>
                <w:rFonts w:asciiTheme="minorHAnsi" w:eastAsiaTheme="minorEastAsia" w:hAnsiTheme="minorHAnsi" w:cstheme="minorHAnsi"/>
                <w:color w:val="000000" w:themeColor="text1"/>
                <w:sz w:val="22"/>
                <w:szCs w:val="22"/>
              </w:rPr>
              <w:t> </w:t>
            </w:r>
          </w:p>
          <w:p w14:paraId="7918B3E9" w14:textId="77777777" w:rsidR="00965187" w:rsidRPr="00BE216E" w:rsidRDefault="00965187" w:rsidP="00A264CD">
            <w:pPr>
              <w:spacing w:before="100" w:beforeAutospacing="1" w:after="100" w:afterAutospacing="1" w:line="240" w:lineRule="auto"/>
              <w:ind w:left="138"/>
              <w:rPr>
                <w:rFonts w:cstheme="minorHAnsi"/>
              </w:rPr>
            </w:pPr>
          </w:p>
        </w:tc>
      </w:tr>
      <w:tr w:rsidR="00965187" w:rsidRPr="008F4079" w14:paraId="685C9C68" w14:textId="77777777" w:rsidTr="00BE216E">
        <w:trPr>
          <w:trHeight w:val="1144"/>
        </w:trPr>
        <w:tc>
          <w:tcPr>
            <w:tcW w:w="1843"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tcPr>
          <w:p w14:paraId="7361A03B" w14:textId="77777777" w:rsidR="00965187" w:rsidRPr="008F4079" w:rsidRDefault="00965187" w:rsidP="00A264CD">
            <w:pPr>
              <w:rPr>
                <w:rFonts w:cstheme="minorHAnsi"/>
                <w:b/>
                <w:bCs/>
              </w:rPr>
            </w:pPr>
            <w:r w:rsidRPr="008F4079">
              <w:rPr>
                <w:rFonts w:cstheme="minorHAnsi"/>
                <w:b/>
                <w:bCs/>
              </w:rPr>
              <w:t>Patient Blood management Project Grant</w:t>
            </w:r>
          </w:p>
        </w:tc>
        <w:tc>
          <w:tcPr>
            <w:tcW w:w="2126"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tcPr>
          <w:p w14:paraId="034CFB29" w14:textId="77777777" w:rsidR="00965187" w:rsidRPr="008F4079" w:rsidRDefault="00965187" w:rsidP="00A264CD">
            <w:pPr>
              <w:rPr>
                <w:rFonts w:cstheme="minorHAnsi"/>
              </w:rPr>
            </w:pPr>
            <w:r w:rsidRPr="008F4079">
              <w:rPr>
                <w:rFonts w:cstheme="minorHAnsi"/>
              </w:rPr>
              <w:t>Iron need in pregnancy and after birth</w:t>
            </w:r>
          </w:p>
        </w:tc>
        <w:tc>
          <w:tcPr>
            <w:tcW w:w="1701"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tcPr>
          <w:p w14:paraId="3B4C13F5" w14:textId="77777777" w:rsidR="00965187" w:rsidRPr="008F4079" w:rsidRDefault="00965187" w:rsidP="00A264CD">
            <w:pPr>
              <w:rPr>
                <w:rFonts w:cstheme="minorHAnsi"/>
              </w:rPr>
            </w:pPr>
            <w:r w:rsidRPr="008F4079">
              <w:rPr>
                <w:rFonts w:cstheme="minorHAnsi"/>
              </w:rPr>
              <w:t>University of Adelaide</w:t>
            </w:r>
          </w:p>
        </w:tc>
        <w:tc>
          <w:tcPr>
            <w:tcW w:w="1418"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tcPr>
          <w:p w14:paraId="70A68375" w14:textId="77777777" w:rsidR="00965187" w:rsidRPr="008F4079" w:rsidRDefault="00965187" w:rsidP="00A264CD">
            <w:pPr>
              <w:rPr>
                <w:rFonts w:cstheme="minorHAnsi"/>
              </w:rPr>
            </w:pPr>
            <w:r w:rsidRPr="008F4079">
              <w:rPr>
                <w:rFonts w:cstheme="minorHAnsi"/>
              </w:rPr>
              <w:t>$153,035.63</w:t>
            </w:r>
          </w:p>
        </w:tc>
        <w:tc>
          <w:tcPr>
            <w:tcW w:w="1417"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tcPr>
          <w:p w14:paraId="3F0E0E19" w14:textId="77777777" w:rsidR="00965187" w:rsidRPr="008F4079" w:rsidRDefault="00965187" w:rsidP="00A264CD">
            <w:pPr>
              <w:rPr>
                <w:rFonts w:cstheme="minorHAnsi"/>
              </w:rPr>
            </w:pPr>
            <w:r w:rsidRPr="008F4079">
              <w:rPr>
                <w:rFonts w:cstheme="minorHAnsi"/>
              </w:rPr>
              <w:t xml:space="preserve">Prof Bernd </w:t>
            </w:r>
            <w:proofErr w:type="spellStart"/>
            <w:r w:rsidRPr="008F4079">
              <w:rPr>
                <w:rFonts w:cstheme="minorHAnsi"/>
              </w:rPr>
              <w:t>Froessler</w:t>
            </w:r>
            <w:proofErr w:type="spellEnd"/>
          </w:p>
        </w:tc>
        <w:tc>
          <w:tcPr>
            <w:tcW w:w="3828"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193FB2D2" w14:textId="77777777" w:rsidR="00965187" w:rsidRPr="004E203D" w:rsidRDefault="00965187" w:rsidP="00A264CD">
            <w:pPr>
              <w:keepNext/>
              <w:ind w:left="146"/>
              <w:rPr>
                <w:rFonts w:cstheme="minorHAnsi"/>
              </w:rPr>
            </w:pPr>
            <w:r w:rsidRPr="004E203D">
              <w:rPr>
                <w:rFonts w:cstheme="minorHAnsi"/>
              </w:rPr>
              <w:t xml:space="preserve">To assess whether two different doses of antenatal intravenous iron administration (500 mg and 100mg ferric </w:t>
            </w:r>
            <w:proofErr w:type="spellStart"/>
            <w:r w:rsidRPr="004E203D">
              <w:rPr>
                <w:rFonts w:cstheme="minorHAnsi"/>
              </w:rPr>
              <w:t>carboxymaltose</w:t>
            </w:r>
            <w:proofErr w:type="spellEnd"/>
            <w:r w:rsidRPr="004E203D">
              <w:rPr>
                <w:rFonts w:cstheme="minorHAnsi"/>
              </w:rPr>
              <w:t>) are equivalent in replenishing and sustaining iron stores successfully in pregnant iron deficient women.</w:t>
            </w:r>
          </w:p>
          <w:p w14:paraId="3BBBDEAF" w14:textId="77777777" w:rsidR="00965187" w:rsidRPr="004E203D" w:rsidRDefault="00965187" w:rsidP="00A264CD">
            <w:pPr>
              <w:keepNext/>
              <w:ind w:left="146"/>
              <w:rPr>
                <w:rFonts w:cstheme="minorHAnsi"/>
              </w:rPr>
            </w:pPr>
          </w:p>
        </w:tc>
        <w:tc>
          <w:tcPr>
            <w:tcW w:w="6662"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tcPr>
          <w:p w14:paraId="315AA27D" w14:textId="77777777" w:rsidR="00965187" w:rsidRPr="008F4079" w:rsidRDefault="00965187" w:rsidP="00A264CD">
            <w:pPr>
              <w:rPr>
                <w:rFonts w:cstheme="minorHAnsi"/>
              </w:rPr>
            </w:pPr>
            <w:r w:rsidRPr="008F4079">
              <w:rPr>
                <w:rFonts w:cstheme="minorHAnsi"/>
              </w:rPr>
              <w:t xml:space="preserve">Iron deficiency is a common nutritional deficiency amongst women of childbearing age. Iron deficiency in pregnancy and around the time of delivery is associated with significant maternal, </w:t>
            </w:r>
            <w:proofErr w:type="gramStart"/>
            <w:r w:rsidRPr="008F4079">
              <w:rPr>
                <w:rFonts w:cstheme="minorHAnsi"/>
              </w:rPr>
              <w:t>foetal</w:t>
            </w:r>
            <w:proofErr w:type="gramEnd"/>
            <w:r w:rsidRPr="008F4079">
              <w:rPr>
                <w:rFonts w:cstheme="minorHAnsi"/>
              </w:rPr>
              <w:t xml:space="preserve"> and infant morbidity, including premature birth, foetal growth restriction, still-birth and infection.</w:t>
            </w:r>
          </w:p>
          <w:p w14:paraId="7D1850C0" w14:textId="77777777" w:rsidR="00965187" w:rsidRPr="008F4079" w:rsidRDefault="00965187" w:rsidP="00A264CD">
            <w:pPr>
              <w:rPr>
                <w:rFonts w:cstheme="minorHAnsi"/>
              </w:rPr>
            </w:pPr>
            <w:r w:rsidRPr="008F4079">
              <w:rPr>
                <w:rFonts w:cstheme="minorHAnsi"/>
              </w:rPr>
              <w:t xml:space="preserve">Women with iron deficiency anaemia are at risk of requiring red blood cell transfusion, and having cardiovascular problems, reduced physical and mental (understanding and functioning) performance, reduced immune function, </w:t>
            </w:r>
            <w:proofErr w:type="gramStart"/>
            <w:r w:rsidRPr="008F4079">
              <w:rPr>
                <w:rFonts w:cstheme="minorHAnsi"/>
              </w:rPr>
              <w:t>tiredness</w:t>
            </w:r>
            <w:proofErr w:type="gramEnd"/>
            <w:r w:rsidRPr="008F4079">
              <w:rPr>
                <w:rFonts w:cstheme="minorHAnsi"/>
              </w:rPr>
              <w:t xml:space="preserve"> and depressive episodes in pregnancy and around the time of delivery.</w:t>
            </w:r>
          </w:p>
          <w:p w14:paraId="28DED08F" w14:textId="77777777" w:rsidR="00965187" w:rsidRPr="008F4079" w:rsidRDefault="00965187" w:rsidP="00A264CD">
            <w:pPr>
              <w:rPr>
                <w:rFonts w:cstheme="minorHAnsi"/>
              </w:rPr>
            </w:pPr>
            <w:r w:rsidRPr="008F4079">
              <w:rPr>
                <w:rFonts w:cstheme="minorHAnsi"/>
              </w:rPr>
              <w:t>Intravenous (IV) iron is an effective treatment option for iron deficiency and generally well tolerated. Different doses of IV iron have been studied but it remains unclear if there is an optimal dose and what this dose might be for the short and longer term.</w:t>
            </w:r>
          </w:p>
          <w:p w14:paraId="06F3CCB4" w14:textId="77777777" w:rsidR="00965187" w:rsidRPr="008F4079" w:rsidRDefault="00965187" w:rsidP="00A264CD">
            <w:pPr>
              <w:rPr>
                <w:rFonts w:cstheme="minorHAnsi"/>
              </w:rPr>
            </w:pPr>
            <w:r w:rsidRPr="004E203D">
              <w:rPr>
                <w:rFonts w:cstheme="minorHAnsi"/>
              </w:rPr>
              <w:t>This</w:t>
            </w:r>
            <w:r w:rsidRPr="008F4079">
              <w:rPr>
                <w:rFonts w:cstheme="minorHAnsi"/>
              </w:rPr>
              <w:t xml:space="preserve"> study </w:t>
            </w:r>
            <w:r w:rsidRPr="004E203D">
              <w:rPr>
                <w:rFonts w:cstheme="minorHAnsi"/>
              </w:rPr>
              <w:t>assess</w:t>
            </w:r>
            <w:r>
              <w:rPr>
                <w:rFonts w:cstheme="minorHAnsi"/>
              </w:rPr>
              <w:t>ed</w:t>
            </w:r>
            <w:r w:rsidRPr="008F4079">
              <w:rPr>
                <w:rFonts w:cstheme="minorHAnsi"/>
              </w:rPr>
              <w:t xml:space="preserve"> whether one intravenous iron administration of 500 or 1000 mg ferric </w:t>
            </w:r>
            <w:proofErr w:type="spellStart"/>
            <w:r w:rsidRPr="008F4079">
              <w:rPr>
                <w:rFonts w:cstheme="minorHAnsi"/>
              </w:rPr>
              <w:t>carboxymaltose</w:t>
            </w:r>
            <w:proofErr w:type="spellEnd"/>
            <w:r w:rsidRPr="008F4079">
              <w:rPr>
                <w:rFonts w:cstheme="minorHAnsi"/>
              </w:rPr>
              <w:t xml:space="preserve"> replenishes and sustains iron stores successfully when given to pregnant iron deficient women. </w:t>
            </w:r>
          </w:p>
          <w:p w14:paraId="5200C532" w14:textId="77777777" w:rsidR="00965187" w:rsidRPr="008F4079" w:rsidRDefault="00965187" w:rsidP="00A264CD">
            <w:pPr>
              <w:rPr>
                <w:rFonts w:cstheme="minorHAnsi"/>
              </w:rPr>
            </w:pPr>
            <w:r w:rsidRPr="008F4079">
              <w:rPr>
                <w:rFonts w:cstheme="minorHAnsi"/>
              </w:rPr>
              <w:t xml:space="preserve">The research </w:t>
            </w:r>
            <w:r>
              <w:rPr>
                <w:rFonts w:cstheme="minorHAnsi"/>
              </w:rPr>
              <w:t>aimed to</w:t>
            </w:r>
            <w:r w:rsidRPr="008F4079">
              <w:rPr>
                <w:rFonts w:cstheme="minorHAnsi"/>
              </w:rPr>
              <w:t xml:space="preserve"> identify the right dose of iron required to get women through pregnancy, </w:t>
            </w:r>
            <w:proofErr w:type="gramStart"/>
            <w:r w:rsidRPr="008F4079">
              <w:rPr>
                <w:rFonts w:cstheme="minorHAnsi"/>
              </w:rPr>
              <w:t>labour</w:t>
            </w:r>
            <w:proofErr w:type="gramEnd"/>
            <w:r w:rsidRPr="008F4079">
              <w:rPr>
                <w:rFonts w:cstheme="minorHAnsi"/>
              </w:rPr>
              <w:t xml:space="preserve"> and the time after delivery. This could improve the well-being of mothers</w:t>
            </w:r>
            <w:r>
              <w:rPr>
                <w:rFonts w:cstheme="minorHAnsi"/>
              </w:rPr>
              <w:t xml:space="preserve">, </w:t>
            </w:r>
            <w:r w:rsidRPr="008F4079">
              <w:rPr>
                <w:rFonts w:cstheme="minorHAnsi"/>
              </w:rPr>
              <w:t>reduce the need for blood transfusions</w:t>
            </w:r>
            <w:r>
              <w:rPr>
                <w:rFonts w:cstheme="minorHAnsi"/>
              </w:rPr>
              <w:t xml:space="preserve"> and protect</w:t>
            </w:r>
            <w:r w:rsidRPr="008F4079">
              <w:rPr>
                <w:rFonts w:cstheme="minorHAnsi"/>
              </w:rPr>
              <w:t xml:space="preserve"> babies from the adverse effects of iron deficiency. This may have critical and long-lasting implications for growth and development, particularly </w:t>
            </w:r>
            <w:r>
              <w:rPr>
                <w:rFonts w:cstheme="minorHAnsi"/>
              </w:rPr>
              <w:t>for</w:t>
            </w:r>
            <w:r w:rsidRPr="008F4079">
              <w:rPr>
                <w:rFonts w:cstheme="minorHAnsi"/>
              </w:rPr>
              <w:t xml:space="preserve"> the </w:t>
            </w:r>
            <w:r w:rsidRPr="004E203D">
              <w:rPr>
                <w:rFonts w:cstheme="minorHAnsi"/>
              </w:rPr>
              <w:t>f</w:t>
            </w:r>
            <w:r>
              <w:rPr>
                <w:rFonts w:cstheme="minorHAnsi"/>
              </w:rPr>
              <w:t>o</w:t>
            </w:r>
            <w:r w:rsidRPr="004E203D">
              <w:rPr>
                <w:rFonts w:cstheme="minorHAnsi"/>
              </w:rPr>
              <w:t>etal</w:t>
            </w:r>
            <w:r w:rsidRPr="008F4079">
              <w:rPr>
                <w:rFonts w:cstheme="minorHAnsi"/>
              </w:rPr>
              <w:t xml:space="preserve"> brain. </w:t>
            </w:r>
          </w:p>
          <w:p w14:paraId="0299E4A9" w14:textId="77777777" w:rsidR="00965187" w:rsidRPr="008F4079" w:rsidRDefault="00965187" w:rsidP="00A264CD">
            <w:pPr>
              <w:rPr>
                <w:rFonts w:cstheme="minorHAnsi"/>
              </w:rPr>
            </w:pPr>
          </w:p>
          <w:p w14:paraId="64E5E489" w14:textId="77777777" w:rsidR="00965187" w:rsidRPr="008F4079" w:rsidRDefault="00965187" w:rsidP="00A264CD">
            <w:pPr>
              <w:rPr>
                <w:rFonts w:cstheme="minorHAnsi"/>
              </w:rPr>
            </w:pPr>
          </w:p>
        </w:tc>
        <w:tc>
          <w:tcPr>
            <w:tcW w:w="4111"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627D3E00" w14:textId="77777777" w:rsidR="00965187" w:rsidRPr="00BE216E" w:rsidRDefault="001F59A2" w:rsidP="00A264CD">
            <w:pPr>
              <w:spacing w:before="100" w:beforeAutospacing="1" w:after="100" w:afterAutospacing="1" w:line="240" w:lineRule="auto"/>
              <w:ind w:left="138"/>
              <w:rPr>
                <w:rFonts w:eastAsiaTheme="minorEastAsia" w:cstheme="minorHAnsi"/>
                <w:color w:val="0000FF"/>
                <w:spacing w:val="4"/>
                <w:u w:val="single"/>
                <w:lang w:eastAsia="en-AU"/>
              </w:rPr>
            </w:pPr>
            <w:hyperlink r:id="rId21" w:tgtFrame="_blank" w:history="1">
              <w:r w:rsidR="00965187" w:rsidRPr="00BE216E">
                <w:rPr>
                  <w:rFonts w:eastAsiaTheme="minorEastAsia" w:cstheme="minorHAnsi"/>
                  <w:color w:val="0000FF"/>
                  <w:u w:val="single"/>
                  <w:lang w:eastAsia="en-AU"/>
                </w:rPr>
                <w:t xml:space="preserve">Testing equivalence of two doses of intravenous iron to treat iron deficiency in pregnancy: A randomised controlled trial - </w:t>
              </w:r>
              <w:proofErr w:type="spellStart"/>
              <w:r w:rsidR="00965187" w:rsidRPr="00BE216E">
                <w:rPr>
                  <w:rFonts w:eastAsiaTheme="minorEastAsia" w:cstheme="minorHAnsi"/>
                  <w:color w:val="0000FF"/>
                  <w:u w:val="single"/>
                  <w:lang w:eastAsia="en-AU"/>
                </w:rPr>
                <w:t>Froessler</w:t>
              </w:r>
              <w:proofErr w:type="spellEnd"/>
            </w:hyperlink>
          </w:p>
          <w:p w14:paraId="79C07BDC" w14:textId="77777777" w:rsidR="00965187" w:rsidRDefault="00965187" w:rsidP="00A264CD">
            <w:pPr>
              <w:spacing w:before="100" w:beforeAutospacing="1" w:after="100" w:afterAutospacing="1" w:line="240" w:lineRule="auto"/>
              <w:ind w:left="138"/>
            </w:pPr>
          </w:p>
        </w:tc>
      </w:tr>
      <w:tr w:rsidR="00965187" w:rsidRPr="008F4079" w14:paraId="12C89A3C" w14:textId="77777777" w:rsidTr="00BE216E">
        <w:trPr>
          <w:trHeight w:val="1036"/>
        </w:trPr>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hideMark/>
          </w:tcPr>
          <w:p w14:paraId="43E93ACA" w14:textId="77777777" w:rsidR="00965187" w:rsidRPr="008F4079" w:rsidRDefault="00965187" w:rsidP="00A264CD">
            <w:pPr>
              <w:rPr>
                <w:rFonts w:cstheme="minorHAnsi"/>
                <w:b/>
                <w:bCs/>
              </w:rPr>
            </w:pPr>
            <w:r w:rsidRPr="008F4079">
              <w:rPr>
                <w:rFonts w:cstheme="minorHAnsi"/>
                <w:b/>
                <w:bCs/>
              </w:rPr>
              <w:t>Patient Blood Management Seed Grants</w:t>
            </w:r>
          </w:p>
        </w:tc>
        <w:tc>
          <w:tcPr>
            <w:tcW w:w="21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hideMark/>
          </w:tcPr>
          <w:p w14:paraId="65813EA2" w14:textId="77777777" w:rsidR="00965187" w:rsidRPr="008F4079" w:rsidRDefault="00965187" w:rsidP="00A264CD">
            <w:pPr>
              <w:rPr>
                <w:rFonts w:cstheme="minorHAnsi"/>
              </w:rPr>
            </w:pPr>
            <w:r w:rsidRPr="008F4079">
              <w:rPr>
                <w:rFonts w:cstheme="minorHAnsi"/>
              </w:rPr>
              <w:t xml:space="preserve">Clinical characteristics of geriatric patients transfused within 24 hours of emergency </w:t>
            </w:r>
            <w:r w:rsidRPr="008F4079">
              <w:rPr>
                <w:rFonts w:cstheme="minorHAnsi"/>
              </w:rPr>
              <w:lastRenderedPageBreak/>
              <w:t xml:space="preserve">department </w:t>
            </w:r>
            <w:r>
              <w:rPr>
                <w:rFonts w:cstheme="minorHAnsi"/>
              </w:rPr>
              <w:t>(ED)</w:t>
            </w:r>
            <w:r w:rsidRPr="004E203D">
              <w:rPr>
                <w:rFonts w:cstheme="minorHAnsi"/>
              </w:rPr>
              <w:t xml:space="preserve"> </w:t>
            </w:r>
            <w:r w:rsidRPr="008F4079">
              <w:rPr>
                <w:rFonts w:cstheme="minorHAnsi"/>
              </w:rPr>
              <w:t>presentation</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hideMark/>
          </w:tcPr>
          <w:p w14:paraId="2A4CB23B" w14:textId="77777777" w:rsidR="00965187" w:rsidRPr="008F4079" w:rsidRDefault="00965187" w:rsidP="00A264CD">
            <w:pPr>
              <w:rPr>
                <w:rFonts w:cstheme="minorHAnsi"/>
              </w:rPr>
            </w:pPr>
            <w:r w:rsidRPr="008F4079">
              <w:rPr>
                <w:rFonts w:cstheme="minorHAnsi"/>
              </w:rPr>
              <w:lastRenderedPageBreak/>
              <w:t>University of Sunshine Coast</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hideMark/>
          </w:tcPr>
          <w:p w14:paraId="5B5E520E" w14:textId="77777777" w:rsidR="00965187" w:rsidRPr="008F4079" w:rsidRDefault="00965187" w:rsidP="00A264CD">
            <w:pPr>
              <w:rPr>
                <w:rFonts w:cstheme="minorHAnsi"/>
              </w:rPr>
            </w:pPr>
            <w:r w:rsidRPr="008F4079">
              <w:rPr>
                <w:rFonts w:cstheme="minorHAnsi"/>
              </w:rPr>
              <w:t>$54,802.00</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hideMark/>
          </w:tcPr>
          <w:p w14:paraId="4C7ECE02" w14:textId="77777777" w:rsidR="00965187" w:rsidRPr="008F4079" w:rsidRDefault="00965187" w:rsidP="00A264CD">
            <w:pPr>
              <w:rPr>
                <w:rFonts w:cstheme="minorHAnsi"/>
              </w:rPr>
            </w:pPr>
            <w:r w:rsidRPr="008F4079">
              <w:rPr>
                <w:rFonts w:cstheme="minorHAnsi"/>
              </w:rPr>
              <w:t>Dr Geoff Simon</w:t>
            </w:r>
          </w:p>
        </w:tc>
        <w:tc>
          <w:tcPr>
            <w:tcW w:w="38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37B20449" w14:textId="77777777" w:rsidR="00965187" w:rsidRPr="004E203D" w:rsidRDefault="00965187" w:rsidP="00A264CD">
            <w:pPr>
              <w:spacing w:before="100" w:beforeAutospacing="1" w:after="100" w:afterAutospacing="1" w:line="240" w:lineRule="auto"/>
              <w:ind w:left="146"/>
              <w:rPr>
                <w:rFonts w:cstheme="minorHAnsi"/>
              </w:rPr>
            </w:pPr>
            <w:r w:rsidRPr="004E203D">
              <w:rPr>
                <w:rFonts w:cstheme="minorHAnsi"/>
              </w:rPr>
              <w:t>To characterise patients aged 65 years and above who received red cell transfusions within 24 hours of ED presentation, in the context of red cell use for younger ED presentations, and overall red cell use</w:t>
            </w:r>
          </w:p>
        </w:tc>
        <w:tc>
          <w:tcPr>
            <w:tcW w:w="66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hideMark/>
          </w:tcPr>
          <w:p w14:paraId="435B2B07" w14:textId="77777777" w:rsidR="00965187" w:rsidRDefault="00965187" w:rsidP="00A264CD">
            <w:pPr>
              <w:rPr>
                <w:rFonts w:cstheme="minorHAnsi"/>
              </w:rPr>
            </w:pPr>
            <w:r w:rsidRPr="008F4079">
              <w:rPr>
                <w:rFonts w:cstheme="minorHAnsi"/>
              </w:rPr>
              <w:t xml:space="preserve">Australian and international studies report that over 50% of the red cell supply is used in people 65 years of age and older. This group represents the fastest growing age cohort in Australia and many western countries, with the number of people in Australia aged over 65 expected to increase from 3.2 million in 2012 to 5.8 million in 2031 and to 11.1 million by 2061. </w:t>
            </w:r>
          </w:p>
          <w:p w14:paraId="1B8E8276" w14:textId="77777777" w:rsidR="00965187" w:rsidRDefault="00965187" w:rsidP="00A264CD">
            <w:pPr>
              <w:rPr>
                <w:rFonts w:cstheme="minorHAnsi"/>
              </w:rPr>
            </w:pPr>
            <w:r w:rsidRPr="008F4079">
              <w:rPr>
                <w:rFonts w:cstheme="minorHAnsi"/>
              </w:rPr>
              <w:lastRenderedPageBreak/>
              <w:t>Despite the geriatric population consuming more than 50% of the available red cell supply, most evidence relating to this group pertains to oncology and elective surgical settings. Geriatric blood use in the Emergency Department, a key entry point to the health system, is poorly characterised</w:t>
            </w:r>
            <w:r>
              <w:rPr>
                <w:rFonts w:cstheme="minorHAnsi"/>
              </w:rPr>
              <w:t xml:space="preserve"> which leads to</w:t>
            </w:r>
            <w:r w:rsidRPr="008F4079">
              <w:rPr>
                <w:rFonts w:cstheme="minorHAnsi"/>
              </w:rPr>
              <w:t xml:space="preserve"> Patient Blood Management (PBM) evidence gaps</w:t>
            </w:r>
            <w:r>
              <w:rPr>
                <w:rFonts w:cstheme="minorHAnsi"/>
              </w:rPr>
              <w:t>.</w:t>
            </w:r>
            <w:r w:rsidRPr="008F4079">
              <w:rPr>
                <w:rFonts w:cstheme="minorHAnsi"/>
              </w:rPr>
              <w:t xml:space="preserve"> Clinical scenarios covered in the PBM guidelines, including massive transfusion, iron deficiency anaemia, </w:t>
            </w:r>
            <w:proofErr w:type="gramStart"/>
            <w:r w:rsidRPr="008F4079">
              <w:rPr>
                <w:rFonts w:cstheme="minorHAnsi"/>
              </w:rPr>
              <w:t>surgery</w:t>
            </w:r>
            <w:proofErr w:type="gramEnd"/>
            <w:r w:rsidRPr="008F4079">
              <w:rPr>
                <w:rFonts w:cstheme="minorHAnsi"/>
              </w:rPr>
              <w:t xml:space="preserve"> and others, are relevant in the geriatric setting. Clinicians dealing with the geriatric population in emergency scenarios are often acutely aware of the lower 3 physiological reserves of this </w:t>
            </w:r>
            <w:proofErr w:type="gramStart"/>
            <w:r w:rsidRPr="008F4079">
              <w:rPr>
                <w:rFonts w:cstheme="minorHAnsi"/>
              </w:rPr>
              <w:t>cohort, and</w:t>
            </w:r>
            <w:proofErr w:type="gramEnd"/>
            <w:r w:rsidRPr="008F4079">
              <w:rPr>
                <w:rFonts w:cstheme="minorHAnsi"/>
              </w:rPr>
              <w:t xml:space="preserve"> may treat more aggressively to deal with reductions in blood volume and haemoglobin in anticipation of better clinical outcomes. The approaches recommended by PBM guidelines are therefore often opposite to the intuitive approach of the emergency physician when dealing with the geriatric population. </w:t>
            </w:r>
          </w:p>
          <w:p w14:paraId="452FB751" w14:textId="77777777" w:rsidR="00965187" w:rsidRPr="008F4079" w:rsidRDefault="00965187" w:rsidP="00A264CD">
            <w:pPr>
              <w:rPr>
                <w:rFonts w:cstheme="minorHAnsi"/>
              </w:rPr>
            </w:pPr>
            <w:r w:rsidRPr="008F4079">
              <w:rPr>
                <w:rFonts w:cstheme="minorHAnsi"/>
              </w:rPr>
              <w:t xml:space="preserve">This one-year pilot study </w:t>
            </w:r>
            <w:r>
              <w:rPr>
                <w:rFonts w:cstheme="minorHAnsi"/>
              </w:rPr>
              <w:t xml:space="preserve">aimed to </w:t>
            </w:r>
            <w:r w:rsidRPr="008F4079">
              <w:rPr>
                <w:rFonts w:cstheme="minorHAnsi"/>
              </w:rPr>
              <w:t xml:space="preserve">gather baseline data </w:t>
            </w:r>
            <w:r>
              <w:rPr>
                <w:rFonts w:cstheme="minorHAnsi"/>
              </w:rPr>
              <w:t xml:space="preserve">from </w:t>
            </w:r>
            <w:r w:rsidRPr="008F4079">
              <w:rPr>
                <w:rFonts w:cstheme="minorHAnsi"/>
              </w:rPr>
              <w:t xml:space="preserve">patients aged 65 years and older who received a transfusion within 24 hours of presentation to the Emergency Department (ED) at the Sunshine Coast Hospital and Health Service. </w:t>
            </w:r>
            <w:r>
              <w:rPr>
                <w:rFonts w:cstheme="minorHAnsi"/>
              </w:rPr>
              <w:t>Concurrently an</w:t>
            </w:r>
            <w:r w:rsidRPr="008F4079" w:rsidDel="0039391B">
              <w:rPr>
                <w:rFonts w:cstheme="minorHAnsi"/>
              </w:rPr>
              <w:t xml:space="preserve"> </w:t>
            </w:r>
            <w:r w:rsidRPr="008F4079">
              <w:rPr>
                <w:rFonts w:cstheme="minorHAnsi"/>
              </w:rPr>
              <w:t xml:space="preserve">international literature review </w:t>
            </w:r>
            <w:r w:rsidRPr="004E203D">
              <w:rPr>
                <w:rFonts w:cstheme="minorHAnsi"/>
              </w:rPr>
              <w:t>explore</w:t>
            </w:r>
            <w:r>
              <w:rPr>
                <w:rFonts w:cstheme="minorHAnsi"/>
              </w:rPr>
              <w:t>d</w:t>
            </w:r>
            <w:r w:rsidRPr="008F4079">
              <w:rPr>
                <w:rFonts w:cstheme="minorHAnsi"/>
              </w:rPr>
              <w:t xml:space="preserve"> current evidence regarding geriatric red cell use in emergency </w:t>
            </w:r>
            <w:r>
              <w:rPr>
                <w:rFonts w:cstheme="minorHAnsi"/>
              </w:rPr>
              <w:t xml:space="preserve">settings. </w:t>
            </w:r>
          </w:p>
          <w:p w14:paraId="52987F15" w14:textId="77777777" w:rsidR="00965187" w:rsidRPr="008F4079" w:rsidRDefault="00965187" w:rsidP="00A264CD">
            <w:pPr>
              <w:rPr>
                <w:rFonts w:cstheme="minorHAnsi"/>
              </w:rPr>
            </w:pPr>
            <w:r w:rsidRPr="004E203D">
              <w:rPr>
                <w:rFonts w:cstheme="minorHAnsi"/>
              </w:rPr>
              <w:t>Data</w:t>
            </w:r>
            <w:r w:rsidRPr="008F4079">
              <w:rPr>
                <w:rFonts w:cstheme="minorHAnsi"/>
                <w:b/>
                <w:bCs/>
              </w:rPr>
              <w:t xml:space="preserve"> </w:t>
            </w:r>
            <w:r w:rsidRPr="004E203D">
              <w:rPr>
                <w:rFonts w:cstheme="minorHAnsi"/>
              </w:rPr>
              <w:t>w</w:t>
            </w:r>
            <w:r>
              <w:rPr>
                <w:rFonts w:cstheme="minorHAnsi"/>
              </w:rPr>
              <w:t>as</w:t>
            </w:r>
            <w:r w:rsidRPr="004E203D">
              <w:rPr>
                <w:rFonts w:cstheme="minorHAnsi"/>
              </w:rPr>
              <w:t xml:space="preserve"> analysed to</w:t>
            </w:r>
            <w:r w:rsidRPr="004E203D" w:rsidDel="002978A6">
              <w:rPr>
                <w:rFonts w:cstheme="minorHAnsi"/>
                <w:b/>
              </w:rPr>
              <w:t xml:space="preserve"> </w:t>
            </w:r>
            <w:r>
              <w:rPr>
                <w:rFonts w:cstheme="minorHAnsi"/>
              </w:rPr>
              <w:t>d</w:t>
            </w:r>
            <w:r w:rsidRPr="008F4079">
              <w:rPr>
                <w:rFonts w:cstheme="minorHAnsi"/>
              </w:rPr>
              <w:t xml:space="preserve">etermine demographic and clinical characteristics of geriatric patients who receive red cell transfusions within 24 hours of presentation at the ED, including reason for presentation and comorbidities and </w:t>
            </w:r>
            <w:r>
              <w:rPr>
                <w:rFonts w:cstheme="minorHAnsi"/>
              </w:rPr>
              <w:t>to e</w:t>
            </w:r>
            <w:r w:rsidRPr="008F4079">
              <w:rPr>
                <w:rFonts w:cstheme="minorHAnsi"/>
              </w:rPr>
              <w:t>xplore elements that may be predictors of red cell transfusion, and those that might be used to guide early management of geriatric patients.</w:t>
            </w:r>
          </w:p>
          <w:p w14:paraId="3F502E9B" w14:textId="77777777" w:rsidR="00965187" w:rsidRPr="008F4079" w:rsidRDefault="00965187" w:rsidP="00A264CD">
            <w:pPr>
              <w:rPr>
                <w:rFonts w:cstheme="minorHAnsi"/>
              </w:rPr>
            </w:pPr>
          </w:p>
          <w:p w14:paraId="0218D252" w14:textId="77777777" w:rsidR="00965187" w:rsidRPr="008F4079" w:rsidRDefault="00965187" w:rsidP="00A264CD">
            <w:pPr>
              <w:rPr>
                <w:rFonts w:cstheme="minorHAnsi"/>
              </w:rPr>
            </w:pPr>
          </w:p>
        </w:tc>
        <w:tc>
          <w:tcPr>
            <w:tcW w:w="41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0D493762" w14:textId="77777777" w:rsidR="00965187" w:rsidRPr="004E203D" w:rsidRDefault="001F59A2" w:rsidP="00A264CD">
            <w:pPr>
              <w:spacing w:before="100" w:beforeAutospacing="1" w:after="100" w:afterAutospacing="1" w:line="240" w:lineRule="auto"/>
              <w:ind w:left="138"/>
              <w:rPr>
                <w:rFonts w:eastAsiaTheme="minorEastAsia" w:cstheme="minorHAnsi"/>
                <w:color w:val="161616"/>
                <w:spacing w:val="3"/>
                <w:lang w:eastAsia="en-AU"/>
              </w:rPr>
            </w:pPr>
            <w:hyperlink r:id="rId22" w:tgtFrame="_blank" w:history="1">
              <w:r w:rsidR="00965187" w:rsidRPr="004E203D">
                <w:rPr>
                  <w:rFonts w:eastAsiaTheme="minorEastAsia" w:cstheme="minorHAnsi"/>
                  <w:color w:val="0000FF"/>
                  <w:spacing w:val="4"/>
                  <w:u w:val="single"/>
                  <w:lang w:eastAsia="en-AU"/>
                </w:rPr>
                <w:t>Outcomes of restrictive versus liberal transfusion strategies in older adults from nine randomised controlled trials: a systematic review and meta-analysis</w:t>
              </w:r>
            </w:hyperlink>
          </w:p>
          <w:p w14:paraId="4CDE68CB" w14:textId="77777777" w:rsidR="00965187" w:rsidRPr="004E203D" w:rsidRDefault="00965187" w:rsidP="00A264CD">
            <w:pPr>
              <w:spacing w:before="100" w:beforeAutospacing="1" w:after="100" w:afterAutospacing="1"/>
              <w:ind w:left="138"/>
              <w:rPr>
                <w:rFonts w:eastAsiaTheme="minorEastAsia" w:cstheme="minorHAnsi"/>
                <w:color w:val="161616"/>
                <w:spacing w:val="3"/>
                <w:lang w:eastAsia="en-AU"/>
              </w:rPr>
            </w:pPr>
          </w:p>
          <w:p w14:paraId="0B671B71" w14:textId="77777777" w:rsidR="00965187" w:rsidRPr="004E203D" w:rsidRDefault="001F59A2" w:rsidP="00A264CD">
            <w:pPr>
              <w:spacing w:before="100" w:beforeAutospacing="1" w:after="100" w:afterAutospacing="1" w:line="240" w:lineRule="auto"/>
              <w:ind w:left="138"/>
              <w:rPr>
                <w:rFonts w:eastAsiaTheme="minorEastAsia" w:cstheme="minorHAnsi"/>
                <w:color w:val="161616"/>
                <w:spacing w:val="3"/>
                <w:lang w:eastAsia="en-AU"/>
              </w:rPr>
            </w:pPr>
            <w:hyperlink r:id="rId23" w:tgtFrame="_blank" w:history="1">
              <w:r w:rsidR="00965187" w:rsidRPr="004E203D">
                <w:rPr>
                  <w:rFonts w:eastAsiaTheme="minorEastAsia" w:cstheme="minorHAnsi"/>
                  <w:color w:val="0000FF"/>
                  <w:spacing w:val="4"/>
                  <w:u w:val="single"/>
                  <w:lang w:eastAsia="en-AU"/>
                </w:rPr>
                <w:t>Impact and implications of the ageing population on anaemia management, patient blood management and unplanned blood use - University of the Sunshine Coast, Queensland</w:t>
              </w:r>
            </w:hyperlink>
            <w:r w:rsidR="00965187" w:rsidRPr="004E203D">
              <w:rPr>
                <w:rFonts w:eastAsiaTheme="minorEastAsia" w:cstheme="minorHAnsi"/>
                <w:color w:val="161616"/>
                <w:spacing w:val="3"/>
                <w:lang w:eastAsia="en-AU"/>
              </w:rPr>
              <w:t xml:space="preserve"> dissertation)</w:t>
            </w:r>
          </w:p>
          <w:p w14:paraId="0D94713B" w14:textId="77777777" w:rsidR="00965187" w:rsidRDefault="00965187" w:rsidP="00A264CD">
            <w:pPr>
              <w:spacing w:before="100" w:beforeAutospacing="1" w:after="100" w:afterAutospacing="1" w:line="240" w:lineRule="auto"/>
              <w:ind w:left="138"/>
            </w:pPr>
          </w:p>
        </w:tc>
      </w:tr>
      <w:tr w:rsidR="00965187" w:rsidRPr="008F4079" w14:paraId="51E06F41" w14:textId="77777777" w:rsidTr="00BE216E">
        <w:trPr>
          <w:trHeight w:val="1036"/>
        </w:trPr>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tcPr>
          <w:p w14:paraId="34D1B34F" w14:textId="77777777" w:rsidR="00965187" w:rsidRPr="008F4079" w:rsidRDefault="00965187" w:rsidP="00A264CD">
            <w:pPr>
              <w:rPr>
                <w:rFonts w:cstheme="minorHAnsi"/>
              </w:rPr>
            </w:pPr>
            <w:r w:rsidRPr="008F4079">
              <w:rPr>
                <w:rFonts w:cstheme="minorHAnsi"/>
                <w:b/>
                <w:bCs/>
              </w:rPr>
              <w:lastRenderedPageBreak/>
              <w:t>Patient Blood Management Seed Grants</w:t>
            </w:r>
          </w:p>
        </w:tc>
        <w:tc>
          <w:tcPr>
            <w:tcW w:w="21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tcPr>
          <w:p w14:paraId="6BD8AA6C" w14:textId="77777777" w:rsidR="00965187" w:rsidRPr="008F4079" w:rsidRDefault="00965187" w:rsidP="00A264CD">
            <w:pPr>
              <w:rPr>
                <w:rFonts w:cstheme="minorHAnsi"/>
              </w:rPr>
            </w:pPr>
            <w:r w:rsidRPr="008F4079">
              <w:rPr>
                <w:rFonts w:cstheme="minorHAnsi"/>
              </w:rPr>
              <w:t>Improving blood sampling practice for critically ill children undergoing cardiac surgery</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tcPr>
          <w:p w14:paraId="720EF16F" w14:textId="77777777" w:rsidR="00965187" w:rsidRPr="008F4079" w:rsidRDefault="00965187" w:rsidP="00A264CD">
            <w:pPr>
              <w:rPr>
                <w:rFonts w:cstheme="minorHAnsi"/>
              </w:rPr>
            </w:pPr>
            <w:r w:rsidRPr="008F4079">
              <w:rPr>
                <w:rFonts w:cstheme="minorHAnsi"/>
              </w:rPr>
              <w:t>Griffith University</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tcPr>
          <w:p w14:paraId="4251276F" w14:textId="77777777" w:rsidR="00965187" w:rsidRPr="008F4079" w:rsidRDefault="00965187" w:rsidP="00A264CD">
            <w:pPr>
              <w:rPr>
                <w:rFonts w:cstheme="minorHAnsi"/>
              </w:rPr>
            </w:pPr>
            <w:r w:rsidRPr="008F4079">
              <w:rPr>
                <w:rFonts w:cstheme="minorHAnsi"/>
              </w:rPr>
              <w:t>$54,078.20</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tcPr>
          <w:p w14:paraId="3E62ADC2" w14:textId="77777777" w:rsidR="00965187" w:rsidRPr="008F4079" w:rsidRDefault="00965187" w:rsidP="00A264CD">
            <w:pPr>
              <w:rPr>
                <w:rFonts w:cstheme="minorHAnsi"/>
              </w:rPr>
            </w:pPr>
            <w:r w:rsidRPr="008F4079">
              <w:rPr>
                <w:rFonts w:cstheme="minorHAnsi"/>
              </w:rPr>
              <w:t>A/Prof Deborah Long</w:t>
            </w:r>
          </w:p>
        </w:tc>
        <w:tc>
          <w:tcPr>
            <w:tcW w:w="38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6AB0BC8C" w14:textId="77777777" w:rsidR="00965187" w:rsidRPr="004E203D" w:rsidRDefault="00965187" w:rsidP="00A264CD">
            <w:pPr>
              <w:spacing w:after="0" w:line="240" w:lineRule="auto"/>
              <w:ind w:left="146"/>
              <w:rPr>
                <w:rFonts w:cstheme="minorHAnsi"/>
              </w:rPr>
            </w:pPr>
            <w:r w:rsidRPr="004E203D">
              <w:rPr>
                <w:rFonts w:cstheme="minorHAnsi"/>
              </w:rPr>
              <w:t>1. To audit current blood sampling practice for critically ill children undergoing cardiac surgery</w:t>
            </w:r>
          </w:p>
          <w:p w14:paraId="193E353B" w14:textId="77777777" w:rsidR="00965187" w:rsidRPr="004E203D" w:rsidRDefault="00965187" w:rsidP="00A264CD">
            <w:pPr>
              <w:spacing w:after="0" w:line="240" w:lineRule="auto"/>
              <w:ind w:left="146"/>
              <w:rPr>
                <w:rFonts w:cstheme="minorHAnsi"/>
              </w:rPr>
            </w:pPr>
            <w:r w:rsidRPr="004E203D">
              <w:rPr>
                <w:rFonts w:cstheme="minorHAnsi"/>
              </w:rPr>
              <w:t>2.  To evaluate the impact of a closed-loop blood sampling system +/- bundled strategies on infection outcomes and blood sample volumes</w:t>
            </w:r>
          </w:p>
          <w:p w14:paraId="028CE145" w14:textId="77777777" w:rsidR="00965187" w:rsidRPr="004E203D" w:rsidRDefault="00965187" w:rsidP="00A264CD">
            <w:pPr>
              <w:spacing w:after="0" w:line="240" w:lineRule="auto"/>
              <w:ind w:left="146"/>
              <w:rPr>
                <w:rFonts w:cstheme="minorHAnsi"/>
              </w:rPr>
            </w:pPr>
          </w:p>
        </w:tc>
        <w:tc>
          <w:tcPr>
            <w:tcW w:w="66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tcPr>
          <w:p w14:paraId="71AAB675" w14:textId="77777777" w:rsidR="00965187" w:rsidRDefault="00965187" w:rsidP="00A264CD">
            <w:pPr>
              <w:rPr>
                <w:rFonts w:cstheme="minorHAnsi"/>
              </w:rPr>
            </w:pPr>
            <w:r w:rsidRPr="008F4079">
              <w:rPr>
                <w:rFonts w:cstheme="minorHAnsi"/>
              </w:rPr>
              <w:t>Arterial catheters (AC) are widely used in anaesthesia and critical care to facilitate continuous monitoring of blood pressure and to sample arterial blood of critically ill patients. About 250,000 Australians need an arterial catheter each year, of which approximately 2,300 are children undergoing cardiac surgery. However, the presence and use of an arterial catheter may lead to a number of complications, including anaemia following blood sampling (low red blood cell count) and arterial catheter-associated bloodstream infection and arterial damage. These complications are associated with patient suffering, prolonged hospitalisation, expensive healthcare costs and increased mortality. Compared to adults, children are more susceptible to anaemia, risks associated with transfusion and infection. Implementation of evidence-based blood sampling practices and reducing the risk of catheter related blood stream infection in critically ill children is a top priority.</w:t>
            </w:r>
            <w:r>
              <w:rPr>
                <w:rFonts w:cstheme="minorHAnsi"/>
              </w:rPr>
              <w:t xml:space="preserve"> </w:t>
            </w:r>
            <w:r w:rsidRPr="008F4079">
              <w:rPr>
                <w:rFonts w:cstheme="minorHAnsi"/>
              </w:rPr>
              <w:t xml:space="preserve">Closed loop systems may be the key to minimising the risk of unnecessary blood loss and infection through </w:t>
            </w:r>
          </w:p>
          <w:p w14:paraId="3D268EA8" w14:textId="77777777" w:rsidR="00965187" w:rsidRPr="00B11761" w:rsidRDefault="00965187" w:rsidP="00965187">
            <w:pPr>
              <w:pStyle w:val="ListParagraph"/>
              <w:numPr>
                <w:ilvl w:val="0"/>
                <w:numId w:val="15"/>
              </w:numPr>
              <w:rPr>
                <w:rFonts w:cstheme="minorHAnsi"/>
              </w:rPr>
            </w:pPr>
            <w:r w:rsidRPr="00B11761">
              <w:rPr>
                <w:rFonts w:cstheme="minorHAnsi"/>
              </w:rPr>
              <w:lastRenderedPageBreak/>
              <w:t xml:space="preserve">reducing wastage of line clearance volumes (blood and fluid) and </w:t>
            </w:r>
          </w:p>
          <w:p w14:paraId="0B3BA005" w14:textId="77777777" w:rsidR="00965187" w:rsidRPr="00B11761" w:rsidRDefault="00965187" w:rsidP="00965187">
            <w:pPr>
              <w:pStyle w:val="ListParagraph"/>
              <w:numPr>
                <w:ilvl w:val="0"/>
                <w:numId w:val="15"/>
              </w:numPr>
              <w:rPr>
                <w:rFonts w:cstheme="minorHAnsi"/>
              </w:rPr>
            </w:pPr>
            <w:r w:rsidRPr="00B11761">
              <w:rPr>
                <w:rFonts w:cstheme="minorHAnsi"/>
              </w:rPr>
              <w:t xml:space="preserve">reducing exposure of administration and monitoring set to external environment. </w:t>
            </w:r>
          </w:p>
          <w:p w14:paraId="0976A341" w14:textId="77777777" w:rsidR="00965187" w:rsidRPr="008F4079" w:rsidRDefault="00965187" w:rsidP="00A264CD">
            <w:pPr>
              <w:rPr>
                <w:rFonts w:cstheme="minorHAnsi"/>
              </w:rPr>
            </w:pPr>
            <w:r w:rsidRPr="008F4079">
              <w:rPr>
                <w:rFonts w:cstheme="minorHAnsi"/>
              </w:rPr>
              <w:t xml:space="preserve">Anaemia and related transfusions, as well as catheter associated bloodstream infection cost the Australian healthcare system millions of dollars each year, yet there is currently no high-quality evidence from independent trials to guide decision making and practice on this topic. </w:t>
            </w:r>
            <w:r w:rsidRPr="004E203D">
              <w:rPr>
                <w:rFonts w:cstheme="minorHAnsi"/>
              </w:rPr>
              <w:t>This</w:t>
            </w:r>
            <w:r w:rsidRPr="008F4079" w:rsidDel="00826E1F">
              <w:rPr>
                <w:rFonts w:cstheme="minorHAnsi"/>
              </w:rPr>
              <w:t xml:space="preserve"> </w:t>
            </w:r>
            <w:r w:rsidRPr="008F4079">
              <w:rPr>
                <w:rFonts w:cstheme="minorHAnsi"/>
              </w:rPr>
              <w:t xml:space="preserve">project </w:t>
            </w:r>
            <w:r>
              <w:rPr>
                <w:rFonts w:cstheme="minorHAnsi"/>
              </w:rPr>
              <w:t>aimed to</w:t>
            </w:r>
            <w:r w:rsidRPr="008F4079">
              <w:rPr>
                <w:rFonts w:cstheme="minorHAnsi"/>
              </w:rPr>
              <w:t xml:space="preserve"> audit blood loss through current sampling practice in the paediatric cardiac surgery population and conduct a high quality, pilot randomised controlled trial, to test the feasibility of undertaking a full</w:t>
            </w:r>
            <w:r>
              <w:rPr>
                <w:rFonts w:cstheme="minorHAnsi"/>
              </w:rPr>
              <w:t>-scale</w:t>
            </w:r>
            <w:r w:rsidRPr="008F4079">
              <w:rPr>
                <w:rFonts w:cstheme="minorHAnsi"/>
              </w:rPr>
              <w:t xml:space="preserve"> efficacy </w:t>
            </w:r>
            <w:proofErr w:type="gramStart"/>
            <w:r w:rsidRPr="008F4079">
              <w:rPr>
                <w:rFonts w:cstheme="minorHAnsi"/>
              </w:rPr>
              <w:t>trial, and</w:t>
            </w:r>
            <w:proofErr w:type="gramEnd"/>
            <w:r w:rsidRPr="008F4079">
              <w:rPr>
                <w:rFonts w:cstheme="minorHAnsi"/>
              </w:rPr>
              <w:t xml:space="preserve"> </w:t>
            </w:r>
            <w:r>
              <w:rPr>
                <w:rFonts w:cstheme="minorHAnsi"/>
              </w:rPr>
              <w:t>obtain</w:t>
            </w:r>
            <w:r w:rsidRPr="008F4079">
              <w:rPr>
                <w:rFonts w:cstheme="minorHAnsi"/>
              </w:rPr>
              <w:t xml:space="preserve"> preliminary data</w:t>
            </w:r>
            <w:r w:rsidRPr="004E203D">
              <w:rPr>
                <w:rFonts w:cstheme="minorHAnsi"/>
              </w:rPr>
              <w:t xml:space="preserve">. </w:t>
            </w:r>
          </w:p>
        </w:tc>
        <w:tc>
          <w:tcPr>
            <w:tcW w:w="41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2761BA60" w14:textId="77777777" w:rsidR="00965187" w:rsidRPr="004E203D" w:rsidRDefault="001F59A2" w:rsidP="00A264CD">
            <w:pPr>
              <w:spacing w:before="100" w:beforeAutospacing="1" w:after="100" w:afterAutospacing="1" w:line="240" w:lineRule="auto"/>
              <w:ind w:left="138"/>
              <w:rPr>
                <w:rFonts w:eastAsiaTheme="minorEastAsia" w:cstheme="minorHAnsi"/>
                <w:color w:val="161616"/>
                <w:spacing w:val="3"/>
                <w:lang w:eastAsia="en-AU"/>
              </w:rPr>
            </w:pPr>
            <w:hyperlink r:id="rId24" w:tgtFrame="_blank" w:history="1">
              <w:r w:rsidR="00965187" w:rsidRPr="004E203D">
                <w:rPr>
                  <w:rFonts w:eastAsiaTheme="minorEastAsia" w:cstheme="minorHAnsi"/>
                  <w:color w:val="0000FF"/>
                  <w:spacing w:val="4"/>
                  <w:u w:val="single"/>
                  <w:lang w:eastAsia="en-AU"/>
                </w:rPr>
                <w:t>Patient blood management in critically ill children undergoing cardiac surgery: A cohort study</w:t>
              </w:r>
            </w:hyperlink>
          </w:p>
          <w:p w14:paraId="6B37AC78" w14:textId="77777777" w:rsidR="00965187" w:rsidRDefault="00965187" w:rsidP="00A264CD">
            <w:pPr>
              <w:spacing w:before="100" w:beforeAutospacing="1" w:after="100" w:afterAutospacing="1" w:line="240" w:lineRule="auto"/>
              <w:ind w:left="138"/>
            </w:pPr>
          </w:p>
        </w:tc>
      </w:tr>
      <w:tr w:rsidR="00965187" w:rsidRPr="008F4079" w14:paraId="792178FA" w14:textId="77777777" w:rsidTr="00BE216E">
        <w:trPr>
          <w:trHeight w:val="592"/>
        </w:trPr>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hideMark/>
          </w:tcPr>
          <w:p w14:paraId="2A18ED9A" w14:textId="77777777" w:rsidR="00965187" w:rsidRPr="008F4079" w:rsidRDefault="00965187" w:rsidP="00A264CD">
            <w:pPr>
              <w:rPr>
                <w:rFonts w:cstheme="minorHAnsi"/>
                <w:b/>
                <w:bCs/>
              </w:rPr>
            </w:pPr>
            <w:r w:rsidRPr="008F4079">
              <w:rPr>
                <w:rFonts w:cstheme="minorHAnsi"/>
                <w:b/>
                <w:bCs/>
              </w:rPr>
              <w:t>Immunoglobulin Project Grants</w:t>
            </w:r>
          </w:p>
        </w:tc>
        <w:tc>
          <w:tcPr>
            <w:tcW w:w="21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hideMark/>
          </w:tcPr>
          <w:p w14:paraId="195FF062" w14:textId="77777777" w:rsidR="00965187" w:rsidRPr="008F4079" w:rsidRDefault="00965187" w:rsidP="00A264CD">
            <w:pPr>
              <w:pStyle w:val="NormalWeb"/>
              <w:spacing w:line="360" w:lineRule="atLeast"/>
              <w:rPr>
                <w:rFonts w:asciiTheme="minorHAnsi" w:eastAsiaTheme="minorEastAsia" w:hAnsiTheme="minorHAnsi" w:cstheme="minorHAnsi"/>
                <w:color w:val="161616"/>
                <w:spacing w:val="4"/>
                <w:sz w:val="22"/>
                <w:szCs w:val="22"/>
              </w:rPr>
            </w:pPr>
            <w:r w:rsidRPr="008F4079">
              <w:rPr>
                <w:rFonts w:asciiTheme="minorHAnsi" w:eastAsiaTheme="minorEastAsia" w:hAnsiTheme="minorHAnsi" w:cstheme="minorHAnsi"/>
                <w:color w:val="161616"/>
                <w:spacing w:val="4"/>
                <w:sz w:val="22"/>
                <w:szCs w:val="22"/>
              </w:rPr>
              <w:t>Towards a better understanding of doctors’ treatment patterns and immunoglobulin use in Australian children with Kawasaki disease: an opportunity for improvement?</w:t>
            </w:r>
          </w:p>
          <w:p w14:paraId="1095A55D" w14:textId="77777777" w:rsidR="00965187" w:rsidRPr="008F4079" w:rsidRDefault="00965187" w:rsidP="00A264CD">
            <w:pPr>
              <w:rPr>
                <w:rFonts w:cstheme="minorHAnsi"/>
              </w:rPr>
            </w:pP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hideMark/>
          </w:tcPr>
          <w:p w14:paraId="57F59861" w14:textId="77777777" w:rsidR="00965187" w:rsidRPr="008F4079" w:rsidRDefault="00965187" w:rsidP="00A264CD">
            <w:pPr>
              <w:pStyle w:val="NormalWeb"/>
              <w:spacing w:line="360" w:lineRule="atLeast"/>
              <w:rPr>
                <w:rFonts w:asciiTheme="minorHAnsi" w:eastAsiaTheme="minorEastAsia" w:hAnsiTheme="minorHAnsi" w:cstheme="minorHAnsi"/>
                <w:color w:val="161616"/>
                <w:spacing w:val="4"/>
                <w:sz w:val="22"/>
                <w:szCs w:val="22"/>
              </w:rPr>
            </w:pPr>
            <w:r w:rsidRPr="008F4079">
              <w:rPr>
                <w:rFonts w:asciiTheme="minorHAnsi" w:eastAsiaTheme="minorEastAsia" w:hAnsiTheme="minorHAnsi" w:cstheme="minorHAnsi"/>
                <w:color w:val="161616"/>
                <w:spacing w:val="4"/>
                <w:sz w:val="22"/>
                <w:szCs w:val="22"/>
              </w:rPr>
              <w:t>Murdoch Children's Research Institute</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hideMark/>
          </w:tcPr>
          <w:p w14:paraId="03E3B8E7" w14:textId="77777777" w:rsidR="00965187" w:rsidRPr="008F4079" w:rsidRDefault="00965187" w:rsidP="00A264CD">
            <w:pPr>
              <w:pStyle w:val="NormalWeb"/>
              <w:spacing w:line="360" w:lineRule="atLeast"/>
              <w:rPr>
                <w:rFonts w:asciiTheme="minorHAnsi" w:eastAsiaTheme="minorEastAsia" w:hAnsiTheme="minorHAnsi" w:cstheme="minorHAnsi"/>
                <w:color w:val="161616"/>
                <w:spacing w:val="4"/>
                <w:sz w:val="22"/>
                <w:szCs w:val="22"/>
              </w:rPr>
            </w:pPr>
            <w:r w:rsidRPr="008F4079">
              <w:rPr>
                <w:rFonts w:asciiTheme="minorHAnsi" w:eastAsiaTheme="minorEastAsia" w:hAnsiTheme="minorHAnsi" w:cstheme="minorHAnsi"/>
                <w:color w:val="161616"/>
                <w:spacing w:val="4"/>
                <w:sz w:val="22"/>
                <w:szCs w:val="22"/>
              </w:rPr>
              <w:t>$271,309.50</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hideMark/>
          </w:tcPr>
          <w:p w14:paraId="52392C77" w14:textId="77777777" w:rsidR="00965187" w:rsidRPr="008F4079" w:rsidRDefault="00965187" w:rsidP="00A264CD">
            <w:pPr>
              <w:pStyle w:val="NormalWeb"/>
              <w:spacing w:line="360" w:lineRule="atLeast"/>
              <w:rPr>
                <w:rFonts w:asciiTheme="minorHAnsi" w:eastAsiaTheme="minorEastAsia" w:hAnsiTheme="minorHAnsi" w:cstheme="minorHAnsi"/>
                <w:color w:val="161616"/>
                <w:spacing w:val="4"/>
                <w:sz w:val="22"/>
                <w:szCs w:val="22"/>
              </w:rPr>
            </w:pPr>
            <w:r w:rsidRPr="008F4079">
              <w:rPr>
                <w:rFonts w:asciiTheme="minorHAnsi" w:eastAsiaTheme="minorEastAsia" w:hAnsiTheme="minorHAnsi" w:cstheme="minorHAnsi"/>
                <w:color w:val="161616"/>
                <w:spacing w:val="4"/>
                <w:sz w:val="22"/>
                <w:szCs w:val="22"/>
              </w:rPr>
              <w:t>Prof David Burgner</w:t>
            </w:r>
          </w:p>
        </w:tc>
        <w:tc>
          <w:tcPr>
            <w:tcW w:w="38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766BB40F" w14:textId="77777777" w:rsidR="00965187" w:rsidRPr="004E203D" w:rsidRDefault="00965187" w:rsidP="00A264CD">
            <w:pPr>
              <w:autoSpaceDE w:val="0"/>
              <w:autoSpaceDN w:val="0"/>
              <w:adjustRightInd w:val="0"/>
              <w:spacing w:after="0" w:line="240" w:lineRule="auto"/>
              <w:ind w:left="146"/>
              <w:rPr>
                <w:rFonts w:cstheme="minorHAnsi"/>
                <w14:ligatures w14:val="standardContextual"/>
              </w:rPr>
            </w:pPr>
            <w:r w:rsidRPr="004E203D">
              <w:rPr>
                <w:rFonts w:cstheme="minorHAnsi"/>
                <w14:ligatures w14:val="standardContextual"/>
              </w:rPr>
              <w:t>1. To determine the incidence, and seasonal and geographical clustering of Kawasaki disease in Australia</w:t>
            </w:r>
          </w:p>
          <w:p w14:paraId="1CE793B2" w14:textId="77777777" w:rsidR="00965187" w:rsidRPr="004E203D" w:rsidRDefault="00965187" w:rsidP="00A264CD">
            <w:pPr>
              <w:autoSpaceDE w:val="0"/>
              <w:autoSpaceDN w:val="0"/>
              <w:adjustRightInd w:val="0"/>
              <w:spacing w:after="0" w:line="240" w:lineRule="auto"/>
              <w:ind w:left="146"/>
              <w:rPr>
                <w:rFonts w:cstheme="minorHAnsi"/>
                <w14:ligatures w14:val="standardContextual"/>
              </w:rPr>
            </w:pPr>
            <w:r w:rsidRPr="004E203D">
              <w:rPr>
                <w:rFonts w:cstheme="minorHAnsi"/>
                <w14:ligatures w14:val="standardContextual"/>
              </w:rPr>
              <w:t>2. To understand the variability in the patterns of intravenous immunoglobulin (IVIg) treatment of Kawasaki disease among Australian doctors</w:t>
            </w:r>
          </w:p>
          <w:p w14:paraId="7B19CB08" w14:textId="77777777" w:rsidR="00965187" w:rsidRPr="004E203D" w:rsidRDefault="00965187" w:rsidP="00A264CD">
            <w:pPr>
              <w:autoSpaceDE w:val="0"/>
              <w:autoSpaceDN w:val="0"/>
              <w:adjustRightInd w:val="0"/>
              <w:spacing w:after="0" w:line="240" w:lineRule="auto"/>
              <w:ind w:left="146"/>
              <w:rPr>
                <w:rFonts w:cstheme="minorHAnsi"/>
                <w14:ligatures w14:val="standardContextual"/>
              </w:rPr>
            </w:pPr>
            <w:r w:rsidRPr="004E203D">
              <w:rPr>
                <w:rFonts w:cstheme="minorHAnsi"/>
                <w14:ligatures w14:val="standardContextual"/>
              </w:rPr>
              <w:t>3. To determine whether particular clinical features of patients with Kawasaki disease at presentation can predict response to IVIg therapy and cardiac outcomes.</w:t>
            </w:r>
          </w:p>
          <w:p w14:paraId="278EFB07" w14:textId="77777777" w:rsidR="00965187" w:rsidRPr="004E203D" w:rsidRDefault="00965187" w:rsidP="00A264CD">
            <w:pPr>
              <w:autoSpaceDE w:val="0"/>
              <w:autoSpaceDN w:val="0"/>
              <w:adjustRightInd w:val="0"/>
              <w:spacing w:after="0" w:line="240" w:lineRule="auto"/>
              <w:ind w:left="146"/>
              <w:rPr>
                <w:rFonts w:cstheme="minorHAnsi"/>
                <w14:ligatures w14:val="standardContextual"/>
              </w:rPr>
            </w:pPr>
          </w:p>
        </w:tc>
        <w:tc>
          <w:tcPr>
            <w:tcW w:w="66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hideMark/>
          </w:tcPr>
          <w:p w14:paraId="3340FE9B" w14:textId="77777777" w:rsidR="00965187" w:rsidRPr="008F4079" w:rsidRDefault="00965187" w:rsidP="00A264CD">
            <w:pPr>
              <w:rPr>
                <w:rFonts w:cstheme="minorHAnsi"/>
              </w:rPr>
            </w:pPr>
            <w:r w:rsidRPr="008F4079">
              <w:rPr>
                <w:rFonts w:cstheme="minorHAnsi"/>
              </w:rPr>
              <w:t>Kawasaki disease (KD) is a potentially life-threatening childhood condition. It is the</w:t>
            </w:r>
            <w:r w:rsidRPr="008F4079" w:rsidDel="00237AFE">
              <w:rPr>
                <w:rFonts w:cstheme="minorHAnsi"/>
              </w:rPr>
              <w:t xml:space="preserve"> </w:t>
            </w:r>
            <w:r>
              <w:rPr>
                <w:rFonts w:cstheme="minorHAnsi"/>
              </w:rPr>
              <w:t>most common</w:t>
            </w:r>
            <w:r w:rsidRPr="008F4079">
              <w:rPr>
                <w:rFonts w:cstheme="minorHAnsi"/>
              </w:rPr>
              <w:t xml:space="preserve"> cause of acquired heart disease in Australian children and may cause coronary artery disease and heart attack in childhood. The true Australian incidence of KD is </w:t>
            </w:r>
            <w:r>
              <w:rPr>
                <w:rFonts w:cstheme="minorHAnsi"/>
              </w:rPr>
              <w:t xml:space="preserve">however </w:t>
            </w:r>
            <w:r w:rsidRPr="008F4079">
              <w:rPr>
                <w:rFonts w:cstheme="minorHAnsi"/>
              </w:rPr>
              <w:t>unknown</w:t>
            </w:r>
            <w:r>
              <w:rPr>
                <w:rFonts w:cstheme="minorHAnsi"/>
              </w:rPr>
              <w:t xml:space="preserve"> with the</w:t>
            </w:r>
            <w:r w:rsidRPr="008F4079">
              <w:rPr>
                <w:rFonts w:cstheme="minorHAnsi"/>
              </w:rPr>
              <w:t xml:space="preserve"> current best estimate of ~200 cases annually</w:t>
            </w:r>
            <w:r w:rsidRPr="008F4079" w:rsidDel="006D553C">
              <w:rPr>
                <w:rFonts w:cstheme="minorHAnsi"/>
              </w:rPr>
              <w:t xml:space="preserve"> </w:t>
            </w:r>
            <w:r w:rsidRPr="008F4079">
              <w:rPr>
                <w:rFonts w:cstheme="minorHAnsi"/>
              </w:rPr>
              <w:t>likely to be a significant underestimate. The only evidence-based treatment is one or more large doses of intravenous immunoglobulin (IVI</w:t>
            </w:r>
            <w:r>
              <w:rPr>
                <w:rFonts w:cstheme="minorHAnsi"/>
              </w:rPr>
              <w:t>g</w:t>
            </w:r>
            <w:r w:rsidRPr="008F4079">
              <w:rPr>
                <w:rFonts w:cstheme="minorHAnsi"/>
              </w:rPr>
              <w:t>), an expensive and scarce resource derived from blood donors.</w:t>
            </w:r>
          </w:p>
          <w:p w14:paraId="5F744996" w14:textId="77777777" w:rsidR="00965187" w:rsidRDefault="00965187" w:rsidP="00A264CD">
            <w:pPr>
              <w:rPr>
                <w:rFonts w:cstheme="minorHAnsi"/>
              </w:rPr>
            </w:pPr>
            <w:r w:rsidRPr="008F4079">
              <w:rPr>
                <w:rFonts w:cstheme="minorHAnsi"/>
              </w:rPr>
              <w:t xml:space="preserve">Currently little is known about IVIG use in KD in Australia; key unanswered questions include </w:t>
            </w:r>
          </w:p>
          <w:p w14:paraId="0B37F210" w14:textId="77777777" w:rsidR="00965187" w:rsidRPr="007E0D23" w:rsidRDefault="00965187" w:rsidP="00965187">
            <w:pPr>
              <w:pStyle w:val="ListParagraph"/>
              <w:numPr>
                <w:ilvl w:val="0"/>
                <w:numId w:val="16"/>
              </w:numPr>
              <w:rPr>
                <w:rFonts w:cstheme="minorHAnsi"/>
              </w:rPr>
            </w:pPr>
            <w:r w:rsidRPr="007E0D23">
              <w:rPr>
                <w:rFonts w:cstheme="minorHAnsi"/>
              </w:rPr>
              <w:t xml:space="preserve">whether IVIG is used appropriately in terms of timing and dose, </w:t>
            </w:r>
          </w:p>
          <w:p w14:paraId="7C4DF8DF" w14:textId="77777777" w:rsidR="00965187" w:rsidRDefault="00965187" w:rsidP="00965187">
            <w:pPr>
              <w:pStyle w:val="ListParagraph"/>
              <w:numPr>
                <w:ilvl w:val="0"/>
                <w:numId w:val="16"/>
              </w:numPr>
              <w:rPr>
                <w:rFonts w:cstheme="minorHAnsi"/>
              </w:rPr>
            </w:pPr>
            <w:r w:rsidRPr="007E0D23">
              <w:rPr>
                <w:rFonts w:cstheme="minorHAnsi"/>
              </w:rPr>
              <w:t xml:space="preserve">(ii) what criteria are used for IVIG re-treatment, and </w:t>
            </w:r>
          </w:p>
          <w:p w14:paraId="56517188" w14:textId="77777777" w:rsidR="00965187" w:rsidRPr="007E0D23" w:rsidRDefault="00965187" w:rsidP="00965187">
            <w:pPr>
              <w:pStyle w:val="ListParagraph"/>
              <w:numPr>
                <w:ilvl w:val="0"/>
                <w:numId w:val="16"/>
              </w:numPr>
              <w:rPr>
                <w:rFonts w:cstheme="minorHAnsi"/>
              </w:rPr>
            </w:pPr>
            <w:r w:rsidRPr="007E0D23">
              <w:rPr>
                <w:rFonts w:cstheme="minorHAnsi"/>
              </w:rPr>
              <w:t xml:space="preserve">(iii) what adjunctive treatment is given. </w:t>
            </w:r>
          </w:p>
          <w:p w14:paraId="0D7D4540" w14:textId="77777777" w:rsidR="00965187" w:rsidRPr="008F4079" w:rsidRDefault="00965187" w:rsidP="00A264CD">
            <w:pPr>
              <w:rPr>
                <w:rFonts w:cstheme="minorHAnsi"/>
              </w:rPr>
            </w:pPr>
            <w:r w:rsidRPr="008F4079">
              <w:rPr>
                <w:rFonts w:cstheme="minorHAnsi"/>
              </w:rPr>
              <w:t>Attempts to identify those at risk of poor outcome and IVIG treatment failure perform poorly in mixed populations outside Japan (such as Australia) and local data are needed. There is significant variation in clinicians’ management of KD, including timing and nature of treatment of those failing initial IVI</w:t>
            </w:r>
            <w:r>
              <w:rPr>
                <w:rFonts w:cstheme="minorHAnsi"/>
              </w:rPr>
              <w:t>g</w:t>
            </w:r>
            <w:r w:rsidRPr="008F4079">
              <w:rPr>
                <w:rFonts w:cstheme="minorHAnsi"/>
              </w:rPr>
              <w:t>, and an increasing use of adjunctive agents such as corticosteroids and biological drugs. It should be possible to develop disease stratification scores to identify high and low risk patients who may benefit from different treatment protocols. These findings would rationalise IVI</w:t>
            </w:r>
            <w:r>
              <w:rPr>
                <w:rFonts w:cstheme="minorHAnsi"/>
              </w:rPr>
              <w:t>g</w:t>
            </w:r>
            <w:r w:rsidRPr="008F4079">
              <w:rPr>
                <w:rFonts w:cstheme="minorHAnsi"/>
              </w:rPr>
              <w:t xml:space="preserve"> usage and avoid unnecessary use of IVIG in some cases. </w:t>
            </w:r>
          </w:p>
          <w:p w14:paraId="19D66FBC" w14:textId="77777777" w:rsidR="00965187" w:rsidRDefault="00965187" w:rsidP="00A264CD">
            <w:pPr>
              <w:rPr>
                <w:rFonts w:cstheme="minorHAnsi"/>
              </w:rPr>
            </w:pPr>
            <w:r w:rsidRPr="004E203D">
              <w:rPr>
                <w:rFonts w:cstheme="minorHAnsi"/>
              </w:rPr>
              <w:t>The study combine</w:t>
            </w:r>
            <w:r>
              <w:rPr>
                <w:rFonts w:cstheme="minorHAnsi"/>
              </w:rPr>
              <w:t>d</w:t>
            </w:r>
            <w:r w:rsidRPr="004E203D">
              <w:rPr>
                <w:rFonts w:cstheme="minorHAnsi"/>
              </w:rPr>
              <w:t>:</w:t>
            </w:r>
          </w:p>
          <w:p w14:paraId="52893DB6" w14:textId="77777777" w:rsidR="00965187" w:rsidRPr="004E203D" w:rsidRDefault="00965187" w:rsidP="00965187">
            <w:pPr>
              <w:pStyle w:val="ListParagraph"/>
              <w:numPr>
                <w:ilvl w:val="0"/>
                <w:numId w:val="17"/>
              </w:numPr>
              <w:ind w:left="567" w:hanging="283"/>
              <w:rPr>
                <w:rFonts w:cstheme="minorHAnsi"/>
              </w:rPr>
            </w:pPr>
            <w:r w:rsidRPr="004E203D" w:rsidDel="00247F89">
              <w:rPr>
                <w:rFonts w:cstheme="minorHAnsi"/>
              </w:rPr>
              <w:t>A</w:t>
            </w:r>
            <w:r w:rsidRPr="004E203D">
              <w:rPr>
                <w:rFonts w:cstheme="minorHAnsi"/>
              </w:rPr>
              <w:t xml:space="preserve"> retrospective review of KD incidence in Australia using data available from the Australian Red Cross Blood Bank IVI</w:t>
            </w:r>
            <w:r>
              <w:rPr>
                <w:rFonts w:cstheme="minorHAnsi"/>
              </w:rPr>
              <w:t>g</w:t>
            </w:r>
            <w:r w:rsidRPr="004E203D">
              <w:rPr>
                <w:rFonts w:cstheme="minorHAnsi"/>
              </w:rPr>
              <w:t xml:space="preserve"> database (2008-present). The data include</w:t>
            </w:r>
            <w:r>
              <w:rPr>
                <w:rFonts w:cstheme="minorHAnsi"/>
              </w:rPr>
              <w:t>d</w:t>
            </w:r>
            <w:r w:rsidRPr="004E203D">
              <w:rPr>
                <w:rFonts w:cstheme="minorHAnsi"/>
              </w:rPr>
              <w:t xml:space="preserve"> basic demographics </w:t>
            </w:r>
            <w:r>
              <w:rPr>
                <w:rFonts w:cstheme="minorHAnsi"/>
              </w:rPr>
              <w:t>to</w:t>
            </w:r>
            <w:r w:rsidRPr="004E203D">
              <w:rPr>
                <w:rFonts w:cstheme="minorHAnsi"/>
              </w:rPr>
              <w:t xml:space="preserve"> define the current epidemiology in Australia. </w:t>
            </w:r>
          </w:p>
          <w:p w14:paraId="761154B8" w14:textId="77777777" w:rsidR="00965187" w:rsidRPr="003E2A69" w:rsidRDefault="00965187" w:rsidP="00965187">
            <w:pPr>
              <w:pStyle w:val="ListParagraph"/>
              <w:numPr>
                <w:ilvl w:val="0"/>
                <w:numId w:val="17"/>
              </w:numPr>
              <w:ind w:left="567" w:hanging="283"/>
              <w:rPr>
                <w:rFonts w:cstheme="minorHAnsi"/>
              </w:rPr>
            </w:pPr>
            <w:r w:rsidRPr="003E2A69">
              <w:rPr>
                <w:rFonts w:cstheme="minorHAnsi"/>
              </w:rPr>
              <w:t>A national survey of KD management by doctors investigating decisions in different clinical KD scenarios</w:t>
            </w:r>
            <w:r>
              <w:rPr>
                <w:rFonts w:cstheme="minorHAnsi"/>
              </w:rPr>
              <w:t xml:space="preserve"> to provide </w:t>
            </w:r>
            <w:r w:rsidRPr="003E2A69">
              <w:rPr>
                <w:rFonts w:cstheme="minorHAnsi"/>
              </w:rPr>
              <w:t xml:space="preserve">greater </w:t>
            </w:r>
            <w:r w:rsidRPr="003E2A69">
              <w:rPr>
                <w:rFonts w:cstheme="minorHAnsi"/>
              </w:rPr>
              <w:lastRenderedPageBreak/>
              <w:t>understanding of IVI</w:t>
            </w:r>
            <w:r>
              <w:rPr>
                <w:rFonts w:cstheme="minorHAnsi"/>
              </w:rPr>
              <w:t>g</w:t>
            </w:r>
            <w:r w:rsidRPr="003E2A69">
              <w:rPr>
                <w:rFonts w:cstheme="minorHAnsi"/>
              </w:rPr>
              <w:t xml:space="preserve"> prescription patterns </w:t>
            </w:r>
            <w:r>
              <w:rPr>
                <w:rFonts w:cstheme="minorHAnsi"/>
              </w:rPr>
              <w:t xml:space="preserve">due to a lack of </w:t>
            </w:r>
            <w:r w:rsidRPr="003E2A69">
              <w:rPr>
                <w:rFonts w:cstheme="minorHAnsi"/>
              </w:rPr>
              <w:t>national guidelines</w:t>
            </w:r>
            <w:r>
              <w:rPr>
                <w:rFonts w:cstheme="minorHAnsi"/>
              </w:rPr>
              <w:t>, with i</w:t>
            </w:r>
            <w:r w:rsidRPr="003E2A69">
              <w:rPr>
                <w:rFonts w:cstheme="minorHAnsi"/>
              </w:rPr>
              <w:t xml:space="preserve">nternational collaboration </w:t>
            </w:r>
            <w:r>
              <w:rPr>
                <w:rFonts w:cstheme="minorHAnsi"/>
              </w:rPr>
              <w:t xml:space="preserve">to </w:t>
            </w:r>
            <w:r w:rsidRPr="003E2A69">
              <w:rPr>
                <w:rFonts w:cstheme="minorHAnsi"/>
              </w:rPr>
              <w:t xml:space="preserve">facilitate international benchmarking. </w:t>
            </w:r>
          </w:p>
          <w:p w14:paraId="11EBFC60" w14:textId="77777777" w:rsidR="00965187" w:rsidRPr="003E2A69" w:rsidRDefault="00965187" w:rsidP="00965187">
            <w:pPr>
              <w:pStyle w:val="ListParagraph"/>
              <w:numPr>
                <w:ilvl w:val="0"/>
                <w:numId w:val="17"/>
              </w:numPr>
              <w:ind w:left="567" w:hanging="283"/>
              <w:rPr>
                <w:rFonts w:cstheme="minorHAnsi"/>
              </w:rPr>
            </w:pPr>
            <w:r w:rsidRPr="003E2A69">
              <w:rPr>
                <w:rFonts w:cstheme="minorHAnsi"/>
              </w:rPr>
              <w:t>A prospective study of all patients with KD treated in Australia over a 3-year period, identified from IVI</w:t>
            </w:r>
            <w:r>
              <w:rPr>
                <w:rFonts w:cstheme="minorHAnsi"/>
              </w:rPr>
              <w:t>g</w:t>
            </w:r>
            <w:r w:rsidRPr="003E2A69">
              <w:rPr>
                <w:rFonts w:cstheme="minorHAnsi"/>
              </w:rPr>
              <w:t xml:space="preserve"> requests to the Red Cross Blood Service. Data </w:t>
            </w:r>
            <w:r w:rsidRPr="004E203D">
              <w:rPr>
                <w:rFonts w:cstheme="minorHAnsi"/>
              </w:rPr>
              <w:t>include</w:t>
            </w:r>
            <w:r>
              <w:rPr>
                <w:rFonts w:cstheme="minorHAnsi"/>
              </w:rPr>
              <w:t>d</w:t>
            </w:r>
            <w:r w:rsidRPr="003E2A69">
              <w:rPr>
                <w:rFonts w:cstheme="minorHAnsi"/>
              </w:rPr>
              <w:t xml:space="preserve"> clinical features, </w:t>
            </w:r>
            <w:proofErr w:type="gramStart"/>
            <w:r w:rsidRPr="003E2A69">
              <w:rPr>
                <w:rFonts w:cstheme="minorHAnsi"/>
              </w:rPr>
              <w:t>treatment</w:t>
            </w:r>
            <w:proofErr w:type="gramEnd"/>
            <w:r w:rsidRPr="003E2A69">
              <w:rPr>
                <w:rFonts w:cstheme="minorHAnsi"/>
              </w:rPr>
              <w:t xml:space="preserve"> and outcomes</w:t>
            </w:r>
            <w:r>
              <w:rPr>
                <w:rFonts w:cstheme="minorHAnsi"/>
              </w:rPr>
              <w:t>, with the finding</w:t>
            </w:r>
            <w:r w:rsidRPr="003E2A69">
              <w:rPr>
                <w:rFonts w:cstheme="minorHAnsi"/>
              </w:rPr>
              <w:t xml:space="preserve"> </w:t>
            </w:r>
            <w:r w:rsidRPr="004E203D">
              <w:rPr>
                <w:rFonts w:cstheme="minorHAnsi"/>
              </w:rPr>
              <w:t>a</w:t>
            </w:r>
            <w:r>
              <w:rPr>
                <w:rFonts w:cstheme="minorHAnsi"/>
              </w:rPr>
              <w:t xml:space="preserve">imed at providing </w:t>
            </w:r>
            <w:r w:rsidRPr="003E2A69">
              <w:rPr>
                <w:rFonts w:cstheme="minorHAnsi"/>
              </w:rPr>
              <w:t xml:space="preserve">a detailed picture of IVIG use, variations in clinical practice, comparisons to international standards and identification of clinical features that may help stratify risk in KD. </w:t>
            </w:r>
          </w:p>
          <w:p w14:paraId="253DA726" w14:textId="77777777" w:rsidR="00965187" w:rsidRPr="008F4079" w:rsidRDefault="00965187" w:rsidP="00A264CD">
            <w:pPr>
              <w:rPr>
                <w:rFonts w:cstheme="minorHAnsi"/>
              </w:rPr>
            </w:pPr>
            <w:r w:rsidRPr="008F4079">
              <w:rPr>
                <w:rFonts w:cstheme="minorHAnsi"/>
              </w:rPr>
              <w:t xml:space="preserve">An improved understanding of the current epidemiological and treatment patterns for KD in Australia will </w:t>
            </w:r>
            <w:r>
              <w:rPr>
                <w:rFonts w:cstheme="minorHAnsi"/>
              </w:rPr>
              <w:t xml:space="preserve">help </w:t>
            </w:r>
            <w:r w:rsidRPr="008F4079">
              <w:rPr>
                <w:rFonts w:cstheme="minorHAnsi"/>
              </w:rPr>
              <w:t>inform the development and implementation of standardised management protocols based on best evidence and international practice. This will optimise management</w:t>
            </w:r>
            <w:r>
              <w:rPr>
                <w:rFonts w:cstheme="minorHAnsi"/>
              </w:rPr>
              <w:t xml:space="preserve">- </w:t>
            </w:r>
            <w:r w:rsidRPr="008F4079">
              <w:rPr>
                <w:rFonts w:cstheme="minorHAnsi"/>
              </w:rPr>
              <w:t>particularly IVIG use</w:t>
            </w:r>
            <w:r w:rsidRPr="008F4079" w:rsidDel="00B41601">
              <w:rPr>
                <w:rFonts w:cstheme="minorHAnsi"/>
              </w:rPr>
              <w:t xml:space="preserve"> </w:t>
            </w:r>
            <w:r w:rsidRPr="008F4079">
              <w:rPr>
                <w:rFonts w:cstheme="minorHAnsi"/>
              </w:rPr>
              <w:t xml:space="preserve">in KD. </w:t>
            </w:r>
          </w:p>
          <w:p w14:paraId="49422017" w14:textId="77777777" w:rsidR="00965187" w:rsidRPr="008F4079" w:rsidRDefault="00965187" w:rsidP="00A264CD">
            <w:pPr>
              <w:rPr>
                <w:rFonts w:cstheme="minorHAnsi"/>
              </w:rPr>
            </w:pPr>
            <w:r w:rsidRPr="008F4079">
              <w:rPr>
                <w:rFonts w:cstheme="minorHAnsi"/>
              </w:rPr>
              <w:t>The findings</w:t>
            </w:r>
            <w:r w:rsidRPr="004E203D">
              <w:rPr>
                <w:rFonts w:cstheme="minorHAnsi"/>
              </w:rPr>
              <w:t xml:space="preserve"> </w:t>
            </w:r>
            <w:r>
              <w:rPr>
                <w:rFonts w:cstheme="minorHAnsi"/>
              </w:rPr>
              <w:t>aim to</w:t>
            </w:r>
            <w:r w:rsidRPr="008F4079">
              <w:rPr>
                <w:rFonts w:cstheme="minorHAnsi"/>
              </w:rPr>
              <w:t xml:space="preserve"> provide a platform to establish a KD registry, for ongoing prospective monitoring of IVIG management, particularly in the face of newer interventions. The registry would foster research related to biomarkers in KD to enhance understanding, including IVIG responsiveness and risk stratification. The findings</w:t>
            </w:r>
            <w:r>
              <w:rPr>
                <w:rFonts w:cstheme="minorHAnsi"/>
              </w:rPr>
              <w:t xml:space="preserve"> aim to</w:t>
            </w:r>
            <w:r w:rsidRPr="008F4079">
              <w:rPr>
                <w:rFonts w:cstheme="minorHAnsi"/>
              </w:rPr>
              <w:t xml:space="preserve"> facilitate optimal outcomes for children with KD and judicious use of resources.</w:t>
            </w:r>
          </w:p>
          <w:p w14:paraId="08D5F08B" w14:textId="77777777" w:rsidR="00965187" w:rsidRPr="008F4079" w:rsidRDefault="00965187" w:rsidP="00A264CD">
            <w:pPr>
              <w:rPr>
                <w:rFonts w:cstheme="minorHAnsi"/>
              </w:rPr>
            </w:pPr>
          </w:p>
        </w:tc>
        <w:tc>
          <w:tcPr>
            <w:tcW w:w="41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646DE7CA" w14:textId="46B50049" w:rsidR="00965187" w:rsidRPr="004E203D" w:rsidRDefault="001F59A2" w:rsidP="00BE216E">
            <w:pPr>
              <w:spacing w:before="100" w:beforeAutospacing="1" w:after="100" w:afterAutospacing="1" w:line="240" w:lineRule="auto"/>
              <w:ind w:left="138"/>
              <w:rPr>
                <w:rFonts w:eastAsiaTheme="minorEastAsia" w:cstheme="minorHAnsi"/>
                <w:lang w:eastAsia="en-AU"/>
              </w:rPr>
            </w:pPr>
            <w:hyperlink r:id="rId25" w:tgtFrame="_blank" w:history="1">
              <w:r w:rsidR="00965187" w:rsidRPr="004E203D">
                <w:rPr>
                  <w:rFonts w:eastAsiaTheme="minorEastAsia" w:cstheme="minorHAnsi"/>
                  <w:color w:val="0000FF"/>
                  <w:spacing w:val="4"/>
                  <w:u w:val="single"/>
                  <w:lang w:eastAsia="en-AU"/>
                </w:rPr>
                <w:t>Epidemiology of Kawasaki disease in Australia using two nationally complete datasets</w:t>
              </w:r>
            </w:hyperlink>
          </w:p>
          <w:p w14:paraId="38B30CEC" w14:textId="28D8C950" w:rsidR="00965187" w:rsidRPr="004E203D" w:rsidRDefault="001F59A2" w:rsidP="00BE216E">
            <w:pPr>
              <w:spacing w:before="100" w:beforeAutospacing="1" w:after="100" w:afterAutospacing="1" w:line="240" w:lineRule="auto"/>
              <w:ind w:left="138"/>
              <w:rPr>
                <w:rFonts w:eastAsiaTheme="minorEastAsia" w:cstheme="minorHAnsi"/>
                <w:lang w:eastAsia="en-AU"/>
              </w:rPr>
            </w:pPr>
            <w:hyperlink r:id="rId26" w:tgtFrame="_blank" w:history="1">
              <w:r w:rsidR="00965187" w:rsidRPr="004E203D">
                <w:rPr>
                  <w:rFonts w:eastAsiaTheme="minorEastAsia" w:cstheme="minorHAnsi"/>
                  <w:color w:val="0000FF"/>
                  <w:spacing w:val="4"/>
                  <w:u w:val="single"/>
                  <w:lang w:eastAsia="en-AU"/>
                </w:rPr>
                <w:t>Prospective characterisation of SARS-CoV-2 infections among children presenting to tertiary paediatric hospitals across Australia in 2020: a national cohort study</w:t>
              </w:r>
            </w:hyperlink>
          </w:p>
          <w:p w14:paraId="494D4216" w14:textId="1FAFBEE8" w:rsidR="00965187" w:rsidRPr="004E203D" w:rsidRDefault="001F59A2" w:rsidP="00BE216E">
            <w:pPr>
              <w:spacing w:before="100" w:beforeAutospacing="1" w:after="100" w:afterAutospacing="1" w:line="240" w:lineRule="auto"/>
              <w:ind w:left="138"/>
              <w:rPr>
                <w:rFonts w:eastAsiaTheme="minorEastAsia" w:cstheme="minorHAnsi"/>
                <w:lang w:eastAsia="en-AU"/>
              </w:rPr>
            </w:pPr>
            <w:hyperlink r:id="rId27" w:tgtFrame="_blank" w:history="1">
              <w:r w:rsidR="00965187" w:rsidRPr="004E203D">
                <w:rPr>
                  <w:rFonts w:eastAsiaTheme="minorEastAsia" w:cstheme="minorHAnsi"/>
                  <w:color w:val="0000FF"/>
                  <w:spacing w:val="4"/>
                  <w:u w:val="single"/>
                  <w:lang w:eastAsia="en-AU"/>
                </w:rPr>
                <w:t>Coronavirus and Kawasaki disease in children: it's an intriguing but unproven link</w:t>
              </w:r>
            </w:hyperlink>
          </w:p>
          <w:p w14:paraId="2C4C9025" w14:textId="343B90A4" w:rsidR="00965187" w:rsidRPr="004E203D" w:rsidRDefault="001F59A2" w:rsidP="00BE216E">
            <w:pPr>
              <w:spacing w:before="100" w:beforeAutospacing="1" w:after="100" w:afterAutospacing="1" w:line="240" w:lineRule="auto"/>
              <w:ind w:left="138"/>
              <w:rPr>
                <w:rFonts w:eastAsiaTheme="minorEastAsia" w:cstheme="minorHAnsi"/>
                <w:color w:val="0000FF"/>
                <w:spacing w:val="4"/>
                <w:u w:val="single"/>
                <w:lang w:eastAsia="en-AU"/>
              </w:rPr>
            </w:pPr>
            <w:hyperlink r:id="rId28" w:history="1">
              <w:r w:rsidR="00965187" w:rsidRPr="004E203D">
                <w:rPr>
                  <w:rFonts w:eastAsiaTheme="minorEastAsia" w:cstheme="minorHAnsi"/>
                  <w:color w:val="0000FF"/>
                  <w:spacing w:val="4"/>
                  <w:u w:val="single"/>
                  <w:lang w:eastAsia="en-AU"/>
                </w:rPr>
                <w:t>FDG-PET imaging in a child with Kawasaki disease: systemic and coronary artery inflammation without dilatation</w:t>
              </w:r>
            </w:hyperlink>
          </w:p>
          <w:p w14:paraId="1042ACAB" w14:textId="77777777" w:rsidR="00965187" w:rsidRPr="004E203D" w:rsidRDefault="001F59A2" w:rsidP="00A264CD">
            <w:pPr>
              <w:spacing w:before="100" w:beforeAutospacing="1" w:after="100" w:afterAutospacing="1" w:line="240" w:lineRule="auto"/>
              <w:ind w:left="138"/>
              <w:rPr>
                <w:rFonts w:eastAsiaTheme="minorEastAsia" w:cstheme="minorHAnsi"/>
                <w:color w:val="0000FF"/>
                <w:spacing w:val="4"/>
                <w:u w:val="single"/>
                <w:lang w:eastAsia="en-AU"/>
              </w:rPr>
            </w:pPr>
            <w:hyperlink r:id="rId29" w:history="1">
              <w:r w:rsidR="00965187" w:rsidRPr="004E203D">
                <w:rPr>
                  <w:rFonts w:eastAsiaTheme="minorEastAsia" w:cstheme="minorHAnsi"/>
                  <w:color w:val="0000FF"/>
                  <w:spacing w:val="4"/>
                  <w:u w:val="single"/>
                  <w:lang w:eastAsia="en-AU"/>
                </w:rPr>
                <w:t>Variation in the management of Kawasaki disease in Australia and New Zealand: A survey of paediatricians</w:t>
              </w:r>
            </w:hyperlink>
          </w:p>
          <w:p w14:paraId="68E6CBB3" w14:textId="77777777" w:rsidR="00965187" w:rsidRDefault="00965187" w:rsidP="00A264CD">
            <w:pPr>
              <w:spacing w:before="100" w:beforeAutospacing="1" w:after="100" w:afterAutospacing="1" w:line="240" w:lineRule="auto"/>
              <w:ind w:left="138"/>
            </w:pPr>
          </w:p>
        </w:tc>
      </w:tr>
      <w:tr w:rsidR="00965187" w:rsidRPr="008F4079" w14:paraId="3DE0CD07" w14:textId="77777777" w:rsidTr="00BE216E">
        <w:trPr>
          <w:trHeight w:val="592"/>
        </w:trPr>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tcPr>
          <w:p w14:paraId="142AFEB1" w14:textId="77777777" w:rsidR="00965187" w:rsidRPr="00BE216E" w:rsidRDefault="00965187" w:rsidP="00A264CD">
            <w:pPr>
              <w:rPr>
                <w:rFonts w:cstheme="minorHAnsi"/>
                <w:b/>
                <w:bCs/>
              </w:rPr>
            </w:pPr>
            <w:r w:rsidRPr="00BE216E">
              <w:rPr>
                <w:rFonts w:cstheme="minorHAnsi"/>
                <w:b/>
                <w:bCs/>
              </w:rPr>
              <w:t>Immunoglobulin Project Grants</w:t>
            </w:r>
          </w:p>
        </w:tc>
        <w:tc>
          <w:tcPr>
            <w:tcW w:w="21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tcPr>
          <w:p w14:paraId="5079871E" w14:textId="77777777" w:rsidR="00965187" w:rsidRPr="00BE216E" w:rsidRDefault="00965187" w:rsidP="00A264CD">
            <w:pPr>
              <w:rPr>
                <w:rFonts w:cstheme="minorHAnsi"/>
              </w:rPr>
            </w:pPr>
            <w:r w:rsidRPr="00BE216E">
              <w:rPr>
                <w:rFonts w:cstheme="minorHAnsi"/>
              </w:rPr>
              <w:t>Oral antibiotics or intravenous immunoglobulin to reduce infections in patients with blood cancers</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tcPr>
          <w:p w14:paraId="61417A4A" w14:textId="77777777" w:rsidR="00965187" w:rsidRPr="00BE216E" w:rsidRDefault="00965187" w:rsidP="00A264CD">
            <w:pPr>
              <w:rPr>
                <w:rFonts w:cstheme="minorHAnsi"/>
              </w:rPr>
            </w:pPr>
            <w:r w:rsidRPr="00BE216E">
              <w:rPr>
                <w:rFonts w:cstheme="minorHAnsi"/>
              </w:rPr>
              <w:t>Monash University</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tcPr>
          <w:p w14:paraId="27FD5468" w14:textId="77777777" w:rsidR="00965187" w:rsidRPr="00BE216E" w:rsidRDefault="00965187" w:rsidP="00A264CD">
            <w:pPr>
              <w:rPr>
                <w:rFonts w:cstheme="minorHAnsi"/>
              </w:rPr>
            </w:pPr>
            <w:r w:rsidRPr="00BE216E">
              <w:rPr>
                <w:rFonts w:cstheme="minorHAnsi"/>
              </w:rPr>
              <w:t>$434,453.80</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tcPr>
          <w:p w14:paraId="3C9BE65C" w14:textId="77777777" w:rsidR="00965187" w:rsidRPr="00BE216E" w:rsidRDefault="00965187" w:rsidP="00A264CD">
            <w:pPr>
              <w:rPr>
                <w:rFonts w:cstheme="minorHAnsi"/>
              </w:rPr>
            </w:pPr>
            <w:r w:rsidRPr="00BE216E">
              <w:rPr>
                <w:rFonts w:cstheme="minorHAnsi"/>
              </w:rPr>
              <w:t>Prof Erica Wood</w:t>
            </w:r>
          </w:p>
        </w:tc>
        <w:tc>
          <w:tcPr>
            <w:tcW w:w="38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43E12353" w14:textId="77777777" w:rsidR="00965187" w:rsidRPr="00BE216E" w:rsidRDefault="00965187" w:rsidP="00A264CD">
            <w:pPr>
              <w:ind w:left="146"/>
              <w:rPr>
                <w:rFonts w:cstheme="minorHAnsi"/>
              </w:rPr>
            </w:pPr>
            <w:r w:rsidRPr="00BE216E">
              <w:rPr>
                <w:rFonts w:cstheme="minorHAnsi"/>
              </w:rPr>
              <w:t>1. To conduct a feasibility trial to inform a definitive RCT comparing prophylactic antibiotics with IVIg to prevent infections in patients with hypogammaglobulinaemia secondary to haematologic malignancies</w:t>
            </w:r>
          </w:p>
          <w:p w14:paraId="2F150111" w14:textId="77777777" w:rsidR="00965187" w:rsidRPr="00BE216E" w:rsidRDefault="00965187" w:rsidP="00A264CD">
            <w:pPr>
              <w:ind w:left="146"/>
              <w:rPr>
                <w:rFonts w:cstheme="minorHAnsi"/>
              </w:rPr>
            </w:pPr>
            <w:r w:rsidRPr="00BE216E">
              <w:rPr>
                <w:rFonts w:cstheme="minorHAnsi"/>
              </w:rPr>
              <w:t xml:space="preserve">2. To perform a systematic review of the role of prophylactic oral antibiotics compared with IVIg, and </w:t>
            </w:r>
          </w:p>
          <w:p w14:paraId="53D6C1D1" w14:textId="77777777" w:rsidR="00965187" w:rsidRPr="00BE216E" w:rsidRDefault="00965187" w:rsidP="00A264CD">
            <w:pPr>
              <w:ind w:left="146"/>
              <w:rPr>
                <w:rFonts w:cstheme="minorHAnsi"/>
              </w:rPr>
            </w:pPr>
            <w:r w:rsidRPr="00BE216E">
              <w:rPr>
                <w:rFonts w:cstheme="minorHAnsi"/>
              </w:rPr>
              <w:t>3. To conduct an international survey of current practice of interventions to reduce infection.</w:t>
            </w:r>
          </w:p>
        </w:tc>
        <w:tc>
          <w:tcPr>
            <w:tcW w:w="66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tcPr>
          <w:p w14:paraId="70D64431" w14:textId="77777777" w:rsidR="00965187" w:rsidRPr="00BE216E" w:rsidRDefault="00965187" w:rsidP="00A264CD">
            <w:pPr>
              <w:rPr>
                <w:rFonts w:cstheme="minorHAnsi"/>
              </w:rPr>
            </w:pPr>
            <w:r w:rsidRPr="00BE216E">
              <w:rPr>
                <w:rFonts w:cstheme="minorHAnsi"/>
              </w:rPr>
              <w:t xml:space="preserve">The RATIONAL (Role of antibiotic therapy or IVIg on infections in haematology) project aimed to understand whether oral antibiotics can be used instead of intravenous immunoglobulin (IVIg, a blood product made from human plasma) to reduce the risk of infections in people with blood cancers. </w:t>
            </w:r>
          </w:p>
          <w:p w14:paraId="670300C3" w14:textId="77777777" w:rsidR="00965187" w:rsidRPr="00BE216E" w:rsidRDefault="00965187" w:rsidP="00A264CD">
            <w:pPr>
              <w:rPr>
                <w:rFonts w:cstheme="minorHAnsi"/>
              </w:rPr>
            </w:pPr>
            <w:r w:rsidRPr="00BE216E">
              <w:rPr>
                <w:rFonts w:cstheme="minorHAnsi"/>
              </w:rPr>
              <w:t xml:space="preserve">Some blood cancers, or the medications used to treat them, can cause low levels of immunoglobulins (antibodies) in the blood, resulting in increased risks of serious infection. Over 20% of all IVIg issued in Australia is used to try to prevent infections in patients with blood cancers. </w:t>
            </w:r>
          </w:p>
          <w:p w14:paraId="79412781" w14:textId="77777777" w:rsidR="00965187" w:rsidRPr="00BE216E" w:rsidRDefault="00965187" w:rsidP="00A264CD">
            <w:pPr>
              <w:rPr>
                <w:rFonts w:cstheme="minorHAnsi"/>
              </w:rPr>
            </w:pPr>
            <w:r w:rsidRPr="00BE216E">
              <w:rPr>
                <w:rFonts w:cstheme="minorHAnsi"/>
              </w:rPr>
              <w:t xml:space="preserve">Even though blood products like IVIg used in Australia are very safe, they do still carry some risks and should only be used when really needed. IVIg is also expensive, and Australia is one of the highest users of IVIg in the world, at a cost of hundreds of millions of dollars annually. </w:t>
            </w:r>
          </w:p>
          <w:p w14:paraId="53958AEE" w14:textId="77777777" w:rsidR="00965187" w:rsidRPr="00BE216E" w:rsidRDefault="00965187" w:rsidP="00A264CD">
            <w:pPr>
              <w:rPr>
                <w:rFonts w:cstheme="minorHAnsi"/>
              </w:rPr>
            </w:pPr>
            <w:r w:rsidRPr="00BE216E">
              <w:rPr>
                <w:rFonts w:cstheme="minorHAnsi"/>
              </w:rPr>
              <w:t xml:space="preserve">In some countries, for patients with low immunoglobulin levels, a trial of oral antibiotics is used before commencing IVIg, to see whether antibiotics might be enough to reduce the chances of getting an infection. However, more information is needed on how these two different interventions compare in terms of benefits, </w:t>
            </w:r>
            <w:proofErr w:type="gramStart"/>
            <w:r w:rsidRPr="00BE216E">
              <w:rPr>
                <w:rFonts w:cstheme="minorHAnsi"/>
              </w:rPr>
              <w:t>risks</w:t>
            </w:r>
            <w:proofErr w:type="gramEnd"/>
            <w:r w:rsidRPr="00BE216E">
              <w:rPr>
                <w:rFonts w:cstheme="minorHAnsi"/>
              </w:rPr>
              <w:t xml:space="preserve"> and costs.</w:t>
            </w:r>
          </w:p>
          <w:p w14:paraId="2AFFAB19" w14:textId="77777777" w:rsidR="00965187" w:rsidRPr="00BE216E" w:rsidRDefault="00965187" w:rsidP="00A264CD">
            <w:pPr>
              <w:rPr>
                <w:rFonts w:cstheme="minorHAnsi"/>
              </w:rPr>
            </w:pPr>
            <w:r w:rsidRPr="00BE216E">
              <w:rPr>
                <w:rFonts w:cstheme="minorHAnsi"/>
              </w:rPr>
              <w:t xml:space="preserve">This research aimed to improve the use of IVIg in Australia by asking: </w:t>
            </w:r>
          </w:p>
          <w:p w14:paraId="2D53A15E" w14:textId="77777777" w:rsidR="00965187" w:rsidRPr="00BE216E" w:rsidRDefault="00965187" w:rsidP="00A264CD">
            <w:pPr>
              <w:rPr>
                <w:rFonts w:cstheme="minorHAnsi"/>
              </w:rPr>
            </w:pPr>
            <w:r w:rsidRPr="00BE216E">
              <w:rPr>
                <w:rFonts w:cstheme="minorHAnsi"/>
              </w:rPr>
              <w:lastRenderedPageBreak/>
              <w:t xml:space="preserve">Are prophylactic (preventive) oral antibiotics equivalent to immunoglobulin replacement in reducing the risk of serious infections in adults with blood cancers? </w:t>
            </w:r>
          </w:p>
          <w:p w14:paraId="7C627154" w14:textId="77777777" w:rsidR="00965187" w:rsidRPr="00BE216E" w:rsidRDefault="00965187" w:rsidP="00A264CD">
            <w:pPr>
              <w:rPr>
                <w:rFonts w:cstheme="minorHAnsi"/>
              </w:rPr>
            </w:pPr>
            <w:r w:rsidRPr="00BE216E">
              <w:rPr>
                <w:rFonts w:cstheme="minorHAnsi"/>
              </w:rPr>
              <w:t xml:space="preserve">What is the role of other measures, such as vaccination against infectious diseases, in this setting? </w:t>
            </w:r>
          </w:p>
          <w:p w14:paraId="67A2B014" w14:textId="77777777" w:rsidR="00965187" w:rsidRPr="00BE216E" w:rsidRDefault="00965187" w:rsidP="00A264CD">
            <w:pPr>
              <w:rPr>
                <w:rFonts w:cstheme="minorHAnsi"/>
              </w:rPr>
            </w:pPr>
            <w:r w:rsidRPr="00BE216E">
              <w:rPr>
                <w:rFonts w:cstheme="minorHAnsi"/>
              </w:rPr>
              <w:t>Together, these questions aimed to provide answers to help guide more efficient and effective use of IVIg in Australia and help patients with blood cancers get better care, while also reducing risks and costs.</w:t>
            </w:r>
          </w:p>
          <w:p w14:paraId="6749E62D" w14:textId="77777777" w:rsidR="00965187" w:rsidRPr="00BE216E" w:rsidRDefault="00965187" w:rsidP="00A264CD">
            <w:pPr>
              <w:rPr>
                <w:rFonts w:cstheme="minorHAnsi"/>
              </w:rPr>
            </w:pPr>
          </w:p>
        </w:tc>
        <w:tc>
          <w:tcPr>
            <w:tcW w:w="41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1D19DFA7" w14:textId="48F8E523" w:rsidR="00965187" w:rsidRPr="00BE216E" w:rsidRDefault="001F59A2" w:rsidP="00BE216E">
            <w:pPr>
              <w:spacing w:before="100" w:beforeAutospacing="1" w:after="100" w:afterAutospacing="1" w:line="240" w:lineRule="auto"/>
              <w:ind w:left="138"/>
              <w:rPr>
                <w:rFonts w:eastAsiaTheme="minorEastAsia" w:cstheme="minorHAnsi"/>
                <w:color w:val="161616"/>
                <w:spacing w:val="3"/>
                <w:lang w:eastAsia="en-AU"/>
              </w:rPr>
            </w:pPr>
            <w:hyperlink r:id="rId30" w:tgtFrame="_blank" w:history="1">
              <w:r w:rsidR="00965187" w:rsidRPr="00BE216E">
                <w:rPr>
                  <w:rFonts w:eastAsiaTheme="minorEastAsia" w:cstheme="minorHAnsi"/>
                  <w:color w:val="0000FF"/>
                  <w:spacing w:val="4"/>
                  <w:u w:val="single"/>
                  <w:lang w:eastAsia="en-AU"/>
                </w:rPr>
                <w:t>Managing hypogammaglobulinaemia secondary to haematological malignancies in Australia and New Zealand: a clinician survey</w:t>
              </w:r>
            </w:hyperlink>
          </w:p>
          <w:p w14:paraId="6821C5E9" w14:textId="0F7B4EA7" w:rsidR="00965187" w:rsidRPr="00BE216E" w:rsidRDefault="001F59A2" w:rsidP="00BE216E">
            <w:pPr>
              <w:spacing w:before="100" w:beforeAutospacing="1" w:after="100" w:afterAutospacing="1" w:line="240" w:lineRule="auto"/>
              <w:ind w:left="138"/>
              <w:rPr>
                <w:rFonts w:eastAsiaTheme="minorEastAsia" w:cstheme="minorHAnsi"/>
                <w:color w:val="161616"/>
                <w:spacing w:val="3"/>
                <w:lang w:eastAsia="en-AU"/>
              </w:rPr>
            </w:pPr>
            <w:hyperlink r:id="rId31" w:tgtFrame="_blank" w:history="1">
              <w:r w:rsidR="00965187" w:rsidRPr="00BE216E">
                <w:rPr>
                  <w:rFonts w:eastAsiaTheme="minorEastAsia" w:cstheme="minorHAnsi"/>
                  <w:color w:val="0000FF"/>
                  <w:spacing w:val="4"/>
                  <w:u w:val="single"/>
                  <w:lang w:eastAsia="en-AU"/>
                </w:rPr>
                <w:t>Rational: A randomised controlled feasibility trial comparing prophylactic immunoglobulin with antibiotics in patients with acquired hypogammaglobulinemia secondary to haematological malignancies</w:t>
              </w:r>
            </w:hyperlink>
          </w:p>
          <w:p w14:paraId="3FE7D7D0" w14:textId="08851578" w:rsidR="00965187" w:rsidRPr="00BE216E" w:rsidRDefault="001F59A2" w:rsidP="00BE216E">
            <w:pPr>
              <w:spacing w:before="100" w:beforeAutospacing="1" w:after="100" w:afterAutospacing="1" w:line="240" w:lineRule="auto"/>
              <w:ind w:left="138"/>
              <w:rPr>
                <w:rFonts w:eastAsiaTheme="minorEastAsia" w:cstheme="minorHAnsi"/>
                <w:color w:val="161616"/>
                <w:spacing w:val="3"/>
                <w:lang w:eastAsia="en-AU"/>
              </w:rPr>
            </w:pPr>
            <w:hyperlink r:id="rId32" w:tgtFrame="_blank" w:history="1">
              <w:r w:rsidR="00965187" w:rsidRPr="00BE216E">
                <w:rPr>
                  <w:rFonts w:eastAsiaTheme="minorEastAsia" w:cstheme="minorHAnsi"/>
                  <w:color w:val="0000FF"/>
                  <w:spacing w:val="4"/>
                  <w:u w:val="single"/>
                  <w:lang w:eastAsia="en-AU"/>
                </w:rPr>
                <w:t xml:space="preserve">Interventions to reduce infections in patients with </w:t>
              </w:r>
              <w:proofErr w:type="spellStart"/>
              <w:r w:rsidR="00965187" w:rsidRPr="00BE216E">
                <w:rPr>
                  <w:rFonts w:eastAsiaTheme="minorEastAsia" w:cstheme="minorHAnsi"/>
                  <w:color w:val="0000FF"/>
                  <w:spacing w:val="4"/>
                  <w:u w:val="single"/>
                  <w:lang w:eastAsia="en-AU"/>
                </w:rPr>
                <w:t>hematological</w:t>
              </w:r>
              <w:proofErr w:type="spellEnd"/>
              <w:r w:rsidR="00965187" w:rsidRPr="00BE216E">
                <w:rPr>
                  <w:rFonts w:eastAsiaTheme="minorEastAsia" w:cstheme="minorHAnsi"/>
                  <w:color w:val="0000FF"/>
                  <w:spacing w:val="4"/>
                  <w:u w:val="single"/>
                  <w:lang w:eastAsia="en-AU"/>
                </w:rPr>
                <w:t xml:space="preserve"> malignancies: a systematic review and meta-analysis</w:t>
              </w:r>
            </w:hyperlink>
          </w:p>
          <w:p w14:paraId="3C4F17DC" w14:textId="77777777" w:rsidR="00965187" w:rsidRPr="00BE216E" w:rsidRDefault="001F59A2" w:rsidP="00A264CD">
            <w:pPr>
              <w:pStyle w:val="paragraph"/>
              <w:spacing w:before="0" w:beforeAutospacing="0" w:after="0" w:afterAutospacing="0"/>
              <w:ind w:left="138"/>
              <w:textAlignment w:val="baseline"/>
              <w:rPr>
                <w:rFonts w:asciiTheme="minorHAnsi" w:eastAsiaTheme="minorEastAsia" w:hAnsiTheme="minorHAnsi" w:cstheme="minorHAnsi"/>
                <w:sz w:val="22"/>
                <w:szCs w:val="22"/>
              </w:rPr>
            </w:pPr>
            <w:hyperlink r:id="rId33">
              <w:r w:rsidR="00965187" w:rsidRPr="00BE216E">
                <w:rPr>
                  <w:rStyle w:val="normaltextrun"/>
                  <w:rFonts w:asciiTheme="minorHAnsi" w:eastAsiaTheme="minorEastAsia" w:hAnsiTheme="minorHAnsi" w:cstheme="minorHAnsi"/>
                  <w:color w:val="0000FF"/>
                  <w:sz w:val="22"/>
                  <w:szCs w:val="22"/>
                  <w:u w:val="single"/>
                </w:rPr>
                <w:t xml:space="preserve">Immunoglobulin replacement vs prophylactic antibiotics for hypogammaglobulinemia secondary to </w:t>
              </w:r>
              <w:proofErr w:type="spellStart"/>
              <w:r w:rsidR="00965187" w:rsidRPr="00BE216E">
                <w:rPr>
                  <w:rStyle w:val="normaltextrun"/>
                  <w:rFonts w:asciiTheme="minorHAnsi" w:eastAsiaTheme="minorEastAsia" w:hAnsiTheme="minorHAnsi" w:cstheme="minorHAnsi"/>
                  <w:color w:val="0000FF"/>
                  <w:sz w:val="22"/>
                  <w:szCs w:val="22"/>
                  <w:u w:val="single"/>
                </w:rPr>
                <w:t>hematological</w:t>
              </w:r>
              <w:proofErr w:type="spellEnd"/>
              <w:r w:rsidR="00965187" w:rsidRPr="00BE216E">
                <w:rPr>
                  <w:rStyle w:val="normaltextrun"/>
                  <w:rFonts w:asciiTheme="minorHAnsi" w:eastAsiaTheme="minorEastAsia" w:hAnsiTheme="minorHAnsi" w:cstheme="minorHAnsi"/>
                  <w:color w:val="0000FF"/>
                  <w:sz w:val="22"/>
                  <w:szCs w:val="22"/>
                  <w:u w:val="single"/>
                </w:rPr>
                <w:t xml:space="preserve"> malignancy - PMC (nih.gov)</w:t>
              </w:r>
            </w:hyperlink>
            <w:r w:rsidR="00965187" w:rsidRPr="00BE216E">
              <w:rPr>
                <w:rStyle w:val="eop"/>
                <w:rFonts w:asciiTheme="minorHAnsi" w:eastAsiaTheme="minorEastAsia" w:hAnsiTheme="minorHAnsi" w:cstheme="minorHAnsi"/>
                <w:sz w:val="22"/>
                <w:szCs w:val="22"/>
              </w:rPr>
              <w:t> </w:t>
            </w:r>
          </w:p>
          <w:p w14:paraId="41532FD5" w14:textId="77777777" w:rsidR="00965187" w:rsidRPr="00BE216E" w:rsidRDefault="00965187" w:rsidP="00A264CD">
            <w:pPr>
              <w:pStyle w:val="paragraph"/>
              <w:spacing w:before="0" w:beforeAutospacing="0" w:after="0" w:afterAutospacing="0"/>
              <w:ind w:left="138"/>
              <w:textAlignment w:val="baseline"/>
              <w:rPr>
                <w:rFonts w:asciiTheme="minorHAnsi" w:eastAsiaTheme="minorEastAsia" w:hAnsiTheme="minorHAnsi" w:cstheme="minorHAnsi"/>
                <w:sz w:val="22"/>
                <w:szCs w:val="22"/>
              </w:rPr>
            </w:pPr>
            <w:r w:rsidRPr="00BE216E">
              <w:rPr>
                <w:rStyle w:val="eop"/>
                <w:rFonts w:asciiTheme="minorHAnsi" w:eastAsiaTheme="minorEastAsia" w:hAnsiTheme="minorHAnsi" w:cstheme="minorHAnsi"/>
                <w:sz w:val="22"/>
                <w:szCs w:val="22"/>
              </w:rPr>
              <w:t> </w:t>
            </w:r>
          </w:p>
          <w:p w14:paraId="2F5EE136" w14:textId="77777777" w:rsidR="00965187" w:rsidRPr="00BE216E" w:rsidRDefault="001F59A2" w:rsidP="00A264CD">
            <w:pPr>
              <w:pStyle w:val="paragraph"/>
              <w:spacing w:before="0" w:beforeAutospacing="0" w:after="0" w:afterAutospacing="0"/>
              <w:ind w:left="138"/>
              <w:textAlignment w:val="baseline"/>
              <w:rPr>
                <w:rFonts w:asciiTheme="minorHAnsi" w:eastAsiaTheme="minorEastAsia" w:hAnsiTheme="minorHAnsi" w:cstheme="minorHAnsi"/>
                <w:sz w:val="22"/>
                <w:szCs w:val="22"/>
                <w:highlight w:val="yellow"/>
              </w:rPr>
            </w:pPr>
            <w:hyperlink r:id="rId34">
              <w:r w:rsidR="00965187" w:rsidRPr="00BE216E">
                <w:rPr>
                  <w:rStyle w:val="normaltextrun"/>
                  <w:rFonts w:asciiTheme="minorHAnsi" w:eastAsiaTheme="minorEastAsia" w:hAnsiTheme="minorHAnsi" w:cstheme="minorHAnsi"/>
                  <w:color w:val="0000FF"/>
                  <w:sz w:val="22"/>
                  <w:szCs w:val="22"/>
                  <w:u w:val="single"/>
                </w:rPr>
                <w:t xml:space="preserve">Economic evaluation: immunoglobulin vs prophylactic antibiotics in hypogammaglobulinemia and </w:t>
              </w:r>
              <w:proofErr w:type="spellStart"/>
              <w:r w:rsidR="00965187" w:rsidRPr="00BE216E">
                <w:rPr>
                  <w:rStyle w:val="normaltextrun"/>
                  <w:rFonts w:asciiTheme="minorHAnsi" w:eastAsiaTheme="minorEastAsia" w:hAnsiTheme="minorHAnsi" w:cstheme="minorHAnsi"/>
                  <w:color w:val="0000FF"/>
                  <w:sz w:val="22"/>
                  <w:szCs w:val="22"/>
                  <w:u w:val="single"/>
                </w:rPr>
                <w:t>hematological</w:t>
              </w:r>
              <w:proofErr w:type="spellEnd"/>
              <w:r w:rsidR="00965187" w:rsidRPr="00BE216E">
                <w:rPr>
                  <w:rStyle w:val="normaltextrun"/>
                  <w:rFonts w:asciiTheme="minorHAnsi" w:eastAsiaTheme="minorEastAsia" w:hAnsiTheme="minorHAnsi" w:cstheme="minorHAnsi"/>
                  <w:color w:val="0000FF"/>
                  <w:sz w:val="22"/>
                  <w:szCs w:val="22"/>
                  <w:u w:val="single"/>
                </w:rPr>
                <w:t xml:space="preserve"> malignancies | Blood </w:t>
              </w:r>
              <w:r w:rsidR="00965187" w:rsidRPr="00BE216E">
                <w:rPr>
                  <w:rStyle w:val="normaltextrun"/>
                  <w:rFonts w:asciiTheme="minorHAnsi" w:eastAsiaTheme="minorEastAsia" w:hAnsiTheme="minorHAnsi" w:cstheme="minorHAnsi"/>
                  <w:color w:val="0000FF"/>
                  <w:sz w:val="22"/>
                  <w:szCs w:val="22"/>
                  <w:u w:val="single"/>
                </w:rPr>
                <w:lastRenderedPageBreak/>
                <w:t>Advances | American Society of Hematology (ashpublications.org)</w:t>
              </w:r>
            </w:hyperlink>
            <w:r w:rsidR="00965187" w:rsidRPr="00BE216E">
              <w:rPr>
                <w:rStyle w:val="normaltextrun"/>
                <w:rFonts w:asciiTheme="minorHAnsi" w:eastAsiaTheme="minorEastAsia" w:hAnsiTheme="minorHAnsi" w:cstheme="minorHAnsi"/>
                <w:sz w:val="22"/>
                <w:szCs w:val="22"/>
              </w:rPr>
              <w:t xml:space="preserve"> </w:t>
            </w:r>
          </w:p>
          <w:p w14:paraId="65F29E7F" w14:textId="77777777" w:rsidR="00965187" w:rsidRPr="00BE216E" w:rsidRDefault="00965187" w:rsidP="00A264CD">
            <w:pPr>
              <w:spacing w:before="100" w:beforeAutospacing="1" w:after="100" w:afterAutospacing="1"/>
              <w:ind w:left="138"/>
              <w:rPr>
                <w:rFonts w:eastAsiaTheme="minorEastAsia" w:cstheme="minorHAnsi"/>
                <w:color w:val="161616"/>
                <w:spacing w:val="3"/>
                <w:lang w:eastAsia="en-AU"/>
              </w:rPr>
            </w:pPr>
          </w:p>
          <w:p w14:paraId="27B74BB9" w14:textId="77777777" w:rsidR="00965187" w:rsidRPr="00BE216E" w:rsidRDefault="00965187" w:rsidP="00A264CD">
            <w:pPr>
              <w:spacing w:before="100" w:beforeAutospacing="1" w:after="100" w:afterAutospacing="1" w:line="240" w:lineRule="auto"/>
              <w:ind w:left="138"/>
              <w:rPr>
                <w:rFonts w:cstheme="minorHAnsi"/>
              </w:rPr>
            </w:pPr>
          </w:p>
        </w:tc>
      </w:tr>
      <w:tr w:rsidR="00965187" w:rsidRPr="008F4079" w14:paraId="7CEE158C" w14:textId="77777777" w:rsidTr="00BE216E">
        <w:trPr>
          <w:trHeight w:val="592"/>
        </w:trPr>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hideMark/>
          </w:tcPr>
          <w:p w14:paraId="742650B1" w14:textId="77777777" w:rsidR="00965187" w:rsidRPr="008F4079" w:rsidRDefault="00965187" w:rsidP="00A264CD">
            <w:pPr>
              <w:rPr>
                <w:rFonts w:cstheme="minorHAnsi"/>
                <w:b/>
                <w:bCs/>
              </w:rPr>
            </w:pPr>
            <w:r w:rsidRPr="008F4079">
              <w:rPr>
                <w:rFonts w:cstheme="minorHAnsi"/>
                <w:b/>
                <w:bCs/>
              </w:rPr>
              <w:lastRenderedPageBreak/>
              <w:t>Immunoglobulin Seed Grants</w:t>
            </w:r>
          </w:p>
        </w:tc>
        <w:tc>
          <w:tcPr>
            <w:tcW w:w="21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hideMark/>
          </w:tcPr>
          <w:p w14:paraId="7CF29D9E" w14:textId="77777777" w:rsidR="00965187" w:rsidRPr="008F4079" w:rsidRDefault="00965187" w:rsidP="00A264CD">
            <w:pPr>
              <w:rPr>
                <w:rFonts w:cstheme="minorHAnsi"/>
              </w:rPr>
            </w:pPr>
            <w:r w:rsidRPr="008F4079">
              <w:rPr>
                <w:rFonts w:cstheme="minorHAnsi"/>
              </w:rPr>
              <w:t>Improving the use of intravenous immunoglobulin (IVIg) in children with neurological disorders</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hideMark/>
          </w:tcPr>
          <w:p w14:paraId="0295B867" w14:textId="77777777" w:rsidR="00965187" w:rsidRPr="008F4079" w:rsidRDefault="00965187" w:rsidP="00A264CD">
            <w:pPr>
              <w:rPr>
                <w:rFonts w:cstheme="minorHAnsi"/>
              </w:rPr>
            </w:pPr>
            <w:r w:rsidRPr="008F4079">
              <w:rPr>
                <w:rFonts w:cstheme="minorHAnsi"/>
              </w:rPr>
              <w:t>The University of Sydney</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hideMark/>
          </w:tcPr>
          <w:p w14:paraId="44D00097" w14:textId="77777777" w:rsidR="00965187" w:rsidRPr="008F4079" w:rsidRDefault="00965187" w:rsidP="00A264CD">
            <w:pPr>
              <w:rPr>
                <w:rFonts w:cstheme="minorHAnsi"/>
              </w:rPr>
            </w:pPr>
            <w:r w:rsidRPr="008F4079">
              <w:rPr>
                <w:rFonts w:cstheme="minorHAnsi"/>
              </w:rPr>
              <w:t>$50,837.60</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hideMark/>
          </w:tcPr>
          <w:p w14:paraId="7AB36B09" w14:textId="77777777" w:rsidR="00965187" w:rsidRPr="008F4079" w:rsidRDefault="00965187" w:rsidP="00A264CD">
            <w:pPr>
              <w:rPr>
                <w:rFonts w:cstheme="minorHAnsi"/>
              </w:rPr>
            </w:pPr>
            <w:r w:rsidRPr="008F4079">
              <w:rPr>
                <w:rFonts w:cstheme="minorHAnsi"/>
              </w:rPr>
              <w:t>Prof Russell Dale</w:t>
            </w:r>
          </w:p>
        </w:tc>
        <w:tc>
          <w:tcPr>
            <w:tcW w:w="38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501E225E" w14:textId="77777777" w:rsidR="00965187" w:rsidRPr="004E203D" w:rsidRDefault="00965187" w:rsidP="00A264CD">
            <w:pPr>
              <w:keepNext/>
              <w:spacing w:after="200" w:line="276" w:lineRule="auto"/>
              <w:ind w:left="146"/>
              <w:rPr>
                <w:rFonts w:cstheme="minorHAnsi"/>
              </w:rPr>
            </w:pPr>
            <w:r w:rsidRPr="004E203D">
              <w:rPr>
                <w:rFonts w:cstheme="minorHAnsi"/>
              </w:rPr>
              <w:t>1. To improve understanding of tolerability and outcomes in children with neurological disease given IVI</w:t>
            </w:r>
            <w:r>
              <w:rPr>
                <w:rFonts w:cstheme="minorHAnsi"/>
              </w:rPr>
              <w:t>g</w:t>
            </w:r>
          </w:p>
          <w:p w14:paraId="2F1951C8" w14:textId="77777777" w:rsidR="00965187" w:rsidRPr="004E203D" w:rsidRDefault="00965187" w:rsidP="00A264CD">
            <w:pPr>
              <w:keepNext/>
              <w:spacing w:after="200" w:line="276" w:lineRule="auto"/>
              <w:ind w:left="146"/>
              <w:rPr>
                <w:rFonts w:cstheme="minorHAnsi"/>
              </w:rPr>
            </w:pPr>
            <w:r w:rsidRPr="004E203D">
              <w:rPr>
                <w:rFonts w:cstheme="minorHAnsi"/>
              </w:rPr>
              <w:t>2. To identify gaps in the National guidelines and provoke a discussion about the health economic costs of IVI</w:t>
            </w:r>
            <w:r>
              <w:rPr>
                <w:rFonts w:cstheme="minorHAnsi"/>
              </w:rPr>
              <w:t>g</w:t>
            </w:r>
            <w:r w:rsidRPr="004E203D">
              <w:rPr>
                <w:rFonts w:cstheme="minorHAnsi"/>
              </w:rPr>
              <w:t xml:space="preserve"> administration in children with potentially serious neurological conditions. </w:t>
            </w:r>
          </w:p>
          <w:p w14:paraId="79633321" w14:textId="77777777" w:rsidR="00965187" w:rsidRPr="004E203D" w:rsidRDefault="00965187" w:rsidP="00A264CD">
            <w:pPr>
              <w:keepNext/>
              <w:spacing w:after="200" w:line="276" w:lineRule="auto"/>
              <w:ind w:left="146"/>
              <w:rPr>
                <w:rFonts w:cstheme="minorHAnsi"/>
              </w:rPr>
            </w:pPr>
          </w:p>
        </w:tc>
        <w:tc>
          <w:tcPr>
            <w:tcW w:w="66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hideMark/>
          </w:tcPr>
          <w:p w14:paraId="6DAD7225" w14:textId="77777777" w:rsidR="00965187" w:rsidRDefault="00965187" w:rsidP="00A264CD">
            <w:pPr>
              <w:rPr>
                <w:rFonts w:cstheme="minorHAnsi"/>
              </w:rPr>
            </w:pPr>
            <w:r w:rsidRPr="008F4079">
              <w:rPr>
                <w:rFonts w:cstheme="minorHAnsi"/>
              </w:rPr>
              <w:t>Intravenous immunoglobulin is an expensive product, which can treat immune deficiency or autoimmune/inflammatory conditions. IVI</w:t>
            </w:r>
            <w:r>
              <w:rPr>
                <w:rFonts w:cstheme="minorHAnsi"/>
              </w:rPr>
              <w:t>g</w:t>
            </w:r>
            <w:r w:rsidRPr="008F4079">
              <w:rPr>
                <w:rFonts w:cstheme="minorHAnsi"/>
              </w:rPr>
              <w:t xml:space="preserve"> is being increasingly used to treat autoimmune or inflammatory disorders of the nervous system. Children with these conditions often present with acute weakness, blindness, or encephalopathy. </w:t>
            </w:r>
          </w:p>
          <w:p w14:paraId="3200EAB5" w14:textId="77777777" w:rsidR="00965187" w:rsidRPr="008F4079" w:rsidRDefault="00965187" w:rsidP="00A264CD">
            <w:pPr>
              <w:rPr>
                <w:rFonts w:cstheme="minorHAnsi"/>
              </w:rPr>
            </w:pPr>
            <w:r w:rsidRPr="004E203D">
              <w:rPr>
                <w:rFonts w:cstheme="minorHAnsi"/>
              </w:rPr>
              <w:t>Previously</w:t>
            </w:r>
            <w:r>
              <w:rPr>
                <w:rFonts w:cstheme="minorHAnsi"/>
              </w:rPr>
              <w:t xml:space="preserve"> this</w:t>
            </w:r>
            <w:r w:rsidRPr="008F4079">
              <w:rPr>
                <w:rFonts w:cstheme="minorHAnsi"/>
              </w:rPr>
              <w:t xml:space="preserve"> research team has</w:t>
            </w:r>
            <w:r w:rsidRPr="008F4079" w:rsidDel="00305A2A">
              <w:rPr>
                <w:rFonts w:cstheme="minorHAnsi"/>
              </w:rPr>
              <w:t xml:space="preserve"> </w:t>
            </w:r>
            <w:r w:rsidRPr="004E203D">
              <w:rPr>
                <w:rFonts w:cstheme="minorHAnsi"/>
              </w:rPr>
              <w:t>conducted</w:t>
            </w:r>
            <w:r w:rsidRPr="008F4079">
              <w:rPr>
                <w:rFonts w:cstheme="minorHAnsi"/>
              </w:rPr>
              <w:t xml:space="preserve"> a major review of the use of IVI</w:t>
            </w:r>
            <w:r>
              <w:rPr>
                <w:rFonts w:cstheme="minorHAnsi"/>
              </w:rPr>
              <w:t>g</w:t>
            </w:r>
            <w:r w:rsidRPr="008F4079">
              <w:rPr>
                <w:rFonts w:cstheme="minorHAnsi"/>
              </w:rPr>
              <w:t xml:space="preserve"> for neurological conditions between 2000 and 2014 at the largest children’s Hospital in New South Wales. IVI</w:t>
            </w:r>
            <w:r>
              <w:rPr>
                <w:rFonts w:cstheme="minorHAnsi"/>
              </w:rPr>
              <w:t>g</w:t>
            </w:r>
            <w:r w:rsidRPr="008F4079">
              <w:rPr>
                <w:rFonts w:cstheme="minorHAnsi"/>
              </w:rPr>
              <w:t xml:space="preserve"> was administered to 1264 children at </w:t>
            </w:r>
            <w:r>
              <w:rPr>
                <w:rFonts w:cstheme="minorHAnsi"/>
              </w:rPr>
              <w:t>the</w:t>
            </w:r>
            <w:r w:rsidRPr="008F4079">
              <w:rPr>
                <w:rFonts w:cstheme="minorHAnsi"/>
              </w:rPr>
              <w:t xml:space="preserve"> hospital during the time period, and 196 of these children had neurological disorders (15.5%). </w:t>
            </w:r>
          </w:p>
          <w:p w14:paraId="6838DF91" w14:textId="77777777" w:rsidR="00965187" w:rsidRPr="008F4079" w:rsidRDefault="00965187" w:rsidP="00A264CD">
            <w:pPr>
              <w:rPr>
                <w:rFonts w:cstheme="minorHAnsi"/>
              </w:rPr>
            </w:pPr>
            <w:r w:rsidRPr="008F4079">
              <w:rPr>
                <w:rFonts w:cstheme="minorHAnsi"/>
              </w:rPr>
              <w:t>This project</w:t>
            </w:r>
            <w:r w:rsidRPr="008F4079" w:rsidDel="00305A2A">
              <w:rPr>
                <w:rFonts w:cstheme="minorHAnsi"/>
              </w:rPr>
              <w:t xml:space="preserve"> </w:t>
            </w:r>
            <w:r w:rsidRPr="004E203D">
              <w:rPr>
                <w:rFonts w:cstheme="minorHAnsi"/>
              </w:rPr>
              <w:t>complete</w:t>
            </w:r>
            <w:r>
              <w:rPr>
                <w:rFonts w:cstheme="minorHAnsi"/>
              </w:rPr>
              <w:t>d the</w:t>
            </w:r>
            <w:r w:rsidRPr="008F4079">
              <w:rPr>
                <w:rFonts w:cstheme="minorHAnsi"/>
              </w:rPr>
              <w:t xml:space="preserve"> data collection and analysis for the next year. This core data source </w:t>
            </w:r>
            <w:r w:rsidRPr="004E203D">
              <w:rPr>
                <w:rFonts w:cstheme="minorHAnsi"/>
              </w:rPr>
              <w:t>w</w:t>
            </w:r>
            <w:r>
              <w:rPr>
                <w:rFonts w:cstheme="minorHAnsi"/>
              </w:rPr>
              <w:t>as</w:t>
            </w:r>
            <w:r w:rsidRPr="008F4079">
              <w:rPr>
                <w:rFonts w:cstheme="minorHAnsi"/>
              </w:rPr>
              <w:t xml:space="preserve"> used </w:t>
            </w:r>
            <w:r>
              <w:rPr>
                <w:rFonts w:cstheme="minorHAnsi"/>
              </w:rPr>
              <w:t xml:space="preserve">to investigate </w:t>
            </w:r>
            <w:r w:rsidRPr="008F4079">
              <w:rPr>
                <w:rFonts w:cstheme="minorHAnsi"/>
              </w:rPr>
              <w:t xml:space="preserve">the following: </w:t>
            </w:r>
          </w:p>
          <w:p w14:paraId="68E5B842" w14:textId="77777777" w:rsidR="00965187" w:rsidRPr="008F4079" w:rsidRDefault="00965187" w:rsidP="00A264CD">
            <w:pPr>
              <w:rPr>
                <w:rFonts w:cstheme="minorHAnsi"/>
              </w:rPr>
            </w:pPr>
            <w:r w:rsidRPr="008F4079">
              <w:rPr>
                <w:rFonts w:cstheme="minorHAnsi"/>
              </w:rPr>
              <w:t xml:space="preserve">1. Identify adherence of current </w:t>
            </w:r>
            <w:r w:rsidRPr="004E203D">
              <w:rPr>
                <w:rFonts w:cstheme="minorHAnsi"/>
              </w:rPr>
              <w:t>practi</w:t>
            </w:r>
            <w:r>
              <w:rPr>
                <w:rFonts w:cstheme="minorHAnsi"/>
              </w:rPr>
              <w:t>ce</w:t>
            </w:r>
            <w:r w:rsidRPr="008F4079">
              <w:rPr>
                <w:rFonts w:cstheme="minorHAnsi"/>
              </w:rPr>
              <w:t xml:space="preserve"> to guidelines and identify indications that </w:t>
            </w:r>
            <w:r>
              <w:rPr>
                <w:rFonts w:cstheme="minorHAnsi"/>
              </w:rPr>
              <w:t>were</w:t>
            </w:r>
            <w:r w:rsidRPr="004E203D">
              <w:rPr>
                <w:rFonts w:cstheme="minorHAnsi"/>
              </w:rPr>
              <w:t xml:space="preserve"> n</w:t>
            </w:r>
            <w:r>
              <w:rPr>
                <w:rFonts w:cstheme="minorHAnsi"/>
              </w:rPr>
              <w:t>ot</w:t>
            </w:r>
            <w:r w:rsidRPr="008F4079">
              <w:rPr>
                <w:rFonts w:cstheme="minorHAnsi"/>
              </w:rPr>
              <w:t xml:space="preserve"> in the current guidelines. For example, the autoimmune encephalitis syndrome, anti-NMDAR encephalitis, which was ‘discovered’ in 2007 and is the prototypic autoimmune encephalitis syndrome, is not specifically recognised as an indication for IVIG administration, although there is clear evidence that this is an autoimmune disorder. </w:t>
            </w:r>
          </w:p>
          <w:p w14:paraId="4FDA9C1C" w14:textId="77777777" w:rsidR="00965187" w:rsidRPr="008F4079" w:rsidRDefault="00965187" w:rsidP="00A264CD">
            <w:pPr>
              <w:rPr>
                <w:rFonts w:cstheme="minorHAnsi"/>
              </w:rPr>
            </w:pPr>
            <w:r w:rsidRPr="008F4079">
              <w:rPr>
                <w:rFonts w:cstheme="minorHAnsi"/>
              </w:rPr>
              <w:t>2. The cost of IVI</w:t>
            </w:r>
            <w:r>
              <w:rPr>
                <w:rFonts w:cstheme="minorHAnsi"/>
              </w:rPr>
              <w:t>g</w:t>
            </w:r>
            <w:r w:rsidRPr="008F4079">
              <w:rPr>
                <w:rFonts w:cstheme="minorHAnsi"/>
              </w:rPr>
              <w:t xml:space="preserve"> administration in our institute for neurological indications was over 2.5million Australian dollars. Performing</w:t>
            </w:r>
            <w:r>
              <w:rPr>
                <w:rFonts w:cstheme="minorHAnsi"/>
              </w:rPr>
              <w:t xml:space="preserve"> a </w:t>
            </w:r>
            <w:r w:rsidRPr="008F4079">
              <w:rPr>
                <w:rFonts w:cstheme="minorHAnsi"/>
              </w:rPr>
              <w:t xml:space="preserve">secondary analysis </w:t>
            </w:r>
            <w:r>
              <w:rPr>
                <w:rFonts w:cstheme="minorHAnsi"/>
              </w:rPr>
              <w:t xml:space="preserve">aimed to </w:t>
            </w:r>
            <w:r w:rsidRPr="008F4079">
              <w:rPr>
                <w:rFonts w:cstheme="minorHAnsi"/>
              </w:rPr>
              <w:t>identify the relative cost according to indication</w:t>
            </w:r>
            <w:r>
              <w:rPr>
                <w:rFonts w:cstheme="minorHAnsi"/>
              </w:rPr>
              <w:t xml:space="preserve"> which would help </w:t>
            </w:r>
            <w:r w:rsidRPr="008F4079">
              <w:rPr>
                <w:rFonts w:cstheme="minorHAnsi"/>
              </w:rPr>
              <w:t xml:space="preserve">inform </w:t>
            </w:r>
            <w:r w:rsidRPr="004E203D">
              <w:rPr>
                <w:rFonts w:cstheme="minorHAnsi"/>
              </w:rPr>
              <w:t>practi</w:t>
            </w:r>
            <w:r>
              <w:rPr>
                <w:rFonts w:cstheme="minorHAnsi"/>
              </w:rPr>
              <w:t>c</w:t>
            </w:r>
            <w:r w:rsidRPr="004E203D">
              <w:rPr>
                <w:rFonts w:cstheme="minorHAnsi"/>
              </w:rPr>
              <w:t>e</w:t>
            </w:r>
            <w:r w:rsidRPr="008F4079">
              <w:rPr>
                <w:rFonts w:cstheme="minorHAnsi"/>
              </w:rPr>
              <w:t xml:space="preserve"> and identify opportunities for economic efficiencies. </w:t>
            </w:r>
          </w:p>
          <w:p w14:paraId="10A3B9BD" w14:textId="77777777" w:rsidR="00965187" w:rsidRPr="008F4079" w:rsidRDefault="00965187" w:rsidP="00A264CD">
            <w:pPr>
              <w:rPr>
                <w:rFonts w:cstheme="minorHAnsi"/>
              </w:rPr>
            </w:pPr>
            <w:r w:rsidRPr="008F4079">
              <w:rPr>
                <w:rFonts w:cstheme="minorHAnsi"/>
              </w:rPr>
              <w:t>3. Children receiving IVI</w:t>
            </w:r>
            <w:r>
              <w:rPr>
                <w:rFonts w:cstheme="minorHAnsi"/>
              </w:rPr>
              <w:t>g</w:t>
            </w:r>
            <w:r w:rsidRPr="008F4079">
              <w:rPr>
                <w:rFonts w:cstheme="minorHAnsi"/>
              </w:rPr>
              <w:t xml:space="preserve"> for neurological indications may be particularly vulnerable to certain adverse effects such as aseptic meningitis. </w:t>
            </w:r>
            <w:r w:rsidRPr="004E203D">
              <w:rPr>
                <w:rFonts w:cstheme="minorHAnsi"/>
              </w:rPr>
              <w:t>Detailed</w:t>
            </w:r>
            <w:r w:rsidRPr="008F4079">
              <w:rPr>
                <w:rFonts w:cstheme="minorHAnsi"/>
              </w:rPr>
              <w:t xml:space="preserve"> case notes review </w:t>
            </w:r>
            <w:r w:rsidRPr="004E203D">
              <w:rPr>
                <w:rFonts w:cstheme="minorHAnsi"/>
              </w:rPr>
              <w:t>w</w:t>
            </w:r>
            <w:r>
              <w:rPr>
                <w:rFonts w:cstheme="minorHAnsi"/>
              </w:rPr>
              <w:t xml:space="preserve">ould </w:t>
            </w:r>
            <w:r w:rsidRPr="008F4079">
              <w:rPr>
                <w:rFonts w:cstheme="minorHAnsi"/>
              </w:rPr>
              <w:t xml:space="preserve">identify the adverse events using CTCAE v3.0. This </w:t>
            </w:r>
            <w:r w:rsidRPr="004E203D">
              <w:rPr>
                <w:rFonts w:cstheme="minorHAnsi"/>
              </w:rPr>
              <w:t>w</w:t>
            </w:r>
            <w:r>
              <w:rPr>
                <w:rFonts w:cstheme="minorHAnsi"/>
              </w:rPr>
              <w:t>ould</w:t>
            </w:r>
            <w:r w:rsidRPr="008F4079">
              <w:rPr>
                <w:rFonts w:cstheme="minorHAnsi"/>
              </w:rPr>
              <w:t xml:space="preserve"> identify the relative risk of allergic phenomenon and serious adverse </w:t>
            </w:r>
            <w:proofErr w:type="gramStart"/>
            <w:r w:rsidRPr="008F4079">
              <w:rPr>
                <w:rFonts w:cstheme="minorHAnsi"/>
              </w:rPr>
              <w:t>events, if</w:t>
            </w:r>
            <w:proofErr w:type="gramEnd"/>
            <w:r w:rsidRPr="008F4079">
              <w:rPr>
                <w:rFonts w:cstheme="minorHAnsi"/>
              </w:rPr>
              <w:t xml:space="preserve"> they exist. </w:t>
            </w:r>
          </w:p>
          <w:p w14:paraId="741939C9" w14:textId="77777777" w:rsidR="00965187" w:rsidRPr="008F4079" w:rsidRDefault="00965187" w:rsidP="00A264CD">
            <w:pPr>
              <w:rPr>
                <w:rFonts w:cstheme="minorHAnsi"/>
              </w:rPr>
            </w:pPr>
            <w:r w:rsidRPr="008F4079">
              <w:rPr>
                <w:rFonts w:cstheme="minorHAnsi"/>
              </w:rPr>
              <w:t xml:space="preserve">4. Using the Modified Rankin Scale and using ethically approved follow-up mechanisms (LNR/15/SCHN/218), follow-up </w:t>
            </w:r>
            <w:r>
              <w:rPr>
                <w:rFonts w:cstheme="minorHAnsi"/>
              </w:rPr>
              <w:t>was extended</w:t>
            </w:r>
            <w:r w:rsidRPr="004E203D">
              <w:rPr>
                <w:rFonts w:cstheme="minorHAnsi"/>
              </w:rPr>
              <w:t xml:space="preserve"> </w:t>
            </w:r>
            <w:r w:rsidRPr="008F4079">
              <w:rPr>
                <w:rFonts w:cstheme="minorHAnsi"/>
              </w:rPr>
              <w:t xml:space="preserve">to mean 52 months post onset of disease (median 36 months), and 88% of </w:t>
            </w:r>
            <w:r w:rsidRPr="008F4079">
              <w:rPr>
                <w:rFonts w:cstheme="minorHAnsi"/>
              </w:rPr>
              <w:lastRenderedPageBreak/>
              <w:t xml:space="preserve">patients had follow-up for longer than 12 months. This research </w:t>
            </w:r>
            <w:r>
              <w:rPr>
                <w:rFonts w:cstheme="minorHAnsi"/>
              </w:rPr>
              <w:t>aimed to</w:t>
            </w:r>
            <w:r w:rsidRPr="008F4079">
              <w:rPr>
                <w:rFonts w:cstheme="minorHAnsi"/>
              </w:rPr>
              <w:t xml:space="preserve"> define the level of disability in this cohort to establish the ‘disease severity’ during the acute disease, and at final follow-up. </w:t>
            </w:r>
          </w:p>
          <w:p w14:paraId="06CAC1B8" w14:textId="77777777" w:rsidR="00965187" w:rsidRPr="008F4079" w:rsidRDefault="00965187" w:rsidP="00A264CD">
            <w:pPr>
              <w:rPr>
                <w:rFonts w:cstheme="minorHAnsi"/>
              </w:rPr>
            </w:pPr>
            <w:r w:rsidRPr="004E203D">
              <w:rPr>
                <w:rFonts w:cstheme="minorHAnsi"/>
              </w:rPr>
              <w:t>A</w:t>
            </w:r>
            <w:r w:rsidRPr="008F4079">
              <w:rPr>
                <w:rFonts w:cstheme="minorHAnsi"/>
              </w:rPr>
              <w:t xml:space="preserve"> significant proportion of children receiving IVI</w:t>
            </w:r>
            <w:r>
              <w:rPr>
                <w:rFonts w:cstheme="minorHAnsi"/>
              </w:rPr>
              <w:t>g</w:t>
            </w:r>
            <w:r w:rsidRPr="008F4079">
              <w:rPr>
                <w:rFonts w:cstheme="minorHAnsi"/>
              </w:rPr>
              <w:t xml:space="preserve"> have autoimmune CNS demyelination (n=36). </w:t>
            </w:r>
            <w:r w:rsidRPr="004E203D">
              <w:rPr>
                <w:rFonts w:cstheme="minorHAnsi"/>
              </w:rPr>
              <w:t>The</w:t>
            </w:r>
            <w:r>
              <w:rPr>
                <w:rFonts w:cstheme="minorHAnsi"/>
              </w:rPr>
              <w:t xml:space="preserve"> research team aimed to</w:t>
            </w:r>
            <w:r w:rsidRPr="008F4079" w:rsidDel="006E626C">
              <w:rPr>
                <w:rFonts w:cstheme="minorHAnsi"/>
              </w:rPr>
              <w:t xml:space="preserve"> </w:t>
            </w:r>
            <w:r w:rsidRPr="008F4079">
              <w:rPr>
                <w:rFonts w:cstheme="minorHAnsi"/>
              </w:rPr>
              <w:t>perform detailed analysis of these patients to determine if IVI</w:t>
            </w:r>
            <w:r>
              <w:rPr>
                <w:rFonts w:cstheme="minorHAnsi"/>
              </w:rPr>
              <w:t>g</w:t>
            </w:r>
            <w:r w:rsidRPr="008F4079">
              <w:rPr>
                <w:rFonts w:cstheme="minorHAnsi"/>
              </w:rPr>
              <w:t xml:space="preserve"> provides additional benefit to ‘steroids only’ which is considered the standard of care in the treatment of acute CNS demyelination. It is recognised that some patients with CNS demyelination do not adequately respond to steroids, and IVI</w:t>
            </w:r>
            <w:r>
              <w:rPr>
                <w:rFonts w:cstheme="minorHAnsi"/>
              </w:rPr>
              <w:t>g</w:t>
            </w:r>
            <w:r w:rsidRPr="008F4079">
              <w:rPr>
                <w:rFonts w:cstheme="minorHAnsi"/>
              </w:rPr>
              <w:t xml:space="preserve"> or plasma exchange is typically used. This subgroup analysis </w:t>
            </w:r>
            <w:r w:rsidRPr="004E203D">
              <w:rPr>
                <w:rFonts w:cstheme="minorHAnsi"/>
              </w:rPr>
              <w:t>w</w:t>
            </w:r>
            <w:r>
              <w:rPr>
                <w:rFonts w:cstheme="minorHAnsi"/>
              </w:rPr>
              <w:t xml:space="preserve">ould </w:t>
            </w:r>
            <w:r w:rsidRPr="008F4079">
              <w:rPr>
                <w:rFonts w:cstheme="minorHAnsi"/>
              </w:rPr>
              <w:t xml:space="preserve">identify specific questions that </w:t>
            </w:r>
            <w:r w:rsidRPr="004E203D">
              <w:rPr>
                <w:rFonts w:cstheme="minorHAnsi"/>
              </w:rPr>
              <w:t>w</w:t>
            </w:r>
            <w:r>
              <w:rPr>
                <w:rFonts w:cstheme="minorHAnsi"/>
              </w:rPr>
              <w:t xml:space="preserve">ould </w:t>
            </w:r>
            <w:r w:rsidRPr="004E203D">
              <w:rPr>
                <w:rFonts w:cstheme="minorHAnsi"/>
              </w:rPr>
              <w:t>lead</w:t>
            </w:r>
            <w:r>
              <w:rPr>
                <w:rFonts w:cstheme="minorHAnsi"/>
              </w:rPr>
              <w:t xml:space="preserve"> to</w:t>
            </w:r>
            <w:r w:rsidRPr="008F4079">
              <w:rPr>
                <w:rFonts w:cstheme="minorHAnsi"/>
              </w:rPr>
              <w:t xml:space="preserve"> a large national paediatric study </w:t>
            </w:r>
            <w:r w:rsidRPr="004E203D">
              <w:rPr>
                <w:rFonts w:cstheme="minorHAnsi"/>
              </w:rPr>
              <w:t>into</w:t>
            </w:r>
            <w:r w:rsidRPr="008F4079">
              <w:rPr>
                <w:rFonts w:cstheme="minorHAnsi"/>
              </w:rPr>
              <w:t xml:space="preserve"> the use of IVI</w:t>
            </w:r>
            <w:r>
              <w:rPr>
                <w:rFonts w:cstheme="minorHAnsi"/>
              </w:rPr>
              <w:t>g</w:t>
            </w:r>
            <w:r w:rsidRPr="008F4079">
              <w:rPr>
                <w:rFonts w:cstheme="minorHAnsi"/>
              </w:rPr>
              <w:t xml:space="preserve"> in paediatric CNS demyelination. </w:t>
            </w:r>
          </w:p>
          <w:p w14:paraId="2B766053" w14:textId="77777777" w:rsidR="00965187" w:rsidRPr="008F4079" w:rsidRDefault="00965187" w:rsidP="00A264CD">
            <w:pPr>
              <w:rPr>
                <w:rFonts w:cstheme="minorHAnsi"/>
              </w:rPr>
            </w:pPr>
          </w:p>
        </w:tc>
        <w:tc>
          <w:tcPr>
            <w:tcW w:w="41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564986A1" w14:textId="749543EE" w:rsidR="00965187" w:rsidRPr="004E203D" w:rsidRDefault="001F59A2" w:rsidP="00BE216E">
            <w:pPr>
              <w:spacing w:before="100" w:beforeAutospacing="1" w:after="100" w:afterAutospacing="1" w:line="240" w:lineRule="auto"/>
              <w:ind w:left="138"/>
              <w:rPr>
                <w:rFonts w:eastAsiaTheme="minorEastAsia" w:cstheme="minorHAnsi"/>
                <w:color w:val="161616"/>
                <w:spacing w:val="3"/>
                <w:lang w:eastAsia="en-AU"/>
              </w:rPr>
            </w:pPr>
            <w:hyperlink r:id="rId35" w:tgtFrame="_blank" w:history="1">
              <w:r w:rsidR="00965187" w:rsidRPr="004E203D">
                <w:rPr>
                  <w:rFonts w:eastAsiaTheme="minorEastAsia" w:cstheme="minorHAnsi"/>
                  <w:color w:val="0000FF"/>
                  <w:spacing w:val="4"/>
                  <w:u w:val="single"/>
                  <w:lang w:eastAsia="en-AU"/>
                </w:rPr>
                <w:t>Intravenous immunoglobulin in paediatric neurology: safety, adherence to guidelines, and long-term outcome</w:t>
              </w:r>
            </w:hyperlink>
          </w:p>
          <w:p w14:paraId="5DBEB42A" w14:textId="77777777" w:rsidR="00965187" w:rsidRPr="004E203D" w:rsidRDefault="001F59A2" w:rsidP="00A264CD">
            <w:pPr>
              <w:spacing w:before="100" w:beforeAutospacing="1" w:after="100" w:afterAutospacing="1" w:line="240" w:lineRule="auto"/>
              <w:ind w:left="138"/>
              <w:rPr>
                <w:rFonts w:eastAsiaTheme="minorEastAsia" w:cstheme="minorHAnsi"/>
                <w:color w:val="161616"/>
                <w:spacing w:val="3"/>
                <w:lang w:eastAsia="en-AU"/>
              </w:rPr>
            </w:pPr>
            <w:hyperlink r:id="rId36" w:tgtFrame="_blank" w:history="1">
              <w:r w:rsidR="00965187" w:rsidRPr="004E203D">
                <w:rPr>
                  <w:rFonts w:eastAsiaTheme="minorEastAsia" w:cstheme="minorHAnsi"/>
                  <w:color w:val="0000FF"/>
                  <w:spacing w:val="4"/>
                  <w:u w:val="single"/>
                  <w:lang w:eastAsia="en-AU"/>
                </w:rPr>
                <w:t xml:space="preserve">Clinical course, therapeutic </w:t>
              </w:r>
              <w:proofErr w:type="gramStart"/>
              <w:r w:rsidR="00965187" w:rsidRPr="004E203D">
                <w:rPr>
                  <w:rFonts w:eastAsiaTheme="minorEastAsia" w:cstheme="minorHAnsi"/>
                  <w:color w:val="0000FF"/>
                  <w:spacing w:val="4"/>
                  <w:u w:val="single"/>
                  <w:lang w:eastAsia="en-AU"/>
                </w:rPr>
                <w:t>responses</w:t>
              </w:r>
              <w:proofErr w:type="gramEnd"/>
              <w:r w:rsidR="00965187" w:rsidRPr="004E203D">
                <w:rPr>
                  <w:rFonts w:eastAsiaTheme="minorEastAsia" w:cstheme="minorHAnsi"/>
                  <w:color w:val="0000FF"/>
                  <w:spacing w:val="4"/>
                  <w:u w:val="single"/>
                  <w:lang w:eastAsia="en-AU"/>
                </w:rPr>
                <w:t xml:space="preserve"> and outcomes in relapsing MOG antibody-associated demyelination</w:t>
              </w:r>
            </w:hyperlink>
          </w:p>
          <w:p w14:paraId="78129BC0" w14:textId="77777777" w:rsidR="00965187" w:rsidRDefault="00965187" w:rsidP="00A264CD">
            <w:pPr>
              <w:spacing w:before="100" w:beforeAutospacing="1" w:after="100" w:afterAutospacing="1" w:line="240" w:lineRule="auto"/>
              <w:ind w:left="138"/>
            </w:pPr>
          </w:p>
        </w:tc>
      </w:tr>
      <w:tr w:rsidR="00965187" w:rsidRPr="008F4079" w14:paraId="44D7CD77" w14:textId="77777777" w:rsidTr="00BE216E">
        <w:trPr>
          <w:trHeight w:val="592"/>
        </w:trPr>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hideMark/>
          </w:tcPr>
          <w:p w14:paraId="54BDA55A" w14:textId="77777777" w:rsidR="00965187" w:rsidRPr="008F4079" w:rsidRDefault="00965187" w:rsidP="00A264CD">
            <w:pPr>
              <w:rPr>
                <w:rFonts w:cstheme="minorHAnsi"/>
                <w:b/>
                <w:bCs/>
              </w:rPr>
            </w:pPr>
            <w:r w:rsidRPr="008F4079">
              <w:rPr>
                <w:rFonts w:cstheme="minorHAnsi"/>
                <w:b/>
                <w:bCs/>
              </w:rPr>
              <w:t>Patient Blood management Early Career Research Grant (Scholarship)</w:t>
            </w:r>
          </w:p>
        </w:tc>
        <w:tc>
          <w:tcPr>
            <w:tcW w:w="212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hideMark/>
          </w:tcPr>
          <w:p w14:paraId="0A7D5387" w14:textId="77777777" w:rsidR="00965187" w:rsidRPr="008F4079" w:rsidRDefault="00965187" w:rsidP="00A264CD">
            <w:pPr>
              <w:rPr>
                <w:rFonts w:cstheme="minorHAnsi"/>
              </w:rPr>
            </w:pPr>
            <w:r w:rsidRPr="008F4079">
              <w:rPr>
                <w:rFonts w:cstheme="minorHAnsi"/>
              </w:rPr>
              <w:t>A series of studies on a new clotting test in pregnant women to optimise the management of bleeding</w:t>
            </w:r>
          </w:p>
        </w:tc>
        <w:tc>
          <w:tcPr>
            <w:tcW w:w="17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hideMark/>
          </w:tcPr>
          <w:p w14:paraId="04FA0FC1" w14:textId="77777777" w:rsidR="00965187" w:rsidRPr="008F4079" w:rsidRDefault="00965187" w:rsidP="00A264CD">
            <w:pPr>
              <w:rPr>
                <w:rFonts w:cstheme="minorHAnsi"/>
              </w:rPr>
            </w:pPr>
            <w:r w:rsidRPr="008F4079">
              <w:rPr>
                <w:rFonts w:cstheme="minorHAnsi"/>
              </w:rPr>
              <w:t>The University of Queensland</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hideMark/>
          </w:tcPr>
          <w:p w14:paraId="083B0AF3" w14:textId="77777777" w:rsidR="00965187" w:rsidRPr="008F4079" w:rsidRDefault="00965187" w:rsidP="00A264CD">
            <w:pPr>
              <w:rPr>
                <w:rFonts w:cstheme="minorHAnsi"/>
              </w:rPr>
            </w:pPr>
            <w:r w:rsidRPr="008F4079">
              <w:rPr>
                <w:rFonts w:cstheme="minorHAnsi"/>
              </w:rPr>
              <w:t>$33,000.00</w:t>
            </w:r>
          </w:p>
        </w:tc>
        <w:tc>
          <w:tcPr>
            <w:tcW w:w="141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hideMark/>
          </w:tcPr>
          <w:p w14:paraId="5C1FC9B8" w14:textId="77777777" w:rsidR="00965187" w:rsidRPr="008F4079" w:rsidRDefault="00965187" w:rsidP="00A264CD">
            <w:pPr>
              <w:rPr>
                <w:rFonts w:cstheme="minorHAnsi"/>
              </w:rPr>
            </w:pPr>
            <w:r w:rsidRPr="008F4079">
              <w:rPr>
                <w:rFonts w:cstheme="minorHAnsi"/>
              </w:rPr>
              <w:t>Dr Julie Lee</w:t>
            </w:r>
          </w:p>
        </w:tc>
        <w:tc>
          <w:tcPr>
            <w:tcW w:w="382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4A8A6F96" w14:textId="77777777" w:rsidR="00965187" w:rsidRPr="004E203D" w:rsidRDefault="00965187" w:rsidP="00A264CD">
            <w:pPr>
              <w:keepNext/>
              <w:spacing w:after="200" w:line="276" w:lineRule="auto"/>
              <w:ind w:left="146"/>
              <w:rPr>
                <w:rFonts w:cstheme="minorHAnsi"/>
              </w:rPr>
            </w:pPr>
            <w:r w:rsidRPr="004E203D">
              <w:rPr>
                <w:rFonts w:cstheme="minorHAnsi"/>
              </w:rPr>
              <w:t xml:space="preserve">1. To enable improved haemostasis management in the parturient by generating normal values for the obstetric population and by examining the correlation between ROTEM® parameters, transfusion requirements and the probability of PPH. </w:t>
            </w:r>
          </w:p>
          <w:p w14:paraId="3BE79BDE" w14:textId="77777777" w:rsidR="00965187" w:rsidRPr="004E203D" w:rsidRDefault="00965187" w:rsidP="00A264CD">
            <w:pPr>
              <w:keepNext/>
              <w:spacing w:after="200" w:line="276" w:lineRule="auto"/>
              <w:ind w:left="146"/>
              <w:rPr>
                <w:rFonts w:cstheme="minorHAnsi"/>
              </w:rPr>
            </w:pPr>
            <w:r w:rsidRPr="004E203D">
              <w:rPr>
                <w:rFonts w:cstheme="minorHAnsi"/>
              </w:rPr>
              <w:t xml:space="preserve">2. Associations between ROTEM® and transfusion requirement, estimated blood loss, and other outcomes </w:t>
            </w:r>
            <w:r>
              <w:rPr>
                <w:rFonts w:cstheme="minorHAnsi"/>
              </w:rPr>
              <w:t>for analysis</w:t>
            </w:r>
          </w:p>
          <w:p w14:paraId="3F536D57" w14:textId="77777777" w:rsidR="00965187" w:rsidRPr="004E203D" w:rsidRDefault="00965187" w:rsidP="00A264CD">
            <w:pPr>
              <w:keepNext/>
              <w:spacing w:after="200" w:line="276" w:lineRule="auto"/>
              <w:ind w:left="146"/>
              <w:rPr>
                <w:rFonts w:cstheme="minorHAnsi"/>
              </w:rPr>
            </w:pPr>
            <w:r w:rsidRPr="004E203D">
              <w:rPr>
                <w:rFonts w:cstheme="minorHAnsi"/>
              </w:rPr>
              <w:t xml:space="preserve">3. </w:t>
            </w:r>
            <w:r>
              <w:rPr>
                <w:rFonts w:cstheme="minorHAnsi"/>
              </w:rPr>
              <w:t>To examine t</w:t>
            </w:r>
            <w:r w:rsidRPr="004E203D">
              <w:rPr>
                <w:rFonts w:cstheme="minorHAnsi"/>
              </w:rPr>
              <w:t xml:space="preserve">he relationship between FIBTEM and fibrinogen in patients with abnormal coagulation or exposure to anticoagulant drugs. </w:t>
            </w:r>
          </w:p>
          <w:p w14:paraId="7E966656" w14:textId="77777777" w:rsidR="00965187" w:rsidRPr="004E203D" w:rsidRDefault="00965187" w:rsidP="00A264CD">
            <w:pPr>
              <w:keepNext/>
              <w:spacing w:after="200" w:line="276" w:lineRule="auto"/>
              <w:ind w:left="146"/>
              <w:rPr>
                <w:rFonts w:cstheme="minorHAnsi"/>
              </w:rPr>
            </w:pPr>
            <w:r w:rsidRPr="004E203D">
              <w:rPr>
                <w:rFonts w:cstheme="minorHAnsi"/>
              </w:rPr>
              <w:t xml:space="preserve">4. </w:t>
            </w:r>
            <w:r>
              <w:rPr>
                <w:rFonts w:cstheme="minorHAnsi"/>
              </w:rPr>
              <w:t>To t</w:t>
            </w:r>
            <w:r w:rsidRPr="004E203D">
              <w:rPr>
                <w:rFonts w:cstheme="minorHAnsi"/>
              </w:rPr>
              <w:t xml:space="preserve">est the hypothesis that ROTEM® Platelet can be used to assess the severity of platelet dysfunction in pre-eclamptic patients and that there is a utility for ROTEM® Platelet testing in women prior to the administration of regional anaesthesia or urgent delivery to reduce morbidity and mortality from post-partum haemorrhage. </w:t>
            </w:r>
          </w:p>
          <w:p w14:paraId="6AE0F93C" w14:textId="77777777" w:rsidR="00965187" w:rsidRPr="004E203D" w:rsidRDefault="00965187" w:rsidP="00A264CD">
            <w:pPr>
              <w:keepNext/>
              <w:spacing w:after="200" w:line="276" w:lineRule="auto"/>
              <w:ind w:left="146"/>
              <w:rPr>
                <w:rFonts w:cstheme="minorHAnsi"/>
              </w:rPr>
            </w:pPr>
            <w:r w:rsidRPr="004E203D">
              <w:rPr>
                <w:rFonts w:cstheme="minorHAnsi"/>
              </w:rPr>
              <w:t>This study aim</w:t>
            </w:r>
            <w:r>
              <w:rPr>
                <w:rFonts w:cstheme="minorHAnsi"/>
              </w:rPr>
              <w:t>ed</w:t>
            </w:r>
            <w:r w:rsidRPr="004E203D">
              <w:rPr>
                <w:rFonts w:cstheme="minorHAnsi"/>
              </w:rPr>
              <w:t xml:space="preserve"> to quantify the changes in platelet function and aggregation in women with preeclampsia and this w</w:t>
            </w:r>
            <w:r>
              <w:rPr>
                <w:rFonts w:cstheme="minorHAnsi"/>
              </w:rPr>
              <w:t>ould</w:t>
            </w:r>
            <w:r w:rsidRPr="004E203D">
              <w:rPr>
                <w:rFonts w:cstheme="minorHAnsi"/>
              </w:rPr>
              <w:t xml:space="preserve"> be </w:t>
            </w:r>
            <w:r w:rsidRPr="004E203D">
              <w:rPr>
                <w:rFonts w:cstheme="minorHAnsi"/>
              </w:rPr>
              <w:lastRenderedPageBreak/>
              <w:t xml:space="preserve">correlated to the platelet count and standard coagulation profile with data collected on demographics, medication history, gestation, delivery outcomes, severity of pre-eclampsia, transfusion requirement, whether an MTP was activated, treatment instituted for pre-eclampsia and neonatal outcomes. </w:t>
            </w:r>
          </w:p>
          <w:p w14:paraId="53C666B6" w14:textId="77777777" w:rsidR="00965187" w:rsidRPr="004E203D" w:rsidRDefault="00965187" w:rsidP="00A264CD">
            <w:pPr>
              <w:keepNext/>
              <w:spacing w:after="200" w:line="276" w:lineRule="auto"/>
              <w:ind w:left="146"/>
              <w:rPr>
                <w:rFonts w:cstheme="minorHAnsi"/>
              </w:rPr>
            </w:pPr>
            <w:r w:rsidRPr="004E203D">
              <w:rPr>
                <w:rFonts w:cstheme="minorHAnsi"/>
              </w:rPr>
              <w:t xml:space="preserve">5. The focus of the audit was to compare the amount and distribution of blood products used intra-operatively pre- and post-implementation of ROTEM® </w:t>
            </w:r>
            <w:proofErr w:type="spellStart"/>
            <w:r w:rsidRPr="004E203D">
              <w:rPr>
                <w:rFonts w:cstheme="minorHAnsi"/>
              </w:rPr>
              <w:t>thromboelastometry</w:t>
            </w:r>
            <w:proofErr w:type="spellEnd"/>
            <w:r w:rsidRPr="004E203D">
              <w:rPr>
                <w:rFonts w:cstheme="minorHAnsi"/>
              </w:rPr>
              <w:t xml:space="preserve"> and to identify the type of procedures requiring blood transfusions, whether it was elective or emergency surgery, the use of ICS and MTP intra-operatively and whether or not ROTEM® was utilised to guide the transfusion of blood products</w:t>
            </w:r>
          </w:p>
        </w:tc>
        <w:tc>
          <w:tcPr>
            <w:tcW w:w="666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Mar>
              <w:top w:w="72" w:type="dxa"/>
              <w:left w:w="144" w:type="dxa"/>
              <w:bottom w:w="72" w:type="dxa"/>
              <w:right w:w="144" w:type="dxa"/>
            </w:tcMar>
            <w:hideMark/>
          </w:tcPr>
          <w:p w14:paraId="7D5F2DF4" w14:textId="77777777" w:rsidR="00965187" w:rsidRPr="008F4079" w:rsidRDefault="00965187" w:rsidP="00A264CD">
            <w:pPr>
              <w:rPr>
                <w:rFonts w:cstheme="minorHAnsi"/>
              </w:rPr>
            </w:pPr>
            <w:r w:rsidRPr="008F4079">
              <w:rPr>
                <w:rFonts w:cstheme="minorHAnsi"/>
              </w:rPr>
              <w:lastRenderedPageBreak/>
              <w:t xml:space="preserve">Rotational </w:t>
            </w:r>
            <w:proofErr w:type="spellStart"/>
            <w:r w:rsidRPr="008F4079">
              <w:rPr>
                <w:rFonts w:cstheme="minorHAnsi"/>
              </w:rPr>
              <w:t>thromboelastometry</w:t>
            </w:r>
            <w:proofErr w:type="spellEnd"/>
            <w:r w:rsidRPr="008F4079">
              <w:rPr>
                <w:rFonts w:cstheme="minorHAnsi"/>
              </w:rPr>
              <w:t xml:space="preserve"> (ROTEM</w:t>
            </w:r>
            <w:r w:rsidRPr="004E203D">
              <w:rPr>
                <w:rFonts w:cstheme="minorHAnsi"/>
              </w:rPr>
              <w:t>®)</w:t>
            </w:r>
            <w:r w:rsidRPr="008F4079">
              <w:rPr>
                <w:rFonts w:cstheme="minorHAnsi"/>
              </w:rPr>
              <w:t xml:space="preserve"> is a point-of-care diagnostic device which provides rapid and specific clotting assessment. The use of ROTEM® is well established in liver and open-heart surgery, but not yet in the obstetric setting. </w:t>
            </w:r>
          </w:p>
          <w:p w14:paraId="4772E1AD" w14:textId="77777777" w:rsidR="00965187" w:rsidRPr="008F4079" w:rsidRDefault="00965187" w:rsidP="00A264CD">
            <w:pPr>
              <w:rPr>
                <w:rFonts w:cstheme="minorHAnsi"/>
              </w:rPr>
            </w:pPr>
            <w:r w:rsidRPr="008F4079">
              <w:rPr>
                <w:rFonts w:cstheme="minorHAnsi"/>
              </w:rPr>
              <w:t xml:space="preserve">There is increasing use of ROTEM® for the monitoring of clotting in patients with massive haemorrhage, but there remains limited data on reference ranges in uncomplicated pregnancies and subsequently limited understanding of the effect of complicated pregnancies on ROTEM® interpretation. </w:t>
            </w:r>
          </w:p>
          <w:p w14:paraId="1D488364" w14:textId="77777777" w:rsidR="00965187" w:rsidRPr="008F4079" w:rsidRDefault="00965187" w:rsidP="00A264CD">
            <w:pPr>
              <w:rPr>
                <w:rFonts w:cstheme="minorHAnsi"/>
              </w:rPr>
            </w:pPr>
            <w:r w:rsidRPr="008F4079">
              <w:rPr>
                <w:rFonts w:cstheme="minorHAnsi"/>
              </w:rPr>
              <w:t xml:space="preserve">In this project, ROTEM® values </w:t>
            </w:r>
            <w:r w:rsidRPr="004E203D">
              <w:rPr>
                <w:rFonts w:cstheme="minorHAnsi"/>
              </w:rPr>
              <w:t>w</w:t>
            </w:r>
            <w:r>
              <w:rPr>
                <w:rFonts w:cstheme="minorHAnsi"/>
              </w:rPr>
              <w:t>ould</w:t>
            </w:r>
            <w:r w:rsidRPr="008F4079">
              <w:rPr>
                <w:rFonts w:cstheme="minorHAnsi"/>
              </w:rPr>
              <w:t xml:space="preserve"> be obtained from women presenting to the labour ward and from patients presenting for an elective Caesarean section. A ROTEM® sample of 3.5mL of blood </w:t>
            </w:r>
            <w:r w:rsidRPr="004E203D">
              <w:rPr>
                <w:rFonts w:cstheme="minorHAnsi"/>
              </w:rPr>
              <w:t>w</w:t>
            </w:r>
            <w:r>
              <w:rPr>
                <w:rFonts w:cstheme="minorHAnsi"/>
              </w:rPr>
              <w:t xml:space="preserve">ould </w:t>
            </w:r>
            <w:r w:rsidRPr="008F4079">
              <w:rPr>
                <w:rFonts w:cstheme="minorHAnsi"/>
              </w:rPr>
              <w:t xml:space="preserve">be obtained to process the standard ROTEM® panel. Standard coagulation profiles </w:t>
            </w:r>
            <w:r w:rsidRPr="004E203D">
              <w:rPr>
                <w:rFonts w:cstheme="minorHAnsi"/>
              </w:rPr>
              <w:t>w</w:t>
            </w:r>
            <w:r>
              <w:rPr>
                <w:rFonts w:cstheme="minorHAnsi"/>
              </w:rPr>
              <w:t>ould</w:t>
            </w:r>
            <w:r w:rsidRPr="008F4079">
              <w:rPr>
                <w:rFonts w:cstheme="minorHAnsi"/>
              </w:rPr>
              <w:t xml:space="preserve"> be taken for patients with complicated pregnancies to allow correlation with ROTEM® values. Complicated pregnancies </w:t>
            </w:r>
            <w:r w:rsidRPr="004E203D">
              <w:rPr>
                <w:rFonts w:cstheme="minorHAnsi"/>
              </w:rPr>
              <w:t>w</w:t>
            </w:r>
            <w:r>
              <w:rPr>
                <w:rFonts w:cstheme="minorHAnsi"/>
              </w:rPr>
              <w:t>ould</w:t>
            </w:r>
            <w:r w:rsidRPr="008F4079">
              <w:rPr>
                <w:rFonts w:cstheme="minorHAnsi"/>
              </w:rPr>
              <w:t xml:space="preserve"> include patients with pre-existing clotting disorders and all pregnancy-related conditions. </w:t>
            </w:r>
          </w:p>
          <w:p w14:paraId="01E54921" w14:textId="77777777" w:rsidR="00965187" w:rsidRPr="008F4079" w:rsidRDefault="00965187" w:rsidP="00A264CD">
            <w:pPr>
              <w:rPr>
                <w:rFonts w:cstheme="minorHAnsi"/>
              </w:rPr>
            </w:pPr>
            <w:r w:rsidRPr="008F4079">
              <w:rPr>
                <w:rFonts w:cstheme="minorHAnsi"/>
              </w:rPr>
              <w:t xml:space="preserve">Previous small-scale studies have reported ROTEM® values in non-pregnant women, normal pregnancies, postpartum and in active labour, but not in obstetric patients with pre-eclampsia, pregnancy-induced low platelets, liver disease, blood clotting disorders or other pathologies. Pre-eclampsia is a pregnancy-specific syndrome associated with low platelet count and platelet dysfunction. ROTEM® Platelet is a new module for platelet function testing which </w:t>
            </w:r>
            <w:r w:rsidRPr="004E203D">
              <w:rPr>
                <w:rFonts w:cstheme="minorHAnsi"/>
              </w:rPr>
              <w:t>w</w:t>
            </w:r>
            <w:r>
              <w:rPr>
                <w:rFonts w:cstheme="minorHAnsi"/>
              </w:rPr>
              <w:t>ould</w:t>
            </w:r>
            <w:r w:rsidRPr="008F4079">
              <w:rPr>
                <w:rFonts w:cstheme="minorHAnsi"/>
              </w:rPr>
              <w:t xml:space="preserve"> be available in late 2016. This third study </w:t>
            </w:r>
            <w:r w:rsidRPr="004E203D">
              <w:rPr>
                <w:rFonts w:cstheme="minorHAnsi"/>
              </w:rPr>
              <w:t>w</w:t>
            </w:r>
            <w:r>
              <w:rPr>
                <w:rFonts w:cstheme="minorHAnsi"/>
              </w:rPr>
              <w:t>ould</w:t>
            </w:r>
            <w:r w:rsidRPr="008F4079">
              <w:rPr>
                <w:rFonts w:cstheme="minorHAnsi"/>
              </w:rPr>
              <w:t xml:space="preserve"> also analyse platelet function in obstetric patients presenting with pre-eclampsia. These values </w:t>
            </w:r>
            <w:r w:rsidRPr="004E203D">
              <w:rPr>
                <w:rFonts w:cstheme="minorHAnsi"/>
              </w:rPr>
              <w:t>w</w:t>
            </w:r>
            <w:r>
              <w:rPr>
                <w:rFonts w:cstheme="minorHAnsi"/>
              </w:rPr>
              <w:t>ould</w:t>
            </w:r>
            <w:r w:rsidRPr="008F4079">
              <w:rPr>
                <w:rFonts w:cstheme="minorHAnsi"/>
              </w:rPr>
              <w:t xml:space="preserve"> be compared with published reference ranges to further the understanding of clotting changes in complicated pregnancies, in order to enable improved blood transfusion management in the pre-eclamptic patient. ROTEM® Platelet values </w:t>
            </w:r>
            <w:r w:rsidRPr="004E203D">
              <w:rPr>
                <w:rFonts w:cstheme="minorHAnsi"/>
              </w:rPr>
              <w:t>w</w:t>
            </w:r>
            <w:r>
              <w:rPr>
                <w:rFonts w:cstheme="minorHAnsi"/>
              </w:rPr>
              <w:t>ould</w:t>
            </w:r>
            <w:r w:rsidRPr="008F4079">
              <w:rPr>
                <w:rFonts w:cstheme="minorHAnsi"/>
              </w:rPr>
              <w:t xml:space="preserve"> be obtained from labouring women presenting to the labour ward with pre-eclampsia. </w:t>
            </w:r>
            <w:r w:rsidRPr="008F4079">
              <w:rPr>
                <w:rFonts w:cstheme="minorHAnsi"/>
              </w:rPr>
              <w:lastRenderedPageBreak/>
              <w:t xml:space="preserve">Standard coagulation profiles </w:t>
            </w:r>
            <w:r w:rsidRPr="004E203D">
              <w:rPr>
                <w:rFonts w:cstheme="minorHAnsi"/>
              </w:rPr>
              <w:t>w</w:t>
            </w:r>
            <w:r>
              <w:rPr>
                <w:rFonts w:cstheme="minorHAnsi"/>
              </w:rPr>
              <w:t>ould</w:t>
            </w:r>
            <w:r w:rsidRPr="008F4079">
              <w:rPr>
                <w:rFonts w:cstheme="minorHAnsi"/>
              </w:rPr>
              <w:t xml:space="preserve"> be taken for these patients to allow correlation with ROTEM® values. These patients routinely have a full blood count performed upon presentation to the labour ward, which would include a platelet count. These platelet count results </w:t>
            </w:r>
            <w:r w:rsidRPr="004E203D">
              <w:rPr>
                <w:rFonts w:cstheme="minorHAnsi"/>
              </w:rPr>
              <w:t>w</w:t>
            </w:r>
            <w:r>
              <w:rPr>
                <w:rFonts w:cstheme="minorHAnsi"/>
              </w:rPr>
              <w:t>ould</w:t>
            </w:r>
            <w:r w:rsidRPr="008F4079">
              <w:rPr>
                <w:rFonts w:cstheme="minorHAnsi"/>
              </w:rPr>
              <w:t xml:space="preserve"> be retrieved from the laboratory database to also correlate with the ROTEM® Platelet results.</w:t>
            </w:r>
          </w:p>
          <w:p w14:paraId="54333A7F" w14:textId="77777777" w:rsidR="00965187" w:rsidRPr="008F4079" w:rsidRDefault="00965187" w:rsidP="00A264CD">
            <w:pPr>
              <w:rPr>
                <w:rFonts w:cstheme="minorHAnsi"/>
              </w:rPr>
            </w:pPr>
            <w:r w:rsidRPr="008F4079">
              <w:rPr>
                <w:rFonts w:cstheme="minorHAnsi"/>
              </w:rPr>
              <w:t xml:space="preserve">These three prospective observational studies </w:t>
            </w:r>
            <w:r w:rsidRPr="004E203D">
              <w:rPr>
                <w:rFonts w:cstheme="minorHAnsi"/>
              </w:rPr>
              <w:t>aim</w:t>
            </w:r>
            <w:r>
              <w:rPr>
                <w:rFonts w:cstheme="minorHAnsi"/>
              </w:rPr>
              <w:t>ed</w:t>
            </w:r>
            <w:r w:rsidRPr="008F4079">
              <w:rPr>
                <w:rFonts w:cstheme="minorHAnsi"/>
              </w:rPr>
              <w:t xml:space="preserve"> to add to the current knowledge and enable improved blood transfusion management in the pregnant patient by generating normal values for the obstetric population and by examining the correlation between ROTEM® parameters, transfusion requirements and the probability of severe bleeding following childbirth. There exists a gap in evidence to be filled by these proposed studies in the field of transfusion medicine, which can potentially benefit the obstetric population and lead to optimisation of blood transfusion practices. ROTEM® values can be derived within minutes and are potentially useful for guiding rapid transfusion management. Where test results are not derived within a reasonable </w:t>
            </w:r>
            <w:proofErr w:type="gramStart"/>
            <w:r w:rsidRPr="008F4079">
              <w:rPr>
                <w:rFonts w:cstheme="minorHAnsi"/>
              </w:rPr>
              <w:t>time-frame</w:t>
            </w:r>
            <w:proofErr w:type="gramEnd"/>
            <w:r w:rsidRPr="008F4079">
              <w:rPr>
                <w:rFonts w:cstheme="minorHAnsi"/>
              </w:rPr>
              <w:t>, unnecessary or inappropriate transfusion of blood products may occur and this can be prevented with the use of ROTEM®, the more rapid test.</w:t>
            </w:r>
          </w:p>
          <w:p w14:paraId="4C580D3A" w14:textId="77777777" w:rsidR="00965187" w:rsidRPr="008F4079" w:rsidRDefault="00965187" w:rsidP="00A264CD">
            <w:pPr>
              <w:rPr>
                <w:rFonts w:cstheme="minorHAnsi"/>
              </w:rPr>
            </w:pPr>
          </w:p>
        </w:tc>
        <w:tc>
          <w:tcPr>
            <w:tcW w:w="411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4DAC8B9D" w14:textId="1D5BE92A" w:rsidR="00965187" w:rsidRPr="00BE216E" w:rsidRDefault="001F59A2" w:rsidP="00BE216E">
            <w:pPr>
              <w:spacing w:before="100" w:beforeAutospacing="1" w:after="100" w:afterAutospacing="1" w:line="240" w:lineRule="auto"/>
              <w:ind w:left="138"/>
              <w:rPr>
                <w:rFonts w:eastAsiaTheme="minorEastAsia" w:cstheme="minorHAnsi"/>
                <w:color w:val="0000FF"/>
                <w:spacing w:val="4"/>
                <w:u w:val="single"/>
                <w:lang w:eastAsia="en-AU"/>
              </w:rPr>
            </w:pPr>
            <w:hyperlink r:id="rId37" w:tgtFrame="_blank" w:history="1">
              <w:r w:rsidR="00965187" w:rsidRPr="00BE216E">
                <w:rPr>
                  <w:rFonts w:eastAsiaTheme="minorEastAsia" w:cstheme="minorHAnsi"/>
                  <w:color w:val="0000FF"/>
                  <w:spacing w:val="4"/>
                  <w:u w:val="single"/>
                  <w:lang w:eastAsia="en-AU"/>
                </w:rPr>
                <w:t xml:space="preserve">The influence of obesity on coagulation in healthy term pregnancy as assessed by rotational </w:t>
              </w:r>
              <w:proofErr w:type="spellStart"/>
              <w:r w:rsidR="00965187" w:rsidRPr="00BE216E">
                <w:rPr>
                  <w:rFonts w:eastAsiaTheme="minorEastAsia" w:cstheme="minorHAnsi"/>
                  <w:color w:val="0000FF"/>
                  <w:spacing w:val="4"/>
                  <w:u w:val="single"/>
                  <w:lang w:eastAsia="en-AU"/>
                </w:rPr>
                <w:t>thromboelastometry</w:t>
              </w:r>
              <w:proofErr w:type="spellEnd"/>
            </w:hyperlink>
          </w:p>
          <w:p w14:paraId="71CBC566" w14:textId="6A0CB2B8" w:rsidR="00965187" w:rsidRPr="00BE216E" w:rsidRDefault="001F59A2" w:rsidP="00BE216E">
            <w:pPr>
              <w:spacing w:before="100" w:beforeAutospacing="1" w:after="100" w:afterAutospacing="1" w:line="240" w:lineRule="auto"/>
              <w:ind w:left="138"/>
              <w:rPr>
                <w:rFonts w:eastAsiaTheme="minorEastAsia" w:cstheme="minorHAnsi"/>
                <w:color w:val="0000FF"/>
                <w:spacing w:val="4"/>
                <w:u w:val="single"/>
                <w:lang w:eastAsia="en-AU"/>
              </w:rPr>
            </w:pPr>
            <w:hyperlink r:id="rId38" w:tgtFrame="_blank" w:history="1">
              <w:r w:rsidR="00965187" w:rsidRPr="00BE216E">
                <w:rPr>
                  <w:rFonts w:eastAsiaTheme="minorEastAsia" w:cstheme="minorHAnsi"/>
                  <w:color w:val="0000FF"/>
                  <w:spacing w:val="4"/>
                  <w:u w:val="single"/>
                  <w:lang w:eastAsia="en-AU"/>
                </w:rPr>
                <w:t xml:space="preserve">Baseline parameters for rotational </w:t>
              </w:r>
              <w:proofErr w:type="spellStart"/>
              <w:r w:rsidR="00965187" w:rsidRPr="00BE216E">
                <w:rPr>
                  <w:rFonts w:eastAsiaTheme="minorEastAsia" w:cstheme="minorHAnsi"/>
                  <w:color w:val="0000FF"/>
                  <w:spacing w:val="4"/>
                  <w:u w:val="single"/>
                  <w:lang w:eastAsia="en-AU"/>
                </w:rPr>
                <w:t>thromboelastometry</w:t>
              </w:r>
              <w:proofErr w:type="spellEnd"/>
              <w:r w:rsidR="00965187" w:rsidRPr="00BE216E">
                <w:rPr>
                  <w:rFonts w:eastAsiaTheme="minorEastAsia" w:cstheme="minorHAnsi"/>
                  <w:color w:val="0000FF"/>
                  <w:spacing w:val="4"/>
                  <w:u w:val="single"/>
                  <w:lang w:eastAsia="en-AU"/>
                </w:rPr>
                <w:t xml:space="preserve"> in healthy labouring women: a prospective observational study</w:t>
              </w:r>
            </w:hyperlink>
          </w:p>
          <w:p w14:paraId="687D0BEF" w14:textId="04311B1C" w:rsidR="00965187" w:rsidRPr="00BE216E" w:rsidRDefault="001F59A2" w:rsidP="00BE216E">
            <w:pPr>
              <w:spacing w:before="100" w:beforeAutospacing="1" w:after="100" w:afterAutospacing="1" w:line="240" w:lineRule="auto"/>
              <w:ind w:left="138"/>
              <w:rPr>
                <w:rFonts w:eastAsiaTheme="minorEastAsia" w:cstheme="minorHAnsi"/>
                <w:color w:val="0000FF"/>
                <w:spacing w:val="4"/>
                <w:u w:val="single"/>
                <w:lang w:eastAsia="en-AU"/>
              </w:rPr>
            </w:pPr>
            <w:hyperlink r:id="rId39" w:tgtFrame="_blank" w:history="1">
              <w:r w:rsidR="00965187" w:rsidRPr="00BE216E">
                <w:rPr>
                  <w:rFonts w:eastAsiaTheme="minorEastAsia" w:cstheme="minorHAnsi"/>
                  <w:color w:val="0000FF"/>
                  <w:spacing w:val="4"/>
                  <w:u w:val="single"/>
                  <w:lang w:eastAsia="en-AU"/>
                </w:rPr>
                <w:t xml:space="preserve">Baseline parameters for rotational </w:t>
              </w:r>
              <w:proofErr w:type="spellStart"/>
              <w:r w:rsidR="00965187" w:rsidRPr="00BE216E">
                <w:rPr>
                  <w:rFonts w:eastAsiaTheme="minorEastAsia" w:cstheme="minorHAnsi"/>
                  <w:color w:val="0000FF"/>
                  <w:spacing w:val="4"/>
                  <w:u w:val="single"/>
                  <w:lang w:eastAsia="en-AU"/>
                </w:rPr>
                <w:t>thromboelastometry</w:t>
              </w:r>
              <w:proofErr w:type="spellEnd"/>
              <w:r w:rsidR="00965187" w:rsidRPr="00BE216E">
                <w:rPr>
                  <w:rFonts w:eastAsiaTheme="minorEastAsia" w:cstheme="minorHAnsi"/>
                  <w:color w:val="0000FF"/>
                  <w:spacing w:val="4"/>
                  <w:u w:val="single"/>
                  <w:lang w:eastAsia="en-AU"/>
                </w:rPr>
                <w:t xml:space="preserve"> (ROTEM¬Æ) in healthy pregnant Australian women: a comparison of labouring and non-labouring women at term</w:t>
              </w:r>
            </w:hyperlink>
          </w:p>
          <w:p w14:paraId="203FB32E" w14:textId="77777777" w:rsidR="00965187" w:rsidRPr="00BE216E" w:rsidRDefault="001F59A2" w:rsidP="00A264CD">
            <w:pPr>
              <w:spacing w:before="100" w:beforeAutospacing="1" w:after="100" w:afterAutospacing="1" w:line="240" w:lineRule="auto"/>
              <w:ind w:left="138"/>
              <w:rPr>
                <w:rFonts w:eastAsiaTheme="minorEastAsia" w:cstheme="minorHAnsi"/>
                <w:color w:val="0000FF"/>
                <w:spacing w:val="4"/>
                <w:u w:val="single"/>
                <w:lang w:eastAsia="en-AU"/>
              </w:rPr>
            </w:pPr>
            <w:hyperlink r:id="rId40" w:tgtFrame="_blank" w:history="1">
              <w:r w:rsidR="00965187" w:rsidRPr="00BE216E">
                <w:rPr>
                  <w:rFonts w:eastAsiaTheme="minorEastAsia" w:cstheme="minorHAnsi"/>
                  <w:color w:val="0000FF"/>
                  <w:spacing w:val="4"/>
                  <w:u w:val="single"/>
                  <w:lang w:eastAsia="en-AU"/>
                </w:rPr>
                <w:t xml:space="preserve">Baseline parameters for rotational </w:t>
              </w:r>
              <w:proofErr w:type="spellStart"/>
              <w:r w:rsidR="00965187" w:rsidRPr="00BE216E">
                <w:rPr>
                  <w:rFonts w:eastAsiaTheme="minorEastAsia" w:cstheme="minorHAnsi"/>
                  <w:color w:val="0000FF"/>
                  <w:spacing w:val="4"/>
                  <w:u w:val="single"/>
                  <w:lang w:eastAsia="en-AU"/>
                </w:rPr>
                <w:t>thromboelastometry</w:t>
              </w:r>
              <w:proofErr w:type="spellEnd"/>
              <w:r w:rsidR="00965187" w:rsidRPr="00BE216E">
                <w:rPr>
                  <w:rFonts w:eastAsiaTheme="minorEastAsia" w:cstheme="minorHAnsi"/>
                  <w:color w:val="0000FF"/>
                  <w:spacing w:val="4"/>
                  <w:u w:val="single"/>
                  <w:lang w:eastAsia="en-AU"/>
                </w:rPr>
                <w:t xml:space="preserve"> (ROTEM¬Æ) in healthy women undergoing elective caesarean delivery: a prospective observational study in Australia</w:t>
              </w:r>
            </w:hyperlink>
          </w:p>
          <w:p w14:paraId="46C9C001" w14:textId="77777777" w:rsidR="00965187" w:rsidRDefault="00965187" w:rsidP="00A264CD">
            <w:pPr>
              <w:spacing w:before="100" w:beforeAutospacing="1" w:after="100" w:afterAutospacing="1" w:line="240" w:lineRule="auto"/>
              <w:ind w:left="138"/>
            </w:pPr>
          </w:p>
        </w:tc>
      </w:tr>
    </w:tbl>
    <w:p w14:paraId="25F225AC" w14:textId="77777777" w:rsidR="00965187" w:rsidRPr="00210A4A" w:rsidRDefault="00965187" w:rsidP="00965187">
      <w:pPr>
        <w:rPr>
          <w:rFonts w:cstheme="minorHAnsi"/>
        </w:rPr>
      </w:pPr>
    </w:p>
    <w:p w14:paraId="559C1059" w14:textId="77777777" w:rsidR="00965187" w:rsidRDefault="00965187" w:rsidP="00965187">
      <w:pPr>
        <w:spacing w:after="0"/>
        <w:ind w:left="340"/>
      </w:pPr>
    </w:p>
    <w:p w14:paraId="5F2C1081" w14:textId="77777777" w:rsidR="00965187" w:rsidRDefault="00965187" w:rsidP="00965187">
      <w:pPr>
        <w:spacing w:after="0"/>
        <w:ind w:left="340"/>
      </w:pPr>
    </w:p>
    <w:p w14:paraId="38820D77" w14:textId="77777777" w:rsidR="00965187" w:rsidRDefault="00965187" w:rsidP="00965187">
      <w:pPr>
        <w:rPr>
          <w:rFonts w:cstheme="minorHAnsi"/>
          <w:b/>
          <w:bCs/>
          <w:sz w:val="28"/>
          <w:szCs w:val="28"/>
        </w:rPr>
      </w:pPr>
    </w:p>
    <w:p w14:paraId="704B5795" w14:textId="77777777" w:rsidR="00965187" w:rsidRDefault="00965187" w:rsidP="00965187">
      <w:pPr>
        <w:rPr>
          <w:rFonts w:cstheme="minorHAnsi"/>
          <w:b/>
          <w:bCs/>
          <w:sz w:val="28"/>
          <w:szCs w:val="28"/>
        </w:rPr>
      </w:pPr>
    </w:p>
    <w:p w14:paraId="156BE8AA" w14:textId="77777777" w:rsidR="00965187" w:rsidRDefault="00965187" w:rsidP="00965187">
      <w:pPr>
        <w:rPr>
          <w:rFonts w:cstheme="minorHAnsi"/>
          <w:b/>
          <w:bCs/>
          <w:sz w:val="28"/>
          <w:szCs w:val="28"/>
        </w:rPr>
      </w:pPr>
    </w:p>
    <w:p w14:paraId="67C98D35" w14:textId="77777777" w:rsidR="00965187" w:rsidRDefault="00965187" w:rsidP="00965187">
      <w:pPr>
        <w:rPr>
          <w:rFonts w:cstheme="minorHAnsi"/>
          <w:b/>
          <w:bCs/>
          <w:sz w:val="28"/>
          <w:szCs w:val="28"/>
        </w:rPr>
      </w:pPr>
    </w:p>
    <w:p w14:paraId="3A3B2716" w14:textId="77777777" w:rsidR="00965187" w:rsidRDefault="00965187" w:rsidP="00965187">
      <w:pPr>
        <w:rPr>
          <w:rFonts w:cstheme="minorHAnsi"/>
          <w:b/>
          <w:bCs/>
          <w:sz w:val="28"/>
          <w:szCs w:val="28"/>
        </w:rPr>
      </w:pPr>
    </w:p>
    <w:p w14:paraId="0A574200" w14:textId="77777777" w:rsidR="00965187" w:rsidRDefault="00965187" w:rsidP="00965187">
      <w:pPr>
        <w:rPr>
          <w:rFonts w:cstheme="minorHAnsi"/>
          <w:b/>
          <w:bCs/>
          <w:sz w:val="28"/>
          <w:szCs w:val="28"/>
        </w:rPr>
      </w:pPr>
    </w:p>
    <w:p w14:paraId="508BA6A8" w14:textId="77777777" w:rsidR="00965187" w:rsidRDefault="00965187" w:rsidP="00965187">
      <w:pPr>
        <w:rPr>
          <w:rFonts w:cstheme="minorHAnsi"/>
          <w:b/>
          <w:bCs/>
          <w:sz w:val="28"/>
          <w:szCs w:val="28"/>
        </w:rPr>
      </w:pPr>
    </w:p>
    <w:p w14:paraId="18855EC3" w14:textId="77777777" w:rsidR="00965187" w:rsidRDefault="00965187" w:rsidP="00965187">
      <w:pPr>
        <w:rPr>
          <w:rFonts w:cstheme="minorHAnsi"/>
          <w:b/>
          <w:bCs/>
          <w:sz w:val="28"/>
          <w:szCs w:val="28"/>
        </w:rPr>
      </w:pPr>
    </w:p>
    <w:p w14:paraId="4F912F9D" w14:textId="77777777" w:rsidR="00965187" w:rsidRDefault="00965187" w:rsidP="00965187">
      <w:pPr>
        <w:rPr>
          <w:rFonts w:cstheme="minorHAnsi"/>
          <w:b/>
          <w:bCs/>
          <w:sz w:val="28"/>
          <w:szCs w:val="28"/>
        </w:rPr>
      </w:pPr>
    </w:p>
    <w:p w14:paraId="0FDC6C89" w14:textId="77777777" w:rsidR="00965187" w:rsidRDefault="00965187" w:rsidP="00965187">
      <w:pPr>
        <w:rPr>
          <w:rFonts w:cstheme="minorHAnsi"/>
          <w:b/>
          <w:bCs/>
          <w:sz w:val="28"/>
          <w:szCs w:val="28"/>
        </w:rPr>
      </w:pPr>
    </w:p>
    <w:p w14:paraId="163C76B9" w14:textId="77777777" w:rsidR="00965187" w:rsidRDefault="00965187" w:rsidP="00965187">
      <w:pPr>
        <w:rPr>
          <w:rFonts w:cstheme="minorHAnsi"/>
          <w:b/>
          <w:bCs/>
          <w:sz w:val="28"/>
          <w:szCs w:val="28"/>
        </w:rPr>
      </w:pPr>
    </w:p>
    <w:p w14:paraId="28A35E77" w14:textId="77777777" w:rsidR="00965187" w:rsidRDefault="00965187" w:rsidP="00965187">
      <w:pPr>
        <w:rPr>
          <w:rFonts w:cstheme="minorHAnsi"/>
          <w:b/>
          <w:bCs/>
          <w:sz w:val="28"/>
          <w:szCs w:val="28"/>
        </w:rPr>
      </w:pPr>
    </w:p>
    <w:p w14:paraId="1E6BCB1B" w14:textId="77777777" w:rsidR="00965187" w:rsidRDefault="00965187" w:rsidP="00965187">
      <w:pPr>
        <w:rPr>
          <w:rFonts w:cstheme="minorHAnsi"/>
          <w:b/>
          <w:bCs/>
          <w:sz w:val="28"/>
          <w:szCs w:val="28"/>
        </w:rPr>
      </w:pPr>
    </w:p>
    <w:p w14:paraId="285B966A" w14:textId="77777777" w:rsidR="00965187" w:rsidRDefault="00965187" w:rsidP="00965187">
      <w:pPr>
        <w:rPr>
          <w:rFonts w:cstheme="minorHAnsi"/>
          <w:b/>
          <w:bCs/>
          <w:sz w:val="28"/>
          <w:szCs w:val="28"/>
        </w:rPr>
      </w:pPr>
    </w:p>
    <w:p w14:paraId="5CA61E8C" w14:textId="77777777" w:rsidR="00965187" w:rsidRDefault="00965187" w:rsidP="00965187">
      <w:pPr>
        <w:rPr>
          <w:rFonts w:cstheme="minorHAnsi"/>
          <w:b/>
          <w:bCs/>
          <w:sz w:val="28"/>
          <w:szCs w:val="28"/>
        </w:rPr>
      </w:pPr>
    </w:p>
    <w:p w14:paraId="6BEEC9FB" w14:textId="77777777" w:rsidR="00965187" w:rsidRDefault="00965187" w:rsidP="00965187">
      <w:pPr>
        <w:rPr>
          <w:rFonts w:cstheme="minorHAnsi"/>
          <w:b/>
          <w:bCs/>
          <w:sz w:val="28"/>
          <w:szCs w:val="28"/>
        </w:rPr>
      </w:pPr>
    </w:p>
    <w:p w14:paraId="42C79C51" w14:textId="77777777" w:rsidR="00965187" w:rsidRDefault="00965187" w:rsidP="00965187">
      <w:pPr>
        <w:rPr>
          <w:rFonts w:cstheme="minorHAnsi"/>
          <w:b/>
          <w:bCs/>
          <w:sz w:val="28"/>
          <w:szCs w:val="28"/>
        </w:rPr>
      </w:pPr>
    </w:p>
    <w:p w14:paraId="542BFA24" w14:textId="77777777" w:rsidR="00216E19" w:rsidRPr="00210A4A" w:rsidRDefault="00216E19">
      <w:pPr>
        <w:rPr>
          <w:rFonts w:cstheme="minorHAnsi"/>
        </w:rPr>
      </w:pPr>
    </w:p>
    <w:sectPr w:rsidR="00216E19" w:rsidRPr="00210A4A" w:rsidSect="00216E19">
      <w:headerReference w:type="even" r:id="rId41"/>
      <w:headerReference w:type="default" r:id="rId42"/>
      <w:footerReference w:type="even" r:id="rId43"/>
      <w:footerReference w:type="default" r:id="rId44"/>
      <w:headerReference w:type="first" r:id="rId45"/>
      <w:footerReference w:type="first" r:id="rId46"/>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DDF7C" w14:textId="77777777" w:rsidR="006B3516" w:rsidRDefault="006B3516" w:rsidP="00EA65B4">
      <w:pPr>
        <w:spacing w:after="0" w:line="240" w:lineRule="auto"/>
      </w:pPr>
      <w:r>
        <w:separator/>
      </w:r>
    </w:p>
  </w:endnote>
  <w:endnote w:type="continuationSeparator" w:id="0">
    <w:p w14:paraId="4163B477" w14:textId="77777777" w:rsidR="006B3516" w:rsidRDefault="006B3516" w:rsidP="00EA65B4">
      <w:pPr>
        <w:spacing w:after="0" w:line="240" w:lineRule="auto"/>
      </w:pPr>
      <w:r>
        <w:continuationSeparator/>
      </w:r>
    </w:p>
  </w:endnote>
  <w:endnote w:type="continuationNotice" w:id="1">
    <w:p w14:paraId="448ED1DD" w14:textId="77777777" w:rsidR="006B3516" w:rsidRDefault="006B35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EEA0" w14:textId="213D896A" w:rsidR="00EA65B4" w:rsidRDefault="00EA65B4">
    <w:pPr>
      <w:pStyle w:val="Footer"/>
    </w:pPr>
    <w:r>
      <w:rPr>
        <w:noProof/>
      </w:rPr>
      <mc:AlternateContent>
        <mc:Choice Requires="wps">
          <w:drawing>
            <wp:anchor distT="0" distB="0" distL="0" distR="0" simplePos="0" relativeHeight="251658244" behindDoc="0" locked="0" layoutInCell="1" allowOverlap="1" wp14:anchorId="50CD5C2F" wp14:editId="56200D4B">
              <wp:simplePos x="635" y="635"/>
              <wp:positionH relativeFrom="column">
                <wp:align>center</wp:align>
              </wp:positionH>
              <wp:positionV relativeFrom="paragraph">
                <wp:posOffset>635</wp:posOffset>
              </wp:positionV>
              <wp:extent cx="443865" cy="443865"/>
              <wp:effectExtent l="0" t="0" r="635" b="254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BDE5D7" w14:textId="1F275036"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0CD5C2F" id="_x0000_t202" coordsize="21600,21600" o:spt="202" path="m,l,21600r21600,l21600,xe">
              <v:stroke joinstyle="miter"/>
              <v:path gradientshapeok="t" o:connecttype="rect"/>
            </v:shapetype>
            <v:shape id="Text Box 5" o:spid="_x0000_s1028" type="#_x0000_t202" alt="OFFICI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Le1pmojAgAATQQAAA4AAAAAAAAAAAAAAAAALgIAAGRycy9lMm9Eb2MueG1sUEsBAi0A&#10;FAAGAAgAAAAhAISw0yjWAAAAAwEAAA8AAAAAAAAAAAAAAAAAfQQAAGRycy9kb3ducmV2LnhtbFBL&#10;BQYAAAAABAAEAPMAAACABQAAAAA=&#10;" filled="f" stroked="f">
              <v:textbox style="mso-fit-shape-to-text:t" inset="0,0,0,0">
                <w:txbxContent>
                  <w:p w14:paraId="5BBDE5D7" w14:textId="1F275036"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98A5" w14:textId="00DB5ABB" w:rsidR="00EA65B4" w:rsidRDefault="00EA65B4">
    <w:pPr>
      <w:pStyle w:val="Footer"/>
    </w:pPr>
    <w:r>
      <w:rPr>
        <w:noProof/>
      </w:rPr>
      <mc:AlternateContent>
        <mc:Choice Requires="wps">
          <w:drawing>
            <wp:anchor distT="0" distB="0" distL="0" distR="0" simplePos="0" relativeHeight="251658245" behindDoc="0" locked="0" layoutInCell="1" allowOverlap="1" wp14:anchorId="7A346530" wp14:editId="1E094B0F">
              <wp:simplePos x="635" y="635"/>
              <wp:positionH relativeFrom="column">
                <wp:align>center</wp:align>
              </wp:positionH>
              <wp:positionV relativeFrom="paragraph">
                <wp:posOffset>635</wp:posOffset>
              </wp:positionV>
              <wp:extent cx="443865" cy="443865"/>
              <wp:effectExtent l="0" t="0" r="635" b="254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A7E7C7" w14:textId="147387D9"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346530" id="_x0000_t202" coordsize="21600,21600" o:spt="202" path="m,l,21600r21600,l21600,xe">
              <v:stroke joinstyle="miter"/>
              <v:path gradientshapeok="t" o:connecttype="rect"/>
            </v:shapetype>
            <v:shape id="Text Box 6" o:spid="_x0000_s1029" type="#_x0000_t202" alt="OFFICIAL"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AuOk+eJAIAAE0EAAAOAAAAAAAAAAAAAAAAAC4CAABkcnMvZTJvRG9jLnhtbFBLAQIt&#10;ABQABgAIAAAAIQCEsNMo1gAAAAMBAAAPAAAAAAAAAAAAAAAAAH4EAABkcnMvZG93bnJldi54bWxQ&#10;SwUGAAAAAAQABADzAAAAgQUAAAAA&#10;" filled="f" stroked="f">
              <v:textbox style="mso-fit-shape-to-text:t" inset="0,0,0,0">
                <w:txbxContent>
                  <w:p w14:paraId="10A7E7C7" w14:textId="147387D9"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1C359" w14:textId="713D2813" w:rsidR="00EA65B4" w:rsidRDefault="00EA65B4">
    <w:pPr>
      <w:pStyle w:val="Footer"/>
    </w:pPr>
    <w:r>
      <w:rPr>
        <w:noProof/>
      </w:rPr>
      <mc:AlternateContent>
        <mc:Choice Requires="wps">
          <w:drawing>
            <wp:anchor distT="0" distB="0" distL="0" distR="0" simplePos="0" relativeHeight="251658243" behindDoc="0" locked="0" layoutInCell="1" allowOverlap="1" wp14:anchorId="52375F88" wp14:editId="2C100BCF">
              <wp:simplePos x="635" y="635"/>
              <wp:positionH relativeFrom="column">
                <wp:align>center</wp:align>
              </wp:positionH>
              <wp:positionV relativeFrom="paragraph">
                <wp:posOffset>635</wp:posOffset>
              </wp:positionV>
              <wp:extent cx="443865" cy="443865"/>
              <wp:effectExtent l="0" t="0" r="635" b="254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AA78A7" w14:textId="3BE36866"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2375F88" id="_x0000_t202" coordsize="21600,21600" o:spt="202" path="m,l,21600r21600,l21600,xe">
              <v:stroke joinstyle="miter"/>
              <v:path gradientshapeok="t" o:connecttype="rect"/>
            </v:shapetype>
            <v:shape id="Text Box 4" o:spid="_x0000_s1031" type="#_x0000_t202" alt="OFFI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CZUeqYJAIAAE0EAAAOAAAAAAAAAAAAAAAAAC4CAABkcnMvZTJvRG9jLnhtbFBLAQIt&#10;ABQABgAIAAAAIQCEsNMo1gAAAAMBAAAPAAAAAAAAAAAAAAAAAH4EAABkcnMvZG93bnJldi54bWxQ&#10;SwUGAAAAAAQABADzAAAAgQUAAAAA&#10;" filled="f" stroked="f">
              <v:textbox style="mso-fit-shape-to-text:t" inset="0,0,0,0">
                <w:txbxContent>
                  <w:p w14:paraId="19AA78A7" w14:textId="3BE36866"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8F586" w14:textId="77777777" w:rsidR="006B3516" w:rsidRDefault="006B3516" w:rsidP="00EA65B4">
      <w:pPr>
        <w:spacing w:after="0" w:line="240" w:lineRule="auto"/>
      </w:pPr>
      <w:r>
        <w:separator/>
      </w:r>
    </w:p>
  </w:footnote>
  <w:footnote w:type="continuationSeparator" w:id="0">
    <w:p w14:paraId="5539240F" w14:textId="77777777" w:rsidR="006B3516" w:rsidRDefault="006B3516" w:rsidP="00EA65B4">
      <w:pPr>
        <w:spacing w:after="0" w:line="240" w:lineRule="auto"/>
      </w:pPr>
      <w:r>
        <w:continuationSeparator/>
      </w:r>
    </w:p>
  </w:footnote>
  <w:footnote w:type="continuationNotice" w:id="1">
    <w:p w14:paraId="23B2766F" w14:textId="77777777" w:rsidR="006B3516" w:rsidRDefault="006B35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7D17" w14:textId="6995600E" w:rsidR="00EA65B4" w:rsidRDefault="00EA65B4">
    <w:pPr>
      <w:pStyle w:val="Header"/>
    </w:pPr>
    <w:r>
      <w:rPr>
        <w:noProof/>
      </w:rPr>
      <mc:AlternateContent>
        <mc:Choice Requires="wps">
          <w:drawing>
            <wp:anchor distT="0" distB="0" distL="0" distR="0" simplePos="0" relativeHeight="251658241" behindDoc="0" locked="0" layoutInCell="1" allowOverlap="1" wp14:anchorId="2292DFBD" wp14:editId="2E5DA2FC">
              <wp:simplePos x="635" y="635"/>
              <wp:positionH relativeFrom="column">
                <wp:align>center</wp:align>
              </wp:positionH>
              <wp:positionV relativeFrom="paragraph">
                <wp:posOffset>635</wp:posOffset>
              </wp:positionV>
              <wp:extent cx="443865" cy="443865"/>
              <wp:effectExtent l="0" t="0" r="635" b="254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2514E7" w14:textId="669FB948"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292DFBD"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&#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BSKaYIgAgAARgQAAA4AAAAAAAAAAAAAAAAALgIAAGRycy9lMm9Eb2MueG1sUEsBAi0AFAAG&#10;AAgAAAAhAISw0yjWAAAAAwEAAA8AAAAAAAAAAAAAAAAAegQAAGRycy9kb3ducmV2LnhtbFBLBQYA&#10;AAAABAAEAPMAAAB9BQAAAAA=&#10;" filled="f" stroked="f">
              <v:textbox style="mso-fit-shape-to-text:t" inset="0,0,0,0">
                <w:txbxContent>
                  <w:p w14:paraId="612514E7" w14:textId="669FB948"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13E2" w14:textId="6604C179" w:rsidR="00EA65B4" w:rsidRDefault="00EA65B4">
    <w:pPr>
      <w:pStyle w:val="Header"/>
    </w:pPr>
    <w:r>
      <w:rPr>
        <w:noProof/>
      </w:rPr>
      <mc:AlternateContent>
        <mc:Choice Requires="wps">
          <w:drawing>
            <wp:anchor distT="0" distB="0" distL="0" distR="0" simplePos="0" relativeHeight="251658242" behindDoc="0" locked="0" layoutInCell="1" allowOverlap="1" wp14:anchorId="5F7F199E" wp14:editId="56E95777">
              <wp:simplePos x="635" y="635"/>
              <wp:positionH relativeFrom="column">
                <wp:align>center</wp:align>
              </wp:positionH>
              <wp:positionV relativeFrom="paragraph">
                <wp:posOffset>635</wp:posOffset>
              </wp:positionV>
              <wp:extent cx="443865" cy="443865"/>
              <wp:effectExtent l="0" t="0" r="635" b="254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7389D1" w14:textId="227AE24E"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7F199E"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OFZ8SkjAgAATQQAAA4AAAAAAAAAAAAAAAAALgIAAGRycy9lMm9Eb2MueG1sUEsBAi0A&#10;FAAGAAgAAAAhAISw0yjWAAAAAwEAAA8AAAAAAAAAAAAAAAAAfQQAAGRycy9kb3ducmV2LnhtbFBL&#10;BQYAAAAABAAEAPMAAACABQAAAAA=&#10;" filled="f" stroked="f">
              <v:textbox style="mso-fit-shape-to-text:t" inset="0,0,0,0">
                <w:txbxContent>
                  <w:p w14:paraId="237389D1" w14:textId="227AE24E"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4A4C" w14:textId="76FEFD0E" w:rsidR="00EA65B4" w:rsidRDefault="00EA65B4">
    <w:pPr>
      <w:pStyle w:val="Header"/>
    </w:pPr>
    <w:r>
      <w:rPr>
        <w:noProof/>
      </w:rPr>
      <mc:AlternateContent>
        <mc:Choice Requires="wps">
          <w:drawing>
            <wp:anchor distT="0" distB="0" distL="0" distR="0" simplePos="0" relativeHeight="251658240" behindDoc="0" locked="0" layoutInCell="1" allowOverlap="1" wp14:anchorId="2F3EFF71" wp14:editId="5C445D4E">
              <wp:simplePos x="635" y="635"/>
              <wp:positionH relativeFrom="column">
                <wp:align>center</wp:align>
              </wp:positionH>
              <wp:positionV relativeFrom="paragraph">
                <wp:posOffset>635</wp:posOffset>
              </wp:positionV>
              <wp:extent cx="443865" cy="443865"/>
              <wp:effectExtent l="0" t="0" r="635" b="2540"/>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22993B" w14:textId="725D4B4A"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F3EFF71" id="_x0000_t202" coordsize="21600,21600" o:spt="202" path="m,l,21600r21600,l21600,xe">
              <v:stroke joinstyle="miter"/>
              <v:path gradientshapeok="t" o:connecttype="rect"/>
            </v:shapetype>
            <v:shape id="Text Box 1" o:spid="_x0000_s1030"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OS1KvSUCAABNBAAADgAAAAAAAAAAAAAAAAAuAgAAZHJzL2Uyb0RvYy54bWxQSwEC&#10;LQAUAAYACAAAACEAhLDTKNYAAAADAQAADwAAAAAAAAAAAAAAAAB/BAAAZHJzL2Rvd25yZXYueG1s&#10;UEsFBgAAAAAEAAQA8wAAAIIFAAAAAA==&#10;" filled="f" stroked="f">
              <v:textbox style="mso-fit-shape-to-text:t" inset="0,0,0,0">
                <w:txbxContent>
                  <w:p w14:paraId="4822993B" w14:textId="725D4B4A"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192"/>
    <w:multiLevelType w:val="hybridMultilevel"/>
    <w:tmpl w:val="30E89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A53CA2"/>
    <w:multiLevelType w:val="hybridMultilevel"/>
    <w:tmpl w:val="B9A47B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9B6343"/>
    <w:multiLevelType w:val="multilevel"/>
    <w:tmpl w:val="B02E87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B8204FD"/>
    <w:multiLevelType w:val="multilevel"/>
    <w:tmpl w:val="FC3899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25A1155"/>
    <w:multiLevelType w:val="multilevel"/>
    <w:tmpl w:val="21F664DE"/>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5044C8"/>
    <w:multiLevelType w:val="hybridMultilevel"/>
    <w:tmpl w:val="F2F425E2"/>
    <w:lvl w:ilvl="0" w:tplc="B8204E7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8CB283B"/>
    <w:multiLevelType w:val="multilevel"/>
    <w:tmpl w:val="29D8BA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184A6D"/>
    <w:multiLevelType w:val="multilevel"/>
    <w:tmpl w:val="0352A4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D985DB9"/>
    <w:multiLevelType w:val="hybridMultilevel"/>
    <w:tmpl w:val="793EC1E4"/>
    <w:lvl w:ilvl="0" w:tplc="2B48EDDA">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AD7149"/>
    <w:multiLevelType w:val="hybridMultilevel"/>
    <w:tmpl w:val="3DD43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B5F4AEF"/>
    <w:multiLevelType w:val="hybridMultilevel"/>
    <w:tmpl w:val="BB900A52"/>
    <w:lvl w:ilvl="0" w:tplc="959ACF9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00215C2"/>
    <w:multiLevelType w:val="multilevel"/>
    <w:tmpl w:val="DBEC9A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D6D6B4B"/>
    <w:multiLevelType w:val="multilevel"/>
    <w:tmpl w:val="B7FE24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6502417D"/>
    <w:multiLevelType w:val="hybridMultilevel"/>
    <w:tmpl w:val="E250C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77A00D5F"/>
    <w:multiLevelType w:val="multilevel"/>
    <w:tmpl w:val="5BB463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795A4F3A"/>
    <w:multiLevelType w:val="hybridMultilevel"/>
    <w:tmpl w:val="4BC2E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F9A0D91"/>
    <w:multiLevelType w:val="hybridMultilevel"/>
    <w:tmpl w:val="5D0AB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16"/>
  </w:num>
  <w:num w:numId="3">
    <w:abstractNumId w:val="11"/>
  </w:num>
  <w:num w:numId="4">
    <w:abstractNumId w:val="1"/>
  </w:num>
  <w:num w:numId="5">
    <w:abstractNumId w:val="4"/>
  </w:num>
  <w:num w:numId="6">
    <w:abstractNumId w:val="2"/>
  </w:num>
  <w:num w:numId="7">
    <w:abstractNumId w:val="12"/>
  </w:num>
  <w:num w:numId="8">
    <w:abstractNumId w:val="14"/>
  </w:num>
  <w:num w:numId="9">
    <w:abstractNumId w:val="7"/>
  </w:num>
  <w:num w:numId="10">
    <w:abstractNumId w:val="3"/>
  </w:num>
  <w:num w:numId="11">
    <w:abstractNumId w:val="13"/>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0"/>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E19"/>
    <w:rsid w:val="0000711E"/>
    <w:rsid w:val="000256E1"/>
    <w:rsid w:val="00093130"/>
    <w:rsid w:val="00093BB9"/>
    <w:rsid w:val="00096747"/>
    <w:rsid w:val="000B6538"/>
    <w:rsid w:val="000C0B33"/>
    <w:rsid w:val="000C50B8"/>
    <w:rsid w:val="000D121A"/>
    <w:rsid w:val="000E7EEA"/>
    <w:rsid w:val="000F5716"/>
    <w:rsid w:val="00126ADF"/>
    <w:rsid w:val="001312C4"/>
    <w:rsid w:val="001359A4"/>
    <w:rsid w:val="00145E46"/>
    <w:rsid w:val="0015353C"/>
    <w:rsid w:val="001638B9"/>
    <w:rsid w:val="0016634A"/>
    <w:rsid w:val="00167061"/>
    <w:rsid w:val="0016717A"/>
    <w:rsid w:val="001763A3"/>
    <w:rsid w:val="00187781"/>
    <w:rsid w:val="001D1154"/>
    <w:rsid w:val="001E5022"/>
    <w:rsid w:val="001E600A"/>
    <w:rsid w:val="001F59A2"/>
    <w:rsid w:val="00202475"/>
    <w:rsid w:val="00203627"/>
    <w:rsid w:val="00210A4A"/>
    <w:rsid w:val="00216E19"/>
    <w:rsid w:val="00236CA6"/>
    <w:rsid w:val="00237AFE"/>
    <w:rsid w:val="00247F89"/>
    <w:rsid w:val="00255740"/>
    <w:rsid w:val="002722DE"/>
    <w:rsid w:val="00274DF0"/>
    <w:rsid w:val="002865E1"/>
    <w:rsid w:val="002879E5"/>
    <w:rsid w:val="002978A6"/>
    <w:rsid w:val="002A0145"/>
    <w:rsid w:val="002A7725"/>
    <w:rsid w:val="002B42CF"/>
    <w:rsid w:val="002C0C0B"/>
    <w:rsid w:val="002F4BB0"/>
    <w:rsid w:val="00303747"/>
    <w:rsid w:val="00305A2A"/>
    <w:rsid w:val="00306BFF"/>
    <w:rsid w:val="00307F2B"/>
    <w:rsid w:val="0032165D"/>
    <w:rsid w:val="003242CC"/>
    <w:rsid w:val="003875B6"/>
    <w:rsid w:val="0039391B"/>
    <w:rsid w:val="003A7B7A"/>
    <w:rsid w:val="003D7B29"/>
    <w:rsid w:val="003E2A69"/>
    <w:rsid w:val="003F08D6"/>
    <w:rsid w:val="00404F86"/>
    <w:rsid w:val="00406256"/>
    <w:rsid w:val="0040734C"/>
    <w:rsid w:val="00415CC3"/>
    <w:rsid w:val="004170E0"/>
    <w:rsid w:val="004227A9"/>
    <w:rsid w:val="00430993"/>
    <w:rsid w:val="0043375B"/>
    <w:rsid w:val="004365DA"/>
    <w:rsid w:val="00474E44"/>
    <w:rsid w:val="004B1CAC"/>
    <w:rsid w:val="004B4A9C"/>
    <w:rsid w:val="004E018E"/>
    <w:rsid w:val="00511FBC"/>
    <w:rsid w:val="00515025"/>
    <w:rsid w:val="0058466A"/>
    <w:rsid w:val="005A64FF"/>
    <w:rsid w:val="005B37F9"/>
    <w:rsid w:val="005B64D0"/>
    <w:rsid w:val="005C28B5"/>
    <w:rsid w:val="005C3A65"/>
    <w:rsid w:val="005C441E"/>
    <w:rsid w:val="005D309C"/>
    <w:rsid w:val="005D3E57"/>
    <w:rsid w:val="005E5745"/>
    <w:rsid w:val="005E7A86"/>
    <w:rsid w:val="005F30B2"/>
    <w:rsid w:val="00625A9A"/>
    <w:rsid w:val="00672D11"/>
    <w:rsid w:val="00673936"/>
    <w:rsid w:val="006751C4"/>
    <w:rsid w:val="00682C35"/>
    <w:rsid w:val="00684DE1"/>
    <w:rsid w:val="006871B8"/>
    <w:rsid w:val="00694F3A"/>
    <w:rsid w:val="006B3516"/>
    <w:rsid w:val="006C5749"/>
    <w:rsid w:val="006D36A4"/>
    <w:rsid w:val="006D553C"/>
    <w:rsid w:val="006E594C"/>
    <w:rsid w:val="006E626C"/>
    <w:rsid w:val="006F4FC5"/>
    <w:rsid w:val="006F65C8"/>
    <w:rsid w:val="00702159"/>
    <w:rsid w:val="007109B2"/>
    <w:rsid w:val="00710B16"/>
    <w:rsid w:val="00735774"/>
    <w:rsid w:val="00765B22"/>
    <w:rsid w:val="0077707D"/>
    <w:rsid w:val="00787ABF"/>
    <w:rsid w:val="0079125E"/>
    <w:rsid w:val="0079508C"/>
    <w:rsid w:val="0079575C"/>
    <w:rsid w:val="007D19FD"/>
    <w:rsid w:val="007E0D23"/>
    <w:rsid w:val="007F63DD"/>
    <w:rsid w:val="00823F93"/>
    <w:rsid w:val="008262EA"/>
    <w:rsid w:val="00826E1F"/>
    <w:rsid w:val="008325F6"/>
    <w:rsid w:val="00847230"/>
    <w:rsid w:val="008519B4"/>
    <w:rsid w:val="008700F2"/>
    <w:rsid w:val="00871E77"/>
    <w:rsid w:val="00887E06"/>
    <w:rsid w:val="008931E7"/>
    <w:rsid w:val="008A640F"/>
    <w:rsid w:val="008C2C95"/>
    <w:rsid w:val="008E37B8"/>
    <w:rsid w:val="008E74EA"/>
    <w:rsid w:val="008F3FA8"/>
    <w:rsid w:val="008F4079"/>
    <w:rsid w:val="0090688E"/>
    <w:rsid w:val="00912EE7"/>
    <w:rsid w:val="00912FA3"/>
    <w:rsid w:val="00935F86"/>
    <w:rsid w:val="009520C2"/>
    <w:rsid w:val="00965187"/>
    <w:rsid w:val="009744D8"/>
    <w:rsid w:val="0098740F"/>
    <w:rsid w:val="00992FB8"/>
    <w:rsid w:val="009A0378"/>
    <w:rsid w:val="009B18F5"/>
    <w:rsid w:val="009B68DE"/>
    <w:rsid w:val="009C3119"/>
    <w:rsid w:val="009E5B46"/>
    <w:rsid w:val="009F64D3"/>
    <w:rsid w:val="00A14DDE"/>
    <w:rsid w:val="00A22772"/>
    <w:rsid w:val="00A24319"/>
    <w:rsid w:val="00A3057A"/>
    <w:rsid w:val="00A31658"/>
    <w:rsid w:val="00A37350"/>
    <w:rsid w:val="00A51B42"/>
    <w:rsid w:val="00A8069A"/>
    <w:rsid w:val="00A80BAA"/>
    <w:rsid w:val="00A87AEE"/>
    <w:rsid w:val="00A975AE"/>
    <w:rsid w:val="00A97861"/>
    <w:rsid w:val="00AA6B59"/>
    <w:rsid w:val="00AB27EF"/>
    <w:rsid w:val="00AB7D19"/>
    <w:rsid w:val="00AE4AFB"/>
    <w:rsid w:val="00AF0131"/>
    <w:rsid w:val="00AF3D5E"/>
    <w:rsid w:val="00AF60BA"/>
    <w:rsid w:val="00B10913"/>
    <w:rsid w:val="00B11761"/>
    <w:rsid w:val="00B12782"/>
    <w:rsid w:val="00B324EA"/>
    <w:rsid w:val="00B353FC"/>
    <w:rsid w:val="00B35739"/>
    <w:rsid w:val="00B35951"/>
    <w:rsid w:val="00B41601"/>
    <w:rsid w:val="00B556AA"/>
    <w:rsid w:val="00B61AAD"/>
    <w:rsid w:val="00B7405B"/>
    <w:rsid w:val="00B76A62"/>
    <w:rsid w:val="00B83B97"/>
    <w:rsid w:val="00B952DD"/>
    <w:rsid w:val="00B97357"/>
    <w:rsid w:val="00BA336C"/>
    <w:rsid w:val="00BB2856"/>
    <w:rsid w:val="00BD78E9"/>
    <w:rsid w:val="00BE216E"/>
    <w:rsid w:val="00BE5820"/>
    <w:rsid w:val="00BE72EC"/>
    <w:rsid w:val="00BF23A2"/>
    <w:rsid w:val="00C2018A"/>
    <w:rsid w:val="00C25769"/>
    <w:rsid w:val="00C30EE3"/>
    <w:rsid w:val="00C31524"/>
    <w:rsid w:val="00C37C6C"/>
    <w:rsid w:val="00C46C78"/>
    <w:rsid w:val="00C61BF1"/>
    <w:rsid w:val="00C64F12"/>
    <w:rsid w:val="00C734DD"/>
    <w:rsid w:val="00CB4584"/>
    <w:rsid w:val="00CB5E2C"/>
    <w:rsid w:val="00CC220C"/>
    <w:rsid w:val="00CD588A"/>
    <w:rsid w:val="00CF1089"/>
    <w:rsid w:val="00D01E61"/>
    <w:rsid w:val="00D14171"/>
    <w:rsid w:val="00D17913"/>
    <w:rsid w:val="00D44AA2"/>
    <w:rsid w:val="00D47B46"/>
    <w:rsid w:val="00D660D6"/>
    <w:rsid w:val="00DA0FCB"/>
    <w:rsid w:val="00DB59FA"/>
    <w:rsid w:val="00DC1317"/>
    <w:rsid w:val="00DC3265"/>
    <w:rsid w:val="00DD06A1"/>
    <w:rsid w:val="00DF46EB"/>
    <w:rsid w:val="00DF6C9B"/>
    <w:rsid w:val="00E15C8E"/>
    <w:rsid w:val="00E34167"/>
    <w:rsid w:val="00E46757"/>
    <w:rsid w:val="00E50BA3"/>
    <w:rsid w:val="00E51DBE"/>
    <w:rsid w:val="00E5455D"/>
    <w:rsid w:val="00E628A9"/>
    <w:rsid w:val="00E9125E"/>
    <w:rsid w:val="00EA1E12"/>
    <w:rsid w:val="00EA4FFD"/>
    <w:rsid w:val="00EA65B4"/>
    <w:rsid w:val="00ED0B74"/>
    <w:rsid w:val="00EE61B2"/>
    <w:rsid w:val="00F26B66"/>
    <w:rsid w:val="00F3006E"/>
    <w:rsid w:val="00F31C4B"/>
    <w:rsid w:val="00F31FAA"/>
    <w:rsid w:val="00F36A9C"/>
    <w:rsid w:val="00F409E9"/>
    <w:rsid w:val="00F42336"/>
    <w:rsid w:val="00F4561A"/>
    <w:rsid w:val="00F57464"/>
    <w:rsid w:val="00F70A7F"/>
    <w:rsid w:val="00F72D7F"/>
    <w:rsid w:val="00F75EFD"/>
    <w:rsid w:val="00F800D8"/>
    <w:rsid w:val="00F911C5"/>
    <w:rsid w:val="00FB4AC5"/>
    <w:rsid w:val="00FE1F29"/>
    <w:rsid w:val="00FE29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71112"/>
  <w15:chartTrackingRefBased/>
  <w15:docId w15:val="{FEF619DC-2E76-443A-B69A-36D1441B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1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E19"/>
    <w:rPr>
      <w:color w:val="0563C1" w:themeColor="hyperlink"/>
      <w:u w:val="single"/>
    </w:rPr>
  </w:style>
  <w:style w:type="character" w:styleId="UnresolvedMention">
    <w:name w:val="Unresolved Mention"/>
    <w:basedOn w:val="DefaultParagraphFont"/>
    <w:uiPriority w:val="99"/>
    <w:semiHidden/>
    <w:unhideWhenUsed/>
    <w:rsid w:val="00216E19"/>
    <w:rPr>
      <w:color w:val="605E5C"/>
      <w:shd w:val="clear" w:color="auto" w:fill="E1DFDD"/>
    </w:rPr>
  </w:style>
  <w:style w:type="character" w:customStyle="1" w:styleId="normaltextrun">
    <w:name w:val="normaltextrun"/>
    <w:basedOn w:val="DefaultParagraphFont"/>
    <w:rsid w:val="00EA65B4"/>
  </w:style>
  <w:style w:type="paragraph" w:styleId="ListParagraph">
    <w:name w:val="List Paragraph"/>
    <w:basedOn w:val="Normal"/>
    <w:link w:val="ListParagraphChar"/>
    <w:uiPriority w:val="34"/>
    <w:qFormat/>
    <w:rsid w:val="00EA65B4"/>
    <w:pPr>
      <w:ind w:left="720"/>
      <w:contextualSpacing/>
    </w:pPr>
  </w:style>
  <w:style w:type="paragraph" w:customStyle="1" w:styleId="paragraph">
    <w:name w:val="paragraph"/>
    <w:basedOn w:val="Normal"/>
    <w:rsid w:val="00EA65B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EA65B4"/>
  </w:style>
  <w:style w:type="paragraph" w:styleId="Header">
    <w:name w:val="header"/>
    <w:basedOn w:val="Normal"/>
    <w:link w:val="HeaderChar"/>
    <w:uiPriority w:val="99"/>
    <w:unhideWhenUsed/>
    <w:rsid w:val="00EA65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65B4"/>
  </w:style>
  <w:style w:type="paragraph" w:styleId="Footer">
    <w:name w:val="footer"/>
    <w:basedOn w:val="Normal"/>
    <w:link w:val="FooterChar"/>
    <w:uiPriority w:val="99"/>
    <w:unhideWhenUsed/>
    <w:rsid w:val="00EA65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5B4"/>
  </w:style>
  <w:style w:type="paragraph" w:styleId="NormalWeb">
    <w:name w:val="Normal (Web)"/>
    <w:basedOn w:val="Normal"/>
    <w:uiPriority w:val="99"/>
    <w:semiHidden/>
    <w:unhideWhenUsed/>
    <w:rsid w:val="0032165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link w:val="ListParagraph"/>
    <w:uiPriority w:val="34"/>
    <w:locked/>
    <w:rsid w:val="0058466A"/>
  </w:style>
  <w:style w:type="character" w:styleId="CommentReference">
    <w:name w:val="annotation reference"/>
    <w:basedOn w:val="DefaultParagraphFont"/>
    <w:uiPriority w:val="99"/>
    <w:semiHidden/>
    <w:unhideWhenUsed/>
    <w:rsid w:val="00A51B42"/>
    <w:rPr>
      <w:sz w:val="16"/>
      <w:szCs w:val="16"/>
    </w:rPr>
  </w:style>
  <w:style w:type="paragraph" w:styleId="CommentText">
    <w:name w:val="annotation text"/>
    <w:basedOn w:val="Normal"/>
    <w:link w:val="CommentTextChar"/>
    <w:uiPriority w:val="99"/>
    <w:unhideWhenUsed/>
    <w:rsid w:val="00A51B42"/>
    <w:pPr>
      <w:spacing w:line="240" w:lineRule="auto"/>
    </w:pPr>
    <w:rPr>
      <w:sz w:val="20"/>
      <w:szCs w:val="20"/>
    </w:rPr>
  </w:style>
  <w:style w:type="character" w:customStyle="1" w:styleId="CommentTextChar">
    <w:name w:val="Comment Text Char"/>
    <w:basedOn w:val="DefaultParagraphFont"/>
    <w:link w:val="CommentText"/>
    <w:uiPriority w:val="99"/>
    <w:rsid w:val="00A51B42"/>
    <w:rPr>
      <w:sz w:val="20"/>
      <w:szCs w:val="20"/>
    </w:rPr>
  </w:style>
  <w:style w:type="paragraph" w:styleId="CommentSubject">
    <w:name w:val="annotation subject"/>
    <w:basedOn w:val="CommentText"/>
    <w:next w:val="CommentText"/>
    <w:link w:val="CommentSubjectChar"/>
    <w:uiPriority w:val="99"/>
    <w:semiHidden/>
    <w:unhideWhenUsed/>
    <w:rsid w:val="00A51B42"/>
    <w:rPr>
      <w:b/>
      <w:bCs/>
    </w:rPr>
  </w:style>
  <w:style w:type="character" w:customStyle="1" w:styleId="CommentSubjectChar">
    <w:name w:val="Comment Subject Char"/>
    <w:basedOn w:val="CommentTextChar"/>
    <w:link w:val="CommentSubject"/>
    <w:uiPriority w:val="99"/>
    <w:semiHidden/>
    <w:rsid w:val="00A51B42"/>
    <w:rPr>
      <w:b/>
      <w:bCs/>
      <w:sz w:val="20"/>
      <w:szCs w:val="20"/>
    </w:rPr>
  </w:style>
  <w:style w:type="paragraph" w:styleId="Revision">
    <w:name w:val="Revision"/>
    <w:hidden/>
    <w:uiPriority w:val="99"/>
    <w:semiHidden/>
    <w:rsid w:val="000F57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9189">
      <w:bodyDiv w:val="1"/>
      <w:marLeft w:val="0"/>
      <w:marRight w:val="0"/>
      <w:marTop w:val="0"/>
      <w:marBottom w:val="0"/>
      <w:divBdr>
        <w:top w:val="none" w:sz="0" w:space="0" w:color="auto"/>
        <w:left w:val="none" w:sz="0" w:space="0" w:color="auto"/>
        <w:bottom w:val="none" w:sz="0" w:space="0" w:color="auto"/>
        <w:right w:val="none" w:sz="0" w:space="0" w:color="auto"/>
      </w:divBdr>
    </w:div>
    <w:div w:id="87848653">
      <w:bodyDiv w:val="1"/>
      <w:marLeft w:val="0"/>
      <w:marRight w:val="0"/>
      <w:marTop w:val="0"/>
      <w:marBottom w:val="0"/>
      <w:divBdr>
        <w:top w:val="none" w:sz="0" w:space="0" w:color="auto"/>
        <w:left w:val="none" w:sz="0" w:space="0" w:color="auto"/>
        <w:bottom w:val="none" w:sz="0" w:space="0" w:color="auto"/>
        <w:right w:val="none" w:sz="0" w:space="0" w:color="auto"/>
      </w:divBdr>
    </w:div>
    <w:div w:id="106629018">
      <w:bodyDiv w:val="1"/>
      <w:marLeft w:val="0"/>
      <w:marRight w:val="0"/>
      <w:marTop w:val="0"/>
      <w:marBottom w:val="0"/>
      <w:divBdr>
        <w:top w:val="none" w:sz="0" w:space="0" w:color="auto"/>
        <w:left w:val="none" w:sz="0" w:space="0" w:color="auto"/>
        <w:bottom w:val="none" w:sz="0" w:space="0" w:color="auto"/>
        <w:right w:val="none" w:sz="0" w:space="0" w:color="auto"/>
      </w:divBdr>
    </w:div>
    <w:div w:id="237129350">
      <w:bodyDiv w:val="1"/>
      <w:marLeft w:val="0"/>
      <w:marRight w:val="0"/>
      <w:marTop w:val="0"/>
      <w:marBottom w:val="0"/>
      <w:divBdr>
        <w:top w:val="none" w:sz="0" w:space="0" w:color="auto"/>
        <w:left w:val="none" w:sz="0" w:space="0" w:color="auto"/>
        <w:bottom w:val="none" w:sz="0" w:space="0" w:color="auto"/>
        <w:right w:val="none" w:sz="0" w:space="0" w:color="auto"/>
      </w:divBdr>
    </w:div>
    <w:div w:id="1497115254">
      <w:bodyDiv w:val="1"/>
      <w:marLeft w:val="0"/>
      <w:marRight w:val="0"/>
      <w:marTop w:val="0"/>
      <w:marBottom w:val="0"/>
      <w:divBdr>
        <w:top w:val="none" w:sz="0" w:space="0" w:color="auto"/>
        <w:left w:val="none" w:sz="0" w:space="0" w:color="auto"/>
        <w:bottom w:val="none" w:sz="0" w:space="0" w:color="auto"/>
        <w:right w:val="none" w:sz="0" w:space="0" w:color="auto"/>
      </w:divBdr>
    </w:div>
    <w:div w:id="177675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library.wiley.com/doi/10.1111/vox.12839" TargetMode="External"/><Relationship Id="rId18" Type="http://schemas.openxmlformats.org/officeDocument/2006/relationships/hyperlink" Target="https://www.ncbi.nlm.nih.gov/pmc/articles/PMC10692540/" TargetMode="External"/><Relationship Id="rId26" Type="http://schemas.openxmlformats.org/officeDocument/2006/relationships/hyperlink" Target="https://pubmed.ncbi.nlm.nih.gov/34750151/" TargetMode="External"/><Relationship Id="rId39" Type="http://schemas.openxmlformats.org/officeDocument/2006/relationships/hyperlink" Target="https://pubmed.ncbi.nlm.nih.gov/31831279/" TargetMode="External"/><Relationship Id="rId21" Type="http://schemas.openxmlformats.org/officeDocument/2006/relationships/hyperlink" Target="https://obgyn.onlinelibrary.wiley.com/doi/pdf/10.1111/1471-0528.17288" TargetMode="External"/><Relationship Id="rId34" Type="http://schemas.openxmlformats.org/officeDocument/2006/relationships/hyperlink" Target="https://ashpublications.org/bloodadvances/article/8/9/2259/515320/Economic-evaluation-immunoglobulin-vs-prophylactic"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ubmed.ncbi.nlm.nih.gov/28549445/" TargetMode="External"/><Relationship Id="rId29" Type="http://schemas.openxmlformats.org/officeDocument/2006/relationships/hyperlink" Target="https://onlinelibrary.wiley.com/doi/10.1111/jpc.1529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med.ncbi.nlm.nih.gov/30159918/" TargetMode="External"/><Relationship Id="rId24" Type="http://schemas.openxmlformats.org/officeDocument/2006/relationships/hyperlink" Target="https://www.sciencedirect.com/science/article/abs/pii/S103673142100182X" TargetMode="External"/><Relationship Id="rId32" Type="http://schemas.openxmlformats.org/officeDocument/2006/relationships/hyperlink" Target="https://pubmed.ncbi.nlm.nih.gov/35882473/" TargetMode="External"/><Relationship Id="rId37" Type="http://schemas.openxmlformats.org/officeDocument/2006/relationships/hyperlink" Target="https://pubmed.ncbi.nlm.nih.gov/32141059/" TargetMode="External"/><Relationship Id="rId40" Type="http://schemas.openxmlformats.org/officeDocument/2006/relationships/hyperlink" Target="https://pubmed.ncbi.nlm.nih.gov/30770209/" TargetMode="External"/><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ijpds.org/article/view/1381" TargetMode="External"/><Relationship Id="rId23" Type="http://schemas.openxmlformats.org/officeDocument/2006/relationships/hyperlink" Target="https://research.usc.edu.au/esploro/outputs/doctoral/Impact-and-implications-of-the-ageing/99649579202621" TargetMode="External"/><Relationship Id="rId28" Type="http://schemas.openxmlformats.org/officeDocument/2006/relationships/hyperlink" Target="https://adc.bmj.com/content/107/6/619.long" TargetMode="External"/><Relationship Id="rId36" Type="http://schemas.openxmlformats.org/officeDocument/2006/relationships/hyperlink" Target="https://pubmed.ncbi.nlm.nih.gov/29142145/" TargetMode="External"/><Relationship Id="rId10" Type="http://schemas.openxmlformats.org/officeDocument/2006/relationships/endnotes" Target="endnotes.xml"/><Relationship Id="rId19" Type="http://schemas.openxmlformats.org/officeDocument/2006/relationships/hyperlink" Target="https://www.sciencedirect.com/science/article/pii/S1538783624001247" TargetMode="External"/><Relationship Id="rId31" Type="http://schemas.openxmlformats.org/officeDocument/2006/relationships/hyperlink" Target="https://library.ehaweb.org/eha/2021/eha2021-virtual-congress/324690/zoe.mcquilten.rational.a.randomised.controlled.feasibility.trial.comparing.html?f=menu%3D6%2Abrowseby%3D8%2Asortby%3D2%2Amedia%3D3%2Ace_id%3D2035%2Aot_id%3D25566"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mcresnotes.biomedcentral.com/articles/10.1186/s13104-021-05584-x" TargetMode="External"/><Relationship Id="rId22" Type="http://schemas.openxmlformats.org/officeDocument/2006/relationships/hyperlink" Target="https://pubmed.ncbi.nlm.nih.gov/28919087/" TargetMode="External"/><Relationship Id="rId27" Type="http://schemas.openxmlformats.org/officeDocument/2006/relationships/hyperlink" Target="https://theconversation.com/coronavirus-and-kawasaki-disease-in-children-its-an-intriguing-but-unproven-link-137415" TargetMode="External"/><Relationship Id="rId30" Type="http://schemas.openxmlformats.org/officeDocument/2006/relationships/hyperlink" Target="https://pubmed.ncbi.nlm.nih.gov/30129248/" TargetMode="External"/><Relationship Id="rId35" Type="http://schemas.openxmlformats.org/officeDocument/2006/relationships/hyperlink" Target="https://pubmed.ncbi.nlm.nih.gov/27242065/"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journals.plos.org/plosone/article?id=10.1371/journal.pone.0225123" TargetMode="External"/><Relationship Id="rId17" Type="http://schemas.openxmlformats.org/officeDocument/2006/relationships/hyperlink" Target="https://pubmed.ncbi.nlm.nih.gov/28151829/" TargetMode="External"/><Relationship Id="rId25" Type="http://schemas.openxmlformats.org/officeDocument/2006/relationships/hyperlink" Target="https://pubmed.ncbi.nlm.nih.gov/34716731/" TargetMode="External"/><Relationship Id="rId33" Type="http://schemas.openxmlformats.org/officeDocument/2006/relationships/hyperlink" Target="https://www.ncbi.nlm.nih.gov/pmc/articles/PMC11006812/" TargetMode="External"/><Relationship Id="rId38" Type="http://schemas.openxmlformats.org/officeDocument/2006/relationships/hyperlink" Target="https://pubmed.ncbi.nlm.nih.gov/31943696/" TargetMode="External"/><Relationship Id="rId46" Type="http://schemas.openxmlformats.org/officeDocument/2006/relationships/footer" Target="footer3.xml"/><Relationship Id="rId20" Type="http://schemas.openxmlformats.org/officeDocument/2006/relationships/hyperlink" Target="https://www.ncbi.nlm.nih.gov/pmc/articles/PMC9511733/"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740f0ee-9305-4c47-91c9-f75b4f2b01e7" xsi:nil="true"/>
    <Date xmlns="b60b4441-8c8a-413c-9864-b5894c257675" xsi:nil="true"/>
    <lcf76f155ced4ddcb4097134ff3c332f xmlns="b60b4441-8c8a-413c-9864-b5894c25767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7E3E055AA798B45886A5C0D9858BE92" ma:contentTypeVersion="21" ma:contentTypeDescription="Create a new document." ma:contentTypeScope="" ma:versionID="b315859c6bdba3dd09f06008623bf14a">
  <xsd:schema xmlns:xsd="http://www.w3.org/2001/XMLSchema" xmlns:xs="http://www.w3.org/2001/XMLSchema" xmlns:p="http://schemas.microsoft.com/office/2006/metadata/properties" xmlns:ns2="b60b4441-8c8a-413c-9864-b5894c257675" xmlns:ns3="9740f0ee-9305-4c47-91c9-f75b4f2b01e7" targetNamespace="http://schemas.microsoft.com/office/2006/metadata/properties" ma:root="true" ma:fieldsID="33999109fece1a983aef8c3b94c99254" ns2:_="" ns3:_="">
    <xsd:import namespace="b60b4441-8c8a-413c-9864-b5894c257675"/>
    <xsd:import namespace="9740f0ee-9305-4c47-91c9-f75b4f2b01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b4441-8c8a-413c-9864-b5894c257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7bad9a-45d8-4af9-8c19-56a0705915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740f0ee-9305-4c47-91c9-f75b4f2b01e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657d9a-bf84-4ea9-a0de-ad531108c057}" ma:internalName="TaxCatchAll" ma:showField="CatchAllData" ma:web="9740f0ee-9305-4c47-91c9-f75b4f2b01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DD2CB8-34CC-4E26-B01C-A6F41ADE24EB}">
  <ds:schemaRefs>
    <ds:schemaRef ds:uri="http://schemas.microsoft.com/sharepoint/v3/contenttype/forms"/>
  </ds:schemaRefs>
</ds:datastoreItem>
</file>

<file path=customXml/itemProps2.xml><?xml version="1.0" encoding="utf-8"?>
<ds:datastoreItem xmlns:ds="http://schemas.openxmlformats.org/officeDocument/2006/customXml" ds:itemID="{EBEEB184-8814-4790-BF3E-CF936DE4B0BD}">
  <ds:schemaRefs>
    <ds:schemaRef ds:uri="http://schemas.openxmlformats.org/officeDocument/2006/bibliography"/>
  </ds:schemaRefs>
</ds:datastoreItem>
</file>

<file path=customXml/itemProps3.xml><?xml version="1.0" encoding="utf-8"?>
<ds:datastoreItem xmlns:ds="http://schemas.openxmlformats.org/officeDocument/2006/customXml" ds:itemID="{E706710B-9FA0-4DDD-AA7C-75995AA5CAEC}">
  <ds:schemaRefs>
    <ds:schemaRef ds:uri="http://schemas.microsoft.com/office/2006/metadata/properties"/>
    <ds:schemaRef ds:uri="http://schemas.microsoft.com/office/infopath/2007/PartnerControls"/>
    <ds:schemaRef ds:uri="9740f0ee-9305-4c47-91c9-f75b4f2b01e7"/>
    <ds:schemaRef ds:uri="b60b4441-8c8a-413c-9864-b5894c257675"/>
  </ds:schemaRefs>
</ds:datastoreItem>
</file>

<file path=customXml/itemProps4.xml><?xml version="1.0" encoding="utf-8"?>
<ds:datastoreItem xmlns:ds="http://schemas.openxmlformats.org/officeDocument/2006/customXml" ds:itemID="{AE0DA734-9F73-4D09-A512-F4E3B9C12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b4441-8c8a-413c-9864-b5894c257675"/>
    <ds:schemaRef ds:uri="9740f0ee-9305-4c47-91c9-f75b4f2b0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4931</Words>
  <Characters>29439</Characters>
  <Application>Microsoft Office Word</Application>
  <DocSecurity>4</DocSecurity>
  <Lines>865</Lines>
  <Paragraphs>212</Paragraphs>
  <ScaleCrop>false</ScaleCrop>
  <HeadingPairs>
    <vt:vector size="2" baseType="variant">
      <vt:variant>
        <vt:lpstr>Title</vt:lpstr>
      </vt:variant>
      <vt:variant>
        <vt:i4>1</vt:i4>
      </vt:variant>
    </vt:vector>
  </HeadingPairs>
  <TitlesOfParts>
    <vt:vector size="1" baseType="lpstr">
      <vt:lpstr/>
    </vt:vector>
  </TitlesOfParts>
  <Company>National Blood Authority</Company>
  <LinksUpToDate>false</LinksUpToDate>
  <CharactersWithSpaces>34158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Rahnuma, Maliha</dc:creator>
  <cp:keywords/>
  <dc:description/>
  <cp:lastModifiedBy>Tran, Alice</cp:lastModifiedBy>
  <cp:revision>2</cp:revision>
  <dcterms:created xsi:type="dcterms:W3CDTF">2025-03-07T03:11:00Z</dcterms:created>
  <dcterms:modified xsi:type="dcterms:W3CDTF">2025-03-07T03:11:00Z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4,5,6</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11d3a1ea-a727-4720-a216-7dae13a61c56_Enabled">
    <vt:lpwstr>true</vt:lpwstr>
  </property>
  <property fmtid="{D5CDD505-2E9C-101B-9397-08002B2CF9AE}" pid="9" name="MSIP_Label_11d3a1ea-a727-4720-a216-7dae13a61c56_SetDate">
    <vt:lpwstr>2025-02-05T23:45:51Z</vt:lpwstr>
  </property>
  <property fmtid="{D5CDD505-2E9C-101B-9397-08002B2CF9AE}" pid="10" name="MSIP_Label_11d3a1ea-a727-4720-a216-7dae13a61c56_Method">
    <vt:lpwstr>Privileged</vt:lpwstr>
  </property>
  <property fmtid="{D5CDD505-2E9C-101B-9397-08002B2CF9AE}" pid="11" name="MSIP_Label_11d3a1ea-a727-4720-a216-7dae13a61c56_Name">
    <vt:lpwstr>OFFICIAL</vt:lpwstr>
  </property>
  <property fmtid="{D5CDD505-2E9C-101B-9397-08002B2CF9AE}" pid="12" name="MSIP_Label_11d3a1ea-a727-4720-a216-7dae13a61c56_SiteId">
    <vt:lpwstr>9c233057-0738-4b40-91b2-3798ceb38ebf</vt:lpwstr>
  </property>
  <property fmtid="{D5CDD505-2E9C-101B-9397-08002B2CF9AE}" pid="13" name="MSIP_Label_11d3a1ea-a727-4720-a216-7dae13a61c56_ActionId">
    <vt:lpwstr>3e239707-58f2-4848-90d2-2e1c3077145c</vt:lpwstr>
  </property>
  <property fmtid="{D5CDD505-2E9C-101B-9397-08002B2CF9AE}" pid="14" name="MSIP_Label_11d3a1ea-a727-4720-a216-7dae13a61c56_ContentBits">
    <vt:lpwstr>3</vt:lpwstr>
  </property>
  <property fmtid="{D5CDD505-2E9C-101B-9397-08002B2CF9AE}" pid="15" name="ContentTypeId">
    <vt:lpwstr>0x01010007E3E055AA798B45886A5C0D9858BE92</vt:lpwstr>
  </property>
  <property fmtid="{D5CDD505-2E9C-101B-9397-08002B2CF9AE}" pid="16" name="MediaServiceImageTags">
    <vt:lpwstr/>
  </property>
</Properties>
</file>