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A479" w14:textId="740A9055" w:rsidR="004570C0" w:rsidRPr="000B49BD" w:rsidRDefault="004570C0" w:rsidP="00E94B0F">
      <w:pPr>
        <w:pStyle w:val="Heading1"/>
        <w:rPr>
          <w:rFonts w:ascii="Aptos" w:hAnsi="Aptos"/>
          <w:sz w:val="22"/>
          <w:szCs w:val="22"/>
        </w:rPr>
      </w:pPr>
      <w:r w:rsidRPr="000B49BD">
        <w:rPr>
          <w:rFonts w:ascii="Aptos" w:hAnsi="Aptos"/>
          <w:noProof/>
          <w:sz w:val="22"/>
          <w:szCs w:val="22"/>
          <w:lang w:eastAsia="en-AU"/>
        </w:rPr>
        <mc:AlternateContent>
          <mc:Choice Requires="wps">
            <w:drawing>
              <wp:anchor distT="0" distB="0" distL="114300" distR="114300" simplePos="0" relativeHeight="251659264" behindDoc="0" locked="0" layoutInCell="1" allowOverlap="1" wp14:anchorId="544FEFEF" wp14:editId="67CFB28A">
                <wp:simplePos x="0" y="0"/>
                <wp:positionH relativeFrom="column">
                  <wp:posOffset>-751576</wp:posOffset>
                </wp:positionH>
                <wp:positionV relativeFrom="paragraph">
                  <wp:posOffset>-704215</wp:posOffset>
                </wp:positionV>
                <wp:extent cx="10382250" cy="2038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382250" cy="2038350"/>
                        </a:xfrm>
                        <a:prstGeom prst="rect">
                          <a:avLst/>
                        </a:prstGeom>
                        <a:solidFill>
                          <a:schemeClr val="lt1"/>
                        </a:solidFill>
                        <a:ln w="6350">
                          <a:noFill/>
                        </a:ln>
                      </wps:spPr>
                      <wps:txbx>
                        <w:txbxContent>
                          <w:p w14:paraId="4443CDB5" w14:textId="67083AA8" w:rsidR="004570C0" w:rsidRDefault="00D23DEA">
                            <w:r>
                              <w:rPr>
                                <w:noProof/>
                                <w:lang w:eastAsia="en-AU"/>
                              </w:rPr>
                              <w:drawing>
                                <wp:inline distT="0" distB="0" distL="0" distR="0" wp14:anchorId="7C9E4755" wp14:editId="4E0572F6">
                                  <wp:extent cx="10193020" cy="1552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26726" cy="15577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44FEFEF" id="_x0000_t202" coordsize="21600,21600" o:spt="202" path="m,l,21600r21600,l21600,xe">
                <v:stroke joinstyle="miter"/>
                <v:path gradientshapeok="t" o:connecttype="rect"/>
              </v:shapetype>
              <v:shape id="Text Box 1" o:spid="_x0000_s1026" type="#_x0000_t202" style="position:absolute;margin-left:-59.2pt;margin-top:-55.45pt;width:817.5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" fillcolor="white [3201]" stroked="f" strokeweight=".5pt">
                <v:textbox>
                  <w:txbxContent>
                    <w:p w14:paraId="4443CDB5" w14:textId="67083AA8" w:rsidR="004570C0" w:rsidRDefault="00D23DEA">
                      <w:r>
                        <w:rPr>
                          <w:noProof/>
                          <w:lang w:eastAsia="en-AU"/>
                        </w:rPr>
                        <w:drawing>
                          <wp:inline distT="0" distB="0" distL="0" distR="0" wp14:anchorId="7C9E4755" wp14:editId="4E0572F6">
                            <wp:extent cx="10193020" cy="1552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26726" cy="1557709"/>
                                    </a:xfrm>
                                    <a:prstGeom prst="rect">
                                      <a:avLst/>
                                    </a:prstGeom>
                                  </pic:spPr>
                                </pic:pic>
                              </a:graphicData>
                            </a:graphic>
                          </wp:inline>
                        </w:drawing>
                      </w:r>
                    </w:p>
                  </w:txbxContent>
                </v:textbox>
              </v:shape>
            </w:pict>
          </mc:Fallback>
        </mc:AlternateContent>
      </w:r>
    </w:p>
    <w:p w14:paraId="11819E49" w14:textId="00F70F43" w:rsidR="004570C0" w:rsidRPr="000B49BD" w:rsidRDefault="00004552" w:rsidP="00E94B0F">
      <w:pPr>
        <w:pStyle w:val="Heading1"/>
        <w:rPr>
          <w:rFonts w:ascii="Aptos" w:hAnsi="Aptos"/>
          <w:sz w:val="22"/>
          <w:szCs w:val="22"/>
        </w:rPr>
      </w:pPr>
      <w:r w:rsidRPr="000B49BD">
        <w:rPr>
          <w:rFonts w:ascii="Aptos" w:hAnsi="Aptos"/>
          <w:noProof/>
          <w:sz w:val="22"/>
          <w:szCs w:val="22"/>
          <w:lang w:eastAsia="en-AU"/>
        </w:rPr>
        <mc:AlternateContent>
          <mc:Choice Requires="wps">
            <w:drawing>
              <wp:anchor distT="0" distB="0" distL="114300" distR="114300" simplePos="0" relativeHeight="251660288" behindDoc="0" locked="0" layoutInCell="1" allowOverlap="1" wp14:anchorId="2B5FC9C3" wp14:editId="2634B808">
                <wp:simplePos x="0" y="0"/>
                <wp:positionH relativeFrom="column">
                  <wp:posOffset>-657225</wp:posOffset>
                </wp:positionH>
                <wp:positionV relativeFrom="paragraph">
                  <wp:posOffset>374650</wp:posOffset>
                </wp:positionV>
                <wp:extent cx="7372350" cy="5429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7372350" cy="542925"/>
                        </a:xfrm>
                        <a:prstGeom prst="rect">
                          <a:avLst/>
                        </a:prstGeom>
                        <a:solidFill>
                          <a:schemeClr val="bg1">
                            <a:lumMod val="75000"/>
                          </a:schemeClr>
                        </a:solidFill>
                        <a:ln w="6350">
                          <a:noFill/>
                        </a:ln>
                      </wps:spPr>
                      <wps:txbx>
                        <w:txbxContent>
                          <w:p w14:paraId="181A21BD" w14:textId="77777777" w:rsidR="004570C0" w:rsidRPr="00CD603E" w:rsidRDefault="004570C0" w:rsidP="004570C0">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p w14:paraId="62ABEE4C" w14:textId="77777777" w:rsidR="004570C0" w:rsidRDefault="004570C0" w:rsidP="004570C0">
                            <w:pPr>
                              <w:spacing w:before="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5FC9C3" id="Text Box 3" o:spid="_x0000_s1027" type="#_x0000_t202" style="position:absolute;margin-left:-51.75pt;margin-top:29.5pt;width:580.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" fillcolor="#bfbfbf [2412]" stroked="f" strokeweight=".5pt">
                <v:textbox>
                  <w:txbxContent>
                    <w:p w14:paraId="181A21BD" w14:textId="77777777" w:rsidR="004570C0" w:rsidRPr="00CD603E" w:rsidRDefault="004570C0" w:rsidP="004570C0">
                      <w:pPr>
                        <w:spacing w:before="200"/>
                        <w:rPr>
                          <w:b/>
                          <w:color w:val="FFFFFF" w:themeColor="background1"/>
                          <w:sz w:val="40"/>
                        </w:rPr>
                      </w:pPr>
                      <w:r w:rsidRPr="00CD603E">
                        <w:rPr>
                          <w:b/>
                          <w:i/>
                          <w:color w:val="FFFFFF" w:themeColor="background1"/>
                          <w:sz w:val="40"/>
                        </w:rPr>
                        <w:t>Criteria for clinical use of immunoglobulin in Australia</w:t>
                      </w:r>
                      <w:r w:rsidRPr="00CD603E">
                        <w:rPr>
                          <w:b/>
                          <w:color w:val="FFFFFF" w:themeColor="background1"/>
                          <w:sz w:val="40"/>
                        </w:rPr>
                        <w:t xml:space="preserve"> (</w:t>
                      </w:r>
                      <w:r>
                        <w:rPr>
                          <w:b/>
                          <w:color w:val="FFFFFF" w:themeColor="background1"/>
                          <w:sz w:val="40"/>
                        </w:rPr>
                        <w:t xml:space="preserve">the </w:t>
                      </w:r>
                      <w:r w:rsidRPr="00CD603E">
                        <w:rPr>
                          <w:b/>
                          <w:color w:val="FFFFFF" w:themeColor="background1"/>
                          <w:sz w:val="40"/>
                        </w:rPr>
                        <w:t>Criteria)</w:t>
                      </w:r>
                    </w:p>
                    <w:p w14:paraId="62ABEE4C" w14:textId="77777777" w:rsidR="004570C0" w:rsidRDefault="004570C0" w:rsidP="004570C0">
                      <w:pPr>
                        <w:spacing w:before="200"/>
                      </w:pPr>
                    </w:p>
                  </w:txbxContent>
                </v:textbox>
              </v:shape>
            </w:pict>
          </mc:Fallback>
        </mc:AlternateContent>
      </w:r>
    </w:p>
    <w:p w14:paraId="57831A61" w14:textId="2129BB80" w:rsidR="004570C0" w:rsidRDefault="004570C0" w:rsidP="00E45E04">
      <w:pPr>
        <w:pStyle w:val="Heading1"/>
        <w:spacing w:after="0" w:line="240" w:lineRule="auto"/>
        <w:rPr>
          <w:rFonts w:ascii="Aptos" w:hAnsi="Aptos"/>
          <w:sz w:val="22"/>
          <w:szCs w:val="22"/>
        </w:rPr>
      </w:pPr>
    </w:p>
    <w:p w14:paraId="590AD95E" w14:textId="77777777" w:rsidR="00EE7B00" w:rsidRPr="00EE7B00" w:rsidRDefault="00EE7B00" w:rsidP="00EE7B00"/>
    <w:p w14:paraId="4E1451BB" w14:textId="11F5FB45" w:rsidR="00B3726E" w:rsidRPr="00EE7B00" w:rsidRDefault="004570C0" w:rsidP="00E45E04">
      <w:pPr>
        <w:pStyle w:val="Heading1"/>
        <w:spacing w:before="120" w:after="120" w:line="240" w:lineRule="auto"/>
        <w:ind w:left="-737" w:right="0"/>
        <w:rPr>
          <w:rFonts w:ascii="Aptos" w:hAnsi="Aptos"/>
          <w:szCs w:val="56"/>
        </w:rPr>
      </w:pPr>
      <w:r w:rsidRPr="00EE7B00">
        <w:rPr>
          <w:rFonts w:ascii="Aptos" w:hAnsi="Aptos"/>
          <w:szCs w:val="56"/>
        </w:rPr>
        <w:t xml:space="preserve">Neurology Conditions - </w:t>
      </w:r>
      <w:r w:rsidR="00D96C83" w:rsidRPr="00EE7B00">
        <w:rPr>
          <w:rFonts w:ascii="Aptos" w:hAnsi="Aptos"/>
          <w:szCs w:val="56"/>
        </w:rPr>
        <w:t>Summary of Criteria Changes</w:t>
      </w:r>
    </w:p>
    <w:p w14:paraId="68871C56" w14:textId="21A33481" w:rsidR="003A5AD5" w:rsidRPr="00EE7B00" w:rsidRDefault="00D96C83" w:rsidP="003A5AD5">
      <w:pPr>
        <w:ind w:left="-737"/>
        <w:rPr>
          <w:rFonts w:ascii="Aptos" w:hAnsi="Aptos"/>
        </w:rPr>
      </w:pPr>
      <w:r w:rsidRPr="00EE7B00">
        <w:rPr>
          <w:rFonts w:ascii="Aptos" w:hAnsi="Aptos"/>
        </w:rPr>
        <w:t xml:space="preserve">The </w:t>
      </w:r>
      <w:r w:rsidRPr="00EE7B00">
        <w:rPr>
          <w:rFonts w:ascii="Aptos" w:hAnsi="Aptos"/>
          <w:i/>
        </w:rPr>
        <w:t>Criteria for clinical use of immunoglobulin in Australia</w:t>
      </w:r>
      <w:r w:rsidRPr="00EE7B00">
        <w:rPr>
          <w:rFonts w:ascii="Aptos" w:hAnsi="Aptos"/>
        </w:rPr>
        <w:t xml:space="preserve"> (Criteria) is under a continuous review cycle</w:t>
      </w:r>
      <w:r w:rsidR="00156490" w:rsidRPr="00EE7B00">
        <w:rPr>
          <w:rFonts w:ascii="Aptos" w:hAnsi="Aptos"/>
        </w:rPr>
        <w:t xml:space="preserve"> </w:t>
      </w:r>
      <w:r w:rsidR="00AA33D4" w:rsidRPr="00EE7B00">
        <w:rPr>
          <w:rFonts w:ascii="Aptos" w:hAnsi="Aptos"/>
        </w:rPr>
        <w:t>f</w:t>
      </w:r>
      <w:r w:rsidR="00156490" w:rsidRPr="00EE7B00">
        <w:rPr>
          <w:rFonts w:ascii="Aptos" w:hAnsi="Aptos"/>
        </w:rPr>
        <w:t>ollowing release of</w:t>
      </w:r>
      <w:r w:rsidRPr="00EE7B00">
        <w:rPr>
          <w:rFonts w:ascii="Aptos" w:hAnsi="Aptos"/>
        </w:rPr>
        <w:t xml:space="preserve"> </w:t>
      </w:r>
      <w:r w:rsidR="00E1259E" w:rsidRPr="00EE7B00">
        <w:rPr>
          <w:rFonts w:ascii="Aptos" w:hAnsi="Aptos"/>
        </w:rPr>
        <w:t xml:space="preserve">Version 3 on 22 October 2018. </w:t>
      </w:r>
      <w:r w:rsidRPr="00EE7B00">
        <w:rPr>
          <w:rFonts w:ascii="Aptos" w:hAnsi="Aptos"/>
        </w:rPr>
        <w:t>The table below summarises</w:t>
      </w:r>
      <w:r w:rsidR="00156490" w:rsidRPr="00EE7B00">
        <w:rPr>
          <w:rFonts w:ascii="Aptos" w:hAnsi="Aptos"/>
        </w:rPr>
        <w:t xml:space="preserve"> subsequent</w:t>
      </w:r>
      <w:r w:rsidRPr="00EE7B00">
        <w:rPr>
          <w:rFonts w:ascii="Aptos" w:hAnsi="Aptos"/>
        </w:rPr>
        <w:t xml:space="preserve"> changes made by medical condition and indication</w:t>
      </w:r>
      <w:r w:rsidR="00E1259E" w:rsidRPr="00EE7B00">
        <w:rPr>
          <w:rFonts w:ascii="Aptos" w:hAnsi="Aptos"/>
        </w:rPr>
        <w:t xml:space="preserve"> to the Criteria following the publication o</w:t>
      </w:r>
      <w:r w:rsidR="00C30D28" w:rsidRPr="00EE7B00">
        <w:rPr>
          <w:rFonts w:ascii="Aptos" w:hAnsi="Aptos"/>
        </w:rPr>
        <w:t>f</w:t>
      </w:r>
      <w:r w:rsidR="00E1259E" w:rsidRPr="00EE7B00">
        <w:rPr>
          <w:rFonts w:ascii="Aptos" w:hAnsi="Aptos"/>
        </w:rPr>
        <w:t xml:space="preserve"> Version 3</w:t>
      </w:r>
      <w:r w:rsidRPr="00EE7B00">
        <w:rPr>
          <w:rFonts w:ascii="Aptos" w:hAnsi="Aptos"/>
        </w:rPr>
        <w:t xml:space="preserve">. </w:t>
      </w:r>
      <w:r w:rsidR="00AC4CA3" w:rsidRPr="00EE7B00">
        <w:rPr>
          <w:rFonts w:ascii="Aptos" w:hAnsi="Aptos"/>
        </w:rPr>
        <w:t xml:space="preserve">Changes will be applied </w:t>
      </w:r>
      <w:r w:rsidR="00E1259E" w:rsidRPr="00EE7B00">
        <w:rPr>
          <w:rFonts w:ascii="Aptos" w:hAnsi="Aptos"/>
        </w:rPr>
        <w:t xml:space="preserve">immediately to new authorisations and </w:t>
      </w:r>
      <w:r w:rsidR="00AC4CA3" w:rsidRPr="00EE7B00">
        <w:rPr>
          <w:rFonts w:ascii="Aptos" w:hAnsi="Aptos"/>
        </w:rPr>
        <w:t xml:space="preserve">to </w:t>
      </w:r>
      <w:r w:rsidR="00E1259E" w:rsidRPr="00EE7B00">
        <w:rPr>
          <w:rFonts w:ascii="Aptos" w:hAnsi="Aptos"/>
        </w:rPr>
        <w:t xml:space="preserve">existing </w:t>
      </w:r>
      <w:r w:rsidR="00AC4CA3" w:rsidRPr="00EE7B00">
        <w:rPr>
          <w:rFonts w:ascii="Aptos" w:hAnsi="Aptos"/>
        </w:rPr>
        <w:t>authorisation</w:t>
      </w:r>
      <w:r w:rsidR="00E1259E" w:rsidRPr="00EE7B00">
        <w:rPr>
          <w:rFonts w:ascii="Aptos" w:hAnsi="Aptos"/>
        </w:rPr>
        <w:t>s</w:t>
      </w:r>
      <w:r w:rsidR="00AC4CA3" w:rsidRPr="00EE7B00">
        <w:rPr>
          <w:rFonts w:ascii="Aptos" w:hAnsi="Aptos"/>
        </w:rPr>
        <w:t xml:space="preserve"> at the next continuing treatment request</w:t>
      </w:r>
      <w:r w:rsidR="00C30D28" w:rsidRPr="00EE7B00">
        <w:rPr>
          <w:rFonts w:ascii="Aptos" w:hAnsi="Aptos"/>
        </w:rPr>
        <w:t>,</w:t>
      </w:r>
      <w:r w:rsidR="00E1259E" w:rsidRPr="00EE7B00">
        <w:rPr>
          <w:rFonts w:ascii="Aptos" w:hAnsi="Aptos"/>
        </w:rPr>
        <w:t xml:space="preserve"> unless otherwise stated</w:t>
      </w:r>
      <w:r w:rsidR="00AC4CA3" w:rsidRPr="00EE7B00">
        <w:rPr>
          <w:rFonts w:ascii="Aptos" w:hAnsi="Aptos"/>
        </w:rPr>
        <w:t xml:space="preserve">. </w:t>
      </w:r>
      <w:r w:rsidRPr="00EE7B00">
        <w:rPr>
          <w:rFonts w:ascii="Aptos" w:hAnsi="Aptos"/>
        </w:rPr>
        <w:t>This table will be updated w</w:t>
      </w:r>
      <w:r w:rsidR="003A5AD5" w:rsidRPr="00EE7B00">
        <w:rPr>
          <w:rFonts w:ascii="Aptos" w:hAnsi="Aptos"/>
        </w:rPr>
        <w:t>hen any change is made.</w:t>
      </w:r>
    </w:p>
    <w:tbl>
      <w:tblPr>
        <w:tblStyle w:val="TableGrid"/>
        <w:tblW w:w="16160" w:type="dxa"/>
        <w:tblInd w:w="-1134" w:type="dxa"/>
        <w:tblBorders>
          <w:top w:val="single" w:sz="8" w:space="0" w:color="BFBFBF" w:themeColor="background1" w:themeShade="BF"/>
          <w:left w:val="none" w:sz="0" w:space="0" w:color="auto"/>
          <w:bottom w:val="single" w:sz="8" w:space="0" w:color="BFBFBF" w:themeColor="background1" w:themeShade="BF"/>
          <w:right w:val="none" w:sz="0" w:space="0" w:color="auto"/>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43"/>
        <w:gridCol w:w="4593"/>
        <w:gridCol w:w="6366"/>
        <w:gridCol w:w="1408"/>
        <w:gridCol w:w="1250"/>
      </w:tblGrid>
      <w:tr w:rsidR="003A5AD5" w:rsidRPr="00EE7B00" w14:paraId="05FFBE0A" w14:textId="77777777" w:rsidTr="003A5AD5">
        <w:trPr>
          <w:cantSplit/>
          <w:trHeight w:val="554"/>
          <w:tblHeader/>
        </w:trPr>
        <w:tc>
          <w:tcPr>
            <w:tcW w:w="2543" w:type="dxa"/>
            <w:shd w:val="clear" w:color="auto" w:fill="F79646" w:themeFill="accent6"/>
          </w:tcPr>
          <w:p w14:paraId="6DCB4A09" w14:textId="77777777" w:rsidR="003A5AD5" w:rsidRPr="00EE7B00" w:rsidRDefault="003A5AD5" w:rsidP="004D7FFC">
            <w:pPr>
              <w:tabs>
                <w:tab w:val="left" w:pos="902"/>
              </w:tabs>
              <w:spacing w:before="240" w:after="120"/>
              <w:ind w:left="27"/>
              <w:rPr>
                <w:rFonts w:ascii="Aptos" w:hAnsi="Aptos"/>
                <w:b/>
                <w:color w:val="FFFFFF" w:themeColor="background1"/>
              </w:rPr>
            </w:pPr>
            <w:r w:rsidRPr="00EE7B00">
              <w:rPr>
                <w:rFonts w:ascii="Aptos" w:hAnsi="Aptos"/>
                <w:b/>
                <w:color w:val="FFFFFF" w:themeColor="background1"/>
              </w:rPr>
              <w:t xml:space="preserve">Medical condition </w:t>
            </w:r>
          </w:p>
        </w:tc>
        <w:tc>
          <w:tcPr>
            <w:tcW w:w="4593" w:type="dxa"/>
            <w:shd w:val="clear" w:color="auto" w:fill="F79646" w:themeFill="accent6"/>
          </w:tcPr>
          <w:p w14:paraId="2AE42465" w14:textId="77777777" w:rsidR="003A5AD5" w:rsidRPr="00EE7B00" w:rsidRDefault="003A5AD5" w:rsidP="004D7FFC">
            <w:pPr>
              <w:tabs>
                <w:tab w:val="left" w:pos="902"/>
              </w:tabs>
              <w:spacing w:before="240" w:after="120"/>
              <w:rPr>
                <w:rFonts w:ascii="Aptos" w:hAnsi="Aptos"/>
                <w:b/>
                <w:color w:val="FFFFFF" w:themeColor="background1"/>
              </w:rPr>
            </w:pPr>
            <w:r w:rsidRPr="00EE7B00">
              <w:rPr>
                <w:rFonts w:ascii="Aptos" w:hAnsi="Aptos"/>
                <w:b/>
                <w:color w:val="FFFFFF" w:themeColor="background1"/>
              </w:rPr>
              <w:t>Indication/s</w:t>
            </w:r>
          </w:p>
        </w:tc>
        <w:tc>
          <w:tcPr>
            <w:tcW w:w="6366" w:type="dxa"/>
            <w:shd w:val="clear" w:color="auto" w:fill="F79646" w:themeFill="accent6"/>
          </w:tcPr>
          <w:p w14:paraId="0D550A8A" w14:textId="77777777" w:rsidR="003A5AD5" w:rsidRPr="00EE7B00" w:rsidRDefault="003A5AD5" w:rsidP="004D7FFC">
            <w:pPr>
              <w:tabs>
                <w:tab w:val="left" w:pos="902"/>
              </w:tabs>
              <w:spacing w:before="240" w:after="120"/>
              <w:rPr>
                <w:rFonts w:ascii="Aptos" w:hAnsi="Aptos"/>
                <w:b/>
                <w:color w:val="FFFFFF" w:themeColor="background1"/>
              </w:rPr>
            </w:pPr>
            <w:r w:rsidRPr="00EE7B00">
              <w:rPr>
                <w:rFonts w:ascii="Aptos" w:hAnsi="Aptos"/>
                <w:b/>
                <w:color w:val="FFFFFF" w:themeColor="background1"/>
              </w:rPr>
              <w:t xml:space="preserve">Summary of changes </w:t>
            </w:r>
          </w:p>
        </w:tc>
        <w:tc>
          <w:tcPr>
            <w:tcW w:w="1408" w:type="dxa"/>
            <w:shd w:val="clear" w:color="auto" w:fill="F79646" w:themeFill="accent6"/>
          </w:tcPr>
          <w:p w14:paraId="12820D6D" w14:textId="77777777" w:rsidR="003A5AD5" w:rsidRPr="00EE7B00" w:rsidRDefault="003A5AD5" w:rsidP="004D7FFC">
            <w:pPr>
              <w:tabs>
                <w:tab w:val="left" w:pos="902"/>
              </w:tabs>
              <w:spacing w:before="240" w:after="120"/>
              <w:ind w:left="-57" w:right="-57"/>
              <w:jc w:val="center"/>
              <w:rPr>
                <w:rFonts w:ascii="Aptos" w:hAnsi="Aptos"/>
                <w:b/>
                <w:color w:val="FFFFFF" w:themeColor="background1"/>
              </w:rPr>
            </w:pPr>
            <w:r w:rsidRPr="00EE7B00">
              <w:rPr>
                <w:rFonts w:ascii="Aptos" w:hAnsi="Aptos"/>
                <w:b/>
                <w:color w:val="FFFFFF" w:themeColor="background1"/>
              </w:rPr>
              <w:t>Date changed</w:t>
            </w:r>
          </w:p>
        </w:tc>
        <w:tc>
          <w:tcPr>
            <w:tcW w:w="1250" w:type="dxa"/>
            <w:shd w:val="clear" w:color="auto" w:fill="F79646" w:themeFill="accent6"/>
          </w:tcPr>
          <w:p w14:paraId="2249D867" w14:textId="77777777" w:rsidR="003A5AD5" w:rsidRPr="00EE7B00" w:rsidRDefault="003A5AD5" w:rsidP="004D7FFC">
            <w:pPr>
              <w:tabs>
                <w:tab w:val="left" w:pos="902"/>
              </w:tabs>
              <w:spacing w:before="120" w:after="120"/>
              <w:jc w:val="center"/>
              <w:rPr>
                <w:rFonts w:ascii="Aptos" w:hAnsi="Aptos"/>
                <w:b/>
                <w:color w:val="FFFFFF" w:themeColor="background1"/>
              </w:rPr>
            </w:pPr>
            <w:r w:rsidRPr="00EE7B00">
              <w:rPr>
                <w:rFonts w:ascii="Aptos" w:hAnsi="Aptos"/>
                <w:b/>
                <w:color w:val="FFFFFF" w:themeColor="background1"/>
              </w:rPr>
              <w:t>Version number</w:t>
            </w:r>
          </w:p>
        </w:tc>
      </w:tr>
      <w:tr w:rsidR="003A5AD5" w:rsidRPr="00EE7B00" w14:paraId="6E8B41A4" w14:textId="77777777" w:rsidTr="004D7FFC">
        <w:trPr>
          <w:cantSplit/>
        </w:trPr>
        <w:tc>
          <w:tcPr>
            <w:tcW w:w="2543" w:type="dxa"/>
            <w:vAlign w:val="center"/>
          </w:tcPr>
          <w:p w14:paraId="3F2A3836"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t>Acute disseminated encephalomyelitis (ADEM)</w:t>
            </w:r>
          </w:p>
        </w:tc>
        <w:tc>
          <w:tcPr>
            <w:tcW w:w="4593" w:type="dxa"/>
            <w:vAlign w:val="center"/>
          </w:tcPr>
          <w:p w14:paraId="51BB3A65"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Monophasic ADEM unresponsive to corticosteroid therapy or where corticosteroids are contraindicated</w:t>
            </w:r>
          </w:p>
          <w:p w14:paraId="16BC192C"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Recurrent or multiphasic ADEM unresponsive to steroid therapy or where corticosteroid therapy has become intolerable or is contraindicated</w:t>
            </w:r>
          </w:p>
          <w:p w14:paraId="491E76B7"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Relapse of patients with recurrent or multiphasic ADEM within six months of commencement of trial off immunoglobulin therapy</w:t>
            </w:r>
          </w:p>
        </w:tc>
        <w:tc>
          <w:tcPr>
            <w:tcW w:w="6366" w:type="dxa"/>
          </w:tcPr>
          <w:p w14:paraId="30BD1A21"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Up to two one off doses, in addition to the induction dose, are now permitted over the course of the authorisation in severely affected patients who are not responding to maintenance therapy.</w:t>
            </w:r>
          </w:p>
          <w:p w14:paraId="61A0410C"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maintenance dose can now be requested as a divided dose in all indications.</w:t>
            </w:r>
          </w:p>
        </w:tc>
        <w:tc>
          <w:tcPr>
            <w:tcW w:w="1408" w:type="dxa"/>
          </w:tcPr>
          <w:p w14:paraId="5BEC5A20"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March</w:t>
            </w:r>
          </w:p>
          <w:p w14:paraId="154A65A1"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2020</w:t>
            </w:r>
          </w:p>
        </w:tc>
        <w:tc>
          <w:tcPr>
            <w:tcW w:w="1250" w:type="dxa"/>
          </w:tcPr>
          <w:p w14:paraId="62298975"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0B18D6" w:rsidRPr="00EE7B00" w14:paraId="5D32D8DE" w14:textId="77777777" w:rsidTr="004D7FFC">
        <w:trPr>
          <w:cantSplit/>
        </w:trPr>
        <w:tc>
          <w:tcPr>
            <w:tcW w:w="2543" w:type="dxa"/>
            <w:vMerge w:val="restart"/>
            <w:vAlign w:val="center"/>
          </w:tcPr>
          <w:p w14:paraId="6F621F3F" w14:textId="77777777" w:rsidR="000B18D6" w:rsidRPr="00EE7B00" w:rsidRDefault="000B18D6" w:rsidP="004D7FFC">
            <w:pPr>
              <w:tabs>
                <w:tab w:val="left" w:pos="902"/>
              </w:tabs>
              <w:rPr>
                <w:rFonts w:ascii="Aptos" w:hAnsi="Aptos" w:cstheme="minorHAnsi"/>
              </w:rPr>
            </w:pPr>
            <w:r w:rsidRPr="00EE7B00">
              <w:rPr>
                <w:rFonts w:ascii="Aptos" w:hAnsi="Aptos" w:cstheme="minorHAnsi"/>
              </w:rPr>
              <w:lastRenderedPageBreak/>
              <w:t>Autoimmune encephalitis mediated by antibodies targeting cell-surface antigens (AMAE)</w:t>
            </w:r>
          </w:p>
        </w:tc>
        <w:tc>
          <w:tcPr>
            <w:tcW w:w="4593" w:type="dxa"/>
            <w:vMerge w:val="restart"/>
            <w:vAlign w:val="center"/>
          </w:tcPr>
          <w:p w14:paraId="225598AB"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Confirmed antibody mediated autoimmune encephalitis (AMAE) or limbic encephalitis –cell surface antibody positive</w:t>
            </w:r>
          </w:p>
          <w:p w14:paraId="389469D2" w14:textId="52570E65" w:rsidR="000B18D6" w:rsidRPr="00FB589E" w:rsidRDefault="000B18D6" w:rsidP="00FB589E">
            <w:pPr>
              <w:pStyle w:val="ListParagraph"/>
              <w:numPr>
                <w:ilvl w:val="0"/>
                <w:numId w:val="6"/>
              </w:numPr>
              <w:tabs>
                <w:tab w:val="left" w:pos="902"/>
              </w:tabs>
              <w:rPr>
                <w:rFonts w:ascii="Aptos" w:hAnsi="Aptos" w:cstheme="minorHAnsi"/>
              </w:rPr>
            </w:pPr>
            <w:r w:rsidRPr="00EE7B00">
              <w:rPr>
                <w:rFonts w:ascii="Aptos" w:hAnsi="Aptos" w:cstheme="minorHAnsi"/>
              </w:rPr>
              <w:t>Suspected antibody mediated autoimmune encephalitis (AMAE) – antibody results not available or sero-negative AMAE or seronegative limbic encephalitis</w:t>
            </w:r>
          </w:p>
        </w:tc>
        <w:tc>
          <w:tcPr>
            <w:tcW w:w="6366" w:type="dxa"/>
            <w:vAlign w:val="center"/>
          </w:tcPr>
          <w:p w14:paraId="30AC77BB"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bCs/>
                <w:iCs/>
                <w:color w:val="000000" w:themeColor="text1"/>
              </w:rPr>
              <w:t>The MRS evidence item options did not match the assessment instructions. The change a</w:t>
            </w:r>
            <w:r w:rsidRPr="00EE7B00">
              <w:rPr>
                <w:rFonts w:ascii="Aptos" w:hAnsi="Aptos" w:cstheme="minorHAnsi"/>
                <w:bCs/>
                <w:color w:val="000000" w:themeColor="text1"/>
              </w:rPr>
              <w:t>djusted the MRS evidence item options.</w:t>
            </w:r>
          </w:p>
        </w:tc>
        <w:tc>
          <w:tcPr>
            <w:tcW w:w="1408" w:type="dxa"/>
            <w:vAlign w:val="center"/>
          </w:tcPr>
          <w:p w14:paraId="6379FDA0"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February 2024</w:t>
            </w:r>
          </w:p>
        </w:tc>
        <w:tc>
          <w:tcPr>
            <w:tcW w:w="1250" w:type="dxa"/>
            <w:vAlign w:val="center"/>
          </w:tcPr>
          <w:p w14:paraId="5A03C1E8"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3.3</w:t>
            </w:r>
          </w:p>
        </w:tc>
      </w:tr>
      <w:tr w:rsidR="000B18D6" w:rsidRPr="00EE7B00" w14:paraId="092B70AC" w14:textId="77777777" w:rsidTr="004D7FFC">
        <w:trPr>
          <w:cantSplit/>
        </w:trPr>
        <w:tc>
          <w:tcPr>
            <w:tcW w:w="2543" w:type="dxa"/>
            <w:vMerge/>
            <w:vAlign w:val="center"/>
          </w:tcPr>
          <w:p w14:paraId="02B69298" w14:textId="77777777" w:rsidR="000B18D6" w:rsidRPr="00EE7B00" w:rsidRDefault="000B18D6" w:rsidP="004D7FFC">
            <w:pPr>
              <w:pStyle w:val="ListParagraph"/>
              <w:numPr>
                <w:ilvl w:val="0"/>
                <w:numId w:val="6"/>
              </w:numPr>
              <w:tabs>
                <w:tab w:val="left" w:pos="902"/>
              </w:tabs>
              <w:rPr>
                <w:rFonts w:ascii="Aptos" w:hAnsi="Aptos" w:cstheme="minorHAnsi"/>
              </w:rPr>
            </w:pPr>
          </w:p>
        </w:tc>
        <w:tc>
          <w:tcPr>
            <w:tcW w:w="4593" w:type="dxa"/>
            <w:vMerge/>
            <w:vAlign w:val="center"/>
          </w:tcPr>
          <w:p w14:paraId="312291CF" w14:textId="043985D5" w:rsidR="000B18D6" w:rsidRPr="000B18D6" w:rsidRDefault="000B18D6" w:rsidP="000B18D6">
            <w:pPr>
              <w:tabs>
                <w:tab w:val="left" w:pos="902"/>
              </w:tabs>
              <w:rPr>
                <w:rFonts w:ascii="Aptos" w:hAnsi="Aptos" w:cstheme="minorHAnsi"/>
              </w:rPr>
            </w:pPr>
          </w:p>
        </w:tc>
        <w:tc>
          <w:tcPr>
            <w:tcW w:w="6366" w:type="dxa"/>
            <w:vAlign w:val="center"/>
          </w:tcPr>
          <w:p w14:paraId="16407BB6" w14:textId="77777777" w:rsidR="000B18D6" w:rsidRPr="00EE7B00" w:rsidRDefault="000B18D6" w:rsidP="004D7FFC">
            <w:pPr>
              <w:pStyle w:val="ListParagraph"/>
              <w:numPr>
                <w:ilvl w:val="0"/>
                <w:numId w:val="6"/>
              </w:numPr>
              <w:rPr>
                <w:rFonts w:ascii="Aptos" w:hAnsi="Aptos" w:cstheme="minorHAnsi"/>
              </w:rPr>
            </w:pPr>
            <w:r w:rsidRPr="00EE7B00">
              <w:rPr>
                <w:rFonts w:ascii="Aptos" w:hAnsi="Aptos" w:cstheme="minorHAnsi"/>
              </w:rPr>
              <w:t>Dosing frequency has been updated to allow greater flexibility.</w:t>
            </w:r>
          </w:p>
          <w:p w14:paraId="42D6A080"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vAlign w:val="center"/>
          </w:tcPr>
          <w:p w14:paraId="3ED82EDC"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November 2023</w:t>
            </w:r>
          </w:p>
        </w:tc>
        <w:tc>
          <w:tcPr>
            <w:tcW w:w="1250" w:type="dxa"/>
            <w:vAlign w:val="center"/>
          </w:tcPr>
          <w:p w14:paraId="068A7808"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3.2</w:t>
            </w:r>
          </w:p>
        </w:tc>
      </w:tr>
      <w:tr w:rsidR="000B18D6" w:rsidRPr="00EE7B00" w14:paraId="48B1AB0E" w14:textId="77777777" w:rsidTr="004D7FFC">
        <w:trPr>
          <w:cantSplit/>
        </w:trPr>
        <w:tc>
          <w:tcPr>
            <w:tcW w:w="2543" w:type="dxa"/>
            <w:vMerge/>
            <w:vAlign w:val="center"/>
          </w:tcPr>
          <w:p w14:paraId="628E3EF0" w14:textId="77777777" w:rsidR="000B18D6" w:rsidRPr="00EE7B00" w:rsidRDefault="000B18D6" w:rsidP="004D7FFC">
            <w:pPr>
              <w:pStyle w:val="ListParagraph"/>
              <w:numPr>
                <w:ilvl w:val="0"/>
                <w:numId w:val="6"/>
              </w:numPr>
              <w:tabs>
                <w:tab w:val="left" w:pos="902"/>
              </w:tabs>
              <w:rPr>
                <w:rFonts w:ascii="Aptos" w:hAnsi="Aptos" w:cstheme="minorHAnsi"/>
              </w:rPr>
            </w:pPr>
          </w:p>
        </w:tc>
        <w:tc>
          <w:tcPr>
            <w:tcW w:w="4593" w:type="dxa"/>
            <w:vMerge/>
            <w:vAlign w:val="center"/>
          </w:tcPr>
          <w:p w14:paraId="06116FD5" w14:textId="2DCFE5BE" w:rsidR="000B18D6" w:rsidRPr="00FB589E" w:rsidRDefault="000B18D6" w:rsidP="000B18D6">
            <w:pPr>
              <w:pStyle w:val="ListParagraph"/>
              <w:tabs>
                <w:tab w:val="left" w:pos="902"/>
              </w:tabs>
              <w:ind w:left="360"/>
              <w:rPr>
                <w:rFonts w:ascii="Aptos" w:hAnsi="Aptos" w:cstheme="minorHAnsi"/>
              </w:rPr>
            </w:pPr>
          </w:p>
        </w:tc>
        <w:tc>
          <w:tcPr>
            <w:tcW w:w="6366" w:type="dxa"/>
            <w:vAlign w:val="center"/>
          </w:tcPr>
          <w:p w14:paraId="65FBEE68"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adapted Modified Rankin Scale (MRS) replaces the MRS; allowing prescribers to accurately provide a score where their patient’s primary symptom is seizures.</w:t>
            </w:r>
          </w:p>
          <w:p w14:paraId="0CF5F62F"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Qualifying Criteria post-script has been updated in suspected AMAE to clarify the appropriate indication for patients with anti-GAD, thyroid and the classical intracellular antineuronal antibodies.</w:t>
            </w:r>
          </w:p>
        </w:tc>
        <w:tc>
          <w:tcPr>
            <w:tcW w:w="1408" w:type="dxa"/>
            <w:vAlign w:val="center"/>
          </w:tcPr>
          <w:p w14:paraId="52F219DA"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March</w:t>
            </w:r>
          </w:p>
          <w:p w14:paraId="2CD6A38D"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2020</w:t>
            </w:r>
          </w:p>
        </w:tc>
        <w:tc>
          <w:tcPr>
            <w:tcW w:w="1250" w:type="dxa"/>
            <w:vAlign w:val="center"/>
          </w:tcPr>
          <w:p w14:paraId="414D2C84"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1294D413" w14:textId="77777777" w:rsidTr="004D7FFC">
        <w:trPr>
          <w:cantSplit/>
        </w:trPr>
        <w:tc>
          <w:tcPr>
            <w:tcW w:w="2543" w:type="dxa"/>
            <w:vAlign w:val="center"/>
          </w:tcPr>
          <w:p w14:paraId="62FC0F87"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t>Childhood epileptic encephalopathy</w:t>
            </w:r>
          </w:p>
        </w:tc>
        <w:tc>
          <w:tcPr>
            <w:tcW w:w="4593" w:type="dxa"/>
            <w:vAlign w:val="center"/>
          </w:tcPr>
          <w:p w14:paraId="7AEC86E8"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 xml:space="preserve">Children with epileptic encephalopathy resistant to anti-epileptic medications and steroid therapy or steroid responsive but dependent </w:t>
            </w:r>
          </w:p>
          <w:p w14:paraId="5F005C74"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Relapse of epileptic encephalopathy following a trial of weaning from Ig therapy in a patient previously demonstrating response</w:t>
            </w:r>
          </w:p>
        </w:tc>
        <w:tc>
          <w:tcPr>
            <w:tcW w:w="6366" w:type="dxa"/>
          </w:tcPr>
          <w:p w14:paraId="63362F40" w14:textId="77777777" w:rsidR="000B18D6" w:rsidRDefault="000B18D6" w:rsidP="000B18D6">
            <w:pPr>
              <w:pStyle w:val="ListParagraph"/>
              <w:tabs>
                <w:tab w:val="left" w:pos="902"/>
              </w:tabs>
              <w:ind w:left="360"/>
              <w:rPr>
                <w:rFonts w:ascii="Aptos" w:hAnsi="Aptos" w:cstheme="minorHAnsi"/>
              </w:rPr>
            </w:pPr>
          </w:p>
          <w:p w14:paraId="410F9770" w14:textId="77777777" w:rsidR="000B18D6" w:rsidRDefault="000B18D6" w:rsidP="000B18D6">
            <w:pPr>
              <w:pStyle w:val="ListParagraph"/>
              <w:tabs>
                <w:tab w:val="left" w:pos="902"/>
              </w:tabs>
              <w:ind w:left="360"/>
              <w:rPr>
                <w:rFonts w:ascii="Aptos" w:hAnsi="Aptos" w:cstheme="minorHAnsi"/>
              </w:rPr>
            </w:pPr>
          </w:p>
          <w:p w14:paraId="2BE7B6D1" w14:textId="70B8237C"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age limitation has been removed in BloodSTAR to allow adult patients approved as children to access ongoing Ig at review where clinically appropriate</w:t>
            </w:r>
          </w:p>
          <w:p w14:paraId="735D403F"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Exclusion Criteria links have been updated</w:t>
            </w:r>
          </w:p>
          <w:p w14:paraId="5B76A64C"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Correction of typographical errors in the qualifying postscript and review preamble</w:t>
            </w:r>
          </w:p>
          <w:p w14:paraId="13F02C23" w14:textId="77777777" w:rsidR="003A5AD5"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Qualifying Preamble has been updated to extend the time limitation to access Ig following trial off therapy to six months</w:t>
            </w:r>
          </w:p>
          <w:p w14:paraId="0D9037C4" w14:textId="77777777" w:rsidR="000B18D6" w:rsidRDefault="000B18D6" w:rsidP="000B18D6">
            <w:pPr>
              <w:tabs>
                <w:tab w:val="left" w:pos="902"/>
              </w:tabs>
              <w:rPr>
                <w:rFonts w:ascii="Aptos" w:hAnsi="Aptos" w:cstheme="minorHAnsi"/>
              </w:rPr>
            </w:pPr>
          </w:p>
          <w:p w14:paraId="71D6A3B9" w14:textId="77777777" w:rsidR="000B18D6" w:rsidRPr="000B18D6" w:rsidRDefault="000B18D6" w:rsidP="000B18D6">
            <w:pPr>
              <w:tabs>
                <w:tab w:val="left" w:pos="902"/>
              </w:tabs>
              <w:rPr>
                <w:rFonts w:ascii="Aptos" w:hAnsi="Aptos" w:cstheme="minorHAnsi"/>
              </w:rPr>
            </w:pPr>
          </w:p>
        </w:tc>
        <w:tc>
          <w:tcPr>
            <w:tcW w:w="1408" w:type="dxa"/>
          </w:tcPr>
          <w:p w14:paraId="5253E28C"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March</w:t>
            </w:r>
          </w:p>
          <w:p w14:paraId="7726F5E3"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2020</w:t>
            </w:r>
          </w:p>
        </w:tc>
        <w:tc>
          <w:tcPr>
            <w:tcW w:w="1250" w:type="dxa"/>
          </w:tcPr>
          <w:p w14:paraId="2CB40E49"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3.2</w:t>
            </w:r>
          </w:p>
        </w:tc>
      </w:tr>
      <w:tr w:rsidR="000B18D6" w:rsidRPr="00EE7B00" w14:paraId="7C74E819" w14:textId="77777777" w:rsidTr="004D7FFC">
        <w:trPr>
          <w:cantSplit/>
        </w:trPr>
        <w:tc>
          <w:tcPr>
            <w:tcW w:w="2543" w:type="dxa"/>
            <w:vMerge w:val="restart"/>
            <w:vAlign w:val="center"/>
          </w:tcPr>
          <w:p w14:paraId="7298904D" w14:textId="77777777" w:rsidR="000B18D6" w:rsidRPr="00EE7B00" w:rsidRDefault="000B18D6" w:rsidP="004D7FFC">
            <w:pPr>
              <w:tabs>
                <w:tab w:val="left" w:pos="902"/>
              </w:tabs>
              <w:rPr>
                <w:rFonts w:ascii="Aptos" w:hAnsi="Aptos" w:cstheme="minorHAnsi"/>
              </w:rPr>
            </w:pPr>
            <w:r w:rsidRPr="00EE7B00">
              <w:rPr>
                <w:rFonts w:ascii="Aptos" w:hAnsi="Aptos" w:cstheme="minorHAnsi"/>
              </w:rPr>
              <w:lastRenderedPageBreak/>
              <w:t>Chronic inflammatory demyelinating polyneuropathy (CIDP), (including IgG and IgA paraproteinaemic demyelinating neuropathies)</w:t>
            </w:r>
          </w:p>
        </w:tc>
        <w:tc>
          <w:tcPr>
            <w:tcW w:w="4593" w:type="dxa"/>
            <w:vMerge w:val="restart"/>
            <w:vAlign w:val="center"/>
          </w:tcPr>
          <w:p w14:paraId="0AE0982E"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Treatment of chronic inflammatory demyelinating polyneuropathy (CIDP) for patients in whom walking is compromised or there is significant disability</w:t>
            </w:r>
          </w:p>
          <w:p w14:paraId="61E4CB0A" w14:textId="653AD009" w:rsidR="000B18D6" w:rsidRPr="000B18D6"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Relapse of chronic inflammatory demyelinating polyneuropathy (CIDP) patients within six months of commencement of trial off Ig therapy</w:t>
            </w:r>
          </w:p>
        </w:tc>
        <w:tc>
          <w:tcPr>
            <w:tcW w:w="6366" w:type="dxa"/>
          </w:tcPr>
          <w:p w14:paraId="214E1C38"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tcPr>
          <w:p w14:paraId="4C9D652A"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4D3EC769"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3.3</w:t>
            </w:r>
          </w:p>
        </w:tc>
      </w:tr>
      <w:tr w:rsidR="000B18D6" w:rsidRPr="00EE7B00" w14:paraId="128AE9DC" w14:textId="77777777" w:rsidTr="004D7FFC">
        <w:trPr>
          <w:cantSplit/>
        </w:trPr>
        <w:tc>
          <w:tcPr>
            <w:tcW w:w="2543" w:type="dxa"/>
            <w:vMerge/>
            <w:vAlign w:val="center"/>
          </w:tcPr>
          <w:p w14:paraId="2BF908EF" w14:textId="77777777" w:rsidR="000B18D6" w:rsidRPr="00EE7B00" w:rsidRDefault="000B18D6" w:rsidP="004D7FFC">
            <w:pPr>
              <w:tabs>
                <w:tab w:val="left" w:pos="902"/>
              </w:tabs>
              <w:ind w:left="27"/>
              <w:rPr>
                <w:rFonts w:ascii="Aptos" w:hAnsi="Aptos" w:cstheme="minorHAnsi"/>
              </w:rPr>
            </w:pPr>
          </w:p>
        </w:tc>
        <w:tc>
          <w:tcPr>
            <w:tcW w:w="4593" w:type="dxa"/>
            <w:vMerge/>
            <w:vAlign w:val="center"/>
          </w:tcPr>
          <w:p w14:paraId="0D4323A9" w14:textId="2F131A31" w:rsidR="000B18D6" w:rsidRPr="00EE7B00" w:rsidRDefault="000B18D6" w:rsidP="004D7FFC">
            <w:pPr>
              <w:pStyle w:val="ListParagraph"/>
              <w:numPr>
                <w:ilvl w:val="0"/>
                <w:numId w:val="6"/>
              </w:numPr>
              <w:tabs>
                <w:tab w:val="left" w:pos="902"/>
              </w:tabs>
              <w:rPr>
                <w:rFonts w:ascii="Aptos" w:hAnsi="Aptos" w:cstheme="minorHAnsi"/>
              </w:rPr>
            </w:pPr>
          </w:p>
        </w:tc>
        <w:tc>
          <w:tcPr>
            <w:tcW w:w="6366" w:type="dxa"/>
          </w:tcPr>
          <w:p w14:paraId="63BBB660"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 xml:space="preserve">An additional one-off dose is now available during the course of the authorisation in the form of intravenous immunoglobulin or subcutaneous immunoglobulin </w:t>
            </w:r>
          </w:p>
          <w:p w14:paraId="3350729E"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Separate doses are now available for intravenous and subcutaneous immunoglobulin administration.</w:t>
            </w:r>
          </w:p>
        </w:tc>
        <w:tc>
          <w:tcPr>
            <w:tcW w:w="1408" w:type="dxa"/>
          </w:tcPr>
          <w:p w14:paraId="3049E6E6"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October 2019</w:t>
            </w:r>
          </w:p>
        </w:tc>
        <w:tc>
          <w:tcPr>
            <w:tcW w:w="1250" w:type="dxa"/>
          </w:tcPr>
          <w:p w14:paraId="1E2BD4AE"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3.2</w:t>
            </w:r>
          </w:p>
        </w:tc>
      </w:tr>
      <w:tr w:rsidR="000B18D6" w:rsidRPr="00EE7B00" w14:paraId="2A99A652" w14:textId="77777777" w:rsidTr="004D7FFC">
        <w:trPr>
          <w:cantSplit/>
        </w:trPr>
        <w:tc>
          <w:tcPr>
            <w:tcW w:w="2543" w:type="dxa"/>
            <w:vMerge/>
            <w:vAlign w:val="center"/>
          </w:tcPr>
          <w:p w14:paraId="763A5DCF" w14:textId="77777777" w:rsidR="000B18D6" w:rsidRPr="00EE7B00" w:rsidRDefault="000B18D6" w:rsidP="004D7FFC">
            <w:pPr>
              <w:tabs>
                <w:tab w:val="left" w:pos="902"/>
              </w:tabs>
              <w:ind w:left="27"/>
              <w:rPr>
                <w:rFonts w:ascii="Aptos" w:hAnsi="Aptos" w:cstheme="minorHAnsi"/>
              </w:rPr>
            </w:pPr>
          </w:p>
        </w:tc>
        <w:tc>
          <w:tcPr>
            <w:tcW w:w="4593" w:type="dxa"/>
            <w:vMerge/>
            <w:vAlign w:val="center"/>
          </w:tcPr>
          <w:p w14:paraId="382DB394" w14:textId="77777777" w:rsidR="000B18D6" w:rsidRPr="00EE7B00" w:rsidRDefault="000B18D6" w:rsidP="004D7FFC">
            <w:pPr>
              <w:pStyle w:val="ListParagraph"/>
              <w:numPr>
                <w:ilvl w:val="0"/>
                <w:numId w:val="6"/>
              </w:numPr>
              <w:tabs>
                <w:tab w:val="left" w:pos="902"/>
              </w:tabs>
              <w:rPr>
                <w:rFonts w:ascii="Aptos" w:hAnsi="Aptos" w:cstheme="minorHAnsi"/>
              </w:rPr>
            </w:pPr>
          </w:p>
        </w:tc>
        <w:tc>
          <w:tcPr>
            <w:tcW w:w="6366" w:type="dxa"/>
          </w:tcPr>
          <w:p w14:paraId="4C4F0577"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Bibliography links have been corrected.</w:t>
            </w:r>
          </w:p>
          <w:p w14:paraId="0E9171C3"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Data entry error has been corrected in the Qualifying Criteria for indication Relapse of chronic inflammatory demyelinating polyneuropathy (CIDP) patients within six months of commencement of trial off immunoglobulin therapy.</w:t>
            </w:r>
          </w:p>
          <w:p w14:paraId="7CC5FCE9"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Subcutaneous administration of Ig can be considered as an alternative to intravenous Ig (IVIg) following stabilisation with IVIg.</w:t>
            </w:r>
          </w:p>
        </w:tc>
        <w:tc>
          <w:tcPr>
            <w:tcW w:w="1408" w:type="dxa"/>
          </w:tcPr>
          <w:p w14:paraId="528463E4"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August</w:t>
            </w:r>
          </w:p>
          <w:p w14:paraId="3BF8F560"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2019</w:t>
            </w:r>
          </w:p>
        </w:tc>
        <w:tc>
          <w:tcPr>
            <w:tcW w:w="1250" w:type="dxa"/>
          </w:tcPr>
          <w:p w14:paraId="58EA2BA8"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3.1</w:t>
            </w:r>
          </w:p>
        </w:tc>
      </w:tr>
      <w:tr w:rsidR="000B18D6" w:rsidRPr="00EE7B00" w14:paraId="6DBB3164" w14:textId="77777777" w:rsidTr="004D7FFC">
        <w:trPr>
          <w:cantSplit/>
          <w:trHeight w:val="3174"/>
        </w:trPr>
        <w:tc>
          <w:tcPr>
            <w:tcW w:w="2543" w:type="dxa"/>
            <w:vMerge w:val="restart"/>
            <w:vAlign w:val="center"/>
          </w:tcPr>
          <w:p w14:paraId="638E6CE8" w14:textId="77777777" w:rsidR="000B18D6" w:rsidRPr="00EE7B00" w:rsidRDefault="000B18D6" w:rsidP="004D7FFC">
            <w:pPr>
              <w:tabs>
                <w:tab w:val="left" w:pos="902"/>
              </w:tabs>
              <w:ind w:left="27"/>
              <w:rPr>
                <w:rFonts w:ascii="Aptos" w:hAnsi="Aptos" w:cstheme="minorHAnsi"/>
              </w:rPr>
            </w:pPr>
            <w:r w:rsidRPr="00EE7B00">
              <w:rPr>
                <w:rFonts w:ascii="Aptos" w:hAnsi="Aptos" w:cstheme="minorHAnsi"/>
              </w:rPr>
              <w:lastRenderedPageBreak/>
              <w:t>Guillain–Barré Syndrome (GBS)</w:t>
            </w:r>
          </w:p>
        </w:tc>
        <w:tc>
          <w:tcPr>
            <w:tcW w:w="4593" w:type="dxa"/>
            <w:vMerge w:val="restart"/>
            <w:vAlign w:val="center"/>
          </w:tcPr>
          <w:p w14:paraId="69F4E74E" w14:textId="1B30BB26"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 xml:space="preserve">Initial therapy for GBS with significant disability and progression </w:t>
            </w:r>
          </w:p>
          <w:p w14:paraId="74A67EF8" w14:textId="06F5FEB9" w:rsidR="000B18D6" w:rsidRPr="00EE7B00" w:rsidRDefault="000B18D6" w:rsidP="000B18D6">
            <w:pPr>
              <w:pStyle w:val="ListParagraph"/>
              <w:numPr>
                <w:ilvl w:val="0"/>
                <w:numId w:val="6"/>
              </w:numPr>
              <w:tabs>
                <w:tab w:val="left" w:pos="902"/>
              </w:tabs>
              <w:rPr>
                <w:rFonts w:ascii="Aptos" w:hAnsi="Aptos" w:cstheme="minorHAnsi"/>
              </w:rPr>
            </w:pPr>
            <w:r w:rsidRPr="00EE7B00">
              <w:rPr>
                <w:rFonts w:ascii="Aptos" w:hAnsi="Aptos" w:cstheme="minorHAnsi"/>
              </w:rPr>
              <w:t xml:space="preserve">Relapse in GBS treatment-related fluctuation with initial improvement and subsequent deterioration post IVIg treatment </w:t>
            </w:r>
          </w:p>
        </w:tc>
        <w:tc>
          <w:tcPr>
            <w:tcW w:w="6366" w:type="dxa"/>
          </w:tcPr>
          <w:p w14:paraId="3261D9F8" w14:textId="77777777" w:rsidR="000B18D6" w:rsidRPr="00EE7B00" w:rsidRDefault="000B18D6" w:rsidP="004D7FFC">
            <w:pPr>
              <w:pStyle w:val="pb-2"/>
              <w:numPr>
                <w:ilvl w:val="0"/>
                <w:numId w:val="15"/>
              </w:numPr>
              <w:spacing w:before="0" w:beforeAutospacing="0" w:after="0" w:afterAutospacing="0"/>
              <w:ind w:left="466" w:hanging="438"/>
              <w:rPr>
                <w:rFonts w:ascii="Aptos" w:hAnsi="Aptos" w:cstheme="minorHAnsi"/>
                <w:sz w:val="22"/>
                <w:szCs w:val="22"/>
              </w:rPr>
            </w:pPr>
            <w:r w:rsidRPr="00EE7B00">
              <w:rPr>
                <w:rFonts w:ascii="Aptos" w:hAnsi="Aptos" w:cstheme="minorHAnsi"/>
                <w:sz w:val="22"/>
                <w:szCs w:val="22"/>
              </w:rPr>
              <w:t xml:space="preserve">New text has been included which reflects the outcomes of a clinical trial demonstrating a second dose of Ig is not beneficial, except where treatment related fluctuations can be demonstrated. </w:t>
            </w:r>
          </w:p>
          <w:p w14:paraId="6EF3CBE5" w14:textId="77777777" w:rsidR="000B18D6" w:rsidRPr="00EE7B00" w:rsidRDefault="000B18D6" w:rsidP="004D7FFC">
            <w:pPr>
              <w:pStyle w:val="pb-2"/>
              <w:numPr>
                <w:ilvl w:val="0"/>
                <w:numId w:val="15"/>
              </w:numPr>
              <w:spacing w:before="0" w:beforeAutospacing="0" w:after="0" w:afterAutospacing="0"/>
              <w:ind w:left="466" w:hanging="438"/>
              <w:rPr>
                <w:rFonts w:ascii="Aptos" w:hAnsi="Aptos" w:cstheme="minorHAnsi"/>
                <w:sz w:val="22"/>
                <w:szCs w:val="22"/>
              </w:rPr>
            </w:pPr>
            <w:r w:rsidRPr="00EE7B00">
              <w:rPr>
                <w:rFonts w:ascii="Aptos" w:hAnsi="Aptos" w:cstheme="minorHAnsi"/>
                <w:sz w:val="22"/>
                <w:szCs w:val="22"/>
              </w:rPr>
              <w:t>New exclusion criteria have been added to exclude chronic inflammatory demyelinating polyneuropathy from access to Ig treatment under this condition.</w:t>
            </w:r>
          </w:p>
          <w:p w14:paraId="19E1F100" w14:textId="77777777" w:rsidR="000B18D6" w:rsidRPr="00EE7B00" w:rsidRDefault="000B18D6" w:rsidP="004D7FFC">
            <w:pPr>
              <w:pStyle w:val="pb-2"/>
              <w:numPr>
                <w:ilvl w:val="0"/>
                <w:numId w:val="15"/>
              </w:numPr>
              <w:spacing w:before="0" w:beforeAutospacing="0" w:after="0" w:afterAutospacing="0"/>
              <w:ind w:left="466" w:hanging="438"/>
              <w:rPr>
                <w:rFonts w:ascii="Aptos" w:hAnsi="Aptos" w:cstheme="minorHAnsi"/>
                <w:sz w:val="22"/>
                <w:szCs w:val="22"/>
              </w:rPr>
            </w:pPr>
            <w:r w:rsidRPr="00EE7B00">
              <w:rPr>
                <w:rFonts w:ascii="Aptos" w:hAnsi="Aptos" w:cstheme="minorHAnsi"/>
                <w:sz w:val="22"/>
                <w:szCs w:val="22"/>
              </w:rPr>
              <w:t>New qualifying criteria in Indication 2 require assessment of disability on three occasions, consistent with the definition of treatment related fluctuations.</w:t>
            </w:r>
          </w:p>
          <w:p w14:paraId="0BE75A8E" w14:textId="77777777" w:rsidR="000B18D6" w:rsidRPr="00EE7B00" w:rsidRDefault="000B18D6" w:rsidP="004D7FFC">
            <w:pPr>
              <w:pStyle w:val="pb-2"/>
              <w:numPr>
                <w:ilvl w:val="0"/>
                <w:numId w:val="15"/>
              </w:numPr>
              <w:spacing w:before="0" w:beforeAutospacing="0" w:after="0" w:afterAutospacing="0"/>
              <w:ind w:left="466" w:hanging="438"/>
              <w:rPr>
                <w:rFonts w:ascii="Aptos" w:hAnsi="Aptos" w:cstheme="minorHAnsi"/>
                <w:sz w:val="22"/>
                <w:szCs w:val="22"/>
              </w:rPr>
            </w:pPr>
            <w:r w:rsidRPr="00EE7B00">
              <w:rPr>
                <w:rFonts w:ascii="Aptos" w:hAnsi="Aptos" w:cstheme="minorHAnsi"/>
                <w:sz w:val="22"/>
                <w:szCs w:val="22"/>
              </w:rPr>
              <w:t xml:space="preserve">Access to Ig in Indication 2 for the specific condition ‘GBS variants’ has been removed. </w:t>
            </w:r>
          </w:p>
          <w:p w14:paraId="4589ACFD" w14:textId="77777777" w:rsidR="000B18D6" w:rsidRPr="00EE7B00" w:rsidRDefault="000B18D6" w:rsidP="004D7FFC">
            <w:pPr>
              <w:pStyle w:val="pb-2"/>
              <w:numPr>
                <w:ilvl w:val="0"/>
                <w:numId w:val="15"/>
              </w:numPr>
              <w:spacing w:before="0" w:beforeAutospacing="0" w:after="0" w:afterAutospacing="0"/>
              <w:ind w:left="466" w:hanging="438"/>
              <w:rPr>
                <w:rFonts w:ascii="Aptos" w:hAnsi="Aptos" w:cstheme="minorHAnsi"/>
                <w:sz w:val="22"/>
                <w:szCs w:val="22"/>
              </w:rPr>
            </w:pPr>
            <w:r w:rsidRPr="00EE7B00">
              <w:rPr>
                <w:rFonts w:ascii="Aptos" w:hAnsi="Aptos" w:cstheme="minorHAnsi"/>
                <w:sz w:val="22"/>
                <w:szCs w:val="22"/>
              </w:rPr>
              <w:t>The review criteria for indication 2 have been revised.</w:t>
            </w:r>
          </w:p>
          <w:p w14:paraId="4DBE309D" w14:textId="77777777" w:rsidR="000B18D6" w:rsidRPr="00EE7B00" w:rsidRDefault="000B18D6" w:rsidP="004D7FFC">
            <w:pPr>
              <w:pStyle w:val="ListParagraph"/>
              <w:numPr>
                <w:ilvl w:val="0"/>
                <w:numId w:val="6"/>
              </w:numPr>
              <w:tabs>
                <w:tab w:val="left" w:pos="902"/>
              </w:tabs>
              <w:ind w:left="454" w:hanging="438"/>
              <w:rPr>
                <w:rFonts w:ascii="Aptos" w:hAnsi="Aptos" w:cstheme="minorHAnsi"/>
              </w:rPr>
            </w:pPr>
            <w:r w:rsidRPr="00EE7B00">
              <w:rPr>
                <w:rFonts w:ascii="Aptos" w:hAnsi="Aptos" w:cstheme="minorHAnsi"/>
              </w:rPr>
              <w:t>New references have been included.</w:t>
            </w:r>
          </w:p>
        </w:tc>
        <w:tc>
          <w:tcPr>
            <w:tcW w:w="1408" w:type="dxa"/>
          </w:tcPr>
          <w:p w14:paraId="145BD48C" w14:textId="77777777" w:rsidR="000B18D6" w:rsidRPr="00EE7B00" w:rsidRDefault="000B18D6" w:rsidP="004D7FFC">
            <w:pPr>
              <w:tabs>
                <w:tab w:val="left" w:pos="902"/>
              </w:tabs>
              <w:jc w:val="center"/>
              <w:rPr>
                <w:rFonts w:ascii="Aptos" w:hAnsi="Aptos" w:cstheme="minorHAnsi"/>
              </w:rPr>
            </w:pPr>
            <w:r w:rsidRPr="00EE7B00">
              <w:rPr>
                <w:rFonts w:ascii="Aptos" w:hAnsi="Aptos"/>
              </w:rPr>
              <w:t>February 2024</w:t>
            </w:r>
          </w:p>
        </w:tc>
        <w:tc>
          <w:tcPr>
            <w:tcW w:w="1250" w:type="dxa"/>
          </w:tcPr>
          <w:p w14:paraId="21F5CCB6" w14:textId="77777777" w:rsidR="000B18D6" w:rsidRPr="00EE7B00" w:rsidRDefault="000B18D6" w:rsidP="004D7FFC">
            <w:pPr>
              <w:tabs>
                <w:tab w:val="left" w:pos="902"/>
              </w:tabs>
              <w:jc w:val="center"/>
              <w:rPr>
                <w:rFonts w:ascii="Aptos" w:hAnsi="Aptos" w:cstheme="minorHAnsi"/>
              </w:rPr>
            </w:pPr>
            <w:r w:rsidRPr="00EE7B00">
              <w:rPr>
                <w:rFonts w:ascii="Aptos" w:hAnsi="Aptos"/>
              </w:rPr>
              <w:t>3.2</w:t>
            </w:r>
          </w:p>
        </w:tc>
      </w:tr>
      <w:tr w:rsidR="000B18D6" w:rsidRPr="00EE7B00" w14:paraId="77154F30" w14:textId="77777777" w:rsidTr="004D7FFC">
        <w:trPr>
          <w:cantSplit/>
        </w:trPr>
        <w:tc>
          <w:tcPr>
            <w:tcW w:w="2543" w:type="dxa"/>
            <w:vMerge/>
            <w:vAlign w:val="center"/>
          </w:tcPr>
          <w:p w14:paraId="4162A9E9" w14:textId="77777777" w:rsidR="000B18D6" w:rsidRPr="00EE7B00" w:rsidRDefault="000B18D6" w:rsidP="004D7FFC">
            <w:pPr>
              <w:tabs>
                <w:tab w:val="left" w:pos="902"/>
              </w:tabs>
              <w:ind w:left="27"/>
              <w:rPr>
                <w:rFonts w:ascii="Aptos" w:hAnsi="Aptos" w:cstheme="minorHAnsi"/>
              </w:rPr>
            </w:pPr>
          </w:p>
        </w:tc>
        <w:tc>
          <w:tcPr>
            <w:tcW w:w="4593" w:type="dxa"/>
            <w:vMerge/>
            <w:vAlign w:val="center"/>
          </w:tcPr>
          <w:p w14:paraId="579682AA" w14:textId="2639C56B" w:rsidR="000B18D6" w:rsidRPr="00EE7B00" w:rsidRDefault="000B18D6" w:rsidP="004D7FFC">
            <w:pPr>
              <w:pStyle w:val="ListParagraph"/>
              <w:numPr>
                <w:ilvl w:val="0"/>
                <w:numId w:val="6"/>
              </w:numPr>
              <w:tabs>
                <w:tab w:val="left" w:pos="902"/>
              </w:tabs>
              <w:rPr>
                <w:rFonts w:ascii="Aptos" w:hAnsi="Aptos" w:cstheme="minorHAnsi"/>
              </w:rPr>
            </w:pPr>
          </w:p>
        </w:tc>
        <w:tc>
          <w:tcPr>
            <w:tcW w:w="6366" w:type="dxa"/>
          </w:tcPr>
          <w:p w14:paraId="441F9F95" w14:textId="77777777" w:rsidR="000B18D6" w:rsidRPr="00EE7B00" w:rsidRDefault="000B18D6" w:rsidP="004D7FFC">
            <w:pPr>
              <w:pStyle w:val="pb-2"/>
              <w:numPr>
                <w:ilvl w:val="0"/>
                <w:numId w:val="15"/>
              </w:numPr>
              <w:spacing w:before="0" w:beforeAutospacing="0" w:after="0" w:afterAutospacing="0"/>
              <w:ind w:left="466" w:hanging="438"/>
              <w:rPr>
                <w:rFonts w:ascii="Aptos" w:hAnsi="Aptos" w:cstheme="minorHAnsi"/>
                <w:sz w:val="22"/>
                <w:szCs w:val="22"/>
              </w:rPr>
            </w:pPr>
            <w:r w:rsidRPr="00EE7B00">
              <w:rPr>
                <w:rFonts w:ascii="Aptos" w:hAnsi="Aptos" w:cstheme="minorHAnsi"/>
                <w:sz w:val="22"/>
                <w:szCs w:val="22"/>
              </w:rPr>
              <w:t>Intensivist added to list of specialists that can diagnose GBS, in addition to a Neurologist, Paediatrician or a General Medicine Physician. A second dose must still be on the advice of, and after assessment by, a neurologist.</w:t>
            </w:r>
          </w:p>
        </w:tc>
        <w:tc>
          <w:tcPr>
            <w:tcW w:w="1408" w:type="dxa"/>
          </w:tcPr>
          <w:p w14:paraId="0C39E4AF"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March</w:t>
            </w:r>
          </w:p>
          <w:p w14:paraId="2406C0FA" w14:textId="77777777" w:rsidR="000B18D6" w:rsidRPr="00EE7B00" w:rsidRDefault="000B18D6" w:rsidP="004D7FFC">
            <w:pPr>
              <w:tabs>
                <w:tab w:val="left" w:pos="902"/>
              </w:tabs>
              <w:jc w:val="center"/>
              <w:rPr>
                <w:rFonts w:ascii="Aptos" w:hAnsi="Aptos"/>
              </w:rPr>
            </w:pPr>
            <w:r w:rsidRPr="00EE7B00">
              <w:rPr>
                <w:rFonts w:ascii="Aptos" w:hAnsi="Aptos" w:cstheme="minorHAnsi"/>
              </w:rPr>
              <w:t>2020</w:t>
            </w:r>
          </w:p>
        </w:tc>
        <w:tc>
          <w:tcPr>
            <w:tcW w:w="1250" w:type="dxa"/>
          </w:tcPr>
          <w:p w14:paraId="32260186" w14:textId="77777777" w:rsidR="000B18D6" w:rsidRPr="00EE7B00" w:rsidRDefault="000B18D6" w:rsidP="004D7FFC">
            <w:pPr>
              <w:tabs>
                <w:tab w:val="left" w:pos="902"/>
              </w:tabs>
              <w:jc w:val="center"/>
              <w:rPr>
                <w:rFonts w:ascii="Aptos" w:hAnsi="Aptos"/>
              </w:rPr>
            </w:pPr>
            <w:r w:rsidRPr="00EE7B00">
              <w:rPr>
                <w:rFonts w:ascii="Aptos" w:hAnsi="Aptos" w:cstheme="minorHAnsi"/>
              </w:rPr>
              <w:t>3.1</w:t>
            </w:r>
          </w:p>
        </w:tc>
      </w:tr>
      <w:tr w:rsidR="003A5AD5" w:rsidRPr="00EE7B00" w14:paraId="66E3C674" w14:textId="77777777" w:rsidTr="004D7FFC">
        <w:trPr>
          <w:cantSplit/>
        </w:trPr>
        <w:tc>
          <w:tcPr>
            <w:tcW w:w="2543" w:type="dxa"/>
            <w:vAlign w:val="center"/>
          </w:tcPr>
          <w:p w14:paraId="078BD8A8"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t>Inflammatory Myopathies: Inclusion Body Myositis (IBM)</w:t>
            </w:r>
          </w:p>
        </w:tc>
        <w:tc>
          <w:tcPr>
            <w:tcW w:w="4593" w:type="dxa"/>
            <w:vAlign w:val="center"/>
          </w:tcPr>
          <w:p w14:paraId="1B034E05"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Patients with inclusion body myositis (IBM) who have dysphagia limiting dietary intake</w:t>
            </w:r>
          </w:p>
        </w:tc>
        <w:tc>
          <w:tcPr>
            <w:tcW w:w="6366" w:type="dxa"/>
          </w:tcPr>
          <w:p w14:paraId="68D4D700"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Maintenance dose text has been clarified</w:t>
            </w:r>
          </w:p>
        </w:tc>
        <w:tc>
          <w:tcPr>
            <w:tcW w:w="1408" w:type="dxa"/>
          </w:tcPr>
          <w:p w14:paraId="48491C40"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March</w:t>
            </w:r>
          </w:p>
          <w:p w14:paraId="37CDA9C1"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2020</w:t>
            </w:r>
          </w:p>
        </w:tc>
        <w:tc>
          <w:tcPr>
            <w:tcW w:w="1250" w:type="dxa"/>
          </w:tcPr>
          <w:p w14:paraId="67F6172B"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3.2</w:t>
            </w:r>
          </w:p>
        </w:tc>
      </w:tr>
      <w:tr w:rsidR="003A5AD5" w:rsidRPr="00EE7B00" w14:paraId="0A3BF0CB" w14:textId="77777777" w:rsidTr="004D7FFC">
        <w:trPr>
          <w:cantSplit/>
        </w:trPr>
        <w:tc>
          <w:tcPr>
            <w:tcW w:w="2543" w:type="dxa"/>
            <w:vAlign w:val="center"/>
          </w:tcPr>
          <w:p w14:paraId="4B413751"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lastRenderedPageBreak/>
              <w:t>Inflammatory myopathies: polymyositis (PM), dermatomyositis (DM) and necrotising autoimmune myopathy (NAM)</w:t>
            </w:r>
          </w:p>
        </w:tc>
        <w:tc>
          <w:tcPr>
            <w:tcW w:w="4593" w:type="dxa"/>
            <w:vAlign w:val="center"/>
          </w:tcPr>
          <w:p w14:paraId="1FF3FCD6"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 xml:space="preserve">Treatment of significant muscle weakness or dysphagia unresponsive to corticosteroids and other immunosuppressant agents in adults with biopsy-proven PM or DM or NAM or children with clinical, </w:t>
            </w:r>
            <w:proofErr w:type="gramStart"/>
            <w:r w:rsidRPr="00EE7B00">
              <w:rPr>
                <w:rFonts w:ascii="Aptos" w:hAnsi="Aptos" w:cstheme="minorHAnsi"/>
              </w:rPr>
              <w:t>biochemical</w:t>
            </w:r>
            <w:proofErr w:type="gramEnd"/>
            <w:r w:rsidRPr="00EE7B00">
              <w:rPr>
                <w:rFonts w:ascii="Aptos" w:hAnsi="Aptos" w:cstheme="minorHAnsi"/>
              </w:rPr>
              <w:t xml:space="preserve"> and imaging abnormalities consistent with definite PM or DM or NAM</w:t>
            </w:r>
          </w:p>
        </w:tc>
        <w:tc>
          <w:tcPr>
            <w:tcW w:w="6366" w:type="dxa"/>
          </w:tcPr>
          <w:p w14:paraId="6E37727C"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Corticosteroids are now listed as one of the two immunosuppressant medications that can be trialled prior to Ig.</w:t>
            </w:r>
          </w:p>
          <w:p w14:paraId="602FE998"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List order changed to most common order of trial.</w:t>
            </w:r>
          </w:p>
        </w:tc>
        <w:tc>
          <w:tcPr>
            <w:tcW w:w="1408" w:type="dxa"/>
          </w:tcPr>
          <w:p w14:paraId="29215173"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March</w:t>
            </w:r>
          </w:p>
          <w:p w14:paraId="7E3E6B76"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2020</w:t>
            </w:r>
          </w:p>
        </w:tc>
        <w:tc>
          <w:tcPr>
            <w:tcW w:w="1250" w:type="dxa"/>
          </w:tcPr>
          <w:p w14:paraId="3BAD8108"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3.2</w:t>
            </w:r>
          </w:p>
        </w:tc>
      </w:tr>
      <w:tr w:rsidR="003A5AD5" w:rsidRPr="00EE7B00" w14:paraId="343DC9D9" w14:textId="77777777" w:rsidTr="004D7FFC">
        <w:trPr>
          <w:cantSplit/>
        </w:trPr>
        <w:tc>
          <w:tcPr>
            <w:tcW w:w="2543" w:type="dxa"/>
            <w:vAlign w:val="center"/>
          </w:tcPr>
          <w:p w14:paraId="389149E7"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t>Multifocal motor neuropathy (MMN)</w:t>
            </w:r>
          </w:p>
        </w:tc>
        <w:tc>
          <w:tcPr>
            <w:tcW w:w="4593" w:type="dxa"/>
            <w:vAlign w:val="center"/>
          </w:tcPr>
          <w:p w14:paraId="2A19263B" w14:textId="78A182AE" w:rsidR="006C2017" w:rsidRDefault="006C2017" w:rsidP="004D7FFC">
            <w:pPr>
              <w:pStyle w:val="ListParagraph"/>
              <w:numPr>
                <w:ilvl w:val="0"/>
                <w:numId w:val="6"/>
              </w:numPr>
              <w:tabs>
                <w:tab w:val="left" w:pos="902"/>
              </w:tabs>
              <w:rPr>
                <w:rFonts w:ascii="Aptos" w:hAnsi="Aptos" w:cstheme="minorHAnsi"/>
              </w:rPr>
            </w:pPr>
            <w:r w:rsidRPr="006C2017">
              <w:rPr>
                <w:rFonts w:ascii="Aptos" w:hAnsi="Aptos" w:cstheme="minorHAnsi"/>
              </w:rPr>
              <w:t>First-line and maintenance therapy for multifocal motor neuropathy (MMN)</w:t>
            </w:r>
          </w:p>
          <w:p w14:paraId="38CCF890" w14:textId="5AD7F685"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Relapse of MMN patients within six months of commencement of trial off immunoglobulin therapy</w:t>
            </w:r>
          </w:p>
        </w:tc>
        <w:tc>
          <w:tcPr>
            <w:tcW w:w="6366" w:type="dxa"/>
          </w:tcPr>
          <w:p w14:paraId="2A687764" w14:textId="77777777" w:rsidR="003A5AD5" w:rsidRPr="00EE7B00" w:rsidRDefault="003A5AD5" w:rsidP="004D7FFC">
            <w:pPr>
              <w:pStyle w:val="pb-2"/>
              <w:numPr>
                <w:ilvl w:val="0"/>
                <w:numId w:val="6"/>
              </w:numPr>
              <w:spacing w:before="0" w:beforeAutospacing="0" w:after="0" w:afterAutospacing="0"/>
              <w:rPr>
                <w:rFonts w:ascii="Aptos" w:hAnsi="Aptos" w:cstheme="minorHAnsi"/>
                <w:sz w:val="22"/>
                <w:szCs w:val="22"/>
              </w:rPr>
            </w:pPr>
            <w:r w:rsidRPr="00EE7B00">
              <w:rPr>
                <w:rFonts w:ascii="Aptos" w:hAnsi="Aptos" w:cstheme="minorHAnsi"/>
                <w:sz w:val="22"/>
                <w:szCs w:val="22"/>
              </w:rPr>
              <w:t>Assessor instructions have been updated for leeway following a relapse.</w:t>
            </w:r>
          </w:p>
          <w:p w14:paraId="04B91152"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References that are no longer available or not cited have been removed.</w:t>
            </w:r>
          </w:p>
        </w:tc>
        <w:tc>
          <w:tcPr>
            <w:tcW w:w="1408" w:type="dxa"/>
          </w:tcPr>
          <w:p w14:paraId="4ADA3009"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2F719A6B"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567DD79F" w14:textId="77777777" w:rsidTr="004D7FFC">
        <w:trPr>
          <w:cantSplit/>
        </w:trPr>
        <w:tc>
          <w:tcPr>
            <w:tcW w:w="2543" w:type="dxa"/>
            <w:vAlign w:val="center"/>
          </w:tcPr>
          <w:p w14:paraId="41754E8B"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t>Myasthenia gravis (MG)</w:t>
            </w:r>
          </w:p>
        </w:tc>
        <w:tc>
          <w:tcPr>
            <w:tcW w:w="4593" w:type="dxa"/>
            <w:vAlign w:val="center"/>
          </w:tcPr>
          <w:p w14:paraId="353D609A" w14:textId="5F601947" w:rsidR="006C2017" w:rsidRDefault="006C2017" w:rsidP="004D7FFC">
            <w:pPr>
              <w:pStyle w:val="ListParagraph"/>
              <w:numPr>
                <w:ilvl w:val="0"/>
                <w:numId w:val="6"/>
              </w:numPr>
              <w:tabs>
                <w:tab w:val="left" w:pos="902"/>
              </w:tabs>
              <w:rPr>
                <w:rFonts w:ascii="Aptos" w:hAnsi="Aptos" w:cstheme="minorHAnsi"/>
              </w:rPr>
            </w:pPr>
            <w:r w:rsidRPr="006C2017">
              <w:rPr>
                <w:rFonts w:ascii="Aptos" w:hAnsi="Aptos" w:cstheme="minorHAnsi"/>
              </w:rPr>
              <w:t>Myasthenic crisis as an alternative treatment to plasma exchange</w:t>
            </w:r>
          </w:p>
          <w:p w14:paraId="6D408A35" w14:textId="0BAA3F5D" w:rsidR="006C2017" w:rsidRDefault="006C2017" w:rsidP="004D7FFC">
            <w:pPr>
              <w:pStyle w:val="ListParagraph"/>
              <w:numPr>
                <w:ilvl w:val="0"/>
                <w:numId w:val="6"/>
              </w:numPr>
              <w:tabs>
                <w:tab w:val="left" w:pos="902"/>
              </w:tabs>
              <w:rPr>
                <w:rFonts w:ascii="Aptos" w:hAnsi="Aptos" w:cstheme="minorHAnsi"/>
              </w:rPr>
            </w:pPr>
            <w:r w:rsidRPr="006C2017">
              <w:rPr>
                <w:rFonts w:ascii="Aptos" w:hAnsi="Aptos" w:cstheme="minorHAnsi"/>
              </w:rPr>
              <w:t xml:space="preserve">MG prior to surgery and/or thymectomy in patients with advanced disease, bulbar </w:t>
            </w:r>
            <w:proofErr w:type="gramStart"/>
            <w:r w:rsidRPr="006C2017">
              <w:rPr>
                <w:rFonts w:ascii="Aptos" w:hAnsi="Aptos" w:cstheme="minorHAnsi"/>
              </w:rPr>
              <w:t>symptoms</w:t>
            </w:r>
            <w:proofErr w:type="gramEnd"/>
            <w:r w:rsidRPr="006C2017">
              <w:rPr>
                <w:rFonts w:ascii="Aptos" w:hAnsi="Aptos" w:cstheme="minorHAnsi"/>
              </w:rPr>
              <w:t xml:space="preserve"> or respiratory involvement, as an alternative treatment to plasma exchange</w:t>
            </w:r>
          </w:p>
          <w:p w14:paraId="4C52F3A0" w14:textId="671F423F"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As maintenance therapy for moderate to severe MG when other treatments have been ineffective or caused intolerable side effects.</w:t>
            </w:r>
          </w:p>
        </w:tc>
        <w:tc>
          <w:tcPr>
            <w:tcW w:w="6366" w:type="dxa"/>
          </w:tcPr>
          <w:p w14:paraId="255925C1" w14:textId="13D44B69"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spelling of '</w:t>
            </w:r>
            <w:r w:rsidR="00134DA6">
              <w:rPr>
                <w:rFonts w:ascii="Aptos" w:hAnsi="Aptos" w:cstheme="minorHAnsi"/>
              </w:rPr>
              <w:t>m</w:t>
            </w:r>
            <w:r w:rsidRPr="00EE7B00">
              <w:rPr>
                <w:rFonts w:ascii="Aptos" w:hAnsi="Aptos" w:cstheme="minorHAnsi"/>
              </w:rPr>
              <w:t>ycoplenolate mofetil' has been corrected to '</w:t>
            </w:r>
            <w:r w:rsidR="00134DA6">
              <w:rPr>
                <w:rFonts w:ascii="Aptos" w:hAnsi="Aptos" w:cstheme="minorHAnsi"/>
              </w:rPr>
              <w:t>m</w:t>
            </w:r>
            <w:r w:rsidRPr="00EE7B00">
              <w:rPr>
                <w:rFonts w:ascii="Aptos" w:hAnsi="Aptos" w:cstheme="minorHAnsi"/>
              </w:rPr>
              <w:t>ycophenolate mofetil'</w:t>
            </w:r>
          </w:p>
        </w:tc>
        <w:tc>
          <w:tcPr>
            <w:tcW w:w="1408" w:type="dxa"/>
          </w:tcPr>
          <w:p w14:paraId="680A34C7"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6A97A410"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5F232BBD" w14:textId="77777777" w:rsidTr="004D7FFC">
        <w:trPr>
          <w:cantSplit/>
        </w:trPr>
        <w:tc>
          <w:tcPr>
            <w:tcW w:w="2543" w:type="dxa"/>
            <w:vAlign w:val="center"/>
          </w:tcPr>
          <w:p w14:paraId="34C5D87D" w14:textId="77777777" w:rsidR="003A5AD5" w:rsidRPr="00EE7B00" w:rsidRDefault="003A5AD5" w:rsidP="004D7FFC">
            <w:pPr>
              <w:tabs>
                <w:tab w:val="left" w:pos="902"/>
              </w:tabs>
              <w:ind w:left="27"/>
              <w:rPr>
                <w:rFonts w:ascii="Aptos" w:hAnsi="Aptos" w:cstheme="minorHAnsi"/>
              </w:rPr>
            </w:pPr>
            <w:r w:rsidRPr="00EE7B00">
              <w:rPr>
                <w:rFonts w:ascii="Aptos" w:eastAsia="Times New Roman" w:hAnsi="Aptos" w:cstheme="minorHAnsi"/>
                <w:lang w:eastAsia="en-AU"/>
              </w:rPr>
              <w:lastRenderedPageBreak/>
              <w:t>Neuromyelitis optical spectrum disorders (NMOSD)</w:t>
            </w:r>
          </w:p>
        </w:tc>
        <w:tc>
          <w:tcPr>
            <w:tcW w:w="4593" w:type="dxa"/>
            <w:vAlign w:val="center"/>
          </w:tcPr>
          <w:p w14:paraId="7D9F7D63" w14:textId="77777777" w:rsidR="006C2017" w:rsidRPr="006C2017" w:rsidRDefault="006C2017" w:rsidP="006C2017">
            <w:pPr>
              <w:pStyle w:val="ListParagraph"/>
              <w:numPr>
                <w:ilvl w:val="0"/>
                <w:numId w:val="6"/>
              </w:numPr>
              <w:rPr>
                <w:rFonts w:ascii="Aptos" w:hAnsi="Aptos" w:cstheme="minorHAnsi"/>
              </w:rPr>
            </w:pPr>
            <w:r w:rsidRPr="006C2017">
              <w:rPr>
                <w:rFonts w:ascii="Aptos" w:hAnsi="Aptos" w:cstheme="minorHAnsi"/>
              </w:rPr>
              <w:t>Acute relapse of NMOSD with significant disability and corticosteroids and/or plasmapheresis have failed, are contraindicated or unavailable (one month treatment only)</w:t>
            </w:r>
          </w:p>
          <w:p w14:paraId="250EF234" w14:textId="1D4D8836"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Further significant relapse of NMOSD post Ig therapy with significant disability and resistant to corticosteroids and other immunosuppressant agents</w:t>
            </w:r>
          </w:p>
        </w:tc>
        <w:tc>
          <w:tcPr>
            <w:tcW w:w="6366" w:type="dxa"/>
          </w:tcPr>
          <w:p w14:paraId="496E709C"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assessor instructions have been updated in accordance with the condition update.</w:t>
            </w:r>
          </w:p>
        </w:tc>
        <w:tc>
          <w:tcPr>
            <w:tcW w:w="1408" w:type="dxa"/>
          </w:tcPr>
          <w:p w14:paraId="2CE2E199"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16F564A7"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49E071F0" w14:textId="77777777" w:rsidTr="004D7FFC">
        <w:trPr>
          <w:cantSplit/>
        </w:trPr>
        <w:tc>
          <w:tcPr>
            <w:tcW w:w="2543" w:type="dxa"/>
            <w:vAlign w:val="center"/>
          </w:tcPr>
          <w:p w14:paraId="6351E007" w14:textId="77777777" w:rsidR="003A5AD5" w:rsidRPr="00EE7B00" w:rsidRDefault="003A5AD5" w:rsidP="004D7FFC">
            <w:pPr>
              <w:tabs>
                <w:tab w:val="left" w:pos="902"/>
              </w:tabs>
              <w:ind w:left="27"/>
              <w:rPr>
                <w:rFonts w:ascii="Aptos" w:hAnsi="Aptos" w:cstheme="minorHAnsi"/>
              </w:rPr>
            </w:pPr>
            <w:r w:rsidRPr="00EE7B00">
              <w:rPr>
                <w:rFonts w:ascii="Aptos" w:hAnsi="Aptos" w:cstheme="minorHAnsi"/>
              </w:rPr>
              <w:t>Opsoclonus-myoclonus ataxia (OMA)</w:t>
            </w:r>
          </w:p>
        </w:tc>
        <w:tc>
          <w:tcPr>
            <w:tcW w:w="4593" w:type="dxa"/>
            <w:vAlign w:val="center"/>
          </w:tcPr>
          <w:p w14:paraId="5EA4CAED" w14:textId="77777777" w:rsidR="003A5AD5"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Treatment of OMA initially diagnosed in a child</w:t>
            </w:r>
          </w:p>
          <w:p w14:paraId="570C5BBC" w14:textId="2871FE53" w:rsidR="006C2017" w:rsidRPr="006C2017" w:rsidRDefault="006C2017" w:rsidP="006C2017">
            <w:pPr>
              <w:pStyle w:val="ListParagraph"/>
              <w:numPr>
                <w:ilvl w:val="0"/>
                <w:numId w:val="6"/>
              </w:numPr>
              <w:rPr>
                <w:rFonts w:ascii="Aptos" w:hAnsi="Aptos" w:cstheme="minorHAnsi"/>
              </w:rPr>
            </w:pPr>
            <w:r w:rsidRPr="006C2017">
              <w:rPr>
                <w:rFonts w:ascii="Aptos" w:hAnsi="Aptos" w:cstheme="minorHAnsi"/>
              </w:rPr>
              <w:t>Second-line treatment of OMA in adults following the use of corticosteroids</w:t>
            </w:r>
          </w:p>
        </w:tc>
        <w:tc>
          <w:tcPr>
            <w:tcW w:w="6366" w:type="dxa"/>
          </w:tcPr>
          <w:p w14:paraId="10282A6B"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Data entry error corrected to remove age limitation in BloodSTAR.</w:t>
            </w:r>
          </w:p>
        </w:tc>
        <w:tc>
          <w:tcPr>
            <w:tcW w:w="1408" w:type="dxa"/>
          </w:tcPr>
          <w:p w14:paraId="6FF00CA8"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May</w:t>
            </w:r>
          </w:p>
          <w:p w14:paraId="6722754D"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2019</w:t>
            </w:r>
          </w:p>
        </w:tc>
        <w:tc>
          <w:tcPr>
            <w:tcW w:w="1250" w:type="dxa"/>
          </w:tcPr>
          <w:p w14:paraId="2FFAF6F2"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0B18D6" w:rsidRPr="00EE7B00" w14:paraId="217FB432" w14:textId="77777777" w:rsidTr="006C2017">
        <w:trPr>
          <w:cantSplit/>
        </w:trPr>
        <w:tc>
          <w:tcPr>
            <w:tcW w:w="2543" w:type="dxa"/>
            <w:vMerge w:val="restart"/>
            <w:vAlign w:val="center"/>
          </w:tcPr>
          <w:p w14:paraId="427FDDBA" w14:textId="77777777" w:rsidR="000B18D6" w:rsidRPr="00EE7B00" w:rsidRDefault="000B18D6" w:rsidP="004D7FFC">
            <w:pPr>
              <w:tabs>
                <w:tab w:val="left" w:pos="902"/>
              </w:tabs>
              <w:ind w:left="27"/>
              <w:rPr>
                <w:rFonts w:ascii="Aptos" w:hAnsi="Aptos" w:cstheme="minorHAnsi"/>
              </w:rPr>
            </w:pPr>
            <w:r w:rsidRPr="00EE7B00">
              <w:rPr>
                <w:rFonts w:ascii="Aptos" w:hAnsi="Aptos" w:cstheme="minorHAnsi"/>
              </w:rPr>
              <w:t>Paediatric autoimmune neuropsychiatric disorder associated with streptococcal infections (PANDAS) or paediatric acute neuropsychiatric disorders (PANS)</w:t>
            </w:r>
          </w:p>
        </w:tc>
        <w:tc>
          <w:tcPr>
            <w:tcW w:w="4593" w:type="dxa"/>
            <w:vMerge w:val="restart"/>
            <w:vAlign w:val="center"/>
          </w:tcPr>
          <w:p w14:paraId="4C7E773E" w14:textId="77777777" w:rsidR="000B18D6" w:rsidRPr="000B18D6" w:rsidRDefault="000B18D6" w:rsidP="000B18D6">
            <w:pPr>
              <w:pStyle w:val="ListParagraph"/>
              <w:numPr>
                <w:ilvl w:val="0"/>
                <w:numId w:val="6"/>
              </w:numPr>
              <w:tabs>
                <w:tab w:val="left" w:pos="902"/>
              </w:tabs>
              <w:rPr>
                <w:rFonts w:ascii="Aptos" w:hAnsi="Aptos" w:cstheme="minorHAnsi"/>
              </w:rPr>
            </w:pPr>
            <w:r w:rsidRPr="000B18D6">
              <w:rPr>
                <w:rFonts w:ascii="Aptos" w:hAnsi="Aptos" w:cstheme="minorHAnsi"/>
              </w:rPr>
              <w:t>Paediatric autoimmune neuropsychiatric disorder associated with streptococcal infections (PANDAS) or paediatric acute neuropsychiatric disorders (PANS) unresponsive to trial of antibiotic therapy, and significant impairment requiring intervention</w:t>
            </w:r>
          </w:p>
          <w:p w14:paraId="044463D0" w14:textId="2AB155B3" w:rsidR="000B18D6" w:rsidRPr="000B18D6" w:rsidRDefault="000B18D6" w:rsidP="004D7FFC">
            <w:pPr>
              <w:pStyle w:val="ListParagraph"/>
              <w:numPr>
                <w:ilvl w:val="0"/>
                <w:numId w:val="6"/>
              </w:numPr>
              <w:tabs>
                <w:tab w:val="left" w:pos="902"/>
              </w:tabs>
              <w:rPr>
                <w:rFonts w:ascii="Aptos" w:hAnsi="Aptos" w:cstheme="minorHAnsi"/>
              </w:rPr>
            </w:pPr>
            <w:r w:rsidRPr="000B18D6">
              <w:rPr>
                <w:rFonts w:ascii="Aptos" w:hAnsi="Aptos" w:cstheme="minorHAnsi"/>
              </w:rPr>
              <w:t>Relapse of paediatric autoimmune neuropsychiatric disorder associated with streptococcal infections (PANDAS) or paediatric acute neuropsychiatric disorders (PANS) symptoms within three months of commencement of trial off Ig therapy</w:t>
            </w:r>
          </w:p>
        </w:tc>
        <w:tc>
          <w:tcPr>
            <w:tcW w:w="6366" w:type="dxa"/>
            <w:vAlign w:val="center"/>
          </w:tcPr>
          <w:p w14:paraId="4EB5C8ED" w14:textId="29562DBF" w:rsidR="000B18D6" w:rsidRPr="00134DA6" w:rsidRDefault="000B18D6" w:rsidP="006C2017">
            <w:pPr>
              <w:pStyle w:val="ListParagraph"/>
              <w:numPr>
                <w:ilvl w:val="0"/>
                <w:numId w:val="6"/>
              </w:numPr>
              <w:rPr>
                <w:rStyle w:val="Hyperlink"/>
                <w:rFonts w:ascii="Aptos" w:hAnsi="Aptos"/>
                <w:color w:val="auto"/>
                <w:u w:val="none"/>
              </w:rPr>
            </w:pPr>
            <w:r w:rsidRPr="00134DA6">
              <w:rPr>
                <w:rStyle w:val="Hyperlink"/>
                <w:rFonts w:ascii="Aptos" w:hAnsi="Aptos"/>
                <w:color w:val="auto"/>
                <w:u w:val="none"/>
              </w:rPr>
              <w:t>Updated the description and diagnostic criteria, as well as qualifying and review preamble for both indications to note that this medical condition only applies to patients 18 years of age or less</w:t>
            </w:r>
          </w:p>
          <w:p w14:paraId="2EEA05F0" w14:textId="47A033EE" w:rsidR="000B18D6" w:rsidRPr="00134DA6" w:rsidRDefault="000B18D6" w:rsidP="006C2017">
            <w:pPr>
              <w:pStyle w:val="ListParagraph"/>
              <w:numPr>
                <w:ilvl w:val="0"/>
                <w:numId w:val="6"/>
              </w:numPr>
              <w:rPr>
                <w:rStyle w:val="Hyperlink"/>
                <w:rFonts w:ascii="Aptos" w:hAnsi="Aptos"/>
                <w:color w:val="auto"/>
                <w:u w:val="none"/>
              </w:rPr>
            </w:pPr>
            <w:r w:rsidRPr="00134DA6">
              <w:rPr>
                <w:rStyle w:val="Hyperlink"/>
                <w:rFonts w:ascii="Aptos" w:hAnsi="Aptos"/>
                <w:color w:val="auto"/>
                <w:u w:val="none"/>
              </w:rPr>
              <w:t xml:space="preserve">Resolved an error where the qualifying criterion is missing, and 2 evidence items appear under the incorrect qualifying criterion </w:t>
            </w:r>
          </w:p>
          <w:p w14:paraId="62F299DC" w14:textId="77777777" w:rsidR="000B18D6" w:rsidRPr="00134DA6" w:rsidRDefault="000B18D6" w:rsidP="006C2017">
            <w:pPr>
              <w:pStyle w:val="ListParagraph"/>
              <w:numPr>
                <w:ilvl w:val="0"/>
                <w:numId w:val="6"/>
              </w:numPr>
              <w:tabs>
                <w:tab w:val="left" w:pos="902"/>
              </w:tabs>
              <w:rPr>
                <w:rFonts w:ascii="Aptos" w:hAnsi="Aptos" w:cstheme="minorHAnsi"/>
              </w:rPr>
            </w:pPr>
            <w:r w:rsidRPr="00134DA6">
              <w:rPr>
                <w:rStyle w:val="Hyperlink"/>
                <w:rFonts w:ascii="Aptos" w:hAnsi="Aptos"/>
                <w:color w:val="auto"/>
                <w:u w:val="none"/>
              </w:rPr>
              <w:t>Updated links for several references</w:t>
            </w:r>
          </w:p>
        </w:tc>
        <w:tc>
          <w:tcPr>
            <w:tcW w:w="1408" w:type="dxa"/>
          </w:tcPr>
          <w:p w14:paraId="10056651" w14:textId="77777777" w:rsidR="000B18D6" w:rsidRPr="00134DA6" w:rsidRDefault="000B18D6" w:rsidP="004D7FFC">
            <w:pPr>
              <w:tabs>
                <w:tab w:val="left" w:pos="902"/>
              </w:tabs>
              <w:jc w:val="center"/>
              <w:rPr>
                <w:rFonts w:ascii="Aptos" w:hAnsi="Aptos" w:cstheme="minorHAnsi"/>
              </w:rPr>
            </w:pPr>
            <w:r w:rsidRPr="00134DA6">
              <w:rPr>
                <w:rFonts w:ascii="Aptos" w:hAnsi="Aptos" w:cstheme="minorHAnsi"/>
              </w:rPr>
              <w:t>April</w:t>
            </w:r>
          </w:p>
          <w:p w14:paraId="3A32D94A" w14:textId="77777777" w:rsidR="000B18D6" w:rsidRPr="00134DA6" w:rsidRDefault="000B18D6" w:rsidP="004D7FFC">
            <w:pPr>
              <w:tabs>
                <w:tab w:val="left" w:pos="902"/>
              </w:tabs>
              <w:jc w:val="center"/>
              <w:rPr>
                <w:rFonts w:ascii="Aptos" w:hAnsi="Aptos" w:cstheme="minorHAnsi"/>
              </w:rPr>
            </w:pPr>
            <w:r w:rsidRPr="00134DA6">
              <w:rPr>
                <w:rFonts w:ascii="Aptos" w:hAnsi="Aptos" w:cstheme="minorHAnsi"/>
              </w:rPr>
              <w:t>2025</w:t>
            </w:r>
          </w:p>
        </w:tc>
        <w:tc>
          <w:tcPr>
            <w:tcW w:w="1250" w:type="dxa"/>
          </w:tcPr>
          <w:p w14:paraId="4BC6B7A3" w14:textId="77777777" w:rsidR="000B18D6" w:rsidRPr="00134DA6" w:rsidRDefault="000B18D6" w:rsidP="004D7FFC">
            <w:pPr>
              <w:tabs>
                <w:tab w:val="left" w:pos="902"/>
              </w:tabs>
              <w:jc w:val="center"/>
              <w:rPr>
                <w:rFonts w:ascii="Aptos" w:hAnsi="Aptos" w:cstheme="minorHAnsi"/>
              </w:rPr>
            </w:pPr>
            <w:r w:rsidRPr="00134DA6">
              <w:rPr>
                <w:rFonts w:ascii="Aptos" w:hAnsi="Aptos" w:cstheme="minorHAnsi"/>
              </w:rPr>
              <w:t>3.3</w:t>
            </w:r>
          </w:p>
        </w:tc>
      </w:tr>
      <w:tr w:rsidR="000B18D6" w:rsidRPr="00EE7B00" w14:paraId="463F7F0A" w14:textId="77777777" w:rsidTr="004D7FFC">
        <w:trPr>
          <w:cantSplit/>
        </w:trPr>
        <w:tc>
          <w:tcPr>
            <w:tcW w:w="2543" w:type="dxa"/>
            <w:vMerge/>
            <w:vAlign w:val="center"/>
          </w:tcPr>
          <w:p w14:paraId="3B309CAF" w14:textId="77777777" w:rsidR="000B18D6" w:rsidRPr="00EE7B00" w:rsidRDefault="000B18D6" w:rsidP="004D7FFC">
            <w:pPr>
              <w:tabs>
                <w:tab w:val="left" w:pos="902"/>
              </w:tabs>
              <w:ind w:left="27"/>
              <w:rPr>
                <w:rFonts w:ascii="Aptos" w:hAnsi="Aptos" w:cstheme="minorHAnsi"/>
              </w:rPr>
            </w:pPr>
          </w:p>
        </w:tc>
        <w:tc>
          <w:tcPr>
            <w:tcW w:w="4593" w:type="dxa"/>
            <w:vMerge/>
            <w:vAlign w:val="center"/>
          </w:tcPr>
          <w:p w14:paraId="52F7BA18" w14:textId="63DDBBE7" w:rsidR="000B18D6" w:rsidRPr="000B18D6" w:rsidRDefault="000B18D6" w:rsidP="004D7FFC">
            <w:pPr>
              <w:pStyle w:val="ListParagraph"/>
              <w:numPr>
                <w:ilvl w:val="0"/>
                <w:numId w:val="6"/>
              </w:numPr>
              <w:tabs>
                <w:tab w:val="left" w:pos="902"/>
              </w:tabs>
              <w:rPr>
                <w:rFonts w:ascii="Aptos" w:hAnsi="Aptos" w:cstheme="minorHAnsi"/>
              </w:rPr>
            </w:pPr>
          </w:p>
        </w:tc>
        <w:tc>
          <w:tcPr>
            <w:tcW w:w="6366" w:type="dxa"/>
          </w:tcPr>
          <w:p w14:paraId="04AB005E"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tcPr>
          <w:p w14:paraId="2F39BADD"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54C28A46"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3.2</w:t>
            </w:r>
          </w:p>
        </w:tc>
      </w:tr>
      <w:tr w:rsidR="000B18D6" w:rsidRPr="00EE7B00" w14:paraId="76C86E24" w14:textId="77777777" w:rsidTr="004D7FFC">
        <w:trPr>
          <w:cantSplit/>
        </w:trPr>
        <w:tc>
          <w:tcPr>
            <w:tcW w:w="2543" w:type="dxa"/>
            <w:vMerge/>
            <w:vAlign w:val="center"/>
          </w:tcPr>
          <w:p w14:paraId="0CF973C9" w14:textId="77777777" w:rsidR="000B18D6" w:rsidRPr="00EE7B00" w:rsidRDefault="000B18D6" w:rsidP="004D7FFC">
            <w:pPr>
              <w:tabs>
                <w:tab w:val="left" w:pos="902"/>
              </w:tabs>
              <w:ind w:left="27"/>
              <w:rPr>
                <w:rFonts w:ascii="Aptos" w:hAnsi="Aptos" w:cstheme="minorHAnsi"/>
              </w:rPr>
            </w:pPr>
          </w:p>
        </w:tc>
        <w:tc>
          <w:tcPr>
            <w:tcW w:w="4593" w:type="dxa"/>
            <w:vMerge/>
            <w:vAlign w:val="center"/>
          </w:tcPr>
          <w:p w14:paraId="58DB8EA1" w14:textId="2B1E994B" w:rsidR="000B18D6" w:rsidRPr="00EE7B00" w:rsidRDefault="000B18D6" w:rsidP="004D7FFC">
            <w:pPr>
              <w:pStyle w:val="ListParagraph"/>
              <w:numPr>
                <w:ilvl w:val="0"/>
                <w:numId w:val="6"/>
              </w:numPr>
              <w:tabs>
                <w:tab w:val="left" w:pos="902"/>
              </w:tabs>
              <w:rPr>
                <w:rFonts w:ascii="Aptos" w:hAnsi="Aptos" w:cstheme="minorHAnsi"/>
              </w:rPr>
            </w:pPr>
          </w:p>
        </w:tc>
        <w:tc>
          <w:tcPr>
            <w:tcW w:w="6366" w:type="dxa"/>
          </w:tcPr>
          <w:p w14:paraId="79FBA18F"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Qualifying Preamble has been updated to extend the time limitation to access Ig following trial off therapy to six months.</w:t>
            </w:r>
          </w:p>
        </w:tc>
        <w:tc>
          <w:tcPr>
            <w:tcW w:w="1408" w:type="dxa"/>
          </w:tcPr>
          <w:p w14:paraId="4571DA71"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March</w:t>
            </w:r>
          </w:p>
          <w:p w14:paraId="3BD605AE"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2020</w:t>
            </w:r>
          </w:p>
        </w:tc>
        <w:tc>
          <w:tcPr>
            <w:tcW w:w="1250" w:type="dxa"/>
          </w:tcPr>
          <w:p w14:paraId="1CA4BBE1"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37D16911" w14:textId="77777777" w:rsidTr="004D7FFC">
        <w:trPr>
          <w:cantSplit/>
        </w:trPr>
        <w:tc>
          <w:tcPr>
            <w:tcW w:w="2543" w:type="dxa"/>
            <w:vAlign w:val="center"/>
          </w:tcPr>
          <w:p w14:paraId="02365F41" w14:textId="77777777" w:rsidR="003A5AD5" w:rsidRPr="00EE7B00" w:rsidRDefault="003A5AD5" w:rsidP="004D7FFC">
            <w:pPr>
              <w:tabs>
                <w:tab w:val="left" w:pos="902"/>
              </w:tabs>
              <w:ind w:left="27"/>
              <w:rPr>
                <w:rFonts w:ascii="Aptos" w:hAnsi="Aptos" w:cstheme="minorHAnsi"/>
              </w:rPr>
            </w:pPr>
            <w:r w:rsidRPr="00EE7B00">
              <w:rPr>
                <w:rFonts w:ascii="Aptos" w:eastAsia="Times New Roman" w:hAnsi="Aptos" w:cstheme="minorHAnsi"/>
                <w:lang w:val="fr-FR" w:eastAsia="en-AU"/>
              </w:rPr>
              <w:lastRenderedPageBreak/>
              <w:t>Sjögren’s syndrome associated neuropathy</w:t>
            </w:r>
          </w:p>
        </w:tc>
        <w:tc>
          <w:tcPr>
            <w:tcW w:w="4593" w:type="dxa"/>
            <w:vAlign w:val="center"/>
          </w:tcPr>
          <w:p w14:paraId="23B1F5D5" w14:textId="6F6ACCEA" w:rsidR="003A5AD5" w:rsidRPr="000B18D6" w:rsidRDefault="003A5AD5" w:rsidP="000B18D6">
            <w:pPr>
              <w:pStyle w:val="ListParagraph"/>
              <w:numPr>
                <w:ilvl w:val="0"/>
                <w:numId w:val="13"/>
              </w:numPr>
              <w:rPr>
                <w:rFonts w:ascii="Aptos" w:hAnsi="Aptos" w:cstheme="minorHAnsi"/>
              </w:rPr>
            </w:pPr>
            <w:r w:rsidRPr="00EE7B00">
              <w:rPr>
                <w:rFonts w:ascii="Aptos" w:hAnsi="Aptos" w:cstheme="minorHAnsi"/>
              </w:rPr>
              <w:t>Relapse of Sjögren’s syndrome associated neuropathy within six months of trial off Ig therapy</w:t>
            </w:r>
          </w:p>
        </w:tc>
        <w:tc>
          <w:tcPr>
            <w:tcW w:w="6366" w:type="dxa"/>
          </w:tcPr>
          <w:p w14:paraId="7D30BB33" w14:textId="77777777" w:rsidR="003A5AD5" w:rsidRPr="00EE7B00" w:rsidRDefault="003A5AD5" w:rsidP="004D7FFC">
            <w:pPr>
              <w:pStyle w:val="ListParagraph"/>
              <w:numPr>
                <w:ilvl w:val="0"/>
                <w:numId w:val="6"/>
              </w:numPr>
              <w:rPr>
                <w:rFonts w:ascii="Aptos" w:hAnsi="Aptos" w:cstheme="minorHAnsi"/>
              </w:rPr>
            </w:pPr>
            <w:r w:rsidRPr="00EE7B00">
              <w:rPr>
                <w:rFonts w:ascii="Aptos" w:hAnsi="Aptos" w:cstheme="minorHAnsi"/>
              </w:rPr>
              <w:t xml:space="preserve">Assessor instructions have been updated for leeway following a relapse. </w:t>
            </w:r>
          </w:p>
          <w:p w14:paraId="518A9707"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tcPr>
          <w:p w14:paraId="4CD0B8FD"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7E55ACC1"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07993680" w14:textId="77777777" w:rsidTr="004D7FFC">
        <w:trPr>
          <w:cantSplit/>
        </w:trPr>
        <w:tc>
          <w:tcPr>
            <w:tcW w:w="2543" w:type="dxa"/>
            <w:vAlign w:val="center"/>
          </w:tcPr>
          <w:p w14:paraId="77B87BE0" w14:textId="77777777" w:rsidR="003A5AD5" w:rsidRPr="00EE7B00" w:rsidRDefault="003A5AD5" w:rsidP="004D7FFC">
            <w:pPr>
              <w:tabs>
                <w:tab w:val="left" w:pos="902"/>
              </w:tabs>
              <w:ind w:left="27"/>
              <w:rPr>
                <w:rFonts w:ascii="Aptos" w:eastAsia="Times New Roman" w:hAnsi="Aptos" w:cstheme="minorHAnsi"/>
                <w:lang w:eastAsia="en-AU"/>
              </w:rPr>
            </w:pPr>
            <w:r w:rsidRPr="00EE7B00">
              <w:rPr>
                <w:rFonts w:ascii="Aptos" w:eastAsia="Times New Roman" w:hAnsi="Aptos" w:cstheme="minorHAnsi"/>
                <w:lang w:eastAsia="en-AU"/>
              </w:rPr>
              <w:t>Rasmussen encephalitis</w:t>
            </w:r>
          </w:p>
        </w:tc>
        <w:tc>
          <w:tcPr>
            <w:tcW w:w="4593" w:type="dxa"/>
            <w:vAlign w:val="center"/>
          </w:tcPr>
          <w:p w14:paraId="7B75443F" w14:textId="57B56443" w:rsidR="003A5AD5" w:rsidRPr="00EE7B00" w:rsidRDefault="000B18D6" w:rsidP="004D7FFC">
            <w:pPr>
              <w:pStyle w:val="ListParagraph"/>
              <w:numPr>
                <w:ilvl w:val="0"/>
                <w:numId w:val="6"/>
              </w:numPr>
              <w:tabs>
                <w:tab w:val="left" w:pos="902"/>
              </w:tabs>
              <w:rPr>
                <w:rFonts w:ascii="Aptos" w:hAnsi="Aptos" w:cstheme="minorHAnsi"/>
              </w:rPr>
            </w:pPr>
            <w:r w:rsidRPr="000B18D6">
              <w:rPr>
                <w:rFonts w:ascii="Aptos" w:hAnsi="Aptos" w:cstheme="minorHAnsi"/>
              </w:rPr>
              <w:t>Rasmussen encephalitis with concurrent steroid therapy unless contraindicated</w:t>
            </w:r>
          </w:p>
        </w:tc>
        <w:tc>
          <w:tcPr>
            <w:tcW w:w="6366" w:type="dxa"/>
          </w:tcPr>
          <w:p w14:paraId="5CC81919"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tcPr>
          <w:p w14:paraId="0377C9CC"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2585584D"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3A5AD5" w:rsidRPr="00EE7B00" w14:paraId="091832A4" w14:textId="77777777" w:rsidTr="004D7FFC">
        <w:trPr>
          <w:cantSplit/>
        </w:trPr>
        <w:tc>
          <w:tcPr>
            <w:tcW w:w="2543" w:type="dxa"/>
            <w:vAlign w:val="center"/>
          </w:tcPr>
          <w:p w14:paraId="1BCC8CA4" w14:textId="77777777" w:rsidR="003A5AD5" w:rsidRPr="00EE7B00" w:rsidRDefault="003A5AD5" w:rsidP="004D7FFC">
            <w:pPr>
              <w:tabs>
                <w:tab w:val="left" w:pos="902"/>
              </w:tabs>
              <w:ind w:left="27"/>
              <w:rPr>
                <w:rFonts w:ascii="Aptos" w:hAnsi="Aptos" w:cstheme="minorHAnsi"/>
              </w:rPr>
            </w:pPr>
            <w:r w:rsidRPr="00EE7B00">
              <w:rPr>
                <w:rFonts w:ascii="Aptos" w:eastAsia="Times New Roman" w:hAnsi="Aptos" w:cstheme="minorHAnsi"/>
                <w:lang w:eastAsia="en-AU"/>
              </w:rPr>
              <w:t>Stiff person syndrome</w:t>
            </w:r>
          </w:p>
        </w:tc>
        <w:tc>
          <w:tcPr>
            <w:tcW w:w="4593" w:type="dxa"/>
            <w:vAlign w:val="center"/>
          </w:tcPr>
          <w:p w14:paraId="113C35A4" w14:textId="6BF7B09D" w:rsidR="003A5AD5" w:rsidRPr="00EE7B00" w:rsidRDefault="000B18D6" w:rsidP="004D7FFC">
            <w:pPr>
              <w:pStyle w:val="ListParagraph"/>
              <w:numPr>
                <w:ilvl w:val="0"/>
                <w:numId w:val="6"/>
              </w:numPr>
              <w:tabs>
                <w:tab w:val="left" w:pos="902"/>
              </w:tabs>
              <w:rPr>
                <w:rFonts w:ascii="Aptos" w:hAnsi="Aptos" w:cstheme="minorHAnsi"/>
              </w:rPr>
            </w:pPr>
            <w:r w:rsidRPr="000B18D6">
              <w:rPr>
                <w:rFonts w:ascii="Aptos" w:hAnsi="Aptos" w:cstheme="minorHAnsi"/>
              </w:rPr>
              <w:t>Stiff person syndrome or variants with significant disability</w:t>
            </w:r>
          </w:p>
        </w:tc>
        <w:tc>
          <w:tcPr>
            <w:tcW w:w="6366" w:type="dxa"/>
          </w:tcPr>
          <w:p w14:paraId="4DE281AF" w14:textId="77777777" w:rsidR="003A5AD5" w:rsidRPr="00EE7B00" w:rsidRDefault="003A5AD5"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tcPr>
          <w:p w14:paraId="0595FDC1"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66348D28" w14:textId="77777777" w:rsidR="003A5AD5" w:rsidRPr="00EE7B00" w:rsidRDefault="003A5AD5" w:rsidP="004D7FFC">
            <w:pPr>
              <w:tabs>
                <w:tab w:val="left" w:pos="902"/>
              </w:tabs>
              <w:jc w:val="center"/>
              <w:rPr>
                <w:rFonts w:ascii="Aptos" w:hAnsi="Aptos" w:cstheme="minorHAnsi"/>
              </w:rPr>
            </w:pPr>
            <w:r w:rsidRPr="00EE7B00">
              <w:rPr>
                <w:rFonts w:ascii="Aptos" w:hAnsi="Aptos" w:cstheme="minorHAnsi"/>
              </w:rPr>
              <w:t>3.1</w:t>
            </w:r>
          </w:p>
        </w:tc>
      </w:tr>
      <w:tr w:rsidR="000B18D6" w:rsidRPr="00EE7B00" w14:paraId="04719A43" w14:textId="77777777" w:rsidTr="004D7FFC">
        <w:trPr>
          <w:cantSplit/>
        </w:trPr>
        <w:tc>
          <w:tcPr>
            <w:tcW w:w="2543" w:type="dxa"/>
            <w:vMerge w:val="restart"/>
            <w:vAlign w:val="center"/>
          </w:tcPr>
          <w:p w14:paraId="005B81C4" w14:textId="77777777" w:rsidR="000B18D6" w:rsidRPr="00EE7B00" w:rsidRDefault="000B18D6" w:rsidP="004D7FFC">
            <w:pPr>
              <w:tabs>
                <w:tab w:val="left" w:pos="902"/>
              </w:tabs>
              <w:ind w:left="27"/>
              <w:rPr>
                <w:rFonts w:ascii="Aptos" w:hAnsi="Aptos" w:cstheme="minorHAnsi"/>
              </w:rPr>
            </w:pPr>
            <w:r w:rsidRPr="00EE7B00">
              <w:rPr>
                <w:rFonts w:ascii="Aptos" w:hAnsi="Aptos" w:cstheme="minorHAnsi"/>
              </w:rPr>
              <w:t>Susac syndrome</w:t>
            </w:r>
          </w:p>
        </w:tc>
        <w:tc>
          <w:tcPr>
            <w:tcW w:w="4593" w:type="dxa"/>
            <w:vMerge w:val="restart"/>
            <w:vAlign w:val="center"/>
          </w:tcPr>
          <w:p w14:paraId="518DFAEB" w14:textId="165BC864"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Probable or definite Susac syndrome in concurrence with high dose corticosteroids</w:t>
            </w:r>
          </w:p>
        </w:tc>
        <w:tc>
          <w:tcPr>
            <w:tcW w:w="6366" w:type="dxa"/>
          </w:tcPr>
          <w:p w14:paraId="4EDFE47C"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The link for 'the modified Rankin scale' has been updated from Stroke Society of Australia to Stroke Engine of Canada</w:t>
            </w:r>
          </w:p>
        </w:tc>
        <w:tc>
          <w:tcPr>
            <w:tcW w:w="1408" w:type="dxa"/>
          </w:tcPr>
          <w:p w14:paraId="7E4D4C79"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November 2023</w:t>
            </w:r>
          </w:p>
        </w:tc>
        <w:tc>
          <w:tcPr>
            <w:tcW w:w="1250" w:type="dxa"/>
          </w:tcPr>
          <w:p w14:paraId="767BBF94"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3.2</w:t>
            </w:r>
          </w:p>
        </w:tc>
      </w:tr>
      <w:tr w:rsidR="000B18D6" w:rsidRPr="00EE7B00" w14:paraId="4DAA1C85" w14:textId="77777777" w:rsidTr="004D7FFC">
        <w:trPr>
          <w:cantSplit/>
        </w:trPr>
        <w:tc>
          <w:tcPr>
            <w:tcW w:w="2543" w:type="dxa"/>
            <w:vMerge/>
            <w:vAlign w:val="center"/>
          </w:tcPr>
          <w:p w14:paraId="1537BBCF" w14:textId="77777777" w:rsidR="000B18D6" w:rsidRPr="00EE7B00" w:rsidRDefault="000B18D6" w:rsidP="004D7FFC">
            <w:pPr>
              <w:tabs>
                <w:tab w:val="left" w:pos="902"/>
              </w:tabs>
              <w:ind w:left="27"/>
              <w:rPr>
                <w:rFonts w:ascii="Aptos" w:hAnsi="Aptos" w:cstheme="minorHAnsi"/>
              </w:rPr>
            </w:pPr>
          </w:p>
        </w:tc>
        <w:tc>
          <w:tcPr>
            <w:tcW w:w="4593" w:type="dxa"/>
            <w:vMerge/>
            <w:vAlign w:val="center"/>
          </w:tcPr>
          <w:p w14:paraId="162CA1E9" w14:textId="2DBBBD59" w:rsidR="000B18D6" w:rsidRPr="00EE7B00" w:rsidRDefault="000B18D6" w:rsidP="004D7FFC">
            <w:pPr>
              <w:pStyle w:val="ListParagraph"/>
              <w:numPr>
                <w:ilvl w:val="0"/>
                <w:numId w:val="6"/>
              </w:numPr>
              <w:tabs>
                <w:tab w:val="left" w:pos="902"/>
              </w:tabs>
              <w:rPr>
                <w:rFonts w:ascii="Aptos" w:hAnsi="Aptos" w:cstheme="minorHAnsi"/>
              </w:rPr>
            </w:pPr>
          </w:p>
        </w:tc>
        <w:tc>
          <w:tcPr>
            <w:tcW w:w="6366" w:type="dxa"/>
          </w:tcPr>
          <w:p w14:paraId="494C137A" w14:textId="77777777" w:rsidR="000B18D6" w:rsidRPr="00EE7B00" w:rsidRDefault="000B18D6" w:rsidP="004D7FFC">
            <w:pPr>
              <w:pStyle w:val="ListParagraph"/>
              <w:numPr>
                <w:ilvl w:val="0"/>
                <w:numId w:val="6"/>
              </w:numPr>
              <w:tabs>
                <w:tab w:val="left" w:pos="902"/>
              </w:tabs>
              <w:rPr>
                <w:rFonts w:ascii="Aptos" w:hAnsi="Aptos" w:cstheme="minorHAnsi"/>
              </w:rPr>
            </w:pPr>
            <w:r w:rsidRPr="00EE7B00">
              <w:rPr>
                <w:rFonts w:ascii="Aptos" w:hAnsi="Aptos" w:cstheme="minorHAnsi"/>
              </w:rPr>
              <w:t>Data entry error corrected in the Modified Rankin Scale controls for Review Criteria.</w:t>
            </w:r>
          </w:p>
        </w:tc>
        <w:tc>
          <w:tcPr>
            <w:tcW w:w="1408" w:type="dxa"/>
          </w:tcPr>
          <w:p w14:paraId="06941321"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March</w:t>
            </w:r>
          </w:p>
          <w:p w14:paraId="79AE8A5D"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2020</w:t>
            </w:r>
          </w:p>
        </w:tc>
        <w:tc>
          <w:tcPr>
            <w:tcW w:w="1250" w:type="dxa"/>
          </w:tcPr>
          <w:p w14:paraId="37FF0686" w14:textId="77777777" w:rsidR="000B18D6" w:rsidRPr="00EE7B00" w:rsidRDefault="000B18D6" w:rsidP="004D7FFC">
            <w:pPr>
              <w:tabs>
                <w:tab w:val="left" w:pos="902"/>
              </w:tabs>
              <w:jc w:val="center"/>
              <w:rPr>
                <w:rFonts w:ascii="Aptos" w:hAnsi="Aptos" w:cstheme="minorHAnsi"/>
              </w:rPr>
            </w:pPr>
            <w:r w:rsidRPr="00EE7B00">
              <w:rPr>
                <w:rFonts w:ascii="Aptos" w:hAnsi="Aptos" w:cstheme="minorHAnsi"/>
              </w:rPr>
              <w:t>3.1</w:t>
            </w:r>
          </w:p>
        </w:tc>
      </w:tr>
    </w:tbl>
    <w:p w14:paraId="1F0DDFA2" w14:textId="77777777" w:rsidR="00E90271" w:rsidRPr="00EE7B00" w:rsidRDefault="00E90271" w:rsidP="00D96C83">
      <w:pPr>
        <w:rPr>
          <w:rFonts w:ascii="Aptos" w:hAnsi="Aptos" w:cstheme="minorHAnsi"/>
        </w:rPr>
      </w:pPr>
    </w:p>
    <w:sectPr w:rsidR="00E90271" w:rsidRPr="00EE7B00" w:rsidSect="000B49BD">
      <w:headerReference w:type="even" r:id="rId9"/>
      <w:headerReference w:type="default" r:id="rId10"/>
      <w:footerReference w:type="default" r:id="rId11"/>
      <w:headerReference w:type="first" r:id="rId12"/>
      <w:pgSz w:w="16838" w:h="11906" w:orient="landscape" w:code="9"/>
      <w:pgMar w:top="1440" w:right="1440" w:bottom="1133" w:left="1440" w:header="708" w:footer="708" w:gutter="0"/>
      <w:pgBorders w:offsetFrom="page">
        <w:top w:val="single" w:sz="48" w:space="15" w:color="F79646" w:themeColor="accent6"/>
        <w:left w:val="single" w:sz="48" w:space="15" w:color="F79646" w:themeColor="accent6"/>
        <w:bottom w:val="single" w:sz="48" w:space="15" w:color="F79646" w:themeColor="accent6"/>
        <w:right w:val="single" w:sz="48" w:space="15" w:color="F79646"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D1BB" w14:textId="77777777" w:rsidR="00266645" w:rsidRDefault="00266645" w:rsidP="00856708">
      <w:pPr>
        <w:spacing w:after="0"/>
      </w:pPr>
      <w:r>
        <w:separator/>
      </w:r>
    </w:p>
  </w:endnote>
  <w:endnote w:type="continuationSeparator" w:id="0">
    <w:p w14:paraId="5107949E" w14:textId="77777777" w:rsidR="00266645" w:rsidRDefault="00266645"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A758" w14:textId="7E95DAED" w:rsidR="00E66B16" w:rsidRDefault="00C16D7B" w:rsidP="00C16D7B">
    <w:pPr>
      <w:pStyle w:val="Footer"/>
      <w:tabs>
        <w:tab w:val="clear" w:pos="9026"/>
        <w:tab w:val="right" w:pos="9356"/>
      </w:tabs>
      <w:ind w:right="-284"/>
      <w:rPr>
        <w:sz w:val="20"/>
        <w:szCs w:val="20"/>
      </w:rPr>
    </w:pPr>
    <w:r>
      <w:rPr>
        <w:rStyle w:val="Heading3Char"/>
      </w:rPr>
      <w:tab/>
    </w:r>
    <w:r w:rsidR="00856708" w:rsidRPr="00856708">
      <w:rPr>
        <w:sz w:val="20"/>
        <w:szCs w:val="20"/>
      </w:rPr>
      <w:tab/>
    </w:r>
    <w:r>
      <w:rPr>
        <w:sz w:val="20"/>
        <w:szCs w:val="20"/>
      </w:rPr>
      <w:t xml:space="preserve"> </w:t>
    </w:r>
    <w:r w:rsidR="00E66B16">
      <w:rPr>
        <w:sz w:val="20"/>
        <w:szCs w:val="20"/>
      </w:rPr>
      <w:t xml:space="preserve">      </w:t>
    </w:r>
    <w:r w:rsidR="00601625">
      <w:rPr>
        <w:sz w:val="20"/>
        <w:szCs w:val="20"/>
      </w:rPr>
      <w:tab/>
    </w:r>
    <w:r>
      <w:rPr>
        <w:sz w:val="20"/>
        <w:szCs w:val="20"/>
      </w:rPr>
      <w:t xml:space="preserve"> </w:t>
    </w:r>
  </w:p>
  <w:tbl>
    <w:tblPr>
      <w:tblStyle w:val="TableGrid"/>
      <w:tblW w:w="1502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5"/>
      <w:gridCol w:w="3005"/>
      <w:gridCol w:w="3006"/>
    </w:tblGrid>
    <w:tr w:rsidR="00E66B16" w14:paraId="2A0DDD41" w14:textId="77777777" w:rsidTr="00E66B16">
      <w:tc>
        <w:tcPr>
          <w:tcW w:w="3005" w:type="dxa"/>
        </w:tcPr>
        <w:p w14:paraId="2A20D80F" w14:textId="679BFF7A" w:rsidR="00E66B16" w:rsidRDefault="00E66B16" w:rsidP="00E66B16">
          <w:pPr>
            <w:pStyle w:val="Footer"/>
            <w:tabs>
              <w:tab w:val="clear" w:pos="9026"/>
              <w:tab w:val="right" w:pos="9356"/>
            </w:tabs>
            <w:ind w:right="-284"/>
            <w:rPr>
              <w:sz w:val="20"/>
              <w:szCs w:val="20"/>
            </w:rPr>
          </w:pPr>
          <w:r w:rsidRPr="00C16D7B">
            <w:rPr>
              <w:noProof/>
              <w:sz w:val="20"/>
              <w:szCs w:val="20"/>
              <w:lang w:eastAsia="en-AU"/>
            </w:rPr>
            <w:drawing>
              <wp:inline distT="0" distB="0" distL="0" distR="0" wp14:anchorId="66A4CD06" wp14:editId="359D7DA3">
                <wp:extent cx="1339851" cy="371475"/>
                <wp:effectExtent l="0" t="0" r="0" b="0"/>
                <wp:docPr id="1182484137" name="Picture 1182484137" descr="\\nba.local\data\Users\83449654\My Documents\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a.local\data\Users\83449654\My Documents\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629" cy="386662"/>
                        </a:xfrm>
                        <a:prstGeom prst="rect">
                          <a:avLst/>
                        </a:prstGeom>
                        <a:noFill/>
                        <a:ln>
                          <a:noFill/>
                        </a:ln>
                      </pic:spPr>
                    </pic:pic>
                  </a:graphicData>
                </a:graphic>
              </wp:inline>
            </w:drawing>
          </w:r>
        </w:p>
      </w:tc>
      <w:tc>
        <w:tcPr>
          <w:tcW w:w="3005" w:type="dxa"/>
        </w:tcPr>
        <w:p w14:paraId="490D7377" w14:textId="3DA97088" w:rsidR="00E66B16" w:rsidRDefault="00417668" w:rsidP="00E66B16">
          <w:pPr>
            <w:pStyle w:val="Footer"/>
            <w:tabs>
              <w:tab w:val="clear" w:pos="9026"/>
              <w:tab w:val="right" w:pos="9356"/>
            </w:tabs>
            <w:spacing w:before="120" w:after="120"/>
            <w:ind w:right="-284"/>
            <w:rPr>
              <w:sz w:val="20"/>
              <w:szCs w:val="20"/>
            </w:rPr>
          </w:pPr>
          <w:hyperlink r:id="rId2" w:history="1">
            <w:r w:rsidR="00E66B16" w:rsidRPr="00961955">
              <w:rPr>
                <w:rStyle w:val="Hyperlink"/>
                <w:rFonts w:ascii="Arial" w:hAnsi="Arial" w:cs="Arial"/>
                <w:sz w:val="28"/>
                <w:szCs w:val="28"/>
              </w:rPr>
              <w:t>www.blood.gov.au</w:t>
            </w:r>
          </w:hyperlink>
        </w:p>
      </w:tc>
      <w:tc>
        <w:tcPr>
          <w:tcW w:w="3005" w:type="dxa"/>
        </w:tcPr>
        <w:p w14:paraId="6C9CF9BA" w14:textId="11B47089" w:rsidR="00E66B16" w:rsidRPr="00601625" w:rsidRDefault="00E66B16" w:rsidP="00E66B16">
          <w:pPr>
            <w:spacing w:before="60"/>
            <w:jc w:val="center"/>
            <w:rPr>
              <w:sz w:val="14"/>
            </w:rPr>
          </w:pPr>
          <w:r w:rsidRPr="00601625">
            <w:rPr>
              <w:sz w:val="14"/>
            </w:rPr>
            <w:t xml:space="preserve">Visit </w:t>
          </w:r>
          <w:hyperlink r:id="rId3" w:history="1">
            <w:r w:rsidR="000B49BD">
              <w:rPr>
                <w:rStyle w:val="Hyperlink"/>
                <w:sz w:val="14"/>
              </w:rPr>
              <w:t>www.blood.gov.au</w:t>
            </w:r>
          </w:hyperlink>
        </w:p>
        <w:p w14:paraId="5D254C3B" w14:textId="77777777" w:rsidR="00E66B16" w:rsidRPr="00601625" w:rsidRDefault="00E66B16" w:rsidP="00E66B16">
          <w:pPr>
            <w:jc w:val="center"/>
            <w:rPr>
              <w:sz w:val="14"/>
            </w:rPr>
          </w:pPr>
          <w:r w:rsidRPr="00601625">
            <w:rPr>
              <w:sz w:val="14"/>
            </w:rPr>
            <w:t>for more information about</w:t>
          </w:r>
        </w:p>
        <w:p w14:paraId="24138907" w14:textId="4FED4CF9" w:rsidR="00E66B16" w:rsidRPr="00E66B16" w:rsidRDefault="00E66B16" w:rsidP="00E66B16">
          <w:pPr>
            <w:jc w:val="center"/>
            <w:rPr>
              <w:sz w:val="18"/>
            </w:rPr>
          </w:pPr>
          <w:r w:rsidRPr="00601625">
            <w:rPr>
              <w:sz w:val="14"/>
            </w:rPr>
            <w:t>Ig Governance and the Criteria</w:t>
          </w:r>
        </w:p>
      </w:tc>
      <w:tc>
        <w:tcPr>
          <w:tcW w:w="3005" w:type="dxa"/>
        </w:tcPr>
        <w:p w14:paraId="1C7CA17E" w14:textId="2BE81C50" w:rsidR="00E66B16" w:rsidRDefault="00E66B16" w:rsidP="00E66B16">
          <w:pPr>
            <w:pStyle w:val="Footer"/>
            <w:tabs>
              <w:tab w:val="clear" w:pos="9026"/>
              <w:tab w:val="right" w:pos="9356"/>
            </w:tabs>
            <w:ind w:right="-284"/>
            <w:jc w:val="center"/>
            <w:rPr>
              <w:sz w:val="20"/>
              <w:szCs w:val="20"/>
            </w:rPr>
          </w:pPr>
          <w:r w:rsidRPr="00C16D7B">
            <w:rPr>
              <w:noProof/>
              <w:sz w:val="20"/>
              <w:szCs w:val="20"/>
              <w:lang w:eastAsia="en-AU"/>
            </w:rPr>
            <w:drawing>
              <wp:inline distT="0" distB="0" distL="0" distR="0" wp14:anchorId="0293018F" wp14:editId="5CAF6BEB">
                <wp:extent cx="1181100" cy="410493"/>
                <wp:effectExtent l="0" t="0" r="0" b="8890"/>
                <wp:docPr id="1980848200" name="Picture 1980848200" descr="G:\Logos\IgGovernance\Ig Governance(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gos\IgGovernance\Ig Governance(300 dpi).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6832" cy="422912"/>
                        </a:xfrm>
                        <a:prstGeom prst="rect">
                          <a:avLst/>
                        </a:prstGeom>
                        <a:noFill/>
                        <a:ln>
                          <a:noFill/>
                        </a:ln>
                      </pic:spPr>
                    </pic:pic>
                  </a:graphicData>
                </a:graphic>
              </wp:inline>
            </w:drawing>
          </w:r>
        </w:p>
      </w:tc>
      <w:tc>
        <w:tcPr>
          <w:tcW w:w="3006" w:type="dxa"/>
        </w:tcPr>
        <w:p w14:paraId="744C3157" w14:textId="6FE9FF90" w:rsidR="00E66B16" w:rsidRDefault="00E66B16" w:rsidP="00E66B16">
          <w:pPr>
            <w:pStyle w:val="Footer"/>
            <w:tabs>
              <w:tab w:val="clear" w:pos="9026"/>
              <w:tab w:val="right" w:pos="9356"/>
            </w:tabs>
            <w:spacing w:before="160"/>
            <w:ind w:right="-284"/>
            <w:jc w:val="center"/>
            <w:rPr>
              <w:sz w:val="20"/>
              <w:szCs w:val="20"/>
            </w:rPr>
          </w:pPr>
          <w:r w:rsidRPr="00C16D7B">
            <w:rPr>
              <w:noProof/>
              <w:sz w:val="20"/>
              <w:szCs w:val="20"/>
              <w:lang w:eastAsia="en-AU"/>
            </w:rPr>
            <w:drawing>
              <wp:inline distT="0" distB="0" distL="0" distR="0" wp14:anchorId="7EFE308B" wp14:editId="052D5B08">
                <wp:extent cx="1538696" cy="231699"/>
                <wp:effectExtent l="0" t="0" r="4445" b="0"/>
                <wp:docPr id="436641666" name="Picture 436641666" descr="G:\Logos\NBA\NBA System Logos\BloodStar\BloodStar logo\BLOOD_STAR_GRADIENT_v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gos\NBA\NBA System Logos\BloodStar\BloodStar logo\BLOOD_STAR_GRADIENT_v13-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877" cy="252356"/>
                        </a:xfrm>
                        <a:prstGeom prst="rect">
                          <a:avLst/>
                        </a:prstGeom>
                        <a:noFill/>
                        <a:ln>
                          <a:noFill/>
                        </a:ln>
                      </pic:spPr>
                    </pic:pic>
                  </a:graphicData>
                </a:graphic>
              </wp:inline>
            </w:drawing>
          </w:r>
        </w:p>
      </w:tc>
    </w:tr>
  </w:tbl>
  <w:p w14:paraId="6DDC5162" w14:textId="0FAF6990" w:rsidR="00856708" w:rsidRPr="00856708" w:rsidRDefault="00601625" w:rsidP="00C16D7B">
    <w:pPr>
      <w:pStyle w:val="Footer"/>
      <w:tabs>
        <w:tab w:val="clear" w:pos="9026"/>
        <w:tab w:val="right" w:pos="9356"/>
      </w:tabs>
      <w:ind w:right="-284"/>
      <w:rPr>
        <w:sz w:val="20"/>
        <w:szCs w:val="20"/>
      </w:rPr>
    </w:pPr>
    <w:r>
      <w:rPr>
        <w:sz w:val="20"/>
        <w:szCs w:val="20"/>
      </w:rPr>
      <w:tab/>
    </w:r>
    <w:r>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E66B16">
      <w:rPr>
        <w:sz w:val="20"/>
        <w:szCs w:val="20"/>
      </w:rPr>
      <w:tab/>
    </w:r>
    <w:r w:rsidR="00856708" w:rsidRPr="00856708">
      <w:rPr>
        <w:sz w:val="20"/>
        <w:szCs w:val="20"/>
      </w:rPr>
      <w:t xml:space="preserve">pg. </w:t>
    </w:r>
    <w:r w:rsidR="00856708" w:rsidRPr="00856708">
      <w:rPr>
        <w:sz w:val="20"/>
        <w:szCs w:val="20"/>
      </w:rPr>
      <w:fldChar w:fldCharType="begin"/>
    </w:r>
    <w:r w:rsidR="00856708" w:rsidRPr="00856708">
      <w:rPr>
        <w:sz w:val="20"/>
        <w:szCs w:val="20"/>
      </w:rPr>
      <w:instrText xml:space="preserve"> PAGE    \* MERGEFORMAT </w:instrText>
    </w:r>
    <w:r w:rsidR="00856708" w:rsidRPr="00856708">
      <w:rPr>
        <w:sz w:val="20"/>
        <w:szCs w:val="20"/>
      </w:rPr>
      <w:fldChar w:fldCharType="separate"/>
    </w:r>
    <w:r w:rsidR="00A3643C">
      <w:rPr>
        <w:noProof/>
        <w:sz w:val="20"/>
        <w:szCs w:val="20"/>
      </w:rPr>
      <w:t>2</w:t>
    </w:r>
    <w:r w:rsidR="00856708" w:rsidRPr="0085670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8C50C" w14:textId="77777777" w:rsidR="00266645" w:rsidRDefault="00266645" w:rsidP="00856708">
      <w:pPr>
        <w:spacing w:after="0"/>
      </w:pPr>
      <w:r>
        <w:separator/>
      </w:r>
    </w:p>
  </w:footnote>
  <w:footnote w:type="continuationSeparator" w:id="0">
    <w:p w14:paraId="3D6E2ABC" w14:textId="77777777" w:rsidR="00266645" w:rsidRDefault="00266645" w:rsidP="008567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6187" w14:textId="2FC0B6F3" w:rsidR="003B12DF" w:rsidRDefault="003B12DF">
    <w:pPr>
      <w:pStyle w:val="Header"/>
    </w:pPr>
    <w:r>
      <w:rPr>
        <w:noProof/>
      </w:rPr>
      <mc:AlternateContent>
        <mc:Choice Requires="wps">
          <w:drawing>
            <wp:anchor distT="0" distB="0" distL="0" distR="0" simplePos="0" relativeHeight="251659264" behindDoc="0" locked="0" layoutInCell="1" allowOverlap="1" wp14:anchorId="0F37498B" wp14:editId="758A1366">
              <wp:simplePos x="635" y="635"/>
              <wp:positionH relativeFrom="column">
                <wp:align>center</wp:align>
              </wp:positionH>
              <wp:positionV relativeFrom="paragraph">
                <wp:posOffset>635</wp:posOffset>
              </wp:positionV>
              <wp:extent cx="443865" cy="443865"/>
              <wp:effectExtent l="0" t="0" r="635" b="1079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DCD3AD" w14:textId="79B18A28" w:rsidR="003B12DF" w:rsidRPr="003B12DF" w:rsidRDefault="003B12DF">
                          <w:pPr>
                            <w:rPr>
                              <w:rFonts w:eastAsia="Calibri"/>
                              <w:color w:val="FF0000"/>
                              <w:sz w:val="24"/>
                              <w:szCs w:val="24"/>
                            </w:rPr>
                          </w:pPr>
                          <w:r w:rsidRPr="003B12D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0F37498B"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3DCD3AD" w14:textId="79B18A28" w:rsidR="003B12DF" w:rsidRPr="003B12DF" w:rsidRDefault="003B12DF">
                    <w:pPr>
                      <w:rPr>
                        <w:rFonts w:eastAsia="Calibri"/>
                        <w:color w:val="FF0000"/>
                        <w:sz w:val="24"/>
                        <w:szCs w:val="24"/>
                      </w:rPr>
                    </w:pPr>
                    <w:r w:rsidRPr="003B12DF">
                      <w:rPr>
                        <w:rFonts w:eastAsia="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72D2" w14:textId="0D66C884" w:rsidR="003B12DF" w:rsidRDefault="003B12DF">
    <w:pPr>
      <w:pStyle w:val="Header"/>
    </w:pPr>
    <w:r>
      <w:rPr>
        <w:noProof/>
      </w:rPr>
      <mc:AlternateContent>
        <mc:Choice Requires="wps">
          <w:drawing>
            <wp:anchor distT="0" distB="0" distL="0" distR="0" simplePos="0" relativeHeight="251660288" behindDoc="0" locked="0" layoutInCell="1" allowOverlap="1" wp14:anchorId="3B273ABB" wp14:editId="21CFE3AE">
              <wp:simplePos x="914400" y="450273"/>
              <wp:positionH relativeFrom="column">
                <wp:align>center</wp:align>
              </wp:positionH>
              <wp:positionV relativeFrom="paragraph">
                <wp:posOffset>635</wp:posOffset>
              </wp:positionV>
              <wp:extent cx="443865" cy="443865"/>
              <wp:effectExtent l="0" t="0" r="635" b="1079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E4BCE" w14:textId="2CAF2143" w:rsidR="003B12DF" w:rsidRPr="003B12DF" w:rsidRDefault="003B12DF">
                          <w:pPr>
                            <w:rPr>
                              <w:rFonts w:eastAsia="Calibri"/>
                              <w:color w:val="FF0000"/>
                              <w:sz w:val="24"/>
                              <w:szCs w:val="24"/>
                            </w:rPr>
                          </w:pPr>
                          <w:r w:rsidRPr="003B12D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B273ABB"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EFE4BCE" w14:textId="2CAF2143" w:rsidR="003B12DF" w:rsidRPr="003B12DF" w:rsidRDefault="003B12DF">
                    <w:pPr>
                      <w:rPr>
                        <w:rFonts w:eastAsia="Calibri"/>
                        <w:color w:val="FF0000"/>
                        <w:sz w:val="24"/>
                        <w:szCs w:val="24"/>
                      </w:rPr>
                    </w:pPr>
                    <w:r w:rsidRPr="003B12DF">
                      <w:rPr>
                        <w:rFonts w:eastAsia="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DB08" w14:textId="44710360" w:rsidR="003B12DF" w:rsidRDefault="003B12DF">
    <w:pPr>
      <w:pStyle w:val="Header"/>
    </w:pPr>
    <w:r>
      <w:rPr>
        <w:noProof/>
      </w:rPr>
      <mc:AlternateContent>
        <mc:Choice Requires="wps">
          <w:drawing>
            <wp:anchor distT="0" distB="0" distL="0" distR="0" simplePos="0" relativeHeight="251658240" behindDoc="0" locked="0" layoutInCell="1" allowOverlap="1" wp14:anchorId="3E9B475A" wp14:editId="42FFCF40">
              <wp:simplePos x="914400" y="450273"/>
              <wp:positionH relativeFrom="column">
                <wp:align>center</wp:align>
              </wp:positionH>
              <wp:positionV relativeFrom="paragraph">
                <wp:posOffset>635</wp:posOffset>
              </wp:positionV>
              <wp:extent cx="443865" cy="443865"/>
              <wp:effectExtent l="0" t="0" r="635" b="1079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4224B7" w14:textId="70877837" w:rsidR="003B12DF" w:rsidRPr="003B12DF" w:rsidRDefault="003B12DF">
                          <w:pPr>
                            <w:rPr>
                              <w:rFonts w:eastAsia="Calibri"/>
                              <w:color w:val="FF0000"/>
                              <w:sz w:val="24"/>
                              <w:szCs w:val="24"/>
                            </w:rPr>
                          </w:pPr>
                          <w:r w:rsidRPr="003B12DF">
                            <w:rPr>
                              <w:rFonts w:eastAsia="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3E9B475A" id="_x0000_t202" coordsize="21600,21600" o:spt="202" path="m,l,21600r21600,l21600,xe">
              <v:stroke joinstyle="miter"/>
              <v:path gradientshapeok="t" o:connecttype="rect"/>
            </v:shapetype>
            <v:shape id="Text Box 2"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C4224B7" w14:textId="70877837" w:rsidR="003B12DF" w:rsidRPr="003B12DF" w:rsidRDefault="003B12DF">
                    <w:pPr>
                      <w:rPr>
                        <w:rFonts w:eastAsia="Calibri"/>
                        <w:color w:val="FF0000"/>
                        <w:sz w:val="24"/>
                        <w:szCs w:val="24"/>
                      </w:rPr>
                    </w:pPr>
                    <w:r w:rsidRPr="003B12DF">
                      <w:rPr>
                        <w:rFonts w:eastAsia="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12976864" o:spid="_x0000_i1625" type="#_x0000_t75" style="width:8pt;height:12.5pt;visibility:visible;mso-wrap-style:square" o:bullet="t">
        <v:imagedata r:id="rId1" o:title=""/>
      </v:shape>
    </w:pict>
  </w:numPicBullet>
  <w:abstractNum w:abstractNumId="0" w15:restartNumberingAfterBreak="0">
    <w:nsid w:val="02953113"/>
    <w:multiLevelType w:val="hybridMultilevel"/>
    <w:tmpl w:val="8CFC1B80"/>
    <w:lvl w:ilvl="0" w:tplc="D1E01526">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CA230C9"/>
    <w:multiLevelType w:val="hybridMultilevel"/>
    <w:tmpl w:val="7E9CBE24"/>
    <w:lvl w:ilvl="0" w:tplc="B72222BC">
      <w:start w:val="1"/>
      <w:numFmt w:val="bullet"/>
      <w:lvlText w:val=""/>
      <w:lvlPicBulletId w:val="0"/>
      <w:lvlJc w:val="left"/>
      <w:pPr>
        <w:ind w:left="360" w:hanging="360"/>
      </w:pPr>
      <w:rPr>
        <w:rFonts w:ascii="Symbol" w:hAnsi="Symbol" w:hint="default"/>
        <w:color w:val="F79646" w:themeColor="accent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432C4F"/>
    <w:multiLevelType w:val="hybridMultilevel"/>
    <w:tmpl w:val="0E0A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243D7"/>
    <w:multiLevelType w:val="hybridMultilevel"/>
    <w:tmpl w:val="29BC8ABC"/>
    <w:lvl w:ilvl="0" w:tplc="B2EA4808">
      <w:numFmt w:val="bullet"/>
      <w:lvlText w:val="•"/>
      <w:lvlJc w:val="left"/>
      <w:pPr>
        <w:ind w:left="1080" w:hanging="720"/>
      </w:pPr>
      <w:rPr>
        <w:rFonts w:ascii="Calibri" w:eastAsia="Dotum"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431082A"/>
    <w:multiLevelType w:val="hybridMultilevel"/>
    <w:tmpl w:val="A81A976E"/>
    <w:lvl w:ilvl="0" w:tplc="265AB132">
      <w:start w:val="1"/>
      <w:numFmt w:val="bullet"/>
      <w:lvlText w:val=""/>
      <w:lvlPicBulletId w:val="0"/>
      <w:lvlJc w:val="left"/>
      <w:pPr>
        <w:ind w:left="720" w:hanging="360"/>
      </w:pPr>
      <w:rPr>
        <w:rFonts w:ascii="Symbol" w:hAnsi="Symbol" w:hint="default"/>
        <w:color w:val="F79646"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3715F5"/>
    <w:multiLevelType w:val="hybridMultilevel"/>
    <w:tmpl w:val="E0C439FA"/>
    <w:lvl w:ilvl="0" w:tplc="265AB132">
      <w:start w:val="1"/>
      <w:numFmt w:val="bullet"/>
      <w:lvlText w:val=""/>
      <w:lvlPicBulletId w:val="0"/>
      <w:lvlJc w:val="left"/>
      <w:pPr>
        <w:ind w:left="720" w:hanging="360"/>
      </w:pPr>
      <w:rPr>
        <w:rFonts w:ascii="Symbol" w:hAnsi="Symbol" w:hint="default"/>
        <w:color w:val="F79646"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077F94"/>
    <w:multiLevelType w:val="hybridMultilevel"/>
    <w:tmpl w:val="3B5A5942"/>
    <w:lvl w:ilvl="0" w:tplc="D1E01526">
      <w:start w:val="1"/>
      <w:numFmt w:val="bullet"/>
      <w:lvlText w:val=""/>
      <w:lvlPicBulletId w:val="0"/>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F911AD"/>
    <w:multiLevelType w:val="hybridMultilevel"/>
    <w:tmpl w:val="1DE07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9A75FD8"/>
    <w:multiLevelType w:val="hybridMultilevel"/>
    <w:tmpl w:val="484CF6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DE3B20"/>
    <w:multiLevelType w:val="hybridMultilevel"/>
    <w:tmpl w:val="FE884D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012183"/>
    <w:multiLevelType w:val="hybridMultilevel"/>
    <w:tmpl w:val="67988CB8"/>
    <w:lvl w:ilvl="0" w:tplc="8976DBC4">
      <w:start w:val="1"/>
      <w:numFmt w:val="bullet"/>
      <w:lvlText w:val=""/>
      <w:lvlPicBulletId w:val="0"/>
      <w:lvlJc w:val="left"/>
      <w:pPr>
        <w:ind w:left="765" w:hanging="360"/>
      </w:pPr>
      <w:rPr>
        <w:rFonts w:ascii="Symbol" w:hAnsi="Symbol" w:hint="default"/>
        <w:color w:val="F79646" w:themeColor="accent6"/>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4" w15:restartNumberingAfterBreak="0">
    <w:nsid w:val="5F4B7FD4"/>
    <w:multiLevelType w:val="hybridMultilevel"/>
    <w:tmpl w:val="C75E1C4C"/>
    <w:lvl w:ilvl="0" w:tplc="265AB132">
      <w:start w:val="1"/>
      <w:numFmt w:val="bullet"/>
      <w:lvlText w:val=""/>
      <w:lvlPicBulletId w:val="0"/>
      <w:lvlJc w:val="left"/>
      <w:pPr>
        <w:ind w:left="765" w:hanging="360"/>
      </w:pPr>
      <w:rPr>
        <w:rFonts w:ascii="Symbol" w:hAnsi="Symbol" w:hint="default"/>
        <w:color w:val="F79646" w:themeColor="accent6"/>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51A62B5"/>
    <w:multiLevelType w:val="hybridMultilevel"/>
    <w:tmpl w:val="256042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8"/>
  </w:num>
  <w:num w:numId="4">
    <w:abstractNumId w:val="16"/>
  </w:num>
  <w:num w:numId="5">
    <w:abstractNumId w:val="4"/>
  </w:num>
  <w:num w:numId="6">
    <w:abstractNumId w:val="0"/>
  </w:num>
  <w:num w:numId="7">
    <w:abstractNumId w:val="10"/>
  </w:num>
  <w:num w:numId="8">
    <w:abstractNumId w:val="15"/>
  </w:num>
  <w:num w:numId="9">
    <w:abstractNumId w:val="2"/>
  </w:num>
  <w:num w:numId="10">
    <w:abstractNumId w:val="3"/>
  </w:num>
  <w:num w:numId="11">
    <w:abstractNumId w:val="7"/>
  </w:num>
  <w:num w:numId="12">
    <w:abstractNumId w:val="14"/>
  </w:num>
  <w:num w:numId="13">
    <w:abstractNumId w:val="9"/>
  </w:num>
  <w:num w:numId="14">
    <w:abstractNumId w:val="6"/>
  </w:num>
  <w:num w:numId="15">
    <w:abstractNumId w:val="13"/>
  </w:num>
  <w:num w:numId="16">
    <w:abstractNumId w:val="1"/>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83"/>
    <w:rsid w:val="000026DC"/>
    <w:rsid w:val="000040AF"/>
    <w:rsid w:val="00004552"/>
    <w:rsid w:val="00005190"/>
    <w:rsid w:val="00024644"/>
    <w:rsid w:val="00024BFC"/>
    <w:rsid w:val="00025DC3"/>
    <w:rsid w:val="00036EDC"/>
    <w:rsid w:val="0004025F"/>
    <w:rsid w:val="00046E2D"/>
    <w:rsid w:val="00061BDB"/>
    <w:rsid w:val="00063B1F"/>
    <w:rsid w:val="00072A27"/>
    <w:rsid w:val="000759B4"/>
    <w:rsid w:val="0009050E"/>
    <w:rsid w:val="000A03B2"/>
    <w:rsid w:val="000A2BBA"/>
    <w:rsid w:val="000B18D6"/>
    <w:rsid w:val="000B49BD"/>
    <w:rsid w:val="000B676E"/>
    <w:rsid w:val="000C033E"/>
    <w:rsid w:val="000E4E8C"/>
    <w:rsid w:val="000F1000"/>
    <w:rsid w:val="000F1766"/>
    <w:rsid w:val="00110987"/>
    <w:rsid w:val="001120A9"/>
    <w:rsid w:val="001131E3"/>
    <w:rsid w:val="0011478F"/>
    <w:rsid w:val="001209A2"/>
    <w:rsid w:val="00122186"/>
    <w:rsid w:val="00123568"/>
    <w:rsid w:val="00134DA6"/>
    <w:rsid w:val="00140FF0"/>
    <w:rsid w:val="00155A2E"/>
    <w:rsid w:val="00156490"/>
    <w:rsid w:val="0016364D"/>
    <w:rsid w:val="00174FB6"/>
    <w:rsid w:val="001776E5"/>
    <w:rsid w:val="00192242"/>
    <w:rsid w:val="001C6473"/>
    <w:rsid w:val="001E79F4"/>
    <w:rsid w:val="001F4DAB"/>
    <w:rsid w:val="001F5F9B"/>
    <w:rsid w:val="002054D8"/>
    <w:rsid w:val="0021024D"/>
    <w:rsid w:val="002139F8"/>
    <w:rsid w:val="00214525"/>
    <w:rsid w:val="00215F8B"/>
    <w:rsid w:val="002174D5"/>
    <w:rsid w:val="002311CA"/>
    <w:rsid w:val="00235029"/>
    <w:rsid w:val="00237652"/>
    <w:rsid w:val="00240B2C"/>
    <w:rsid w:val="0024258E"/>
    <w:rsid w:val="00244B02"/>
    <w:rsid w:val="0025349A"/>
    <w:rsid w:val="002535A9"/>
    <w:rsid w:val="002537F2"/>
    <w:rsid w:val="00253DA3"/>
    <w:rsid w:val="00256293"/>
    <w:rsid w:val="002637A4"/>
    <w:rsid w:val="00266645"/>
    <w:rsid w:val="0028625B"/>
    <w:rsid w:val="00286E5A"/>
    <w:rsid w:val="00295CD3"/>
    <w:rsid w:val="002B2383"/>
    <w:rsid w:val="002C116E"/>
    <w:rsid w:val="002C7F1F"/>
    <w:rsid w:val="002D1A3D"/>
    <w:rsid w:val="002D4B3C"/>
    <w:rsid w:val="002F1DB6"/>
    <w:rsid w:val="003002DA"/>
    <w:rsid w:val="00305238"/>
    <w:rsid w:val="003059F2"/>
    <w:rsid w:val="00310745"/>
    <w:rsid w:val="003120F1"/>
    <w:rsid w:val="00326AA1"/>
    <w:rsid w:val="00333157"/>
    <w:rsid w:val="0034698B"/>
    <w:rsid w:val="00356322"/>
    <w:rsid w:val="00360D78"/>
    <w:rsid w:val="00382CB6"/>
    <w:rsid w:val="00393A6B"/>
    <w:rsid w:val="00396DC4"/>
    <w:rsid w:val="003A21D6"/>
    <w:rsid w:val="003A5AD5"/>
    <w:rsid w:val="003A718B"/>
    <w:rsid w:val="003B12DF"/>
    <w:rsid w:val="003D137F"/>
    <w:rsid w:val="003D27F1"/>
    <w:rsid w:val="003D32D1"/>
    <w:rsid w:val="003F1554"/>
    <w:rsid w:val="00415173"/>
    <w:rsid w:val="00417668"/>
    <w:rsid w:val="00417CC1"/>
    <w:rsid w:val="0042611D"/>
    <w:rsid w:val="00433E52"/>
    <w:rsid w:val="00436123"/>
    <w:rsid w:val="00455B0E"/>
    <w:rsid w:val="004570C0"/>
    <w:rsid w:val="004575C7"/>
    <w:rsid w:val="004634C2"/>
    <w:rsid w:val="00463F12"/>
    <w:rsid w:val="00466337"/>
    <w:rsid w:val="00472535"/>
    <w:rsid w:val="00486DC1"/>
    <w:rsid w:val="00487A31"/>
    <w:rsid w:val="004A28BE"/>
    <w:rsid w:val="004B4A08"/>
    <w:rsid w:val="004B5F59"/>
    <w:rsid w:val="004B6A97"/>
    <w:rsid w:val="004C401A"/>
    <w:rsid w:val="004C6FEB"/>
    <w:rsid w:val="004D0D8A"/>
    <w:rsid w:val="004D4636"/>
    <w:rsid w:val="004E528F"/>
    <w:rsid w:val="004E5B97"/>
    <w:rsid w:val="004F6CBE"/>
    <w:rsid w:val="00504C7B"/>
    <w:rsid w:val="0050673D"/>
    <w:rsid w:val="00531BE2"/>
    <w:rsid w:val="0053367D"/>
    <w:rsid w:val="00540020"/>
    <w:rsid w:val="005407FA"/>
    <w:rsid w:val="00543137"/>
    <w:rsid w:val="005534EE"/>
    <w:rsid w:val="005558DB"/>
    <w:rsid w:val="00560E04"/>
    <w:rsid w:val="005614A6"/>
    <w:rsid w:val="00562C39"/>
    <w:rsid w:val="00563873"/>
    <w:rsid w:val="005716D5"/>
    <w:rsid w:val="00582276"/>
    <w:rsid w:val="00582FD3"/>
    <w:rsid w:val="005869C4"/>
    <w:rsid w:val="00587037"/>
    <w:rsid w:val="00587A32"/>
    <w:rsid w:val="005A02EB"/>
    <w:rsid w:val="005A134E"/>
    <w:rsid w:val="005B7B8C"/>
    <w:rsid w:val="005F0DA6"/>
    <w:rsid w:val="00601625"/>
    <w:rsid w:val="0061635B"/>
    <w:rsid w:val="006178F7"/>
    <w:rsid w:val="00632999"/>
    <w:rsid w:val="00637749"/>
    <w:rsid w:val="006644BF"/>
    <w:rsid w:val="00666957"/>
    <w:rsid w:val="006678D1"/>
    <w:rsid w:val="006A15AD"/>
    <w:rsid w:val="006A2447"/>
    <w:rsid w:val="006A70A5"/>
    <w:rsid w:val="006B05A0"/>
    <w:rsid w:val="006C2017"/>
    <w:rsid w:val="006D1118"/>
    <w:rsid w:val="006D7EAC"/>
    <w:rsid w:val="006E598E"/>
    <w:rsid w:val="006E7A3B"/>
    <w:rsid w:val="006F3308"/>
    <w:rsid w:val="006F7F8F"/>
    <w:rsid w:val="0071270B"/>
    <w:rsid w:val="00725C72"/>
    <w:rsid w:val="007321E3"/>
    <w:rsid w:val="0073353D"/>
    <w:rsid w:val="00737C05"/>
    <w:rsid w:val="0074694A"/>
    <w:rsid w:val="00750788"/>
    <w:rsid w:val="00753AB8"/>
    <w:rsid w:val="0075585F"/>
    <w:rsid w:val="0075722E"/>
    <w:rsid w:val="00760B0E"/>
    <w:rsid w:val="007714B8"/>
    <w:rsid w:val="00781405"/>
    <w:rsid w:val="00787A76"/>
    <w:rsid w:val="007934E3"/>
    <w:rsid w:val="007A4335"/>
    <w:rsid w:val="007B1EEE"/>
    <w:rsid w:val="007B2C01"/>
    <w:rsid w:val="007B63F4"/>
    <w:rsid w:val="007C4CDD"/>
    <w:rsid w:val="007C5380"/>
    <w:rsid w:val="007C57A5"/>
    <w:rsid w:val="007C6251"/>
    <w:rsid w:val="007E7180"/>
    <w:rsid w:val="0080383D"/>
    <w:rsid w:val="008112AD"/>
    <w:rsid w:val="00812600"/>
    <w:rsid w:val="00816F63"/>
    <w:rsid w:val="00817FCC"/>
    <w:rsid w:val="00825E6F"/>
    <w:rsid w:val="008353E1"/>
    <w:rsid w:val="00856708"/>
    <w:rsid w:val="00866A9E"/>
    <w:rsid w:val="008766E2"/>
    <w:rsid w:val="00883D29"/>
    <w:rsid w:val="00893E0A"/>
    <w:rsid w:val="008951E1"/>
    <w:rsid w:val="008A67D8"/>
    <w:rsid w:val="008B4DB3"/>
    <w:rsid w:val="008E2693"/>
    <w:rsid w:val="008F0F12"/>
    <w:rsid w:val="008F4ACF"/>
    <w:rsid w:val="00911603"/>
    <w:rsid w:val="00926A22"/>
    <w:rsid w:val="00927E4B"/>
    <w:rsid w:val="00951B85"/>
    <w:rsid w:val="00954485"/>
    <w:rsid w:val="00967018"/>
    <w:rsid w:val="009734EA"/>
    <w:rsid w:val="00982148"/>
    <w:rsid w:val="00982C49"/>
    <w:rsid w:val="00985E68"/>
    <w:rsid w:val="00987B70"/>
    <w:rsid w:val="009A4601"/>
    <w:rsid w:val="009B0811"/>
    <w:rsid w:val="009B5876"/>
    <w:rsid w:val="009D7A34"/>
    <w:rsid w:val="009E38CC"/>
    <w:rsid w:val="00A01BA4"/>
    <w:rsid w:val="00A14C30"/>
    <w:rsid w:val="00A21958"/>
    <w:rsid w:val="00A330E5"/>
    <w:rsid w:val="00A34744"/>
    <w:rsid w:val="00A3643C"/>
    <w:rsid w:val="00A658B4"/>
    <w:rsid w:val="00A83B03"/>
    <w:rsid w:val="00A90D4F"/>
    <w:rsid w:val="00A943C1"/>
    <w:rsid w:val="00A955AE"/>
    <w:rsid w:val="00A95C5A"/>
    <w:rsid w:val="00A971A5"/>
    <w:rsid w:val="00AA322D"/>
    <w:rsid w:val="00AA33D4"/>
    <w:rsid w:val="00AA5E64"/>
    <w:rsid w:val="00AA6A38"/>
    <w:rsid w:val="00AC4CA3"/>
    <w:rsid w:val="00AC7FBD"/>
    <w:rsid w:val="00AD7E83"/>
    <w:rsid w:val="00AE5498"/>
    <w:rsid w:val="00AF2C07"/>
    <w:rsid w:val="00B27740"/>
    <w:rsid w:val="00B36E70"/>
    <w:rsid w:val="00B3726E"/>
    <w:rsid w:val="00B719F0"/>
    <w:rsid w:val="00B76BA4"/>
    <w:rsid w:val="00B82B7F"/>
    <w:rsid w:val="00B870A9"/>
    <w:rsid w:val="00B93BFB"/>
    <w:rsid w:val="00BA2ED6"/>
    <w:rsid w:val="00BA2F01"/>
    <w:rsid w:val="00BD6558"/>
    <w:rsid w:val="00BD7E10"/>
    <w:rsid w:val="00BE27BD"/>
    <w:rsid w:val="00BE4722"/>
    <w:rsid w:val="00BE6FB3"/>
    <w:rsid w:val="00C16D7B"/>
    <w:rsid w:val="00C30D28"/>
    <w:rsid w:val="00C71A4F"/>
    <w:rsid w:val="00C72760"/>
    <w:rsid w:val="00C80871"/>
    <w:rsid w:val="00CA6EB6"/>
    <w:rsid w:val="00CB13B4"/>
    <w:rsid w:val="00CB2EFB"/>
    <w:rsid w:val="00CB356C"/>
    <w:rsid w:val="00CE7C43"/>
    <w:rsid w:val="00CF1D7F"/>
    <w:rsid w:val="00CF6E0F"/>
    <w:rsid w:val="00D12C94"/>
    <w:rsid w:val="00D140DB"/>
    <w:rsid w:val="00D23DEA"/>
    <w:rsid w:val="00D3312A"/>
    <w:rsid w:val="00D7337B"/>
    <w:rsid w:val="00D96C83"/>
    <w:rsid w:val="00DB5E82"/>
    <w:rsid w:val="00DC0855"/>
    <w:rsid w:val="00DC12DE"/>
    <w:rsid w:val="00DC2153"/>
    <w:rsid w:val="00DC4B27"/>
    <w:rsid w:val="00DC4E05"/>
    <w:rsid w:val="00DF30EC"/>
    <w:rsid w:val="00DF567F"/>
    <w:rsid w:val="00E00119"/>
    <w:rsid w:val="00E00C56"/>
    <w:rsid w:val="00E1083D"/>
    <w:rsid w:val="00E1259E"/>
    <w:rsid w:val="00E27533"/>
    <w:rsid w:val="00E36460"/>
    <w:rsid w:val="00E45E04"/>
    <w:rsid w:val="00E56666"/>
    <w:rsid w:val="00E6230F"/>
    <w:rsid w:val="00E625CE"/>
    <w:rsid w:val="00E66B16"/>
    <w:rsid w:val="00E70A78"/>
    <w:rsid w:val="00E72CC2"/>
    <w:rsid w:val="00E73DD7"/>
    <w:rsid w:val="00E861FD"/>
    <w:rsid w:val="00E87226"/>
    <w:rsid w:val="00E87507"/>
    <w:rsid w:val="00E90271"/>
    <w:rsid w:val="00E94B0F"/>
    <w:rsid w:val="00EB5B0D"/>
    <w:rsid w:val="00EB7215"/>
    <w:rsid w:val="00EC22D2"/>
    <w:rsid w:val="00ED57F9"/>
    <w:rsid w:val="00ED7237"/>
    <w:rsid w:val="00EE6D25"/>
    <w:rsid w:val="00EE7B00"/>
    <w:rsid w:val="00EF3F06"/>
    <w:rsid w:val="00F11B13"/>
    <w:rsid w:val="00F50165"/>
    <w:rsid w:val="00F647A6"/>
    <w:rsid w:val="00F67B20"/>
    <w:rsid w:val="00F75440"/>
    <w:rsid w:val="00F77063"/>
    <w:rsid w:val="00FB46FA"/>
    <w:rsid w:val="00FB589E"/>
    <w:rsid w:val="00FE4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0CF02DE"/>
  <w15:docId w15:val="{9FE2AF17-AA15-445E-A1B1-0707BBF4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25"/>
    <w:pPr>
      <w:spacing w:line="240" w:lineRule="auto"/>
    </w:pPr>
    <w:rPr>
      <w:rFonts w:ascii="Calibri" w:eastAsia="Dotum" w:hAnsi="Calibri" w:cs="Calibri"/>
    </w:rPr>
  </w:style>
  <w:style w:type="paragraph" w:styleId="Heading1">
    <w:name w:val="heading 1"/>
    <w:next w:val="Normal"/>
    <w:link w:val="Heading1Char"/>
    <w:uiPriority w:val="9"/>
    <w:qFormat/>
    <w:rsid w:val="003D27F1"/>
    <w:pPr>
      <w:widowControl w:val="0"/>
      <w:spacing w:after="240" w:line="580" w:lineRule="exact"/>
      <w:ind w:right="6"/>
      <w:outlineLvl w:val="0"/>
    </w:pPr>
    <w:rPr>
      <w:rFonts w:ascii="Calibri" w:eastAsia="HYGothic-Extra" w:hAnsi="Calibri" w:cs="Calibri"/>
      <w:bCs/>
      <w:color w:val="1E1E1E"/>
      <w:spacing w:val="-20"/>
      <w:sz w:val="56"/>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3D27F1"/>
    <w:pPr>
      <w:spacing w:before="120" w:after="12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7F1"/>
    <w:rPr>
      <w:rFonts w:ascii="Calibri" w:eastAsia="HYGothic-Extra" w:hAnsi="Calibri" w:cs="Calibri"/>
      <w:bCs/>
      <w:color w:val="1E1E1E"/>
      <w:spacing w:val="-20"/>
      <w:sz w:val="56"/>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3D27F1"/>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B3726E"/>
    <w:pPr>
      <w:ind w:left="720"/>
      <w:contextualSpacing/>
    </w:pPr>
  </w:style>
  <w:style w:type="table" w:styleId="TableGrid">
    <w:name w:val="Table Grid"/>
    <w:basedOn w:val="TableNormal"/>
    <w:uiPriority w:val="59"/>
    <w:rsid w:val="00B37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iPriority w:val="99"/>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character" w:styleId="CommentReference">
    <w:name w:val="annotation reference"/>
    <w:basedOn w:val="DefaultParagraphFont"/>
    <w:uiPriority w:val="99"/>
    <w:semiHidden/>
    <w:unhideWhenUsed/>
    <w:rsid w:val="002C116E"/>
    <w:rPr>
      <w:sz w:val="16"/>
      <w:szCs w:val="16"/>
    </w:rPr>
  </w:style>
  <w:style w:type="paragraph" w:styleId="CommentText">
    <w:name w:val="annotation text"/>
    <w:basedOn w:val="Normal"/>
    <w:link w:val="CommentTextChar"/>
    <w:uiPriority w:val="99"/>
    <w:unhideWhenUsed/>
    <w:rsid w:val="002C116E"/>
    <w:rPr>
      <w:sz w:val="20"/>
      <w:szCs w:val="20"/>
    </w:rPr>
  </w:style>
  <w:style w:type="character" w:customStyle="1" w:styleId="CommentTextChar">
    <w:name w:val="Comment Text Char"/>
    <w:basedOn w:val="DefaultParagraphFont"/>
    <w:link w:val="CommentText"/>
    <w:uiPriority w:val="99"/>
    <w:rsid w:val="002C116E"/>
    <w:rPr>
      <w:rFonts w:ascii="Calibri" w:eastAsia="Dotum" w:hAnsi="Calibri" w:cs="Calibri"/>
      <w:sz w:val="20"/>
      <w:szCs w:val="20"/>
    </w:rPr>
  </w:style>
  <w:style w:type="paragraph" w:styleId="CommentSubject">
    <w:name w:val="annotation subject"/>
    <w:basedOn w:val="CommentText"/>
    <w:next w:val="CommentText"/>
    <w:link w:val="CommentSubjectChar"/>
    <w:uiPriority w:val="99"/>
    <w:semiHidden/>
    <w:unhideWhenUsed/>
    <w:rsid w:val="002C116E"/>
    <w:rPr>
      <w:b/>
      <w:bCs/>
    </w:rPr>
  </w:style>
  <w:style w:type="character" w:customStyle="1" w:styleId="CommentSubjectChar">
    <w:name w:val="Comment Subject Char"/>
    <w:basedOn w:val="CommentTextChar"/>
    <w:link w:val="CommentSubject"/>
    <w:uiPriority w:val="99"/>
    <w:semiHidden/>
    <w:rsid w:val="002C116E"/>
    <w:rPr>
      <w:rFonts w:ascii="Calibri" w:eastAsia="Dotum" w:hAnsi="Calibri" w:cs="Calibri"/>
      <w:b/>
      <w:bCs/>
      <w:sz w:val="20"/>
      <w:szCs w:val="20"/>
    </w:rPr>
  </w:style>
  <w:style w:type="paragraph" w:styleId="BalloonText">
    <w:name w:val="Balloon Text"/>
    <w:basedOn w:val="Normal"/>
    <w:link w:val="BalloonTextChar"/>
    <w:uiPriority w:val="99"/>
    <w:semiHidden/>
    <w:unhideWhenUsed/>
    <w:rsid w:val="002C116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6E"/>
    <w:rPr>
      <w:rFonts w:ascii="Tahoma" w:eastAsia="Dotum" w:hAnsi="Tahoma" w:cs="Tahoma"/>
      <w:sz w:val="16"/>
      <w:szCs w:val="16"/>
    </w:rPr>
  </w:style>
  <w:style w:type="paragraph" w:styleId="Revision">
    <w:name w:val="Revision"/>
    <w:hidden/>
    <w:uiPriority w:val="99"/>
    <w:semiHidden/>
    <w:rsid w:val="00927E4B"/>
    <w:pPr>
      <w:spacing w:after="0" w:line="240" w:lineRule="auto"/>
    </w:pPr>
    <w:rPr>
      <w:rFonts w:ascii="Calibri" w:eastAsia="Dotum" w:hAnsi="Calibri" w:cs="Calibri"/>
    </w:rPr>
  </w:style>
  <w:style w:type="character" w:customStyle="1" w:styleId="ListParagraphChar">
    <w:name w:val="List Paragraph Char"/>
    <w:link w:val="ListParagraph"/>
    <w:uiPriority w:val="34"/>
    <w:rsid w:val="004E5B97"/>
    <w:rPr>
      <w:rFonts w:ascii="Calibri" w:eastAsia="Dotum" w:hAnsi="Calibri" w:cs="Calibri"/>
    </w:rPr>
  </w:style>
  <w:style w:type="character" w:styleId="Hyperlink">
    <w:name w:val="Hyperlink"/>
    <w:basedOn w:val="DefaultParagraphFont"/>
    <w:uiPriority w:val="99"/>
    <w:unhideWhenUsed/>
    <w:rsid w:val="00C16D7B"/>
    <w:rPr>
      <w:color w:val="0000FF" w:themeColor="hyperlink"/>
      <w:u w:val="single"/>
    </w:rPr>
  </w:style>
  <w:style w:type="paragraph" w:customStyle="1" w:styleId="pb-2">
    <w:name w:val="pb-2"/>
    <w:basedOn w:val="Normal"/>
    <w:rsid w:val="006D7EAC"/>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356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98254">
      <w:bodyDiv w:val="1"/>
      <w:marLeft w:val="0"/>
      <w:marRight w:val="0"/>
      <w:marTop w:val="0"/>
      <w:marBottom w:val="0"/>
      <w:divBdr>
        <w:top w:val="none" w:sz="0" w:space="0" w:color="auto"/>
        <w:left w:val="none" w:sz="0" w:space="0" w:color="auto"/>
        <w:bottom w:val="none" w:sz="0" w:space="0" w:color="auto"/>
        <w:right w:val="none" w:sz="0" w:space="0" w:color="auto"/>
      </w:divBdr>
    </w:div>
    <w:div w:id="877592937">
      <w:bodyDiv w:val="1"/>
      <w:marLeft w:val="0"/>
      <w:marRight w:val="0"/>
      <w:marTop w:val="0"/>
      <w:marBottom w:val="0"/>
      <w:divBdr>
        <w:top w:val="none" w:sz="0" w:space="0" w:color="auto"/>
        <w:left w:val="none" w:sz="0" w:space="0" w:color="auto"/>
        <w:bottom w:val="none" w:sz="0" w:space="0" w:color="auto"/>
        <w:right w:val="none" w:sz="0" w:space="0" w:color="auto"/>
      </w:divBdr>
    </w:div>
    <w:div w:id="913470929">
      <w:bodyDiv w:val="1"/>
      <w:marLeft w:val="0"/>
      <w:marRight w:val="0"/>
      <w:marTop w:val="0"/>
      <w:marBottom w:val="0"/>
      <w:divBdr>
        <w:top w:val="none" w:sz="0" w:space="0" w:color="auto"/>
        <w:left w:val="none" w:sz="0" w:space="0" w:color="auto"/>
        <w:bottom w:val="none" w:sz="0" w:space="0" w:color="auto"/>
        <w:right w:val="none" w:sz="0" w:space="0" w:color="auto"/>
      </w:divBdr>
    </w:div>
    <w:div w:id="953948702">
      <w:bodyDiv w:val="1"/>
      <w:marLeft w:val="0"/>
      <w:marRight w:val="0"/>
      <w:marTop w:val="0"/>
      <w:marBottom w:val="0"/>
      <w:divBdr>
        <w:top w:val="none" w:sz="0" w:space="0" w:color="auto"/>
        <w:left w:val="none" w:sz="0" w:space="0" w:color="auto"/>
        <w:bottom w:val="none" w:sz="0" w:space="0" w:color="auto"/>
        <w:right w:val="none" w:sz="0" w:space="0" w:color="auto"/>
      </w:divBdr>
    </w:div>
    <w:div w:id="199244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lood.gov.au/supply-system/governance-immunoglobulin-products/criteria-immunoglobulin-products" TargetMode="External"/><Relationship Id="rId2" Type="http://schemas.openxmlformats.org/officeDocument/2006/relationships/hyperlink" Target="http://www.blood.gov.au" TargetMode="External"/><Relationship Id="rId1" Type="http://schemas.openxmlformats.org/officeDocument/2006/relationships/image" Target="media/image4.png"/><Relationship Id="rId5" Type="http://schemas.openxmlformats.org/officeDocument/2006/relationships/image" Target="media/image6.pn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1743</Words>
  <Characters>8559</Characters>
  <Application>Microsoft Office Word</Application>
  <DocSecurity>4</DocSecurity>
  <Lines>199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Lyndsay Wall</dc:creator>
  <cp:lastModifiedBy>Tran, Alice</cp:lastModifiedBy>
  <cp:revision>2</cp:revision>
  <cp:lastPrinted>2020-01-13T03:18:00Z</cp:lastPrinted>
  <dcterms:created xsi:type="dcterms:W3CDTF">2025-04-09T05:36:00Z</dcterms:created>
  <dcterms:modified xsi:type="dcterms:W3CDTF">2025-04-09T05:36:00Z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MSIP_Label_11d3a1ea-a727-4720-a216-7dae13a61c56_Enabled">
    <vt:lpwstr>true</vt:lpwstr>
  </property>
  <property fmtid="{D5CDD505-2E9C-101B-9397-08002B2CF9AE}" pid="6" name="MSIP_Label_11d3a1ea-a727-4720-a216-7dae13a61c56_SetDate">
    <vt:lpwstr>2023-11-15T23:26:15Z</vt:lpwstr>
  </property>
  <property fmtid="{D5CDD505-2E9C-101B-9397-08002B2CF9AE}" pid="7" name="MSIP_Label_11d3a1ea-a727-4720-a216-7dae13a61c56_Method">
    <vt:lpwstr>Privileged</vt:lpwstr>
  </property>
  <property fmtid="{D5CDD505-2E9C-101B-9397-08002B2CF9AE}" pid="8" name="MSIP_Label_11d3a1ea-a727-4720-a216-7dae13a61c56_Name">
    <vt:lpwstr>OFFICIAL</vt:lpwstr>
  </property>
  <property fmtid="{D5CDD505-2E9C-101B-9397-08002B2CF9AE}" pid="9" name="MSIP_Label_11d3a1ea-a727-4720-a216-7dae13a61c56_SiteId">
    <vt:lpwstr>9c233057-0738-4b40-91b2-3798ceb38ebf</vt:lpwstr>
  </property>
  <property fmtid="{D5CDD505-2E9C-101B-9397-08002B2CF9AE}" pid="10" name="MSIP_Label_11d3a1ea-a727-4720-a216-7dae13a61c56_ActionId">
    <vt:lpwstr>b9af91d4-f024-4bf5-921e-ea7c9bddf8a3</vt:lpwstr>
  </property>
  <property fmtid="{D5CDD505-2E9C-101B-9397-08002B2CF9AE}" pid="11" name="MSIP_Label_11d3a1ea-a727-4720-a216-7dae13a61c56_ContentBits">
    <vt:lpwstr>1</vt:lpwstr>
  </property>
</Properties>
</file>