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A70E" w14:textId="61081887" w:rsidR="002E1502" w:rsidRPr="00541AED" w:rsidRDefault="00FE427C" w:rsidP="00E94B0F">
      <w:pPr>
        <w:pStyle w:val="Heading1"/>
        <w:rPr>
          <w:rFonts w:ascii="Aptos" w:hAnsi="Aptos"/>
        </w:rPr>
      </w:pPr>
      <w:r w:rsidRPr="00541AED">
        <w:rPr>
          <w:rFonts w:ascii="Aptos" w:hAnsi="Aptos"/>
          <w:noProof/>
          <w:lang w:eastAsia="en-AU"/>
        </w:rPr>
        <mc:AlternateContent>
          <mc:Choice Requires="wps">
            <w:drawing>
              <wp:anchor distT="0" distB="0" distL="114300" distR="114300" simplePos="0" relativeHeight="251659264" behindDoc="0" locked="0" layoutInCell="1" allowOverlap="1" wp14:anchorId="4F82A020" wp14:editId="22A0865B">
                <wp:simplePos x="0" y="0"/>
                <wp:positionH relativeFrom="column">
                  <wp:posOffset>-636905</wp:posOffset>
                </wp:positionH>
                <wp:positionV relativeFrom="paragraph">
                  <wp:posOffset>-589651</wp:posOffset>
                </wp:positionV>
                <wp:extent cx="10239375" cy="1819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39375" cy="1819275"/>
                        </a:xfrm>
                        <a:prstGeom prst="rect">
                          <a:avLst/>
                        </a:prstGeom>
                        <a:noFill/>
                        <a:ln w="6350">
                          <a:noFill/>
                        </a:ln>
                      </wps:spPr>
                      <wps:txbx>
                        <w:txbxContent>
                          <w:p w14:paraId="001A2DB6" w14:textId="41777FF2" w:rsidR="002E1502" w:rsidRDefault="00C676B8">
                            <w:r>
                              <w:rPr>
                                <w:noProof/>
                                <w:lang w:eastAsia="en-AU"/>
                              </w:rPr>
                              <w:drawing>
                                <wp:inline distT="0" distB="0" distL="0" distR="0" wp14:anchorId="207446D2" wp14:editId="724946C4">
                                  <wp:extent cx="998220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2200" cy="1694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A020" id="_x0000_t202" coordsize="21600,21600" o:spt="202" path="m,l,21600r21600,l21600,xe">
                <v:stroke joinstyle="miter"/>
                <v:path gradientshapeok="t" o:connecttype="rect"/>
              </v:shapetype>
              <v:shape id="Text Box 2" o:spid="_x0000_s1026" type="#_x0000_t202" style="position:absolute;margin-left:-50.15pt;margin-top:-46.45pt;width:806.2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" filled="f" stroked="f" strokeweight=".5pt">
                <v:textbox>
                  <w:txbxContent>
                    <w:p w14:paraId="001A2DB6" w14:textId="41777FF2" w:rsidR="002E1502" w:rsidRDefault="00C676B8">
                      <w:r>
                        <w:rPr>
                          <w:noProof/>
                          <w:lang w:eastAsia="en-AU"/>
                        </w:rPr>
                        <w:drawing>
                          <wp:inline distT="0" distB="0" distL="0" distR="0" wp14:anchorId="207446D2" wp14:editId="724946C4">
                            <wp:extent cx="998220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82200" cy="1694180"/>
                                    </a:xfrm>
                                    <a:prstGeom prst="rect">
                                      <a:avLst/>
                                    </a:prstGeom>
                                  </pic:spPr>
                                </pic:pic>
                              </a:graphicData>
                            </a:graphic>
                          </wp:inline>
                        </w:drawing>
                      </w:r>
                    </w:p>
                  </w:txbxContent>
                </v:textbox>
              </v:shape>
            </w:pict>
          </mc:Fallback>
        </mc:AlternateContent>
      </w:r>
    </w:p>
    <w:p w14:paraId="4ECA8A39" w14:textId="6C3F45AF" w:rsidR="002E1502" w:rsidRPr="00541AED" w:rsidRDefault="002E1502" w:rsidP="00E94B0F">
      <w:pPr>
        <w:pStyle w:val="Heading1"/>
        <w:rPr>
          <w:rFonts w:ascii="Aptos" w:hAnsi="Aptos"/>
        </w:rPr>
      </w:pPr>
    </w:p>
    <w:p w14:paraId="72772738" w14:textId="182F620C" w:rsidR="002E1502" w:rsidRPr="00541AED" w:rsidRDefault="00FE427C" w:rsidP="00E94B0F">
      <w:pPr>
        <w:pStyle w:val="Heading1"/>
        <w:rPr>
          <w:rFonts w:ascii="Aptos" w:hAnsi="Aptos"/>
        </w:rPr>
      </w:pPr>
      <w:r w:rsidRPr="00541AED">
        <w:rPr>
          <w:rFonts w:ascii="Aptos" w:hAnsi="Aptos"/>
          <w:noProof/>
          <w:lang w:eastAsia="en-AU"/>
        </w:rPr>
        <mc:AlternateContent>
          <mc:Choice Requires="wps">
            <w:drawing>
              <wp:anchor distT="0" distB="0" distL="114300" distR="114300" simplePos="0" relativeHeight="251660288" behindDoc="0" locked="0" layoutInCell="1" allowOverlap="1" wp14:anchorId="585EC113" wp14:editId="697DCBD1">
                <wp:simplePos x="0" y="0"/>
                <wp:positionH relativeFrom="column">
                  <wp:posOffset>-542925</wp:posOffset>
                </wp:positionH>
                <wp:positionV relativeFrom="paragraph">
                  <wp:posOffset>101600</wp:posOffset>
                </wp:positionV>
                <wp:extent cx="998220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82200" cy="647700"/>
                        </a:xfrm>
                        <a:prstGeom prst="rect">
                          <a:avLst/>
                        </a:prstGeom>
                        <a:solidFill>
                          <a:schemeClr val="bg1">
                            <a:lumMod val="75000"/>
                          </a:schemeClr>
                        </a:solidFill>
                        <a:ln w="6350">
                          <a:noFill/>
                        </a:ln>
                      </wps:spPr>
                      <wps:txbx>
                        <w:txbxContent>
                          <w:p w14:paraId="679F6800" w14:textId="6342AAC1" w:rsidR="002E1502" w:rsidRPr="00CD603E" w:rsidRDefault="00CD603E" w:rsidP="00CD603E">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EC113" id="Text Box 3" o:spid="_x0000_s1027" type="#_x0000_t202" style="position:absolute;margin-left:-42.75pt;margin-top:8pt;width:786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" fillcolor="#bfbfbf [2412]" stroked="f" strokeweight=".5pt">
                <v:textbox>
                  <w:txbxContent>
                    <w:p w14:paraId="679F6800" w14:textId="6342AAC1" w:rsidR="002E1502" w:rsidRPr="00CD603E" w:rsidRDefault="00CD603E" w:rsidP="00CD603E">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txbxContent>
                </v:textbox>
              </v:shape>
            </w:pict>
          </mc:Fallback>
        </mc:AlternateContent>
      </w:r>
    </w:p>
    <w:p w14:paraId="0FE99618" w14:textId="7650E35D" w:rsidR="002E1502" w:rsidRPr="00541AED" w:rsidRDefault="002E1502" w:rsidP="00FE427C">
      <w:pPr>
        <w:pStyle w:val="Heading1"/>
        <w:spacing w:after="0" w:line="240" w:lineRule="auto"/>
        <w:rPr>
          <w:rFonts w:ascii="Aptos" w:hAnsi="Aptos"/>
          <w:sz w:val="20"/>
        </w:rPr>
      </w:pPr>
    </w:p>
    <w:p w14:paraId="4E1451BB" w14:textId="34B7E35C" w:rsidR="00B3726E" w:rsidRPr="00541AED" w:rsidRDefault="00AE5764" w:rsidP="00FE427C">
      <w:pPr>
        <w:pStyle w:val="Heading1"/>
        <w:spacing w:before="120" w:after="120" w:line="240" w:lineRule="auto"/>
        <w:ind w:left="-737" w:right="0"/>
        <w:rPr>
          <w:rFonts w:ascii="Aptos" w:hAnsi="Aptos"/>
        </w:rPr>
      </w:pPr>
      <w:r w:rsidRPr="00541AED">
        <w:rPr>
          <w:rFonts w:ascii="Aptos" w:hAnsi="Aptos"/>
        </w:rPr>
        <w:t>Immunology</w:t>
      </w:r>
      <w:r w:rsidR="002E1502" w:rsidRPr="00541AED">
        <w:rPr>
          <w:rFonts w:ascii="Aptos" w:hAnsi="Aptos"/>
        </w:rPr>
        <w:t xml:space="preserve"> Conditions - </w:t>
      </w:r>
      <w:r w:rsidR="00D96C83" w:rsidRPr="00541AED">
        <w:rPr>
          <w:rFonts w:ascii="Aptos" w:hAnsi="Aptos"/>
        </w:rPr>
        <w:t>Summary of Criteria Changes</w:t>
      </w:r>
    </w:p>
    <w:p w14:paraId="1270B6FC" w14:textId="77777777" w:rsidR="00B475C9" w:rsidRPr="00541AED" w:rsidRDefault="00B475C9" w:rsidP="00B475C9">
      <w:pPr>
        <w:ind w:left="-737"/>
        <w:rPr>
          <w:rFonts w:ascii="Aptos" w:hAnsi="Aptos"/>
        </w:rPr>
      </w:pPr>
      <w:r w:rsidRPr="00541AED">
        <w:rPr>
          <w:rFonts w:ascii="Aptos" w:hAnsi="Aptos"/>
        </w:rPr>
        <w:t xml:space="preserve">The </w:t>
      </w:r>
      <w:r w:rsidRPr="00541AED">
        <w:rPr>
          <w:rFonts w:ascii="Aptos" w:hAnsi="Aptos"/>
          <w:i/>
        </w:rPr>
        <w:t>Criteria for clinical use of immunoglobulin in Australia</w:t>
      </w:r>
      <w:r w:rsidRPr="00541AED">
        <w:rPr>
          <w:rFonts w:ascii="Aptos" w:hAnsi="Aptos"/>
        </w:rPr>
        <w:t xml:space="preserve"> (Criteria) is under a continuous review cycle following release of Version 3 on 22 October 2018. The table below summarises subsequent changes made by medical condition and indication to the Criteria following the publication of Version 3. Changes will be applied immediately to new authorisations and to existing authorisations at the next continuing treatment request, unless otherwise stated. This table will be updated when any change is made.</w:t>
      </w:r>
    </w:p>
    <w:tbl>
      <w:tblPr>
        <w:tblStyle w:val="TableGrid"/>
        <w:tblW w:w="15666" w:type="dxa"/>
        <w:tblInd w:w="-851" w:type="dxa"/>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411"/>
        <w:gridCol w:w="4677"/>
        <w:gridCol w:w="6237"/>
        <w:gridCol w:w="1215"/>
        <w:gridCol w:w="1126"/>
      </w:tblGrid>
      <w:tr w:rsidR="00AE5764" w:rsidRPr="00541AED" w14:paraId="7A739E63" w14:textId="77777777" w:rsidTr="00E97EF5">
        <w:trPr>
          <w:cantSplit/>
          <w:tblHeader/>
        </w:trPr>
        <w:tc>
          <w:tcPr>
            <w:tcW w:w="2411" w:type="dxa"/>
            <w:shd w:val="clear" w:color="auto" w:fill="F79646" w:themeFill="accent6"/>
            <w:vAlign w:val="center"/>
          </w:tcPr>
          <w:p w14:paraId="421EDD7F" w14:textId="77777777" w:rsidR="00240B2C" w:rsidRPr="00541AED" w:rsidRDefault="00240B2C" w:rsidP="00872101">
            <w:pPr>
              <w:rPr>
                <w:rFonts w:ascii="Aptos" w:hAnsi="Aptos"/>
                <w:b/>
                <w:color w:val="FFFFFF" w:themeColor="background1"/>
              </w:rPr>
            </w:pPr>
            <w:r w:rsidRPr="00541AED">
              <w:rPr>
                <w:rFonts w:ascii="Aptos" w:hAnsi="Aptos"/>
                <w:b/>
                <w:color w:val="FFFFFF" w:themeColor="background1"/>
              </w:rPr>
              <w:t xml:space="preserve">Medical condition </w:t>
            </w:r>
          </w:p>
        </w:tc>
        <w:tc>
          <w:tcPr>
            <w:tcW w:w="4677" w:type="dxa"/>
            <w:shd w:val="clear" w:color="auto" w:fill="F79646" w:themeFill="accent6"/>
            <w:vAlign w:val="center"/>
          </w:tcPr>
          <w:p w14:paraId="35241DA4" w14:textId="77777777" w:rsidR="00240B2C" w:rsidRPr="00541AED" w:rsidRDefault="00240B2C" w:rsidP="00872101">
            <w:pPr>
              <w:rPr>
                <w:rFonts w:ascii="Aptos" w:hAnsi="Aptos"/>
                <w:b/>
                <w:color w:val="FFFFFF" w:themeColor="background1"/>
              </w:rPr>
            </w:pPr>
            <w:r w:rsidRPr="00541AED">
              <w:rPr>
                <w:rFonts w:ascii="Aptos" w:hAnsi="Aptos"/>
                <w:b/>
                <w:color w:val="FFFFFF" w:themeColor="background1"/>
              </w:rPr>
              <w:t>Indication/s</w:t>
            </w:r>
          </w:p>
        </w:tc>
        <w:tc>
          <w:tcPr>
            <w:tcW w:w="6237" w:type="dxa"/>
            <w:shd w:val="clear" w:color="auto" w:fill="F79646" w:themeFill="accent6"/>
            <w:vAlign w:val="center"/>
          </w:tcPr>
          <w:p w14:paraId="4591E183" w14:textId="77777777" w:rsidR="00240B2C" w:rsidRPr="00541AED" w:rsidRDefault="00240B2C" w:rsidP="00872101">
            <w:pPr>
              <w:rPr>
                <w:rFonts w:ascii="Aptos" w:hAnsi="Aptos"/>
                <w:b/>
                <w:color w:val="FFFFFF" w:themeColor="background1"/>
              </w:rPr>
            </w:pPr>
            <w:r w:rsidRPr="00541AED">
              <w:rPr>
                <w:rFonts w:ascii="Aptos" w:hAnsi="Aptos"/>
                <w:b/>
                <w:color w:val="FFFFFF" w:themeColor="background1"/>
              </w:rPr>
              <w:t xml:space="preserve">Summary of changes </w:t>
            </w:r>
          </w:p>
        </w:tc>
        <w:tc>
          <w:tcPr>
            <w:tcW w:w="1215" w:type="dxa"/>
            <w:shd w:val="clear" w:color="auto" w:fill="F79646" w:themeFill="accent6"/>
            <w:vAlign w:val="center"/>
          </w:tcPr>
          <w:p w14:paraId="52F57221" w14:textId="3002DEB8" w:rsidR="00240B2C" w:rsidRPr="00541AED" w:rsidRDefault="00240B2C" w:rsidP="00872101">
            <w:pPr>
              <w:rPr>
                <w:rFonts w:ascii="Aptos" w:hAnsi="Aptos"/>
                <w:b/>
                <w:color w:val="FFFFFF" w:themeColor="background1"/>
              </w:rPr>
            </w:pPr>
            <w:r w:rsidRPr="00541AED">
              <w:rPr>
                <w:rFonts w:ascii="Aptos" w:hAnsi="Aptos"/>
                <w:b/>
                <w:color w:val="FFFFFF" w:themeColor="background1"/>
              </w:rPr>
              <w:t>Date changed</w:t>
            </w:r>
          </w:p>
        </w:tc>
        <w:tc>
          <w:tcPr>
            <w:tcW w:w="1126" w:type="dxa"/>
            <w:shd w:val="clear" w:color="auto" w:fill="F79646" w:themeFill="accent6"/>
            <w:vAlign w:val="center"/>
          </w:tcPr>
          <w:p w14:paraId="08853CA1" w14:textId="26BA44FD" w:rsidR="00240B2C" w:rsidRPr="00541AED" w:rsidRDefault="00240B2C" w:rsidP="00872101">
            <w:pPr>
              <w:rPr>
                <w:rFonts w:ascii="Aptos" w:hAnsi="Aptos"/>
                <w:b/>
                <w:color w:val="FFFFFF" w:themeColor="background1"/>
              </w:rPr>
            </w:pPr>
            <w:r w:rsidRPr="00541AED">
              <w:rPr>
                <w:rFonts w:ascii="Aptos" w:hAnsi="Aptos"/>
                <w:b/>
                <w:color w:val="FFFFFF" w:themeColor="background1"/>
              </w:rPr>
              <w:t>Version number</w:t>
            </w:r>
          </w:p>
        </w:tc>
      </w:tr>
      <w:tr w:rsidR="00AE5764" w:rsidRPr="00541AED" w14:paraId="39E7EEEE" w14:textId="77777777" w:rsidTr="00E97EF5">
        <w:trPr>
          <w:cantSplit/>
        </w:trPr>
        <w:tc>
          <w:tcPr>
            <w:tcW w:w="2411" w:type="dxa"/>
            <w:vAlign w:val="center"/>
          </w:tcPr>
          <w:p w14:paraId="42D6794D" w14:textId="616371B3" w:rsidR="00AE5764" w:rsidRPr="00541AED" w:rsidRDefault="00642DC5" w:rsidP="005638CE">
            <w:pPr>
              <w:rPr>
                <w:rFonts w:ascii="Aptos" w:hAnsi="Aptos"/>
              </w:rPr>
            </w:pPr>
            <w:r w:rsidRPr="00642DC5">
              <w:rPr>
                <w:rFonts w:ascii="Aptos" w:hAnsi="Aptos"/>
              </w:rPr>
              <w:t>Anti-neutrophil cytoplasmic antibody (ANCA) [Proteinase 3 (PR3) or myeloperoxidase (MPO)] - positive systemic necrotising vasculitis</w:t>
            </w:r>
          </w:p>
        </w:tc>
        <w:tc>
          <w:tcPr>
            <w:tcW w:w="4677" w:type="dxa"/>
            <w:vAlign w:val="center"/>
          </w:tcPr>
          <w:p w14:paraId="20BA2C57" w14:textId="77777777" w:rsidR="00642DC5" w:rsidRDefault="00642DC5" w:rsidP="00642DC5">
            <w:pPr>
              <w:pStyle w:val="ListParagraph"/>
              <w:ind w:left="360"/>
              <w:rPr>
                <w:rFonts w:ascii="Aptos" w:hAnsi="Aptos"/>
              </w:rPr>
            </w:pPr>
          </w:p>
          <w:p w14:paraId="5027F52C" w14:textId="542168B1" w:rsidR="00642DC5" w:rsidRPr="00642DC5" w:rsidRDefault="00642DC5" w:rsidP="00642DC5">
            <w:pPr>
              <w:pStyle w:val="ListParagraph"/>
              <w:numPr>
                <w:ilvl w:val="0"/>
                <w:numId w:val="6"/>
              </w:numPr>
              <w:rPr>
                <w:rFonts w:ascii="Aptos" w:hAnsi="Aptos"/>
              </w:rPr>
            </w:pPr>
            <w:r w:rsidRPr="00642DC5">
              <w:rPr>
                <w:rFonts w:ascii="Aptos" w:hAnsi="Aptos"/>
              </w:rPr>
              <w:t>Anti-neutrophil cytoplasmic antibody (ANCA) positive systemic necrotising vasculitis failing to respond to corticosteroids and cytotoxic immunosuppression</w:t>
            </w:r>
          </w:p>
          <w:p w14:paraId="6CF82CBC" w14:textId="77777777" w:rsidR="00AE5764" w:rsidRDefault="00F244FA" w:rsidP="005638CE">
            <w:pPr>
              <w:pStyle w:val="ListParagraph"/>
              <w:numPr>
                <w:ilvl w:val="0"/>
                <w:numId w:val="6"/>
              </w:numPr>
              <w:rPr>
                <w:rFonts w:ascii="Aptos" w:hAnsi="Aptos"/>
              </w:rPr>
            </w:pPr>
            <w:r w:rsidRPr="00541AED">
              <w:rPr>
                <w:rFonts w:ascii="Aptos" w:hAnsi="Aptos"/>
              </w:rPr>
              <w:t>Relapse in ANCA positive systemic necrotising vasculitis resistant following response to Ig therapy</w:t>
            </w:r>
          </w:p>
          <w:p w14:paraId="38F8664D" w14:textId="3F0DB7D8" w:rsidR="00642DC5" w:rsidRPr="00642DC5" w:rsidRDefault="00642DC5" w:rsidP="00642DC5">
            <w:pPr>
              <w:rPr>
                <w:rFonts w:ascii="Aptos" w:hAnsi="Aptos"/>
              </w:rPr>
            </w:pPr>
          </w:p>
        </w:tc>
        <w:tc>
          <w:tcPr>
            <w:tcW w:w="6237" w:type="dxa"/>
            <w:vAlign w:val="center"/>
          </w:tcPr>
          <w:p w14:paraId="2C795DF5" w14:textId="0F6E62B0" w:rsidR="00AE5764" w:rsidRPr="00541AED" w:rsidRDefault="001E0405" w:rsidP="005638CE">
            <w:pPr>
              <w:pStyle w:val="ListParagraph"/>
              <w:numPr>
                <w:ilvl w:val="0"/>
                <w:numId w:val="6"/>
              </w:numPr>
              <w:rPr>
                <w:rFonts w:ascii="Aptos" w:hAnsi="Aptos"/>
              </w:rPr>
            </w:pPr>
            <w:r w:rsidRPr="00541AED">
              <w:rPr>
                <w:rFonts w:ascii="Aptos" w:hAnsi="Aptos"/>
              </w:rPr>
              <w:t>Correction</w:t>
            </w:r>
            <w:r w:rsidR="00C51F57" w:rsidRPr="00541AED">
              <w:rPr>
                <w:rFonts w:ascii="Aptos" w:hAnsi="Aptos"/>
              </w:rPr>
              <w:t xml:space="preserve"> of data entry to remove max dose restriction</w:t>
            </w:r>
            <w:r w:rsidR="00834983" w:rsidRPr="00541AED">
              <w:rPr>
                <w:rFonts w:ascii="Aptos" w:hAnsi="Aptos"/>
              </w:rPr>
              <w:t>.</w:t>
            </w:r>
            <w:r w:rsidR="00C51F57" w:rsidRPr="00541AED">
              <w:rPr>
                <w:rFonts w:ascii="Aptos" w:hAnsi="Aptos"/>
              </w:rPr>
              <w:t xml:space="preserve"> </w:t>
            </w:r>
          </w:p>
        </w:tc>
        <w:tc>
          <w:tcPr>
            <w:tcW w:w="1215" w:type="dxa"/>
            <w:vAlign w:val="center"/>
          </w:tcPr>
          <w:p w14:paraId="47164C81" w14:textId="1E62B592" w:rsidR="00AE5764" w:rsidRPr="00541AED" w:rsidRDefault="00F244FA" w:rsidP="005638CE">
            <w:pPr>
              <w:rPr>
                <w:rFonts w:ascii="Aptos" w:hAnsi="Aptos"/>
              </w:rPr>
            </w:pPr>
            <w:r w:rsidRPr="00541AED">
              <w:rPr>
                <w:rFonts w:ascii="Aptos" w:hAnsi="Aptos"/>
              </w:rPr>
              <w:t>April 2019</w:t>
            </w:r>
          </w:p>
        </w:tc>
        <w:tc>
          <w:tcPr>
            <w:tcW w:w="1126" w:type="dxa"/>
            <w:vAlign w:val="center"/>
          </w:tcPr>
          <w:p w14:paraId="3D81DC29" w14:textId="324DF7BC" w:rsidR="00AE5764" w:rsidRPr="00541AED" w:rsidRDefault="00F244FA" w:rsidP="005638CE">
            <w:pPr>
              <w:rPr>
                <w:rFonts w:ascii="Aptos" w:hAnsi="Aptos"/>
              </w:rPr>
            </w:pPr>
            <w:r w:rsidRPr="00541AED">
              <w:rPr>
                <w:rFonts w:ascii="Aptos" w:hAnsi="Aptos"/>
              </w:rPr>
              <w:t>3.1</w:t>
            </w:r>
          </w:p>
        </w:tc>
      </w:tr>
      <w:tr w:rsidR="00154837" w:rsidRPr="00541AED" w14:paraId="7A9EB7ED" w14:textId="77777777" w:rsidTr="00E97EF5">
        <w:trPr>
          <w:cantSplit/>
        </w:trPr>
        <w:tc>
          <w:tcPr>
            <w:tcW w:w="2411" w:type="dxa"/>
            <w:vMerge w:val="restart"/>
            <w:vAlign w:val="center"/>
          </w:tcPr>
          <w:p w14:paraId="24C3F451" w14:textId="02550C65" w:rsidR="00154837" w:rsidRPr="00C827C3" w:rsidRDefault="00154837" w:rsidP="005638CE">
            <w:pPr>
              <w:rPr>
                <w:rFonts w:ascii="Aptos" w:hAnsi="Aptos"/>
              </w:rPr>
            </w:pPr>
            <w:r w:rsidRPr="00C827C3">
              <w:rPr>
                <w:rFonts w:ascii="Aptos" w:hAnsi="Aptos"/>
              </w:rPr>
              <w:lastRenderedPageBreak/>
              <w:t>Autoimmune congenital heart block</w:t>
            </w:r>
          </w:p>
        </w:tc>
        <w:tc>
          <w:tcPr>
            <w:tcW w:w="4677" w:type="dxa"/>
            <w:vMerge w:val="restart"/>
            <w:vAlign w:val="center"/>
          </w:tcPr>
          <w:p w14:paraId="2289581A" w14:textId="77777777" w:rsidR="00154837" w:rsidRPr="00C827C3" w:rsidRDefault="00154837" w:rsidP="005638CE">
            <w:pPr>
              <w:pStyle w:val="ListParagraph"/>
              <w:numPr>
                <w:ilvl w:val="0"/>
                <w:numId w:val="6"/>
              </w:numPr>
              <w:rPr>
                <w:rFonts w:ascii="Aptos" w:hAnsi="Aptos"/>
              </w:rPr>
            </w:pPr>
            <w:r w:rsidRPr="00C827C3">
              <w:rPr>
                <w:rFonts w:ascii="Aptos" w:hAnsi="Aptos"/>
              </w:rPr>
              <w:t xml:space="preserve">Prevention of recurrent autoimmune congenital heart block where maternal SSB (La) and/or SSA (Ro) antibodies are present </w:t>
            </w:r>
          </w:p>
          <w:p w14:paraId="28A4DF72" w14:textId="77777777" w:rsidR="00642DC5" w:rsidRPr="00C827C3" w:rsidRDefault="00642DC5" w:rsidP="00642DC5">
            <w:pPr>
              <w:pStyle w:val="ListParagraph"/>
              <w:numPr>
                <w:ilvl w:val="0"/>
                <w:numId w:val="6"/>
              </w:numPr>
              <w:rPr>
                <w:rFonts w:ascii="Aptos" w:hAnsi="Aptos"/>
              </w:rPr>
            </w:pPr>
            <w:r w:rsidRPr="00C827C3">
              <w:rPr>
                <w:rFonts w:ascii="Aptos" w:hAnsi="Aptos"/>
              </w:rPr>
              <w:t>Maternal therapy for treatment of congenital heart block where maternal SSB (La) and/or SSA (Ro) antibodies are identified</w:t>
            </w:r>
          </w:p>
          <w:p w14:paraId="0C80908F" w14:textId="7A8C2670" w:rsidR="00642DC5" w:rsidRPr="00C827C3" w:rsidRDefault="00642DC5" w:rsidP="00642DC5">
            <w:pPr>
              <w:pStyle w:val="ListParagraph"/>
              <w:numPr>
                <w:ilvl w:val="0"/>
                <w:numId w:val="6"/>
              </w:numPr>
              <w:rPr>
                <w:rFonts w:ascii="Aptos" w:hAnsi="Aptos"/>
              </w:rPr>
            </w:pPr>
            <w:r w:rsidRPr="00C827C3">
              <w:rPr>
                <w:rFonts w:ascii="Aptos" w:hAnsi="Aptos"/>
              </w:rPr>
              <w:t>Post-natal treatment of congenital heart block where SSB (La) and/or SSA (Ro) are present</w:t>
            </w:r>
          </w:p>
        </w:tc>
        <w:tc>
          <w:tcPr>
            <w:tcW w:w="6237" w:type="dxa"/>
            <w:vAlign w:val="center"/>
          </w:tcPr>
          <w:p w14:paraId="1E9E4C81" w14:textId="6C9395FC" w:rsidR="004F476D" w:rsidRPr="00C827C3" w:rsidRDefault="004F476D" w:rsidP="004F476D">
            <w:pPr>
              <w:pStyle w:val="ListParagraph"/>
              <w:numPr>
                <w:ilvl w:val="0"/>
                <w:numId w:val="6"/>
              </w:numPr>
              <w:rPr>
                <w:rFonts w:ascii="Aptos" w:hAnsi="Aptos"/>
              </w:rPr>
            </w:pPr>
            <w:r w:rsidRPr="00C827C3">
              <w:rPr>
                <w:rFonts w:ascii="Aptos" w:hAnsi="Aptos"/>
              </w:rPr>
              <w:t xml:space="preserve">Added information to indication </w:t>
            </w:r>
            <w:r w:rsidR="002925A6" w:rsidRPr="00C827C3">
              <w:rPr>
                <w:rFonts w:ascii="Aptos" w:hAnsi="Aptos"/>
              </w:rPr>
              <w:t xml:space="preserve">3 </w:t>
            </w:r>
            <w:r w:rsidRPr="00C827C3">
              <w:rPr>
                <w:rFonts w:ascii="Aptos" w:hAnsi="Aptos"/>
              </w:rPr>
              <w:t xml:space="preserve">to clarify that this indication only applies to patients </w:t>
            </w:r>
            <w:r w:rsidR="00C74BF6" w:rsidRPr="00C827C3">
              <w:rPr>
                <w:rFonts w:ascii="Aptos" w:hAnsi="Aptos"/>
              </w:rPr>
              <w:t xml:space="preserve">up to </w:t>
            </w:r>
            <w:r w:rsidRPr="00C827C3">
              <w:rPr>
                <w:rFonts w:ascii="Aptos" w:hAnsi="Aptos"/>
              </w:rPr>
              <w:t>6 months of age</w:t>
            </w:r>
            <w:r w:rsidR="005440E9" w:rsidRPr="00C827C3">
              <w:rPr>
                <w:rFonts w:ascii="Aptos" w:hAnsi="Aptos"/>
              </w:rPr>
              <w:t>.</w:t>
            </w:r>
          </w:p>
          <w:p w14:paraId="3B367C37" w14:textId="6CA709D4" w:rsidR="004F476D" w:rsidRPr="00C827C3" w:rsidRDefault="004F476D" w:rsidP="004F476D">
            <w:pPr>
              <w:pStyle w:val="ListParagraph"/>
              <w:numPr>
                <w:ilvl w:val="0"/>
                <w:numId w:val="6"/>
              </w:numPr>
              <w:rPr>
                <w:rFonts w:ascii="Aptos" w:hAnsi="Aptos"/>
              </w:rPr>
            </w:pPr>
            <w:r w:rsidRPr="00C827C3">
              <w:rPr>
                <w:rFonts w:ascii="Aptos" w:hAnsi="Aptos"/>
              </w:rPr>
              <w:t>Updated links for several references</w:t>
            </w:r>
            <w:r w:rsidR="005440E9" w:rsidRPr="00C827C3">
              <w:rPr>
                <w:rFonts w:ascii="Aptos" w:hAnsi="Aptos"/>
              </w:rPr>
              <w:t>.</w:t>
            </w:r>
          </w:p>
        </w:tc>
        <w:tc>
          <w:tcPr>
            <w:tcW w:w="1215" w:type="dxa"/>
            <w:vAlign w:val="center"/>
          </w:tcPr>
          <w:p w14:paraId="344821A6" w14:textId="0906E696" w:rsidR="00154837" w:rsidRPr="00C827C3" w:rsidRDefault="004F476D" w:rsidP="005638CE">
            <w:pPr>
              <w:rPr>
                <w:rFonts w:ascii="Aptos" w:hAnsi="Aptos"/>
              </w:rPr>
            </w:pPr>
            <w:r w:rsidRPr="00C827C3">
              <w:rPr>
                <w:rFonts w:ascii="Aptos" w:hAnsi="Aptos"/>
              </w:rPr>
              <w:t>April 2025</w:t>
            </w:r>
          </w:p>
        </w:tc>
        <w:tc>
          <w:tcPr>
            <w:tcW w:w="1126" w:type="dxa"/>
            <w:vAlign w:val="center"/>
          </w:tcPr>
          <w:p w14:paraId="4E3FA4B6" w14:textId="058F624D" w:rsidR="00154837" w:rsidRPr="00C827C3" w:rsidRDefault="004F476D" w:rsidP="005638CE">
            <w:pPr>
              <w:rPr>
                <w:rFonts w:ascii="Aptos" w:hAnsi="Aptos"/>
              </w:rPr>
            </w:pPr>
            <w:r w:rsidRPr="00C827C3">
              <w:rPr>
                <w:rFonts w:ascii="Aptos" w:hAnsi="Aptos"/>
              </w:rPr>
              <w:t>3.2</w:t>
            </w:r>
          </w:p>
        </w:tc>
      </w:tr>
      <w:tr w:rsidR="00154837" w:rsidRPr="00541AED" w14:paraId="48EEEEFB" w14:textId="77777777" w:rsidTr="00E97EF5">
        <w:trPr>
          <w:cantSplit/>
        </w:trPr>
        <w:tc>
          <w:tcPr>
            <w:tcW w:w="2411" w:type="dxa"/>
            <w:vMerge/>
            <w:vAlign w:val="center"/>
          </w:tcPr>
          <w:p w14:paraId="5CD36B40" w14:textId="6CA29B68" w:rsidR="00154837" w:rsidRPr="00C827C3" w:rsidRDefault="00154837" w:rsidP="005638CE">
            <w:pPr>
              <w:rPr>
                <w:rFonts w:ascii="Aptos" w:hAnsi="Aptos"/>
              </w:rPr>
            </w:pPr>
          </w:p>
        </w:tc>
        <w:tc>
          <w:tcPr>
            <w:tcW w:w="4677" w:type="dxa"/>
            <w:vMerge/>
            <w:vAlign w:val="center"/>
          </w:tcPr>
          <w:p w14:paraId="35C65AF4" w14:textId="02547C96" w:rsidR="00154837" w:rsidRPr="00C827C3" w:rsidRDefault="00154837" w:rsidP="005638CE">
            <w:pPr>
              <w:pStyle w:val="ListParagraph"/>
              <w:numPr>
                <w:ilvl w:val="0"/>
                <w:numId w:val="6"/>
              </w:numPr>
              <w:rPr>
                <w:rFonts w:ascii="Aptos" w:hAnsi="Aptos"/>
              </w:rPr>
            </w:pPr>
          </w:p>
        </w:tc>
        <w:tc>
          <w:tcPr>
            <w:tcW w:w="6237" w:type="dxa"/>
            <w:vAlign w:val="center"/>
          </w:tcPr>
          <w:p w14:paraId="159C2147" w14:textId="56F047AF" w:rsidR="00154837" w:rsidRPr="00C827C3" w:rsidRDefault="00154837" w:rsidP="005638CE">
            <w:pPr>
              <w:pStyle w:val="ListParagraph"/>
              <w:numPr>
                <w:ilvl w:val="0"/>
                <w:numId w:val="6"/>
              </w:numPr>
              <w:rPr>
                <w:rFonts w:ascii="Aptos" w:hAnsi="Aptos"/>
              </w:rPr>
            </w:pPr>
            <w:r w:rsidRPr="00C827C3">
              <w:rPr>
                <w:rFonts w:ascii="Aptos" w:hAnsi="Aptos"/>
              </w:rPr>
              <w:t>The gestational age qualifying values have been updated to allow therapy up until delivery.</w:t>
            </w:r>
          </w:p>
        </w:tc>
        <w:tc>
          <w:tcPr>
            <w:tcW w:w="1215" w:type="dxa"/>
            <w:vAlign w:val="center"/>
          </w:tcPr>
          <w:p w14:paraId="21B56415" w14:textId="766E24B1" w:rsidR="00154837" w:rsidRPr="00C827C3" w:rsidRDefault="00154837" w:rsidP="005638CE">
            <w:pPr>
              <w:rPr>
                <w:rFonts w:ascii="Aptos" w:hAnsi="Aptos"/>
              </w:rPr>
            </w:pPr>
            <w:r w:rsidRPr="00C827C3">
              <w:rPr>
                <w:rFonts w:ascii="Aptos" w:hAnsi="Aptos"/>
              </w:rPr>
              <w:t>March 2020</w:t>
            </w:r>
          </w:p>
        </w:tc>
        <w:tc>
          <w:tcPr>
            <w:tcW w:w="1126" w:type="dxa"/>
            <w:vAlign w:val="center"/>
          </w:tcPr>
          <w:p w14:paraId="46CD3173" w14:textId="5490A62A" w:rsidR="00154837" w:rsidRPr="00C827C3" w:rsidRDefault="00154837" w:rsidP="005638CE">
            <w:pPr>
              <w:rPr>
                <w:rFonts w:ascii="Aptos" w:hAnsi="Aptos"/>
              </w:rPr>
            </w:pPr>
            <w:r w:rsidRPr="00C827C3">
              <w:rPr>
                <w:rFonts w:ascii="Aptos" w:hAnsi="Aptos"/>
              </w:rPr>
              <w:t>3.1</w:t>
            </w:r>
          </w:p>
        </w:tc>
      </w:tr>
      <w:tr w:rsidR="00642DC5" w:rsidRPr="00541AED" w14:paraId="3B0F86CB" w14:textId="77777777" w:rsidTr="00E97EF5">
        <w:trPr>
          <w:cantSplit/>
        </w:trPr>
        <w:tc>
          <w:tcPr>
            <w:tcW w:w="2411" w:type="dxa"/>
            <w:vMerge w:val="restart"/>
            <w:vAlign w:val="center"/>
          </w:tcPr>
          <w:p w14:paraId="4540D180" w14:textId="69FDDA4F" w:rsidR="00642DC5" w:rsidRPr="00C827C3" w:rsidRDefault="00642DC5" w:rsidP="005638CE">
            <w:pPr>
              <w:rPr>
                <w:rFonts w:ascii="Aptos" w:hAnsi="Aptos"/>
              </w:rPr>
            </w:pPr>
            <w:r w:rsidRPr="00C827C3">
              <w:rPr>
                <w:rFonts w:ascii="Aptos" w:hAnsi="Aptos" w:cs="Helvetica"/>
                <w:color w:val="333333"/>
              </w:rPr>
              <w:t xml:space="preserve">Inborn errors of immunity (IEI) with antibody deficiency </w:t>
            </w:r>
          </w:p>
        </w:tc>
        <w:tc>
          <w:tcPr>
            <w:tcW w:w="4677" w:type="dxa"/>
            <w:vMerge w:val="restart"/>
            <w:vAlign w:val="center"/>
          </w:tcPr>
          <w:p w14:paraId="07888812" w14:textId="77777777" w:rsidR="00642DC5" w:rsidRPr="00C827C3" w:rsidRDefault="00642DC5" w:rsidP="00CB4F2A">
            <w:pPr>
              <w:pStyle w:val="ListParagraph"/>
              <w:numPr>
                <w:ilvl w:val="0"/>
                <w:numId w:val="6"/>
              </w:numPr>
              <w:ind w:left="357" w:hanging="357"/>
              <w:contextualSpacing w:val="0"/>
              <w:rPr>
                <w:rFonts w:ascii="Aptos" w:hAnsi="Aptos"/>
              </w:rPr>
            </w:pPr>
            <w:r w:rsidRPr="00C827C3">
              <w:rPr>
                <w:rFonts w:ascii="Aptos" w:hAnsi="Aptos"/>
              </w:rPr>
              <w:t>Replacement therapy in common variable immune deficiency (CVID) – ESID diagnostic criteria met</w:t>
            </w:r>
          </w:p>
          <w:p w14:paraId="1BD8C494" w14:textId="67DA1E84" w:rsidR="00642DC5" w:rsidRPr="00C827C3" w:rsidRDefault="00642DC5" w:rsidP="00CB4F2A">
            <w:pPr>
              <w:pStyle w:val="ListParagraph"/>
              <w:numPr>
                <w:ilvl w:val="0"/>
                <w:numId w:val="6"/>
              </w:numPr>
              <w:ind w:left="357" w:hanging="357"/>
              <w:contextualSpacing w:val="0"/>
              <w:rPr>
                <w:rFonts w:ascii="Aptos" w:hAnsi="Aptos"/>
              </w:rPr>
            </w:pPr>
            <w:r w:rsidRPr="00C827C3">
              <w:rPr>
                <w:rFonts w:ascii="Aptos" w:hAnsi="Aptos"/>
              </w:rPr>
              <w:t>Replacement therapy in possible common variable immune deficiency (CVID) – below normal serum IgG and normal IgA level</w:t>
            </w:r>
          </w:p>
          <w:p w14:paraId="65FA116B" w14:textId="77777777" w:rsidR="00642DC5" w:rsidRPr="00C827C3" w:rsidRDefault="00642DC5" w:rsidP="00CB4F2A">
            <w:pPr>
              <w:pStyle w:val="ListParagraph"/>
              <w:numPr>
                <w:ilvl w:val="0"/>
                <w:numId w:val="6"/>
              </w:numPr>
              <w:ind w:left="357" w:hanging="357"/>
              <w:contextualSpacing w:val="0"/>
              <w:rPr>
                <w:rFonts w:ascii="Aptos" w:hAnsi="Aptos"/>
              </w:rPr>
            </w:pPr>
            <w:r w:rsidRPr="00C827C3">
              <w:rPr>
                <w:rFonts w:ascii="Aptos" w:hAnsi="Aptos"/>
              </w:rPr>
              <w:t xml:space="preserve">Replacement therapy in transient hypogammaglobulinaemia of infancy (children aged less than 4 years) </w:t>
            </w:r>
          </w:p>
          <w:p w14:paraId="62B1E993" w14:textId="457B23CA" w:rsidR="00642DC5" w:rsidRPr="00C827C3" w:rsidRDefault="00642DC5" w:rsidP="00CB4F2A">
            <w:pPr>
              <w:pStyle w:val="ListParagraph"/>
              <w:numPr>
                <w:ilvl w:val="0"/>
                <w:numId w:val="6"/>
              </w:numPr>
              <w:ind w:left="357" w:hanging="357"/>
              <w:contextualSpacing w:val="0"/>
              <w:rPr>
                <w:rFonts w:ascii="Aptos" w:hAnsi="Aptos"/>
              </w:rPr>
            </w:pPr>
            <w:r w:rsidRPr="00C827C3">
              <w:rPr>
                <w:rFonts w:ascii="Aptos" w:hAnsi="Aptos"/>
              </w:rPr>
              <w:t>Replacement therapy in recognised inborn errors of immunity for which immunoglobulin replacement is universally indicated (e.g. SCID, Wiskott-Aldrich syndrome, etc.)</w:t>
            </w:r>
          </w:p>
        </w:tc>
        <w:tc>
          <w:tcPr>
            <w:tcW w:w="6237" w:type="dxa"/>
            <w:vAlign w:val="center"/>
          </w:tcPr>
          <w:p w14:paraId="39063144" w14:textId="7858F9B4" w:rsidR="00642DC5" w:rsidRPr="00C827C3" w:rsidRDefault="00642DC5" w:rsidP="005638CE">
            <w:pPr>
              <w:pStyle w:val="ListParagraph"/>
              <w:numPr>
                <w:ilvl w:val="0"/>
                <w:numId w:val="6"/>
              </w:numPr>
              <w:tabs>
                <w:tab w:val="left" w:pos="902"/>
              </w:tabs>
              <w:rPr>
                <w:rFonts w:ascii="Aptos" w:hAnsi="Aptos"/>
              </w:rPr>
            </w:pPr>
            <w:r w:rsidRPr="00C827C3">
              <w:rPr>
                <w:rFonts w:ascii="Aptos" w:hAnsi="Aptos"/>
              </w:rPr>
              <w:t>Updated descriptive text to include more information about inborn errors of immunity.</w:t>
            </w:r>
          </w:p>
          <w:p w14:paraId="48173359" w14:textId="08706C93" w:rsidR="00642DC5" w:rsidRPr="00C827C3" w:rsidRDefault="00642DC5" w:rsidP="005638CE">
            <w:pPr>
              <w:pStyle w:val="ListParagraph"/>
              <w:numPr>
                <w:ilvl w:val="0"/>
                <w:numId w:val="6"/>
              </w:numPr>
              <w:tabs>
                <w:tab w:val="left" w:pos="902"/>
              </w:tabs>
              <w:rPr>
                <w:rFonts w:ascii="Aptos" w:hAnsi="Aptos"/>
              </w:rPr>
            </w:pPr>
            <w:r w:rsidRPr="00C827C3">
              <w:rPr>
                <w:rFonts w:ascii="Aptos" w:hAnsi="Aptos"/>
              </w:rPr>
              <w:t>Amended the criteria for indication 4 to remove the requirement of hypogammaglobulinaemia in patients with recognised inborn errors of immunity for which immunoglobulin replacement is universally indicated.</w:t>
            </w:r>
          </w:p>
          <w:p w14:paraId="219059E6" w14:textId="5C01F262" w:rsidR="00642DC5" w:rsidRPr="00C827C3" w:rsidRDefault="00642DC5" w:rsidP="005638CE">
            <w:pPr>
              <w:pStyle w:val="ListParagraph"/>
              <w:numPr>
                <w:ilvl w:val="0"/>
                <w:numId w:val="6"/>
              </w:numPr>
              <w:tabs>
                <w:tab w:val="left" w:pos="902"/>
              </w:tabs>
              <w:rPr>
                <w:rFonts w:ascii="Aptos" w:hAnsi="Aptos"/>
              </w:rPr>
            </w:pPr>
            <w:r w:rsidRPr="00C827C3">
              <w:rPr>
                <w:rFonts w:ascii="Aptos" w:hAnsi="Aptos"/>
              </w:rPr>
              <w:t>Added four new references relating to the changes to indication 4.</w:t>
            </w:r>
          </w:p>
          <w:p w14:paraId="4838CFDB" w14:textId="51BC6F2B" w:rsidR="00642DC5" w:rsidRPr="00C827C3" w:rsidRDefault="00642DC5" w:rsidP="005638CE">
            <w:pPr>
              <w:pStyle w:val="ListParagraph"/>
              <w:numPr>
                <w:ilvl w:val="0"/>
                <w:numId w:val="6"/>
              </w:numPr>
              <w:tabs>
                <w:tab w:val="left" w:pos="902"/>
              </w:tabs>
              <w:rPr>
                <w:rFonts w:ascii="Aptos" w:hAnsi="Aptos"/>
              </w:rPr>
            </w:pPr>
            <w:r w:rsidRPr="00C827C3">
              <w:rPr>
                <w:rFonts w:ascii="Aptos" w:hAnsi="Aptos"/>
              </w:rPr>
              <w:t>Updated links for several references.</w:t>
            </w:r>
          </w:p>
          <w:p w14:paraId="5E5A9094" w14:textId="4501AF18" w:rsidR="00642DC5" w:rsidRPr="00C827C3" w:rsidRDefault="00642DC5" w:rsidP="005638CE">
            <w:pPr>
              <w:pStyle w:val="ListParagraph"/>
              <w:numPr>
                <w:ilvl w:val="0"/>
                <w:numId w:val="6"/>
              </w:numPr>
              <w:tabs>
                <w:tab w:val="left" w:pos="902"/>
              </w:tabs>
              <w:rPr>
                <w:rFonts w:ascii="Aptos" w:hAnsi="Aptos"/>
              </w:rPr>
            </w:pPr>
            <w:r w:rsidRPr="00C827C3">
              <w:rPr>
                <w:rFonts w:ascii="Aptos" w:hAnsi="Aptos"/>
              </w:rPr>
              <w:t>Added links to exclusion criteria.</w:t>
            </w:r>
          </w:p>
        </w:tc>
        <w:tc>
          <w:tcPr>
            <w:tcW w:w="1215" w:type="dxa"/>
            <w:vAlign w:val="center"/>
          </w:tcPr>
          <w:p w14:paraId="53697859" w14:textId="63040EC7" w:rsidR="00642DC5" w:rsidRPr="00C827C3" w:rsidRDefault="00642DC5" w:rsidP="005638CE">
            <w:pPr>
              <w:rPr>
                <w:rFonts w:ascii="Aptos" w:hAnsi="Aptos"/>
              </w:rPr>
            </w:pPr>
            <w:r w:rsidRPr="00C827C3">
              <w:rPr>
                <w:rFonts w:ascii="Aptos" w:hAnsi="Aptos"/>
              </w:rPr>
              <w:t>April 2025</w:t>
            </w:r>
          </w:p>
        </w:tc>
        <w:tc>
          <w:tcPr>
            <w:tcW w:w="1126" w:type="dxa"/>
            <w:vAlign w:val="center"/>
          </w:tcPr>
          <w:p w14:paraId="103ACE78" w14:textId="23380ED6" w:rsidR="00642DC5" w:rsidRPr="00C827C3" w:rsidRDefault="00642DC5" w:rsidP="005638CE">
            <w:pPr>
              <w:rPr>
                <w:rFonts w:ascii="Aptos" w:hAnsi="Aptos"/>
              </w:rPr>
            </w:pPr>
            <w:r w:rsidRPr="00C827C3">
              <w:rPr>
                <w:rFonts w:ascii="Aptos" w:hAnsi="Aptos"/>
              </w:rPr>
              <w:t>3.6</w:t>
            </w:r>
          </w:p>
        </w:tc>
      </w:tr>
      <w:tr w:rsidR="00642DC5" w:rsidRPr="00541AED" w14:paraId="334D5842" w14:textId="77777777" w:rsidTr="00E97EF5">
        <w:trPr>
          <w:cantSplit/>
        </w:trPr>
        <w:tc>
          <w:tcPr>
            <w:tcW w:w="2411" w:type="dxa"/>
            <w:vMerge/>
            <w:vAlign w:val="center"/>
          </w:tcPr>
          <w:p w14:paraId="5C01244D" w14:textId="77777777" w:rsidR="00642DC5" w:rsidRPr="00541AED" w:rsidRDefault="00642DC5" w:rsidP="005638CE">
            <w:pPr>
              <w:rPr>
                <w:rFonts w:ascii="Aptos" w:hAnsi="Aptos" w:cs="Helvetica"/>
                <w:color w:val="333333"/>
              </w:rPr>
            </w:pPr>
          </w:p>
        </w:tc>
        <w:tc>
          <w:tcPr>
            <w:tcW w:w="4677" w:type="dxa"/>
            <w:vMerge/>
            <w:vAlign w:val="center"/>
          </w:tcPr>
          <w:p w14:paraId="32DA75B7" w14:textId="77605D30" w:rsidR="00642DC5" w:rsidRPr="00541AED" w:rsidRDefault="00642DC5" w:rsidP="005638CE">
            <w:pPr>
              <w:pStyle w:val="ListParagraph"/>
              <w:numPr>
                <w:ilvl w:val="0"/>
                <w:numId w:val="6"/>
              </w:numPr>
              <w:rPr>
                <w:rFonts w:ascii="Aptos" w:hAnsi="Aptos"/>
              </w:rPr>
            </w:pPr>
          </w:p>
        </w:tc>
        <w:tc>
          <w:tcPr>
            <w:tcW w:w="6237" w:type="dxa"/>
            <w:vAlign w:val="center"/>
          </w:tcPr>
          <w:p w14:paraId="1C62112A" w14:textId="58DB3C08"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Changed all instances of ‘primary immunodeficiency diseases’ to ‘inborn errors of immunity’.</w:t>
            </w:r>
          </w:p>
          <w:p w14:paraId="74D37965" w14:textId="6D9AD12D"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Change to the conditions for additional dose clarifying that clinician should list the patient’s current IgG level in the comment box.</w:t>
            </w:r>
          </w:p>
          <w:p w14:paraId="7C21DDCE" w14:textId="77777777"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Corrected a transcription error in the initial review criteria for indication 1.</w:t>
            </w:r>
          </w:p>
          <w:p w14:paraId="6D244C43" w14:textId="77777777" w:rsidR="00642DC5" w:rsidRPr="00541AED" w:rsidRDefault="00642DC5" w:rsidP="005638CE">
            <w:pPr>
              <w:pStyle w:val="ListParagraph"/>
              <w:numPr>
                <w:ilvl w:val="0"/>
                <w:numId w:val="6"/>
              </w:numPr>
              <w:tabs>
                <w:tab w:val="left" w:pos="902"/>
              </w:tabs>
              <w:rPr>
                <w:rFonts w:ascii="Aptos" w:hAnsi="Aptos" w:cstheme="minorHAnsi"/>
              </w:rPr>
            </w:pPr>
            <w:r w:rsidRPr="00541AED">
              <w:rPr>
                <w:rFonts w:ascii="Aptos" w:hAnsi="Aptos"/>
              </w:rPr>
              <w:t xml:space="preserve">Corrected a transcription error in the transitioning authorisation review criteria for </w:t>
            </w:r>
            <w:r w:rsidRPr="00541AED">
              <w:rPr>
                <w:rFonts w:ascii="Aptos" w:hAnsi="Aptos" w:cstheme="minorHAnsi"/>
              </w:rPr>
              <w:t>indication 1.</w:t>
            </w:r>
          </w:p>
          <w:p w14:paraId="01E2BBDC" w14:textId="1BFC0E58" w:rsidR="00642DC5" w:rsidRPr="00541AED" w:rsidRDefault="00642DC5" w:rsidP="005638CE">
            <w:pPr>
              <w:pStyle w:val="ListParagraph"/>
              <w:numPr>
                <w:ilvl w:val="0"/>
                <w:numId w:val="6"/>
              </w:numPr>
              <w:tabs>
                <w:tab w:val="left" w:pos="902"/>
              </w:tabs>
              <w:rPr>
                <w:rFonts w:ascii="Aptos" w:hAnsi="Aptos"/>
              </w:rPr>
            </w:pPr>
            <w:r w:rsidRPr="00541AED">
              <w:rPr>
                <w:rFonts w:ascii="Aptos" w:hAnsi="Aptos" w:cstheme="minorHAnsi"/>
              </w:rPr>
              <w:t>Corrected other minor typographical errors.</w:t>
            </w:r>
          </w:p>
        </w:tc>
        <w:tc>
          <w:tcPr>
            <w:tcW w:w="1215" w:type="dxa"/>
            <w:vAlign w:val="center"/>
          </w:tcPr>
          <w:p w14:paraId="724D9A3F" w14:textId="61985DE3" w:rsidR="00642DC5" w:rsidRPr="00541AED" w:rsidRDefault="00642DC5" w:rsidP="005638CE">
            <w:pPr>
              <w:rPr>
                <w:rFonts w:ascii="Aptos" w:hAnsi="Aptos"/>
              </w:rPr>
            </w:pPr>
            <w:r w:rsidRPr="00541AED">
              <w:rPr>
                <w:rFonts w:ascii="Aptos" w:hAnsi="Aptos"/>
              </w:rPr>
              <w:t>December 2024</w:t>
            </w:r>
          </w:p>
        </w:tc>
        <w:tc>
          <w:tcPr>
            <w:tcW w:w="1126" w:type="dxa"/>
            <w:vAlign w:val="center"/>
          </w:tcPr>
          <w:p w14:paraId="26234CFD" w14:textId="2D96ADA0" w:rsidR="00642DC5" w:rsidRPr="00541AED" w:rsidRDefault="00642DC5" w:rsidP="005638CE">
            <w:pPr>
              <w:rPr>
                <w:rFonts w:ascii="Aptos" w:hAnsi="Aptos"/>
              </w:rPr>
            </w:pPr>
            <w:r w:rsidRPr="00541AED">
              <w:rPr>
                <w:rFonts w:ascii="Aptos" w:hAnsi="Aptos"/>
              </w:rPr>
              <w:t>3.5</w:t>
            </w:r>
          </w:p>
        </w:tc>
      </w:tr>
      <w:tr w:rsidR="00642DC5" w:rsidRPr="00541AED" w14:paraId="3B05A86E" w14:textId="77777777" w:rsidTr="00E97EF5">
        <w:trPr>
          <w:cantSplit/>
        </w:trPr>
        <w:tc>
          <w:tcPr>
            <w:tcW w:w="2411" w:type="dxa"/>
            <w:vMerge/>
            <w:vAlign w:val="center"/>
          </w:tcPr>
          <w:p w14:paraId="7C431F2D" w14:textId="77777777" w:rsidR="00642DC5" w:rsidRPr="00541AED" w:rsidRDefault="00642DC5" w:rsidP="005638CE">
            <w:pPr>
              <w:rPr>
                <w:rFonts w:ascii="Aptos" w:hAnsi="Aptos" w:cs="Helvetica"/>
                <w:color w:val="333333"/>
              </w:rPr>
            </w:pPr>
          </w:p>
        </w:tc>
        <w:tc>
          <w:tcPr>
            <w:tcW w:w="4677" w:type="dxa"/>
            <w:vMerge/>
            <w:vAlign w:val="center"/>
          </w:tcPr>
          <w:p w14:paraId="360FF3FD" w14:textId="77777777" w:rsidR="00642DC5" w:rsidRPr="00541AED" w:rsidRDefault="00642DC5" w:rsidP="005638CE">
            <w:pPr>
              <w:rPr>
                <w:rFonts w:ascii="Aptos" w:hAnsi="Aptos"/>
              </w:rPr>
            </w:pPr>
          </w:p>
        </w:tc>
        <w:tc>
          <w:tcPr>
            <w:tcW w:w="6237" w:type="dxa"/>
            <w:vAlign w:val="center"/>
          </w:tcPr>
          <w:p w14:paraId="1D100774" w14:textId="74EFFF0D"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Reduce the age to 2 years (from 4 years) for indication 1 (replacement therapy in common variable immune deficiency).</w:t>
            </w:r>
          </w:p>
        </w:tc>
        <w:tc>
          <w:tcPr>
            <w:tcW w:w="1215" w:type="dxa"/>
            <w:vAlign w:val="center"/>
          </w:tcPr>
          <w:p w14:paraId="0AFABF1E" w14:textId="361886A4" w:rsidR="00642DC5" w:rsidRPr="00541AED" w:rsidRDefault="00642DC5" w:rsidP="005638CE">
            <w:pPr>
              <w:rPr>
                <w:rFonts w:ascii="Aptos" w:hAnsi="Aptos"/>
              </w:rPr>
            </w:pPr>
            <w:r w:rsidRPr="00541AED">
              <w:rPr>
                <w:rFonts w:ascii="Aptos" w:hAnsi="Aptos"/>
              </w:rPr>
              <w:t>November 2023</w:t>
            </w:r>
          </w:p>
        </w:tc>
        <w:tc>
          <w:tcPr>
            <w:tcW w:w="1126" w:type="dxa"/>
            <w:vAlign w:val="center"/>
          </w:tcPr>
          <w:p w14:paraId="50828A6F" w14:textId="65F2113A" w:rsidR="00642DC5" w:rsidRPr="00541AED" w:rsidRDefault="00642DC5" w:rsidP="005638CE">
            <w:pPr>
              <w:rPr>
                <w:rFonts w:ascii="Aptos" w:hAnsi="Aptos"/>
              </w:rPr>
            </w:pPr>
            <w:r w:rsidRPr="00541AED">
              <w:rPr>
                <w:rFonts w:ascii="Aptos" w:hAnsi="Aptos"/>
              </w:rPr>
              <w:t>3.4</w:t>
            </w:r>
          </w:p>
        </w:tc>
      </w:tr>
      <w:tr w:rsidR="00642DC5" w:rsidRPr="00541AED" w14:paraId="7ACDA1CD" w14:textId="77777777" w:rsidTr="00E97EF5">
        <w:trPr>
          <w:cantSplit/>
        </w:trPr>
        <w:tc>
          <w:tcPr>
            <w:tcW w:w="2411" w:type="dxa"/>
            <w:vMerge/>
            <w:vAlign w:val="center"/>
          </w:tcPr>
          <w:p w14:paraId="5FB2B8FA" w14:textId="15B75CE3" w:rsidR="00642DC5" w:rsidRPr="00541AED" w:rsidRDefault="00642DC5" w:rsidP="005638CE">
            <w:pPr>
              <w:rPr>
                <w:rFonts w:ascii="Aptos" w:hAnsi="Aptos" w:cs="Helvetica"/>
                <w:color w:val="333333"/>
              </w:rPr>
            </w:pPr>
          </w:p>
        </w:tc>
        <w:tc>
          <w:tcPr>
            <w:tcW w:w="4677" w:type="dxa"/>
            <w:vMerge/>
            <w:vAlign w:val="center"/>
          </w:tcPr>
          <w:p w14:paraId="666F47C1" w14:textId="19AE2245" w:rsidR="00642DC5" w:rsidRPr="00541AED" w:rsidRDefault="00642DC5" w:rsidP="005638CE">
            <w:pPr>
              <w:rPr>
                <w:rFonts w:ascii="Aptos" w:hAnsi="Aptos"/>
              </w:rPr>
            </w:pPr>
          </w:p>
        </w:tc>
        <w:tc>
          <w:tcPr>
            <w:tcW w:w="6237" w:type="dxa"/>
            <w:vAlign w:val="center"/>
          </w:tcPr>
          <w:p w14:paraId="14880996" w14:textId="2626F6F5"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The interpretation of results values for all Ig levels now include provision to specify when results are above normal range.</w:t>
            </w:r>
          </w:p>
          <w:p w14:paraId="55033189" w14:textId="3FDCEAB9" w:rsidR="00642DC5" w:rsidRPr="00541AED" w:rsidRDefault="00642DC5" w:rsidP="005638CE">
            <w:pPr>
              <w:pStyle w:val="ListParagraph"/>
              <w:numPr>
                <w:ilvl w:val="0"/>
                <w:numId w:val="6"/>
              </w:numPr>
              <w:rPr>
                <w:rFonts w:ascii="Aptos" w:hAnsi="Aptos"/>
              </w:rPr>
            </w:pPr>
            <w:r w:rsidRPr="00541AED">
              <w:rPr>
                <w:rFonts w:ascii="Aptos" w:hAnsi="Aptos"/>
              </w:rPr>
              <w:t>The evidence item for ‘secondary hypogammaglobulinaemia has been excluded’ has been removed from all indications as is included in exclusion criteria.</w:t>
            </w:r>
          </w:p>
          <w:p w14:paraId="7A589FAF" w14:textId="19258D42"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The trial cessation criterion wording in review criteria has been updated to clarify the need for it to be completed.</w:t>
            </w:r>
          </w:p>
          <w:p w14:paraId="7EFC5402" w14:textId="50A8CC7B" w:rsidR="00642DC5" w:rsidRPr="00541AED" w:rsidRDefault="00642DC5" w:rsidP="005638CE">
            <w:pPr>
              <w:pStyle w:val="ListParagraph"/>
              <w:numPr>
                <w:ilvl w:val="0"/>
                <w:numId w:val="6"/>
              </w:numPr>
              <w:rPr>
                <w:rFonts w:ascii="Aptos" w:hAnsi="Aptos"/>
              </w:rPr>
            </w:pPr>
            <w:r w:rsidRPr="00541AED">
              <w:rPr>
                <w:rFonts w:ascii="Aptos" w:hAnsi="Aptos"/>
              </w:rPr>
              <w:t>The description and diagnostic criteria has been updated to provide clarity around the European Society for Immunodeficiency Diseases (ESID) diagnostic criteria.</w:t>
            </w:r>
          </w:p>
          <w:p w14:paraId="0F36448B" w14:textId="71C6FF24" w:rsidR="00642DC5" w:rsidRPr="00541AED" w:rsidRDefault="00642DC5" w:rsidP="005638CE">
            <w:pPr>
              <w:pStyle w:val="ListParagraph"/>
              <w:numPr>
                <w:ilvl w:val="0"/>
                <w:numId w:val="6"/>
              </w:numPr>
              <w:rPr>
                <w:rFonts w:ascii="Aptos" w:hAnsi="Aptos"/>
              </w:rPr>
            </w:pPr>
            <w:r w:rsidRPr="00541AED">
              <w:rPr>
                <w:rFonts w:ascii="Aptos" w:hAnsi="Aptos"/>
              </w:rPr>
              <w:t>The evidence item for switched memory B cells interpretation of results wording has been updated</w:t>
            </w:r>
            <w:r>
              <w:rPr>
                <w:rFonts w:ascii="Aptos" w:hAnsi="Aptos"/>
              </w:rPr>
              <w:t>.</w:t>
            </w:r>
          </w:p>
          <w:p w14:paraId="4BF1FF3B" w14:textId="76B96AAA" w:rsidR="00642DC5" w:rsidRPr="00541AED" w:rsidRDefault="00642DC5" w:rsidP="005638CE">
            <w:pPr>
              <w:pStyle w:val="ListParagraph"/>
              <w:numPr>
                <w:ilvl w:val="0"/>
                <w:numId w:val="6"/>
              </w:numPr>
              <w:tabs>
                <w:tab w:val="left" w:pos="902"/>
              </w:tabs>
              <w:rPr>
                <w:rFonts w:ascii="Aptos" w:hAnsi="Aptos"/>
              </w:rPr>
            </w:pPr>
            <w:r w:rsidRPr="00541AED">
              <w:rPr>
                <w:rFonts w:ascii="Aptos" w:hAnsi="Aptos"/>
              </w:rPr>
              <w:t>Where more than one immunoglobulin is tested on the same day, the date of test is now only required for the first immunoglobulin level.</w:t>
            </w:r>
          </w:p>
          <w:p w14:paraId="42318DF1" w14:textId="423DEFBF" w:rsidR="00642DC5" w:rsidRPr="00541AED" w:rsidRDefault="00642DC5" w:rsidP="005638CE">
            <w:pPr>
              <w:pStyle w:val="ListParagraph"/>
              <w:numPr>
                <w:ilvl w:val="0"/>
                <w:numId w:val="6"/>
              </w:numPr>
              <w:rPr>
                <w:rFonts w:ascii="Aptos" w:hAnsi="Aptos"/>
              </w:rPr>
            </w:pPr>
            <w:r w:rsidRPr="00541AED">
              <w:rPr>
                <w:rFonts w:ascii="Aptos" w:hAnsi="Aptos"/>
              </w:rPr>
              <w:t>The evidence items in qualifying criteria requiring the patient’s age no longer require entry of the date of birth.</w:t>
            </w:r>
          </w:p>
          <w:p w14:paraId="0ACCF7F5" w14:textId="06CEA149" w:rsidR="00642DC5" w:rsidRPr="00541AED" w:rsidRDefault="00642DC5" w:rsidP="005638CE">
            <w:pPr>
              <w:pStyle w:val="ListParagraph"/>
              <w:numPr>
                <w:ilvl w:val="0"/>
                <w:numId w:val="6"/>
              </w:numPr>
              <w:rPr>
                <w:rFonts w:ascii="Aptos" w:hAnsi="Aptos"/>
              </w:rPr>
            </w:pPr>
            <w:r w:rsidRPr="00541AED">
              <w:rPr>
                <w:rFonts w:ascii="Aptos" w:hAnsi="Aptos"/>
              </w:rPr>
              <w:t>The serum IgA evidence item in the qualifying criteria has been updated.</w:t>
            </w:r>
          </w:p>
          <w:p w14:paraId="56209765" w14:textId="5D23531E" w:rsidR="00642DC5" w:rsidRPr="00541AED" w:rsidRDefault="00642DC5" w:rsidP="005638CE">
            <w:pPr>
              <w:pStyle w:val="ListParagraph"/>
              <w:numPr>
                <w:ilvl w:val="0"/>
                <w:numId w:val="6"/>
              </w:numPr>
              <w:rPr>
                <w:rFonts w:ascii="Aptos" w:hAnsi="Aptos"/>
              </w:rPr>
            </w:pPr>
            <w:r w:rsidRPr="00541AED">
              <w:rPr>
                <w:rFonts w:ascii="Aptos" w:hAnsi="Aptos"/>
              </w:rPr>
              <w:t>Where there is an option to record a review history of no infection, the requirement to enter a date has been removed.</w:t>
            </w:r>
          </w:p>
        </w:tc>
        <w:tc>
          <w:tcPr>
            <w:tcW w:w="1215" w:type="dxa"/>
            <w:vAlign w:val="center"/>
          </w:tcPr>
          <w:p w14:paraId="3B5CE731" w14:textId="2D8D94CA" w:rsidR="00642DC5" w:rsidRPr="00541AED" w:rsidRDefault="00642DC5" w:rsidP="005638CE">
            <w:pPr>
              <w:rPr>
                <w:rFonts w:ascii="Aptos" w:hAnsi="Aptos"/>
              </w:rPr>
            </w:pPr>
            <w:r w:rsidRPr="00541AED">
              <w:rPr>
                <w:rFonts w:ascii="Aptos" w:hAnsi="Aptos"/>
              </w:rPr>
              <w:t>March 2020</w:t>
            </w:r>
          </w:p>
        </w:tc>
        <w:tc>
          <w:tcPr>
            <w:tcW w:w="1126" w:type="dxa"/>
            <w:vAlign w:val="center"/>
          </w:tcPr>
          <w:p w14:paraId="761E130C" w14:textId="3527A223" w:rsidR="00642DC5" w:rsidRPr="00541AED" w:rsidRDefault="00642DC5" w:rsidP="005638CE">
            <w:pPr>
              <w:rPr>
                <w:rFonts w:ascii="Aptos" w:hAnsi="Aptos"/>
              </w:rPr>
            </w:pPr>
            <w:r w:rsidRPr="00541AED">
              <w:rPr>
                <w:rFonts w:ascii="Aptos" w:hAnsi="Aptos"/>
              </w:rPr>
              <w:t>3.3</w:t>
            </w:r>
          </w:p>
        </w:tc>
      </w:tr>
      <w:tr w:rsidR="00642DC5" w:rsidRPr="00541AED" w14:paraId="05D97730" w14:textId="77777777" w:rsidTr="00E97EF5">
        <w:trPr>
          <w:cantSplit/>
        </w:trPr>
        <w:tc>
          <w:tcPr>
            <w:tcW w:w="2411" w:type="dxa"/>
            <w:vMerge/>
            <w:vAlign w:val="center"/>
          </w:tcPr>
          <w:p w14:paraId="7DFA694C" w14:textId="77777777" w:rsidR="00642DC5" w:rsidRPr="00541AED" w:rsidRDefault="00642DC5" w:rsidP="005638CE">
            <w:pPr>
              <w:rPr>
                <w:rFonts w:ascii="Aptos" w:hAnsi="Aptos" w:cs="Helvetica"/>
                <w:color w:val="333333"/>
              </w:rPr>
            </w:pPr>
          </w:p>
        </w:tc>
        <w:tc>
          <w:tcPr>
            <w:tcW w:w="4677" w:type="dxa"/>
            <w:vMerge/>
            <w:vAlign w:val="center"/>
          </w:tcPr>
          <w:p w14:paraId="0AA69375" w14:textId="6C499959" w:rsidR="00642DC5" w:rsidRPr="00541AED" w:rsidRDefault="00642DC5" w:rsidP="005638CE">
            <w:pPr>
              <w:pStyle w:val="ListParagraph"/>
              <w:numPr>
                <w:ilvl w:val="0"/>
                <w:numId w:val="6"/>
              </w:numPr>
              <w:rPr>
                <w:rFonts w:ascii="Aptos" w:hAnsi="Aptos"/>
              </w:rPr>
            </w:pPr>
          </w:p>
        </w:tc>
        <w:tc>
          <w:tcPr>
            <w:tcW w:w="6237" w:type="dxa"/>
            <w:vAlign w:val="center"/>
          </w:tcPr>
          <w:p w14:paraId="4DA23738" w14:textId="5B26FDB2" w:rsidR="00642DC5" w:rsidRPr="00541AED" w:rsidRDefault="00642DC5" w:rsidP="005638CE">
            <w:pPr>
              <w:pStyle w:val="ListParagraph"/>
              <w:numPr>
                <w:ilvl w:val="0"/>
                <w:numId w:val="6"/>
              </w:numPr>
              <w:rPr>
                <w:rFonts w:ascii="Aptos" w:hAnsi="Aptos"/>
              </w:rPr>
            </w:pPr>
            <w:r w:rsidRPr="00541AED">
              <w:rPr>
                <w:rFonts w:ascii="Aptos" w:hAnsi="Aptos"/>
              </w:rPr>
              <w:t>An additional one-off dose is available during the course of the authorisation in the form of intravenous immunoglobulin or subcutaneous immunoglobulin.</w:t>
            </w:r>
          </w:p>
          <w:p w14:paraId="632D397B" w14:textId="01DF74AD" w:rsidR="00642DC5" w:rsidRPr="00541AED" w:rsidRDefault="00642DC5" w:rsidP="005638CE">
            <w:pPr>
              <w:pStyle w:val="ListParagraph"/>
              <w:numPr>
                <w:ilvl w:val="0"/>
                <w:numId w:val="6"/>
              </w:numPr>
              <w:rPr>
                <w:rFonts w:ascii="Aptos" w:hAnsi="Aptos"/>
              </w:rPr>
            </w:pPr>
            <w:r w:rsidRPr="00541AED">
              <w:rPr>
                <w:rFonts w:ascii="Aptos" w:hAnsi="Aptos"/>
              </w:rPr>
              <w:t>Maintenance dose has been amended to 0.4 – 0.6 g/kg every four weeks or more frequently.</w:t>
            </w:r>
          </w:p>
          <w:p w14:paraId="337392F2" w14:textId="6A0E5A4C" w:rsidR="00642DC5" w:rsidRPr="00541AED" w:rsidRDefault="00642DC5" w:rsidP="005638CE">
            <w:pPr>
              <w:pStyle w:val="ListParagraph"/>
              <w:numPr>
                <w:ilvl w:val="0"/>
                <w:numId w:val="6"/>
              </w:numPr>
              <w:rPr>
                <w:rFonts w:ascii="Aptos" w:hAnsi="Aptos"/>
              </w:rPr>
            </w:pPr>
            <w:r w:rsidRPr="00541AED">
              <w:rPr>
                <w:rFonts w:ascii="Aptos" w:hAnsi="Aptos"/>
              </w:rPr>
              <w:t>Separate doses are now available for intravenous and subcutaneous immunoglobulin administration.</w:t>
            </w:r>
          </w:p>
        </w:tc>
        <w:tc>
          <w:tcPr>
            <w:tcW w:w="1215" w:type="dxa"/>
            <w:vAlign w:val="center"/>
          </w:tcPr>
          <w:p w14:paraId="73D92487" w14:textId="7DAA5253" w:rsidR="00642DC5" w:rsidRPr="00541AED" w:rsidRDefault="00642DC5" w:rsidP="005638CE">
            <w:pPr>
              <w:rPr>
                <w:rFonts w:ascii="Aptos" w:hAnsi="Aptos"/>
              </w:rPr>
            </w:pPr>
            <w:r w:rsidRPr="00541AED">
              <w:rPr>
                <w:rFonts w:ascii="Aptos" w:hAnsi="Aptos"/>
              </w:rPr>
              <w:t>October 2019</w:t>
            </w:r>
          </w:p>
        </w:tc>
        <w:tc>
          <w:tcPr>
            <w:tcW w:w="1126" w:type="dxa"/>
            <w:vAlign w:val="center"/>
          </w:tcPr>
          <w:p w14:paraId="6C5B4E58" w14:textId="0A25448C" w:rsidR="00642DC5" w:rsidRPr="00541AED" w:rsidRDefault="00642DC5" w:rsidP="005638CE">
            <w:pPr>
              <w:rPr>
                <w:rFonts w:ascii="Aptos" w:hAnsi="Aptos"/>
              </w:rPr>
            </w:pPr>
            <w:r w:rsidRPr="00541AED">
              <w:rPr>
                <w:rFonts w:ascii="Aptos" w:hAnsi="Aptos"/>
              </w:rPr>
              <w:t>3.2</w:t>
            </w:r>
          </w:p>
        </w:tc>
      </w:tr>
      <w:tr w:rsidR="00916583" w:rsidRPr="00541AED" w14:paraId="7C486C0C" w14:textId="77777777" w:rsidTr="00E97EF5">
        <w:trPr>
          <w:cantSplit/>
        </w:trPr>
        <w:tc>
          <w:tcPr>
            <w:tcW w:w="2411" w:type="dxa"/>
            <w:vAlign w:val="center"/>
          </w:tcPr>
          <w:p w14:paraId="34595E1E" w14:textId="31AB56A0" w:rsidR="00916583" w:rsidRPr="00541AED" w:rsidRDefault="00916583" w:rsidP="00916583">
            <w:pPr>
              <w:rPr>
                <w:rFonts w:ascii="Aptos" w:hAnsi="Aptos"/>
                <w:color w:val="000000"/>
              </w:rPr>
            </w:pPr>
            <w:r w:rsidRPr="00541AED">
              <w:rPr>
                <w:rFonts w:ascii="Aptos" w:hAnsi="Aptos"/>
              </w:rPr>
              <w:t>Kawasaki disease</w:t>
            </w:r>
          </w:p>
        </w:tc>
        <w:tc>
          <w:tcPr>
            <w:tcW w:w="4677" w:type="dxa"/>
            <w:vAlign w:val="center"/>
          </w:tcPr>
          <w:p w14:paraId="637C77D8" w14:textId="15270F1F" w:rsidR="00916583" w:rsidRPr="00541AED" w:rsidRDefault="00916583" w:rsidP="00916583">
            <w:pPr>
              <w:pStyle w:val="ListParagraph"/>
              <w:numPr>
                <w:ilvl w:val="0"/>
                <w:numId w:val="6"/>
              </w:numPr>
              <w:rPr>
                <w:rFonts w:ascii="Aptos" w:hAnsi="Aptos"/>
              </w:rPr>
            </w:pPr>
            <w:r w:rsidRPr="00541AED">
              <w:rPr>
                <w:rFonts w:ascii="Aptos" w:hAnsi="Aptos"/>
              </w:rPr>
              <w:t>Early Kawasaki disease to prevent coronary artery pathology</w:t>
            </w:r>
          </w:p>
        </w:tc>
        <w:tc>
          <w:tcPr>
            <w:tcW w:w="6237" w:type="dxa"/>
            <w:vAlign w:val="center"/>
          </w:tcPr>
          <w:p w14:paraId="167BC752" w14:textId="77777777" w:rsidR="00916583" w:rsidRPr="00541AED" w:rsidRDefault="00916583" w:rsidP="00916583">
            <w:pPr>
              <w:pStyle w:val="ListParagraph"/>
              <w:numPr>
                <w:ilvl w:val="0"/>
                <w:numId w:val="6"/>
              </w:numPr>
              <w:rPr>
                <w:rFonts w:ascii="Aptos" w:hAnsi="Aptos"/>
              </w:rPr>
            </w:pPr>
            <w:r w:rsidRPr="00541AED">
              <w:rPr>
                <w:rFonts w:ascii="Aptos" w:hAnsi="Aptos" w:cstheme="minorHAnsi"/>
              </w:rPr>
              <w:t>A new evidence item has been introduced to capture whether the presentation of Kawasaki-like symptoms are linked to COVID-19, including confirmation by diagnostic tests for COVID-19.</w:t>
            </w:r>
          </w:p>
          <w:p w14:paraId="390E763B" w14:textId="259A4AF7" w:rsidR="00916583" w:rsidRPr="00541AED" w:rsidRDefault="00916583" w:rsidP="00916583">
            <w:pPr>
              <w:pStyle w:val="ListParagraph"/>
              <w:numPr>
                <w:ilvl w:val="0"/>
                <w:numId w:val="6"/>
              </w:numPr>
              <w:rPr>
                <w:rFonts w:ascii="Aptos" w:hAnsi="Aptos"/>
              </w:rPr>
            </w:pPr>
            <w:r w:rsidRPr="00541AED">
              <w:rPr>
                <w:rFonts w:ascii="Aptos" w:hAnsi="Aptos"/>
              </w:rPr>
              <w:t xml:space="preserve">The age limitation has been removed in BloodSTAR to allow </w:t>
            </w:r>
            <w:r w:rsidRPr="00541AED">
              <w:rPr>
                <w:rFonts w:ascii="Aptos" w:hAnsi="Aptos" w:cstheme="minorHAnsi"/>
              </w:rPr>
              <w:t>young adults over the age of 18 years old to be diagnosed with Kawasaki disease.</w:t>
            </w:r>
          </w:p>
        </w:tc>
        <w:tc>
          <w:tcPr>
            <w:tcW w:w="1215" w:type="dxa"/>
            <w:vAlign w:val="center"/>
          </w:tcPr>
          <w:p w14:paraId="7ADA8A53" w14:textId="2B3AA5B9" w:rsidR="00916583" w:rsidRPr="00541AED" w:rsidRDefault="00916583" w:rsidP="00916583">
            <w:pPr>
              <w:rPr>
                <w:rFonts w:ascii="Aptos" w:hAnsi="Aptos"/>
              </w:rPr>
            </w:pPr>
            <w:r w:rsidRPr="00541AED">
              <w:rPr>
                <w:rFonts w:ascii="Aptos" w:hAnsi="Aptos"/>
              </w:rPr>
              <w:t>July 2021</w:t>
            </w:r>
          </w:p>
        </w:tc>
        <w:tc>
          <w:tcPr>
            <w:tcW w:w="1126" w:type="dxa"/>
            <w:vAlign w:val="center"/>
          </w:tcPr>
          <w:p w14:paraId="2CF98AA3" w14:textId="03F46255" w:rsidR="00916583" w:rsidRPr="00541AED" w:rsidRDefault="00916583" w:rsidP="00916583">
            <w:pPr>
              <w:rPr>
                <w:rFonts w:ascii="Aptos" w:hAnsi="Aptos"/>
              </w:rPr>
            </w:pPr>
            <w:r w:rsidRPr="00541AED">
              <w:rPr>
                <w:rFonts w:ascii="Aptos" w:hAnsi="Aptos"/>
              </w:rPr>
              <w:t>3.1</w:t>
            </w:r>
          </w:p>
        </w:tc>
      </w:tr>
      <w:tr w:rsidR="004035C3" w:rsidRPr="00541AED" w14:paraId="5E18ACA1" w14:textId="77777777" w:rsidTr="00E97EF5">
        <w:trPr>
          <w:cantSplit/>
        </w:trPr>
        <w:tc>
          <w:tcPr>
            <w:tcW w:w="2411" w:type="dxa"/>
            <w:vAlign w:val="center"/>
          </w:tcPr>
          <w:p w14:paraId="7210ABF4" w14:textId="311446CE" w:rsidR="004035C3" w:rsidRPr="00541AED" w:rsidRDefault="004035C3" w:rsidP="005638CE">
            <w:pPr>
              <w:rPr>
                <w:rFonts w:ascii="Aptos" w:hAnsi="Aptos" w:cs="Helvetica"/>
                <w:color w:val="333333"/>
              </w:rPr>
            </w:pPr>
            <w:r w:rsidRPr="00541AED">
              <w:rPr>
                <w:rFonts w:ascii="Aptos" w:hAnsi="Aptos"/>
                <w:color w:val="000000"/>
              </w:rPr>
              <w:t xml:space="preserve">Pyoderma </w:t>
            </w:r>
            <w:r w:rsidR="0068619C" w:rsidRPr="00541AED">
              <w:rPr>
                <w:rFonts w:ascii="Aptos" w:hAnsi="Aptos"/>
                <w:color w:val="000000"/>
              </w:rPr>
              <w:t>g</w:t>
            </w:r>
            <w:r w:rsidRPr="00541AED">
              <w:rPr>
                <w:rFonts w:ascii="Aptos" w:hAnsi="Aptos"/>
                <w:color w:val="000000"/>
              </w:rPr>
              <w:t>angrenosum (PG)</w:t>
            </w:r>
          </w:p>
        </w:tc>
        <w:tc>
          <w:tcPr>
            <w:tcW w:w="4677" w:type="dxa"/>
            <w:vAlign w:val="center"/>
          </w:tcPr>
          <w:p w14:paraId="6B627495" w14:textId="77777777" w:rsidR="00642DC5" w:rsidRPr="00642DC5" w:rsidRDefault="00642DC5" w:rsidP="00642DC5">
            <w:pPr>
              <w:pStyle w:val="ListParagraph"/>
              <w:numPr>
                <w:ilvl w:val="0"/>
                <w:numId w:val="6"/>
              </w:numPr>
              <w:rPr>
                <w:rFonts w:ascii="Aptos" w:hAnsi="Aptos"/>
              </w:rPr>
            </w:pPr>
            <w:r w:rsidRPr="00642DC5">
              <w:rPr>
                <w:rFonts w:ascii="Aptos" w:hAnsi="Aptos"/>
              </w:rPr>
              <w:t>Severe PG when immunosuppressant and biologic therapy is either ineffective or inappropriate due to unacceptable side effects</w:t>
            </w:r>
          </w:p>
          <w:p w14:paraId="04A1AF19" w14:textId="35D19428" w:rsidR="004035C3" w:rsidRPr="00541AED" w:rsidRDefault="004035C3" w:rsidP="005638CE">
            <w:pPr>
              <w:pStyle w:val="ListParagraph"/>
              <w:numPr>
                <w:ilvl w:val="0"/>
                <w:numId w:val="6"/>
              </w:numPr>
              <w:rPr>
                <w:rFonts w:ascii="Aptos" w:hAnsi="Aptos"/>
              </w:rPr>
            </w:pPr>
            <w:r w:rsidRPr="00541AED">
              <w:rPr>
                <w:rFonts w:ascii="Aptos" w:hAnsi="Aptos"/>
              </w:rPr>
              <w:t>Relapse of PG in previously responding patients following a trial off Ig therapy</w:t>
            </w:r>
          </w:p>
        </w:tc>
        <w:tc>
          <w:tcPr>
            <w:tcW w:w="6237" w:type="dxa"/>
            <w:vAlign w:val="center"/>
          </w:tcPr>
          <w:p w14:paraId="49C70482" w14:textId="32CEE09E" w:rsidR="004035C3" w:rsidRPr="00541AED" w:rsidRDefault="004035C3" w:rsidP="005638CE">
            <w:pPr>
              <w:pStyle w:val="ListParagraph"/>
              <w:numPr>
                <w:ilvl w:val="0"/>
                <w:numId w:val="6"/>
              </w:numPr>
              <w:rPr>
                <w:rFonts w:ascii="Aptos" w:hAnsi="Aptos"/>
              </w:rPr>
            </w:pPr>
            <w:r w:rsidRPr="00541AED">
              <w:rPr>
                <w:rFonts w:ascii="Aptos" w:hAnsi="Aptos"/>
              </w:rPr>
              <w:t xml:space="preserve">Removal of the </w:t>
            </w:r>
            <w:r w:rsidR="001B7663" w:rsidRPr="00541AED">
              <w:rPr>
                <w:rFonts w:ascii="Aptos" w:hAnsi="Aptos"/>
              </w:rPr>
              <w:t>six-month</w:t>
            </w:r>
            <w:r w:rsidRPr="00541AED">
              <w:rPr>
                <w:rFonts w:ascii="Aptos" w:hAnsi="Aptos"/>
              </w:rPr>
              <w:t xml:space="preserve"> limitation to access Ig following trial off therapy</w:t>
            </w:r>
            <w:r w:rsidR="0068619C" w:rsidRPr="00541AED">
              <w:rPr>
                <w:rFonts w:ascii="Aptos" w:hAnsi="Aptos"/>
              </w:rPr>
              <w:t>.</w:t>
            </w:r>
          </w:p>
        </w:tc>
        <w:tc>
          <w:tcPr>
            <w:tcW w:w="1215" w:type="dxa"/>
            <w:vAlign w:val="center"/>
          </w:tcPr>
          <w:p w14:paraId="7304D26E" w14:textId="2B91C7CD" w:rsidR="004035C3" w:rsidRPr="00541AED" w:rsidRDefault="004035C3" w:rsidP="005638CE">
            <w:pPr>
              <w:rPr>
                <w:rFonts w:ascii="Aptos" w:hAnsi="Aptos"/>
              </w:rPr>
            </w:pPr>
            <w:r w:rsidRPr="00541AED">
              <w:rPr>
                <w:rFonts w:ascii="Aptos" w:hAnsi="Aptos"/>
              </w:rPr>
              <w:t>March 2020</w:t>
            </w:r>
          </w:p>
        </w:tc>
        <w:tc>
          <w:tcPr>
            <w:tcW w:w="1126" w:type="dxa"/>
            <w:vAlign w:val="center"/>
          </w:tcPr>
          <w:p w14:paraId="1B09B2AF" w14:textId="11AC2A3A" w:rsidR="004035C3" w:rsidRPr="00541AED" w:rsidRDefault="004035C3" w:rsidP="005638CE">
            <w:pPr>
              <w:rPr>
                <w:rFonts w:ascii="Aptos" w:hAnsi="Aptos"/>
              </w:rPr>
            </w:pPr>
            <w:r w:rsidRPr="00541AED">
              <w:rPr>
                <w:rFonts w:ascii="Aptos" w:hAnsi="Aptos"/>
              </w:rPr>
              <w:t>3.1</w:t>
            </w:r>
          </w:p>
        </w:tc>
      </w:tr>
      <w:tr w:rsidR="004246E1" w:rsidRPr="00541AED" w14:paraId="692C8ED2" w14:textId="77777777" w:rsidTr="00E97EF5">
        <w:trPr>
          <w:cantSplit/>
          <w:trHeight w:val="1118"/>
        </w:trPr>
        <w:tc>
          <w:tcPr>
            <w:tcW w:w="2411" w:type="dxa"/>
            <w:vMerge w:val="restart"/>
            <w:vAlign w:val="center"/>
          </w:tcPr>
          <w:p w14:paraId="4E59283C" w14:textId="714902EF" w:rsidR="004246E1" w:rsidRPr="00541AED" w:rsidRDefault="004246E1" w:rsidP="005638CE">
            <w:pPr>
              <w:rPr>
                <w:rFonts w:ascii="Aptos" w:hAnsi="Aptos" w:cs="Helvetica"/>
                <w:color w:val="333333"/>
              </w:rPr>
            </w:pPr>
            <w:r w:rsidRPr="00541AED">
              <w:rPr>
                <w:rFonts w:ascii="Aptos" w:hAnsi="Aptos" w:cs="Helvetica"/>
                <w:color w:val="333333"/>
              </w:rPr>
              <w:t>Secondary hypogammaglobulinaemia unrelated to haematological malignancy or haemopoi</w:t>
            </w:r>
            <w:r w:rsidR="00642DC5">
              <w:rPr>
                <w:rFonts w:ascii="Aptos" w:hAnsi="Aptos" w:cs="Helvetica"/>
                <w:color w:val="333333"/>
              </w:rPr>
              <w:t>e</w:t>
            </w:r>
            <w:r w:rsidRPr="00541AED">
              <w:rPr>
                <w:rFonts w:ascii="Aptos" w:hAnsi="Aptos" w:cs="Helvetica"/>
                <w:color w:val="333333"/>
              </w:rPr>
              <w:t>tic stem cell transplant (HSCT)</w:t>
            </w:r>
          </w:p>
        </w:tc>
        <w:tc>
          <w:tcPr>
            <w:tcW w:w="4677" w:type="dxa"/>
            <w:vMerge w:val="restart"/>
            <w:vAlign w:val="center"/>
          </w:tcPr>
          <w:p w14:paraId="4D696D0C" w14:textId="47919FC7" w:rsidR="004246E1" w:rsidRPr="00C827C3" w:rsidRDefault="004246E1" w:rsidP="005638CE">
            <w:pPr>
              <w:pStyle w:val="ListParagraph"/>
              <w:numPr>
                <w:ilvl w:val="0"/>
                <w:numId w:val="6"/>
              </w:numPr>
              <w:rPr>
                <w:rFonts w:ascii="Aptos" w:hAnsi="Aptos"/>
              </w:rPr>
            </w:pPr>
            <w:r w:rsidRPr="00C827C3">
              <w:rPr>
                <w:rFonts w:ascii="Aptos" w:hAnsi="Aptos"/>
              </w:rPr>
              <w:t>Replacement therapy for recurrent or severe bacterial infections or disseminated enterovirus infection associated with hypogammaglobulinaemia caused by a recognised disease process or B cell depletion therapy and/or immunosuppressant therapy.</w:t>
            </w:r>
          </w:p>
        </w:tc>
        <w:tc>
          <w:tcPr>
            <w:tcW w:w="6237" w:type="dxa"/>
            <w:vAlign w:val="center"/>
          </w:tcPr>
          <w:p w14:paraId="5403527E" w14:textId="59C7B6C9" w:rsidR="004246E1" w:rsidRPr="00C827C3" w:rsidRDefault="00154837" w:rsidP="005638CE">
            <w:pPr>
              <w:pStyle w:val="ListParagraph"/>
              <w:numPr>
                <w:ilvl w:val="0"/>
                <w:numId w:val="6"/>
              </w:numPr>
              <w:rPr>
                <w:rFonts w:ascii="Aptos" w:hAnsi="Aptos"/>
              </w:rPr>
            </w:pPr>
            <w:r w:rsidRPr="00C827C3">
              <w:rPr>
                <w:rFonts w:ascii="Aptos" w:hAnsi="Aptos"/>
              </w:rPr>
              <w:t>Added links to exclusion criteria</w:t>
            </w:r>
            <w:r w:rsidR="00AC77C4" w:rsidRPr="00C827C3">
              <w:rPr>
                <w:rFonts w:ascii="Aptos" w:hAnsi="Aptos"/>
              </w:rPr>
              <w:t>.</w:t>
            </w:r>
          </w:p>
          <w:p w14:paraId="60894ABC" w14:textId="5DBC131C" w:rsidR="00154837" w:rsidRPr="00C827C3" w:rsidRDefault="00154837" w:rsidP="005638CE">
            <w:pPr>
              <w:pStyle w:val="ListParagraph"/>
              <w:numPr>
                <w:ilvl w:val="0"/>
                <w:numId w:val="6"/>
              </w:numPr>
              <w:rPr>
                <w:rFonts w:ascii="Aptos" w:hAnsi="Aptos"/>
              </w:rPr>
            </w:pPr>
            <w:r w:rsidRPr="00C827C3">
              <w:rPr>
                <w:rFonts w:ascii="Aptos" w:hAnsi="Aptos"/>
              </w:rPr>
              <w:t>Updated links for several references</w:t>
            </w:r>
            <w:r w:rsidR="00AC77C4" w:rsidRPr="00C827C3">
              <w:rPr>
                <w:rFonts w:ascii="Aptos" w:hAnsi="Aptos"/>
              </w:rPr>
              <w:t>.</w:t>
            </w:r>
          </w:p>
        </w:tc>
        <w:tc>
          <w:tcPr>
            <w:tcW w:w="1215" w:type="dxa"/>
            <w:vAlign w:val="center"/>
          </w:tcPr>
          <w:p w14:paraId="0E050549" w14:textId="32317C80" w:rsidR="004246E1" w:rsidRPr="00C827C3" w:rsidRDefault="00154837" w:rsidP="005638CE">
            <w:pPr>
              <w:rPr>
                <w:rFonts w:ascii="Aptos" w:hAnsi="Aptos"/>
              </w:rPr>
            </w:pPr>
            <w:r w:rsidRPr="00C827C3">
              <w:rPr>
                <w:rFonts w:ascii="Aptos" w:hAnsi="Aptos"/>
              </w:rPr>
              <w:t>April 2025</w:t>
            </w:r>
          </w:p>
        </w:tc>
        <w:tc>
          <w:tcPr>
            <w:tcW w:w="1126" w:type="dxa"/>
            <w:vAlign w:val="center"/>
          </w:tcPr>
          <w:p w14:paraId="71A88614" w14:textId="6077AC63" w:rsidR="004246E1" w:rsidRPr="00C827C3" w:rsidRDefault="00154837" w:rsidP="005638CE">
            <w:pPr>
              <w:rPr>
                <w:rFonts w:ascii="Aptos" w:hAnsi="Aptos"/>
              </w:rPr>
            </w:pPr>
            <w:r w:rsidRPr="00C827C3">
              <w:rPr>
                <w:rFonts w:ascii="Aptos" w:hAnsi="Aptos"/>
              </w:rPr>
              <w:t>3.6</w:t>
            </w:r>
          </w:p>
        </w:tc>
      </w:tr>
      <w:tr w:rsidR="004246E1" w:rsidRPr="00541AED" w14:paraId="2D40622C" w14:textId="77777777" w:rsidTr="00E97EF5">
        <w:trPr>
          <w:cantSplit/>
          <w:trHeight w:val="1118"/>
        </w:trPr>
        <w:tc>
          <w:tcPr>
            <w:tcW w:w="2411" w:type="dxa"/>
            <w:vMerge/>
            <w:vAlign w:val="center"/>
          </w:tcPr>
          <w:p w14:paraId="6F5A6605" w14:textId="0713D3ED" w:rsidR="004246E1" w:rsidRPr="00541AED" w:rsidRDefault="004246E1" w:rsidP="005638CE">
            <w:pPr>
              <w:rPr>
                <w:rFonts w:ascii="Aptos" w:hAnsi="Aptos" w:cs="Helvetica"/>
                <w:color w:val="333333"/>
              </w:rPr>
            </w:pPr>
          </w:p>
        </w:tc>
        <w:tc>
          <w:tcPr>
            <w:tcW w:w="4677" w:type="dxa"/>
            <w:vMerge/>
            <w:vAlign w:val="center"/>
          </w:tcPr>
          <w:p w14:paraId="7A08C5EC" w14:textId="59E25A05" w:rsidR="004246E1" w:rsidRPr="00541AED" w:rsidRDefault="004246E1" w:rsidP="005638CE">
            <w:pPr>
              <w:pStyle w:val="ListParagraph"/>
              <w:numPr>
                <w:ilvl w:val="0"/>
                <w:numId w:val="6"/>
              </w:numPr>
              <w:rPr>
                <w:rFonts w:ascii="Aptos" w:hAnsi="Aptos"/>
              </w:rPr>
            </w:pPr>
          </w:p>
        </w:tc>
        <w:tc>
          <w:tcPr>
            <w:tcW w:w="6237" w:type="dxa"/>
            <w:vAlign w:val="center"/>
          </w:tcPr>
          <w:p w14:paraId="0DADB47C" w14:textId="43AB04F4" w:rsidR="004246E1" w:rsidRPr="00541AED" w:rsidRDefault="004246E1" w:rsidP="005638CE">
            <w:pPr>
              <w:pStyle w:val="ListParagraph"/>
              <w:numPr>
                <w:ilvl w:val="0"/>
                <w:numId w:val="6"/>
              </w:numPr>
              <w:rPr>
                <w:rFonts w:ascii="Aptos" w:hAnsi="Aptos"/>
              </w:rPr>
            </w:pPr>
            <w:r w:rsidRPr="00541AED">
              <w:rPr>
                <w:rFonts w:ascii="Aptos" w:hAnsi="Aptos"/>
              </w:rPr>
              <w:t>Corrected the spelling of ‘haemopoietic’ in the medical condition name and exclusion criteria.</w:t>
            </w:r>
          </w:p>
          <w:p w14:paraId="3D9DF588" w14:textId="12E9DB56" w:rsidR="004246E1" w:rsidRPr="00541AED" w:rsidRDefault="004246E1" w:rsidP="005638CE">
            <w:pPr>
              <w:pStyle w:val="ListParagraph"/>
              <w:numPr>
                <w:ilvl w:val="0"/>
                <w:numId w:val="6"/>
              </w:numPr>
              <w:rPr>
                <w:rFonts w:ascii="Aptos" w:hAnsi="Aptos"/>
              </w:rPr>
            </w:pPr>
            <w:r w:rsidRPr="00541AED">
              <w:rPr>
                <w:rFonts w:ascii="Aptos" w:hAnsi="Aptos"/>
              </w:rPr>
              <w:t>Change to conditions for additional dose clarifying that the clinician should list the patient’s current IgG level in the comment box.</w:t>
            </w:r>
          </w:p>
        </w:tc>
        <w:tc>
          <w:tcPr>
            <w:tcW w:w="1215" w:type="dxa"/>
            <w:vAlign w:val="center"/>
          </w:tcPr>
          <w:p w14:paraId="6FE1338D" w14:textId="42F360D0" w:rsidR="004246E1" w:rsidRPr="00541AED" w:rsidRDefault="004246E1" w:rsidP="005638CE">
            <w:pPr>
              <w:rPr>
                <w:rFonts w:ascii="Aptos" w:hAnsi="Aptos"/>
              </w:rPr>
            </w:pPr>
            <w:r w:rsidRPr="00541AED">
              <w:rPr>
                <w:rFonts w:ascii="Aptos" w:hAnsi="Aptos"/>
              </w:rPr>
              <w:t>December 2024</w:t>
            </w:r>
          </w:p>
        </w:tc>
        <w:tc>
          <w:tcPr>
            <w:tcW w:w="1126" w:type="dxa"/>
            <w:vAlign w:val="center"/>
          </w:tcPr>
          <w:p w14:paraId="2D839D90" w14:textId="2504FDF5" w:rsidR="004246E1" w:rsidRPr="00541AED" w:rsidRDefault="004246E1" w:rsidP="005638CE">
            <w:pPr>
              <w:rPr>
                <w:rFonts w:ascii="Aptos" w:hAnsi="Aptos"/>
              </w:rPr>
            </w:pPr>
            <w:r w:rsidRPr="00541AED">
              <w:rPr>
                <w:rFonts w:ascii="Aptos" w:hAnsi="Aptos"/>
              </w:rPr>
              <w:t>3.5</w:t>
            </w:r>
          </w:p>
        </w:tc>
      </w:tr>
      <w:tr w:rsidR="004246E1" w:rsidRPr="00541AED" w14:paraId="55D30740" w14:textId="77777777" w:rsidTr="00E97EF5">
        <w:trPr>
          <w:cantSplit/>
        </w:trPr>
        <w:tc>
          <w:tcPr>
            <w:tcW w:w="2411" w:type="dxa"/>
            <w:vMerge/>
            <w:vAlign w:val="center"/>
          </w:tcPr>
          <w:p w14:paraId="6AD05954" w14:textId="77777777" w:rsidR="004246E1" w:rsidRPr="00541AED" w:rsidRDefault="004246E1" w:rsidP="005638CE">
            <w:pPr>
              <w:rPr>
                <w:rFonts w:ascii="Aptos" w:hAnsi="Aptos" w:cs="Helvetica"/>
                <w:color w:val="333333"/>
              </w:rPr>
            </w:pPr>
          </w:p>
        </w:tc>
        <w:tc>
          <w:tcPr>
            <w:tcW w:w="4677" w:type="dxa"/>
            <w:vMerge/>
            <w:vAlign w:val="center"/>
          </w:tcPr>
          <w:p w14:paraId="55FFDE88" w14:textId="77777777" w:rsidR="004246E1" w:rsidRPr="00541AED" w:rsidRDefault="004246E1" w:rsidP="005638CE">
            <w:pPr>
              <w:pStyle w:val="ListParagraph"/>
              <w:numPr>
                <w:ilvl w:val="0"/>
                <w:numId w:val="6"/>
              </w:numPr>
              <w:rPr>
                <w:rFonts w:ascii="Aptos" w:hAnsi="Aptos"/>
              </w:rPr>
            </w:pPr>
          </w:p>
        </w:tc>
        <w:tc>
          <w:tcPr>
            <w:tcW w:w="6237" w:type="dxa"/>
            <w:vAlign w:val="center"/>
          </w:tcPr>
          <w:p w14:paraId="383DFCDB" w14:textId="77777777" w:rsidR="004246E1" w:rsidRPr="00541AED" w:rsidRDefault="004246E1" w:rsidP="005638CE">
            <w:pPr>
              <w:pStyle w:val="ListParagraph"/>
              <w:numPr>
                <w:ilvl w:val="0"/>
                <w:numId w:val="6"/>
              </w:numPr>
              <w:rPr>
                <w:rFonts w:ascii="Aptos" w:hAnsi="Aptos"/>
              </w:rPr>
            </w:pPr>
            <w:r w:rsidRPr="00541AED">
              <w:rPr>
                <w:rFonts w:ascii="Aptos" w:hAnsi="Aptos"/>
              </w:rPr>
              <w:t>Change in clinical and authoriser instructions to allow a higher maintenance dose (up to 2g/kg/4 weeks) for chronic disseminated enterovirus infection.</w:t>
            </w:r>
          </w:p>
          <w:p w14:paraId="5408DA5A" w14:textId="036A837E" w:rsidR="004246E1" w:rsidRPr="00541AED" w:rsidRDefault="004246E1" w:rsidP="005638CE">
            <w:pPr>
              <w:pStyle w:val="ListParagraph"/>
              <w:numPr>
                <w:ilvl w:val="0"/>
                <w:numId w:val="6"/>
              </w:numPr>
              <w:tabs>
                <w:tab w:val="left" w:pos="902"/>
              </w:tabs>
              <w:rPr>
                <w:rFonts w:ascii="Aptos" w:hAnsi="Aptos"/>
              </w:rPr>
            </w:pPr>
            <w:r w:rsidRPr="00541AED">
              <w:rPr>
                <w:rFonts w:ascii="Aptos" w:hAnsi="Aptos"/>
              </w:rPr>
              <w:t>Inclusion of fields to allow entry of IgG levels under the evidence item for “serum IgG greater than 4g/L … and at least one life-threatening infection in the last 12 months”.</w:t>
            </w:r>
          </w:p>
        </w:tc>
        <w:tc>
          <w:tcPr>
            <w:tcW w:w="1215" w:type="dxa"/>
            <w:vAlign w:val="center"/>
          </w:tcPr>
          <w:p w14:paraId="72AD8B74" w14:textId="13879080" w:rsidR="004246E1" w:rsidRPr="00541AED" w:rsidRDefault="004246E1" w:rsidP="005638CE">
            <w:pPr>
              <w:rPr>
                <w:rFonts w:ascii="Aptos" w:hAnsi="Aptos"/>
              </w:rPr>
            </w:pPr>
            <w:r w:rsidRPr="00541AED">
              <w:rPr>
                <w:rFonts w:ascii="Aptos" w:hAnsi="Aptos"/>
              </w:rPr>
              <w:t>November 2023</w:t>
            </w:r>
          </w:p>
        </w:tc>
        <w:tc>
          <w:tcPr>
            <w:tcW w:w="1126" w:type="dxa"/>
            <w:vAlign w:val="center"/>
          </w:tcPr>
          <w:p w14:paraId="06CBDC67" w14:textId="52BF46A8" w:rsidR="004246E1" w:rsidRPr="00541AED" w:rsidRDefault="004246E1" w:rsidP="005638CE">
            <w:pPr>
              <w:rPr>
                <w:rFonts w:ascii="Aptos" w:hAnsi="Aptos"/>
              </w:rPr>
            </w:pPr>
            <w:r w:rsidRPr="00541AED">
              <w:rPr>
                <w:rFonts w:ascii="Aptos" w:hAnsi="Aptos"/>
              </w:rPr>
              <w:t>3.4</w:t>
            </w:r>
          </w:p>
        </w:tc>
      </w:tr>
      <w:tr w:rsidR="004246E1" w:rsidRPr="00541AED" w14:paraId="4C4BA8E7" w14:textId="77777777" w:rsidTr="00E97EF5">
        <w:trPr>
          <w:cantSplit/>
        </w:trPr>
        <w:tc>
          <w:tcPr>
            <w:tcW w:w="2411" w:type="dxa"/>
            <w:vMerge/>
            <w:vAlign w:val="center"/>
          </w:tcPr>
          <w:p w14:paraId="61E46EB5" w14:textId="563854FD" w:rsidR="004246E1" w:rsidRPr="00541AED" w:rsidRDefault="004246E1" w:rsidP="005638CE">
            <w:pPr>
              <w:rPr>
                <w:rFonts w:ascii="Aptos" w:hAnsi="Aptos" w:cs="Helvetica"/>
                <w:color w:val="333333"/>
              </w:rPr>
            </w:pPr>
          </w:p>
        </w:tc>
        <w:tc>
          <w:tcPr>
            <w:tcW w:w="4677" w:type="dxa"/>
            <w:vMerge/>
            <w:vAlign w:val="center"/>
          </w:tcPr>
          <w:p w14:paraId="1377EFAC" w14:textId="1B2C7512" w:rsidR="004246E1" w:rsidRPr="00541AED" w:rsidRDefault="004246E1" w:rsidP="005638CE">
            <w:pPr>
              <w:pStyle w:val="ListParagraph"/>
              <w:numPr>
                <w:ilvl w:val="0"/>
                <w:numId w:val="6"/>
              </w:numPr>
              <w:rPr>
                <w:rFonts w:ascii="Aptos" w:hAnsi="Aptos"/>
              </w:rPr>
            </w:pPr>
          </w:p>
        </w:tc>
        <w:tc>
          <w:tcPr>
            <w:tcW w:w="6237" w:type="dxa"/>
            <w:vAlign w:val="center"/>
          </w:tcPr>
          <w:p w14:paraId="62A81023" w14:textId="6DCA3141" w:rsidR="004246E1" w:rsidRPr="00541AED" w:rsidRDefault="004246E1" w:rsidP="005638CE">
            <w:pPr>
              <w:pStyle w:val="ListParagraph"/>
              <w:numPr>
                <w:ilvl w:val="0"/>
                <w:numId w:val="6"/>
              </w:numPr>
              <w:tabs>
                <w:tab w:val="left" w:pos="902"/>
              </w:tabs>
              <w:rPr>
                <w:rFonts w:ascii="Aptos" w:hAnsi="Aptos"/>
              </w:rPr>
            </w:pPr>
            <w:r w:rsidRPr="00541AED">
              <w:rPr>
                <w:rFonts w:ascii="Aptos" w:hAnsi="Aptos"/>
              </w:rPr>
              <w:t>The trial cessation criterion wording in review criteria has been updated to clarify the need for it to be completed.</w:t>
            </w:r>
          </w:p>
          <w:p w14:paraId="6497C499" w14:textId="17BF9EAA" w:rsidR="004246E1" w:rsidRPr="00541AED" w:rsidRDefault="004246E1" w:rsidP="005638CE">
            <w:pPr>
              <w:pStyle w:val="ListParagraph"/>
              <w:numPr>
                <w:ilvl w:val="0"/>
                <w:numId w:val="6"/>
              </w:numPr>
              <w:tabs>
                <w:tab w:val="left" w:pos="902"/>
              </w:tabs>
              <w:rPr>
                <w:rFonts w:ascii="Aptos" w:hAnsi="Aptos"/>
              </w:rPr>
            </w:pPr>
            <w:r w:rsidRPr="00541AED">
              <w:rPr>
                <w:rFonts w:ascii="Aptos" w:hAnsi="Aptos"/>
              </w:rPr>
              <w:t xml:space="preserve">Where more than one immunoglobulin is tested on the same day, the date of test is now only required for the first immunoglobulin level. </w:t>
            </w:r>
          </w:p>
          <w:p w14:paraId="52CB1B3A" w14:textId="677D708F" w:rsidR="004246E1" w:rsidRPr="00541AED" w:rsidRDefault="004246E1" w:rsidP="005638CE">
            <w:pPr>
              <w:pStyle w:val="ListParagraph"/>
              <w:numPr>
                <w:ilvl w:val="0"/>
                <w:numId w:val="6"/>
              </w:numPr>
              <w:tabs>
                <w:tab w:val="left" w:pos="902"/>
              </w:tabs>
              <w:rPr>
                <w:rFonts w:ascii="Aptos" w:hAnsi="Aptos"/>
              </w:rPr>
            </w:pPr>
            <w:r w:rsidRPr="00541AED">
              <w:rPr>
                <w:rFonts w:ascii="Aptos" w:hAnsi="Aptos"/>
              </w:rPr>
              <w:t>The interpretation of results values for all Ig levels now include provision to specify when results are above normal range.</w:t>
            </w:r>
          </w:p>
          <w:p w14:paraId="7B324BC2" w14:textId="52D7E4FF" w:rsidR="004246E1" w:rsidRPr="00541AED" w:rsidRDefault="004246E1" w:rsidP="005638CE">
            <w:pPr>
              <w:pStyle w:val="ListParagraph"/>
              <w:numPr>
                <w:ilvl w:val="0"/>
                <w:numId w:val="6"/>
              </w:numPr>
              <w:rPr>
                <w:rFonts w:ascii="Aptos" w:hAnsi="Aptos"/>
              </w:rPr>
            </w:pPr>
            <w:r w:rsidRPr="00541AED">
              <w:rPr>
                <w:rFonts w:ascii="Aptos" w:hAnsi="Aptos"/>
              </w:rPr>
              <w:t>A bibliography link has been corrected.</w:t>
            </w:r>
          </w:p>
        </w:tc>
        <w:tc>
          <w:tcPr>
            <w:tcW w:w="1215" w:type="dxa"/>
            <w:vAlign w:val="center"/>
          </w:tcPr>
          <w:p w14:paraId="53914D1B" w14:textId="16F2BECE" w:rsidR="004246E1" w:rsidRPr="00541AED" w:rsidRDefault="004246E1" w:rsidP="005638CE">
            <w:pPr>
              <w:rPr>
                <w:rFonts w:ascii="Aptos" w:hAnsi="Aptos"/>
              </w:rPr>
            </w:pPr>
            <w:r w:rsidRPr="00541AED">
              <w:rPr>
                <w:rFonts w:ascii="Aptos" w:hAnsi="Aptos"/>
              </w:rPr>
              <w:t>March 2020</w:t>
            </w:r>
          </w:p>
        </w:tc>
        <w:tc>
          <w:tcPr>
            <w:tcW w:w="1126" w:type="dxa"/>
            <w:vAlign w:val="center"/>
          </w:tcPr>
          <w:p w14:paraId="0847F9ED" w14:textId="14360E56" w:rsidR="004246E1" w:rsidRPr="00541AED" w:rsidRDefault="004246E1" w:rsidP="005638CE">
            <w:pPr>
              <w:rPr>
                <w:rFonts w:ascii="Aptos" w:hAnsi="Aptos"/>
              </w:rPr>
            </w:pPr>
            <w:r w:rsidRPr="00541AED">
              <w:rPr>
                <w:rFonts w:ascii="Aptos" w:hAnsi="Aptos"/>
              </w:rPr>
              <w:t>3.3</w:t>
            </w:r>
          </w:p>
        </w:tc>
      </w:tr>
      <w:tr w:rsidR="004246E1" w:rsidRPr="00541AED" w14:paraId="2FC7FC12" w14:textId="77777777" w:rsidTr="00E97EF5">
        <w:trPr>
          <w:cantSplit/>
        </w:trPr>
        <w:tc>
          <w:tcPr>
            <w:tcW w:w="2411" w:type="dxa"/>
            <w:vMerge/>
            <w:vAlign w:val="center"/>
          </w:tcPr>
          <w:p w14:paraId="3091BC0A" w14:textId="5121FBB8" w:rsidR="004246E1" w:rsidRPr="00541AED" w:rsidRDefault="004246E1" w:rsidP="005638CE">
            <w:pPr>
              <w:rPr>
                <w:rFonts w:ascii="Aptos" w:hAnsi="Aptos" w:cs="Helvetica"/>
                <w:color w:val="333333"/>
              </w:rPr>
            </w:pPr>
          </w:p>
        </w:tc>
        <w:tc>
          <w:tcPr>
            <w:tcW w:w="4677" w:type="dxa"/>
            <w:vMerge/>
            <w:vAlign w:val="center"/>
          </w:tcPr>
          <w:p w14:paraId="61E791B0" w14:textId="3A546791" w:rsidR="004246E1" w:rsidRPr="00541AED" w:rsidRDefault="004246E1" w:rsidP="005638CE">
            <w:pPr>
              <w:pStyle w:val="ListParagraph"/>
              <w:numPr>
                <w:ilvl w:val="0"/>
                <w:numId w:val="6"/>
              </w:numPr>
              <w:rPr>
                <w:rFonts w:ascii="Aptos" w:hAnsi="Aptos"/>
              </w:rPr>
            </w:pPr>
          </w:p>
        </w:tc>
        <w:tc>
          <w:tcPr>
            <w:tcW w:w="6237" w:type="dxa"/>
            <w:vAlign w:val="center"/>
          </w:tcPr>
          <w:p w14:paraId="4CA4B0CA" w14:textId="58D8035D" w:rsidR="004246E1" w:rsidRPr="00541AED" w:rsidRDefault="004246E1" w:rsidP="005638CE">
            <w:pPr>
              <w:pStyle w:val="ListParagraph"/>
              <w:numPr>
                <w:ilvl w:val="0"/>
                <w:numId w:val="6"/>
              </w:numPr>
              <w:rPr>
                <w:rFonts w:ascii="Aptos" w:hAnsi="Aptos"/>
              </w:rPr>
            </w:pPr>
            <w:r w:rsidRPr="00541AED">
              <w:rPr>
                <w:rFonts w:ascii="Aptos" w:hAnsi="Aptos"/>
              </w:rPr>
              <w:t>An additional one-off dose is available during the course of the authorisation in the form of intravenous immunoglobulin or subcutaneous immunoglobulin.</w:t>
            </w:r>
          </w:p>
          <w:p w14:paraId="651F1584" w14:textId="0E9C7725" w:rsidR="004246E1" w:rsidRPr="00541AED" w:rsidRDefault="004246E1" w:rsidP="005638CE">
            <w:pPr>
              <w:pStyle w:val="ListParagraph"/>
              <w:numPr>
                <w:ilvl w:val="0"/>
                <w:numId w:val="6"/>
              </w:numPr>
              <w:rPr>
                <w:rFonts w:ascii="Aptos" w:hAnsi="Aptos"/>
              </w:rPr>
            </w:pPr>
            <w:r w:rsidRPr="00541AED">
              <w:rPr>
                <w:rFonts w:ascii="Aptos" w:hAnsi="Aptos"/>
              </w:rPr>
              <w:t>Maintenance dose has been amended to 0.4 – 0.6g/kg every four weeks or more frequently.</w:t>
            </w:r>
          </w:p>
          <w:p w14:paraId="0BCD06C6" w14:textId="1B987C48" w:rsidR="004246E1" w:rsidRPr="00541AED" w:rsidRDefault="004246E1" w:rsidP="005638CE">
            <w:pPr>
              <w:pStyle w:val="ListParagraph"/>
              <w:numPr>
                <w:ilvl w:val="0"/>
                <w:numId w:val="6"/>
              </w:numPr>
              <w:rPr>
                <w:rFonts w:ascii="Aptos" w:hAnsi="Aptos"/>
              </w:rPr>
            </w:pPr>
            <w:r w:rsidRPr="00541AED">
              <w:rPr>
                <w:rFonts w:ascii="Aptos" w:hAnsi="Aptos"/>
              </w:rPr>
              <w:t xml:space="preserve">Separate doses are now available for intravenous and subcutaneous immunoglobulin administration. </w:t>
            </w:r>
          </w:p>
        </w:tc>
        <w:tc>
          <w:tcPr>
            <w:tcW w:w="1215" w:type="dxa"/>
            <w:vAlign w:val="center"/>
          </w:tcPr>
          <w:p w14:paraId="53899ABE" w14:textId="60B260D2" w:rsidR="004246E1" w:rsidRPr="00541AED" w:rsidRDefault="004246E1" w:rsidP="005638CE">
            <w:pPr>
              <w:rPr>
                <w:rFonts w:ascii="Aptos" w:hAnsi="Aptos"/>
              </w:rPr>
            </w:pPr>
            <w:r w:rsidRPr="00541AED">
              <w:rPr>
                <w:rFonts w:ascii="Aptos" w:hAnsi="Aptos"/>
              </w:rPr>
              <w:t>October 2019</w:t>
            </w:r>
          </w:p>
        </w:tc>
        <w:tc>
          <w:tcPr>
            <w:tcW w:w="1126" w:type="dxa"/>
            <w:vAlign w:val="center"/>
          </w:tcPr>
          <w:p w14:paraId="6102496E" w14:textId="3639361A" w:rsidR="004246E1" w:rsidRPr="00541AED" w:rsidRDefault="004246E1" w:rsidP="005638CE">
            <w:pPr>
              <w:rPr>
                <w:rFonts w:ascii="Aptos" w:hAnsi="Aptos"/>
              </w:rPr>
            </w:pPr>
            <w:r w:rsidRPr="00541AED">
              <w:rPr>
                <w:rFonts w:ascii="Aptos" w:hAnsi="Aptos"/>
              </w:rPr>
              <w:t>3.2</w:t>
            </w:r>
          </w:p>
        </w:tc>
      </w:tr>
      <w:tr w:rsidR="004035C3" w:rsidRPr="00541AED" w14:paraId="3992F4E5" w14:textId="77777777" w:rsidTr="00E97EF5">
        <w:trPr>
          <w:cantSplit/>
        </w:trPr>
        <w:tc>
          <w:tcPr>
            <w:tcW w:w="2411" w:type="dxa"/>
            <w:vMerge w:val="restart"/>
            <w:vAlign w:val="center"/>
          </w:tcPr>
          <w:p w14:paraId="5793BC7F" w14:textId="1FA4631F" w:rsidR="004035C3" w:rsidRPr="00541AED" w:rsidRDefault="004035C3" w:rsidP="005638CE">
            <w:pPr>
              <w:rPr>
                <w:rFonts w:ascii="Aptos" w:hAnsi="Aptos" w:cs="Helvetica"/>
                <w:color w:val="333333"/>
              </w:rPr>
            </w:pPr>
            <w:r w:rsidRPr="00541AED">
              <w:rPr>
                <w:rFonts w:ascii="Aptos" w:hAnsi="Aptos" w:cs="Helvetica"/>
                <w:color w:val="333333"/>
              </w:rPr>
              <w:t>Specific antibody deficiency</w:t>
            </w:r>
          </w:p>
        </w:tc>
        <w:tc>
          <w:tcPr>
            <w:tcW w:w="4677" w:type="dxa"/>
            <w:vMerge w:val="restart"/>
            <w:vAlign w:val="center"/>
          </w:tcPr>
          <w:p w14:paraId="637D89D3" w14:textId="66EDFAC2" w:rsidR="004035C3" w:rsidRPr="00541AED" w:rsidRDefault="004035C3" w:rsidP="005638CE">
            <w:pPr>
              <w:pStyle w:val="ListParagraph"/>
              <w:numPr>
                <w:ilvl w:val="0"/>
                <w:numId w:val="6"/>
              </w:numPr>
              <w:rPr>
                <w:rFonts w:ascii="Aptos" w:hAnsi="Aptos"/>
              </w:rPr>
            </w:pPr>
            <w:r w:rsidRPr="00541AED">
              <w:rPr>
                <w:rFonts w:ascii="Aptos" w:hAnsi="Aptos"/>
              </w:rPr>
              <w:t>Prevention of recurrent/persistent infections in individuals with a demonstrated failure to mount protective IgG antibody responses to</w:t>
            </w:r>
            <w:r w:rsidR="005638CE" w:rsidRPr="00541AED">
              <w:rPr>
                <w:rFonts w:ascii="Aptos" w:hAnsi="Aptos"/>
              </w:rPr>
              <w:t xml:space="preserve"> vaccine antigen </w:t>
            </w:r>
            <w:r w:rsidR="005638CE" w:rsidRPr="00541AED">
              <w:rPr>
                <w:rFonts w:ascii="Aptos" w:hAnsi="Aptos"/>
              </w:rPr>
              <w:lastRenderedPageBreak/>
              <w:t>challenge, despite normal total serum IgG levels</w:t>
            </w:r>
            <w:r w:rsidRPr="00541AED">
              <w:rPr>
                <w:rFonts w:ascii="Aptos" w:hAnsi="Aptos"/>
              </w:rPr>
              <w:t xml:space="preserve"> </w:t>
            </w:r>
          </w:p>
          <w:p w14:paraId="621D5B89" w14:textId="77777777" w:rsidR="004035C3" w:rsidRPr="00541AED" w:rsidRDefault="004035C3" w:rsidP="005638CE">
            <w:pPr>
              <w:pStyle w:val="ListParagraph"/>
              <w:numPr>
                <w:ilvl w:val="0"/>
                <w:numId w:val="6"/>
              </w:numPr>
              <w:rPr>
                <w:rFonts w:ascii="Aptos" w:hAnsi="Aptos"/>
              </w:rPr>
            </w:pPr>
            <w:r w:rsidRPr="00541AED">
              <w:rPr>
                <w:rFonts w:ascii="Aptos" w:hAnsi="Aptos"/>
              </w:rPr>
              <w:t>Prevention of infection in individuals with proven specific antibody deficiency who have had a life-threatening infection or a series of serious infections following trial-off Ig therapy</w:t>
            </w:r>
          </w:p>
          <w:p w14:paraId="59B34115" w14:textId="1B4D8897" w:rsidR="004035C3" w:rsidRPr="00541AED" w:rsidRDefault="004035C3" w:rsidP="005638CE">
            <w:pPr>
              <w:pStyle w:val="ListParagraph"/>
              <w:numPr>
                <w:ilvl w:val="0"/>
                <w:numId w:val="6"/>
              </w:numPr>
              <w:rPr>
                <w:rFonts w:ascii="Aptos" w:hAnsi="Aptos"/>
              </w:rPr>
            </w:pPr>
            <w:r w:rsidRPr="00541AED">
              <w:rPr>
                <w:rFonts w:ascii="Aptos" w:hAnsi="Aptos"/>
              </w:rPr>
              <w:t>Prevention of infection in patients currently receiving immunoglobulin therapy for a diagnosis of IgG subclass deficiency provided that a diagnosis of specific antibody deficiency is confirmed following cessation of immunoglobulin therapy</w:t>
            </w:r>
          </w:p>
        </w:tc>
        <w:tc>
          <w:tcPr>
            <w:tcW w:w="6237" w:type="dxa"/>
            <w:vAlign w:val="center"/>
          </w:tcPr>
          <w:p w14:paraId="4CD4A083" w14:textId="7A370BE0" w:rsidR="004035C3" w:rsidRPr="00541AED" w:rsidRDefault="004035C3" w:rsidP="005638CE">
            <w:pPr>
              <w:pStyle w:val="ListParagraph"/>
              <w:numPr>
                <w:ilvl w:val="0"/>
                <w:numId w:val="6"/>
              </w:numPr>
              <w:rPr>
                <w:rFonts w:ascii="Aptos" w:hAnsi="Aptos"/>
              </w:rPr>
            </w:pPr>
            <w:r w:rsidRPr="00541AED">
              <w:rPr>
                <w:rFonts w:ascii="Aptos" w:hAnsi="Aptos"/>
              </w:rPr>
              <w:lastRenderedPageBreak/>
              <w:t>Clarified the maximum dose per period per kilogram</w:t>
            </w:r>
            <w:r w:rsidR="00830048">
              <w:rPr>
                <w:rFonts w:ascii="Aptos" w:hAnsi="Aptos"/>
              </w:rPr>
              <w:t>.</w:t>
            </w:r>
          </w:p>
        </w:tc>
        <w:tc>
          <w:tcPr>
            <w:tcW w:w="1215" w:type="dxa"/>
            <w:vAlign w:val="center"/>
          </w:tcPr>
          <w:p w14:paraId="141EB249" w14:textId="54647B28" w:rsidR="004035C3" w:rsidRPr="00541AED" w:rsidRDefault="004035C3" w:rsidP="005638CE">
            <w:pPr>
              <w:rPr>
                <w:rFonts w:ascii="Aptos" w:hAnsi="Aptos"/>
              </w:rPr>
            </w:pPr>
            <w:r w:rsidRPr="00541AED">
              <w:rPr>
                <w:rFonts w:ascii="Aptos" w:hAnsi="Aptos"/>
              </w:rPr>
              <w:t>December 2024</w:t>
            </w:r>
          </w:p>
        </w:tc>
        <w:tc>
          <w:tcPr>
            <w:tcW w:w="1126" w:type="dxa"/>
            <w:vAlign w:val="center"/>
          </w:tcPr>
          <w:p w14:paraId="78AA552F" w14:textId="11BEE301" w:rsidR="004035C3" w:rsidRPr="00541AED" w:rsidRDefault="004035C3" w:rsidP="005638CE">
            <w:pPr>
              <w:rPr>
                <w:rFonts w:ascii="Aptos" w:hAnsi="Aptos"/>
              </w:rPr>
            </w:pPr>
            <w:r w:rsidRPr="00541AED">
              <w:rPr>
                <w:rFonts w:ascii="Aptos" w:hAnsi="Aptos"/>
              </w:rPr>
              <w:t>3.3</w:t>
            </w:r>
          </w:p>
        </w:tc>
      </w:tr>
      <w:tr w:rsidR="004035C3" w:rsidRPr="00541AED" w14:paraId="58174094" w14:textId="77777777" w:rsidTr="00E97EF5">
        <w:trPr>
          <w:cantSplit/>
        </w:trPr>
        <w:tc>
          <w:tcPr>
            <w:tcW w:w="2411" w:type="dxa"/>
            <w:vMerge/>
            <w:vAlign w:val="center"/>
          </w:tcPr>
          <w:p w14:paraId="1FB33F8F" w14:textId="77777777" w:rsidR="004035C3" w:rsidRPr="00541AED" w:rsidRDefault="004035C3" w:rsidP="005638CE">
            <w:pPr>
              <w:rPr>
                <w:rFonts w:ascii="Aptos" w:hAnsi="Aptos" w:cs="Helvetica"/>
                <w:color w:val="333333"/>
              </w:rPr>
            </w:pPr>
          </w:p>
        </w:tc>
        <w:tc>
          <w:tcPr>
            <w:tcW w:w="4677" w:type="dxa"/>
            <w:vMerge/>
            <w:vAlign w:val="center"/>
          </w:tcPr>
          <w:p w14:paraId="3A9A0433" w14:textId="77777777" w:rsidR="004035C3" w:rsidRPr="00541AED" w:rsidRDefault="004035C3" w:rsidP="005638CE">
            <w:pPr>
              <w:pStyle w:val="ListParagraph"/>
              <w:numPr>
                <w:ilvl w:val="0"/>
                <w:numId w:val="6"/>
              </w:numPr>
              <w:rPr>
                <w:rFonts w:ascii="Aptos" w:hAnsi="Aptos"/>
              </w:rPr>
            </w:pPr>
          </w:p>
        </w:tc>
        <w:tc>
          <w:tcPr>
            <w:tcW w:w="6237" w:type="dxa"/>
            <w:vAlign w:val="center"/>
          </w:tcPr>
          <w:p w14:paraId="419FFBA8" w14:textId="614ED2AB" w:rsidR="004035C3" w:rsidRPr="00541AED" w:rsidRDefault="004035C3" w:rsidP="005638CE">
            <w:pPr>
              <w:pStyle w:val="ListParagraph"/>
              <w:numPr>
                <w:ilvl w:val="0"/>
                <w:numId w:val="6"/>
              </w:numPr>
              <w:rPr>
                <w:rFonts w:ascii="Aptos" w:hAnsi="Aptos"/>
              </w:rPr>
            </w:pPr>
            <w:r w:rsidRPr="00541AED">
              <w:rPr>
                <w:rFonts w:ascii="Aptos" w:hAnsi="Aptos"/>
              </w:rPr>
              <w:t xml:space="preserve">The </w:t>
            </w:r>
            <w:r w:rsidR="0068619C" w:rsidRPr="00541AED">
              <w:rPr>
                <w:rFonts w:ascii="Aptos" w:hAnsi="Aptos"/>
              </w:rPr>
              <w:t>q</w:t>
            </w:r>
            <w:r w:rsidRPr="00541AED">
              <w:rPr>
                <w:rFonts w:ascii="Aptos" w:hAnsi="Aptos"/>
              </w:rPr>
              <w:t xml:space="preserve">ualifying </w:t>
            </w:r>
            <w:r w:rsidR="0068619C" w:rsidRPr="00541AED">
              <w:rPr>
                <w:rFonts w:ascii="Aptos" w:hAnsi="Aptos"/>
              </w:rPr>
              <w:t>p</w:t>
            </w:r>
            <w:r w:rsidRPr="00541AED">
              <w:rPr>
                <w:rFonts w:ascii="Aptos" w:hAnsi="Aptos"/>
              </w:rPr>
              <w:t>reamble has been updated to clarify the eligibility requirements.</w:t>
            </w:r>
          </w:p>
        </w:tc>
        <w:tc>
          <w:tcPr>
            <w:tcW w:w="1215" w:type="dxa"/>
            <w:vAlign w:val="center"/>
          </w:tcPr>
          <w:p w14:paraId="318641C9" w14:textId="47607429" w:rsidR="004035C3" w:rsidRPr="00541AED" w:rsidRDefault="004035C3" w:rsidP="005638CE">
            <w:pPr>
              <w:rPr>
                <w:rFonts w:ascii="Aptos" w:hAnsi="Aptos"/>
              </w:rPr>
            </w:pPr>
            <w:r w:rsidRPr="00541AED">
              <w:rPr>
                <w:rFonts w:ascii="Aptos" w:hAnsi="Aptos"/>
              </w:rPr>
              <w:t>March 2020</w:t>
            </w:r>
          </w:p>
        </w:tc>
        <w:tc>
          <w:tcPr>
            <w:tcW w:w="1126" w:type="dxa"/>
            <w:vAlign w:val="center"/>
          </w:tcPr>
          <w:p w14:paraId="06968920" w14:textId="5A5510C0" w:rsidR="004035C3" w:rsidRPr="00541AED" w:rsidRDefault="004035C3" w:rsidP="005638CE">
            <w:pPr>
              <w:rPr>
                <w:rFonts w:ascii="Aptos" w:hAnsi="Aptos"/>
              </w:rPr>
            </w:pPr>
            <w:r w:rsidRPr="00541AED">
              <w:rPr>
                <w:rFonts w:ascii="Aptos" w:hAnsi="Aptos"/>
              </w:rPr>
              <w:t>3.2</w:t>
            </w:r>
          </w:p>
        </w:tc>
      </w:tr>
      <w:tr w:rsidR="004035C3" w:rsidRPr="00541AED" w14:paraId="361A0623" w14:textId="77777777" w:rsidTr="00E97EF5">
        <w:trPr>
          <w:cantSplit/>
        </w:trPr>
        <w:tc>
          <w:tcPr>
            <w:tcW w:w="2411" w:type="dxa"/>
            <w:vMerge/>
            <w:vAlign w:val="center"/>
          </w:tcPr>
          <w:p w14:paraId="00269E96" w14:textId="699F4EF1" w:rsidR="004035C3" w:rsidRPr="00541AED" w:rsidRDefault="004035C3" w:rsidP="005638CE">
            <w:pPr>
              <w:rPr>
                <w:rFonts w:ascii="Aptos" w:hAnsi="Aptos" w:cs="Helvetica"/>
                <w:color w:val="333333"/>
              </w:rPr>
            </w:pPr>
          </w:p>
        </w:tc>
        <w:tc>
          <w:tcPr>
            <w:tcW w:w="4677" w:type="dxa"/>
            <w:vMerge/>
            <w:vAlign w:val="center"/>
          </w:tcPr>
          <w:p w14:paraId="649E95FD" w14:textId="09CEF444" w:rsidR="004035C3" w:rsidRPr="00541AED" w:rsidRDefault="004035C3" w:rsidP="005638CE">
            <w:pPr>
              <w:pStyle w:val="ListParagraph"/>
              <w:numPr>
                <w:ilvl w:val="0"/>
                <w:numId w:val="6"/>
              </w:numPr>
              <w:rPr>
                <w:rFonts w:ascii="Aptos" w:hAnsi="Aptos"/>
              </w:rPr>
            </w:pPr>
          </w:p>
        </w:tc>
        <w:tc>
          <w:tcPr>
            <w:tcW w:w="6237" w:type="dxa"/>
            <w:vAlign w:val="center"/>
          </w:tcPr>
          <w:p w14:paraId="32ECFF47" w14:textId="54B9B529" w:rsidR="004035C3" w:rsidRPr="00541AED" w:rsidRDefault="004035C3" w:rsidP="005638CE">
            <w:pPr>
              <w:pStyle w:val="ListParagraph"/>
              <w:numPr>
                <w:ilvl w:val="0"/>
                <w:numId w:val="6"/>
              </w:numPr>
              <w:rPr>
                <w:rFonts w:ascii="Aptos" w:hAnsi="Aptos"/>
              </w:rPr>
            </w:pPr>
            <w:r w:rsidRPr="00541AED">
              <w:rPr>
                <w:rFonts w:ascii="Aptos" w:hAnsi="Aptos"/>
              </w:rPr>
              <w:t xml:space="preserve">Separate doses are now available for intravenous and subcutaneous immunoglobulin administration. </w:t>
            </w:r>
          </w:p>
        </w:tc>
        <w:tc>
          <w:tcPr>
            <w:tcW w:w="1215" w:type="dxa"/>
            <w:vAlign w:val="center"/>
          </w:tcPr>
          <w:p w14:paraId="490A0C07" w14:textId="7367BD42" w:rsidR="004035C3" w:rsidRPr="00541AED" w:rsidRDefault="004035C3" w:rsidP="005638CE">
            <w:pPr>
              <w:rPr>
                <w:rFonts w:ascii="Aptos" w:hAnsi="Aptos"/>
              </w:rPr>
            </w:pPr>
            <w:r w:rsidRPr="00541AED">
              <w:rPr>
                <w:rFonts w:ascii="Aptos" w:hAnsi="Aptos"/>
              </w:rPr>
              <w:t>October 2019</w:t>
            </w:r>
          </w:p>
        </w:tc>
        <w:tc>
          <w:tcPr>
            <w:tcW w:w="1126" w:type="dxa"/>
            <w:vAlign w:val="center"/>
          </w:tcPr>
          <w:p w14:paraId="217C3C17" w14:textId="6DD4853C" w:rsidR="004035C3" w:rsidRPr="00541AED" w:rsidRDefault="004035C3" w:rsidP="005638CE">
            <w:pPr>
              <w:rPr>
                <w:rFonts w:ascii="Aptos" w:hAnsi="Aptos"/>
              </w:rPr>
            </w:pPr>
            <w:r w:rsidRPr="00541AED">
              <w:rPr>
                <w:rFonts w:ascii="Aptos" w:hAnsi="Aptos"/>
              </w:rPr>
              <w:t>3.1</w:t>
            </w:r>
          </w:p>
        </w:tc>
      </w:tr>
      <w:tr w:rsidR="004035C3" w:rsidRPr="00541AED" w14:paraId="5450C87F" w14:textId="77777777" w:rsidTr="00E97EF5">
        <w:trPr>
          <w:cantSplit/>
        </w:trPr>
        <w:tc>
          <w:tcPr>
            <w:tcW w:w="2411" w:type="dxa"/>
            <w:vAlign w:val="center"/>
          </w:tcPr>
          <w:p w14:paraId="3FA4F427" w14:textId="1560DF6F" w:rsidR="004035C3" w:rsidRPr="00541AED" w:rsidRDefault="004035C3" w:rsidP="005638CE">
            <w:pPr>
              <w:rPr>
                <w:rFonts w:ascii="Aptos" w:hAnsi="Aptos" w:cs="Helvetica"/>
                <w:color w:val="333333"/>
              </w:rPr>
            </w:pPr>
            <w:r w:rsidRPr="00541AED">
              <w:rPr>
                <w:rFonts w:ascii="Aptos" w:hAnsi="Aptos" w:cs="Helvetica"/>
                <w:color w:val="333333"/>
              </w:rPr>
              <w:t>Toxic epidermal necrolysis (TEN;</w:t>
            </w:r>
            <w:r w:rsidR="0068619C" w:rsidRPr="00541AED">
              <w:rPr>
                <w:rFonts w:ascii="Aptos" w:hAnsi="Aptos" w:cs="Helvetica"/>
                <w:color w:val="333333"/>
              </w:rPr>
              <w:t xml:space="preserve"> </w:t>
            </w:r>
            <w:r w:rsidRPr="00541AED">
              <w:rPr>
                <w:rFonts w:ascii="Aptos" w:hAnsi="Aptos" w:cs="Helvetica"/>
                <w:color w:val="333333"/>
              </w:rPr>
              <w:t>Lyell syndrome)/Stevens-Johnson syndrome (SJS)</w:t>
            </w:r>
          </w:p>
        </w:tc>
        <w:tc>
          <w:tcPr>
            <w:tcW w:w="4677" w:type="dxa"/>
            <w:vAlign w:val="center"/>
          </w:tcPr>
          <w:p w14:paraId="363743E0" w14:textId="7D14D926" w:rsidR="004035C3" w:rsidRPr="00541AED" w:rsidRDefault="004035C3" w:rsidP="005638CE">
            <w:pPr>
              <w:numPr>
                <w:ilvl w:val="0"/>
                <w:numId w:val="6"/>
              </w:numPr>
              <w:spacing w:before="150" w:after="100" w:afterAutospacing="1"/>
              <w:rPr>
                <w:rFonts w:ascii="Aptos" w:eastAsia="Times New Roman" w:hAnsi="Aptos" w:cstheme="minorHAnsi"/>
                <w:color w:val="333333"/>
                <w:lang w:eastAsia="en-AU"/>
              </w:rPr>
            </w:pPr>
            <w:r w:rsidRPr="00541AED">
              <w:rPr>
                <w:rFonts w:ascii="Aptos" w:eastAsia="Times New Roman" w:hAnsi="Aptos" w:cstheme="minorHAnsi"/>
                <w:lang w:eastAsia="en-AU"/>
              </w:rPr>
              <w:t>Toxic epidermal necrolysis (TEN)</w:t>
            </w:r>
            <w:r w:rsidRPr="00541AED">
              <w:rPr>
                <w:rFonts w:ascii="Aptos" w:eastAsia="Times New Roman" w:hAnsi="Aptos" w:cstheme="minorHAnsi"/>
                <w:b/>
                <w:bCs/>
                <w:lang w:eastAsia="en-AU"/>
              </w:rPr>
              <w:t> </w:t>
            </w:r>
            <w:r w:rsidRPr="00541AED">
              <w:rPr>
                <w:rFonts w:ascii="Aptos" w:eastAsia="Times New Roman" w:hAnsi="Aptos" w:cstheme="minorHAnsi"/>
                <w:lang w:eastAsia="en-AU"/>
              </w:rPr>
              <w:t>or Stevens–Johnson syndrome / toxic epidermal necrolysis overlap (SJS/TEN) with rapid evolution and &gt;10% body surface area affected</w:t>
            </w:r>
          </w:p>
        </w:tc>
        <w:tc>
          <w:tcPr>
            <w:tcW w:w="6237" w:type="dxa"/>
            <w:vAlign w:val="center"/>
          </w:tcPr>
          <w:p w14:paraId="0133BBB3" w14:textId="27F4CBE8" w:rsidR="004035C3" w:rsidRPr="00541AED" w:rsidRDefault="004035C3" w:rsidP="005638CE">
            <w:pPr>
              <w:pStyle w:val="ListParagraph"/>
              <w:numPr>
                <w:ilvl w:val="0"/>
                <w:numId w:val="6"/>
              </w:numPr>
              <w:rPr>
                <w:rFonts w:ascii="Aptos" w:hAnsi="Aptos"/>
              </w:rPr>
            </w:pPr>
            <w:r w:rsidRPr="00541AED">
              <w:rPr>
                <w:rFonts w:ascii="Aptos" w:hAnsi="Aptos"/>
              </w:rPr>
              <w:t>Added clarity to the dosage text</w:t>
            </w:r>
            <w:r w:rsidR="0068619C" w:rsidRPr="00541AED">
              <w:rPr>
                <w:rFonts w:ascii="Aptos" w:hAnsi="Aptos"/>
              </w:rPr>
              <w:t>.</w:t>
            </w:r>
          </w:p>
        </w:tc>
        <w:tc>
          <w:tcPr>
            <w:tcW w:w="1215" w:type="dxa"/>
            <w:vAlign w:val="center"/>
          </w:tcPr>
          <w:p w14:paraId="38B474E8" w14:textId="29347C68" w:rsidR="004035C3" w:rsidRPr="00541AED" w:rsidRDefault="004035C3" w:rsidP="005638CE">
            <w:pPr>
              <w:rPr>
                <w:rFonts w:ascii="Aptos" w:hAnsi="Aptos"/>
              </w:rPr>
            </w:pPr>
            <w:r w:rsidRPr="00541AED">
              <w:rPr>
                <w:rFonts w:ascii="Aptos" w:hAnsi="Aptos"/>
              </w:rPr>
              <w:t>December 2024</w:t>
            </w:r>
          </w:p>
        </w:tc>
        <w:tc>
          <w:tcPr>
            <w:tcW w:w="1126" w:type="dxa"/>
            <w:vAlign w:val="center"/>
          </w:tcPr>
          <w:p w14:paraId="7DF5A891" w14:textId="1D8BB7FF" w:rsidR="004035C3" w:rsidRPr="00541AED" w:rsidRDefault="004035C3" w:rsidP="005638CE">
            <w:pPr>
              <w:rPr>
                <w:rFonts w:ascii="Aptos" w:hAnsi="Aptos"/>
              </w:rPr>
            </w:pPr>
            <w:r w:rsidRPr="00541AED">
              <w:rPr>
                <w:rFonts w:ascii="Aptos" w:hAnsi="Aptos"/>
              </w:rPr>
              <w:t>3.1</w:t>
            </w:r>
          </w:p>
        </w:tc>
      </w:tr>
      <w:tr w:rsidR="00611976" w:rsidRPr="00541AED" w14:paraId="2D81FD67" w14:textId="77777777" w:rsidTr="00E97EF5">
        <w:trPr>
          <w:cantSplit/>
        </w:trPr>
        <w:tc>
          <w:tcPr>
            <w:tcW w:w="2411" w:type="dxa"/>
            <w:vAlign w:val="center"/>
          </w:tcPr>
          <w:p w14:paraId="3F840730" w14:textId="642C7363" w:rsidR="00611976" w:rsidRPr="00C827C3" w:rsidRDefault="00611976" w:rsidP="005638CE">
            <w:pPr>
              <w:rPr>
                <w:rFonts w:ascii="Aptos" w:hAnsi="Aptos" w:cs="Helvetica"/>
                <w:color w:val="333333"/>
              </w:rPr>
            </w:pPr>
            <w:r w:rsidRPr="00C827C3">
              <w:rPr>
                <w:rFonts w:ascii="Aptos" w:hAnsi="Aptos" w:cs="Helvetica"/>
                <w:color w:val="333333"/>
              </w:rPr>
              <w:t>Toxic shock syndrome (TSS)</w:t>
            </w:r>
          </w:p>
        </w:tc>
        <w:tc>
          <w:tcPr>
            <w:tcW w:w="4677" w:type="dxa"/>
            <w:vAlign w:val="center"/>
          </w:tcPr>
          <w:p w14:paraId="69D6B07A" w14:textId="77777777" w:rsidR="00611976" w:rsidRPr="00C827C3" w:rsidRDefault="00057BE7" w:rsidP="005638CE">
            <w:pPr>
              <w:numPr>
                <w:ilvl w:val="0"/>
                <w:numId w:val="6"/>
              </w:numPr>
              <w:spacing w:before="150" w:after="100" w:afterAutospacing="1"/>
              <w:rPr>
                <w:rFonts w:ascii="Aptos" w:eastAsia="Times New Roman" w:hAnsi="Aptos" w:cstheme="minorHAnsi"/>
                <w:color w:val="333333"/>
                <w:lang w:eastAsia="en-AU"/>
              </w:rPr>
            </w:pPr>
            <w:r w:rsidRPr="00C827C3">
              <w:rPr>
                <w:rFonts w:ascii="Aptos" w:eastAsia="Times New Roman" w:hAnsi="Aptos" w:cstheme="minorHAnsi"/>
                <w:color w:val="333333"/>
                <w:lang w:eastAsia="en-AU"/>
              </w:rPr>
              <w:t>Early use in streptococcal TSS</w:t>
            </w:r>
          </w:p>
          <w:p w14:paraId="47148844" w14:textId="51768B7F" w:rsidR="00057BE7" w:rsidRPr="00C827C3" w:rsidRDefault="00EA3716" w:rsidP="005638CE">
            <w:pPr>
              <w:numPr>
                <w:ilvl w:val="0"/>
                <w:numId w:val="6"/>
              </w:numPr>
              <w:spacing w:before="150" w:after="100" w:afterAutospacing="1"/>
              <w:rPr>
                <w:rFonts w:ascii="Aptos" w:eastAsia="Times New Roman" w:hAnsi="Aptos" w:cstheme="minorHAnsi"/>
                <w:color w:val="333333"/>
                <w:lang w:eastAsia="en-AU"/>
              </w:rPr>
            </w:pPr>
            <w:r w:rsidRPr="00C827C3">
              <w:rPr>
                <w:rFonts w:ascii="Aptos" w:eastAsia="Times New Roman" w:hAnsi="Aptos" w:cstheme="minorHAnsi"/>
                <w:color w:val="333333"/>
                <w:lang w:eastAsia="en-AU"/>
              </w:rPr>
              <w:t>Staphylococcal TSS where rapid improvement is not obtained with fluid resuscitation, inotropes, surgery, antibiotic therapy and other supportive measures</w:t>
            </w:r>
          </w:p>
        </w:tc>
        <w:tc>
          <w:tcPr>
            <w:tcW w:w="6237" w:type="dxa"/>
            <w:vAlign w:val="center"/>
          </w:tcPr>
          <w:p w14:paraId="4DFFEE41" w14:textId="13360E10" w:rsidR="00611976" w:rsidRPr="00C827C3" w:rsidRDefault="0010342F" w:rsidP="005638CE">
            <w:pPr>
              <w:pStyle w:val="ListParagraph"/>
              <w:numPr>
                <w:ilvl w:val="0"/>
                <w:numId w:val="6"/>
              </w:numPr>
              <w:rPr>
                <w:rFonts w:ascii="Aptos" w:hAnsi="Aptos"/>
              </w:rPr>
            </w:pPr>
            <w:r w:rsidRPr="00C827C3">
              <w:rPr>
                <w:rFonts w:ascii="Aptos" w:hAnsi="Aptos"/>
              </w:rPr>
              <w:t>Remove the qualifying criterion regarding supportive measures from indication 1</w:t>
            </w:r>
            <w:r w:rsidR="00AC77C4" w:rsidRPr="00C827C3">
              <w:rPr>
                <w:rFonts w:ascii="Aptos" w:hAnsi="Aptos"/>
              </w:rPr>
              <w:t>.</w:t>
            </w:r>
          </w:p>
          <w:p w14:paraId="79BC6BA5" w14:textId="1BC63D14" w:rsidR="0010342F" w:rsidRPr="00C827C3" w:rsidRDefault="0010342F" w:rsidP="005638CE">
            <w:pPr>
              <w:pStyle w:val="ListParagraph"/>
              <w:numPr>
                <w:ilvl w:val="0"/>
                <w:numId w:val="6"/>
              </w:numPr>
              <w:rPr>
                <w:rFonts w:ascii="Aptos" w:hAnsi="Aptos"/>
              </w:rPr>
            </w:pPr>
            <w:r w:rsidRPr="00C827C3">
              <w:rPr>
                <w:rFonts w:ascii="Aptos" w:hAnsi="Aptos"/>
              </w:rPr>
              <w:t>Update several links in the bibliography</w:t>
            </w:r>
            <w:r w:rsidR="00AC77C4" w:rsidRPr="00C827C3">
              <w:rPr>
                <w:rFonts w:ascii="Aptos" w:hAnsi="Aptos"/>
              </w:rPr>
              <w:t>.</w:t>
            </w:r>
          </w:p>
        </w:tc>
        <w:tc>
          <w:tcPr>
            <w:tcW w:w="1215" w:type="dxa"/>
            <w:vAlign w:val="center"/>
          </w:tcPr>
          <w:p w14:paraId="4C7A9C11" w14:textId="6845C893" w:rsidR="00611976" w:rsidRPr="00C827C3" w:rsidRDefault="0010342F" w:rsidP="005638CE">
            <w:pPr>
              <w:rPr>
                <w:rFonts w:ascii="Aptos" w:hAnsi="Aptos"/>
              </w:rPr>
            </w:pPr>
            <w:r w:rsidRPr="00C827C3">
              <w:rPr>
                <w:rFonts w:ascii="Aptos" w:hAnsi="Aptos"/>
              </w:rPr>
              <w:t>April 2025</w:t>
            </w:r>
          </w:p>
        </w:tc>
        <w:tc>
          <w:tcPr>
            <w:tcW w:w="1126" w:type="dxa"/>
            <w:vAlign w:val="center"/>
          </w:tcPr>
          <w:p w14:paraId="16C20D39" w14:textId="5494C2FB" w:rsidR="00611976" w:rsidRPr="00C827C3" w:rsidRDefault="00F47E04" w:rsidP="005638CE">
            <w:pPr>
              <w:rPr>
                <w:rFonts w:ascii="Aptos" w:hAnsi="Aptos"/>
              </w:rPr>
            </w:pPr>
            <w:r w:rsidRPr="00C827C3">
              <w:rPr>
                <w:rFonts w:ascii="Aptos" w:hAnsi="Aptos"/>
              </w:rPr>
              <w:t>3.1</w:t>
            </w:r>
          </w:p>
        </w:tc>
      </w:tr>
      <w:tr w:rsidR="004035C3" w:rsidRPr="00541AED" w14:paraId="53F2ECEB" w14:textId="77777777" w:rsidTr="00E97EF5">
        <w:trPr>
          <w:cantSplit/>
        </w:trPr>
        <w:tc>
          <w:tcPr>
            <w:tcW w:w="2411" w:type="dxa"/>
            <w:vAlign w:val="center"/>
          </w:tcPr>
          <w:p w14:paraId="474E5A5D" w14:textId="240E6F26" w:rsidR="004035C3" w:rsidRPr="00541AED" w:rsidRDefault="004035C3" w:rsidP="005638CE">
            <w:pPr>
              <w:rPr>
                <w:rFonts w:ascii="Aptos" w:hAnsi="Aptos" w:cs="Helvetica"/>
                <w:color w:val="333333"/>
              </w:rPr>
            </w:pPr>
            <w:r w:rsidRPr="00541AED">
              <w:rPr>
                <w:rFonts w:ascii="Aptos" w:hAnsi="Aptos" w:cs="Helvetica"/>
                <w:color w:val="333333"/>
              </w:rPr>
              <w:t>Vaccine associated myocarditis and pericarditis (VAMP)</w:t>
            </w:r>
          </w:p>
        </w:tc>
        <w:tc>
          <w:tcPr>
            <w:tcW w:w="4677" w:type="dxa"/>
            <w:vAlign w:val="center"/>
          </w:tcPr>
          <w:p w14:paraId="23ED6D51" w14:textId="197BDE9C" w:rsidR="004035C3" w:rsidRPr="00541AED" w:rsidRDefault="004035C3" w:rsidP="005638CE">
            <w:pPr>
              <w:numPr>
                <w:ilvl w:val="0"/>
                <w:numId w:val="6"/>
              </w:numPr>
              <w:spacing w:before="150" w:after="100" w:afterAutospacing="1"/>
              <w:rPr>
                <w:rFonts w:ascii="Aptos" w:eastAsia="Times New Roman" w:hAnsi="Aptos" w:cstheme="minorHAnsi"/>
                <w:color w:val="333333"/>
                <w:lang w:eastAsia="en-AU"/>
              </w:rPr>
            </w:pPr>
            <w:r w:rsidRPr="00541AED">
              <w:rPr>
                <w:rFonts w:ascii="Aptos" w:eastAsia="Times New Roman" w:hAnsi="Aptos" w:cstheme="minorHAnsi"/>
                <w:color w:val="333333"/>
                <w:lang w:eastAsia="en-AU"/>
              </w:rPr>
              <w:t>Treatment of vaccine associated myocarditis and pericarditis (VAMP)</w:t>
            </w:r>
          </w:p>
        </w:tc>
        <w:tc>
          <w:tcPr>
            <w:tcW w:w="6237" w:type="dxa"/>
            <w:vAlign w:val="center"/>
          </w:tcPr>
          <w:p w14:paraId="6687737F" w14:textId="753F3854" w:rsidR="004035C3" w:rsidRPr="00541AED" w:rsidRDefault="00AE18BC" w:rsidP="005638CE">
            <w:pPr>
              <w:pStyle w:val="ListParagraph"/>
              <w:numPr>
                <w:ilvl w:val="0"/>
                <w:numId w:val="6"/>
              </w:numPr>
              <w:rPr>
                <w:rFonts w:ascii="Aptos" w:hAnsi="Aptos"/>
              </w:rPr>
            </w:pPr>
            <w:r w:rsidRPr="00541AED">
              <w:rPr>
                <w:rFonts w:ascii="Aptos" w:hAnsi="Aptos"/>
              </w:rPr>
              <w:t xml:space="preserve">Updated </w:t>
            </w:r>
            <w:r w:rsidR="004035C3" w:rsidRPr="00541AED">
              <w:rPr>
                <w:rFonts w:ascii="Aptos" w:hAnsi="Aptos"/>
              </w:rPr>
              <w:t>the qualifying criteria to clarify that vaccine should be given within the past 20 days to match the assessment instructions</w:t>
            </w:r>
            <w:r w:rsidR="0068619C" w:rsidRPr="00541AED">
              <w:rPr>
                <w:rFonts w:ascii="Aptos" w:hAnsi="Aptos"/>
              </w:rPr>
              <w:t>.</w:t>
            </w:r>
          </w:p>
        </w:tc>
        <w:tc>
          <w:tcPr>
            <w:tcW w:w="1215" w:type="dxa"/>
            <w:vAlign w:val="center"/>
          </w:tcPr>
          <w:p w14:paraId="7566BC61" w14:textId="1E9614A4" w:rsidR="004035C3" w:rsidRPr="00541AED" w:rsidRDefault="004035C3" w:rsidP="005638CE">
            <w:pPr>
              <w:rPr>
                <w:rFonts w:ascii="Aptos" w:hAnsi="Aptos"/>
              </w:rPr>
            </w:pPr>
            <w:r w:rsidRPr="00541AED">
              <w:rPr>
                <w:rFonts w:ascii="Aptos" w:hAnsi="Aptos"/>
              </w:rPr>
              <w:t>December 2024</w:t>
            </w:r>
          </w:p>
        </w:tc>
        <w:tc>
          <w:tcPr>
            <w:tcW w:w="1126" w:type="dxa"/>
            <w:vAlign w:val="center"/>
          </w:tcPr>
          <w:p w14:paraId="0155CF00" w14:textId="46810A57" w:rsidR="004035C3" w:rsidRPr="00541AED" w:rsidRDefault="004035C3" w:rsidP="005638CE">
            <w:pPr>
              <w:rPr>
                <w:rFonts w:ascii="Aptos" w:hAnsi="Aptos"/>
              </w:rPr>
            </w:pPr>
            <w:r w:rsidRPr="00541AED">
              <w:rPr>
                <w:rFonts w:ascii="Aptos" w:hAnsi="Aptos"/>
              </w:rPr>
              <w:t>3.1</w:t>
            </w:r>
          </w:p>
        </w:tc>
      </w:tr>
    </w:tbl>
    <w:p w14:paraId="1F0DDFA2" w14:textId="77777777" w:rsidR="00E90271" w:rsidRPr="00541AED" w:rsidRDefault="00E90271" w:rsidP="00D96C83">
      <w:pPr>
        <w:rPr>
          <w:rFonts w:ascii="Aptos" w:hAnsi="Aptos"/>
        </w:rPr>
      </w:pPr>
    </w:p>
    <w:sectPr w:rsidR="00E90271" w:rsidRPr="00541AED" w:rsidSect="000D3971">
      <w:headerReference w:type="even" r:id="rId9"/>
      <w:headerReference w:type="default" r:id="rId10"/>
      <w:footerReference w:type="default" r:id="rId11"/>
      <w:headerReference w:type="first" r:id="rId12"/>
      <w:footerReference w:type="first" r:id="rId13"/>
      <w:pgSz w:w="16838" w:h="11906" w:orient="landscape" w:code="9"/>
      <w:pgMar w:top="1440" w:right="1440" w:bottom="1133" w:left="1440" w:header="708" w:footer="708" w:gutter="0"/>
      <w:pgBorders w:offsetFrom="page">
        <w:top w:val="single" w:sz="48" w:space="24" w:color="F79646" w:themeColor="accent6"/>
        <w:left w:val="single" w:sz="48" w:space="24" w:color="F79646" w:themeColor="accent6"/>
        <w:bottom w:val="single" w:sz="48" w:space="24" w:color="F79646" w:themeColor="accent6"/>
        <w:right w:val="single" w:sz="48" w:space="24"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C352" w14:textId="77777777" w:rsidR="00C95C27" w:rsidRDefault="00C95C27" w:rsidP="00856708">
      <w:pPr>
        <w:spacing w:after="0"/>
      </w:pPr>
      <w:r>
        <w:separator/>
      </w:r>
    </w:p>
  </w:endnote>
  <w:endnote w:type="continuationSeparator" w:id="0">
    <w:p w14:paraId="530762BD" w14:textId="77777777" w:rsidR="00C95C27" w:rsidRDefault="00C95C27"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gridCol w:w="3005"/>
      <w:gridCol w:w="3006"/>
    </w:tblGrid>
    <w:tr w:rsidR="00732595" w14:paraId="268B4809" w14:textId="77777777" w:rsidTr="00246FCC">
      <w:tc>
        <w:tcPr>
          <w:tcW w:w="3005" w:type="dxa"/>
        </w:tcPr>
        <w:p w14:paraId="29272754" w14:textId="77777777" w:rsidR="00732595" w:rsidRDefault="00732595" w:rsidP="00732595">
          <w:pPr>
            <w:pStyle w:val="Footer"/>
            <w:tabs>
              <w:tab w:val="clear" w:pos="9026"/>
              <w:tab w:val="right" w:pos="9356"/>
            </w:tabs>
            <w:ind w:right="-284"/>
            <w:rPr>
              <w:sz w:val="20"/>
              <w:szCs w:val="20"/>
            </w:rPr>
          </w:pPr>
          <w:r w:rsidRPr="00C16D7B">
            <w:rPr>
              <w:noProof/>
              <w:sz w:val="20"/>
              <w:szCs w:val="20"/>
              <w:lang w:eastAsia="en-AU"/>
            </w:rPr>
            <w:drawing>
              <wp:inline distT="0" distB="0" distL="0" distR="0" wp14:anchorId="48573B1D" wp14:editId="5583AA11">
                <wp:extent cx="1339851" cy="371475"/>
                <wp:effectExtent l="0" t="0" r="0" b="0"/>
                <wp:docPr id="1701774551" name="Picture 1701774551" descr="\\nba.local\data\Users\83449654\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local\data\Users\83449654\My Documents\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29" cy="386662"/>
                        </a:xfrm>
                        <a:prstGeom prst="rect">
                          <a:avLst/>
                        </a:prstGeom>
                        <a:noFill/>
                        <a:ln>
                          <a:noFill/>
                        </a:ln>
                      </pic:spPr>
                    </pic:pic>
                  </a:graphicData>
                </a:graphic>
              </wp:inline>
            </w:drawing>
          </w:r>
        </w:p>
      </w:tc>
      <w:tc>
        <w:tcPr>
          <w:tcW w:w="3005" w:type="dxa"/>
        </w:tcPr>
        <w:p w14:paraId="5E1C8420" w14:textId="77777777" w:rsidR="00732595" w:rsidRDefault="00732595" w:rsidP="00732595">
          <w:pPr>
            <w:pStyle w:val="Footer"/>
            <w:tabs>
              <w:tab w:val="clear" w:pos="9026"/>
              <w:tab w:val="right" w:pos="9356"/>
            </w:tabs>
            <w:spacing w:before="120" w:after="120"/>
            <w:ind w:right="-284"/>
            <w:rPr>
              <w:sz w:val="20"/>
              <w:szCs w:val="20"/>
            </w:rPr>
          </w:pPr>
          <w:hyperlink r:id="rId2" w:history="1">
            <w:r w:rsidRPr="00961955">
              <w:rPr>
                <w:rStyle w:val="Hyperlink"/>
                <w:rFonts w:ascii="Arial" w:hAnsi="Arial" w:cs="Arial"/>
                <w:sz w:val="28"/>
                <w:szCs w:val="28"/>
              </w:rPr>
              <w:t>www.blood.gov.au</w:t>
            </w:r>
          </w:hyperlink>
        </w:p>
      </w:tc>
      <w:tc>
        <w:tcPr>
          <w:tcW w:w="3005" w:type="dxa"/>
        </w:tcPr>
        <w:p w14:paraId="0705ABD3" w14:textId="1D4553F3" w:rsidR="00732595" w:rsidRPr="00601625" w:rsidRDefault="00732595" w:rsidP="00732595">
          <w:pPr>
            <w:spacing w:before="60"/>
            <w:jc w:val="center"/>
            <w:rPr>
              <w:sz w:val="14"/>
            </w:rPr>
          </w:pPr>
          <w:r w:rsidRPr="00601625">
            <w:rPr>
              <w:sz w:val="14"/>
            </w:rPr>
            <w:t xml:space="preserve">Visit </w:t>
          </w:r>
          <w:hyperlink r:id="rId3" w:history="1">
            <w:r w:rsidR="00562565">
              <w:rPr>
                <w:rStyle w:val="Hyperlink"/>
                <w:sz w:val="14"/>
              </w:rPr>
              <w:t>www.blood.gov.au</w:t>
            </w:r>
          </w:hyperlink>
        </w:p>
        <w:p w14:paraId="7F9D7C37" w14:textId="77777777" w:rsidR="00732595" w:rsidRPr="00601625" w:rsidRDefault="00732595" w:rsidP="00732595">
          <w:pPr>
            <w:jc w:val="center"/>
            <w:rPr>
              <w:sz w:val="14"/>
            </w:rPr>
          </w:pPr>
          <w:r w:rsidRPr="00601625">
            <w:rPr>
              <w:sz w:val="14"/>
            </w:rPr>
            <w:t>for more information about</w:t>
          </w:r>
        </w:p>
        <w:p w14:paraId="57B33D85" w14:textId="77777777" w:rsidR="00732595" w:rsidRPr="00E66B16" w:rsidRDefault="00732595" w:rsidP="00732595">
          <w:pPr>
            <w:jc w:val="center"/>
            <w:rPr>
              <w:sz w:val="18"/>
            </w:rPr>
          </w:pPr>
          <w:r w:rsidRPr="00601625">
            <w:rPr>
              <w:sz w:val="14"/>
            </w:rPr>
            <w:t>Ig Governance and the Criteria</w:t>
          </w:r>
        </w:p>
      </w:tc>
      <w:tc>
        <w:tcPr>
          <w:tcW w:w="3005" w:type="dxa"/>
        </w:tcPr>
        <w:p w14:paraId="124BF4C1" w14:textId="77777777" w:rsidR="00732595" w:rsidRDefault="00732595" w:rsidP="00732595">
          <w:pPr>
            <w:pStyle w:val="Footer"/>
            <w:tabs>
              <w:tab w:val="clear" w:pos="9026"/>
              <w:tab w:val="right" w:pos="9356"/>
            </w:tabs>
            <w:ind w:right="-284"/>
            <w:jc w:val="center"/>
            <w:rPr>
              <w:sz w:val="20"/>
              <w:szCs w:val="20"/>
            </w:rPr>
          </w:pPr>
          <w:r w:rsidRPr="00C16D7B">
            <w:rPr>
              <w:noProof/>
              <w:sz w:val="20"/>
              <w:szCs w:val="20"/>
              <w:lang w:eastAsia="en-AU"/>
            </w:rPr>
            <w:drawing>
              <wp:inline distT="0" distB="0" distL="0" distR="0" wp14:anchorId="3720228C" wp14:editId="66DA1C90">
                <wp:extent cx="1181100" cy="410493"/>
                <wp:effectExtent l="0" t="0" r="0" b="8890"/>
                <wp:docPr id="1227998755" name="Picture 1227998755" descr="G:\Logos\IgGovernance\Ig Governance(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IgGovernance\Ig Governance(300 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832" cy="422912"/>
                        </a:xfrm>
                        <a:prstGeom prst="rect">
                          <a:avLst/>
                        </a:prstGeom>
                        <a:noFill/>
                        <a:ln>
                          <a:noFill/>
                        </a:ln>
                      </pic:spPr>
                    </pic:pic>
                  </a:graphicData>
                </a:graphic>
              </wp:inline>
            </w:drawing>
          </w:r>
        </w:p>
      </w:tc>
      <w:tc>
        <w:tcPr>
          <w:tcW w:w="3006" w:type="dxa"/>
        </w:tcPr>
        <w:p w14:paraId="06F95700" w14:textId="77777777" w:rsidR="00732595" w:rsidRDefault="00732595" w:rsidP="00732595">
          <w:pPr>
            <w:pStyle w:val="Footer"/>
            <w:tabs>
              <w:tab w:val="clear" w:pos="9026"/>
              <w:tab w:val="right" w:pos="9356"/>
            </w:tabs>
            <w:spacing w:before="160"/>
            <w:ind w:right="-284"/>
            <w:jc w:val="center"/>
            <w:rPr>
              <w:sz w:val="20"/>
              <w:szCs w:val="20"/>
            </w:rPr>
          </w:pPr>
          <w:r w:rsidRPr="00C16D7B">
            <w:rPr>
              <w:noProof/>
              <w:sz w:val="20"/>
              <w:szCs w:val="20"/>
              <w:lang w:eastAsia="en-AU"/>
            </w:rPr>
            <w:drawing>
              <wp:inline distT="0" distB="0" distL="0" distR="0" wp14:anchorId="5886B9FF" wp14:editId="439A44E0">
                <wp:extent cx="1538696" cy="231699"/>
                <wp:effectExtent l="0" t="0" r="4445" b="0"/>
                <wp:docPr id="1789678339" name="Picture 1789678339" descr="G:\Logos\NBA\NBA System Logos\BloodStar\BloodStar logo\BLOOD_STAR_GRADIENT_v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NBA\NBA System Logos\BloodStar\BloodStar logo\BLOOD_STAR_GRADIENT_v13-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877" cy="252356"/>
                        </a:xfrm>
                        <a:prstGeom prst="rect">
                          <a:avLst/>
                        </a:prstGeom>
                        <a:noFill/>
                        <a:ln>
                          <a:noFill/>
                        </a:ln>
                      </pic:spPr>
                    </pic:pic>
                  </a:graphicData>
                </a:graphic>
              </wp:inline>
            </w:drawing>
          </w:r>
        </w:p>
      </w:tc>
    </w:tr>
  </w:tbl>
  <w:p w14:paraId="6DDC5162" w14:textId="019C10E5" w:rsidR="00856708" w:rsidRPr="00856708" w:rsidRDefault="00732595" w:rsidP="00856708">
    <w:pPr>
      <w:pStyle w:val="Footer"/>
      <w:tabs>
        <w:tab w:val="clear" w:pos="9026"/>
        <w:tab w:val="right" w:pos="9356"/>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56708" w:rsidRPr="00856708">
      <w:rPr>
        <w:sz w:val="20"/>
        <w:szCs w:val="20"/>
      </w:rPr>
      <w:tab/>
    </w:r>
    <w:r w:rsidR="00856708" w:rsidRPr="00856708">
      <w:rPr>
        <w:sz w:val="20"/>
        <w:szCs w:val="20"/>
      </w:rPr>
      <w:tab/>
    </w:r>
    <w:r>
      <w:rPr>
        <w:sz w:val="20"/>
        <w:szCs w:val="20"/>
      </w:rPr>
      <w:t xml:space="preserve">             </w:t>
    </w:r>
    <w:r w:rsidR="00856708" w:rsidRPr="00856708">
      <w:rPr>
        <w:sz w:val="20"/>
        <w:szCs w:val="20"/>
      </w:rPr>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A33454">
      <w:rPr>
        <w:noProof/>
        <w:sz w:val="20"/>
        <w:szCs w:val="20"/>
      </w:rPr>
      <w:t>5</w:t>
    </w:r>
    <w:r w:rsidR="00856708" w:rsidRPr="008567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BA92" w14:textId="316CF529" w:rsidR="00AE5764" w:rsidRDefault="00AE576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C5A2" w14:textId="77777777" w:rsidR="00C95C27" w:rsidRDefault="00C95C27" w:rsidP="00856708">
      <w:pPr>
        <w:spacing w:after="0"/>
      </w:pPr>
      <w:r>
        <w:separator/>
      </w:r>
    </w:p>
  </w:footnote>
  <w:footnote w:type="continuationSeparator" w:id="0">
    <w:p w14:paraId="73BD9D9D" w14:textId="77777777" w:rsidR="00C95C27" w:rsidRDefault="00C95C27"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4A99" w14:textId="0AAA86EE" w:rsidR="006236DD" w:rsidRDefault="006236DD">
    <w:pPr>
      <w:pStyle w:val="Header"/>
    </w:pPr>
    <w:r>
      <w:rPr>
        <w:noProof/>
      </w:rPr>
      <mc:AlternateContent>
        <mc:Choice Requires="wps">
          <w:drawing>
            <wp:anchor distT="0" distB="0" distL="0" distR="0" simplePos="0" relativeHeight="251659264" behindDoc="0" locked="0" layoutInCell="1" allowOverlap="1" wp14:anchorId="4B07159A" wp14:editId="3A3BDA11">
              <wp:simplePos x="635" y="635"/>
              <wp:positionH relativeFrom="column">
                <wp:align>center</wp:align>
              </wp:positionH>
              <wp:positionV relativeFrom="paragraph">
                <wp:posOffset>635</wp:posOffset>
              </wp:positionV>
              <wp:extent cx="443865" cy="443865"/>
              <wp:effectExtent l="0" t="0" r="635" b="1079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86173" w14:textId="03EF243D" w:rsidR="006236DD" w:rsidRPr="006236DD" w:rsidRDefault="006236DD">
                          <w:pPr>
                            <w:rPr>
                              <w:rFonts w:eastAsia="Calibri"/>
                              <w:color w:val="FF0000"/>
                              <w:sz w:val="24"/>
                              <w:szCs w:val="24"/>
                            </w:rPr>
                          </w:pPr>
                          <w:r w:rsidRPr="006236DD">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07159A"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E86173" w14:textId="03EF243D" w:rsidR="006236DD" w:rsidRPr="006236DD" w:rsidRDefault="006236DD">
                    <w:pPr>
                      <w:rPr>
                        <w:rFonts w:eastAsia="Calibri"/>
                        <w:color w:val="FF0000"/>
                        <w:sz w:val="24"/>
                        <w:szCs w:val="24"/>
                      </w:rPr>
                    </w:pPr>
                    <w:r w:rsidRPr="006236DD">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792" w14:textId="479724AD" w:rsidR="006236DD" w:rsidRDefault="006236DD">
    <w:pPr>
      <w:pStyle w:val="Header"/>
    </w:pPr>
    <w:r>
      <w:rPr>
        <w:noProof/>
      </w:rPr>
      <mc:AlternateContent>
        <mc:Choice Requires="wps">
          <w:drawing>
            <wp:anchor distT="0" distB="0" distL="0" distR="0" simplePos="0" relativeHeight="251660288" behindDoc="0" locked="0" layoutInCell="1" allowOverlap="1" wp14:anchorId="0C66E554" wp14:editId="7B636BE5">
              <wp:simplePos x="914400" y="449580"/>
              <wp:positionH relativeFrom="column">
                <wp:align>center</wp:align>
              </wp:positionH>
              <wp:positionV relativeFrom="paragraph">
                <wp:posOffset>635</wp:posOffset>
              </wp:positionV>
              <wp:extent cx="443865" cy="443865"/>
              <wp:effectExtent l="0" t="0" r="635" b="1079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D7DD5" w14:textId="7D811EC7" w:rsidR="006236DD" w:rsidRPr="006236DD" w:rsidRDefault="006236DD">
                          <w:pPr>
                            <w:rPr>
                              <w:rFonts w:eastAsia="Calibri"/>
                              <w:color w:val="FF0000"/>
                              <w:sz w:val="24"/>
                              <w:szCs w:val="24"/>
                            </w:rPr>
                          </w:pPr>
                          <w:r w:rsidRPr="006236DD">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6E554"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6D7DD5" w14:textId="7D811EC7" w:rsidR="006236DD" w:rsidRPr="006236DD" w:rsidRDefault="006236DD">
                    <w:pPr>
                      <w:rPr>
                        <w:rFonts w:eastAsia="Calibri"/>
                        <w:color w:val="FF0000"/>
                        <w:sz w:val="24"/>
                        <w:szCs w:val="24"/>
                      </w:rPr>
                    </w:pPr>
                    <w:r w:rsidRPr="006236DD">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C1EA" w14:textId="6092BEFA" w:rsidR="006236DD" w:rsidRDefault="006236DD">
    <w:pPr>
      <w:pStyle w:val="Header"/>
    </w:pPr>
    <w:r>
      <w:rPr>
        <w:noProof/>
      </w:rPr>
      <mc:AlternateContent>
        <mc:Choice Requires="wps">
          <w:drawing>
            <wp:anchor distT="0" distB="0" distL="0" distR="0" simplePos="0" relativeHeight="251658240" behindDoc="0" locked="0" layoutInCell="1" allowOverlap="1" wp14:anchorId="78B577D9" wp14:editId="7BF43BCA">
              <wp:simplePos x="915035" y="450215"/>
              <wp:positionH relativeFrom="column">
                <wp:align>center</wp:align>
              </wp:positionH>
              <wp:positionV relativeFrom="paragraph">
                <wp:posOffset>635</wp:posOffset>
              </wp:positionV>
              <wp:extent cx="443865" cy="443865"/>
              <wp:effectExtent l="0" t="0" r="635" b="1079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89E98" w14:textId="0A792808" w:rsidR="006236DD" w:rsidRPr="006236DD" w:rsidRDefault="006236DD">
                          <w:pPr>
                            <w:rPr>
                              <w:rFonts w:eastAsia="Calibri"/>
                              <w:color w:val="FF0000"/>
                              <w:sz w:val="24"/>
                              <w:szCs w:val="24"/>
                            </w:rPr>
                          </w:pPr>
                          <w:r w:rsidRPr="006236DD">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B577D9"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BC89E98" w14:textId="0A792808" w:rsidR="006236DD" w:rsidRPr="006236DD" w:rsidRDefault="006236DD">
                    <w:pPr>
                      <w:rPr>
                        <w:rFonts w:eastAsia="Calibri"/>
                        <w:color w:val="FF0000"/>
                        <w:sz w:val="24"/>
                        <w:szCs w:val="24"/>
                      </w:rPr>
                    </w:pPr>
                    <w:r w:rsidRPr="006236DD">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85EC1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pt;height:12.5pt;visibility:visible;mso-wrap-style:square" o:bullet="t">
        <v:imagedata r:id="rId1" o:title=""/>
      </v:shape>
    </w:pict>
  </w:numPicBullet>
  <w:abstractNum w:abstractNumId="0" w15:restartNumberingAfterBreak="0">
    <w:nsid w:val="02953113"/>
    <w:multiLevelType w:val="hybridMultilevel"/>
    <w:tmpl w:val="0D560C88"/>
    <w:lvl w:ilvl="0" w:tplc="265AB132">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570A5E"/>
    <w:multiLevelType w:val="multilevel"/>
    <w:tmpl w:val="B79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32C4F"/>
    <w:multiLevelType w:val="hybridMultilevel"/>
    <w:tmpl w:val="0E0A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6617847"/>
    <w:multiLevelType w:val="multilevel"/>
    <w:tmpl w:val="2AF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562CB"/>
    <w:multiLevelType w:val="multilevel"/>
    <w:tmpl w:val="9C44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911AD"/>
    <w:multiLevelType w:val="hybridMultilevel"/>
    <w:tmpl w:val="1DE0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6A29EB"/>
    <w:multiLevelType w:val="multilevel"/>
    <w:tmpl w:val="C40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E212A"/>
    <w:multiLevelType w:val="hybridMultilevel"/>
    <w:tmpl w:val="0B6EEF80"/>
    <w:lvl w:ilvl="0" w:tplc="265AB132">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B1231D"/>
    <w:multiLevelType w:val="hybridMultilevel"/>
    <w:tmpl w:val="AC5AA138"/>
    <w:lvl w:ilvl="0" w:tplc="265AB132">
      <w:start w:val="1"/>
      <w:numFmt w:val="bullet"/>
      <w:lvlText w:val=""/>
      <w:lvlPicBulletId w:val="0"/>
      <w:lvlJc w:val="left"/>
      <w:pPr>
        <w:ind w:left="720" w:hanging="360"/>
      </w:pPr>
      <w:rPr>
        <w:rFonts w:ascii="Symbol" w:hAnsi="Symbol" w:hint="default"/>
        <w:color w:val="F79646"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1A62B5"/>
    <w:multiLevelType w:val="hybridMultilevel"/>
    <w:tmpl w:val="25604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C64303"/>
    <w:multiLevelType w:val="multilevel"/>
    <w:tmpl w:val="05B0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62552">
    <w:abstractNumId w:val="4"/>
  </w:num>
  <w:num w:numId="2" w16cid:durableId="858079272">
    <w:abstractNumId w:val="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406927707">
    <w:abstractNumId w:val="6"/>
  </w:num>
  <w:num w:numId="4" w16cid:durableId="124394378">
    <w:abstractNumId w:val="13"/>
  </w:num>
  <w:num w:numId="5" w16cid:durableId="1485704651">
    <w:abstractNumId w:val="3"/>
  </w:num>
  <w:num w:numId="6" w16cid:durableId="1601140521">
    <w:abstractNumId w:val="0"/>
  </w:num>
  <w:num w:numId="7" w16cid:durableId="373390882">
    <w:abstractNumId w:val="8"/>
  </w:num>
  <w:num w:numId="8" w16cid:durableId="91753851">
    <w:abstractNumId w:val="12"/>
  </w:num>
  <w:num w:numId="9" w16cid:durableId="1517421478">
    <w:abstractNumId w:val="2"/>
  </w:num>
  <w:num w:numId="10" w16cid:durableId="177818734">
    <w:abstractNumId w:val="11"/>
  </w:num>
  <w:num w:numId="11" w16cid:durableId="1730112664">
    <w:abstractNumId w:val="10"/>
  </w:num>
  <w:num w:numId="12" w16cid:durableId="1826361931">
    <w:abstractNumId w:val="9"/>
  </w:num>
  <w:num w:numId="13" w16cid:durableId="1118181968">
    <w:abstractNumId w:val="5"/>
  </w:num>
  <w:num w:numId="14" w16cid:durableId="1856462131">
    <w:abstractNumId w:val="14"/>
  </w:num>
  <w:num w:numId="15" w16cid:durableId="443117706">
    <w:abstractNumId w:val="1"/>
  </w:num>
  <w:num w:numId="16" w16cid:durableId="548804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3"/>
    <w:rsid w:val="00036EDC"/>
    <w:rsid w:val="000404D6"/>
    <w:rsid w:val="00040780"/>
    <w:rsid w:val="00055F09"/>
    <w:rsid w:val="00057BE7"/>
    <w:rsid w:val="00061BDB"/>
    <w:rsid w:val="00063B1F"/>
    <w:rsid w:val="00086B54"/>
    <w:rsid w:val="00091A77"/>
    <w:rsid w:val="000C033E"/>
    <w:rsid w:val="000C072D"/>
    <w:rsid w:val="000D3971"/>
    <w:rsid w:val="000D4414"/>
    <w:rsid w:val="000E2B14"/>
    <w:rsid w:val="000F1000"/>
    <w:rsid w:val="0010342F"/>
    <w:rsid w:val="00107FC6"/>
    <w:rsid w:val="001105B6"/>
    <w:rsid w:val="001120A9"/>
    <w:rsid w:val="001209A2"/>
    <w:rsid w:val="0012205C"/>
    <w:rsid w:val="00122186"/>
    <w:rsid w:val="00123568"/>
    <w:rsid w:val="00135971"/>
    <w:rsid w:val="00154837"/>
    <w:rsid w:val="00155A2E"/>
    <w:rsid w:val="0016364D"/>
    <w:rsid w:val="00174FB6"/>
    <w:rsid w:val="001B4724"/>
    <w:rsid w:val="001B7663"/>
    <w:rsid w:val="001E0405"/>
    <w:rsid w:val="001E79F4"/>
    <w:rsid w:val="002002E1"/>
    <w:rsid w:val="0021024D"/>
    <w:rsid w:val="00214525"/>
    <w:rsid w:val="002174D5"/>
    <w:rsid w:val="0022594D"/>
    <w:rsid w:val="00237652"/>
    <w:rsid w:val="00240B2C"/>
    <w:rsid w:val="0024258E"/>
    <w:rsid w:val="002537F2"/>
    <w:rsid w:val="00253DA3"/>
    <w:rsid w:val="00255582"/>
    <w:rsid w:val="002637A4"/>
    <w:rsid w:val="002640F9"/>
    <w:rsid w:val="002641BD"/>
    <w:rsid w:val="002670D0"/>
    <w:rsid w:val="002923AD"/>
    <w:rsid w:val="002925A6"/>
    <w:rsid w:val="00295CD3"/>
    <w:rsid w:val="002A3DBA"/>
    <w:rsid w:val="002B1BCD"/>
    <w:rsid w:val="002B2383"/>
    <w:rsid w:val="002C116E"/>
    <w:rsid w:val="002C1693"/>
    <w:rsid w:val="002D4B3C"/>
    <w:rsid w:val="002E1502"/>
    <w:rsid w:val="002E4B93"/>
    <w:rsid w:val="002F1C34"/>
    <w:rsid w:val="002F77A6"/>
    <w:rsid w:val="003002DA"/>
    <w:rsid w:val="00311532"/>
    <w:rsid w:val="00333157"/>
    <w:rsid w:val="003545F9"/>
    <w:rsid w:val="00365437"/>
    <w:rsid w:val="00371934"/>
    <w:rsid w:val="00374913"/>
    <w:rsid w:val="003816E3"/>
    <w:rsid w:val="00392821"/>
    <w:rsid w:val="003A3F22"/>
    <w:rsid w:val="003C1890"/>
    <w:rsid w:val="003C324C"/>
    <w:rsid w:val="003D27F1"/>
    <w:rsid w:val="0040135D"/>
    <w:rsid w:val="00402FEE"/>
    <w:rsid w:val="004035C3"/>
    <w:rsid w:val="004246E1"/>
    <w:rsid w:val="00433E52"/>
    <w:rsid w:val="00453D50"/>
    <w:rsid w:val="00455B0E"/>
    <w:rsid w:val="00461FD9"/>
    <w:rsid w:val="004634C2"/>
    <w:rsid w:val="00463F12"/>
    <w:rsid w:val="00487A31"/>
    <w:rsid w:val="004908D6"/>
    <w:rsid w:val="0049373B"/>
    <w:rsid w:val="004B4A08"/>
    <w:rsid w:val="004B5F59"/>
    <w:rsid w:val="004C6E5E"/>
    <w:rsid w:val="004C6FEB"/>
    <w:rsid w:val="004C7A40"/>
    <w:rsid w:val="004D4636"/>
    <w:rsid w:val="004D55D6"/>
    <w:rsid w:val="004E528F"/>
    <w:rsid w:val="004E58B4"/>
    <w:rsid w:val="004F476D"/>
    <w:rsid w:val="004F6CBE"/>
    <w:rsid w:val="00504C7B"/>
    <w:rsid w:val="0050673D"/>
    <w:rsid w:val="005167F4"/>
    <w:rsid w:val="00531BE2"/>
    <w:rsid w:val="00532E4C"/>
    <w:rsid w:val="00537CE7"/>
    <w:rsid w:val="00540020"/>
    <w:rsid w:val="005400BF"/>
    <w:rsid w:val="005407FA"/>
    <w:rsid w:val="00541AED"/>
    <w:rsid w:val="00543137"/>
    <w:rsid w:val="005440E9"/>
    <w:rsid w:val="005534EE"/>
    <w:rsid w:val="00555EBA"/>
    <w:rsid w:val="00562565"/>
    <w:rsid w:val="005638CE"/>
    <w:rsid w:val="00582FD3"/>
    <w:rsid w:val="005869C4"/>
    <w:rsid w:val="00587037"/>
    <w:rsid w:val="005A6E4D"/>
    <w:rsid w:val="005B4510"/>
    <w:rsid w:val="005B7B8C"/>
    <w:rsid w:val="005C50A4"/>
    <w:rsid w:val="005D0783"/>
    <w:rsid w:val="005E7491"/>
    <w:rsid w:val="00605575"/>
    <w:rsid w:val="0060788B"/>
    <w:rsid w:val="00611976"/>
    <w:rsid w:val="00612F35"/>
    <w:rsid w:val="0062213B"/>
    <w:rsid w:val="006236DD"/>
    <w:rsid w:val="00637749"/>
    <w:rsid w:val="00642B65"/>
    <w:rsid w:val="00642DC5"/>
    <w:rsid w:val="0066615A"/>
    <w:rsid w:val="00673E2E"/>
    <w:rsid w:val="0068619C"/>
    <w:rsid w:val="006A15AD"/>
    <w:rsid w:val="006A6493"/>
    <w:rsid w:val="006B6EC0"/>
    <w:rsid w:val="006D1118"/>
    <w:rsid w:val="006E4DAB"/>
    <w:rsid w:val="007165A3"/>
    <w:rsid w:val="00721CF4"/>
    <w:rsid w:val="00725C72"/>
    <w:rsid w:val="0073108A"/>
    <w:rsid w:val="00732595"/>
    <w:rsid w:val="007350E3"/>
    <w:rsid w:val="0075585F"/>
    <w:rsid w:val="0075722E"/>
    <w:rsid w:val="00760B0E"/>
    <w:rsid w:val="007714B8"/>
    <w:rsid w:val="00777BB1"/>
    <w:rsid w:val="00781405"/>
    <w:rsid w:val="00787A76"/>
    <w:rsid w:val="00795311"/>
    <w:rsid w:val="007A3EEC"/>
    <w:rsid w:val="007A609F"/>
    <w:rsid w:val="007A7AA1"/>
    <w:rsid w:val="007B1EEE"/>
    <w:rsid w:val="007B63F4"/>
    <w:rsid w:val="007C3095"/>
    <w:rsid w:val="007D29BD"/>
    <w:rsid w:val="007F5DB2"/>
    <w:rsid w:val="0080383D"/>
    <w:rsid w:val="0081299B"/>
    <w:rsid w:val="00816F63"/>
    <w:rsid w:val="00830048"/>
    <w:rsid w:val="00834983"/>
    <w:rsid w:val="00856708"/>
    <w:rsid w:val="00860DB9"/>
    <w:rsid w:val="0086564F"/>
    <w:rsid w:val="00872101"/>
    <w:rsid w:val="008855B9"/>
    <w:rsid w:val="00887E61"/>
    <w:rsid w:val="00893E0A"/>
    <w:rsid w:val="008A67D8"/>
    <w:rsid w:val="008E4BC2"/>
    <w:rsid w:val="008E5868"/>
    <w:rsid w:val="008F0E8D"/>
    <w:rsid w:val="008F0F12"/>
    <w:rsid w:val="008F2FA6"/>
    <w:rsid w:val="008F4ACF"/>
    <w:rsid w:val="008F54C9"/>
    <w:rsid w:val="009140E2"/>
    <w:rsid w:val="00915205"/>
    <w:rsid w:val="00916583"/>
    <w:rsid w:val="00927E4B"/>
    <w:rsid w:val="009430F4"/>
    <w:rsid w:val="009460C4"/>
    <w:rsid w:val="009519CC"/>
    <w:rsid w:val="00951B85"/>
    <w:rsid w:val="009615C1"/>
    <w:rsid w:val="00967D37"/>
    <w:rsid w:val="009734EA"/>
    <w:rsid w:val="00983FE6"/>
    <w:rsid w:val="009B5876"/>
    <w:rsid w:val="009B78A5"/>
    <w:rsid w:val="009C3002"/>
    <w:rsid w:val="009D7A34"/>
    <w:rsid w:val="009E38CC"/>
    <w:rsid w:val="009E5BCD"/>
    <w:rsid w:val="00A01BA4"/>
    <w:rsid w:val="00A1415A"/>
    <w:rsid w:val="00A14750"/>
    <w:rsid w:val="00A33454"/>
    <w:rsid w:val="00A658B4"/>
    <w:rsid w:val="00A70484"/>
    <w:rsid w:val="00A76E44"/>
    <w:rsid w:val="00A90D4F"/>
    <w:rsid w:val="00AA075B"/>
    <w:rsid w:val="00AA1DB8"/>
    <w:rsid w:val="00AC77C4"/>
    <w:rsid w:val="00AC7FBD"/>
    <w:rsid w:val="00AD7E83"/>
    <w:rsid w:val="00AE18BC"/>
    <w:rsid w:val="00AE5764"/>
    <w:rsid w:val="00AF0ABE"/>
    <w:rsid w:val="00AF2C07"/>
    <w:rsid w:val="00AF72C9"/>
    <w:rsid w:val="00B02356"/>
    <w:rsid w:val="00B076D9"/>
    <w:rsid w:val="00B07BFF"/>
    <w:rsid w:val="00B12724"/>
    <w:rsid w:val="00B211F2"/>
    <w:rsid w:val="00B245D4"/>
    <w:rsid w:val="00B24BD5"/>
    <w:rsid w:val="00B24E19"/>
    <w:rsid w:val="00B3726E"/>
    <w:rsid w:val="00B475C9"/>
    <w:rsid w:val="00B53EFD"/>
    <w:rsid w:val="00B60072"/>
    <w:rsid w:val="00B870A9"/>
    <w:rsid w:val="00B93BFB"/>
    <w:rsid w:val="00BA2ED6"/>
    <w:rsid w:val="00BA2F01"/>
    <w:rsid w:val="00BA3097"/>
    <w:rsid w:val="00BB7D40"/>
    <w:rsid w:val="00BD6558"/>
    <w:rsid w:val="00BD6F61"/>
    <w:rsid w:val="00BD7E10"/>
    <w:rsid w:val="00BE3F3B"/>
    <w:rsid w:val="00BE4722"/>
    <w:rsid w:val="00BF119E"/>
    <w:rsid w:val="00BF28C0"/>
    <w:rsid w:val="00C24073"/>
    <w:rsid w:val="00C32458"/>
    <w:rsid w:val="00C3321A"/>
    <w:rsid w:val="00C45EDE"/>
    <w:rsid w:val="00C51F57"/>
    <w:rsid w:val="00C676B8"/>
    <w:rsid w:val="00C74BF6"/>
    <w:rsid w:val="00C80871"/>
    <w:rsid w:val="00C827C3"/>
    <w:rsid w:val="00C83582"/>
    <w:rsid w:val="00C854A9"/>
    <w:rsid w:val="00C95C27"/>
    <w:rsid w:val="00CB13B4"/>
    <w:rsid w:val="00CB2EFB"/>
    <w:rsid w:val="00CB4F2A"/>
    <w:rsid w:val="00CC466D"/>
    <w:rsid w:val="00CC4C9B"/>
    <w:rsid w:val="00CD07ED"/>
    <w:rsid w:val="00CD603E"/>
    <w:rsid w:val="00CE24F0"/>
    <w:rsid w:val="00CE3781"/>
    <w:rsid w:val="00CE3C3A"/>
    <w:rsid w:val="00CE6582"/>
    <w:rsid w:val="00D12C94"/>
    <w:rsid w:val="00D3312A"/>
    <w:rsid w:val="00D552CB"/>
    <w:rsid w:val="00D71089"/>
    <w:rsid w:val="00D911F1"/>
    <w:rsid w:val="00D96C83"/>
    <w:rsid w:val="00DB52B1"/>
    <w:rsid w:val="00DC09C4"/>
    <w:rsid w:val="00DC2153"/>
    <w:rsid w:val="00DC4B27"/>
    <w:rsid w:val="00DC64BE"/>
    <w:rsid w:val="00DF49A8"/>
    <w:rsid w:val="00DF567F"/>
    <w:rsid w:val="00DF5E6F"/>
    <w:rsid w:val="00E02717"/>
    <w:rsid w:val="00E03C75"/>
    <w:rsid w:val="00E041E5"/>
    <w:rsid w:val="00E1083D"/>
    <w:rsid w:val="00E21D8B"/>
    <w:rsid w:val="00E47C4B"/>
    <w:rsid w:val="00E5553E"/>
    <w:rsid w:val="00E6230F"/>
    <w:rsid w:val="00E625B1"/>
    <w:rsid w:val="00E70A78"/>
    <w:rsid w:val="00E765F7"/>
    <w:rsid w:val="00E804AB"/>
    <w:rsid w:val="00E80796"/>
    <w:rsid w:val="00E853CE"/>
    <w:rsid w:val="00E861FD"/>
    <w:rsid w:val="00E87507"/>
    <w:rsid w:val="00E90271"/>
    <w:rsid w:val="00E94B0F"/>
    <w:rsid w:val="00E97EF5"/>
    <w:rsid w:val="00EA3716"/>
    <w:rsid w:val="00EF3F06"/>
    <w:rsid w:val="00F03182"/>
    <w:rsid w:val="00F21E6F"/>
    <w:rsid w:val="00F244FA"/>
    <w:rsid w:val="00F24A01"/>
    <w:rsid w:val="00F24E69"/>
    <w:rsid w:val="00F269C1"/>
    <w:rsid w:val="00F459DE"/>
    <w:rsid w:val="00F47E04"/>
    <w:rsid w:val="00F50165"/>
    <w:rsid w:val="00F53307"/>
    <w:rsid w:val="00F615BD"/>
    <w:rsid w:val="00F64865"/>
    <w:rsid w:val="00F74333"/>
    <w:rsid w:val="00F77063"/>
    <w:rsid w:val="00F82238"/>
    <w:rsid w:val="00F93207"/>
    <w:rsid w:val="00FB46FA"/>
    <w:rsid w:val="00FB6E19"/>
    <w:rsid w:val="00FE4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02DE"/>
  <w15:docId w15:val="{9FE2AF17-AA15-445E-A1B1-0707BBF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2C116E"/>
    <w:rPr>
      <w:sz w:val="16"/>
      <w:szCs w:val="16"/>
    </w:rPr>
  </w:style>
  <w:style w:type="paragraph" w:styleId="CommentText">
    <w:name w:val="annotation text"/>
    <w:basedOn w:val="Normal"/>
    <w:link w:val="CommentTextChar"/>
    <w:uiPriority w:val="99"/>
    <w:unhideWhenUsed/>
    <w:rsid w:val="002C116E"/>
    <w:rPr>
      <w:sz w:val="20"/>
      <w:szCs w:val="20"/>
    </w:rPr>
  </w:style>
  <w:style w:type="character" w:customStyle="1" w:styleId="CommentTextChar">
    <w:name w:val="Comment Text Char"/>
    <w:basedOn w:val="DefaultParagraphFont"/>
    <w:link w:val="CommentText"/>
    <w:uiPriority w:val="99"/>
    <w:rsid w:val="002C116E"/>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C116E"/>
    <w:rPr>
      <w:b/>
      <w:bCs/>
    </w:rPr>
  </w:style>
  <w:style w:type="character" w:customStyle="1" w:styleId="CommentSubjectChar">
    <w:name w:val="Comment Subject Char"/>
    <w:basedOn w:val="CommentTextChar"/>
    <w:link w:val="CommentSubject"/>
    <w:uiPriority w:val="99"/>
    <w:semiHidden/>
    <w:rsid w:val="002C116E"/>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C1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E"/>
    <w:rPr>
      <w:rFonts w:ascii="Tahoma" w:eastAsia="Dotum" w:hAnsi="Tahoma" w:cs="Tahoma"/>
      <w:sz w:val="16"/>
      <w:szCs w:val="16"/>
    </w:rPr>
  </w:style>
  <w:style w:type="paragraph" w:styleId="Revision">
    <w:name w:val="Revision"/>
    <w:hidden/>
    <w:uiPriority w:val="99"/>
    <w:semiHidden/>
    <w:rsid w:val="00927E4B"/>
    <w:pPr>
      <w:spacing w:after="0" w:line="240" w:lineRule="auto"/>
    </w:pPr>
    <w:rPr>
      <w:rFonts w:ascii="Calibri" w:eastAsia="Dotum" w:hAnsi="Calibri" w:cs="Calibri"/>
    </w:rPr>
  </w:style>
  <w:style w:type="character" w:customStyle="1" w:styleId="ListParagraphChar">
    <w:name w:val="List Paragraph Char"/>
    <w:link w:val="ListParagraph"/>
    <w:uiPriority w:val="34"/>
    <w:rsid w:val="00AE5764"/>
    <w:rPr>
      <w:rFonts w:ascii="Calibri" w:eastAsia="Dotum" w:hAnsi="Calibri" w:cs="Calibri"/>
    </w:rPr>
  </w:style>
  <w:style w:type="character" w:styleId="Hyperlink">
    <w:name w:val="Hyperlink"/>
    <w:basedOn w:val="DefaultParagraphFont"/>
    <w:uiPriority w:val="99"/>
    <w:unhideWhenUsed/>
    <w:rsid w:val="00732595"/>
    <w:rPr>
      <w:color w:val="0000FF" w:themeColor="hyperlink"/>
      <w:u w:val="single"/>
    </w:rPr>
  </w:style>
  <w:style w:type="character" w:styleId="Strong">
    <w:name w:val="Strong"/>
    <w:basedOn w:val="DefaultParagraphFont"/>
    <w:uiPriority w:val="22"/>
    <w:qFormat/>
    <w:rsid w:val="00CC466D"/>
    <w:rPr>
      <w:b/>
      <w:bCs/>
    </w:rPr>
  </w:style>
  <w:style w:type="character" w:styleId="FollowedHyperlink">
    <w:name w:val="FollowedHyperlink"/>
    <w:basedOn w:val="DefaultParagraphFont"/>
    <w:uiPriority w:val="99"/>
    <w:semiHidden/>
    <w:unhideWhenUsed/>
    <w:rsid w:val="00B07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5202">
      <w:bodyDiv w:val="1"/>
      <w:marLeft w:val="0"/>
      <w:marRight w:val="0"/>
      <w:marTop w:val="0"/>
      <w:marBottom w:val="0"/>
      <w:divBdr>
        <w:top w:val="none" w:sz="0" w:space="0" w:color="auto"/>
        <w:left w:val="none" w:sz="0" w:space="0" w:color="auto"/>
        <w:bottom w:val="none" w:sz="0" w:space="0" w:color="auto"/>
        <w:right w:val="none" w:sz="0" w:space="0" w:color="auto"/>
      </w:divBdr>
    </w:div>
    <w:div w:id="367872344">
      <w:bodyDiv w:val="1"/>
      <w:marLeft w:val="0"/>
      <w:marRight w:val="0"/>
      <w:marTop w:val="0"/>
      <w:marBottom w:val="0"/>
      <w:divBdr>
        <w:top w:val="none" w:sz="0" w:space="0" w:color="auto"/>
        <w:left w:val="none" w:sz="0" w:space="0" w:color="auto"/>
        <w:bottom w:val="none" w:sz="0" w:space="0" w:color="auto"/>
        <w:right w:val="none" w:sz="0" w:space="0" w:color="auto"/>
      </w:divBdr>
    </w:div>
    <w:div w:id="370229105">
      <w:bodyDiv w:val="1"/>
      <w:marLeft w:val="0"/>
      <w:marRight w:val="0"/>
      <w:marTop w:val="0"/>
      <w:marBottom w:val="0"/>
      <w:divBdr>
        <w:top w:val="none" w:sz="0" w:space="0" w:color="auto"/>
        <w:left w:val="none" w:sz="0" w:space="0" w:color="auto"/>
        <w:bottom w:val="none" w:sz="0" w:space="0" w:color="auto"/>
        <w:right w:val="none" w:sz="0" w:space="0" w:color="auto"/>
      </w:divBdr>
    </w:div>
    <w:div w:id="664169888">
      <w:bodyDiv w:val="1"/>
      <w:marLeft w:val="0"/>
      <w:marRight w:val="0"/>
      <w:marTop w:val="0"/>
      <w:marBottom w:val="0"/>
      <w:divBdr>
        <w:top w:val="none" w:sz="0" w:space="0" w:color="auto"/>
        <w:left w:val="none" w:sz="0" w:space="0" w:color="auto"/>
        <w:bottom w:val="none" w:sz="0" w:space="0" w:color="auto"/>
        <w:right w:val="none" w:sz="0" w:space="0" w:color="auto"/>
      </w:divBdr>
    </w:div>
    <w:div w:id="686516474">
      <w:bodyDiv w:val="1"/>
      <w:marLeft w:val="0"/>
      <w:marRight w:val="0"/>
      <w:marTop w:val="0"/>
      <w:marBottom w:val="0"/>
      <w:divBdr>
        <w:top w:val="none" w:sz="0" w:space="0" w:color="auto"/>
        <w:left w:val="none" w:sz="0" w:space="0" w:color="auto"/>
        <w:bottom w:val="none" w:sz="0" w:space="0" w:color="auto"/>
        <w:right w:val="none" w:sz="0" w:space="0" w:color="auto"/>
      </w:divBdr>
    </w:div>
    <w:div w:id="1427727183">
      <w:bodyDiv w:val="1"/>
      <w:marLeft w:val="0"/>
      <w:marRight w:val="0"/>
      <w:marTop w:val="0"/>
      <w:marBottom w:val="0"/>
      <w:divBdr>
        <w:top w:val="none" w:sz="0" w:space="0" w:color="auto"/>
        <w:left w:val="none" w:sz="0" w:space="0" w:color="auto"/>
        <w:bottom w:val="none" w:sz="0" w:space="0" w:color="auto"/>
        <w:right w:val="none" w:sz="0" w:space="0" w:color="auto"/>
      </w:divBdr>
    </w:div>
    <w:div w:id="1562641041">
      <w:bodyDiv w:val="1"/>
      <w:marLeft w:val="0"/>
      <w:marRight w:val="0"/>
      <w:marTop w:val="0"/>
      <w:marBottom w:val="0"/>
      <w:divBdr>
        <w:top w:val="none" w:sz="0" w:space="0" w:color="auto"/>
        <w:left w:val="none" w:sz="0" w:space="0" w:color="auto"/>
        <w:bottom w:val="none" w:sz="0" w:space="0" w:color="auto"/>
        <w:right w:val="none" w:sz="0" w:space="0" w:color="auto"/>
      </w:divBdr>
    </w:div>
    <w:div w:id="1856113121">
      <w:bodyDiv w:val="1"/>
      <w:marLeft w:val="0"/>
      <w:marRight w:val="0"/>
      <w:marTop w:val="0"/>
      <w:marBottom w:val="0"/>
      <w:divBdr>
        <w:top w:val="none" w:sz="0" w:space="0" w:color="auto"/>
        <w:left w:val="none" w:sz="0" w:space="0" w:color="auto"/>
        <w:bottom w:val="none" w:sz="0" w:space="0" w:color="auto"/>
        <w:right w:val="none" w:sz="0" w:space="0" w:color="auto"/>
      </w:divBdr>
    </w:div>
    <w:div w:id="21056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lood.gov.au/supply-system/governance-immunoglobulin-products" TargetMode="External"/><Relationship Id="rId2" Type="http://schemas.openxmlformats.org/officeDocument/2006/relationships/hyperlink" Target="http://www.blood.gov.au" TargetMode="External"/><Relationship Id="rId1" Type="http://schemas.openxmlformats.org/officeDocument/2006/relationships/image" Target="media/image4.png"/><Relationship Id="rId5" Type="http://schemas.openxmlformats.org/officeDocument/2006/relationships/image" Target="media/image6.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Lyndsay Wall</dc:creator>
  <cp:lastModifiedBy>Mairs, Courtney</cp:lastModifiedBy>
  <cp:revision>51</cp:revision>
  <cp:lastPrinted>2020-02-28T03:11:00Z</cp:lastPrinted>
  <dcterms:created xsi:type="dcterms:W3CDTF">2025-02-10T01:22:00Z</dcterms:created>
  <dcterms:modified xsi:type="dcterms:W3CDTF">2025-04-14T23:48:00Z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2023-11-15T06:41:15Z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bc8dfd28-abef-40fb-b099-e25923a279e1</vt:lpwstr>
  </property>
  <property fmtid="{D5CDD505-2E9C-101B-9397-08002B2CF9AE}" pid="11" name="MSIP_Label_11d3a1ea-a727-4720-a216-7dae13a61c56_ContentBits">
    <vt:lpwstr>1</vt:lpwstr>
  </property>
</Properties>
</file>