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A70E" w14:textId="61081887" w:rsidR="002E1502" w:rsidRPr="00541AED" w:rsidRDefault="00FE427C" w:rsidP="00E94B0F">
      <w:pPr>
        <w:pStyle w:val="Heading1"/>
        <w:rPr>
          <w:rFonts w:ascii="Aptos" w:hAnsi="Aptos"/>
        </w:rPr>
      </w:pPr>
      <w:r w:rsidRPr="00541AED">
        <w:rPr>
          <w:rFonts w:ascii="Aptos" w:hAnsi="Aptos"/>
          <w:noProof/>
          <w:lang w:eastAsia="en-AU"/>
        </w:rPr>
        <mc:AlternateContent>
          <mc:Choice Requires="wps">
            <w:drawing>
              <wp:anchor distT="0" distB="0" distL="114300" distR="114300" simplePos="0" relativeHeight="251659264" behindDoc="0" locked="0" layoutInCell="1" allowOverlap="1" wp14:anchorId="4F82A020" wp14:editId="22A0865B">
                <wp:simplePos x="0" y="0"/>
                <wp:positionH relativeFrom="column">
                  <wp:posOffset>-636905</wp:posOffset>
                </wp:positionH>
                <wp:positionV relativeFrom="paragraph">
                  <wp:posOffset>-589651</wp:posOffset>
                </wp:positionV>
                <wp:extent cx="10239375" cy="18192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0239375" cy="1819275"/>
                        </a:xfrm>
                        <a:prstGeom prst="rect">
                          <a:avLst/>
                        </a:prstGeom>
                        <a:noFill/>
                        <a:ln w="6350">
                          <a:noFill/>
                        </a:ln>
                      </wps:spPr>
                      <wps:txbx>
                        <w:txbxContent>
                          <w:p w14:paraId="001A2DB6" w14:textId="41777FF2" w:rsidR="002E1502" w:rsidRDefault="00C676B8">
                            <w:r>
                              <w:rPr>
                                <w:noProof/>
                                <w:lang w:eastAsia="en-AU"/>
                              </w:rPr>
                              <w:drawing>
                                <wp:inline distT="0" distB="0" distL="0" distR="0" wp14:anchorId="207446D2" wp14:editId="724946C4">
                                  <wp:extent cx="9982200" cy="1694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82200" cy="16941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2A020" id="_x0000_t202" coordsize="21600,21600" o:spt="202" path="m,l,21600r21600,l21600,xe">
                <v:stroke joinstyle="miter"/>
                <v:path gradientshapeok="t" o:connecttype="rect"/>
              </v:shapetype>
              <v:shape id="Text Box 2" o:spid="_x0000_s1026" type="#_x0000_t202" style="position:absolute;margin-left:-50.15pt;margin-top:-46.45pt;width:806.25pt;height:1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avGQIAAC4EAAAOAAAAZHJzL2Uyb0RvYy54bWysU8lu2zAQvRfoPxC815K8JLFgOXATuCgQ&#10;JAGcImeaIi0BFIclaUvu13dIyQvSnopeqBnNcJb3Hhf3XaPIQVhXgy5oNkopEZpDWetdQX+8rb/c&#10;UeI80yVToEVBj8LR++XnT4vW5GIMFahSWIJFtMtbU9DKe5MnieOVaJgbgREagxJswzy6dpeUlrVY&#10;vVHJOE1vkhZsaSxw4Rz+feyDdBnrSym4f5HSCU9UQXE2H08bz204k+WC5TvLTFXzYQz2D1M0rNbY&#10;9FzqkXlG9rb+o1RTcwsOpB9xaBKQsuYi7oDbZOmHbTYVMyLuguA4c4bJ/b+y/PmwMa+W+O4rdEhg&#10;AKQ1Lnf4M+zTSduEL05KMI4QHs+wic4THi6l48l8cjujhGMwu8vmY3SwUHK5b6zz3wQ0JBgFtUhM&#10;xIsdnpzvU08poZ2Gda1UJEdp0hb0ZjJL44VzBIsrjT0u0wbLd9tuWGEL5RE3s9CT7gxf19j8iTn/&#10;yiyyjMugcv0LHlIBNoHBoqQC++tv/0M+go9RSlpUTUHdzz2zghL1XSMt82w6DTKLznR2O0bHXke2&#10;1xG9bx4AhZnhGzE8miHfq5MpLTTvKPBV6Iohpjn2Lqg/mQ++1zI+EC5Wq5iEwjLMP+mN4aF0gDNA&#10;+9a9M2sG/D1y9wwnfbH8Aw19bk/Eau9B1pGjAHCP6oA7ijKyPDygoPprP2ZdnvnyNwAAAP//AwBQ&#10;SwMEFAAGAAgAAAAhABMhvNbjAAAADQEAAA8AAABkcnMvZG93bnJldi54bWxMj01Lw0AQhu+C/2EZ&#10;wVu7m5SWJmZTSqAIoofWXrxNstskuB8xu22jv97pSW/vMA/vPFNsJmvYRY+h905CMhfAtGu86l0r&#10;4fi+m62BhYhOofFOS/jWATbl/V2BufJXt9eXQ2wZlbiQo4QuxiHnPDSdthjmftCOdic/Wow0ji1X&#10;I16p3BqeCrHiFntHFzocdNXp5vNwthJeqt0b7uvUrn9M9fx62g5fx4+llI8P0/YJWNRT/IPhpk/q&#10;UJJT7c9OBWYkzBIhFsRSytIM2A1ZJmkKrKaULVbAy4L//6L8BQAA//8DAFBLAQItABQABgAIAAAA&#10;IQC2gziS/gAAAOEBAAATAAAAAAAAAAAAAAAAAAAAAABbQ29udGVudF9UeXBlc10ueG1sUEsBAi0A&#10;FAAGAAgAAAAhADj9If/WAAAAlAEAAAsAAAAAAAAAAAAAAAAALwEAAF9yZWxzLy5yZWxzUEsBAi0A&#10;FAAGAAgAAAAhAKJ3lq8ZAgAALgQAAA4AAAAAAAAAAAAAAAAALgIAAGRycy9lMm9Eb2MueG1sUEsB&#10;Ai0AFAAGAAgAAAAhABMhvNbjAAAADQEAAA8AAAAAAAAAAAAAAAAAcwQAAGRycy9kb3ducmV2Lnht&#10;bFBLBQYAAAAABAAEAPMAAACDBQAAAAA=&#10;" filled="f" stroked="f" strokeweight=".5pt">
                <v:textbox>
                  <w:txbxContent>
                    <w:p w14:paraId="001A2DB6" w14:textId="41777FF2" w:rsidR="002E1502" w:rsidRDefault="00C676B8">
                      <w:r>
                        <w:rPr>
                          <w:noProof/>
                          <w:lang w:eastAsia="en-AU"/>
                        </w:rPr>
                        <w:drawing>
                          <wp:inline distT="0" distB="0" distL="0" distR="0" wp14:anchorId="207446D2" wp14:editId="724946C4">
                            <wp:extent cx="9982200" cy="16941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82200" cy="1694180"/>
                                    </a:xfrm>
                                    <a:prstGeom prst="rect">
                                      <a:avLst/>
                                    </a:prstGeom>
                                  </pic:spPr>
                                </pic:pic>
                              </a:graphicData>
                            </a:graphic>
                          </wp:inline>
                        </w:drawing>
                      </w:r>
                    </w:p>
                  </w:txbxContent>
                </v:textbox>
              </v:shape>
            </w:pict>
          </mc:Fallback>
        </mc:AlternateContent>
      </w:r>
    </w:p>
    <w:p w14:paraId="4ECA8A39" w14:textId="6C3F45AF" w:rsidR="002E1502" w:rsidRPr="00541AED" w:rsidRDefault="002E1502" w:rsidP="00E94B0F">
      <w:pPr>
        <w:pStyle w:val="Heading1"/>
        <w:rPr>
          <w:rFonts w:ascii="Aptos" w:hAnsi="Aptos"/>
        </w:rPr>
      </w:pPr>
    </w:p>
    <w:p w14:paraId="72772738" w14:textId="182F620C" w:rsidR="002E1502" w:rsidRPr="00541AED" w:rsidRDefault="00FE427C" w:rsidP="00E94B0F">
      <w:pPr>
        <w:pStyle w:val="Heading1"/>
        <w:rPr>
          <w:rFonts w:ascii="Aptos" w:hAnsi="Aptos"/>
        </w:rPr>
      </w:pPr>
      <w:r w:rsidRPr="00541AED">
        <w:rPr>
          <w:rFonts w:ascii="Aptos" w:hAnsi="Aptos"/>
          <w:noProof/>
          <w:lang w:eastAsia="en-AU"/>
        </w:rPr>
        <mc:AlternateContent>
          <mc:Choice Requires="wps">
            <w:drawing>
              <wp:anchor distT="0" distB="0" distL="114300" distR="114300" simplePos="0" relativeHeight="251660288" behindDoc="0" locked="0" layoutInCell="1" allowOverlap="1" wp14:anchorId="585EC113" wp14:editId="697DCBD1">
                <wp:simplePos x="0" y="0"/>
                <wp:positionH relativeFrom="column">
                  <wp:posOffset>-542925</wp:posOffset>
                </wp:positionH>
                <wp:positionV relativeFrom="paragraph">
                  <wp:posOffset>101600</wp:posOffset>
                </wp:positionV>
                <wp:extent cx="9982200"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9982200" cy="647700"/>
                        </a:xfrm>
                        <a:prstGeom prst="rect">
                          <a:avLst/>
                        </a:prstGeom>
                        <a:solidFill>
                          <a:schemeClr val="bg1">
                            <a:lumMod val="75000"/>
                          </a:schemeClr>
                        </a:solidFill>
                        <a:ln w="6350">
                          <a:noFill/>
                        </a:ln>
                      </wps:spPr>
                      <wps:txbx>
                        <w:txbxContent>
                          <w:p w14:paraId="679F6800" w14:textId="18E8886E" w:rsidR="002E1502" w:rsidRPr="00CD603E" w:rsidRDefault="00CD603E" w:rsidP="00CD603E">
                            <w:pPr>
                              <w:spacing w:before="200"/>
                              <w:rPr>
                                <w:b/>
                                <w:color w:val="FFFFFF" w:themeColor="background1"/>
                                <w:sz w:val="40"/>
                              </w:rPr>
                            </w:pPr>
                            <w:r w:rsidRPr="00CD603E">
                              <w:rPr>
                                <w:b/>
                                <w:i/>
                                <w:color w:val="FFFFFF" w:themeColor="background1"/>
                                <w:sz w:val="40"/>
                              </w:rPr>
                              <w:t>Criteria for</w:t>
                            </w:r>
                            <w:r w:rsidR="00EC150F">
                              <w:rPr>
                                <w:b/>
                                <w:i/>
                                <w:color w:val="FFFFFF" w:themeColor="background1"/>
                                <w:sz w:val="40"/>
                              </w:rPr>
                              <w:t xml:space="preserve"> the</w:t>
                            </w:r>
                            <w:r w:rsidRPr="00CD603E">
                              <w:rPr>
                                <w:b/>
                                <w:i/>
                                <w:color w:val="FFFFFF" w:themeColor="background1"/>
                                <w:sz w:val="40"/>
                              </w:rPr>
                              <w:t xml:space="preserve"> clinical use of immunoglobulin in Australia</w:t>
                            </w:r>
                            <w:r w:rsidRPr="00CD603E">
                              <w:rPr>
                                <w:b/>
                                <w:color w:val="FFFFFF" w:themeColor="background1"/>
                                <w:sz w:val="40"/>
                              </w:rPr>
                              <w:t xml:space="preserve"> (</w:t>
                            </w:r>
                            <w:r>
                              <w:rPr>
                                <w:b/>
                                <w:color w:val="FFFFFF" w:themeColor="background1"/>
                                <w:sz w:val="40"/>
                              </w:rPr>
                              <w:t xml:space="preserve">the </w:t>
                            </w:r>
                            <w:r w:rsidRPr="00CD603E">
                              <w:rPr>
                                <w:b/>
                                <w:color w:val="FFFFFF" w:themeColor="background1"/>
                                <w:sz w:val="40"/>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5EC113" id="Text Box 3" o:spid="_x0000_s1027" type="#_x0000_t202" style="position:absolute;margin-left:-42.75pt;margin-top:8pt;width:786pt;height:5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7PIPgIAAH8EAAAOAAAAZHJzL2Uyb0RvYy54bWysVEtv2zAMvg/YfxB0X+xkSdMYcYosRYYB&#10;XVsgHXpWZCkRIIuapMTOfv0oOa92Ow27yKRI8fF9pKd3ba3JXjivwJS038spEYZDpcympD9elp9u&#10;KfGBmYppMKKkB+Hp3ezjh2ljCzGALehKOIJBjC8aW9JtCLbIMs+3oma+B1YYNEpwNQuouk1WOdZg&#10;9Fpngzy/yRpwlXXAhfd4e98Z6SzFl1Lw8CSlF4HokmJtIZ0unet4ZrMpKzaO2a3ixzLYP1RRM2Uw&#10;6TnUPQuM7Jz6I1StuAMPMvQ41BlIqbhIPWA3/fxdN6stsyL1guB4e4bJ/7+w/HG/ss+OhPYLtEhg&#10;BKSxvvB4GftppavjFyslaEcID2fYRBsIx8vJ5HaAXFDC0XYzHI9RxjDZ5bV1PnwVUJMolNQhLQkt&#10;tn/woXM9ucRkHrSqlkrrpMRREAvtyJ4hietNPz3Vu/o7VN3deJSfU6bJie6pgDeRtCENFvh5lKcI&#10;BmKKLrs26H7pO0qhXbdEVVeYrKE6IFQOuinyli8V9vPAfHhmDscGIcBVCE94SA2YC44SJVtwv/52&#10;H/2RTbRS0uAYltT/3DEnKNHfDPI86Q+HcW6TMhyNB6i4a8v62mJ29QIQpD4uneVJjP5Bn0TpoH7F&#10;jZnHrGhihmPukoaTuAjdcuDGcTGfJyecVMvCg1lZHkNHUiJbL+0rc/ZIacBheITTwLLiHbOdb3xp&#10;YL4LIFWiPeLcoXqEH6c88XbcyLhG13ryuvw3Zr8BAAD//wMAUEsDBBQABgAIAAAAIQAsIjqg4QAA&#10;AAsBAAAPAAAAZHJzL2Rvd25yZXYueG1sTI/NasMwEITvhb6D2EIvJZFTamNcyyEEGmih4CS99Lax&#10;FFtEP0ZSEvftuzm1t92dYfabejlZwy4qRO2dgMU8A6Zc56V2vYCv/dusBBYTOonGOyXgR0VYNvd3&#10;NVbSX91WXXapZxTiYoUChpTGivPYDcpinPtROdKOPlhMtIaey4BXCreGP2dZwS1qRx8GHNV6UN1p&#10;d7YCWtzs84B6/aE/2+/3p01rtvlKiMeHafUKLKkp/Znhhk/o0BDTwZ+djMwImJV5TlYSCup0M7yU&#10;BV0ONC3KDHhT8/8dml8AAAD//wMAUEsBAi0AFAAGAAgAAAAhALaDOJL+AAAA4QEAABMAAAAAAAAA&#10;AAAAAAAAAAAAAFtDb250ZW50X1R5cGVzXS54bWxQSwECLQAUAAYACAAAACEAOP0h/9YAAACUAQAA&#10;CwAAAAAAAAAAAAAAAAAvAQAAX3JlbHMvLnJlbHNQSwECLQAUAAYACAAAACEA69OzyD4CAAB/BAAA&#10;DgAAAAAAAAAAAAAAAAAuAgAAZHJzL2Uyb0RvYy54bWxQSwECLQAUAAYACAAAACEALCI6oOEAAAAL&#10;AQAADwAAAAAAAAAAAAAAAACYBAAAZHJzL2Rvd25yZXYueG1sUEsFBgAAAAAEAAQA8wAAAKYFAAAA&#10;AA==&#10;" fillcolor="#bfbfbf [2412]" stroked="f" strokeweight=".5pt">
                <v:textbox>
                  <w:txbxContent>
                    <w:p w14:paraId="679F6800" w14:textId="18E8886E" w:rsidR="002E1502" w:rsidRPr="00CD603E" w:rsidRDefault="00CD603E" w:rsidP="00CD603E">
                      <w:pPr>
                        <w:spacing w:before="200"/>
                        <w:rPr>
                          <w:b/>
                          <w:color w:val="FFFFFF" w:themeColor="background1"/>
                          <w:sz w:val="40"/>
                        </w:rPr>
                      </w:pPr>
                      <w:r w:rsidRPr="00CD603E">
                        <w:rPr>
                          <w:b/>
                          <w:i/>
                          <w:color w:val="FFFFFF" w:themeColor="background1"/>
                          <w:sz w:val="40"/>
                        </w:rPr>
                        <w:t>Criteria for</w:t>
                      </w:r>
                      <w:r w:rsidR="00EC150F">
                        <w:rPr>
                          <w:b/>
                          <w:i/>
                          <w:color w:val="FFFFFF" w:themeColor="background1"/>
                          <w:sz w:val="40"/>
                        </w:rPr>
                        <w:t xml:space="preserve"> the</w:t>
                      </w:r>
                      <w:r w:rsidRPr="00CD603E">
                        <w:rPr>
                          <w:b/>
                          <w:i/>
                          <w:color w:val="FFFFFF" w:themeColor="background1"/>
                          <w:sz w:val="40"/>
                        </w:rPr>
                        <w:t xml:space="preserve"> clinical use of immunoglobulin in Australia</w:t>
                      </w:r>
                      <w:r w:rsidRPr="00CD603E">
                        <w:rPr>
                          <w:b/>
                          <w:color w:val="FFFFFF" w:themeColor="background1"/>
                          <w:sz w:val="40"/>
                        </w:rPr>
                        <w:t xml:space="preserve"> (</w:t>
                      </w:r>
                      <w:r>
                        <w:rPr>
                          <w:b/>
                          <w:color w:val="FFFFFF" w:themeColor="background1"/>
                          <w:sz w:val="40"/>
                        </w:rPr>
                        <w:t xml:space="preserve">the </w:t>
                      </w:r>
                      <w:r w:rsidRPr="00CD603E">
                        <w:rPr>
                          <w:b/>
                          <w:color w:val="FFFFFF" w:themeColor="background1"/>
                          <w:sz w:val="40"/>
                        </w:rPr>
                        <w:t>Criteria)</w:t>
                      </w:r>
                    </w:p>
                  </w:txbxContent>
                </v:textbox>
              </v:shape>
            </w:pict>
          </mc:Fallback>
        </mc:AlternateContent>
      </w:r>
    </w:p>
    <w:p w14:paraId="0FE99618" w14:textId="7650E35D" w:rsidR="002E1502" w:rsidRPr="00541AED" w:rsidRDefault="002E1502" w:rsidP="00FE427C">
      <w:pPr>
        <w:pStyle w:val="Heading1"/>
        <w:spacing w:after="0" w:line="240" w:lineRule="auto"/>
        <w:rPr>
          <w:rFonts w:ascii="Aptos" w:hAnsi="Aptos"/>
          <w:sz w:val="20"/>
        </w:rPr>
      </w:pPr>
    </w:p>
    <w:p w14:paraId="4E1451BB" w14:textId="7990B578" w:rsidR="00B3726E" w:rsidRPr="00541AED" w:rsidRDefault="00AE5764" w:rsidP="00FE427C">
      <w:pPr>
        <w:pStyle w:val="Heading1"/>
        <w:spacing w:before="120" w:after="120" w:line="240" w:lineRule="auto"/>
        <w:ind w:left="-737" w:right="0"/>
        <w:rPr>
          <w:rFonts w:ascii="Aptos" w:hAnsi="Aptos"/>
        </w:rPr>
      </w:pPr>
      <w:r w:rsidRPr="00541AED">
        <w:rPr>
          <w:rFonts w:ascii="Aptos" w:hAnsi="Aptos"/>
        </w:rPr>
        <w:t>Immunology</w:t>
      </w:r>
      <w:r w:rsidR="002E1502" w:rsidRPr="00541AED">
        <w:rPr>
          <w:rFonts w:ascii="Aptos" w:hAnsi="Aptos"/>
        </w:rPr>
        <w:t xml:space="preserve"> Conditions - </w:t>
      </w:r>
      <w:r w:rsidR="00D96C83" w:rsidRPr="00541AED">
        <w:rPr>
          <w:rFonts w:ascii="Aptos" w:hAnsi="Aptos"/>
        </w:rPr>
        <w:t>Summary of Criteria Changes</w:t>
      </w:r>
    </w:p>
    <w:p w14:paraId="1270B6FC" w14:textId="6F09D1D1" w:rsidR="00B475C9" w:rsidRPr="00541AED" w:rsidRDefault="00B475C9" w:rsidP="00B475C9">
      <w:pPr>
        <w:ind w:left="-737"/>
        <w:rPr>
          <w:rFonts w:ascii="Aptos" w:hAnsi="Aptos"/>
        </w:rPr>
      </w:pPr>
      <w:r w:rsidRPr="00541AED">
        <w:rPr>
          <w:rFonts w:ascii="Aptos" w:hAnsi="Aptos"/>
        </w:rPr>
        <w:t xml:space="preserve">The </w:t>
      </w:r>
      <w:r w:rsidRPr="00541AED">
        <w:rPr>
          <w:rFonts w:ascii="Aptos" w:hAnsi="Aptos"/>
          <w:i/>
        </w:rPr>
        <w:t xml:space="preserve">Criteria for </w:t>
      </w:r>
      <w:r w:rsidR="00EC150F">
        <w:rPr>
          <w:rFonts w:ascii="Aptos" w:hAnsi="Aptos"/>
          <w:i/>
        </w:rPr>
        <w:t xml:space="preserve">the </w:t>
      </w:r>
      <w:r w:rsidRPr="00541AED">
        <w:rPr>
          <w:rFonts w:ascii="Aptos" w:hAnsi="Aptos"/>
          <w:i/>
        </w:rPr>
        <w:t>clinical use of immunoglobulin in Australia</w:t>
      </w:r>
      <w:r w:rsidRPr="00541AED">
        <w:rPr>
          <w:rFonts w:ascii="Aptos" w:hAnsi="Aptos"/>
        </w:rPr>
        <w:t xml:space="preserve"> (Criteria) is under a continuous review cycle following release of Version 3 on 22 October 2018. The table below summarises subsequent changes made by medical condition and indication to the Criteria following the publication of Version 3. Changes will be applied immediately to new authorisations and to existing authorisations at the next continuing treatment request, unless otherwise stated. This table will be updated when any change is made.</w:t>
      </w:r>
    </w:p>
    <w:tbl>
      <w:tblPr>
        <w:tblStyle w:val="TableGrid"/>
        <w:tblW w:w="15666" w:type="dxa"/>
        <w:tblInd w:w="-851" w:type="dxa"/>
        <w:tblBorders>
          <w:top w:val="single" w:sz="8" w:space="0" w:color="BFBFBF" w:themeColor="background1" w:themeShade="BF"/>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2411"/>
        <w:gridCol w:w="4677"/>
        <w:gridCol w:w="6237"/>
        <w:gridCol w:w="1215"/>
        <w:gridCol w:w="1126"/>
      </w:tblGrid>
      <w:tr w:rsidR="00AE5764" w:rsidRPr="00541AED" w14:paraId="7A739E63" w14:textId="77777777" w:rsidTr="00E97EF5">
        <w:trPr>
          <w:cantSplit/>
          <w:tblHeader/>
        </w:trPr>
        <w:tc>
          <w:tcPr>
            <w:tcW w:w="2411" w:type="dxa"/>
            <w:shd w:val="clear" w:color="auto" w:fill="F79646" w:themeFill="accent6"/>
            <w:vAlign w:val="center"/>
          </w:tcPr>
          <w:p w14:paraId="421EDD7F" w14:textId="77777777" w:rsidR="00240B2C" w:rsidRPr="00541AED" w:rsidRDefault="00240B2C" w:rsidP="00872101">
            <w:pPr>
              <w:rPr>
                <w:rFonts w:ascii="Aptos" w:hAnsi="Aptos"/>
                <w:b/>
                <w:color w:val="FFFFFF" w:themeColor="background1"/>
              </w:rPr>
            </w:pPr>
            <w:r w:rsidRPr="00541AED">
              <w:rPr>
                <w:rFonts w:ascii="Aptos" w:hAnsi="Aptos"/>
                <w:b/>
                <w:color w:val="FFFFFF" w:themeColor="background1"/>
              </w:rPr>
              <w:t xml:space="preserve">Medical condition </w:t>
            </w:r>
          </w:p>
        </w:tc>
        <w:tc>
          <w:tcPr>
            <w:tcW w:w="4677" w:type="dxa"/>
            <w:shd w:val="clear" w:color="auto" w:fill="F79646" w:themeFill="accent6"/>
            <w:vAlign w:val="center"/>
          </w:tcPr>
          <w:p w14:paraId="35241DA4" w14:textId="77777777" w:rsidR="00240B2C" w:rsidRPr="00541AED" w:rsidRDefault="00240B2C" w:rsidP="00872101">
            <w:pPr>
              <w:rPr>
                <w:rFonts w:ascii="Aptos" w:hAnsi="Aptos"/>
                <w:b/>
                <w:color w:val="FFFFFF" w:themeColor="background1"/>
              </w:rPr>
            </w:pPr>
            <w:r w:rsidRPr="00541AED">
              <w:rPr>
                <w:rFonts w:ascii="Aptos" w:hAnsi="Aptos"/>
                <w:b/>
                <w:color w:val="FFFFFF" w:themeColor="background1"/>
              </w:rPr>
              <w:t>Indication/s</w:t>
            </w:r>
          </w:p>
        </w:tc>
        <w:tc>
          <w:tcPr>
            <w:tcW w:w="6237" w:type="dxa"/>
            <w:shd w:val="clear" w:color="auto" w:fill="F79646" w:themeFill="accent6"/>
            <w:vAlign w:val="center"/>
          </w:tcPr>
          <w:p w14:paraId="4591E183" w14:textId="77777777" w:rsidR="00240B2C" w:rsidRPr="00541AED" w:rsidRDefault="00240B2C" w:rsidP="00872101">
            <w:pPr>
              <w:rPr>
                <w:rFonts w:ascii="Aptos" w:hAnsi="Aptos"/>
                <w:b/>
                <w:color w:val="FFFFFF" w:themeColor="background1"/>
              </w:rPr>
            </w:pPr>
            <w:r w:rsidRPr="00541AED">
              <w:rPr>
                <w:rFonts w:ascii="Aptos" w:hAnsi="Aptos"/>
                <w:b/>
                <w:color w:val="FFFFFF" w:themeColor="background1"/>
              </w:rPr>
              <w:t xml:space="preserve">Summary of changes </w:t>
            </w:r>
          </w:p>
        </w:tc>
        <w:tc>
          <w:tcPr>
            <w:tcW w:w="1215" w:type="dxa"/>
            <w:shd w:val="clear" w:color="auto" w:fill="F79646" w:themeFill="accent6"/>
            <w:vAlign w:val="center"/>
          </w:tcPr>
          <w:p w14:paraId="52F57221" w14:textId="3002DEB8" w:rsidR="00240B2C" w:rsidRPr="00541AED" w:rsidRDefault="00240B2C" w:rsidP="00872101">
            <w:pPr>
              <w:rPr>
                <w:rFonts w:ascii="Aptos" w:hAnsi="Aptos"/>
                <w:b/>
                <w:color w:val="FFFFFF" w:themeColor="background1"/>
              </w:rPr>
            </w:pPr>
            <w:r w:rsidRPr="00541AED">
              <w:rPr>
                <w:rFonts w:ascii="Aptos" w:hAnsi="Aptos"/>
                <w:b/>
                <w:color w:val="FFFFFF" w:themeColor="background1"/>
              </w:rPr>
              <w:t>Date changed</w:t>
            </w:r>
          </w:p>
        </w:tc>
        <w:tc>
          <w:tcPr>
            <w:tcW w:w="1126" w:type="dxa"/>
            <w:shd w:val="clear" w:color="auto" w:fill="F79646" w:themeFill="accent6"/>
            <w:vAlign w:val="center"/>
          </w:tcPr>
          <w:p w14:paraId="08853CA1" w14:textId="26BA44FD" w:rsidR="00240B2C" w:rsidRPr="00541AED" w:rsidRDefault="00240B2C" w:rsidP="00872101">
            <w:pPr>
              <w:rPr>
                <w:rFonts w:ascii="Aptos" w:hAnsi="Aptos"/>
                <w:b/>
                <w:color w:val="FFFFFF" w:themeColor="background1"/>
              </w:rPr>
            </w:pPr>
            <w:r w:rsidRPr="00541AED">
              <w:rPr>
                <w:rFonts w:ascii="Aptos" w:hAnsi="Aptos"/>
                <w:b/>
                <w:color w:val="FFFFFF" w:themeColor="background1"/>
              </w:rPr>
              <w:t>Version number</w:t>
            </w:r>
          </w:p>
        </w:tc>
      </w:tr>
      <w:tr w:rsidR="00AE5764" w:rsidRPr="00541AED" w14:paraId="39E7EEEE" w14:textId="77777777" w:rsidTr="00DF76D5">
        <w:trPr>
          <w:cantSplit/>
          <w:trHeight w:val="2551"/>
        </w:trPr>
        <w:tc>
          <w:tcPr>
            <w:tcW w:w="2411" w:type="dxa"/>
            <w:vAlign w:val="center"/>
          </w:tcPr>
          <w:p w14:paraId="42D6794D" w14:textId="616371B3" w:rsidR="00AE5764" w:rsidRPr="00541AED" w:rsidRDefault="00642DC5" w:rsidP="005638CE">
            <w:pPr>
              <w:rPr>
                <w:rFonts w:ascii="Aptos" w:hAnsi="Aptos"/>
              </w:rPr>
            </w:pPr>
            <w:bookmarkStart w:id="0" w:name="_Hlk212536835"/>
            <w:r w:rsidRPr="00642DC5">
              <w:rPr>
                <w:rFonts w:ascii="Aptos" w:hAnsi="Aptos"/>
              </w:rPr>
              <w:t>Anti-neutrophil cytoplasmic antibody (ANCA) [Proteinase 3 (PR3) or myeloperoxidase (MPO)] - positive systemic necrotising vasculitis</w:t>
            </w:r>
            <w:bookmarkEnd w:id="0"/>
          </w:p>
        </w:tc>
        <w:tc>
          <w:tcPr>
            <w:tcW w:w="4677" w:type="dxa"/>
            <w:vAlign w:val="center"/>
          </w:tcPr>
          <w:p w14:paraId="20BA2C57" w14:textId="77777777" w:rsidR="00642DC5" w:rsidRDefault="00642DC5" w:rsidP="00642DC5">
            <w:pPr>
              <w:pStyle w:val="ListParagraph"/>
              <w:ind w:left="360"/>
              <w:rPr>
                <w:rFonts w:ascii="Aptos" w:hAnsi="Aptos"/>
              </w:rPr>
            </w:pPr>
          </w:p>
          <w:p w14:paraId="5027F52C" w14:textId="542168B1" w:rsidR="00642DC5" w:rsidRPr="00642DC5" w:rsidRDefault="00642DC5" w:rsidP="00642DC5">
            <w:pPr>
              <w:pStyle w:val="ListParagraph"/>
              <w:numPr>
                <w:ilvl w:val="0"/>
                <w:numId w:val="6"/>
              </w:numPr>
              <w:rPr>
                <w:rFonts w:ascii="Aptos" w:hAnsi="Aptos"/>
              </w:rPr>
            </w:pPr>
            <w:r w:rsidRPr="00642DC5">
              <w:rPr>
                <w:rFonts w:ascii="Aptos" w:hAnsi="Aptos"/>
              </w:rPr>
              <w:t>Anti-neutrophil cytoplasmic antibody (ANCA) positive systemic necrotising vasculitis failing to respond to corticosteroids and cytotoxic immunosuppression</w:t>
            </w:r>
          </w:p>
          <w:p w14:paraId="38F8664D" w14:textId="18585109" w:rsidR="00642DC5" w:rsidRPr="00642DC5" w:rsidRDefault="00F244FA" w:rsidP="00DF76D5">
            <w:pPr>
              <w:pStyle w:val="ListParagraph"/>
              <w:numPr>
                <w:ilvl w:val="0"/>
                <w:numId w:val="6"/>
              </w:numPr>
              <w:rPr>
                <w:rFonts w:ascii="Aptos" w:hAnsi="Aptos"/>
              </w:rPr>
            </w:pPr>
            <w:r w:rsidRPr="00541AED">
              <w:rPr>
                <w:rFonts w:ascii="Aptos" w:hAnsi="Aptos"/>
              </w:rPr>
              <w:t>Relapse in ANCA positive systemic necrotising vasculitis resistant following response to Ig therapy</w:t>
            </w:r>
          </w:p>
        </w:tc>
        <w:tc>
          <w:tcPr>
            <w:tcW w:w="6237" w:type="dxa"/>
            <w:vAlign w:val="center"/>
          </w:tcPr>
          <w:p w14:paraId="2C795DF5" w14:textId="0149F3B2" w:rsidR="00AE5764" w:rsidRPr="00541AED" w:rsidRDefault="001E0405" w:rsidP="005638CE">
            <w:pPr>
              <w:pStyle w:val="ListParagraph"/>
              <w:numPr>
                <w:ilvl w:val="0"/>
                <w:numId w:val="6"/>
              </w:numPr>
              <w:rPr>
                <w:rFonts w:ascii="Aptos" w:hAnsi="Aptos"/>
              </w:rPr>
            </w:pPr>
            <w:r w:rsidRPr="00541AED">
              <w:rPr>
                <w:rFonts w:ascii="Aptos" w:hAnsi="Aptos"/>
              </w:rPr>
              <w:t>Correct</w:t>
            </w:r>
            <w:r w:rsidR="00DF76D5">
              <w:rPr>
                <w:rFonts w:ascii="Aptos" w:hAnsi="Aptos"/>
              </w:rPr>
              <w:t>ed</w:t>
            </w:r>
            <w:r w:rsidR="00C51F57" w:rsidRPr="00541AED">
              <w:rPr>
                <w:rFonts w:ascii="Aptos" w:hAnsi="Aptos"/>
              </w:rPr>
              <w:t xml:space="preserve"> data entry to remove max dose restriction</w:t>
            </w:r>
            <w:r w:rsidR="00834983" w:rsidRPr="00541AED">
              <w:rPr>
                <w:rFonts w:ascii="Aptos" w:hAnsi="Aptos"/>
              </w:rPr>
              <w:t>.</w:t>
            </w:r>
            <w:r w:rsidR="00C51F57" w:rsidRPr="00541AED">
              <w:rPr>
                <w:rFonts w:ascii="Aptos" w:hAnsi="Aptos"/>
              </w:rPr>
              <w:t xml:space="preserve"> </w:t>
            </w:r>
          </w:p>
        </w:tc>
        <w:tc>
          <w:tcPr>
            <w:tcW w:w="1215" w:type="dxa"/>
            <w:vAlign w:val="center"/>
          </w:tcPr>
          <w:p w14:paraId="47164C81" w14:textId="1E62B592" w:rsidR="00AE5764" w:rsidRPr="00541AED" w:rsidRDefault="00F244FA" w:rsidP="005638CE">
            <w:pPr>
              <w:rPr>
                <w:rFonts w:ascii="Aptos" w:hAnsi="Aptos"/>
              </w:rPr>
            </w:pPr>
            <w:r w:rsidRPr="00541AED">
              <w:rPr>
                <w:rFonts w:ascii="Aptos" w:hAnsi="Aptos"/>
              </w:rPr>
              <w:t>April 2019</w:t>
            </w:r>
          </w:p>
        </w:tc>
        <w:tc>
          <w:tcPr>
            <w:tcW w:w="1126" w:type="dxa"/>
            <w:vAlign w:val="center"/>
          </w:tcPr>
          <w:p w14:paraId="3D81DC29" w14:textId="324DF7BC" w:rsidR="00AE5764" w:rsidRPr="00541AED" w:rsidRDefault="00F244FA" w:rsidP="005638CE">
            <w:pPr>
              <w:rPr>
                <w:rFonts w:ascii="Aptos" w:hAnsi="Aptos"/>
              </w:rPr>
            </w:pPr>
            <w:r w:rsidRPr="00541AED">
              <w:rPr>
                <w:rFonts w:ascii="Aptos" w:hAnsi="Aptos"/>
              </w:rPr>
              <w:t>3.1</w:t>
            </w:r>
          </w:p>
        </w:tc>
      </w:tr>
      <w:tr w:rsidR="00154837" w:rsidRPr="00541AED" w14:paraId="7A9EB7ED" w14:textId="77777777" w:rsidTr="00E97EF5">
        <w:trPr>
          <w:cantSplit/>
        </w:trPr>
        <w:tc>
          <w:tcPr>
            <w:tcW w:w="2411" w:type="dxa"/>
            <w:vMerge w:val="restart"/>
            <w:vAlign w:val="center"/>
          </w:tcPr>
          <w:p w14:paraId="24C3F451" w14:textId="02550C65" w:rsidR="00154837" w:rsidRPr="00225D78" w:rsidRDefault="00154837" w:rsidP="005638CE">
            <w:pPr>
              <w:rPr>
                <w:rFonts w:ascii="Aptos" w:hAnsi="Aptos"/>
              </w:rPr>
            </w:pPr>
            <w:bookmarkStart w:id="1" w:name="_Hlk212536887"/>
            <w:r w:rsidRPr="00225D78">
              <w:rPr>
                <w:rFonts w:ascii="Aptos" w:hAnsi="Aptos"/>
              </w:rPr>
              <w:lastRenderedPageBreak/>
              <w:t>Autoimmune congenital heart block</w:t>
            </w:r>
            <w:bookmarkEnd w:id="1"/>
          </w:p>
        </w:tc>
        <w:tc>
          <w:tcPr>
            <w:tcW w:w="4677" w:type="dxa"/>
            <w:vMerge w:val="restart"/>
            <w:vAlign w:val="center"/>
          </w:tcPr>
          <w:p w14:paraId="2289581A" w14:textId="77777777" w:rsidR="00154837" w:rsidRPr="00225D78" w:rsidRDefault="00154837" w:rsidP="005638CE">
            <w:pPr>
              <w:pStyle w:val="ListParagraph"/>
              <w:numPr>
                <w:ilvl w:val="0"/>
                <w:numId w:val="6"/>
              </w:numPr>
              <w:rPr>
                <w:rFonts w:ascii="Aptos" w:hAnsi="Aptos"/>
              </w:rPr>
            </w:pPr>
            <w:bookmarkStart w:id="2" w:name="_Hlk212536896"/>
            <w:r w:rsidRPr="00225D78">
              <w:rPr>
                <w:rFonts w:ascii="Aptos" w:hAnsi="Aptos"/>
              </w:rPr>
              <w:t xml:space="preserve">Prevention of recurrent autoimmune congenital heart block where maternal SSB (La) and/or SSA (Ro) antibodies are present </w:t>
            </w:r>
          </w:p>
          <w:p w14:paraId="28A4DF72" w14:textId="77777777" w:rsidR="00642DC5" w:rsidRPr="00225D78" w:rsidRDefault="00642DC5" w:rsidP="00642DC5">
            <w:pPr>
              <w:pStyle w:val="ListParagraph"/>
              <w:numPr>
                <w:ilvl w:val="0"/>
                <w:numId w:val="6"/>
              </w:numPr>
              <w:rPr>
                <w:rFonts w:ascii="Aptos" w:hAnsi="Aptos"/>
              </w:rPr>
            </w:pPr>
            <w:r w:rsidRPr="00225D78">
              <w:rPr>
                <w:rFonts w:ascii="Aptos" w:hAnsi="Aptos"/>
              </w:rPr>
              <w:t>Maternal therapy for treatment of congenital heart block where maternal SSB (La) and/or SSA (Ro) antibodies are identified</w:t>
            </w:r>
          </w:p>
          <w:p w14:paraId="0C80908F" w14:textId="7A8C2670" w:rsidR="00642DC5" w:rsidRPr="00225D78" w:rsidRDefault="00642DC5" w:rsidP="00642DC5">
            <w:pPr>
              <w:pStyle w:val="ListParagraph"/>
              <w:numPr>
                <w:ilvl w:val="0"/>
                <w:numId w:val="6"/>
              </w:numPr>
              <w:rPr>
                <w:rFonts w:ascii="Aptos" w:hAnsi="Aptos"/>
              </w:rPr>
            </w:pPr>
            <w:r w:rsidRPr="00225D78">
              <w:rPr>
                <w:rFonts w:ascii="Aptos" w:hAnsi="Aptos"/>
              </w:rPr>
              <w:t>Post-natal treatment of congenital heart block where SSB (La) and/or SSA (Ro) are present</w:t>
            </w:r>
            <w:bookmarkEnd w:id="2"/>
          </w:p>
        </w:tc>
        <w:tc>
          <w:tcPr>
            <w:tcW w:w="6237" w:type="dxa"/>
            <w:vAlign w:val="center"/>
          </w:tcPr>
          <w:p w14:paraId="1E9E4C81" w14:textId="6C9395FC" w:rsidR="004F476D" w:rsidRPr="00225D78" w:rsidRDefault="004F476D" w:rsidP="004F476D">
            <w:pPr>
              <w:pStyle w:val="ListParagraph"/>
              <w:numPr>
                <w:ilvl w:val="0"/>
                <w:numId w:val="6"/>
              </w:numPr>
              <w:rPr>
                <w:rFonts w:ascii="Aptos" w:hAnsi="Aptos"/>
              </w:rPr>
            </w:pPr>
            <w:r w:rsidRPr="00225D78">
              <w:rPr>
                <w:rFonts w:ascii="Aptos" w:hAnsi="Aptos"/>
              </w:rPr>
              <w:t xml:space="preserve">Added information to indication </w:t>
            </w:r>
            <w:r w:rsidR="002925A6" w:rsidRPr="00225D78">
              <w:rPr>
                <w:rFonts w:ascii="Aptos" w:hAnsi="Aptos"/>
              </w:rPr>
              <w:t xml:space="preserve">3 </w:t>
            </w:r>
            <w:r w:rsidRPr="00225D78">
              <w:rPr>
                <w:rFonts w:ascii="Aptos" w:hAnsi="Aptos"/>
              </w:rPr>
              <w:t xml:space="preserve">to clarify that this indication only applies to patients </w:t>
            </w:r>
            <w:r w:rsidR="00C74BF6" w:rsidRPr="00225D78">
              <w:rPr>
                <w:rFonts w:ascii="Aptos" w:hAnsi="Aptos"/>
              </w:rPr>
              <w:t xml:space="preserve">up to </w:t>
            </w:r>
            <w:r w:rsidRPr="00225D78">
              <w:rPr>
                <w:rFonts w:ascii="Aptos" w:hAnsi="Aptos"/>
              </w:rPr>
              <w:t>6 months of age</w:t>
            </w:r>
            <w:r w:rsidR="005440E9" w:rsidRPr="00225D78">
              <w:rPr>
                <w:rFonts w:ascii="Aptos" w:hAnsi="Aptos"/>
              </w:rPr>
              <w:t>.</w:t>
            </w:r>
          </w:p>
          <w:p w14:paraId="3B367C37" w14:textId="6CA709D4" w:rsidR="004F476D" w:rsidRPr="00225D78" w:rsidRDefault="004F476D" w:rsidP="004F476D">
            <w:pPr>
              <w:pStyle w:val="ListParagraph"/>
              <w:numPr>
                <w:ilvl w:val="0"/>
                <w:numId w:val="6"/>
              </w:numPr>
              <w:rPr>
                <w:rFonts w:ascii="Aptos" w:hAnsi="Aptos"/>
              </w:rPr>
            </w:pPr>
            <w:r w:rsidRPr="00225D78">
              <w:rPr>
                <w:rFonts w:ascii="Aptos" w:hAnsi="Aptos"/>
              </w:rPr>
              <w:t>Updated links for several references</w:t>
            </w:r>
            <w:r w:rsidR="005440E9" w:rsidRPr="00225D78">
              <w:rPr>
                <w:rFonts w:ascii="Aptos" w:hAnsi="Aptos"/>
              </w:rPr>
              <w:t>.</w:t>
            </w:r>
          </w:p>
        </w:tc>
        <w:tc>
          <w:tcPr>
            <w:tcW w:w="1215" w:type="dxa"/>
            <w:vAlign w:val="center"/>
          </w:tcPr>
          <w:p w14:paraId="344821A6" w14:textId="0906E696" w:rsidR="00154837" w:rsidRPr="00225D78" w:rsidRDefault="004F476D" w:rsidP="005638CE">
            <w:pPr>
              <w:rPr>
                <w:rFonts w:ascii="Aptos" w:hAnsi="Aptos"/>
              </w:rPr>
            </w:pPr>
            <w:r w:rsidRPr="00225D78">
              <w:rPr>
                <w:rFonts w:ascii="Aptos" w:hAnsi="Aptos"/>
              </w:rPr>
              <w:t>April 2025</w:t>
            </w:r>
          </w:p>
        </w:tc>
        <w:tc>
          <w:tcPr>
            <w:tcW w:w="1126" w:type="dxa"/>
            <w:vAlign w:val="center"/>
          </w:tcPr>
          <w:p w14:paraId="4E3FA4B6" w14:textId="058F624D" w:rsidR="00154837" w:rsidRPr="00225D78" w:rsidRDefault="004F476D" w:rsidP="005638CE">
            <w:pPr>
              <w:rPr>
                <w:rFonts w:ascii="Aptos" w:hAnsi="Aptos"/>
              </w:rPr>
            </w:pPr>
            <w:r w:rsidRPr="00225D78">
              <w:rPr>
                <w:rFonts w:ascii="Aptos" w:hAnsi="Aptos"/>
              </w:rPr>
              <w:t>3.2</w:t>
            </w:r>
          </w:p>
        </w:tc>
      </w:tr>
      <w:tr w:rsidR="00154837" w:rsidRPr="00541AED" w14:paraId="48EEEEFB" w14:textId="77777777" w:rsidTr="00E97EF5">
        <w:trPr>
          <w:cantSplit/>
        </w:trPr>
        <w:tc>
          <w:tcPr>
            <w:tcW w:w="2411" w:type="dxa"/>
            <w:vMerge/>
            <w:vAlign w:val="center"/>
          </w:tcPr>
          <w:p w14:paraId="5CD36B40" w14:textId="6CA29B68" w:rsidR="00154837" w:rsidRPr="00225D78" w:rsidRDefault="00154837" w:rsidP="005638CE">
            <w:pPr>
              <w:rPr>
                <w:rFonts w:ascii="Aptos" w:hAnsi="Aptos"/>
              </w:rPr>
            </w:pPr>
          </w:p>
        </w:tc>
        <w:tc>
          <w:tcPr>
            <w:tcW w:w="4677" w:type="dxa"/>
            <w:vMerge/>
            <w:vAlign w:val="center"/>
          </w:tcPr>
          <w:p w14:paraId="35C65AF4" w14:textId="02547C96" w:rsidR="00154837" w:rsidRPr="00225D78" w:rsidRDefault="00154837" w:rsidP="005638CE">
            <w:pPr>
              <w:pStyle w:val="ListParagraph"/>
              <w:numPr>
                <w:ilvl w:val="0"/>
                <w:numId w:val="6"/>
              </w:numPr>
              <w:rPr>
                <w:rFonts w:ascii="Aptos" w:hAnsi="Aptos"/>
              </w:rPr>
            </w:pPr>
          </w:p>
        </w:tc>
        <w:tc>
          <w:tcPr>
            <w:tcW w:w="6237" w:type="dxa"/>
            <w:vAlign w:val="center"/>
          </w:tcPr>
          <w:p w14:paraId="159C2147" w14:textId="4FE00FD2" w:rsidR="00154837" w:rsidRPr="00225D78" w:rsidRDefault="00DF76D5" w:rsidP="005638CE">
            <w:pPr>
              <w:pStyle w:val="ListParagraph"/>
              <w:numPr>
                <w:ilvl w:val="0"/>
                <w:numId w:val="6"/>
              </w:numPr>
              <w:rPr>
                <w:rFonts w:ascii="Aptos" w:hAnsi="Aptos"/>
              </w:rPr>
            </w:pPr>
            <w:r w:rsidRPr="00225D78">
              <w:rPr>
                <w:rFonts w:ascii="Aptos" w:hAnsi="Aptos"/>
              </w:rPr>
              <w:t>Ge</w:t>
            </w:r>
            <w:r w:rsidR="00154837" w:rsidRPr="00225D78">
              <w:rPr>
                <w:rFonts w:ascii="Aptos" w:hAnsi="Aptos"/>
              </w:rPr>
              <w:t>stational age qualifying values updated to allow therapy up until delivery.</w:t>
            </w:r>
          </w:p>
        </w:tc>
        <w:tc>
          <w:tcPr>
            <w:tcW w:w="1215" w:type="dxa"/>
            <w:vAlign w:val="center"/>
          </w:tcPr>
          <w:p w14:paraId="21B56415" w14:textId="766E24B1" w:rsidR="00154837" w:rsidRPr="00225D78" w:rsidRDefault="00154837" w:rsidP="005638CE">
            <w:pPr>
              <w:rPr>
                <w:rFonts w:ascii="Aptos" w:hAnsi="Aptos"/>
              </w:rPr>
            </w:pPr>
            <w:r w:rsidRPr="00225D78">
              <w:rPr>
                <w:rFonts w:ascii="Aptos" w:hAnsi="Aptos"/>
              </w:rPr>
              <w:t>March 2020</w:t>
            </w:r>
          </w:p>
        </w:tc>
        <w:tc>
          <w:tcPr>
            <w:tcW w:w="1126" w:type="dxa"/>
            <w:vAlign w:val="center"/>
          </w:tcPr>
          <w:p w14:paraId="46CD3173" w14:textId="5490A62A" w:rsidR="00154837" w:rsidRPr="00225D78" w:rsidRDefault="00154837" w:rsidP="005638CE">
            <w:pPr>
              <w:rPr>
                <w:rFonts w:ascii="Aptos" w:hAnsi="Aptos"/>
              </w:rPr>
            </w:pPr>
            <w:r w:rsidRPr="00225D78">
              <w:rPr>
                <w:rFonts w:ascii="Aptos" w:hAnsi="Aptos"/>
              </w:rPr>
              <w:t>3.1</w:t>
            </w:r>
          </w:p>
        </w:tc>
      </w:tr>
      <w:tr w:rsidR="008A7E0E" w:rsidRPr="00541AED" w14:paraId="4F09606A" w14:textId="77777777" w:rsidTr="00E97EF5">
        <w:trPr>
          <w:cantSplit/>
        </w:trPr>
        <w:tc>
          <w:tcPr>
            <w:tcW w:w="2411" w:type="dxa"/>
            <w:vAlign w:val="center"/>
          </w:tcPr>
          <w:p w14:paraId="30A12988" w14:textId="5376EC81" w:rsidR="008A7E0E" w:rsidRPr="00225D78" w:rsidRDefault="008A7E0E" w:rsidP="008A7E0E">
            <w:pPr>
              <w:rPr>
                <w:rFonts w:ascii="Aptos" w:hAnsi="Aptos" w:cs="Helvetica"/>
                <w:color w:val="333333"/>
              </w:rPr>
            </w:pPr>
            <w:r w:rsidRPr="00225D78">
              <w:rPr>
                <w:rFonts w:ascii="Aptos" w:hAnsi="Aptos" w:cs="Helvetica"/>
                <w:color w:val="333333"/>
              </w:rPr>
              <w:t>Cicatricial pemphigoid (CP) or mucous membrane pemphigoid (MMP)</w:t>
            </w:r>
          </w:p>
        </w:tc>
        <w:tc>
          <w:tcPr>
            <w:tcW w:w="4677" w:type="dxa"/>
            <w:vAlign w:val="center"/>
          </w:tcPr>
          <w:p w14:paraId="31C318FA" w14:textId="0FA53FDA" w:rsidR="008A7E0E" w:rsidRPr="00225D78" w:rsidRDefault="008A7E0E" w:rsidP="008A7E0E">
            <w:pPr>
              <w:pStyle w:val="ListParagraph"/>
              <w:numPr>
                <w:ilvl w:val="0"/>
                <w:numId w:val="6"/>
              </w:numPr>
              <w:ind w:left="357" w:hanging="357"/>
              <w:contextualSpacing w:val="0"/>
              <w:rPr>
                <w:rFonts w:ascii="Aptos" w:hAnsi="Aptos"/>
              </w:rPr>
            </w:pPr>
            <w:bookmarkStart w:id="3" w:name="_Hlk212537005"/>
            <w:r w:rsidRPr="00225D78">
              <w:rPr>
                <w:rFonts w:ascii="Aptos" w:hAnsi="Aptos"/>
              </w:rPr>
              <w:t>Cicatricial pemphigoid (CP) / mucous membrane pemphigoid (MMP) resistant to corticosteroid and immunosuppressant therapy, or when these agents are contraindicated</w:t>
            </w:r>
            <w:bookmarkEnd w:id="3"/>
          </w:p>
        </w:tc>
        <w:tc>
          <w:tcPr>
            <w:tcW w:w="6237" w:type="dxa"/>
            <w:vAlign w:val="center"/>
          </w:tcPr>
          <w:p w14:paraId="2FAC9CFF" w14:textId="72FF53DC" w:rsidR="00E12457" w:rsidRPr="00225D78" w:rsidRDefault="00E12457" w:rsidP="00E12457">
            <w:pPr>
              <w:pStyle w:val="ListParagraph"/>
              <w:numPr>
                <w:ilvl w:val="0"/>
                <w:numId w:val="6"/>
              </w:numPr>
              <w:spacing w:before="120"/>
              <w:contextualSpacing w:val="0"/>
              <w:rPr>
                <w:rFonts w:ascii="Aptos" w:eastAsia="Times New Roman" w:hAnsi="Aptos"/>
              </w:rPr>
            </w:pPr>
            <w:r w:rsidRPr="00225D78">
              <w:rPr>
                <w:rFonts w:ascii="Aptos" w:eastAsia="Times New Roman" w:hAnsi="Aptos"/>
              </w:rPr>
              <w:t>Added information to the qualifying criteria recommending a trial of rituximab unless contraindicated.</w:t>
            </w:r>
          </w:p>
          <w:p w14:paraId="24A20F1B" w14:textId="3C2F6186" w:rsidR="008A7E0E" w:rsidRPr="00225D78" w:rsidRDefault="00E12457" w:rsidP="00E12457">
            <w:pPr>
              <w:pStyle w:val="ListParagraph"/>
              <w:numPr>
                <w:ilvl w:val="0"/>
                <w:numId w:val="6"/>
              </w:numPr>
              <w:tabs>
                <w:tab w:val="left" w:pos="902"/>
              </w:tabs>
              <w:rPr>
                <w:rFonts w:ascii="Aptos" w:hAnsi="Aptos"/>
              </w:rPr>
            </w:pPr>
            <w:r w:rsidRPr="00225D78">
              <w:rPr>
                <w:rStyle w:val="Hyperlink"/>
                <w:rFonts w:ascii="Aptos" w:hAnsi="Aptos"/>
                <w:color w:val="auto"/>
                <w:u w:val="none"/>
              </w:rPr>
              <w:t>Updated links for several references.</w:t>
            </w:r>
          </w:p>
        </w:tc>
        <w:tc>
          <w:tcPr>
            <w:tcW w:w="1215" w:type="dxa"/>
            <w:vAlign w:val="center"/>
          </w:tcPr>
          <w:p w14:paraId="782A41F1" w14:textId="4B4142A5" w:rsidR="008A7E0E" w:rsidRPr="00225D78" w:rsidRDefault="008A7E0E" w:rsidP="008A7E0E">
            <w:pPr>
              <w:rPr>
                <w:rFonts w:ascii="Aptos" w:hAnsi="Aptos"/>
              </w:rPr>
            </w:pPr>
            <w:r w:rsidRPr="00225D78">
              <w:rPr>
                <w:rFonts w:ascii="Aptos" w:hAnsi="Aptos"/>
              </w:rPr>
              <w:t>November 2025</w:t>
            </w:r>
          </w:p>
        </w:tc>
        <w:tc>
          <w:tcPr>
            <w:tcW w:w="1126" w:type="dxa"/>
            <w:vAlign w:val="center"/>
          </w:tcPr>
          <w:p w14:paraId="0830B12A" w14:textId="7F8305E0" w:rsidR="008A7E0E" w:rsidRPr="00225D78" w:rsidRDefault="00E12457" w:rsidP="008A7E0E">
            <w:pPr>
              <w:rPr>
                <w:rFonts w:ascii="Aptos" w:hAnsi="Aptos"/>
              </w:rPr>
            </w:pPr>
            <w:r w:rsidRPr="00225D78">
              <w:rPr>
                <w:rFonts w:ascii="Aptos" w:hAnsi="Aptos"/>
              </w:rPr>
              <w:t>3.1</w:t>
            </w:r>
          </w:p>
        </w:tc>
      </w:tr>
      <w:tr w:rsidR="002D3A38" w:rsidRPr="00541AED" w14:paraId="62F999CC" w14:textId="77777777" w:rsidTr="00E97EF5">
        <w:trPr>
          <w:cantSplit/>
        </w:trPr>
        <w:tc>
          <w:tcPr>
            <w:tcW w:w="2411" w:type="dxa"/>
            <w:vAlign w:val="center"/>
          </w:tcPr>
          <w:p w14:paraId="5E976C2D" w14:textId="5CB0BFA8" w:rsidR="002D3A38" w:rsidRPr="00225D78" w:rsidRDefault="002D3A38" w:rsidP="002D3A38">
            <w:pPr>
              <w:rPr>
                <w:rFonts w:ascii="Aptos" w:hAnsi="Aptos" w:cs="Helvetica"/>
                <w:color w:val="333333"/>
              </w:rPr>
            </w:pPr>
            <w:r w:rsidRPr="00225D78">
              <w:rPr>
                <w:rFonts w:ascii="Aptos" w:hAnsi="Aptos" w:cs="Helvetica"/>
                <w:color w:val="333333"/>
              </w:rPr>
              <w:t>Epidermolysis bullosa acquisita</w:t>
            </w:r>
          </w:p>
        </w:tc>
        <w:tc>
          <w:tcPr>
            <w:tcW w:w="4677" w:type="dxa"/>
            <w:vAlign w:val="center"/>
          </w:tcPr>
          <w:p w14:paraId="4D672D02" w14:textId="77777777" w:rsidR="002D3A38" w:rsidRPr="00225D78" w:rsidRDefault="002D3A38" w:rsidP="002D3A38">
            <w:pPr>
              <w:pStyle w:val="ListParagraph"/>
              <w:numPr>
                <w:ilvl w:val="0"/>
                <w:numId w:val="6"/>
              </w:numPr>
              <w:rPr>
                <w:rFonts w:ascii="Aptos" w:hAnsi="Aptos"/>
              </w:rPr>
            </w:pPr>
            <w:bookmarkStart w:id="4" w:name="_Hlk212537073"/>
            <w:r w:rsidRPr="00225D78">
              <w:rPr>
                <w:rFonts w:ascii="Aptos" w:hAnsi="Aptos"/>
              </w:rPr>
              <w:t>Persistent severe EBA refractory to conventional immunosuppressive therapy</w:t>
            </w:r>
          </w:p>
          <w:p w14:paraId="721DDA1A" w14:textId="0A368A49" w:rsidR="002D3A38" w:rsidRPr="00225D78" w:rsidRDefault="002D3A38" w:rsidP="002D3A38">
            <w:pPr>
              <w:pStyle w:val="ListParagraph"/>
              <w:numPr>
                <w:ilvl w:val="0"/>
                <w:numId w:val="6"/>
              </w:numPr>
              <w:contextualSpacing w:val="0"/>
              <w:rPr>
                <w:rFonts w:ascii="Aptos" w:hAnsi="Aptos"/>
              </w:rPr>
            </w:pPr>
            <w:r w:rsidRPr="00225D78">
              <w:rPr>
                <w:rFonts w:ascii="Aptos" w:hAnsi="Aptos"/>
              </w:rPr>
              <w:t>Treatment of an ongoing flare of EBA disease in responding patients who have ceased Ig therapy</w:t>
            </w:r>
            <w:bookmarkEnd w:id="4"/>
          </w:p>
        </w:tc>
        <w:tc>
          <w:tcPr>
            <w:tcW w:w="6237" w:type="dxa"/>
            <w:vAlign w:val="center"/>
          </w:tcPr>
          <w:p w14:paraId="11871679" w14:textId="77777777" w:rsidR="00E12457" w:rsidRPr="00225D78" w:rsidRDefault="00E12457" w:rsidP="00E12457">
            <w:pPr>
              <w:pStyle w:val="ListParagraph"/>
              <w:numPr>
                <w:ilvl w:val="0"/>
                <w:numId w:val="6"/>
              </w:numPr>
              <w:spacing w:before="120"/>
              <w:contextualSpacing w:val="0"/>
              <w:rPr>
                <w:rFonts w:ascii="Aptos" w:eastAsia="Times New Roman" w:hAnsi="Aptos"/>
              </w:rPr>
            </w:pPr>
            <w:r w:rsidRPr="00225D78">
              <w:rPr>
                <w:rFonts w:ascii="Aptos" w:eastAsia="Times New Roman" w:hAnsi="Aptos"/>
              </w:rPr>
              <w:t>Added information to the qualifying criteria recommending a trial of rituximab unless contraindicated.</w:t>
            </w:r>
          </w:p>
          <w:p w14:paraId="7E451CE4" w14:textId="0675DBC1" w:rsidR="002D3A38" w:rsidRPr="00225D78" w:rsidRDefault="00E12457" w:rsidP="00E12457">
            <w:pPr>
              <w:pStyle w:val="ListParagraph"/>
              <w:numPr>
                <w:ilvl w:val="0"/>
                <w:numId w:val="6"/>
              </w:numPr>
              <w:tabs>
                <w:tab w:val="left" w:pos="902"/>
              </w:tabs>
              <w:rPr>
                <w:rFonts w:ascii="Aptos" w:hAnsi="Aptos"/>
              </w:rPr>
            </w:pPr>
            <w:r w:rsidRPr="00225D78">
              <w:rPr>
                <w:rStyle w:val="Hyperlink"/>
                <w:rFonts w:ascii="Aptos" w:hAnsi="Aptos"/>
                <w:color w:val="auto"/>
                <w:u w:val="none"/>
              </w:rPr>
              <w:t>Updated links for several references.</w:t>
            </w:r>
          </w:p>
        </w:tc>
        <w:tc>
          <w:tcPr>
            <w:tcW w:w="1215" w:type="dxa"/>
            <w:vAlign w:val="center"/>
          </w:tcPr>
          <w:p w14:paraId="3C724400" w14:textId="1C9D6864" w:rsidR="002D3A38" w:rsidRPr="00225D78" w:rsidRDefault="002D3A38" w:rsidP="002D3A38">
            <w:pPr>
              <w:rPr>
                <w:rFonts w:ascii="Aptos" w:hAnsi="Aptos"/>
              </w:rPr>
            </w:pPr>
            <w:r w:rsidRPr="00225D78">
              <w:rPr>
                <w:rFonts w:ascii="Aptos" w:hAnsi="Aptos"/>
              </w:rPr>
              <w:t>November 2025</w:t>
            </w:r>
          </w:p>
        </w:tc>
        <w:tc>
          <w:tcPr>
            <w:tcW w:w="1126" w:type="dxa"/>
            <w:vAlign w:val="center"/>
          </w:tcPr>
          <w:p w14:paraId="06A78081" w14:textId="17B56579" w:rsidR="002D3A38" w:rsidRPr="00225D78" w:rsidRDefault="00E12457" w:rsidP="002D3A38">
            <w:pPr>
              <w:rPr>
                <w:rFonts w:ascii="Aptos" w:hAnsi="Aptos"/>
              </w:rPr>
            </w:pPr>
            <w:r w:rsidRPr="00225D78">
              <w:rPr>
                <w:rFonts w:ascii="Aptos" w:hAnsi="Aptos"/>
              </w:rPr>
              <w:t>3.1</w:t>
            </w:r>
          </w:p>
        </w:tc>
      </w:tr>
      <w:tr w:rsidR="00642DC5" w:rsidRPr="00541AED" w14:paraId="3B0F86CB" w14:textId="77777777" w:rsidTr="00E97EF5">
        <w:trPr>
          <w:cantSplit/>
        </w:trPr>
        <w:tc>
          <w:tcPr>
            <w:tcW w:w="2411" w:type="dxa"/>
            <w:vMerge w:val="restart"/>
            <w:vAlign w:val="center"/>
          </w:tcPr>
          <w:p w14:paraId="4540D180" w14:textId="69FDDA4F" w:rsidR="00642DC5" w:rsidRPr="00C827C3" w:rsidRDefault="00642DC5" w:rsidP="005638CE">
            <w:pPr>
              <w:rPr>
                <w:rFonts w:ascii="Aptos" w:hAnsi="Aptos"/>
              </w:rPr>
            </w:pPr>
            <w:r w:rsidRPr="00C827C3">
              <w:rPr>
                <w:rFonts w:ascii="Aptos" w:hAnsi="Aptos" w:cs="Helvetica"/>
                <w:color w:val="333333"/>
              </w:rPr>
              <w:t xml:space="preserve">Inborn errors of immunity (IEI) with antibody deficiency </w:t>
            </w:r>
          </w:p>
        </w:tc>
        <w:tc>
          <w:tcPr>
            <w:tcW w:w="4677" w:type="dxa"/>
            <w:vMerge w:val="restart"/>
            <w:vAlign w:val="center"/>
          </w:tcPr>
          <w:p w14:paraId="07888812" w14:textId="77777777" w:rsidR="00642DC5" w:rsidRPr="00C827C3" w:rsidRDefault="00642DC5" w:rsidP="00CB4F2A">
            <w:pPr>
              <w:pStyle w:val="ListParagraph"/>
              <w:numPr>
                <w:ilvl w:val="0"/>
                <w:numId w:val="6"/>
              </w:numPr>
              <w:ind w:left="357" w:hanging="357"/>
              <w:contextualSpacing w:val="0"/>
              <w:rPr>
                <w:rFonts w:ascii="Aptos" w:hAnsi="Aptos"/>
              </w:rPr>
            </w:pPr>
            <w:bookmarkStart w:id="5" w:name="_Hlk212537135"/>
            <w:r w:rsidRPr="00C827C3">
              <w:rPr>
                <w:rFonts w:ascii="Aptos" w:hAnsi="Aptos"/>
              </w:rPr>
              <w:t>Replacement therapy in common variable immune deficiency (CVID) – ESID diagnostic criteria met</w:t>
            </w:r>
          </w:p>
          <w:p w14:paraId="1BD8C494" w14:textId="67DA1E84" w:rsidR="00642DC5" w:rsidRPr="00C827C3" w:rsidRDefault="00642DC5" w:rsidP="00CB4F2A">
            <w:pPr>
              <w:pStyle w:val="ListParagraph"/>
              <w:numPr>
                <w:ilvl w:val="0"/>
                <w:numId w:val="6"/>
              </w:numPr>
              <w:ind w:left="357" w:hanging="357"/>
              <w:contextualSpacing w:val="0"/>
              <w:rPr>
                <w:rFonts w:ascii="Aptos" w:hAnsi="Aptos"/>
              </w:rPr>
            </w:pPr>
            <w:r w:rsidRPr="00C827C3">
              <w:rPr>
                <w:rFonts w:ascii="Aptos" w:hAnsi="Aptos"/>
              </w:rPr>
              <w:t>Replacement therapy in possible common variable immune deficiency (CVID) – below normal serum IgG and normal IgA level</w:t>
            </w:r>
          </w:p>
          <w:p w14:paraId="65FA116B" w14:textId="77777777" w:rsidR="00642DC5" w:rsidRPr="00C827C3" w:rsidRDefault="00642DC5" w:rsidP="00CB4F2A">
            <w:pPr>
              <w:pStyle w:val="ListParagraph"/>
              <w:numPr>
                <w:ilvl w:val="0"/>
                <w:numId w:val="6"/>
              </w:numPr>
              <w:ind w:left="357" w:hanging="357"/>
              <w:contextualSpacing w:val="0"/>
              <w:rPr>
                <w:rFonts w:ascii="Aptos" w:hAnsi="Aptos"/>
              </w:rPr>
            </w:pPr>
            <w:r w:rsidRPr="00C827C3">
              <w:rPr>
                <w:rFonts w:ascii="Aptos" w:hAnsi="Aptos"/>
              </w:rPr>
              <w:t xml:space="preserve">Replacement therapy in transient hypogammaglobulinaemia of infancy (children aged less than 4 years) </w:t>
            </w:r>
          </w:p>
          <w:p w14:paraId="62B1E993" w14:textId="457B23CA" w:rsidR="00642DC5" w:rsidRPr="00C827C3" w:rsidRDefault="00642DC5" w:rsidP="00CB4F2A">
            <w:pPr>
              <w:pStyle w:val="ListParagraph"/>
              <w:numPr>
                <w:ilvl w:val="0"/>
                <w:numId w:val="6"/>
              </w:numPr>
              <w:ind w:left="357" w:hanging="357"/>
              <w:contextualSpacing w:val="0"/>
              <w:rPr>
                <w:rFonts w:ascii="Aptos" w:hAnsi="Aptos"/>
              </w:rPr>
            </w:pPr>
            <w:r w:rsidRPr="00C827C3">
              <w:rPr>
                <w:rFonts w:ascii="Aptos" w:hAnsi="Aptos"/>
              </w:rPr>
              <w:lastRenderedPageBreak/>
              <w:t>Replacement therapy in recognised inborn errors of immunity for which immunoglobulin replacement is universally indicated (e.g. SCID, Wiskott-Aldrich syndrome, etc.)</w:t>
            </w:r>
            <w:bookmarkEnd w:id="5"/>
          </w:p>
        </w:tc>
        <w:tc>
          <w:tcPr>
            <w:tcW w:w="6237" w:type="dxa"/>
            <w:vAlign w:val="center"/>
          </w:tcPr>
          <w:p w14:paraId="39063144" w14:textId="73099CBB" w:rsidR="00642DC5" w:rsidRPr="00C827C3" w:rsidRDefault="00642DC5" w:rsidP="005638CE">
            <w:pPr>
              <w:pStyle w:val="ListParagraph"/>
              <w:numPr>
                <w:ilvl w:val="0"/>
                <w:numId w:val="6"/>
              </w:numPr>
              <w:tabs>
                <w:tab w:val="left" w:pos="902"/>
              </w:tabs>
              <w:rPr>
                <w:rFonts w:ascii="Aptos" w:hAnsi="Aptos"/>
              </w:rPr>
            </w:pPr>
            <w:r w:rsidRPr="00C827C3">
              <w:rPr>
                <w:rFonts w:ascii="Aptos" w:hAnsi="Aptos"/>
              </w:rPr>
              <w:lastRenderedPageBreak/>
              <w:t xml:space="preserve">Updated descriptive text to include more information about </w:t>
            </w:r>
            <w:r w:rsidR="00DF76D5">
              <w:rPr>
                <w:rFonts w:ascii="Aptos" w:hAnsi="Aptos"/>
              </w:rPr>
              <w:t>IEIs</w:t>
            </w:r>
            <w:r w:rsidRPr="00C827C3">
              <w:rPr>
                <w:rFonts w:ascii="Aptos" w:hAnsi="Aptos"/>
              </w:rPr>
              <w:t>.</w:t>
            </w:r>
          </w:p>
          <w:p w14:paraId="48173359" w14:textId="0FED3DE5" w:rsidR="00642DC5" w:rsidRPr="00C827C3" w:rsidRDefault="00642DC5" w:rsidP="005638CE">
            <w:pPr>
              <w:pStyle w:val="ListParagraph"/>
              <w:numPr>
                <w:ilvl w:val="0"/>
                <w:numId w:val="6"/>
              </w:numPr>
              <w:tabs>
                <w:tab w:val="left" w:pos="902"/>
              </w:tabs>
              <w:rPr>
                <w:rFonts w:ascii="Aptos" w:hAnsi="Aptos"/>
              </w:rPr>
            </w:pPr>
            <w:r w:rsidRPr="00C827C3">
              <w:rPr>
                <w:rFonts w:ascii="Aptos" w:hAnsi="Aptos"/>
              </w:rPr>
              <w:t xml:space="preserve">Amended the criteria for indication 4 to remove the requirement of hypogammaglobulinaemia in patients with recognised </w:t>
            </w:r>
            <w:r w:rsidR="00DF76D5">
              <w:rPr>
                <w:rFonts w:ascii="Aptos" w:hAnsi="Aptos"/>
              </w:rPr>
              <w:t>IEIs</w:t>
            </w:r>
            <w:r w:rsidRPr="00C827C3">
              <w:rPr>
                <w:rFonts w:ascii="Aptos" w:hAnsi="Aptos"/>
              </w:rPr>
              <w:t xml:space="preserve"> for which </w:t>
            </w:r>
            <w:r w:rsidR="00DF76D5">
              <w:rPr>
                <w:rFonts w:ascii="Aptos" w:hAnsi="Aptos"/>
              </w:rPr>
              <w:t xml:space="preserve">Ig </w:t>
            </w:r>
            <w:r w:rsidRPr="00C827C3">
              <w:rPr>
                <w:rFonts w:ascii="Aptos" w:hAnsi="Aptos"/>
              </w:rPr>
              <w:t>replacement is universally indicated.</w:t>
            </w:r>
          </w:p>
          <w:p w14:paraId="219059E6" w14:textId="3FCC5C39" w:rsidR="00642DC5" w:rsidRPr="00C827C3" w:rsidRDefault="00642DC5" w:rsidP="005638CE">
            <w:pPr>
              <w:pStyle w:val="ListParagraph"/>
              <w:numPr>
                <w:ilvl w:val="0"/>
                <w:numId w:val="6"/>
              </w:numPr>
              <w:tabs>
                <w:tab w:val="left" w:pos="902"/>
              </w:tabs>
              <w:rPr>
                <w:rFonts w:ascii="Aptos" w:hAnsi="Aptos"/>
              </w:rPr>
            </w:pPr>
            <w:r w:rsidRPr="00C827C3">
              <w:rPr>
                <w:rFonts w:ascii="Aptos" w:hAnsi="Aptos"/>
              </w:rPr>
              <w:t xml:space="preserve">Added </w:t>
            </w:r>
            <w:r w:rsidR="00DF76D5">
              <w:rPr>
                <w:rFonts w:ascii="Aptos" w:hAnsi="Aptos"/>
              </w:rPr>
              <w:t>4</w:t>
            </w:r>
            <w:r w:rsidRPr="00C827C3">
              <w:rPr>
                <w:rFonts w:ascii="Aptos" w:hAnsi="Aptos"/>
              </w:rPr>
              <w:t xml:space="preserve"> new references relating to the changes to indication 4.</w:t>
            </w:r>
          </w:p>
          <w:p w14:paraId="4838CFDB" w14:textId="51BC6F2B" w:rsidR="00642DC5" w:rsidRPr="00C827C3" w:rsidRDefault="00642DC5" w:rsidP="005638CE">
            <w:pPr>
              <w:pStyle w:val="ListParagraph"/>
              <w:numPr>
                <w:ilvl w:val="0"/>
                <w:numId w:val="6"/>
              </w:numPr>
              <w:tabs>
                <w:tab w:val="left" w:pos="902"/>
              </w:tabs>
              <w:rPr>
                <w:rFonts w:ascii="Aptos" w:hAnsi="Aptos"/>
              </w:rPr>
            </w:pPr>
            <w:r w:rsidRPr="00C827C3">
              <w:rPr>
                <w:rFonts w:ascii="Aptos" w:hAnsi="Aptos"/>
              </w:rPr>
              <w:t>Updated links for several references.</w:t>
            </w:r>
          </w:p>
          <w:p w14:paraId="5E5A9094" w14:textId="4501AF18" w:rsidR="00642DC5" w:rsidRPr="00C827C3" w:rsidRDefault="00642DC5" w:rsidP="005638CE">
            <w:pPr>
              <w:pStyle w:val="ListParagraph"/>
              <w:numPr>
                <w:ilvl w:val="0"/>
                <w:numId w:val="6"/>
              </w:numPr>
              <w:tabs>
                <w:tab w:val="left" w:pos="902"/>
              </w:tabs>
              <w:rPr>
                <w:rFonts w:ascii="Aptos" w:hAnsi="Aptos"/>
              </w:rPr>
            </w:pPr>
            <w:r w:rsidRPr="00C827C3">
              <w:rPr>
                <w:rFonts w:ascii="Aptos" w:hAnsi="Aptos"/>
              </w:rPr>
              <w:t>Added links to exclusion criteria.</w:t>
            </w:r>
          </w:p>
        </w:tc>
        <w:tc>
          <w:tcPr>
            <w:tcW w:w="1215" w:type="dxa"/>
            <w:vAlign w:val="center"/>
          </w:tcPr>
          <w:p w14:paraId="53697859" w14:textId="63040EC7" w:rsidR="00642DC5" w:rsidRPr="00C827C3" w:rsidRDefault="00642DC5" w:rsidP="005638CE">
            <w:pPr>
              <w:rPr>
                <w:rFonts w:ascii="Aptos" w:hAnsi="Aptos"/>
              </w:rPr>
            </w:pPr>
            <w:r w:rsidRPr="00C827C3">
              <w:rPr>
                <w:rFonts w:ascii="Aptos" w:hAnsi="Aptos"/>
              </w:rPr>
              <w:t>April 2025</w:t>
            </w:r>
          </w:p>
        </w:tc>
        <w:tc>
          <w:tcPr>
            <w:tcW w:w="1126" w:type="dxa"/>
            <w:vAlign w:val="center"/>
          </w:tcPr>
          <w:p w14:paraId="103ACE78" w14:textId="23380ED6" w:rsidR="00642DC5" w:rsidRPr="00C827C3" w:rsidRDefault="00642DC5" w:rsidP="005638CE">
            <w:pPr>
              <w:rPr>
                <w:rFonts w:ascii="Aptos" w:hAnsi="Aptos"/>
              </w:rPr>
            </w:pPr>
            <w:r w:rsidRPr="00C827C3">
              <w:rPr>
                <w:rFonts w:ascii="Aptos" w:hAnsi="Aptos"/>
              </w:rPr>
              <w:t>3.6</w:t>
            </w:r>
          </w:p>
        </w:tc>
      </w:tr>
      <w:tr w:rsidR="00642DC5" w:rsidRPr="00541AED" w14:paraId="334D5842" w14:textId="77777777" w:rsidTr="00E97EF5">
        <w:trPr>
          <w:cantSplit/>
        </w:trPr>
        <w:tc>
          <w:tcPr>
            <w:tcW w:w="2411" w:type="dxa"/>
            <w:vMerge/>
            <w:vAlign w:val="center"/>
          </w:tcPr>
          <w:p w14:paraId="5C01244D" w14:textId="77777777" w:rsidR="00642DC5" w:rsidRPr="00541AED" w:rsidRDefault="00642DC5" w:rsidP="005638CE">
            <w:pPr>
              <w:rPr>
                <w:rFonts w:ascii="Aptos" w:hAnsi="Aptos" w:cs="Helvetica"/>
                <w:color w:val="333333"/>
              </w:rPr>
            </w:pPr>
          </w:p>
        </w:tc>
        <w:tc>
          <w:tcPr>
            <w:tcW w:w="4677" w:type="dxa"/>
            <w:vMerge/>
            <w:vAlign w:val="center"/>
          </w:tcPr>
          <w:p w14:paraId="32DA75B7" w14:textId="77605D30" w:rsidR="00642DC5" w:rsidRPr="00541AED" w:rsidRDefault="00642DC5" w:rsidP="005638CE">
            <w:pPr>
              <w:pStyle w:val="ListParagraph"/>
              <w:numPr>
                <w:ilvl w:val="0"/>
                <w:numId w:val="6"/>
              </w:numPr>
              <w:rPr>
                <w:rFonts w:ascii="Aptos" w:hAnsi="Aptos"/>
              </w:rPr>
            </w:pPr>
          </w:p>
        </w:tc>
        <w:tc>
          <w:tcPr>
            <w:tcW w:w="6237" w:type="dxa"/>
            <w:vAlign w:val="center"/>
          </w:tcPr>
          <w:p w14:paraId="1C62112A" w14:textId="58DB3C08" w:rsidR="00642DC5" w:rsidRPr="00541AED" w:rsidRDefault="00642DC5" w:rsidP="005638CE">
            <w:pPr>
              <w:pStyle w:val="ListParagraph"/>
              <w:numPr>
                <w:ilvl w:val="0"/>
                <w:numId w:val="6"/>
              </w:numPr>
              <w:tabs>
                <w:tab w:val="left" w:pos="902"/>
              </w:tabs>
              <w:rPr>
                <w:rFonts w:ascii="Aptos" w:hAnsi="Aptos"/>
              </w:rPr>
            </w:pPr>
            <w:r w:rsidRPr="00541AED">
              <w:rPr>
                <w:rFonts w:ascii="Aptos" w:hAnsi="Aptos"/>
              </w:rPr>
              <w:t>Changed all instances of ‘primary immunodeficiency diseases’ to ‘inborn errors of immunity’.</w:t>
            </w:r>
          </w:p>
          <w:p w14:paraId="74D37965" w14:textId="61E7F263" w:rsidR="00642DC5" w:rsidRPr="00541AED" w:rsidRDefault="00642DC5" w:rsidP="005638CE">
            <w:pPr>
              <w:pStyle w:val="ListParagraph"/>
              <w:numPr>
                <w:ilvl w:val="0"/>
                <w:numId w:val="6"/>
              </w:numPr>
              <w:tabs>
                <w:tab w:val="left" w:pos="902"/>
              </w:tabs>
              <w:rPr>
                <w:rFonts w:ascii="Aptos" w:hAnsi="Aptos"/>
              </w:rPr>
            </w:pPr>
            <w:r w:rsidRPr="00541AED">
              <w:rPr>
                <w:rFonts w:ascii="Aptos" w:hAnsi="Aptos"/>
              </w:rPr>
              <w:t>Change</w:t>
            </w:r>
            <w:r w:rsidR="003D544B">
              <w:rPr>
                <w:rFonts w:ascii="Aptos" w:hAnsi="Aptos"/>
              </w:rPr>
              <w:t>d</w:t>
            </w:r>
            <w:r w:rsidRPr="00541AED">
              <w:rPr>
                <w:rFonts w:ascii="Aptos" w:hAnsi="Aptos"/>
              </w:rPr>
              <w:t xml:space="preserve"> conditions for additional dose clarifying that clinician should list the patient’s current IgG level in the comment box.</w:t>
            </w:r>
          </w:p>
          <w:p w14:paraId="7C21DDCE" w14:textId="77777777" w:rsidR="00642DC5" w:rsidRPr="00541AED" w:rsidRDefault="00642DC5" w:rsidP="005638CE">
            <w:pPr>
              <w:pStyle w:val="ListParagraph"/>
              <w:numPr>
                <w:ilvl w:val="0"/>
                <w:numId w:val="6"/>
              </w:numPr>
              <w:tabs>
                <w:tab w:val="left" w:pos="902"/>
              </w:tabs>
              <w:rPr>
                <w:rFonts w:ascii="Aptos" w:hAnsi="Aptos"/>
              </w:rPr>
            </w:pPr>
            <w:r w:rsidRPr="00541AED">
              <w:rPr>
                <w:rFonts w:ascii="Aptos" w:hAnsi="Aptos"/>
              </w:rPr>
              <w:t>Corrected a transcription error in the initial review criteria for indication 1.</w:t>
            </w:r>
          </w:p>
          <w:p w14:paraId="01E2BBDC" w14:textId="56DF8CD5" w:rsidR="00642DC5" w:rsidRPr="003D544B" w:rsidRDefault="00642DC5" w:rsidP="003D544B">
            <w:pPr>
              <w:pStyle w:val="ListParagraph"/>
              <w:numPr>
                <w:ilvl w:val="0"/>
                <w:numId w:val="6"/>
              </w:numPr>
              <w:tabs>
                <w:tab w:val="left" w:pos="902"/>
              </w:tabs>
              <w:rPr>
                <w:rFonts w:ascii="Aptos" w:hAnsi="Aptos" w:cstheme="minorHAnsi"/>
              </w:rPr>
            </w:pPr>
            <w:r w:rsidRPr="00541AED">
              <w:rPr>
                <w:rFonts w:ascii="Aptos" w:hAnsi="Aptos"/>
              </w:rPr>
              <w:t xml:space="preserve">Corrected a transcription error in the transitioning authorisation review criteria for </w:t>
            </w:r>
            <w:r w:rsidRPr="00541AED">
              <w:rPr>
                <w:rFonts w:ascii="Aptos" w:hAnsi="Aptos" w:cstheme="minorHAnsi"/>
              </w:rPr>
              <w:t>indication 1.</w:t>
            </w:r>
          </w:p>
        </w:tc>
        <w:tc>
          <w:tcPr>
            <w:tcW w:w="1215" w:type="dxa"/>
            <w:vAlign w:val="center"/>
          </w:tcPr>
          <w:p w14:paraId="724D9A3F" w14:textId="61985DE3" w:rsidR="00642DC5" w:rsidRPr="00541AED" w:rsidRDefault="00642DC5" w:rsidP="005638CE">
            <w:pPr>
              <w:rPr>
                <w:rFonts w:ascii="Aptos" w:hAnsi="Aptos"/>
              </w:rPr>
            </w:pPr>
            <w:r w:rsidRPr="00541AED">
              <w:rPr>
                <w:rFonts w:ascii="Aptos" w:hAnsi="Aptos"/>
              </w:rPr>
              <w:t>December 2024</w:t>
            </w:r>
          </w:p>
        </w:tc>
        <w:tc>
          <w:tcPr>
            <w:tcW w:w="1126" w:type="dxa"/>
            <w:vAlign w:val="center"/>
          </w:tcPr>
          <w:p w14:paraId="26234CFD" w14:textId="2D96ADA0" w:rsidR="00642DC5" w:rsidRPr="00541AED" w:rsidRDefault="00642DC5" w:rsidP="005638CE">
            <w:pPr>
              <w:rPr>
                <w:rFonts w:ascii="Aptos" w:hAnsi="Aptos"/>
              </w:rPr>
            </w:pPr>
            <w:r w:rsidRPr="00541AED">
              <w:rPr>
                <w:rFonts w:ascii="Aptos" w:hAnsi="Aptos"/>
              </w:rPr>
              <w:t>3.5</w:t>
            </w:r>
          </w:p>
        </w:tc>
      </w:tr>
      <w:tr w:rsidR="00642DC5" w:rsidRPr="00541AED" w14:paraId="3B05A86E" w14:textId="77777777" w:rsidTr="00E97EF5">
        <w:trPr>
          <w:cantSplit/>
        </w:trPr>
        <w:tc>
          <w:tcPr>
            <w:tcW w:w="2411" w:type="dxa"/>
            <w:vMerge/>
            <w:vAlign w:val="center"/>
          </w:tcPr>
          <w:p w14:paraId="7C431F2D" w14:textId="77777777" w:rsidR="00642DC5" w:rsidRPr="00541AED" w:rsidRDefault="00642DC5" w:rsidP="005638CE">
            <w:pPr>
              <w:rPr>
                <w:rFonts w:ascii="Aptos" w:hAnsi="Aptos" w:cs="Helvetica"/>
                <w:color w:val="333333"/>
              </w:rPr>
            </w:pPr>
          </w:p>
        </w:tc>
        <w:tc>
          <w:tcPr>
            <w:tcW w:w="4677" w:type="dxa"/>
            <w:vMerge/>
            <w:vAlign w:val="center"/>
          </w:tcPr>
          <w:p w14:paraId="360FF3FD" w14:textId="77777777" w:rsidR="00642DC5" w:rsidRPr="00541AED" w:rsidRDefault="00642DC5" w:rsidP="005638CE">
            <w:pPr>
              <w:rPr>
                <w:rFonts w:ascii="Aptos" w:hAnsi="Aptos"/>
              </w:rPr>
            </w:pPr>
          </w:p>
        </w:tc>
        <w:tc>
          <w:tcPr>
            <w:tcW w:w="6237" w:type="dxa"/>
            <w:vAlign w:val="center"/>
          </w:tcPr>
          <w:p w14:paraId="1D100774" w14:textId="561E2C54" w:rsidR="00642DC5" w:rsidRPr="00541AED" w:rsidRDefault="00642DC5" w:rsidP="005638CE">
            <w:pPr>
              <w:pStyle w:val="ListParagraph"/>
              <w:numPr>
                <w:ilvl w:val="0"/>
                <w:numId w:val="6"/>
              </w:numPr>
              <w:tabs>
                <w:tab w:val="left" w:pos="902"/>
              </w:tabs>
              <w:rPr>
                <w:rFonts w:ascii="Aptos" w:hAnsi="Aptos"/>
              </w:rPr>
            </w:pPr>
            <w:r w:rsidRPr="00541AED">
              <w:rPr>
                <w:rFonts w:ascii="Aptos" w:hAnsi="Aptos"/>
              </w:rPr>
              <w:t>Reduce</w:t>
            </w:r>
            <w:r w:rsidR="003D544B">
              <w:rPr>
                <w:rFonts w:ascii="Aptos" w:hAnsi="Aptos"/>
              </w:rPr>
              <w:t>d</w:t>
            </w:r>
            <w:r w:rsidRPr="00541AED">
              <w:rPr>
                <w:rFonts w:ascii="Aptos" w:hAnsi="Aptos"/>
              </w:rPr>
              <w:t xml:space="preserve"> the age to 2 years (from 4 years) for indication </w:t>
            </w:r>
            <w:r w:rsidR="003D544B">
              <w:rPr>
                <w:rFonts w:ascii="Aptos" w:hAnsi="Aptos"/>
              </w:rPr>
              <w:t xml:space="preserve">1. </w:t>
            </w:r>
          </w:p>
        </w:tc>
        <w:tc>
          <w:tcPr>
            <w:tcW w:w="1215" w:type="dxa"/>
            <w:vAlign w:val="center"/>
          </w:tcPr>
          <w:p w14:paraId="0AFABF1E" w14:textId="361886A4" w:rsidR="00642DC5" w:rsidRPr="00541AED" w:rsidRDefault="00642DC5" w:rsidP="005638CE">
            <w:pPr>
              <w:rPr>
                <w:rFonts w:ascii="Aptos" w:hAnsi="Aptos"/>
              </w:rPr>
            </w:pPr>
            <w:r w:rsidRPr="00541AED">
              <w:rPr>
                <w:rFonts w:ascii="Aptos" w:hAnsi="Aptos"/>
              </w:rPr>
              <w:t>November 2023</w:t>
            </w:r>
          </w:p>
        </w:tc>
        <w:tc>
          <w:tcPr>
            <w:tcW w:w="1126" w:type="dxa"/>
            <w:vAlign w:val="center"/>
          </w:tcPr>
          <w:p w14:paraId="50828A6F" w14:textId="65F2113A" w:rsidR="00642DC5" w:rsidRPr="00541AED" w:rsidRDefault="00642DC5" w:rsidP="005638CE">
            <w:pPr>
              <w:rPr>
                <w:rFonts w:ascii="Aptos" w:hAnsi="Aptos"/>
              </w:rPr>
            </w:pPr>
            <w:r w:rsidRPr="00541AED">
              <w:rPr>
                <w:rFonts w:ascii="Aptos" w:hAnsi="Aptos"/>
              </w:rPr>
              <w:t>3.4</w:t>
            </w:r>
          </w:p>
        </w:tc>
      </w:tr>
      <w:tr w:rsidR="00642DC5" w:rsidRPr="00541AED" w14:paraId="7ACDA1CD" w14:textId="77777777" w:rsidTr="00E97EF5">
        <w:trPr>
          <w:cantSplit/>
        </w:trPr>
        <w:tc>
          <w:tcPr>
            <w:tcW w:w="2411" w:type="dxa"/>
            <w:vMerge/>
            <w:vAlign w:val="center"/>
          </w:tcPr>
          <w:p w14:paraId="5FB2B8FA" w14:textId="15B75CE3" w:rsidR="00642DC5" w:rsidRPr="00541AED" w:rsidRDefault="00642DC5" w:rsidP="005638CE">
            <w:pPr>
              <w:rPr>
                <w:rFonts w:ascii="Aptos" w:hAnsi="Aptos" w:cs="Helvetica"/>
                <w:color w:val="333333"/>
              </w:rPr>
            </w:pPr>
          </w:p>
        </w:tc>
        <w:tc>
          <w:tcPr>
            <w:tcW w:w="4677" w:type="dxa"/>
            <w:vMerge/>
            <w:vAlign w:val="center"/>
          </w:tcPr>
          <w:p w14:paraId="666F47C1" w14:textId="19AE2245" w:rsidR="00642DC5" w:rsidRPr="00541AED" w:rsidRDefault="00642DC5" w:rsidP="005638CE">
            <w:pPr>
              <w:rPr>
                <w:rFonts w:ascii="Aptos" w:hAnsi="Aptos"/>
              </w:rPr>
            </w:pPr>
          </w:p>
        </w:tc>
        <w:tc>
          <w:tcPr>
            <w:tcW w:w="6237" w:type="dxa"/>
            <w:vAlign w:val="center"/>
          </w:tcPr>
          <w:p w14:paraId="14880996" w14:textId="5E133EF8" w:rsidR="00642DC5" w:rsidRPr="00541AED" w:rsidRDefault="003D544B" w:rsidP="005638CE">
            <w:pPr>
              <w:pStyle w:val="ListParagraph"/>
              <w:numPr>
                <w:ilvl w:val="0"/>
                <w:numId w:val="6"/>
              </w:numPr>
              <w:tabs>
                <w:tab w:val="left" w:pos="902"/>
              </w:tabs>
              <w:rPr>
                <w:rFonts w:ascii="Aptos" w:hAnsi="Aptos"/>
              </w:rPr>
            </w:pPr>
            <w:r>
              <w:rPr>
                <w:rFonts w:ascii="Aptos" w:hAnsi="Aptos"/>
              </w:rPr>
              <w:t>I</w:t>
            </w:r>
            <w:r w:rsidR="00642DC5" w:rsidRPr="00541AED">
              <w:rPr>
                <w:rFonts w:ascii="Aptos" w:hAnsi="Aptos"/>
              </w:rPr>
              <w:t>nterpretation of results values for all Ig levels now include</w:t>
            </w:r>
            <w:r>
              <w:rPr>
                <w:rFonts w:ascii="Aptos" w:hAnsi="Aptos"/>
              </w:rPr>
              <w:t>s option</w:t>
            </w:r>
            <w:r w:rsidR="00642DC5" w:rsidRPr="00541AED">
              <w:rPr>
                <w:rFonts w:ascii="Aptos" w:hAnsi="Aptos"/>
              </w:rPr>
              <w:t xml:space="preserve"> to </w:t>
            </w:r>
            <w:r>
              <w:rPr>
                <w:rFonts w:ascii="Aptos" w:hAnsi="Aptos"/>
              </w:rPr>
              <w:t xml:space="preserve">record </w:t>
            </w:r>
            <w:r w:rsidR="00642DC5" w:rsidRPr="00541AED">
              <w:rPr>
                <w:rFonts w:ascii="Aptos" w:hAnsi="Aptos"/>
              </w:rPr>
              <w:t>results above normal range.</w:t>
            </w:r>
          </w:p>
          <w:p w14:paraId="55033189" w14:textId="16D4CDAB" w:rsidR="00642DC5" w:rsidRPr="00541AED" w:rsidRDefault="003D544B" w:rsidP="005638CE">
            <w:pPr>
              <w:pStyle w:val="ListParagraph"/>
              <w:numPr>
                <w:ilvl w:val="0"/>
                <w:numId w:val="6"/>
              </w:numPr>
              <w:rPr>
                <w:rFonts w:ascii="Aptos" w:hAnsi="Aptos"/>
              </w:rPr>
            </w:pPr>
            <w:r>
              <w:rPr>
                <w:rFonts w:ascii="Aptos" w:hAnsi="Aptos"/>
              </w:rPr>
              <w:t>E</w:t>
            </w:r>
            <w:r w:rsidR="00642DC5" w:rsidRPr="00541AED">
              <w:rPr>
                <w:rFonts w:ascii="Aptos" w:hAnsi="Aptos"/>
              </w:rPr>
              <w:t xml:space="preserve">vidence item </w:t>
            </w:r>
            <w:r>
              <w:rPr>
                <w:rFonts w:ascii="Aptos" w:hAnsi="Aptos"/>
              </w:rPr>
              <w:t xml:space="preserve">relating to </w:t>
            </w:r>
            <w:r w:rsidR="00642DC5" w:rsidRPr="00541AED">
              <w:rPr>
                <w:rFonts w:ascii="Aptos" w:hAnsi="Aptos"/>
              </w:rPr>
              <w:t xml:space="preserve">secondary hypogammaglobulinaemia removed as </w:t>
            </w:r>
            <w:r>
              <w:rPr>
                <w:rFonts w:ascii="Aptos" w:hAnsi="Aptos"/>
              </w:rPr>
              <w:t>th</w:t>
            </w:r>
            <w:r w:rsidR="00642DC5" w:rsidRPr="00541AED">
              <w:rPr>
                <w:rFonts w:ascii="Aptos" w:hAnsi="Aptos"/>
              </w:rPr>
              <w:t xml:space="preserve">is </w:t>
            </w:r>
            <w:r>
              <w:rPr>
                <w:rFonts w:ascii="Aptos" w:hAnsi="Aptos"/>
              </w:rPr>
              <w:t xml:space="preserve">now </w:t>
            </w:r>
            <w:r w:rsidR="00642DC5" w:rsidRPr="00541AED">
              <w:rPr>
                <w:rFonts w:ascii="Aptos" w:hAnsi="Aptos"/>
              </w:rPr>
              <w:t>included in exclusion criteria.</w:t>
            </w:r>
          </w:p>
          <w:p w14:paraId="7A589FAF" w14:textId="590F7263" w:rsidR="00642DC5" w:rsidRPr="00541AED" w:rsidRDefault="00642DC5" w:rsidP="005638CE">
            <w:pPr>
              <w:pStyle w:val="ListParagraph"/>
              <w:numPr>
                <w:ilvl w:val="0"/>
                <w:numId w:val="6"/>
              </w:numPr>
              <w:tabs>
                <w:tab w:val="left" w:pos="902"/>
              </w:tabs>
              <w:rPr>
                <w:rFonts w:ascii="Aptos" w:hAnsi="Aptos"/>
              </w:rPr>
            </w:pPr>
            <w:r w:rsidRPr="00541AED">
              <w:rPr>
                <w:rFonts w:ascii="Aptos" w:hAnsi="Aptos"/>
              </w:rPr>
              <w:t>T</w:t>
            </w:r>
            <w:r w:rsidR="003D544B">
              <w:rPr>
                <w:rFonts w:ascii="Aptos" w:hAnsi="Aptos"/>
              </w:rPr>
              <w:t>ri</w:t>
            </w:r>
            <w:r w:rsidRPr="00541AED">
              <w:rPr>
                <w:rFonts w:ascii="Aptos" w:hAnsi="Aptos"/>
              </w:rPr>
              <w:t>al</w:t>
            </w:r>
            <w:r w:rsidR="003D544B">
              <w:rPr>
                <w:rFonts w:ascii="Aptos" w:hAnsi="Aptos"/>
              </w:rPr>
              <w:t xml:space="preserve"> of</w:t>
            </w:r>
            <w:r w:rsidRPr="00541AED">
              <w:rPr>
                <w:rFonts w:ascii="Aptos" w:hAnsi="Aptos"/>
              </w:rPr>
              <w:t xml:space="preserve"> cessation criterion </w:t>
            </w:r>
            <w:r w:rsidR="003D544B">
              <w:rPr>
                <w:rFonts w:ascii="Aptos" w:hAnsi="Aptos"/>
              </w:rPr>
              <w:t>has been updated to ensure medical officers are aware this must be completed.</w:t>
            </w:r>
          </w:p>
          <w:p w14:paraId="7EFC5402" w14:textId="3AAE2EF9" w:rsidR="00642DC5" w:rsidRPr="00541AED" w:rsidRDefault="003D544B" w:rsidP="005638CE">
            <w:pPr>
              <w:pStyle w:val="ListParagraph"/>
              <w:numPr>
                <w:ilvl w:val="0"/>
                <w:numId w:val="6"/>
              </w:numPr>
              <w:rPr>
                <w:rFonts w:ascii="Aptos" w:hAnsi="Aptos"/>
              </w:rPr>
            </w:pPr>
            <w:r>
              <w:rPr>
                <w:rFonts w:ascii="Aptos" w:hAnsi="Aptos"/>
              </w:rPr>
              <w:t>D</w:t>
            </w:r>
            <w:r w:rsidR="00642DC5" w:rsidRPr="00541AED">
              <w:rPr>
                <w:rFonts w:ascii="Aptos" w:hAnsi="Aptos"/>
              </w:rPr>
              <w:t>escription and diagnostic criteria updated to provide clarity around the European Society for Immunodeficiency Diseases (ESID) diagnostic criteria.</w:t>
            </w:r>
          </w:p>
          <w:p w14:paraId="0F36448B" w14:textId="178A8B94" w:rsidR="00642DC5" w:rsidRPr="00541AED" w:rsidRDefault="003D544B" w:rsidP="005638CE">
            <w:pPr>
              <w:pStyle w:val="ListParagraph"/>
              <w:numPr>
                <w:ilvl w:val="0"/>
                <w:numId w:val="6"/>
              </w:numPr>
              <w:rPr>
                <w:rFonts w:ascii="Aptos" w:hAnsi="Aptos"/>
              </w:rPr>
            </w:pPr>
            <w:r>
              <w:rPr>
                <w:rFonts w:ascii="Aptos" w:hAnsi="Aptos"/>
              </w:rPr>
              <w:t>E</w:t>
            </w:r>
            <w:r w:rsidR="00642DC5" w:rsidRPr="00541AED">
              <w:rPr>
                <w:rFonts w:ascii="Aptos" w:hAnsi="Aptos"/>
              </w:rPr>
              <w:t>vidence item for switched memory B cells updated</w:t>
            </w:r>
            <w:r w:rsidR="00642DC5">
              <w:rPr>
                <w:rFonts w:ascii="Aptos" w:hAnsi="Aptos"/>
              </w:rPr>
              <w:t>.</w:t>
            </w:r>
          </w:p>
          <w:p w14:paraId="4BF1FF3B" w14:textId="3751854F" w:rsidR="00642DC5" w:rsidRPr="00541AED" w:rsidRDefault="003D544B" w:rsidP="005638CE">
            <w:pPr>
              <w:pStyle w:val="ListParagraph"/>
              <w:numPr>
                <w:ilvl w:val="0"/>
                <w:numId w:val="6"/>
              </w:numPr>
              <w:tabs>
                <w:tab w:val="left" w:pos="902"/>
              </w:tabs>
              <w:rPr>
                <w:rFonts w:ascii="Aptos" w:hAnsi="Aptos"/>
              </w:rPr>
            </w:pPr>
            <w:r>
              <w:rPr>
                <w:rFonts w:ascii="Aptos" w:hAnsi="Aptos"/>
              </w:rPr>
              <w:t>Date of test now only required for the first immuno</w:t>
            </w:r>
            <w:r w:rsidR="00642DC5" w:rsidRPr="00541AED">
              <w:rPr>
                <w:rFonts w:ascii="Aptos" w:hAnsi="Aptos"/>
              </w:rPr>
              <w:t xml:space="preserve">globulin </w:t>
            </w:r>
            <w:r>
              <w:rPr>
                <w:rFonts w:ascii="Aptos" w:hAnsi="Aptos"/>
              </w:rPr>
              <w:t>level (where more than one is tested on the same day)</w:t>
            </w:r>
            <w:r w:rsidR="00642DC5" w:rsidRPr="00541AED">
              <w:rPr>
                <w:rFonts w:ascii="Aptos" w:hAnsi="Aptos"/>
              </w:rPr>
              <w:t>.</w:t>
            </w:r>
          </w:p>
          <w:p w14:paraId="42318DF1" w14:textId="407A608A" w:rsidR="00642DC5" w:rsidRPr="00541AED" w:rsidRDefault="003D544B" w:rsidP="005638CE">
            <w:pPr>
              <w:pStyle w:val="ListParagraph"/>
              <w:numPr>
                <w:ilvl w:val="0"/>
                <w:numId w:val="6"/>
              </w:numPr>
              <w:rPr>
                <w:rFonts w:ascii="Aptos" w:hAnsi="Aptos"/>
              </w:rPr>
            </w:pPr>
            <w:r>
              <w:rPr>
                <w:rFonts w:ascii="Aptos" w:hAnsi="Aptos"/>
              </w:rPr>
              <w:t>E</w:t>
            </w:r>
            <w:r w:rsidR="00642DC5" w:rsidRPr="00541AED">
              <w:rPr>
                <w:rFonts w:ascii="Aptos" w:hAnsi="Aptos"/>
              </w:rPr>
              <w:t>vidence items in qualifying criteria requiring the patient’s age no longer require entry of the date of birth.</w:t>
            </w:r>
          </w:p>
          <w:p w14:paraId="0ACCF7F5" w14:textId="5F59EA51" w:rsidR="00642DC5" w:rsidRPr="00541AED" w:rsidRDefault="003D544B" w:rsidP="005638CE">
            <w:pPr>
              <w:pStyle w:val="ListParagraph"/>
              <w:numPr>
                <w:ilvl w:val="0"/>
                <w:numId w:val="6"/>
              </w:numPr>
              <w:rPr>
                <w:rFonts w:ascii="Aptos" w:hAnsi="Aptos"/>
              </w:rPr>
            </w:pPr>
            <w:r>
              <w:rPr>
                <w:rFonts w:ascii="Aptos" w:hAnsi="Aptos"/>
              </w:rPr>
              <w:t>S</w:t>
            </w:r>
            <w:r w:rsidR="00642DC5" w:rsidRPr="00541AED">
              <w:rPr>
                <w:rFonts w:ascii="Aptos" w:hAnsi="Aptos"/>
              </w:rPr>
              <w:t>erum IgA evidence item in qualifying criteria has been updated.</w:t>
            </w:r>
          </w:p>
          <w:p w14:paraId="56209765" w14:textId="125D279C" w:rsidR="00642DC5" w:rsidRPr="00541AED" w:rsidRDefault="00642DC5" w:rsidP="005638CE">
            <w:pPr>
              <w:pStyle w:val="ListParagraph"/>
              <w:numPr>
                <w:ilvl w:val="0"/>
                <w:numId w:val="6"/>
              </w:numPr>
              <w:rPr>
                <w:rFonts w:ascii="Aptos" w:hAnsi="Aptos"/>
              </w:rPr>
            </w:pPr>
            <w:r w:rsidRPr="00541AED">
              <w:rPr>
                <w:rFonts w:ascii="Aptos" w:hAnsi="Aptos"/>
              </w:rPr>
              <w:t>Where there is an option to record a history of no infection, the requirement to enter a date has been removed.</w:t>
            </w:r>
          </w:p>
        </w:tc>
        <w:tc>
          <w:tcPr>
            <w:tcW w:w="1215" w:type="dxa"/>
            <w:vAlign w:val="center"/>
          </w:tcPr>
          <w:p w14:paraId="3B5CE731" w14:textId="2D8D94CA" w:rsidR="00642DC5" w:rsidRPr="00541AED" w:rsidRDefault="00642DC5" w:rsidP="005638CE">
            <w:pPr>
              <w:rPr>
                <w:rFonts w:ascii="Aptos" w:hAnsi="Aptos"/>
              </w:rPr>
            </w:pPr>
            <w:r w:rsidRPr="00541AED">
              <w:rPr>
                <w:rFonts w:ascii="Aptos" w:hAnsi="Aptos"/>
              </w:rPr>
              <w:t>March 2020</w:t>
            </w:r>
          </w:p>
        </w:tc>
        <w:tc>
          <w:tcPr>
            <w:tcW w:w="1126" w:type="dxa"/>
            <w:vAlign w:val="center"/>
          </w:tcPr>
          <w:p w14:paraId="761E130C" w14:textId="3527A223" w:rsidR="00642DC5" w:rsidRPr="00541AED" w:rsidRDefault="00642DC5" w:rsidP="005638CE">
            <w:pPr>
              <w:rPr>
                <w:rFonts w:ascii="Aptos" w:hAnsi="Aptos"/>
              </w:rPr>
            </w:pPr>
            <w:r w:rsidRPr="00541AED">
              <w:rPr>
                <w:rFonts w:ascii="Aptos" w:hAnsi="Aptos"/>
              </w:rPr>
              <w:t>3.3</w:t>
            </w:r>
          </w:p>
        </w:tc>
      </w:tr>
      <w:tr w:rsidR="00642DC5" w:rsidRPr="00541AED" w14:paraId="05D97730" w14:textId="77777777" w:rsidTr="00E97EF5">
        <w:trPr>
          <w:cantSplit/>
        </w:trPr>
        <w:tc>
          <w:tcPr>
            <w:tcW w:w="2411" w:type="dxa"/>
            <w:vMerge/>
            <w:vAlign w:val="center"/>
          </w:tcPr>
          <w:p w14:paraId="7DFA694C" w14:textId="77777777" w:rsidR="00642DC5" w:rsidRPr="00541AED" w:rsidRDefault="00642DC5" w:rsidP="005638CE">
            <w:pPr>
              <w:rPr>
                <w:rFonts w:ascii="Aptos" w:hAnsi="Aptos" w:cs="Helvetica"/>
                <w:color w:val="333333"/>
              </w:rPr>
            </w:pPr>
          </w:p>
        </w:tc>
        <w:tc>
          <w:tcPr>
            <w:tcW w:w="4677" w:type="dxa"/>
            <w:vMerge/>
            <w:vAlign w:val="center"/>
          </w:tcPr>
          <w:p w14:paraId="0AA69375" w14:textId="6C499959" w:rsidR="00642DC5" w:rsidRPr="00541AED" w:rsidRDefault="00642DC5" w:rsidP="005638CE">
            <w:pPr>
              <w:pStyle w:val="ListParagraph"/>
              <w:numPr>
                <w:ilvl w:val="0"/>
                <w:numId w:val="6"/>
              </w:numPr>
              <w:rPr>
                <w:rFonts w:ascii="Aptos" w:hAnsi="Aptos"/>
              </w:rPr>
            </w:pPr>
          </w:p>
        </w:tc>
        <w:tc>
          <w:tcPr>
            <w:tcW w:w="6237" w:type="dxa"/>
            <w:vAlign w:val="center"/>
          </w:tcPr>
          <w:p w14:paraId="4DA23738" w14:textId="3DBCEF0F" w:rsidR="00642DC5" w:rsidRPr="00541AED" w:rsidRDefault="00642DC5" w:rsidP="005638CE">
            <w:pPr>
              <w:pStyle w:val="ListParagraph"/>
              <w:numPr>
                <w:ilvl w:val="0"/>
                <w:numId w:val="6"/>
              </w:numPr>
              <w:rPr>
                <w:rFonts w:ascii="Aptos" w:hAnsi="Aptos"/>
              </w:rPr>
            </w:pPr>
            <w:r w:rsidRPr="00541AED">
              <w:rPr>
                <w:rFonts w:ascii="Aptos" w:hAnsi="Aptos"/>
              </w:rPr>
              <w:t xml:space="preserve">Additional one-off dose </w:t>
            </w:r>
            <w:r w:rsidR="003D544B">
              <w:rPr>
                <w:rFonts w:ascii="Aptos" w:hAnsi="Aptos"/>
              </w:rPr>
              <w:t xml:space="preserve">now </w:t>
            </w:r>
            <w:r w:rsidRPr="00541AED">
              <w:rPr>
                <w:rFonts w:ascii="Aptos" w:hAnsi="Aptos"/>
              </w:rPr>
              <w:t xml:space="preserve">available during the course of the authorisation </w:t>
            </w:r>
            <w:r w:rsidR="003D544B">
              <w:rPr>
                <w:rFonts w:ascii="Aptos" w:hAnsi="Aptos"/>
              </w:rPr>
              <w:t>(IVIg or SCIg)</w:t>
            </w:r>
            <w:r w:rsidRPr="00541AED">
              <w:rPr>
                <w:rFonts w:ascii="Aptos" w:hAnsi="Aptos"/>
              </w:rPr>
              <w:t>.</w:t>
            </w:r>
          </w:p>
          <w:p w14:paraId="632D397B" w14:textId="0EA91D97" w:rsidR="00642DC5" w:rsidRPr="00541AED" w:rsidRDefault="00642DC5" w:rsidP="005638CE">
            <w:pPr>
              <w:pStyle w:val="ListParagraph"/>
              <w:numPr>
                <w:ilvl w:val="0"/>
                <w:numId w:val="6"/>
              </w:numPr>
              <w:rPr>
                <w:rFonts w:ascii="Aptos" w:hAnsi="Aptos"/>
              </w:rPr>
            </w:pPr>
            <w:r w:rsidRPr="00541AED">
              <w:rPr>
                <w:rFonts w:ascii="Aptos" w:hAnsi="Aptos"/>
              </w:rPr>
              <w:t>Maintenance dose amended to 0.4</w:t>
            </w:r>
            <w:r w:rsidR="003D544B">
              <w:rPr>
                <w:rFonts w:ascii="Aptos" w:hAnsi="Aptos"/>
              </w:rPr>
              <w:t>-</w:t>
            </w:r>
            <w:r w:rsidRPr="00541AED">
              <w:rPr>
                <w:rFonts w:ascii="Aptos" w:hAnsi="Aptos"/>
              </w:rPr>
              <w:t xml:space="preserve">0.6 g/kg every </w:t>
            </w:r>
            <w:r w:rsidR="003D544B">
              <w:rPr>
                <w:rFonts w:ascii="Aptos" w:hAnsi="Aptos"/>
              </w:rPr>
              <w:t>4</w:t>
            </w:r>
            <w:r w:rsidRPr="00541AED">
              <w:rPr>
                <w:rFonts w:ascii="Aptos" w:hAnsi="Aptos"/>
              </w:rPr>
              <w:t xml:space="preserve"> weeks or more frequently.</w:t>
            </w:r>
          </w:p>
          <w:p w14:paraId="337392F2" w14:textId="301626ED" w:rsidR="00642DC5" w:rsidRPr="00541AED" w:rsidRDefault="00642DC5" w:rsidP="005638CE">
            <w:pPr>
              <w:pStyle w:val="ListParagraph"/>
              <w:numPr>
                <w:ilvl w:val="0"/>
                <w:numId w:val="6"/>
              </w:numPr>
              <w:rPr>
                <w:rFonts w:ascii="Aptos" w:hAnsi="Aptos"/>
              </w:rPr>
            </w:pPr>
            <w:r w:rsidRPr="00541AED">
              <w:rPr>
                <w:rFonts w:ascii="Aptos" w:hAnsi="Aptos"/>
              </w:rPr>
              <w:t>Separate doses now available for intravenous and subcutaneous immunoglobulin administration.</w:t>
            </w:r>
          </w:p>
        </w:tc>
        <w:tc>
          <w:tcPr>
            <w:tcW w:w="1215" w:type="dxa"/>
            <w:vAlign w:val="center"/>
          </w:tcPr>
          <w:p w14:paraId="73D92487" w14:textId="7DAA5253" w:rsidR="00642DC5" w:rsidRPr="00541AED" w:rsidRDefault="00642DC5" w:rsidP="005638CE">
            <w:pPr>
              <w:rPr>
                <w:rFonts w:ascii="Aptos" w:hAnsi="Aptos"/>
              </w:rPr>
            </w:pPr>
            <w:r w:rsidRPr="00541AED">
              <w:rPr>
                <w:rFonts w:ascii="Aptos" w:hAnsi="Aptos"/>
              </w:rPr>
              <w:t>October 2019</w:t>
            </w:r>
          </w:p>
        </w:tc>
        <w:tc>
          <w:tcPr>
            <w:tcW w:w="1126" w:type="dxa"/>
            <w:vAlign w:val="center"/>
          </w:tcPr>
          <w:p w14:paraId="6C5B4E58" w14:textId="0A25448C" w:rsidR="00642DC5" w:rsidRPr="00541AED" w:rsidRDefault="00642DC5" w:rsidP="005638CE">
            <w:pPr>
              <w:rPr>
                <w:rFonts w:ascii="Aptos" w:hAnsi="Aptos"/>
              </w:rPr>
            </w:pPr>
            <w:r w:rsidRPr="00541AED">
              <w:rPr>
                <w:rFonts w:ascii="Aptos" w:hAnsi="Aptos"/>
              </w:rPr>
              <w:t>3.2</w:t>
            </w:r>
          </w:p>
        </w:tc>
      </w:tr>
      <w:tr w:rsidR="00916583" w:rsidRPr="00541AED" w14:paraId="7C486C0C" w14:textId="77777777" w:rsidTr="00E97EF5">
        <w:trPr>
          <w:cantSplit/>
        </w:trPr>
        <w:tc>
          <w:tcPr>
            <w:tcW w:w="2411" w:type="dxa"/>
            <w:vAlign w:val="center"/>
          </w:tcPr>
          <w:p w14:paraId="34595E1E" w14:textId="31AB56A0" w:rsidR="00916583" w:rsidRPr="00541AED" w:rsidRDefault="00916583" w:rsidP="00916583">
            <w:pPr>
              <w:rPr>
                <w:rFonts w:ascii="Aptos" w:hAnsi="Aptos"/>
                <w:color w:val="000000"/>
              </w:rPr>
            </w:pPr>
            <w:r w:rsidRPr="00541AED">
              <w:rPr>
                <w:rFonts w:ascii="Aptos" w:hAnsi="Aptos"/>
              </w:rPr>
              <w:t>Kawasaki disease</w:t>
            </w:r>
          </w:p>
        </w:tc>
        <w:tc>
          <w:tcPr>
            <w:tcW w:w="4677" w:type="dxa"/>
            <w:vAlign w:val="center"/>
          </w:tcPr>
          <w:p w14:paraId="637C77D8" w14:textId="15270F1F" w:rsidR="00916583" w:rsidRPr="00541AED" w:rsidRDefault="00916583" w:rsidP="00916583">
            <w:pPr>
              <w:pStyle w:val="ListParagraph"/>
              <w:numPr>
                <w:ilvl w:val="0"/>
                <w:numId w:val="6"/>
              </w:numPr>
              <w:rPr>
                <w:rFonts w:ascii="Aptos" w:hAnsi="Aptos"/>
              </w:rPr>
            </w:pPr>
            <w:bookmarkStart w:id="6" w:name="_Hlk212537829"/>
            <w:r w:rsidRPr="00541AED">
              <w:rPr>
                <w:rFonts w:ascii="Aptos" w:hAnsi="Aptos"/>
              </w:rPr>
              <w:t>Early Kawasaki disease to prevent coronary artery pathology</w:t>
            </w:r>
            <w:bookmarkEnd w:id="6"/>
          </w:p>
        </w:tc>
        <w:tc>
          <w:tcPr>
            <w:tcW w:w="6237" w:type="dxa"/>
            <w:vAlign w:val="center"/>
          </w:tcPr>
          <w:p w14:paraId="167BC752" w14:textId="455C9F96" w:rsidR="00916583" w:rsidRPr="00541AED" w:rsidRDefault="003D544B" w:rsidP="00916583">
            <w:pPr>
              <w:pStyle w:val="ListParagraph"/>
              <w:numPr>
                <w:ilvl w:val="0"/>
                <w:numId w:val="6"/>
              </w:numPr>
              <w:rPr>
                <w:rFonts w:ascii="Aptos" w:hAnsi="Aptos"/>
              </w:rPr>
            </w:pPr>
            <w:r>
              <w:rPr>
                <w:rFonts w:ascii="Aptos" w:hAnsi="Aptos" w:cstheme="minorHAnsi"/>
              </w:rPr>
              <w:t>N</w:t>
            </w:r>
            <w:r w:rsidR="00916583" w:rsidRPr="00541AED">
              <w:rPr>
                <w:rFonts w:ascii="Aptos" w:hAnsi="Aptos" w:cstheme="minorHAnsi"/>
              </w:rPr>
              <w:t xml:space="preserve">ew evidence item introduced to capture whether the presentation of Kawasaki-like symptoms </w:t>
            </w:r>
            <w:proofErr w:type="gramStart"/>
            <w:r w:rsidR="00916583" w:rsidRPr="00541AED">
              <w:rPr>
                <w:rFonts w:ascii="Aptos" w:hAnsi="Aptos" w:cstheme="minorHAnsi"/>
              </w:rPr>
              <w:t>are</w:t>
            </w:r>
            <w:proofErr w:type="gramEnd"/>
            <w:r w:rsidR="00916583" w:rsidRPr="00541AED">
              <w:rPr>
                <w:rFonts w:ascii="Aptos" w:hAnsi="Aptos" w:cstheme="minorHAnsi"/>
              </w:rPr>
              <w:t xml:space="preserve"> linked to COVID-19, including confirmation by diagnostic tests</w:t>
            </w:r>
            <w:r w:rsidR="003A7ACA">
              <w:rPr>
                <w:rFonts w:ascii="Aptos" w:hAnsi="Aptos" w:cstheme="minorHAnsi"/>
              </w:rPr>
              <w:t>.</w:t>
            </w:r>
          </w:p>
          <w:p w14:paraId="390E763B" w14:textId="20E5DA32" w:rsidR="00916583" w:rsidRPr="00541AED" w:rsidRDefault="003A7ACA" w:rsidP="00916583">
            <w:pPr>
              <w:pStyle w:val="ListParagraph"/>
              <w:numPr>
                <w:ilvl w:val="0"/>
                <w:numId w:val="6"/>
              </w:numPr>
              <w:rPr>
                <w:rFonts w:ascii="Aptos" w:hAnsi="Aptos"/>
              </w:rPr>
            </w:pPr>
            <w:r>
              <w:rPr>
                <w:rFonts w:ascii="Aptos" w:hAnsi="Aptos"/>
              </w:rPr>
              <w:t>A</w:t>
            </w:r>
            <w:r w:rsidR="00916583" w:rsidRPr="00541AED">
              <w:rPr>
                <w:rFonts w:ascii="Aptos" w:hAnsi="Aptos"/>
              </w:rPr>
              <w:t xml:space="preserve">ge limitation </w:t>
            </w:r>
            <w:r>
              <w:rPr>
                <w:rFonts w:ascii="Aptos" w:hAnsi="Aptos"/>
              </w:rPr>
              <w:t>r</w:t>
            </w:r>
            <w:r w:rsidR="00916583" w:rsidRPr="00541AED">
              <w:rPr>
                <w:rFonts w:ascii="Aptos" w:hAnsi="Aptos"/>
              </w:rPr>
              <w:t xml:space="preserve">emoved in BloodSTAR to allow </w:t>
            </w:r>
            <w:r w:rsidR="00916583" w:rsidRPr="00541AED">
              <w:rPr>
                <w:rFonts w:ascii="Aptos" w:hAnsi="Aptos" w:cstheme="minorHAnsi"/>
              </w:rPr>
              <w:t xml:space="preserve">young adults </w:t>
            </w:r>
            <w:r>
              <w:rPr>
                <w:rFonts w:ascii="Aptos" w:hAnsi="Aptos" w:cstheme="minorHAnsi"/>
              </w:rPr>
              <w:t>w</w:t>
            </w:r>
            <w:r w:rsidR="00916583" w:rsidRPr="00541AED">
              <w:rPr>
                <w:rFonts w:ascii="Aptos" w:hAnsi="Aptos" w:cstheme="minorHAnsi"/>
              </w:rPr>
              <w:t>ith Kawasaki disease</w:t>
            </w:r>
            <w:r>
              <w:rPr>
                <w:rFonts w:ascii="Aptos" w:hAnsi="Aptos" w:cstheme="minorHAnsi"/>
              </w:rPr>
              <w:t xml:space="preserve"> to access Ig</w:t>
            </w:r>
            <w:r w:rsidR="00916583" w:rsidRPr="00541AED">
              <w:rPr>
                <w:rFonts w:ascii="Aptos" w:hAnsi="Aptos" w:cstheme="minorHAnsi"/>
              </w:rPr>
              <w:t>.</w:t>
            </w:r>
          </w:p>
        </w:tc>
        <w:tc>
          <w:tcPr>
            <w:tcW w:w="1215" w:type="dxa"/>
            <w:vAlign w:val="center"/>
          </w:tcPr>
          <w:p w14:paraId="7ADA8A53" w14:textId="2B3AA5B9" w:rsidR="00916583" w:rsidRPr="00541AED" w:rsidRDefault="00916583" w:rsidP="00916583">
            <w:pPr>
              <w:rPr>
                <w:rFonts w:ascii="Aptos" w:hAnsi="Aptos"/>
              </w:rPr>
            </w:pPr>
            <w:r w:rsidRPr="00541AED">
              <w:rPr>
                <w:rFonts w:ascii="Aptos" w:hAnsi="Aptos"/>
              </w:rPr>
              <w:t>July 2021</w:t>
            </w:r>
          </w:p>
        </w:tc>
        <w:tc>
          <w:tcPr>
            <w:tcW w:w="1126" w:type="dxa"/>
            <w:vAlign w:val="center"/>
          </w:tcPr>
          <w:p w14:paraId="2CF98AA3" w14:textId="03F46255" w:rsidR="00916583" w:rsidRPr="00541AED" w:rsidRDefault="00916583" w:rsidP="00916583">
            <w:pPr>
              <w:rPr>
                <w:rFonts w:ascii="Aptos" w:hAnsi="Aptos"/>
              </w:rPr>
            </w:pPr>
            <w:r w:rsidRPr="00541AED">
              <w:rPr>
                <w:rFonts w:ascii="Aptos" w:hAnsi="Aptos"/>
              </w:rPr>
              <w:t>3.1</w:t>
            </w:r>
          </w:p>
        </w:tc>
      </w:tr>
      <w:tr w:rsidR="004C65F9" w:rsidRPr="00541AED" w14:paraId="50FA4A83" w14:textId="77777777" w:rsidTr="00E97EF5">
        <w:trPr>
          <w:cantSplit/>
        </w:trPr>
        <w:tc>
          <w:tcPr>
            <w:tcW w:w="2411" w:type="dxa"/>
            <w:vAlign w:val="center"/>
          </w:tcPr>
          <w:p w14:paraId="2D7A89D4" w14:textId="419526E7" w:rsidR="004C65F9" w:rsidRPr="00225D78" w:rsidRDefault="00117234" w:rsidP="004C65F9">
            <w:pPr>
              <w:rPr>
                <w:rFonts w:ascii="Aptos" w:hAnsi="Aptos"/>
                <w:color w:val="000000"/>
              </w:rPr>
            </w:pPr>
            <w:r w:rsidRPr="00225D78">
              <w:rPr>
                <w:rFonts w:ascii="Aptos" w:hAnsi="Aptos" w:cs="Helvetica"/>
                <w:color w:val="333333"/>
              </w:rPr>
              <w:t>Pemphigus foliaceus (PF)</w:t>
            </w:r>
          </w:p>
        </w:tc>
        <w:tc>
          <w:tcPr>
            <w:tcW w:w="4677" w:type="dxa"/>
            <w:vAlign w:val="center"/>
          </w:tcPr>
          <w:p w14:paraId="51065578" w14:textId="1F1CB0F0" w:rsidR="004C65F9" w:rsidRPr="00225D78" w:rsidRDefault="00117234" w:rsidP="004C65F9">
            <w:pPr>
              <w:pStyle w:val="ListParagraph"/>
              <w:numPr>
                <w:ilvl w:val="0"/>
                <w:numId w:val="6"/>
              </w:numPr>
              <w:rPr>
                <w:rFonts w:ascii="Aptos" w:hAnsi="Aptos"/>
              </w:rPr>
            </w:pPr>
            <w:bookmarkStart w:id="7" w:name="_Hlk212537955"/>
            <w:r w:rsidRPr="00225D78">
              <w:rPr>
                <w:rFonts w:ascii="Aptos" w:hAnsi="Aptos"/>
              </w:rPr>
              <w:t>Pemphigus foliaceus (PF) resistant to corticosteroids and immunosuppressant therapy or when these agents are contraindicated</w:t>
            </w:r>
            <w:bookmarkEnd w:id="7"/>
          </w:p>
        </w:tc>
        <w:tc>
          <w:tcPr>
            <w:tcW w:w="6237" w:type="dxa"/>
            <w:vAlign w:val="center"/>
          </w:tcPr>
          <w:p w14:paraId="287F3962" w14:textId="69033BE9" w:rsidR="00E12457" w:rsidRPr="00225D78" w:rsidRDefault="00E12457" w:rsidP="00E12457">
            <w:pPr>
              <w:pStyle w:val="ListParagraph"/>
              <w:numPr>
                <w:ilvl w:val="0"/>
                <w:numId w:val="6"/>
              </w:numPr>
              <w:spacing w:before="120"/>
              <w:rPr>
                <w:rStyle w:val="Hyperlink"/>
                <w:rFonts w:ascii="Aptos" w:hAnsi="Aptos"/>
                <w:color w:val="auto"/>
                <w:u w:val="none"/>
              </w:rPr>
            </w:pPr>
            <w:r w:rsidRPr="00225D78">
              <w:rPr>
                <w:rStyle w:val="Hyperlink"/>
                <w:rFonts w:ascii="Aptos" w:hAnsi="Aptos"/>
                <w:color w:val="auto"/>
                <w:u w:val="none"/>
              </w:rPr>
              <w:t>Amended qualifying and review criteria to require a trial of rituximab unless strongly contraindicated.</w:t>
            </w:r>
          </w:p>
          <w:p w14:paraId="7B09B30F" w14:textId="3C1E5B59" w:rsidR="004C65F9" w:rsidRPr="00225D78" w:rsidRDefault="00E12457" w:rsidP="00E12457">
            <w:pPr>
              <w:pStyle w:val="ListParagraph"/>
              <w:numPr>
                <w:ilvl w:val="0"/>
                <w:numId w:val="6"/>
              </w:numPr>
              <w:rPr>
                <w:rFonts w:ascii="Aptos" w:hAnsi="Aptos"/>
              </w:rPr>
            </w:pPr>
            <w:r w:rsidRPr="00225D78">
              <w:rPr>
                <w:rStyle w:val="Hyperlink"/>
                <w:rFonts w:ascii="Aptos" w:hAnsi="Aptos"/>
                <w:color w:val="auto"/>
                <w:u w:val="none"/>
              </w:rPr>
              <w:t>Updated links for several references.</w:t>
            </w:r>
          </w:p>
        </w:tc>
        <w:tc>
          <w:tcPr>
            <w:tcW w:w="1215" w:type="dxa"/>
            <w:vAlign w:val="center"/>
          </w:tcPr>
          <w:p w14:paraId="3E2737D1" w14:textId="372DF63A" w:rsidR="004C65F9" w:rsidRPr="00225D78" w:rsidRDefault="004C65F9" w:rsidP="004C65F9">
            <w:pPr>
              <w:rPr>
                <w:rFonts w:ascii="Aptos" w:hAnsi="Aptos"/>
              </w:rPr>
            </w:pPr>
            <w:r w:rsidRPr="00225D78">
              <w:rPr>
                <w:rFonts w:ascii="Aptos" w:hAnsi="Aptos"/>
              </w:rPr>
              <w:t>November 2025</w:t>
            </w:r>
          </w:p>
        </w:tc>
        <w:tc>
          <w:tcPr>
            <w:tcW w:w="1126" w:type="dxa"/>
            <w:vAlign w:val="center"/>
          </w:tcPr>
          <w:p w14:paraId="01952007" w14:textId="0A776C31" w:rsidR="004C65F9" w:rsidRPr="00225D78" w:rsidRDefault="00E12457" w:rsidP="004C65F9">
            <w:pPr>
              <w:rPr>
                <w:rFonts w:ascii="Aptos" w:hAnsi="Aptos"/>
              </w:rPr>
            </w:pPr>
            <w:r w:rsidRPr="00225D78">
              <w:rPr>
                <w:rFonts w:ascii="Aptos" w:hAnsi="Aptos"/>
              </w:rPr>
              <w:t>3.1</w:t>
            </w:r>
          </w:p>
        </w:tc>
      </w:tr>
      <w:tr w:rsidR="004C65F9" w:rsidRPr="00541AED" w14:paraId="3BAA4777" w14:textId="77777777" w:rsidTr="00E97EF5">
        <w:trPr>
          <w:cantSplit/>
        </w:trPr>
        <w:tc>
          <w:tcPr>
            <w:tcW w:w="2411" w:type="dxa"/>
            <w:vAlign w:val="center"/>
          </w:tcPr>
          <w:p w14:paraId="4F5DA6E8" w14:textId="5404C344" w:rsidR="004C65F9" w:rsidRPr="00225D78" w:rsidRDefault="00117234" w:rsidP="004C65F9">
            <w:pPr>
              <w:rPr>
                <w:rFonts w:ascii="Aptos" w:hAnsi="Aptos"/>
                <w:color w:val="000000"/>
              </w:rPr>
            </w:pPr>
            <w:r w:rsidRPr="00225D78">
              <w:rPr>
                <w:rFonts w:ascii="Aptos" w:hAnsi="Aptos" w:cs="Helvetica"/>
                <w:color w:val="333333"/>
              </w:rPr>
              <w:t>Pemphigus vulgaris (PV)</w:t>
            </w:r>
          </w:p>
        </w:tc>
        <w:tc>
          <w:tcPr>
            <w:tcW w:w="4677" w:type="dxa"/>
            <w:vAlign w:val="center"/>
          </w:tcPr>
          <w:p w14:paraId="56D8E347" w14:textId="14DC52DD" w:rsidR="004C65F9" w:rsidRPr="00225D78" w:rsidRDefault="00117234" w:rsidP="004C65F9">
            <w:pPr>
              <w:pStyle w:val="ListParagraph"/>
              <w:numPr>
                <w:ilvl w:val="0"/>
                <w:numId w:val="6"/>
              </w:numPr>
              <w:rPr>
                <w:rFonts w:ascii="Aptos" w:hAnsi="Aptos"/>
              </w:rPr>
            </w:pPr>
            <w:bookmarkStart w:id="8" w:name="_Hlk212538016"/>
            <w:r w:rsidRPr="00225D78">
              <w:rPr>
                <w:rFonts w:ascii="Aptos" w:hAnsi="Aptos"/>
              </w:rPr>
              <w:t>Moderate to severe PV as an adjuvant to prolonged corticosteroid and immunosuppressant treatment, or when these agents are contraindicated</w:t>
            </w:r>
            <w:bookmarkEnd w:id="8"/>
          </w:p>
        </w:tc>
        <w:tc>
          <w:tcPr>
            <w:tcW w:w="6237" w:type="dxa"/>
            <w:vAlign w:val="center"/>
          </w:tcPr>
          <w:p w14:paraId="103222EC" w14:textId="77777777" w:rsidR="00E12457" w:rsidRPr="00225D78" w:rsidRDefault="00E12457" w:rsidP="00E12457">
            <w:pPr>
              <w:pStyle w:val="ListParagraph"/>
              <w:numPr>
                <w:ilvl w:val="0"/>
                <w:numId w:val="6"/>
              </w:numPr>
              <w:spacing w:before="120"/>
              <w:rPr>
                <w:rStyle w:val="Hyperlink"/>
                <w:rFonts w:ascii="Aptos" w:hAnsi="Aptos"/>
                <w:color w:val="auto"/>
                <w:u w:val="none"/>
              </w:rPr>
            </w:pPr>
            <w:r w:rsidRPr="00225D78">
              <w:rPr>
                <w:rStyle w:val="Hyperlink"/>
                <w:rFonts w:ascii="Aptos" w:hAnsi="Aptos"/>
                <w:color w:val="auto"/>
                <w:u w:val="none"/>
              </w:rPr>
              <w:t>Amended qualifying and review criteria to require a trial of rituximab unless strongly contraindicated.</w:t>
            </w:r>
          </w:p>
          <w:p w14:paraId="59940231" w14:textId="6E7271CD" w:rsidR="004C65F9" w:rsidRPr="00225D78" w:rsidRDefault="00E12457" w:rsidP="00E12457">
            <w:pPr>
              <w:pStyle w:val="ListParagraph"/>
              <w:numPr>
                <w:ilvl w:val="0"/>
                <w:numId w:val="6"/>
              </w:numPr>
              <w:rPr>
                <w:rFonts w:ascii="Aptos" w:hAnsi="Aptos"/>
              </w:rPr>
            </w:pPr>
            <w:r w:rsidRPr="00225D78">
              <w:rPr>
                <w:rStyle w:val="Hyperlink"/>
                <w:rFonts w:ascii="Aptos" w:hAnsi="Aptos"/>
                <w:color w:val="auto"/>
                <w:u w:val="none"/>
              </w:rPr>
              <w:t>Updated links for several references.</w:t>
            </w:r>
          </w:p>
        </w:tc>
        <w:tc>
          <w:tcPr>
            <w:tcW w:w="1215" w:type="dxa"/>
            <w:vAlign w:val="center"/>
          </w:tcPr>
          <w:p w14:paraId="1E25051E" w14:textId="7F407745" w:rsidR="004C65F9" w:rsidRPr="00225D78" w:rsidRDefault="004C65F9" w:rsidP="004C65F9">
            <w:pPr>
              <w:rPr>
                <w:rFonts w:ascii="Aptos" w:hAnsi="Aptos"/>
              </w:rPr>
            </w:pPr>
            <w:r w:rsidRPr="00225D78">
              <w:rPr>
                <w:rFonts w:ascii="Aptos" w:hAnsi="Aptos"/>
              </w:rPr>
              <w:t>November 2025</w:t>
            </w:r>
          </w:p>
        </w:tc>
        <w:tc>
          <w:tcPr>
            <w:tcW w:w="1126" w:type="dxa"/>
            <w:vAlign w:val="center"/>
          </w:tcPr>
          <w:p w14:paraId="0D421848" w14:textId="0FF0E78B" w:rsidR="004C65F9" w:rsidRPr="00225D78" w:rsidRDefault="00E12457" w:rsidP="004C65F9">
            <w:pPr>
              <w:rPr>
                <w:rFonts w:ascii="Aptos" w:hAnsi="Aptos"/>
              </w:rPr>
            </w:pPr>
            <w:r w:rsidRPr="00225D78">
              <w:rPr>
                <w:rFonts w:ascii="Aptos" w:hAnsi="Aptos"/>
              </w:rPr>
              <w:t>3.1</w:t>
            </w:r>
          </w:p>
        </w:tc>
      </w:tr>
      <w:tr w:rsidR="004035C3" w:rsidRPr="00541AED" w14:paraId="5E18ACA1" w14:textId="77777777" w:rsidTr="00E97EF5">
        <w:trPr>
          <w:cantSplit/>
        </w:trPr>
        <w:tc>
          <w:tcPr>
            <w:tcW w:w="2411" w:type="dxa"/>
            <w:vAlign w:val="center"/>
          </w:tcPr>
          <w:p w14:paraId="7210ABF4" w14:textId="311446CE" w:rsidR="004035C3" w:rsidRPr="00541AED" w:rsidRDefault="004035C3" w:rsidP="005638CE">
            <w:pPr>
              <w:rPr>
                <w:rFonts w:ascii="Aptos" w:hAnsi="Aptos" w:cs="Helvetica"/>
                <w:color w:val="333333"/>
              </w:rPr>
            </w:pPr>
            <w:r w:rsidRPr="00541AED">
              <w:rPr>
                <w:rFonts w:ascii="Aptos" w:hAnsi="Aptos"/>
                <w:color w:val="000000"/>
              </w:rPr>
              <w:t xml:space="preserve">Pyoderma </w:t>
            </w:r>
            <w:r w:rsidR="0068619C" w:rsidRPr="00541AED">
              <w:rPr>
                <w:rFonts w:ascii="Aptos" w:hAnsi="Aptos"/>
                <w:color w:val="000000"/>
              </w:rPr>
              <w:t>g</w:t>
            </w:r>
            <w:r w:rsidRPr="00541AED">
              <w:rPr>
                <w:rFonts w:ascii="Aptos" w:hAnsi="Aptos"/>
                <w:color w:val="000000"/>
              </w:rPr>
              <w:t>angrenosum (PG)</w:t>
            </w:r>
          </w:p>
        </w:tc>
        <w:tc>
          <w:tcPr>
            <w:tcW w:w="4677" w:type="dxa"/>
            <w:vAlign w:val="center"/>
          </w:tcPr>
          <w:p w14:paraId="6B627495" w14:textId="77777777" w:rsidR="00642DC5" w:rsidRPr="00642DC5" w:rsidRDefault="00642DC5" w:rsidP="00642DC5">
            <w:pPr>
              <w:pStyle w:val="ListParagraph"/>
              <w:numPr>
                <w:ilvl w:val="0"/>
                <w:numId w:val="6"/>
              </w:numPr>
              <w:rPr>
                <w:rFonts w:ascii="Aptos" w:hAnsi="Aptos"/>
              </w:rPr>
            </w:pPr>
            <w:bookmarkStart w:id="9" w:name="_Hlk212538045"/>
            <w:r w:rsidRPr="00642DC5">
              <w:rPr>
                <w:rFonts w:ascii="Aptos" w:hAnsi="Aptos"/>
              </w:rPr>
              <w:t>Severe PG when immunosuppressant and biologic therapy is either ineffective or inappropriate due to unacceptable side effects</w:t>
            </w:r>
          </w:p>
          <w:p w14:paraId="04A1AF19" w14:textId="35D19428" w:rsidR="004035C3" w:rsidRPr="00541AED" w:rsidRDefault="004035C3" w:rsidP="005638CE">
            <w:pPr>
              <w:pStyle w:val="ListParagraph"/>
              <w:numPr>
                <w:ilvl w:val="0"/>
                <w:numId w:val="6"/>
              </w:numPr>
              <w:rPr>
                <w:rFonts w:ascii="Aptos" w:hAnsi="Aptos"/>
              </w:rPr>
            </w:pPr>
            <w:r w:rsidRPr="00541AED">
              <w:rPr>
                <w:rFonts w:ascii="Aptos" w:hAnsi="Aptos"/>
              </w:rPr>
              <w:t>Relapse of PG in previously responding patients following a trial off Ig therapy</w:t>
            </w:r>
            <w:bookmarkEnd w:id="9"/>
          </w:p>
        </w:tc>
        <w:tc>
          <w:tcPr>
            <w:tcW w:w="6237" w:type="dxa"/>
            <w:vAlign w:val="center"/>
          </w:tcPr>
          <w:p w14:paraId="49C70482" w14:textId="78A59A5F" w:rsidR="004035C3" w:rsidRPr="00541AED" w:rsidRDefault="004035C3" w:rsidP="005638CE">
            <w:pPr>
              <w:pStyle w:val="ListParagraph"/>
              <w:numPr>
                <w:ilvl w:val="0"/>
                <w:numId w:val="6"/>
              </w:numPr>
              <w:rPr>
                <w:rFonts w:ascii="Aptos" w:hAnsi="Aptos"/>
              </w:rPr>
            </w:pPr>
            <w:r w:rsidRPr="00541AED">
              <w:rPr>
                <w:rFonts w:ascii="Aptos" w:hAnsi="Aptos"/>
              </w:rPr>
              <w:t xml:space="preserve">Removal of </w:t>
            </w:r>
            <w:r w:rsidR="003A7ACA">
              <w:rPr>
                <w:rFonts w:ascii="Aptos" w:hAnsi="Aptos"/>
              </w:rPr>
              <w:t>6</w:t>
            </w:r>
            <w:r w:rsidR="001B7663" w:rsidRPr="00541AED">
              <w:rPr>
                <w:rFonts w:ascii="Aptos" w:hAnsi="Aptos"/>
              </w:rPr>
              <w:t>-month</w:t>
            </w:r>
            <w:r w:rsidRPr="00541AED">
              <w:rPr>
                <w:rFonts w:ascii="Aptos" w:hAnsi="Aptos"/>
              </w:rPr>
              <w:t xml:space="preserve"> limitation to access Ig following trial off therapy</w:t>
            </w:r>
            <w:r w:rsidR="0068619C" w:rsidRPr="00541AED">
              <w:rPr>
                <w:rFonts w:ascii="Aptos" w:hAnsi="Aptos"/>
              </w:rPr>
              <w:t>.</w:t>
            </w:r>
          </w:p>
        </w:tc>
        <w:tc>
          <w:tcPr>
            <w:tcW w:w="1215" w:type="dxa"/>
            <w:vAlign w:val="center"/>
          </w:tcPr>
          <w:p w14:paraId="7304D26E" w14:textId="2B91C7CD" w:rsidR="004035C3" w:rsidRPr="00541AED" w:rsidRDefault="004035C3" w:rsidP="005638CE">
            <w:pPr>
              <w:rPr>
                <w:rFonts w:ascii="Aptos" w:hAnsi="Aptos"/>
              </w:rPr>
            </w:pPr>
            <w:r w:rsidRPr="00541AED">
              <w:rPr>
                <w:rFonts w:ascii="Aptos" w:hAnsi="Aptos"/>
              </w:rPr>
              <w:t>March 2020</w:t>
            </w:r>
          </w:p>
        </w:tc>
        <w:tc>
          <w:tcPr>
            <w:tcW w:w="1126" w:type="dxa"/>
            <w:vAlign w:val="center"/>
          </w:tcPr>
          <w:p w14:paraId="1B09B2AF" w14:textId="11AC2A3A" w:rsidR="004035C3" w:rsidRPr="00541AED" w:rsidRDefault="004035C3" w:rsidP="005638CE">
            <w:pPr>
              <w:rPr>
                <w:rFonts w:ascii="Aptos" w:hAnsi="Aptos"/>
              </w:rPr>
            </w:pPr>
            <w:r w:rsidRPr="00541AED">
              <w:rPr>
                <w:rFonts w:ascii="Aptos" w:hAnsi="Aptos"/>
              </w:rPr>
              <w:t>3.1</w:t>
            </w:r>
          </w:p>
        </w:tc>
      </w:tr>
      <w:tr w:rsidR="004246E1" w:rsidRPr="00541AED" w14:paraId="692C8ED2" w14:textId="77777777" w:rsidTr="00E97EF5">
        <w:trPr>
          <w:cantSplit/>
          <w:trHeight w:val="1118"/>
        </w:trPr>
        <w:tc>
          <w:tcPr>
            <w:tcW w:w="2411" w:type="dxa"/>
            <w:vMerge w:val="restart"/>
            <w:vAlign w:val="center"/>
          </w:tcPr>
          <w:p w14:paraId="4E59283C" w14:textId="714902EF" w:rsidR="004246E1" w:rsidRPr="00541AED" w:rsidRDefault="004246E1" w:rsidP="005638CE">
            <w:pPr>
              <w:rPr>
                <w:rFonts w:ascii="Aptos" w:hAnsi="Aptos" w:cs="Helvetica"/>
                <w:color w:val="333333"/>
              </w:rPr>
            </w:pPr>
            <w:bookmarkStart w:id="10" w:name="_Hlk212538104"/>
            <w:r w:rsidRPr="00541AED">
              <w:rPr>
                <w:rFonts w:ascii="Aptos" w:hAnsi="Aptos" w:cs="Helvetica"/>
                <w:color w:val="333333"/>
              </w:rPr>
              <w:t xml:space="preserve">Secondary hypogammaglobulinaemia unrelated to haematological </w:t>
            </w:r>
            <w:r w:rsidRPr="00541AED">
              <w:rPr>
                <w:rFonts w:ascii="Aptos" w:hAnsi="Aptos" w:cs="Helvetica"/>
                <w:color w:val="333333"/>
              </w:rPr>
              <w:lastRenderedPageBreak/>
              <w:t>malignancy or haemopoi</w:t>
            </w:r>
            <w:r w:rsidR="00642DC5">
              <w:rPr>
                <w:rFonts w:ascii="Aptos" w:hAnsi="Aptos" w:cs="Helvetica"/>
                <w:color w:val="333333"/>
              </w:rPr>
              <w:t>e</w:t>
            </w:r>
            <w:r w:rsidRPr="00541AED">
              <w:rPr>
                <w:rFonts w:ascii="Aptos" w:hAnsi="Aptos" w:cs="Helvetica"/>
                <w:color w:val="333333"/>
              </w:rPr>
              <w:t>tic stem cell transplant (HSCT)</w:t>
            </w:r>
            <w:bookmarkEnd w:id="10"/>
          </w:p>
        </w:tc>
        <w:tc>
          <w:tcPr>
            <w:tcW w:w="4677" w:type="dxa"/>
            <w:vMerge w:val="restart"/>
            <w:vAlign w:val="center"/>
          </w:tcPr>
          <w:p w14:paraId="4D696D0C" w14:textId="47919FC7" w:rsidR="004246E1" w:rsidRPr="00C827C3" w:rsidRDefault="004246E1" w:rsidP="005638CE">
            <w:pPr>
              <w:pStyle w:val="ListParagraph"/>
              <w:numPr>
                <w:ilvl w:val="0"/>
                <w:numId w:val="6"/>
              </w:numPr>
              <w:rPr>
                <w:rFonts w:ascii="Aptos" w:hAnsi="Aptos"/>
              </w:rPr>
            </w:pPr>
            <w:bookmarkStart w:id="11" w:name="_Hlk212538113"/>
            <w:r w:rsidRPr="00C827C3">
              <w:rPr>
                <w:rFonts w:ascii="Aptos" w:hAnsi="Aptos"/>
              </w:rPr>
              <w:lastRenderedPageBreak/>
              <w:t xml:space="preserve">Replacement therapy for recurrent or severe bacterial infections or disseminated enterovirus infection associated with hypogammaglobulinaemia caused by a </w:t>
            </w:r>
            <w:r w:rsidRPr="00C827C3">
              <w:rPr>
                <w:rFonts w:ascii="Aptos" w:hAnsi="Aptos"/>
              </w:rPr>
              <w:lastRenderedPageBreak/>
              <w:t>recognised disease process or B cell depletion therapy and/or immunosuppressant therapy.</w:t>
            </w:r>
            <w:bookmarkEnd w:id="11"/>
          </w:p>
        </w:tc>
        <w:tc>
          <w:tcPr>
            <w:tcW w:w="6237" w:type="dxa"/>
            <w:vAlign w:val="center"/>
          </w:tcPr>
          <w:p w14:paraId="5403527E" w14:textId="59C7B6C9" w:rsidR="004246E1" w:rsidRPr="00C827C3" w:rsidRDefault="00154837" w:rsidP="005638CE">
            <w:pPr>
              <w:pStyle w:val="ListParagraph"/>
              <w:numPr>
                <w:ilvl w:val="0"/>
                <w:numId w:val="6"/>
              </w:numPr>
              <w:rPr>
                <w:rFonts w:ascii="Aptos" w:hAnsi="Aptos"/>
              </w:rPr>
            </w:pPr>
            <w:r w:rsidRPr="00C827C3">
              <w:rPr>
                <w:rFonts w:ascii="Aptos" w:hAnsi="Aptos"/>
              </w:rPr>
              <w:lastRenderedPageBreak/>
              <w:t>Added links to exclusion criteria</w:t>
            </w:r>
            <w:r w:rsidR="00AC77C4" w:rsidRPr="00C827C3">
              <w:rPr>
                <w:rFonts w:ascii="Aptos" w:hAnsi="Aptos"/>
              </w:rPr>
              <w:t>.</w:t>
            </w:r>
          </w:p>
          <w:p w14:paraId="60894ABC" w14:textId="5DBC131C" w:rsidR="00154837" w:rsidRPr="00C827C3" w:rsidRDefault="00154837" w:rsidP="005638CE">
            <w:pPr>
              <w:pStyle w:val="ListParagraph"/>
              <w:numPr>
                <w:ilvl w:val="0"/>
                <w:numId w:val="6"/>
              </w:numPr>
              <w:rPr>
                <w:rFonts w:ascii="Aptos" w:hAnsi="Aptos"/>
              </w:rPr>
            </w:pPr>
            <w:r w:rsidRPr="00C827C3">
              <w:rPr>
                <w:rFonts w:ascii="Aptos" w:hAnsi="Aptos"/>
              </w:rPr>
              <w:t>Updated links for several references</w:t>
            </w:r>
            <w:r w:rsidR="00AC77C4" w:rsidRPr="00C827C3">
              <w:rPr>
                <w:rFonts w:ascii="Aptos" w:hAnsi="Aptos"/>
              </w:rPr>
              <w:t>.</w:t>
            </w:r>
          </w:p>
        </w:tc>
        <w:tc>
          <w:tcPr>
            <w:tcW w:w="1215" w:type="dxa"/>
            <w:vAlign w:val="center"/>
          </w:tcPr>
          <w:p w14:paraId="0E050549" w14:textId="32317C80" w:rsidR="004246E1" w:rsidRPr="00C827C3" w:rsidRDefault="00154837" w:rsidP="005638CE">
            <w:pPr>
              <w:rPr>
                <w:rFonts w:ascii="Aptos" w:hAnsi="Aptos"/>
              </w:rPr>
            </w:pPr>
            <w:r w:rsidRPr="00C827C3">
              <w:rPr>
                <w:rFonts w:ascii="Aptos" w:hAnsi="Aptos"/>
              </w:rPr>
              <w:t>April 2025</w:t>
            </w:r>
          </w:p>
        </w:tc>
        <w:tc>
          <w:tcPr>
            <w:tcW w:w="1126" w:type="dxa"/>
            <w:vAlign w:val="center"/>
          </w:tcPr>
          <w:p w14:paraId="71A88614" w14:textId="6077AC63" w:rsidR="004246E1" w:rsidRPr="00C827C3" w:rsidRDefault="00154837" w:rsidP="005638CE">
            <w:pPr>
              <w:rPr>
                <w:rFonts w:ascii="Aptos" w:hAnsi="Aptos"/>
              </w:rPr>
            </w:pPr>
            <w:r w:rsidRPr="00C827C3">
              <w:rPr>
                <w:rFonts w:ascii="Aptos" w:hAnsi="Aptos"/>
              </w:rPr>
              <w:t>3.6</w:t>
            </w:r>
          </w:p>
        </w:tc>
      </w:tr>
      <w:tr w:rsidR="004246E1" w:rsidRPr="00541AED" w14:paraId="2D40622C" w14:textId="77777777" w:rsidTr="00E97EF5">
        <w:trPr>
          <w:cantSplit/>
          <w:trHeight w:val="1118"/>
        </w:trPr>
        <w:tc>
          <w:tcPr>
            <w:tcW w:w="2411" w:type="dxa"/>
            <w:vMerge/>
            <w:vAlign w:val="center"/>
          </w:tcPr>
          <w:p w14:paraId="6F5A6605" w14:textId="0713D3ED" w:rsidR="004246E1" w:rsidRPr="00541AED" w:rsidRDefault="004246E1" w:rsidP="005638CE">
            <w:pPr>
              <w:rPr>
                <w:rFonts w:ascii="Aptos" w:hAnsi="Aptos" w:cs="Helvetica"/>
                <w:color w:val="333333"/>
              </w:rPr>
            </w:pPr>
          </w:p>
        </w:tc>
        <w:tc>
          <w:tcPr>
            <w:tcW w:w="4677" w:type="dxa"/>
            <w:vMerge/>
            <w:vAlign w:val="center"/>
          </w:tcPr>
          <w:p w14:paraId="7A08C5EC" w14:textId="59E25A05" w:rsidR="004246E1" w:rsidRPr="00541AED" w:rsidRDefault="004246E1" w:rsidP="005638CE">
            <w:pPr>
              <w:pStyle w:val="ListParagraph"/>
              <w:numPr>
                <w:ilvl w:val="0"/>
                <w:numId w:val="6"/>
              </w:numPr>
              <w:rPr>
                <w:rFonts w:ascii="Aptos" w:hAnsi="Aptos"/>
              </w:rPr>
            </w:pPr>
          </w:p>
        </w:tc>
        <w:tc>
          <w:tcPr>
            <w:tcW w:w="6237" w:type="dxa"/>
            <w:vAlign w:val="center"/>
          </w:tcPr>
          <w:p w14:paraId="0DADB47C" w14:textId="56F4047F" w:rsidR="004246E1" w:rsidRPr="00541AED" w:rsidRDefault="004246E1" w:rsidP="005638CE">
            <w:pPr>
              <w:pStyle w:val="ListParagraph"/>
              <w:numPr>
                <w:ilvl w:val="0"/>
                <w:numId w:val="6"/>
              </w:numPr>
              <w:rPr>
                <w:rFonts w:ascii="Aptos" w:hAnsi="Aptos"/>
              </w:rPr>
            </w:pPr>
            <w:r w:rsidRPr="00541AED">
              <w:rPr>
                <w:rFonts w:ascii="Aptos" w:hAnsi="Aptos"/>
              </w:rPr>
              <w:t>Corrected spelling of ‘haemopoietic’ in the medical condition name and exclusion criteria.</w:t>
            </w:r>
          </w:p>
          <w:p w14:paraId="3D9DF588" w14:textId="75061D66" w:rsidR="004246E1" w:rsidRPr="00541AED" w:rsidRDefault="003A7ACA" w:rsidP="005638CE">
            <w:pPr>
              <w:pStyle w:val="ListParagraph"/>
              <w:numPr>
                <w:ilvl w:val="0"/>
                <w:numId w:val="6"/>
              </w:numPr>
              <w:rPr>
                <w:rFonts w:ascii="Aptos" w:hAnsi="Aptos"/>
              </w:rPr>
            </w:pPr>
            <w:r>
              <w:rPr>
                <w:rFonts w:ascii="Aptos" w:hAnsi="Aptos"/>
              </w:rPr>
              <w:t>Updated</w:t>
            </w:r>
            <w:r w:rsidR="004246E1" w:rsidRPr="00541AED">
              <w:rPr>
                <w:rFonts w:ascii="Aptos" w:hAnsi="Aptos"/>
              </w:rPr>
              <w:t xml:space="preserve"> conditions for additional dose clarifying that the clinician should list the patient’s current IgG level in the comment box.</w:t>
            </w:r>
          </w:p>
        </w:tc>
        <w:tc>
          <w:tcPr>
            <w:tcW w:w="1215" w:type="dxa"/>
            <w:vAlign w:val="center"/>
          </w:tcPr>
          <w:p w14:paraId="6FE1338D" w14:textId="42F360D0" w:rsidR="004246E1" w:rsidRPr="00541AED" w:rsidRDefault="004246E1" w:rsidP="005638CE">
            <w:pPr>
              <w:rPr>
                <w:rFonts w:ascii="Aptos" w:hAnsi="Aptos"/>
              </w:rPr>
            </w:pPr>
            <w:r w:rsidRPr="00541AED">
              <w:rPr>
                <w:rFonts w:ascii="Aptos" w:hAnsi="Aptos"/>
              </w:rPr>
              <w:t>December 2024</w:t>
            </w:r>
          </w:p>
        </w:tc>
        <w:tc>
          <w:tcPr>
            <w:tcW w:w="1126" w:type="dxa"/>
            <w:vAlign w:val="center"/>
          </w:tcPr>
          <w:p w14:paraId="2D839D90" w14:textId="2504FDF5" w:rsidR="004246E1" w:rsidRPr="00541AED" w:rsidRDefault="004246E1" w:rsidP="005638CE">
            <w:pPr>
              <w:rPr>
                <w:rFonts w:ascii="Aptos" w:hAnsi="Aptos"/>
              </w:rPr>
            </w:pPr>
            <w:r w:rsidRPr="00541AED">
              <w:rPr>
                <w:rFonts w:ascii="Aptos" w:hAnsi="Aptos"/>
              </w:rPr>
              <w:t>3.5</w:t>
            </w:r>
          </w:p>
        </w:tc>
      </w:tr>
      <w:tr w:rsidR="004246E1" w:rsidRPr="00541AED" w14:paraId="55D30740" w14:textId="77777777" w:rsidTr="00E97EF5">
        <w:trPr>
          <w:cantSplit/>
        </w:trPr>
        <w:tc>
          <w:tcPr>
            <w:tcW w:w="2411" w:type="dxa"/>
            <w:vMerge/>
            <w:vAlign w:val="center"/>
          </w:tcPr>
          <w:p w14:paraId="6AD05954" w14:textId="77777777" w:rsidR="004246E1" w:rsidRPr="00541AED" w:rsidRDefault="004246E1" w:rsidP="005638CE">
            <w:pPr>
              <w:rPr>
                <w:rFonts w:ascii="Aptos" w:hAnsi="Aptos" w:cs="Helvetica"/>
                <w:color w:val="333333"/>
              </w:rPr>
            </w:pPr>
          </w:p>
        </w:tc>
        <w:tc>
          <w:tcPr>
            <w:tcW w:w="4677" w:type="dxa"/>
            <w:vMerge/>
            <w:vAlign w:val="center"/>
          </w:tcPr>
          <w:p w14:paraId="55FFDE88" w14:textId="77777777" w:rsidR="004246E1" w:rsidRPr="00541AED" w:rsidRDefault="004246E1" w:rsidP="005638CE">
            <w:pPr>
              <w:pStyle w:val="ListParagraph"/>
              <w:numPr>
                <w:ilvl w:val="0"/>
                <w:numId w:val="6"/>
              </w:numPr>
              <w:rPr>
                <w:rFonts w:ascii="Aptos" w:hAnsi="Aptos"/>
              </w:rPr>
            </w:pPr>
          </w:p>
        </w:tc>
        <w:tc>
          <w:tcPr>
            <w:tcW w:w="6237" w:type="dxa"/>
            <w:vAlign w:val="center"/>
          </w:tcPr>
          <w:p w14:paraId="383DFCDB" w14:textId="292F5EE2" w:rsidR="004246E1" w:rsidRPr="00541AED" w:rsidRDefault="003A7ACA" w:rsidP="005638CE">
            <w:pPr>
              <w:pStyle w:val="ListParagraph"/>
              <w:numPr>
                <w:ilvl w:val="0"/>
                <w:numId w:val="6"/>
              </w:numPr>
              <w:rPr>
                <w:rFonts w:ascii="Aptos" w:hAnsi="Aptos"/>
              </w:rPr>
            </w:pPr>
            <w:r>
              <w:rPr>
                <w:rFonts w:ascii="Aptos" w:hAnsi="Aptos"/>
              </w:rPr>
              <w:t xml:space="preserve">Updated </w:t>
            </w:r>
            <w:r w:rsidR="004246E1" w:rsidRPr="00541AED">
              <w:rPr>
                <w:rFonts w:ascii="Aptos" w:hAnsi="Aptos"/>
              </w:rPr>
              <w:t>clinic</w:t>
            </w:r>
            <w:r>
              <w:rPr>
                <w:rFonts w:ascii="Aptos" w:hAnsi="Aptos"/>
              </w:rPr>
              <w:t>ian</w:t>
            </w:r>
            <w:r w:rsidR="004246E1" w:rsidRPr="00541AED">
              <w:rPr>
                <w:rFonts w:ascii="Aptos" w:hAnsi="Aptos"/>
              </w:rPr>
              <w:t xml:space="preserve"> and authoriser instructions to allow a higher maintenance dose (up to 2</w:t>
            </w:r>
            <w:r>
              <w:rPr>
                <w:rFonts w:ascii="Aptos" w:hAnsi="Aptos"/>
              </w:rPr>
              <w:t xml:space="preserve"> </w:t>
            </w:r>
            <w:r w:rsidR="004246E1" w:rsidRPr="00541AED">
              <w:rPr>
                <w:rFonts w:ascii="Aptos" w:hAnsi="Aptos"/>
              </w:rPr>
              <w:t>g/kg/4 weeks) for chronic disseminated enterovirus infection.</w:t>
            </w:r>
          </w:p>
          <w:p w14:paraId="5408DA5A" w14:textId="3ADEACD2" w:rsidR="004246E1" w:rsidRPr="00541AED" w:rsidRDefault="004246E1" w:rsidP="005638CE">
            <w:pPr>
              <w:pStyle w:val="ListParagraph"/>
              <w:numPr>
                <w:ilvl w:val="0"/>
                <w:numId w:val="6"/>
              </w:numPr>
              <w:tabs>
                <w:tab w:val="left" w:pos="902"/>
              </w:tabs>
              <w:rPr>
                <w:rFonts w:ascii="Aptos" w:hAnsi="Aptos"/>
              </w:rPr>
            </w:pPr>
            <w:r w:rsidRPr="00541AED">
              <w:rPr>
                <w:rFonts w:ascii="Aptos" w:hAnsi="Aptos"/>
              </w:rPr>
              <w:t xml:space="preserve">Inclusion of fields to allow entry of IgG levels under the </w:t>
            </w:r>
            <w:r w:rsidR="003A7ACA">
              <w:rPr>
                <w:rFonts w:ascii="Aptos" w:hAnsi="Aptos"/>
              </w:rPr>
              <w:t xml:space="preserve">qualifying criterion </w:t>
            </w:r>
            <w:r w:rsidRPr="00541AED">
              <w:rPr>
                <w:rFonts w:ascii="Aptos" w:hAnsi="Aptos"/>
              </w:rPr>
              <w:t>“serum IgG greater than 4g/L … and at least one life-threatening infection in the last 12 months”.</w:t>
            </w:r>
          </w:p>
        </w:tc>
        <w:tc>
          <w:tcPr>
            <w:tcW w:w="1215" w:type="dxa"/>
            <w:vAlign w:val="center"/>
          </w:tcPr>
          <w:p w14:paraId="72AD8B74" w14:textId="13879080" w:rsidR="004246E1" w:rsidRPr="00541AED" w:rsidRDefault="004246E1" w:rsidP="005638CE">
            <w:pPr>
              <w:rPr>
                <w:rFonts w:ascii="Aptos" w:hAnsi="Aptos"/>
              </w:rPr>
            </w:pPr>
            <w:r w:rsidRPr="00541AED">
              <w:rPr>
                <w:rFonts w:ascii="Aptos" w:hAnsi="Aptos"/>
              </w:rPr>
              <w:t>November 2023</w:t>
            </w:r>
          </w:p>
        </w:tc>
        <w:tc>
          <w:tcPr>
            <w:tcW w:w="1126" w:type="dxa"/>
            <w:vAlign w:val="center"/>
          </w:tcPr>
          <w:p w14:paraId="06CBDC67" w14:textId="52BF46A8" w:rsidR="004246E1" w:rsidRPr="00541AED" w:rsidRDefault="004246E1" w:rsidP="005638CE">
            <w:pPr>
              <w:rPr>
                <w:rFonts w:ascii="Aptos" w:hAnsi="Aptos"/>
              </w:rPr>
            </w:pPr>
            <w:r w:rsidRPr="00541AED">
              <w:rPr>
                <w:rFonts w:ascii="Aptos" w:hAnsi="Aptos"/>
              </w:rPr>
              <w:t>3.4</w:t>
            </w:r>
          </w:p>
        </w:tc>
      </w:tr>
      <w:tr w:rsidR="004246E1" w:rsidRPr="00541AED" w14:paraId="4C4BA8E7" w14:textId="77777777" w:rsidTr="00E97EF5">
        <w:trPr>
          <w:cantSplit/>
        </w:trPr>
        <w:tc>
          <w:tcPr>
            <w:tcW w:w="2411" w:type="dxa"/>
            <w:vMerge/>
            <w:vAlign w:val="center"/>
          </w:tcPr>
          <w:p w14:paraId="61E46EB5" w14:textId="563854FD" w:rsidR="004246E1" w:rsidRPr="00541AED" w:rsidRDefault="004246E1" w:rsidP="005638CE">
            <w:pPr>
              <w:rPr>
                <w:rFonts w:ascii="Aptos" w:hAnsi="Aptos" w:cs="Helvetica"/>
                <w:color w:val="333333"/>
              </w:rPr>
            </w:pPr>
          </w:p>
        </w:tc>
        <w:tc>
          <w:tcPr>
            <w:tcW w:w="4677" w:type="dxa"/>
            <w:vMerge/>
            <w:vAlign w:val="center"/>
          </w:tcPr>
          <w:p w14:paraId="1377EFAC" w14:textId="1B2C7512" w:rsidR="004246E1" w:rsidRPr="00541AED" w:rsidRDefault="004246E1" w:rsidP="005638CE">
            <w:pPr>
              <w:pStyle w:val="ListParagraph"/>
              <w:numPr>
                <w:ilvl w:val="0"/>
                <w:numId w:val="6"/>
              </w:numPr>
              <w:rPr>
                <w:rFonts w:ascii="Aptos" w:hAnsi="Aptos"/>
              </w:rPr>
            </w:pPr>
          </w:p>
        </w:tc>
        <w:tc>
          <w:tcPr>
            <w:tcW w:w="6237" w:type="dxa"/>
            <w:vAlign w:val="center"/>
          </w:tcPr>
          <w:p w14:paraId="14680ACC" w14:textId="77777777" w:rsidR="003A7ACA" w:rsidRPr="003A7ACA" w:rsidRDefault="003A7ACA" w:rsidP="003A7ACA">
            <w:pPr>
              <w:pStyle w:val="ListParagraph"/>
              <w:numPr>
                <w:ilvl w:val="0"/>
                <w:numId w:val="6"/>
              </w:numPr>
              <w:rPr>
                <w:rFonts w:ascii="Aptos" w:hAnsi="Aptos"/>
              </w:rPr>
            </w:pPr>
            <w:r w:rsidRPr="003A7ACA">
              <w:rPr>
                <w:rFonts w:ascii="Aptos" w:hAnsi="Aptos"/>
              </w:rPr>
              <w:t>Trial of cessation criterion has been updated to ensure medical officers are aware this must be completed.</w:t>
            </w:r>
          </w:p>
          <w:p w14:paraId="5AD637DB" w14:textId="77777777" w:rsidR="003A7ACA" w:rsidRPr="003A7ACA" w:rsidRDefault="003A7ACA" w:rsidP="003A7ACA">
            <w:pPr>
              <w:pStyle w:val="ListParagraph"/>
              <w:numPr>
                <w:ilvl w:val="0"/>
                <w:numId w:val="6"/>
              </w:numPr>
              <w:rPr>
                <w:rFonts w:ascii="Aptos" w:hAnsi="Aptos"/>
              </w:rPr>
            </w:pPr>
            <w:r w:rsidRPr="003A7ACA">
              <w:rPr>
                <w:rFonts w:ascii="Aptos" w:hAnsi="Aptos"/>
              </w:rPr>
              <w:t>Date of test now only required for the first immunoglobulin level (where more than one is tested on the same day).</w:t>
            </w:r>
          </w:p>
          <w:p w14:paraId="52CB1B3A" w14:textId="0FBA8D97" w:rsidR="004246E1" w:rsidRPr="00541AED" w:rsidRDefault="003A7ACA" w:rsidP="003A7ACA">
            <w:pPr>
              <w:pStyle w:val="ListParagraph"/>
              <w:numPr>
                <w:ilvl w:val="0"/>
                <w:numId w:val="6"/>
              </w:numPr>
              <w:tabs>
                <w:tab w:val="left" w:pos="902"/>
              </w:tabs>
              <w:rPr>
                <w:rFonts w:ascii="Aptos" w:hAnsi="Aptos"/>
              </w:rPr>
            </w:pPr>
            <w:r>
              <w:rPr>
                <w:rFonts w:ascii="Aptos" w:hAnsi="Aptos"/>
              </w:rPr>
              <w:t>I</w:t>
            </w:r>
            <w:r w:rsidR="004246E1" w:rsidRPr="00541AED">
              <w:rPr>
                <w:rFonts w:ascii="Aptos" w:hAnsi="Aptos"/>
              </w:rPr>
              <w:t>nterpretation of results values for all Ig levels now include</w:t>
            </w:r>
            <w:r>
              <w:rPr>
                <w:rFonts w:ascii="Aptos" w:hAnsi="Aptos"/>
              </w:rPr>
              <w:t>s</w:t>
            </w:r>
            <w:r w:rsidR="004246E1" w:rsidRPr="00541AED">
              <w:rPr>
                <w:rFonts w:ascii="Aptos" w:hAnsi="Aptos"/>
              </w:rPr>
              <w:t xml:space="preserve"> </w:t>
            </w:r>
            <w:r>
              <w:rPr>
                <w:rFonts w:ascii="Aptos" w:hAnsi="Aptos"/>
              </w:rPr>
              <w:t>option</w:t>
            </w:r>
            <w:r w:rsidR="004246E1" w:rsidRPr="00541AED">
              <w:rPr>
                <w:rFonts w:ascii="Aptos" w:hAnsi="Aptos"/>
              </w:rPr>
              <w:t xml:space="preserve"> to </w:t>
            </w:r>
            <w:r>
              <w:rPr>
                <w:rFonts w:ascii="Aptos" w:hAnsi="Aptos"/>
              </w:rPr>
              <w:t>record results a</w:t>
            </w:r>
            <w:r w:rsidR="004246E1" w:rsidRPr="00541AED">
              <w:rPr>
                <w:rFonts w:ascii="Aptos" w:hAnsi="Aptos"/>
              </w:rPr>
              <w:t>bove normal range.</w:t>
            </w:r>
          </w:p>
          <w:p w14:paraId="7B324BC2" w14:textId="22151B7B" w:rsidR="004246E1" w:rsidRPr="00541AED" w:rsidRDefault="003A7ACA" w:rsidP="003A7ACA">
            <w:pPr>
              <w:pStyle w:val="ListParagraph"/>
              <w:numPr>
                <w:ilvl w:val="0"/>
                <w:numId w:val="6"/>
              </w:numPr>
              <w:rPr>
                <w:rFonts w:ascii="Aptos" w:hAnsi="Aptos"/>
              </w:rPr>
            </w:pPr>
            <w:r>
              <w:rPr>
                <w:rFonts w:ascii="Aptos" w:hAnsi="Aptos"/>
              </w:rPr>
              <w:t>B</w:t>
            </w:r>
            <w:r w:rsidR="004246E1" w:rsidRPr="00541AED">
              <w:rPr>
                <w:rFonts w:ascii="Aptos" w:hAnsi="Aptos"/>
              </w:rPr>
              <w:t xml:space="preserve">ibliography link </w:t>
            </w:r>
            <w:r>
              <w:rPr>
                <w:rFonts w:ascii="Aptos" w:hAnsi="Aptos"/>
              </w:rPr>
              <w:t>c</w:t>
            </w:r>
            <w:r w:rsidR="004246E1" w:rsidRPr="00541AED">
              <w:rPr>
                <w:rFonts w:ascii="Aptos" w:hAnsi="Aptos"/>
              </w:rPr>
              <w:t>orrected.</w:t>
            </w:r>
          </w:p>
        </w:tc>
        <w:tc>
          <w:tcPr>
            <w:tcW w:w="1215" w:type="dxa"/>
            <w:vAlign w:val="center"/>
          </w:tcPr>
          <w:p w14:paraId="53914D1B" w14:textId="16F2BECE" w:rsidR="004246E1" w:rsidRPr="00541AED" w:rsidRDefault="004246E1" w:rsidP="005638CE">
            <w:pPr>
              <w:rPr>
                <w:rFonts w:ascii="Aptos" w:hAnsi="Aptos"/>
              </w:rPr>
            </w:pPr>
            <w:r w:rsidRPr="00541AED">
              <w:rPr>
                <w:rFonts w:ascii="Aptos" w:hAnsi="Aptos"/>
              </w:rPr>
              <w:t>March 2020</w:t>
            </w:r>
          </w:p>
        </w:tc>
        <w:tc>
          <w:tcPr>
            <w:tcW w:w="1126" w:type="dxa"/>
            <w:vAlign w:val="center"/>
          </w:tcPr>
          <w:p w14:paraId="0847F9ED" w14:textId="14360E56" w:rsidR="004246E1" w:rsidRPr="00541AED" w:rsidRDefault="004246E1" w:rsidP="005638CE">
            <w:pPr>
              <w:rPr>
                <w:rFonts w:ascii="Aptos" w:hAnsi="Aptos"/>
              </w:rPr>
            </w:pPr>
            <w:r w:rsidRPr="00541AED">
              <w:rPr>
                <w:rFonts w:ascii="Aptos" w:hAnsi="Aptos"/>
              </w:rPr>
              <w:t>3.3</w:t>
            </w:r>
          </w:p>
        </w:tc>
      </w:tr>
      <w:tr w:rsidR="004246E1" w:rsidRPr="00541AED" w14:paraId="2FC7FC12" w14:textId="77777777" w:rsidTr="00E97EF5">
        <w:trPr>
          <w:cantSplit/>
        </w:trPr>
        <w:tc>
          <w:tcPr>
            <w:tcW w:w="2411" w:type="dxa"/>
            <w:vMerge/>
            <w:vAlign w:val="center"/>
          </w:tcPr>
          <w:p w14:paraId="3091BC0A" w14:textId="5121FBB8" w:rsidR="004246E1" w:rsidRPr="00541AED" w:rsidRDefault="004246E1" w:rsidP="005638CE">
            <w:pPr>
              <w:rPr>
                <w:rFonts w:ascii="Aptos" w:hAnsi="Aptos" w:cs="Helvetica"/>
                <w:color w:val="333333"/>
              </w:rPr>
            </w:pPr>
          </w:p>
        </w:tc>
        <w:tc>
          <w:tcPr>
            <w:tcW w:w="4677" w:type="dxa"/>
            <w:vMerge/>
            <w:vAlign w:val="center"/>
          </w:tcPr>
          <w:p w14:paraId="61E791B0" w14:textId="3A546791" w:rsidR="004246E1" w:rsidRPr="00541AED" w:rsidRDefault="004246E1" w:rsidP="005638CE">
            <w:pPr>
              <w:pStyle w:val="ListParagraph"/>
              <w:numPr>
                <w:ilvl w:val="0"/>
                <w:numId w:val="6"/>
              </w:numPr>
              <w:rPr>
                <w:rFonts w:ascii="Aptos" w:hAnsi="Aptos"/>
              </w:rPr>
            </w:pPr>
          </w:p>
        </w:tc>
        <w:tc>
          <w:tcPr>
            <w:tcW w:w="6237" w:type="dxa"/>
            <w:vAlign w:val="center"/>
          </w:tcPr>
          <w:p w14:paraId="4CA4B0CA" w14:textId="65BE5491" w:rsidR="004246E1" w:rsidRPr="00541AED" w:rsidRDefault="004246E1" w:rsidP="005638CE">
            <w:pPr>
              <w:pStyle w:val="ListParagraph"/>
              <w:numPr>
                <w:ilvl w:val="0"/>
                <w:numId w:val="6"/>
              </w:numPr>
              <w:rPr>
                <w:rFonts w:ascii="Aptos" w:hAnsi="Aptos"/>
              </w:rPr>
            </w:pPr>
            <w:r w:rsidRPr="00541AED">
              <w:rPr>
                <w:rFonts w:ascii="Aptos" w:hAnsi="Aptos"/>
              </w:rPr>
              <w:t xml:space="preserve">Additional one-off dose </w:t>
            </w:r>
            <w:r w:rsidR="003A7ACA">
              <w:rPr>
                <w:rFonts w:ascii="Aptos" w:hAnsi="Aptos"/>
              </w:rPr>
              <w:t>now</w:t>
            </w:r>
            <w:r w:rsidRPr="00541AED">
              <w:rPr>
                <w:rFonts w:ascii="Aptos" w:hAnsi="Aptos"/>
              </w:rPr>
              <w:t xml:space="preserve"> available during the course of the authorisation </w:t>
            </w:r>
            <w:r w:rsidR="003A7ACA">
              <w:rPr>
                <w:rFonts w:ascii="Aptos" w:hAnsi="Aptos"/>
              </w:rPr>
              <w:t>(IVIg or SCIg)</w:t>
            </w:r>
            <w:r w:rsidRPr="00541AED">
              <w:rPr>
                <w:rFonts w:ascii="Aptos" w:hAnsi="Aptos"/>
              </w:rPr>
              <w:t>.</w:t>
            </w:r>
          </w:p>
          <w:p w14:paraId="651F1584" w14:textId="1C3A4F28" w:rsidR="004246E1" w:rsidRPr="00541AED" w:rsidRDefault="004246E1" w:rsidP="005638CE">
            <w:pPr>
              <w:pStyle w:val="ListParagraph"/>
              <w:numPr>
                <w:ilvl w:val="0"/>
                <w:numId w:val="6"/>
              </w:numPr>
              <w:rPr>
                <w:rFonts w:ascii="Aptos" w:hAnsi="Aptos"/>
              </w:rPr>
            </w:pPr>
            <w:r w:rsidRPr="00541AED">
              <w:rPr>
                <w:rFonts w:ascii="Aptos" w:hAnsi="Aptos"/>
              </w:rPr>
              <w:t>Maintenance dose amended to 0.4</w:t>
            </w:r>
            <w:r w:rsidR="003A7ACA">
              <w:rPr>
                <w:rFonts w:ascii="Aptos" w:hAnsi="Aptos"/>
              </w:rPr>
              <w:t>-</w:t>
            </w:r>
            <w:r w:rsidRPr="00541AED">
              <w:rPr>
                <w:rFonts w:ascii="Aptos" w:hAnsi="Aptos"/>
              </w:rPr>
              <w:t>0.6</w:t>
            </w:r>
            <w:r w:rsidR="003A7ACA">
              <w:rPr>
                <w:rFonts w:ascii="Aptos" w:hAnsi="Aptos"/>
              </w:rPr>
              <w:t xml:space="preserve"> </w:t>
            </w:r>
            <w:r w:rsidRPr="00541AED">
              <w:rPr>
                <w:rFonts w:ascii="Aptos" w:hAnsi="Aptos"/>
              </w:rPr>
              <w:t xml:space="preserve">g/kg every </w:t>
            </w:r>
            <w:r w:rsidR="003A7ACA">
              <w:rPr>
                <w:rFonts w:ascii="Aptos" w:hAnsi="Aptos"/>
              </w:rPr>
              <w:t>4</w:t>
            </w:r>
            <w:r w:rsidRPr="00541AED">
              <w:rPr>
                <w:rFonts w:ascii="Aptos" w:hAnsi="Aptos"/>
              </w:rPr>
              <w:t xml:space="preserve"> weeks or more frequently.</w:t>
            </w:r>
          </w:p>
          <w:p w14:paraId="0BCD06C6" w14:textId="65786788" w:rsidR="004246E1" w:rsidRPr="00541AED" w:rsidRDefault="004246E1" w:rsidP="005638CE">
            <w:pPr>
              <w:pStyle w:val="ListParagraph"/>
              <w:numPr>
                <w:ilvl w:val="0"/>
                <w:numId w:val="6"/>
              </w:numPr>
              <w:rPr>
                <w:rFonts w:ascii="Aptos" w:hAnsi="Aptos"/>
              </w:rPr>
            </w:pPr>
            <w:r w:rsidRPr="00541AED">
              <w:rPr>
                <w:rFonts w:ascii="Aptos" w:hAnsi="Aptos"/>
              </w:rPr>
              <w:t xml:space="preserve">Separate doses now available for intravenous and subcutaneous immunoglobulin administration. </w:t>
            </w:r>
          </w:p>
        </w:tc>
        <w:tc>
          <w:tcPr>
            <w:tcW w:w="1215" w:type="dxa"/>
            <w:vAlign w:val="center"/>
          </w:tcPr>
          <w:p w14:paraId="53899ABE" w14:textId="60B260D2" w:rsidR="004246E1" w:rsidRPr="00541AED" w:rsidRDefault="004246E1" w:rsidP="005638CE">
            <w:pPr>
              <w:rPr>
                <w:rFonts w:ascii="Aptos" w:hAnsi="Aptos"/>
              </w:rPr>
            </w:pPr>
            <w:r w:rsidRPr="00541AED">
              <w:rPr>
                <w:rFonts w:ascii="Aptos" w:hAnsi="Aptos"/>
              </w:rPr>
              <w:t>October 2019</w:t>
            </w:r>
          </w:p>
        </w:tc>
        <w:tc>
          <w:tcPr>
            <w:tcW w:w="1126" w:type="dxa"/>
            <w:vAlign w:val="center"/>
          </w:tcPr>
          <w:p w14:paraId="6102496E" w14:textId="3639361A" w:rsidR="004246E1" w:rsidRPr="00541AED" w:rsidRDefault="004246E1" w:rsidP="005638CE">
            <w:pPr>
              <w:rPr>
                <w:rFonts w:ascii="Aptos" w:hAnsi="Aptos"/>
              </w:rPr>
            </w:pPr>
            <w:r w:rsidRPr="00541AED">
              <w:rPr>
                <w:rFonts w:ascii="Aptos" w:hAnsi="Aptos"/>
              </w:rPr>
              <w:t>3.2</w:t>
            </w:r>
          </w:p>
        </w:tc>
      </w:tr>
      <w:tr w:rsidR="004035C3" w:rsidRPr="00541AED" w14:paraId="3992F4E5" w14:textId="77777777" w:rsidTr="00E97EF5">
        <w:trPr>
          <w:cantSplit/>
        </w:trPr>
        <w:tc>
          <w:tcPr>
            <w:tcW w:w="2411" w:type="dxa"/>
            <w:vMerge w:val="restart"/>
            <w:vAlign w:val="center"/>
          </w:tcPr>
          <w:p w14:paraId="5793BC7F" w14:textId="1FA4631F" w:rsidR="004035C3" w:rsidRPr="00541AED" w:rsidRDefault="004035C3" w:rsidP="005638CE">
            <w:pPr>
              <w:rPr>
                <w:rFonts w:ascii="Aptos" w:hAnsi="Aptos" w:cs="Helvetica"/>
                <w:color w:val="333333"/>
              </w:rPr>
            </w:pPr>
            <w:r w:rsidRPr="00541AED">
              <w:rPr>
                <w:rFonts w:ascii="Aptos" w:hAnsi="Aptos" w:cs="Helvetica"/>
                <w:color w:val="333333"/>
              </w:rPr>
              <w:t>Specific antibody deficiency</w:t>
            </w:r>
          </w:p>
        </w:tc>
        <w:tc>
          <w:tcPr>
            <w:tcW w:w="4677" w:type="dxa"/>
            <w:vMerge w:val="restart"/>
            <w:vAlign w:val="center"/>
          </w:tcPr>
          <w:p w14:paraId="637D89D3" w14:textId="66EDFAC2" w:rsidR="004035C3" w:rsidRPr="00541AED" w:rsidRDefault="004035C3" w:rsidP="005638CE">
            <w:pPr>
              <w:pStyle w:val="ListParagraph"/>
              <w:numPr>
                <w:ilvl w:val="0"/>
                <w:numId w:val="6"/>
              </w:numPr>
              <w:rPr>
                <w:rFonts w:ascii="Aptos" w:hAnsi="Aptos"/>
              </w:rPr>
            </w:pPr>
            <w:bookmarkStart w:id="12" w:name="_Hlk212538550"/>
            <w:r w:rsidRPr="00541AED">
              <w:rPr>
                <w:rFonts w:ascii="Aptos" w:hAnsi="Aptos"/>
              </w:rPr>
              <w:t>Prevention of recurrent/persistent infections in individuals with a demonstrated failure to mount protective IgG antibody responses to</w:t>
            </w:r>
            <w:r w:rsidR="005638CE" w:rsidRPr="00541AED">
              <w:rPr>
                <w:rFonts w:ascii="Aptos" w:hAnsi="Aptos"/>
              </w:rPr>
              <w:t xml:space="preserve"> vaccine antigen </w:t>
            </w:r>
            <w:r w:rsidR="005638CE" w:rsidRPr="00541AED">
              <w:rPr>
                <w:rFonts w:ascii="Aptos" w:hAnsi="Aptos"/>
              </w:rPr>
              <w:lastRenderedPageBreak/>
              <w:t>challenge, despite normal total serum IgG levels</w:t>
            </w:r>
            <w:r w:rsidRPr="00541AED">
              <w:rPr>
                <w:rFonts w:ascii="Aptos" w:hAnsi="Aptos"/>
              </w:rPr>
              <w:t xml:space="preserve"> </w:t>
            </w:r>
          </w:p>
          <w:p w14:paraId="621D5B89" w14:textId="77777777" w:rsidR="004035C3" w:rsidRPr="00541AED" w:rsidRDefault="004035C3" w:rsidP="005638CE">
            <w:pPr>
              <w:pStyle w:val="ListParagraph"/>
              <w:numPr>
                <w:ilvl w:val="0"/>
                <w:numId w:val="6"/>
              </w:numPr>
              <w:rPr>
                <w:rFonts w:ascii="Aptos" w:hAnsi="Aptos"/>
              </w:rPr>
            </w:pPr>
            <w:r w:rsidRPr="00541AED">
              <w:rPr>
                <w:rFonts w:ascii="Aptos" w:hAnsi="Aptos"/>
              </w:rPr>
              <w:t>Prevention of infection in individuals with proven specific antibody deficiency who have had a life-threatening infection or a series of serious infections following trial-off Ig therapy</w:t>
            </w:r>
          </w:p>
          <w:p w14:paraId="59B34115" w14:textId="1B4D8897" w:rsidR="004035C3" w:rsidRPr="00541AED" w:rsidRDefault="004035C3" w:rsidP="005638CE">
            <w:pPr>
              <w:pStyle w:val="ListParagraph"/>
              <w:numPr>
                <w:ilvl w:val="0"/>
                <w:numId w:val="6"/>
              </w:numPr>
              <w:rPr>
                <w:rFonts w:ascii="Aptos" w:hAnsi="Aptos"/>
              </w:rPr>
            </w:pPr>
            <w:r w:rsidRPr="00541AED">
              <w:rPr>
                <w:rFonts w:ascii="Aptos" w:hAnsi="Aptos"/>
              </w:rPr>
              <w:t>Prevention of infection in patients currently receiving immunoglobulin therapy for a diagnosis of IgG subclass deficiency provided that a diagnosis of specific antibody deficiency is confirmed following cessation of immunoglobulin therapy</w:t>
            </w:r>
            <w:bookmarkEnd w:id="12"/>
          </w:p>
        </w:tc>
        <w:tc>
          <w:tcPr>
            <w:tcW w:w="6237" w:type="dxa"/>
            <w:vAlign w:val="center"/>
          </w:tcPr>
          <w:p w14:paraId="4CD4A083" w14:textId="13DE59F7" w:rsidR="004035C3" w:rsidRPr="00541AED" w:rsidRDefault="004035C3" w:rsidP="005638CE">
            <w:pPr>
              <w:pStyle w:val="ListParagraph"/>
              <w:numPr>
                <w:ilvl w:val="0"/>
                <w:numId w:val="6"/>
              </w:numPr>
              <w:rPr>
                <w:rFonts w:ascii="Aptos" w:hAnsi="Aptos"/>
              </w:rPr>
            </w:pPr>
            <w:r w:rsidRPr="00541AED">
              <w:rPr>
                <w:rFonts w:ascii="Aptos" w:hAnsi="Aptos"/>
              </w:rPr>
              <w:lastRenderedPageBreak/>
              <w:t>Clarified maximum dose per period per k</w:t>
            </w:r>
            <w:r w:rsidR="003A7ACA">
              <w:rPr>
                <w:rFonts w:ascii="Aptos" w:hAnsi="Aptos"/>
              </w:rPr>
              <w:t>g.</w:t>
            </w:r>
          </w:p>
        </w:tc>
        <w:tc>
          <w:tcPr>
            <w:tcW w:w="1215" w:type="dxa"/>
            <w:vAlign w:val="center"/>
          </w:tcPr>
          <w:p w14:paraId="141EB249" w14:textId="54647B28" w:rsidR="004035C3" w:rsidRPr="00541AED" w:rsidRDefault="004035C3" w:rsidP="005638CE">
            <w:pPr>
              <w:rPr>
                <w:rFonts w:ascii="Aptos" w:hAnsi="Aptos"/>
              </w:rPr>
            </w:pPr>
            <w:r w:rsidRPr="00541AED">
              <w:rPr>
                <w:rFonts w:ascii="Aptos" w:hAnsi="Aptos"/>
              </w:rPr>
              <w:t>December 2024</w:t>
            </w:r>
          </w:p>
        </w:tc>
        <w:tc>
          <w:tcPr>
            <w:tcW w:w="1126" w:type="dxa"/>
            <w:vAlign w:val="center"/>
          </w:tcPr>
          <w:p w14:paraId="78AA552F" w14:textId="11BEE301" w:rsidR="004035C3" w:rsidRPr="00541AED" w:rsidRDefault="004035C3" w:rsidP="005638CE">
            <w:pPr>
              <w:rPr>
                <w:rFonts w:ascii="Aptos" w:hAnsi="Aptos"/>
              </w:rPr>
            </w:pPr>
            <w:r w:rsidRPr="00541AED">
              <w:rPr>
                <w:rFonts w:ascii="Aptos" w:hAnsi="Aptos"/>
              </w:rPr>
              <w:t>3.3</w:t>
            </w:r>
          </w:p>
        </w:tc>
      </w:tr>
      <w:tr w:rsidR="004035C3" w:rsidRPr="00541AED" w14:paraId="58174094" w14:textId="77777777" w:rsidTr="00E97EF5">
        <w:trPr>
          <w:cantSplit/>
        </w:trPr>
        <w:tc>
          <w:tcPr>
            <w:tcW w:w="2411" w:type="dxa"/>
            <w:vMerge/>
            <w:vAlign w:val="center"/>
          </w:tcPr>
          <w:p w14:paraId="1FB33F8F" w14:textId="77777777" w:rsidR="004035C3" w:rsidRPr="00541AED" w:rsidRDefault="004035C3" w:rsidP="005638CE">
            <w:pPr>
              <w:rPr>
                <w:rFonts w:ascii="Aptos" w:hAnsi="Aptos" w:cs="Helvetica"/>
                <w:color w:val="333333"/>
              </w:rPr>
            </w:pPr>
          </w:p>
        </w:tc>
        <w:tc>
          <w:tcPr>
            <w:tcW w:w="4677" w:type="dxa"/>
            <w:vMerge/>
            <w:vAlign w:val="center"/>
          </w:tcPr>
          <w:p w14:paraId="3A9A0433" w14:textId="77777777" w:rsidR="004035C3" w:rsidRPr="00541AED" w:rsidRDefault="004035C3" w:rsidP="005638CE">
            <w:pPr>
              <w:pStyle w:val="ListParagraph"/>
              <w:numPr>
                <w:ilvl w:val="0"/>
                <w:numId w:val="6"/>
              </w:numPr>
              <w:rPr>
                <w:rFonts w:ascii="Aptos" w:hAnsi="Aptos"/>
              </w:rPr>
            </w:pPr>
          </w:p>
        </w:tc>
        <w:tc>
          <w:tcPr>
            <w:tcW w:w="6237" w:type="dxa"/>
            <w:vAlign w:val="center"/>
          </w:tcPr>
          <w:p w14:paraId="419FFBA8" w14:textId="7B2EAB70" w:rsidR="004035C3" w:rsidRPr="00541AED" w:rsidRDefault="003A7ACA" w:rsidP="005638CE">
            <w:pPr>
              <w:pStyle w:val="ListParagraph"/>
              <w:numPr>
                <w:ilvl w:val="0"/>
                <w:numId w:val="6"/>
              </w:numPr>
              <w:rPr>
                <w:rFonts w:ascii="Aptos" w:hAnsi="Aptos"/>
              </w:rPr>
            </w:pPr>
            <w:r>
              <w:rPr>
                <w:rFonts w:ascii="Aptos" w:hAnsi="Aptos"/>
              </w:rPr>
              <w:t>Q</w:t>
            </w:r>
            <w:r w:rsidR="004035C3" w:rsidRPr="00541AED">
              <w:rPr>
                <w:rFonts w:ascii="Aptos" w:hAnsi="Aptos"/>
              </w:rPr>
              <w:t xml:space="preserve">ualifying </w:t>
            </w:r>
            <w:r w:rsidR="0068619C" w:rsidRPr="00541AED">
              <w:rPr>
                <w:rFonts w:ascii="Aptos" w:hAnsi="Aptos"/>
              </w:rPr>
              <w:t>p</w:t>
            </w:r>
            <w:r w:rsidR="004035C3" w:rsidRPr="00541AED">
              <w:rPr>
                <w:rFonts w:ascii="Aptos" w:hAnsi="Aptos"/>
              </w:rPr>
              <w:t>reamble updated to clarify eligibility requirements.</w:t>
            </w:r>
          </w:p>
        </w:tc>
        <w:tc>
          <w:tcPr>
            <w:tcW w:w="1215" w:type="dxa"/>
            <w:vAlign w:val="center"/>
          </w:tcPr>
          <w:p w14:paraId="318641C9" w14:textId="47607429" w:rsidR="004035C3" w:rsidRPr="00541AED" w:rsidRDefault="004035C3" w:rsidP="005638CE">
            <w:pPr>
              <w:rPr>
                <w:rFonts w:ascii="Aptos" w:hAnsi="Aptos"/>
              </w:rPr>
            </w:pPr>
            <w:r w:rsidRPr="00541AED">
              <w:rPr>
                <w:rFonts w:ascii="Aptos" w:hAnsi="Aptos"/>
              </w:rPr>
              <w:t>March 2020</w:t>
            </w:r>
          </w:p>
        </w:tc>
        <w:tc>
          <w:tcPr>
            <w:tcW w:w="1126" w:type="dxa"/>
            <w:vAlign w:val="center"/>
          </w:tcPr>
          <w:p w14:paraId="06968920" w14:textId="5A5510C0" w:rsidR="004035C3" w:rsidRPr="00541AED" w:rsidRDefault="004035C3" w:rsidP="005638CE">
            <w:pPr>
              <w:rPr>
                <w:rFonts w:ascii="Aptos" w:hAnsi="Aptos"/>
              </w:rPr>
            </w:pPr>
            <w:r w:rsidRPr="00541AED">
              <w:rPr>
                <w:rFonts w:ascii="Aptos" w:hAnsi="Aptos"/>
              </w:rPr>
              <w:t>3.2</w:t>
            </w:r>
          </w:p>
        </w:tc>
      </w:tr>
      <w:tr w:rsidR="004035C3" w:rsidRPr="00541AED" w14:paraId="361A0623" w14:textId="77777777" w:rsidTr="00E97EF5">
        <w:trPr>
          <w:cantSplit/>
        </w:trPr>
        <w:tc>
          <w:tcPr>
            <w:tcW w:w="2411" w:type="dxa"/>
            <w:vMerge/>
            <w:vAlign w:val="center"/>
          </w:tcPr>
          <w:p w14:paraId="00269E96" w14:textId="699F4EF1" w:rsidR="004035C3" w:rsidRPr="00541AED" w:rsidRDefault="004035C3" w:rsidP="005638CE">
            <w:pPr>
              <w:rPr>
                <w:rFonts w:ascii="Aptos" w:hAnsi="Aptos" w:cs="Helvetica"/>
                <w:color w:val="333333"/>
              </w:rPr>
            </w:pPr>
          </w:p>
        </w:tc>
        <w:tc>
          <w:tcPr>
            <w:tcW w:w="4677" w:type="dxa"/>
            <w:vMerge/>
            <w:vAlign w:val="center"/>
          </w:tcPr>
          <w:p w14:paraId="649E95FD" w14:textId="09CEF444" w:rsidR="004035C3" w:rsidRPr="00541AED" w:rsidRDefault="004035C3" w:rsidP="005638CE">
            <w:pPr>
              <w:pStyle w:val="ListParagraph"/>
              <w:numPr>
                <w:ilvl w:val="0"/>
                <w:numId w:val="6"/>
              </w:numPr>
              <w:rPr>
                <w:rFonts w:ascii="Aptos" w:hAnsi="Aptos"/>
              </w:rPr>
            </w:pPr>
          </w:p>
        </w:tc>
        <w:tc>
          <w:tcPr>
            <w:tcW w:w="6237" w:type="dxa"/>
            <w:vAlign w:val="center"/>
          </w:tcPr>
          <w:p w14:paraId="32ECFF47" w14:textId="54B9B529" w:rsidR="004035C3" w:rsidRPr="00541AED" w:rsidRDefault="004035C3" w:rsidP="005638CE">
            <w:pPr>
              <w:pStyle w:val="ListParagraph"/>
              <w:numPr>
                <w:ilvl w:val="0"/>
                <w:numId w:val="6"/>
              </w:numPr>
              <w:rPr>
                <w:rFonts w:ascii="Aptos" w:hAnsi="Aptos"/>
              </w:rPr>
            </w:pPr>
            <w:r w:rsidRPr="00541AED">
              <w:rPr>
                <w:rFonts w:ascii="Aptos" w:hAnsi="Aptos"/>
              </w:rPr>
              <w:t xml:space="preserve">Separate doses are now available for intravenous and subcutaneous immunoglobulin administration. </w:t>
            </w:r>
          </w:p>
        </w:tc>
        <w:tc>
          <w:tcPr>
            <w:tcW w:w="1215" w:type="dxa"/>
            <w:vAlign w:val="center"/>
          </w:tcPr>
          <w:p w14:paraId="490A0C07" w14:textId="7367BD42" w:rsidR="004035C3" w:rsidRPr="00541AED" w:rsidRDefault="004035C3" w:rsidP="005638CE">
            <w:pPr>
              <w:rPr>
                <w:rFonts w:ascii="Aptos" w:hAnsi="Aptos"/>
              </w:rPr>
            </w:pPr>
            <w:r w:rsidRPr="00541AED">
              <w:rPr>
                <w:rFonts w:ascii="Aptos" w:hAnsi="Aptos"/>
              </w:rPr>
              <w:t>October 2019</w:t>
            </w:r>
          </w:p>
        </w:tc>
        <w:tc>
          <w:tcPr>
            <w:tcW w:w="1126" w:type="dxa"/>
            <w:vAlign w:val="center"/>
          </w:tcPr>
          <w:p w14:paraId="217C3C17" w14:textId="6DD4853C" w:rsidR="004035C3" w:rsidRPr="00541AED" w:rsidRDefault="004035C3" w:rsidP="005638CE">
            <w:pPr>
              <w:rPr>
                <w:rFonts w:ascii="Aptos" w:hAnsi="Aptos"/>
              </w:rPr>
            </w:pPr>
            <w:r w:rsidRPr="00541AED">
              <w:rPr>
                <w:rFonts w:ascii="Aptos" w:hAnsi="Aptos"/>
              </w:rPr>
              <w:t>3.1</w:t>
            </w:r>
          </w:p>
        </w:tc>
      </w:tr>
      <w:tr w:rsidR="004035C3" w:rsidRPr="00541AED" w14:paraId="5450C87F" w14:textId="77777777" w:rsidTr="00E97EF5">
        <w:trPr>
          <w:cantSplit/>
        </w:trPr>
        <w:tc>
          <w:tcPr>
            <w:tcW w:w="2411" w:type="dxa"/>
            <w:vAlign w:val="center"/>
          </w:tcPr>
          <w:p w14:paraId="3FA4F427" w14:textId="1560DF6F" w:rsidR="004035C3" w:rsidRPr="00541AED" w:rsidRDefault="004035C3" w:rsidP="005638CE">
            <w:pPr>
              <w:rPr>
                <w:rFonts w:ascii="Aptos" w:hAnsi="Aptos" w:cs="Helvetica"/>
                <w:color w:val="333333"/>
              </w:rPr>
            </w:pPr>
            <w:bookmarkStart w:id="13" w:name="_Hlk212538610"/>
            <w:r w:rsidRPr="00541AED">
              <w:rPr>
                <w:rFonts w:ascii="Aptos" w:hAnsi="Aptos" w:cs="Helvetica"/>
                <w:color w:val="333333"/>
              </w:rPr>
              <w:t>Toxic epidermal necrolysis (TEN;</w:t>
            </w:r>
            <w:r w:rsidR="0068619C" w:rsidRPr="00541AED">
              <w:rPr>
                <w:rFonts w:ascii="Aptos" w:hAnsi="Aptos" w:cs="Helvetica"/>
                <w:color w:val="333333"/>
              </w:rPr>
              <w:t xml:space="preserve"> </w:t>
            </w:r>
            <w:r w:rsidRPr="00541AED">
              <w:rPr>
                <w:rFonts w:ascii="Aptos" w:hAnsi="Aptos" w:cs="Helvetica"/>
                <w:color w:val="333333"/>
              </w:rPr>
              <w:t>Lyell syndrome)/Stevens-Johnson syndrome (SJS)</w:t>
            </w:r>
            <w:bookmarkEnd w:id="13"/>
          </w:p>
        </w:tc>
        <w:tc>
          <w:tcPr>
            <w:tcW w:w="4677" w:type="dxa"/>
            <w:vAlign w:val="center"/>
          </w:tcPr>
          <w:p w14:paraId="363743E0" w14:textId="7D14D926" w:rsidR="004035C3" w:rsidRPr="00541AED" w:rsidRDefault="004035C3" w:rsidP="005638CE">
            <w:pPr>
              <w:numPr>
                <w:ilvl w:val="0"/>
                <w:numId w:val="6"/>
              </w:numPr>
              <w:spacing w:before="150" w:after="100" w:afterAutospacing="1"/>
              <w:rPr>
                <w:rFonts w:ascii="Aptos" w:eastAsia="Times New Roman" w:hAnsi="Aptos" w:cstheme="minorHAnsi"/>
                <w:color w:val="333333"/>
                <w:lang w:eastAsia="en-AU"/>
              </w:rPr>
            </w:pPr>
            <w:bookmarkStart w:id="14" w:name="_Hlk212538639"/>
            <w:r w:rsidRPr="00541AED">
              <w:rPr>
                <w:rFonts w:ascii="Aptos" w:eastAsia="Times New Roman" w:hAnsi="Aptos" w:cstheme="minorHAnsi"/>
                <w:lang w:eastAsia="en-AU"/>
              </w:rPr>
              <w:t>Toxic epidermal necrolysis (TEN)</w:t>
            </w:r>
            <w:r w:rsidRPr="00541AED">
              <w:rPr>
                <w:rFonts w:ascii="Aptos" w:eastAsia="Times New Roman" w:hAnsi="Aptos" w:cstheme="minorHAnsi"/>
                <w:b/>
                <w:bCs/>
                <w:lang w:eastAsia="en-AU"/>
              </w:rPr>
              <w:t> </w:t>
            </w:r>
            <w:r w:rsidRPr="00541AED">
              <w:rPr>
                <w:rFonts w:ascii="Aptos" w:eastAsia="Times New Roman" w:hAnsi="Aptos" w:cstheme="minorHAnsi"/>
                <w:lang w:eastAsia="en-AU"/>
              </w:rPr>
              <w:t>or Stevens–Johnson syndrome / toxic epidermal necrolysis overlap (SJS/TEN) with rapid evolution and &gt;10% body surface area affected</w:t>
            </w:r>
            <w:bookmarkEnd w:id="14"/>
          </w:p>
        </w:tc>
        <w:tc>
          <w:tcPr>
            <w:tcW w:w="6237" w:type="dxa"/>
            <w:vAlign w:val="center"/>
          </w:tcPr>
          <w:p w14:paraId="0133BBB3" w14:textId="1229E842" w:rsidR="004035C3" w:rsidRPr="00541AED" w:rsidRDefault="004035C3" w:rsidP="005638CE">
            <w:pPr>
              <w:pStyle w:val="ListParagraph"/>
              <w:numPr>
                <w:ilvl w:val="0"/>
                <w:numId w:val="6"/>
              </w:numPr>
              <w:rPr>
                <w:rFonts w:ascii="Aptos" w:hAnsi="Aptos"/>
              </w:rPr>
            </w:pPr>
            <w:r w:rsidRPr="00541AED">
              <w:rPr>
                <w:rFonts w:ascii="Aptos" w:hAnsi="Aptos"/>
              </w:rPr>
              <w:t>Added clarity to dosage text</w:t>
            </w:r>
            <w:r w:rsidR="0068619C" w:rsidRPr="00541AED">
              <w:rPr>
                <w:rFonts w:ascii="Aptos" w:hAnsi="Aptos"/>
              </w:rPr>
              <w:t>.</w:t>
            </w:r>
          </w:p>
        </w:tc>
        <w:tc>
          <w:tcPr>
            <w:tcW w:w="1215" w:type="dxa"/>
            <w:vAlign w:val="center"/>
          </w:tcPr>
          <w:p w14:paraId="38B474E8" w14:textId="29347C68" w:rsidR="004035C3" w:rsidRPr="00541AED" w:rsidRDefault="004035C3" w:rsidP="005638CE">
            <w:pPr>
              <w:rPr>
                <w:rFonts w:ascii="Aptos" w:hAnsi="Aptos"/>
              </w:rPr>
            </w:pPr>
            <w:r w:rsidRPr="00541AED">
              <w:rPr>
                <w:rFonts w:ascii="Aptos" w:hAnsi="Aptos"/>
              </w:rPr>
              <w:t>December 2024</w:t>
            </w:r>
          </w:p>
        </w:tc>
        <w:tc>
          <w:tcPr>
            <w:tcW w:w="1126" w:type="dxa"/>
            <w:vAlign w:val="center"/>
          </w:tcPr>
          <w:p w14:paraId="7DF5A891" w14:textId="1D8BB7FF" w:rsidR="004035C3" w:rsidRPr="00541AED" w:rsidRDefault="004035C3" w:rsidP="005638CE">
            <w:pPr>
              <w:rPr>
                <w:rFonts w:ascii="Aptos" w:hAnsi="Aptos"/>
              </w:rPr>
            </w:pPr>
            <w:r w:rsidRPr="00541AED">
              <w:rPr>
                <w:rFonts w:ascii="Aptos" w:hAnsi="Aptos"/>
              </w:rPr>
              <w:t>3.1</w:t>
            </w:r>
          </w:p>
        </w:tc>
      </w:tr>
      <w:tr w:rsidR="00611976" w:rsidRPr="00541AED" w14:paraId="2D81FD67" w14:textId="77777777" w:rsidTr="00E97EF5">
        <w:trPr>
          <w:cantSplit/>
        </w:trPr>
        <w:tc>
          <w:tcPr>
            <w:tcW w:w="2411" w:type="dxa"/>
            <w:vAlign w:val="center"/>
          </w:tcPr>
          <w:p w14:paraId="3F840730" w14:textId="642C7363" w:rsidR="00611976" w:rsidRPr="00C827C3" w:rsidRDefault="00611976" w:rsidP="005638CE">
            <w:pPr>
              <w:rPr>
                <w:rFonts w:ascii="Aptos" w:hAnsi="Aptos" w:cs="Helvetica"/>
                <w:color w:val="333333"/>
              </w:rPr>
            </w:pPr>
            <w:r w:rsidRPr="00C827C3">
              <w:rPr>
                <w:rFonts w:ascii="Aptos" w:hAnsi="Aptos" w:cs="Helvetica"/>
                <w:color w:val="333333"/>
              </w:rPr>
              <w:t>Toxic shock syndrome (TSS)</w:t>
            </w:r>
          </w:p>
        </w:tc>
        <w:tc>
          <w:tcPr>
            <w:tcW w:w="4677" w:type="dxa"/>
            <w:vAlign w:val="center"/>
          </w:tcPr>
          <w:p w14:paraId="69D6B07A" w14:textId="77777777" w:rsidR="00611976" w:rsidRPr="00C827C3" w:rsidRDefault="00057BE7" w:rsidP="005638CE">
            <w:pPr>
              <w:numPr>
                <w:ilvl w:val="0"/>
                <w:numId w:val="6"/>
              </w:numPr>
              <w:spacing w:before="150" w:after="100" w:afterAutospacing="1"/>
              <w:rPr>
                <w:rFonts w:ascii="Aptos" w:eastAsia="Times New Roman" w:hAnsi="Aptos" w:cstheme="minorHAnsi"/>
                <w:color w:val="333333"/>
                <w:lang w:eastAsia="en-AU"/>
              </w:rPr>
            </w:pPr>
            <w:bookmarkStart w:id="15" w:name="_Hlk212538697"/>
            <w:r w:rsidRPr="00C827C3">
              <w:rPr>
                <w:rFonts w:ascii="Aptos" w:eastAsia="Times New Roman" w:hAnsi="Aptos" w:cstheme="minorHAnsi"/>
                <w:color w:val="333333"/>
                <w:lang w:eastAsia="en-AU"/>
              </w:rPr>
              <w:t>Early use in streptococcal TSS</w:t>
            </w:r>
          </w:p>
          <w:p w14:paraId="47148844" w14:textId="51768B7F" w:rsidR="00057BE7" w:rsidRPr="00C827C3" w:rsidRDefault="00EA3716" w:rsidP="005638CE">
            <w:pPr>
              <w:numPr>
                <w:ilvl w:val="0"/>
                <w:numId w:val="6"/>
              </w:numPr>
              <w:spacing w:before="150" w:after="100" w:afterAutospacing="1"/>
              <w:rPr>
                <w:rFonts w:ascii="Aptos" w:eastAsia="Times New Roman" w:hAnsi="Aptos" w:cstheme="minorHAnsi"/>
                <w:color w:val="333333"/>
                <w:lang w:eastAsia="en-AU"/>
              </w:rPr>
            </w:pPr>
            <w:r w:rsidRPr="00C827C3">
              <w:rPr>
                <w:rFonts w:ascii="Aptos" w:eastAsia="Times New Roman" w:hAnsi="Aptos" w:cstheme="minorHAnsi"/>
                <w:color w:val="333333"/>
                <w:lang w:eastAsia="en-AU"/>
              </w:rPr>
              <w:t>Staphylococcal TSS where rapid improvement is not obtained with fluid resuscitation, inotropes, surgery, antibiotic therapy and other supportive measures</w:t>
            </w:r>
            <w:bookmarkEnd w:id="15"/>
          </w:p>
        </w:tc>
        <w:tc>
          <w:tcPr>
            <w:tcW w:w="6237" w:type="dxa"/>
            <w:vAlign w:val="center"/>
          </w:tcPr>
          <w:p w14:paraId="4DFFEE41" w14:textId="33CC0723" w:rsidR="00611976" w:rsidRPr="00C827C3" w:rsidRDefault="0010342F" w:rsidP="005638CE">
            <w:pPr>
              <w:pStyle w:val="ListParagraph"/>
              <w:numPr>
                <w:ilvl w:val="0"/>
                <w:numId w:val="6"/>
              </w:numPr>
              <w:rPr>
                <w:rFonts w:ascii="Aptos" w:hAnsi="Aptos"/>
              </w:rPr>
            </w:pPr>
            <w:r w:rsidRPr="00C827C3">
              <w:rPr>
                <w:rFonts w:ascii="Aptos" w:hAnsi="Aptos"/>
              </w:rPr>
              <w:t>Remove</w:t>
            </w:r>
            <w:r w:rsidR="003A7ACA">
              <w:rPr>
                <w:rFonts w:ascii="Aptos" w:hAnsi="Aptos"/>
              </w:rPr>
              <w:t>d</w:t>
            </w:r>
            <w:r w:rsidRPr="00C827C3">
              <w:rPr>
                <w:rFonts w:ascii="Aptos" w:hAnsi="Aptos"/>
              </w:rPr>
              <w:t xml:space="preserve"> qualifying criterion regarding supportive measures from indication 1</w:t>
            </w:r>
            <w:r w:rsidR="00AC77C4" w:rsidRPr="00C827C3">
              <w:rPr>
                <w:rFonts w:ascii="Aptos" w:hAnsi="Aptos"/>
              </w:rPr>
              <w:t>.</w:t>
            </w:r>
          </w:p>
          <w:p w14:paraId="79BC6BA5" w14:textId="277817D0" w:rsidR="0010342F" w:rsidRPr="00C827C3" w:rsidRDefault="0010342F" w:rsidP="005638CE">
            <w:pPr>
              <w:pStyle w:val="ListParagraph"/>
              <w:numPr>
                <w:ilvl w:val="0"/>
                <w:numId w:val="6"/>
              </w:numPr>
              <w:rPr>
                <w:rFonts w:ascii="Aptos" w:hAnsi="Aptos"/>
              </w:rPr>
            </w:pPr>
            <w:r w:rsidRPr="00C827C3">
              <w:rPr>
                <w:rFonts w:ascii="Aptos" w:hAnsi="Aptos"/>
              </w:rPr>
              <w:t>Update</w:t>
            </w:r>
            <w:r w:rsidR="003A7ACA">
              <w:rPr>
                <w:rFonts w:ascii="Aptos" w:hAnsi="Aptos"/>
              </w:rPr>
              <w:t>d</w:t>
            </w:r>
            <w:r w:rsidRPr="00C827C3">
              <w:rPr>
                <w:rFonts w:ascii="Aptos" w:hAnsi="Aptos"/>
              </w:rPr>
              <w:t xml:space="preserve"> several links in bibliography</w:t>
            </w:r>
            <w:r w:rsidR="00AC77C4" w:rsidRPr="00C827C3">
              <w:rPr>
                <w:rFonts w:ascii="Aptos" w:hAnsi="Aptos"/>
              </w:rPr>
              <w:t>.</w:t>
            </w:r>
          </w:p>
        </w:tc>
        <w:tc>
          <w:tcPr>
            <w:tcW w:w="1215" w:type="dxa"/>
            <w:vAlign w:val="center"/>
          </w:tcPr>
          <w:p w14:paraId="4C7A9C11" w14:textId="6845C893" w:rsidR="00611976" w:rsidRPr="00C827C3" w:rsidRDefault="0010342F" w:rsidP="005638CE">
            <w:pPr>
              <w:rPr>
                <w:rFonts w:ascii="Aptos" w:hAnsi="Aptos"/>
              </w:rPr>
            </w:pPr>
            <w:r w:rsidRPr="00C827C3">
              <w:rPr>
                <w:rFonts w:ascii="Aptos" w:hAnsi="Aptos"/>
              </w:rPr>
              <w:t>April 2025</w:t>
            </w:r>
          </w:p>
        </w:tc>
        <w:tc>
          <w:tcPr>
            <w:tcW w:w="1126" w:type="dxa"/>
            <w:vAlign w:val="center"/>
          </w:tcPr>
          <w:p w14:paraId="16C20D39" w14:textId="5494C2FB" w:rsidR="00611976" w:rsidRPr="00C827C3" w:rsidRDefault="00F47E04" w:rsidP="005638CE">
            <w:pPr>
              <w:rPr>
                <w:rFonts w:ascii="Aptos" w:hAnsi="Aptos"/>
              </w:rPr>
            </w:pPr>
            <w:r w:rsidRPr="00C827C3">
              <w:rPr>
                <w:rFonts w:ascii="Aptos" w:hAnsi="Aptos"/>
              </w:rPr>
              <w:t>3.1</w:t>
            </w:r>
          </w:p>
        </w:tc>
      </w:tr>
      <w:tr w:rsidR="00EC150F" w:rsidRPr="00541AED" w14:paraId="0CF4875F" w14:textId="77777777" w:rsidTr="00E97EF5">
        <w:trPr>
          <w:cantSplit/>
        </w:trPr>
        <w:tc>
          <w:tcPr>
            <w:tcW w:w="2411" w:type="dxa"/>
            <w:vAlign w:val="center"/>
          </w:tcPr>
          <w:p w14:paraId="604A5FE1" w14:textId="50930C92" w:rsidR="00EC150F" w:rsidRPr="00541AED" w:rsidRDefault="00EC150F" w:rsidP="005638CE">
            <w:pPr>
              <w:rPr>
                <w:rFonts w:ascii="Aptos" w:hAnsi="Aptos" w:cs="Helvetica"/>
                <w:color w:val="333333"/>
              </w:rPr>
            </w:pPr>
            <w:r w:rsidRPr="00541AED">
              <w:rPr>
                <w:rFonts w:ascii="Aptos" w:hAnsi="Aptos" w:cs="Helvetica"/>
                <w:color w:val="333333"/>
              </w:rPr>
              <w:t>Vaccine associated myocarditis and pericarditis (VAMP)</w:t>
            </w:r>
          </w:p>
        </w:tc>
        <w:tc>
          <w:tcPr>
            <w:tcW w:w="4677" w:type="dxa"/>
            <w:vAlign w:val="center"/>
          </w:tcPr>
          <w:p w14:paraId="204D1B40" w14:textId="28B93106" w:rsidR="00EC150F" w:rsidRPr="00EC150F" w:rsidRDefault="00EC150F" w:rsidP="005638CE">
            <w:pPr>
              <w:numPr>
                <w:ilvl w:val="0"/>
                <w:numId w:val="6"/>
              </w:numPr>
              <w:spacing w:before="150" w:after="100" w:afterAutospacing="1"/>
              <w:rPr>
                <w:rFonts w:ascii="Aptos" w:eastAsia="Times New Roman" w:hAnsi="Aptos" w:cstheme="minorHAnsi"/>
                <w:color w:val="333333"/>
                <w:lang w:eastAsia="en-AU"/>
              </w:rPr>
            </w:pPr>
            <w:r w:rsidRPr="00EC150F">
              <w:rPr>
                <w:rFonts w:ascii="Aptos" w:eastAsia="Times New Roman" w:hAnsi="Aptos" w:cstheme="minorHAnsi"/>
                <w:color w:val="333333"/>
                <w:lang w:eastAsia="en-AU"/>
              </w:rPr>
              <w:t>Treatment of vaccine associated myocarditis and pericarditis (VAMP)</w:t>
            </w:r>
          </w:p>
        </w:tc>
        <w:tc>
          <w:tcPr>
            <w:tcW w:w="6237" w:type="dxa"/>
            <w:vAlign w:val="center"/>
          </w:tcPr>
          <w:p w14:paraId="491B17ED" w14:textId="13E30743" w:rsidR="00EC150F" w:rsidRPr="00EC150F" w:rsidRDefault="00EC150F" w:rsidP="005638CE">
            <w:pPr>
              <w:pStyle w:val="ListParagraph"/>
              <w:numPr>
                <w:ilvl w:val="0"/>
                <w:numId w:val="6"/>
              </w:numPr>
              <w:rPr>
                <w:rFonts w:ascii="Aptos" w:hAnsi="Aptos"/>
              </w:rPr>
            </w:pPr>
            <w:r w:rsidRPr="00EC150F">
              <w:rPr>
                <w:rFonts w:ascii="Aptos" w:hAnsi="Aptos"/>
              </w:rPr>
              <w:t xml:space="preserve">Updated qualifying criteria to clarify that vaccine should be given within the past 20 days </w:t>
            </w:r>
            <w:r w:rsidR="003A7ACA">
              <w:rPr>
                <w:rFonts w:ascii="Aptos" w:hAnsi="Aptos"/>
              </w:rPr>
              <w:t>(</w:t>
            </w:r>
            <w:r w:rsidRPr="00EC150F">
              <w:rPr>
                <w:rFonts w:ascii="Aptos" w:hAnsi="Aptos"/>
              </w:rPr>
              <w:t>to match assessment instructions</w:t>
            </w:r>
            <w:r w:rsidR="003A7ACA">
              <w:rPr>
                <w:rFonts w:ascii="Aptos" w:hAnsi="Aptos"/>
              </w:rPr>
              <w:t>)</w:t>
            </w:r>
            <w:r w:rsidRPr="00EC150F">
              <w:rPr>
                <w:rFonts w:ascii="Aptos" w:hAnsi="Aptos"/>
              </w:rPr>
              <w:t>.</w:t>
            </w:r>
          </w:p>
        </w:tc>
        <w:tc>
          <w:tcPr>
            <w:tcW w:w="1215" w:type="dxa"/>
            <w:vAlign w:val="center"/>
          </w:tcPr>
          <w:p w14:paraId="2F71C959" w14:textId="4A557CBF" w:rsidR="00EC150F" w:rsidRPr="00EC150F" w:rsidRDefault="00EC150F" w:rsidP="005638CE">
            <w:pPr>
              <w:rPr>
                <w:rFonts w:ascii="Aptos" w:hAnsi="Aptos"/>
              </w:rPr>
            </w:pPr>
            <w:r w:rsidRPr="00EC150F">
              <w:rPr>
                <w:rFonts w:ascii="Aptos" w:hAnsi="Aptos"/>
              </w:rPr>
              <w:t>December 2024</w:t>
            </w:r>
          </w:p>
        </w:tc>
        <w:tc>
          <w:tcPr>
            <w:tcW w:w="1126" w:type="dxa"/>
            <w:vAlign w:val="center"/>
          </w:tcPr>
          <w:p w14:paraId="3B46248A" w14:textId="1D82025C" w:rsidR="00EC150F" w:rsidRPr="00EC150F" w:rsidRDefault="00EC150F" w:rsidP="005638CE">
            <w:pPr>
              <w:rPr>
                <w:rFonts w:ascii="Aptos" w:hAnsi="Aptos"/>
              </w:rPr>
            </w:pPr>
            <w:r w:rsidRPr="00EC150F">
              <w:rPr>
                <w:rFonts w:ascii="Aptos" w:hAnsi="Aptos"/>
              </w:rPr>
              <w:t>3.1</w:t>
            </w:r>
          </w:p>
        </w:tc>
      </w:tr>
    </w:tbl>
    <w:p w14:paraId="1F0DDFA2" w14:textId="77777777" w:rsidR="00E90271" w:rsidRPr="00541AED" w:rsidRDefault="00E90271" w:rsidP="00D96C83">
      <w:pPr>
        <w:rPr>
          <w:rFonts w:ascii="Aptos" w:hAnsi="Aptos"/>
        </w:rPr>
      </w:pPr>
    </w:p>
    <w:sectPr w:rsidR="00E90271" w:rsidRPr="00541AED" w:rsidSect="000D3971">
      <w:headerReference w:type="even" r:id="rId8"/>
      <w:headerReference w:type="default" r:id="rId9"/>
      <w:footerReference w:type="default" r:id="rId10"/>
      <w:headerReference w:type="first" r:id="rId11"/>
      <w:footerReference w:type="first" r:id="rId12"/>
      <w:pgSz w:w="16838" w:h="11906" w:orient="landscape" w:code="9"/>
      <w:pgMar w:top="1440" w:right="1440" w:bottom="1133" w:left="1440" w:header="708" w:footer="708" w:gutter="0"/>
      <w:pgBorders w:offsetFrom="page">
        <w:top w:val="single" w:sz="48" w:space="24" w:color="F79646" w:themeColor="accent6"/>
        <w:left w:val="single" w:sz="48" w:space="24" w:color="F79646" w:themeColor="accent6"/>
        <w:bottom w:val="single" w:sz="48" w:space="24" w:color="F79646" w:themeColor="accent6"/>
        <w:right w:val="single" w:sz="48" w:space="24" w:color="F79646"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A23BD" w14:textId="77777777" w:rsidR="008D3576" w:rsidRDefault="008D3576" w:rsidP="00856708">
      <w:pPr>
        <w:spacing w:after="0"/>
      </w:pPr>
      <w:r>
        <w:separator/>
      </w:r>
    </w:p>
  </w:endnote>
  <w:endnote w:type="continuationSeparator" w:id="0">
    <w:p w14:paraId="4E11B99D" w14:textId="77777777" w:rsidR="008D3576" w:rsidRDefault="008D3576" w:rsidP="008567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Dotum">
    <w:altName w:val="돋움"/>
    <w:panose1 w:val="020B0600000101010101"/>
    <w:charset w:val="81"/>
    <w:family w:val="swiss"/>
    <w:pitch w:val="variable"/>
    <w:sig w:usb0="B00002AF" w:usb1="69D77CFB" w:usb2="00000030" w:usb3="00000000" w:csb0="0008009F" w:csb1="00000000"/>
  </w:font>
  <w:font w:name="HYGothic-Extra">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5"/>
      <w:gridCol w:w="3005"/>
      <w:gridCol w:w="3006"/>
    </w:tblGrid>
    <w:tr w:rsidR="00732595" w14:paraId="268B4809" w14:textId="77777777" w:rsidTr="00246FCC">
      <w:tc>
        <w:tcPr>
          <w:tcW w:w="3005" w:type="dxa"/>
        </w:tcPr>
        <w:p w14:paraId="29272754" w14:textId="77777777" w:rsidR="00732595" w:rsidRDefault="00732595" w:rsidP="00732595">
          <w:pPr>
            <w:pStyle w:val="Footer"/>
            <w:tabs>
              <w:tab w:val="clear" w:pos="9026"/>
              <w:tab w:val="right" w:pos="9356"/>
            </w:tabs>
            <w:ind w:right="-284"/>
            <w:rPr>
              <w:sz w:val="20"/>
              <w:szCs w:val="20"/>
            </w:rPr>
          </w:pPr>
          <w:r w:rsidRPr="00C16D7B">
            <w:rPr>
              <w:noProof/>
              <w:sz w:val="20"/>
              <w:szCs w:val="20"/>
              <w:lang w:eastAsia="en-AU"/>
            </w:rPr>
            <w:drawing>
              <wp:inline distT="0" distB="0" distL="0" distR="0" wp14:anchorId="48573B1D" wp14:editId="5583AA11">
                <wp:extent cx="1339851" cy="371475"/>
                <wp:effectExtent l="0" t="0" r="0" b="0"/>
                <wp:docPr id="1701774551" name="Picture 1701774551" descr="\\nba.local\data\Users\83449654\My Documents\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a.local\data\Users\83449654\My Documents\My 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4629" cy="386662"/>
                        </a:xfrm>
                        <a:prstGeom prst="rect">
                          <a:avLst/>
                        </a:prstGeom>
                        <a:noFill/>
                        <a:ln>
                          <a:noFill/>
                        </a:ln>
                      </pic:spPr>
                    </pic:pic>
                  </a:graphicData>
                </a:graphic>
              </wp:inline>
            </w:drawing>
          </w:r>
        </w:p>
      </w:tc>
      <w:tc>
        <w:tcPr>
          <w:tcW w:w="3005" w:type="dxa"/>
        </w:tcPr>
        <w:p w14:paraId="5E1C8420" w14:textId="77777777" w:rsidR="00732595" w:rsidRDefault="00732595" w:rsidP="00732595">
          <w:pPr>
            <w:pStyle w:val="Footer"/>
            <w:tabs>
              <w:tab w:val="clear" w:pos="9026"/>
              <w:tab w:val="right" w:pos="9356"/>
            </w:tabs>
            <w:spacing w:before="120" w:after="120"/>
            <w:ind w:right="-284"/>
            <w:rPr>
              <w:sz w:val="20"/>
              <w:szCs w:val="20"/>
            </w:rPr>
          </w:pPr>
          <w:hyperlink r:id="rId2" w:history="1">
            <w:r w:rsidRPr="00961955">
              <w:rPr>
                <w:rStyle w:val="Hyperlink"/>
                <w:rFonts w:ascii="Arial" w:hAnsi="Arial" w:cs="Arial"/>
                <w:sz w:val="28"/>
                <w:szCs w:val="28"/>
              </w:rPr>
              <w:t>www.blood.gov.au</w:t>
            </w:r>
          </w:hyperlink>
        </w:p>
      </w:tc>
      <w:tc>
        <w:tcPr>
          <w:tcW w:w="3005" w:type="dxa"/>
        </w:tcPr>
        <w:p w14:paraId="0705ABD3" w14:textId="1D4553F3" w:rsidR="00732595" w:rsidRPr="00601625" w:rsidRDefault="00732595" w:rsidP="00732595">
          <w:pPr>
            <w:spacing w:before="60"/>
            <w:jc w:val="center"/>
            <w:rPr>
              <w:sz w:val="14"/>
            </w:rPr>
          </w:pPr>
          <w:r w:rsidRPr="00601625">
            <w:rPr>
              <w:sz w:val="14"/>
            </w:rPr>
            <w:t xml:space="preserve">Visit </w:t>
          </w:r>
          <w:hyperlink r:id="rId3" w:history="1">
            <w:r w:rsidR="00562565">
              <w:rPr>
                <w:rStyle w:val="Hyperlink"/>
                <w:sz w:val="14"/>
              </w:rPr>
              <w:t>www.blood.gov.au</w:t>
            </w:r>
          </w:hyperlink>
        </w:p>
        <w:p w14:paraId="7F9D7C37" w14:textId="77777777" w:rsidR="00732595" w:rsidRPr="00601625" w:rsidRDefault="00732595" w:rsidP="00732595">
          <w:pPr>
            <w:jc w:val="center"/>
            <w:rPr>
              <w:sz w:val="14"/>
            </w:rPr>
          </w:pPr>
          <w:r w:rsidRPr="00601625">
            <w:rPr>
              <w:sz w:val="14"/>
            </w:rPr>
            <w:t>for more information about</w:t>
          </w:r>
        </w:p>
        <w:p w14:paraId="57B33D85" w14:textId="77777777" w:rsidR="00732595" w:rsidRPr="00E66B16" w:rsidRDefault="00732595" w:rsidP="00732595">
          <w:pPr>
            <w:jc w:val="center"/>
            <w:rPr>
              <w:sz w:val="18"/>
            </w:rPr>
          </w:pPr>
          <w:r w:rsidRPr="00601625">
            <w:rPr>
              <w:sz w:val="14"/>
            </w:rPr>
            <w:t>Ig Governance and the Criteria</w:t>
          </w:r>
        </w:p>
      </w:tc>
      <w:tc>
        <w:tcPr>
          <w:tcW w:w="3005" w:type="dxa"/>
        </w:tcPr>
        <w:p w14:paraId="124BF4C1" w14:textId="77777777" w:rsidR="00732595" w:rsidRDefault="00732595" w:rsidP="00732595">
          <w:pPr>
            <w:pStyle w:val="Footer"/>
            <w:tabs>
              <w:tab w:val="clear" w:pos="9026"/>
              <w:tab w:val="right" w:pos="9356"/>
            </w:tabs>
            <w:ind w:right="-284"/>
            <w:jc w:val="center"/>
            <w:rPr>
              <w:sz w:val="20"/>
              <w:szCs w:val="20"/>
            </w:rPr>
          </w:pPr>
          <w:r w:rsidRPr="00C16D7B">
            <w:rPr>
              <w:noProof/>
              <w:sz w:val="20"/>
              <w:szCs w:val="20"/>
              <w:lang w:eastAsia="en-AU"/>
            </w:rPr>
            <w:drawing>
              <wp:inline distT="0" distB="0" distL="0" distR="0" wp14:anchorId="3720228C" wp14:editId="66DA1C90">
                <wp:extent cx="1181100" cy="410493"/>
                <wp:effectExtent l="0" t="0" r="0" b="8890"/>
                <wp:docPr id="1227998755" name="Picture 1227998755" descr="G:\Logos\IgGovernance\Ig Governance(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Logos\IgGovernance\Ig Governance(300 dpi).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6832" cy="422912"/>
                        </a:xfrm>
                        <a:prstGeom prst="rect">
                          <a:avLst/>
                        </a:prstGeom>
                        <a:noFill/>
                        <a:ln>
                          <a:noFill/>
                        </a:ln>
                      </pic:spPr>
                    </pic:pic>
                  </a:graphicData>
                </a:graphic>
              </wp:inline>
            </w:drawing>
          </w:r>
        </w:p>
      </w:tc>
      <w:tc>
        <w:tcPr>
          <w:tcW w:w="3006" w:type="dxa"/>
        </w:tcPr>
        <w:p w14:paraId="06F95700" w14:textId="77777777" w:rsidR="00732595" w:rsidRDefault="00732595" w:rsidP="00732595">
          <w:pPr>
            <w:pStyle w:val="Footer"/>
            <w:tabs>
              <w:tab w:val="clear" w:pos="9026"/>
              <w:tab w:val="right" w:pos="9356"/>
            </w:tabs>
            <w:spacing w:before="160"/>
            <w:ind w:right="-284"/>
            <w:jc w:val="center"/>
            <w:rPr>
              <w:sz w:val="20"/>
              <w:szCs w:val="20"/>
            </w:rPr>
          </w:pPr>
          <w:r w:rsidRPr="00C16D7B">
            <w:rPr>
              <w:noProof/>
              <w:sz w:val="20"/>
              <w:szCs w:val="20"/>
              <w:lang w:eastAsia="en-AU"/>
            </w:rPr>
            <w:drawing>
              <wp:inline distT="0" distB="0" distL="0" distR="0" wp14:anchorId="5886B9FF" wp14:editId="439A44E0">
                <wp:extent cx="1538696" cy="231699"/>
                <wp:effectExtent l="0" t="0" r="4445" b="0"/>
                <wp:docPr id="1789678339" name="Picture 1789678339" descr="G:\Logos\NBA\NBA System Logos\BloodStar\BloodStar logo\BLOOD_STAR_GRADIENT_v1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Logos\NBA\NBA System Logos\BloodStar\BloodStar logo\BLOOD_STAR_GRADIENT_v13-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5877" cy="252356"/>
                        </a:xfrm>
                        <a:prstGeom prst="rect">
                          <a:avLst/>
                        </a:prstGeom>
                        <a:noFill/>
                        <a:ln>
                          <a:noFill/>
                        </a:ln>
                      </pic:spPr>
                    </pic:pic>
                  </a:graphicData>
                </a:graphic>
              </wp:inline>
            </w:drawing>
          </w:r>
        </w:p>
      </w:tc>
    </w:tr>
  </w:tbl>
  <w:p w14:paraId="6DDC5162" w14:textId="019C10E5" w:rsidR="00856708" w:rsidRPr="00856708" w:rsidRDefault="00732595" w:rsidP="00856708">
    <w:pPr>
      <w:pStyle w:val="Footer"/>
      <w:tabs>
        <w:tab w:val="clear" w:pos="9026"/>
        <w:tab w:val="right" w:pos="9356"/>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56708" w:rsidRPr="00856708">
      <w:rPr>
        <w:sz w:val="20"/>
        <w:szCs w:val="20"/>
      </w:rPr>
      <w:tab/>
    </w:r>
    <w:r w:rsidR="00856708" w:rsidRPr="00856708">
      <w:rPr>
        <w:sz w:val="20"/>
        <w:szCs w:val="20"/>
      </w:rPr>
      <w:tab/>
    </w:r>
    <w:r>
      <w:rPr>
        <w:sz w:val="20"/>
        <w:szCs w:val="20"/>
      </w:rPr>
      <w:t xml:space="preserve">             </w:t>
    </w:r>
    <w:r w:rsidR="00856708" w:rsidRPr="00856708">
      <w:rPr>
        <w:sz w:val="20"/>
        <w:szCs w:val="20"/>
      </w:rPr>
      <w:t xml:space="preserve">pg. </w:t>
    </w:r>
    <w:r w:rsidR="00856708" w:rsidRPr="00856708">
      <w:rPr>
        <w:sz w:val="20"/>
        <w:szCs w:val="20"/>
      </w:rPr>
      <w:fldChar w:fldCharType="begin"/>
    </w:r>
    <w:r w:rsidR="00856708" w:rsidRPr="00856708">
      <w:rPr>
        <w:sz w:val="20"/>
        <w:szCs w:val="20"/>
      </w:rPr>
      <w:instrText xml:space="preserve"> PAGE    \* MERGEFORMAT </w:instrText>
    </w:r>
    <w:r w:rsidR="00856708" w:rsidRPr="00856708">
      <w:rPr>
        <w:sz w:val="20"/>
        <w:szCs w:val="20"/>
      </w:rPr>
      <w:fldChar w:fldCharType="separate"/>
    </w:r>
    <w:r w:rsidR="00A33454">
      <w:rPr>
        <w:noProof/>
        <w:sz w:val="20"/>
        <w:szCs w:val="20"/>
      </w:rPr>
      <w:t>5</w:t>
    </w:r>
    <w:r w:rsidR="00856708" w:rsidRPr="0085670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BA92" w14:textId="316CF529" w:rsidR="00AE5764" w:rsidRDefault="00AE5764">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B93C" w14:textId="77777777" w:rsidR="008D3576" w:rsidRDefault="008D3576" w:rsidP="00856708">
      <w:pPr>
        <w:spacing w:after="0"/>
      </w:pPr>
      <w:r>
        <w:separator/>
      </w:r>
    </w:p>
  </w:footnote>
  <w:footnote w:type="continuationSeparator" w:id="0">
    <w:p w14:paraId="668BB8E3" w14:textId="77777777" w:rsidR="008D3576" w:rsidRDefault="008D3576" w:rsidP="008567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4A99" w14:textId="0AAA86EE" w:rsidR="006236DD" w:rsidRDefault="006236DD">
    <w:pPr>
      <w:pStyle w:val="Header"/>
    </w:pPr>
    <w:r>
      <w:rPr>
        <w:noProof/>
      </w:rPr>
      <mc:AlternateContent>
        <mc:Choice Requires="wps">
          <w:drawing>
            <wp:anchor distT="0" distB="0" distL="0" distR="0" simplePos="0" relativeHeight="251659264" behindDoc="0" locked="0" layoutInCell="1" allowOverlap="1" wp14:anchorId="4B07159A" wp14:editId="3A3BDA11">
              <wp:simplePos x="635" y="635"/>
              <wp:positionH relativeFrom="column">
                <wp:align>center</wp:align>
              </wp:positionH>
              <wp:positionV relativeFrom="paragraph">
                <wp:posOffset>635</wp:posOffset>
              </wp:positionV>
              <wp:extent cx="443865" cy="443865"/>
              <wp:effectExtent l="0" t="0" r="635" b="10795"/>
              <wp:wrapSquare wrapText="bothSides"/>
              <wp:docPr id="8" name="Text Box 8"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E86173" w14:textId="03EF243D" w:rsidR="006236DD" w:rsidRPr="006236DD" w:rsidRDefault="006236DD">
                          <w:pPr>
                            <w:rPr>
                              <w:rFonts w:eastAsia="Calibri"/>
                              <w:color w:val="FF0000"/>
                              <w:sz w:val="24"/>
                              <w:szCs w:val="24"/>
                            </w:rPr>
                          </w:pPr>
                          <w:r w:rsidRPr="006236DD">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07159A" id="_x0000_t202" coordsize="21600,21600" o:spt="202" path="m,l,21600r21600,l21600,xe">
              <v:stroke joinstyle="miter"/>
              <v:path gradientshapeok="t" o:connecttype="rect"/>
            </v:shapetype>
            <v:shape id="Text Box 8" o:spid="_x0000_s1028"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EE86173" w14:textId="03EF243D" w:rsidR="006236DD" w:rsidRPr="006236DD" w:rsidRDefault="006236DD">
                    <w:pPr>
                      <w:rPr>
                        <w:rFonts w:eastAsia="Calibri"/>
                        <w:color w:val="FF0000"/>
                        <w:sz w:val="24"/>
                        <w:szCs w:val="24"/>
                      </w:rPr>
                    </w:pPr>
                    <w:r w:rsidRPr="006236DD">
                      <w:rPr>
                        <w:rFonts w:eastAsia="Calibri"/>
                        <w:color w:val="FF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9792" w14:textId="479724AD" w:rsidR="006236DD" w:rsidRDefault="006236DD">
    <w:pPr>
      <w:pStyle w:val="Header"/>
    </w:pPr>
    <w:r>
      <w:rPr>
        <w:noProof/>
      </w:rPr>
      <mc:AlternateContent>
        <mc:Choice Requires="wps">
          <w:drawing>
            <wp:anchor distT="0" distB="0" distL="0" distR="0" simplePos="0" relativeHeight="251660288" behindDoc="0" locked="0" layoutInCell="1" allowOverlap="1" wp14:anchorId="0C66E554" wp14:editId="7B636BE5">
              <wp:simplePos x="914400" y="449580"/>
              <wp:positionH relativeFrom="column">
                <wp:align>center</wp:align>
              </wp:positionH>
              <wp:positionV relativeFrom="paragraph">
                <wp:posOffset>635</wp:posOffset>
              </wp:positionV>
              <wp:extent cx="443865" cy="443865"/>
              <wp:effectExtent l="0" t="0" r="635" b="10795"/>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6D7DD5" w14:textId="7D811EC7" w:rsidR="006236DD" w:rsidRPr="006236DD" w:rsidRDefault="006236DD">
                          <w:pPr>
                            <w:rPr>
                              <w:rFonts w:eastAsia="Calibri"/>
                              <w:color w:val="FF0000"/>
                              <w:sz w:val="24"/>
                              <w:szCs w:val="24"/>
                            </w:rPr>
                          </w:pPr>
                          <w:r w:rsidRPr="006236DD">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66E554" id="_x0000_t202" coordsize="21600,21600" o:spt="202" path="m,l,21600r21600,l21600,xe">
              <v:stroke joinstyle="miter"/>
              <v:path gradientshapeok="t" o:connecttype="rect"/>
            </v:shapetype>
            <v:shape id="Text Box 9" o:spid="_x0000_s1029"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26D7DD5" w14:textId="7D811EC7" w:rsidR="006236DD" w:rsidRPr="006236DD" w:rsidRDefault="006236DD">
                    <w:pPr>
                      <w:rPr>
                        <w:rFonts w:eastAsia="Calibri"/>
                        <w:color w:val="FF0000"/>
                        <w:sz w:val="24"/>
                        <w:szCs w:val="24"/>
                      </w:rPr>
                    </w:pPr>
                    <w:r w:rsidRPr="006236DD">
                      <w:rPr>
                        <w:rFonts w:eastAsia="Calibri"/>
                        <w:color w:val="FF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C1EA" w14:textId="6092BEFA" w:rsidR="006236DD" w:rsidRDefault="006236DD">
    <w:pPr>
      <w:pStyle w:val="Header"/>
    </w:pPr>
    <w:r>
      <w:rPr>
        <w:noProof/>
      </w:rPr>
      <mc:AlternateContent>
        <mc:Choice Requires="wps">
          <w:drawing>
            <wp:anchor distT="0" distB="0" distL="0" distR="0" simplePos="0" relativeHeight="251658240" behindDoc="0" locked="0" layoutInCell="1" allowOverlap="1" wp14:anchorId="78B577D9" wp14:editId="7BF43BCA">
              <wp:simplePos x="915035" y="450215"/>
              <wp:positionH relativeFrom="column">
                <wp:align>center</wp:align>
              </wp:positionH>
              <wp:positionV relativeFrom="paragraph">
                <wp:posOffset>635</wp:posOffset>
              </wp:positionV>
              <wp:extent cx="443865" cy="443865"/>
              <wp:effectExtent l="0" t="0" r="635" b="10795"/>
              <wp:wrapSquare wrapText="bothSides"/>
              <wp:docPr id="5" name="Text Box 5"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89E98" w14:textId="0A792808" w:rsidR="006236DD" w:rsidRPr="006236DD" w:rsidRDefault="006236DD">
                          <w:pPr>
                            <w:rPr>
                              <w:rFonts w:eastAsia="Calibri"/>
                              <w:color w:val="FF0000"/>
                              <w:sz w:val="24"/>
                              <w:szCs w:val="24"/>
                            </w:rPr>
                          </w:pPr>
                          <w:r w:rsidRPr="006236DD">
                            <w:rPr>
                              <w:rFonts w:eastAsia="Calibri"/>
                              <w:color w:val="FF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8B577D9" id="_x0000_t202" coordsize="21600,21600" o:spt="202" path="m,l,21600r21600,l21600,xe">
              <v:stroke joinstyle="miter"/>
              <v:path gradientshapeok="t" o:connecttype="rect"/>
            </v:shapetype>
            <v:shape id="Text Box 5" o:spid="_x0000_s1030"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BC89E98" w14:textId="0A792808" w:rsidR="006236DD" w:rsidRPr="006236DD" w:rsidRDefault="006236DD">
                    <w:pPr>
                      <w:rPr>
                        <w:rFonts w:eastAsia="Calibri"/>
                        <w:color w:val="FF0000"/>
                        <w:sz w:val="24"/>
                        <w:szCs w:val="24"/>
                      </w:rPr>
                    </w:pPr>
                    <w:r w:rsidRPr="006236DD">
                      <w:rPr>
                        <w:rFonts w:eastAsia="Calibri"/>
                        <w:color w:val="FF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5EC11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pt;height:12.5pt;visibility:visible;mso-wrap-style:square" o:bullet="t">
        <v:imagedata r:id="rId1" o:title=""/>
      </v:shape>
    </w:pict>
  </w:numPicBullet>
  <w:abstractNum w:abstractNumId="0" w15:restartNumberingAfterBreak="0">
    <w:nsid w:val="02953113"/>
    <w:multiLevelType w:val="hybridMultilevel"/>
    <w:tmpl w:val="0D560C88"/>
    <w:lvl w:ilvl="0" w:tplc="265AB132">
      <w:start w:val="1"/>
      <w:numFmt w:val="bullet"/>
      <w:lvlText w:val=""/>
      <w:lvlPicBulletId w:val="0"/>
      <w:lvlJc w:val="left"/>
      <w:pPr>
        <w:ind w:left="360" w:hanging="360"/>
      </w:pPr>
      <w:rPr>
        <w:rFonts w:ascii="Symbol" w:hAnsi="Symbol" w:hint="default"/>
        <w:color w:val="F79646" w:themeColor="accent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2520D5"/>
    <w:multiLevelType w:val="hybridMultilevel"/>
    <w:tmpl w:val="5E1CEB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570A5E"/>
    <w:multiLevelType w:val="multilevel"/>
    <w:tmpl w:val="B792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32C4F"/>
    <w:multiLevelType w:val="hybridMultilevel"/>
    <w:tmpl w:val="0E0AD6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C7386"/>
    <w:multiLevelType w:val="hybridMultilevel"/>
    <w:tmpl w:val="5C16155C"/>
    <w:lvl w:ilvl="0" w:tplc="D49AB12C">
      <w:start w:val="1"/>
      <w:numFmt w:val="bullet"/>
      <w:lvlText w:val="&gt;"/>
      <w:lvlJc w:val="left"/>
      <w:pPr>
        <w:ind w:left="720" w:hanging="360"/>
      </w:pPr>
      <w:rPr>
        <w:rFonts w:ascii="Calibri" w:hAnsi="Calibri" w:hint="default"/>
        <w:b/>
        <w:i w:val="0"/>
        <w:color w:val="000000" w:themeColor="text1"/>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DF7BF4"/>
    <w:multiLevelType w:val="multilevel"/>
    <w:tmpl w:val="E25EB8C8"/>
    <w:lvl w:ilvl="0">
      <w:start w:val="1"/>
      <w:numFmt w:val="decimal"/>
      <w:lvlText w:val="%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36617847"/>
    <w:multiLevelType w:val="multilevel"/>
    <w:tmpl w:val="2AFA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34B42"/>
    <w:multiLevelType w:val="hybridMultilevel"/>
    <w:tmpl w:val="E28CBCD8"/>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0562CB"/>
    <w:multiLevelType w:val="multilevel"/>
    <w:tmpl w:val="9C44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46443E"/>
    <w:multiLevelType w:val="hybridMultilevel"/>
    <w:tmpl w:val="97366A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F911AD"/>
    <w:multiLevelType w:val="hybridMultilevel"/>
    <w:tmpl w:val="1DE07D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A1124D6"/>
    <w:multiLevelType w:val="hybridMultilevel"/>
    <w:tmpl w:val="CCECED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6A29EB"/>
    <w:multiLevelType w:val="multilevel"/>
    <w:tmpl w:val="C40A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DE728B"/>
    <w:multiLevelType w:val="hybridMultilevel"/>
    <w:tmpl w:val="FCF6F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6E212A"/>
    <w:multiLevelType w:val="hybridMultilevel"/>
    <w:tmpl w:val="0B6EEF80"/>
    <w:lvl w:ilvl="0" w:tplc="265AB132">
      <w:start w:val="1"/>
      <w:numFmt w:val="bullet"/>
      <w:lvlText w:val=""/>
      <w:lvlPicBulletId w:val="0"/>
      <w:lvlJc w:val="left"/>
      <w:pPr>
        <w:ind w:left="360" w:hanging="360"/>
      </w:pPr>
      <w:rPr>
        <w:rFonts w:ascii="Symbol" w:hAnsi="Symbol" w:hint="default"/>
        <w:color w:val="F79646" w:themeColor="accent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B1231D"/>
    <w:multiLevelType w:val="hybridMultilevel"/>
    <w:tmpl w:val="AC5AA138"/>
    <w:lvl w:ilvl="0" w:tplc="265AB132">
      <w:start w:val="1"/>
      <w:numFmt w:val="bullet"/>
      <w:lvlText w:val=""/>
      <w:lvlPicBulletId w:val="0"/>
      <w:lvlJc w:val="left"/>
      <w:pPr>
        <w:ind w:left="720" w:hanging="360"/>
      </w:pPr>
      <w:rPr>
        <w:rFonts w:ascii="Symbol" w:hAnsi="Symbol" w:hint="default"/>
        <w:color w:val="F79646"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1A62B5"/>
    <w:multiLevelType w:val="hybridMultilevel"/>
    <w:tmpl w:val="256042B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A216AE"/>
    <w:multiLevelType w:val="hybridMultilevel"/>
    <w:tmpl w:val="79BEDF2C"/>
    <w:lvl w:ilvl="0" w:tplc="DA3E38AC">
      <w:start w:val="1"/>
      <w:numFmt w:val="bullet"/>
      <w:lvlText w:val="&gt;"/>
      <w:lvlJc w:val="left"/>
      <w:pPr>
        <w:ind w:left="720" w:hanging="360"/>
      </w:pPr>
      <w:rPr>
        <w:rFonts w:ascii="Calibri" w:hAnsi="Calibri" w:hint="default"/>
        <w:b/>
        <w:i w:val="0"/>
        <w:color w:val="BCBDBC"/>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C64303"/>
    <w:multiLevelType w:val="multilevel"/>
    <w:tmpl w:val="05B0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62552">
    <w:abstractNumId w:val="5"/>
  </w:num>
  <w:num w:numId="2" w16cid:durableId="858079272">
    <w:abstractNumId w:val="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 w16cid:durableId="406927707">
    <w:abstractNumId w:val="7"/>
  </w:num>
  <w:num w:numId="4" w16cid:durableId="124394378">
    <w:abstractNumId w:val="17"/>
  </w:num>
  <w:num w:numId="5" w16cid:durableId="1485704651">
    <w:abstractNumId w:val="4"/>
  </w:num>
  <w:num w:numId="6" w16cid:durableId="1601140521">
    <w:abstractNumId w:val="0"/>
  </w:num>
  <w:num w:numId="7" w16cid:durableId="373390882">
    <w:abstractNumId w:val="10"/>
  </w:num>
  <w:num w:numId="8" w16cid:durableId="91753851">
    <w:abstractNumId w:val="16"/>
  </w:num>
  <w:num w:numId="9" w16cid:durableId="1517421478">
    <w:abstractNumId w:val="3"/>
  </w:num>
  <w:num w:numId="10" w16cid:durableId="177818734">
    <w:abstractNumId w:val="15"/>
  </w:num>
  <w:num w:numId="11" w16cid:durableId="1730112664">
    <w:abstractNumId w:val="14"/>
  </w:num>
  <w:num w:numId="12" w16cid:durableId="1826361931">
    <w:abstractNumId w:val="12"/>
  </w:num>
  <w:num w:numId="13" w16cid:durableId="1118181968">
    <w:abstractNumId w:val="6"/>
  </w:num>
  <w:num w:numId="14" w16cid:durableId="1856462131">
    <w:abstractNumId w:val="18"/>
  </w:num>
  <w:num w:numId="15" w16cid:durableId="443117706">
    <w:abstractNumId w:val="2"/>
  </w:num>
  <w:num w:numId="16" w16cid:durableId="548804278">
    <w:abstractNumId w:val="8"/>
  </w:num>
  <w:num w:numId="17" w16cid:durableId="688335596">
    <w:abstractNumId w:val="1"/>
  </w:num>
  <w:num w:numId="18" w16cid:durableId="387850595">
    <w:abstractNumId w:val="9"/>
  </w:num>
  <w:num w:numId="19" w16cid:durableId="906720060">
    <w:abstractNumId w:val="11"/>
  </w:num>
  <w:num w:numId="20" w16cid:durableId="7415597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83"/>
    <w:rsid w:val="0002025A"/>
    <w:rsid w:val="00036EDC"/>
    <w:rsid w:val="000404D6"/>
    <w:rsid w:val="00040780"/>
    <w:rsid w:val="00055F09"/>
    <w:rsid w:val="00057BE7"/>
    <w:rsid w:val="00061BDB"/>
    <w:rsid w:val="00063B1F"/>
    <w:rsid w:val="00086B54"/>
    <w:rsid w:val="00091A77"/>
    <w:rsid w:val="000C033E"/>
    <w:rsid w:val="000C072D"/>
    <w:rsid w:val="000D3971"/>
    <w:rsid w:val="000D4414"/>
    <w:rsid w:val="000E2B14"/>
    <w:rsid w:val="000F1000"/>
    <w:rsid w:val="0010342F"/>
    <w:rsid w:val="00107FC6"/>
    <w:rsid w:val="001105B6"/>
    <w:rsid w:val="001120A9"/>
    <w:rsid w:val="00117234"/>
    <w:rsid w:val="001209A2"/>
    <w:rsid w:val="0012205C"/>
    <w:rsid w:val="00122186"/>
    <w:rsid w:val="00123568"/>
    <w:rsid w:val="00135971"/>
    <w:rsid w:val="00154837"/>
    <w:rsid w:val="00155A2E"/>
    <w:rsid w:val="0016364D"/>
    <w:rsid w:val="00174FB6"/>
    <w:rsid w:val="001B4724"/>
    <w:rsid w:val="001B7663"/>
    <w:rsid w:val="001E0405"/>
    <w:rsid w:val="001E79F4"/>
    <w:rsid w:val="002002E1"/>
    <w:rsid w:val="0021024D"/>
    <w:rsid w:val="00214525"/>
    <w:rsid w:val="002174D5"/>
    <w:rsid w:val="0022594D"/>
    <w:rsid w:val="00225D78"/>
    <w:rsid w:val="00237652"/>
    <w:rsid w:val="00240B2C"/>
    <w:rsid w:val="0024258E"/>
    <w:rsid w:val="002537F2"/>
    <w:rsid w:val="00253DA3"/>
    <w:rsid w:val="00255582"/>
    <w:rsid w:val="002637A4"/>
    <w:rsid w:val="002640F9"/>
    <w:rsid w:val="002641BD"/>
    <w:rsid w:val="002670D0"/>
    <w:rsid w:val="00285EF2"/>
    <w:rsid w:val="002923AD"/>
    <w:rsid w:val="002925A6"/>
    <w:rsid w:val="00295CD3"/>
    <w:rsid w:val="002A3DBA"/>
    <w:rsid w:val="002B1BCD"/>
    <w:rsid w:val="002B2383"/>
    <w:rsid w:val="002C116E"/>
    <w:rsid w:val="002C1693"/>
    <w:rsid w:val="002D3A38"/>
    <w:rsid w:val="002D4B3C"/>
    <w:rsid w:val="002E1502"/>
    <w:rsid w:val="002E4B93"/>
    <w:rsid w:val="002F1C34"/>
    <w:rsid w:val="002F356A"/>
    <w:rsid w:val="002F77A6"/>
    <w:rsid w:val="003002DA"/>
    <w:rsid w:val="00311532"/>
    <w:rsid w:val="00333157"/>
    <w:rsid w:val="003545F9"/>
    <w:rsid w:val="00365437"/>
    <w:rsid w:val="00371934"/>
    <w:rsid w:val="00374913"/>
    <w:rsid w:val="003816E3"/>
    <w:rsid w:val="00392821"/>
    <w:rsid w:val="003A3F22"/>
    <w:rsid w:val="003A7ACA"/>
    <w:rsid w:val="003C1890"/>
    <w:rsid w:val="003C324C"/>
    <w:rsid w:val="003D27F1"/>
    <w:rsid w:val="003D544B"/>
    <w:rsid w:val="0040135D"/>
    <w:rsid w:val="00402FEE"/>
    <w:rsid w:val="004035C3"/>
    <w:rsid w:val="004246E1"/>
    <w:rsid w:val="00433E52"/>
    <w:rsid w:val="00453D50"/>
    <w:rsid w:val="00455B0E"/>
    <w:rsid w:val="00461FD9"/>
    <w:rsid w:val="004634C2"/>
    <w:rsid w:val="00463F12"/>
    <w:rsid w:val="00487A31"/>
    <w:rsid w:val="004908D6"/>
    <w:rsid w:val="0049373B"/>
    <w:rsid w:val="004B4A08"/>
    <w:rsid w:val="004B5F59"/>
    <w:rsid w:val="004C65F9"/>
    <w:rsid w:val="004C6E5E"/>
    <w:rsid w:val="004C6FEB"/>
    <w:rsid w:val="004C7A40"/>
    <w:rsid w:val="004D4636"/>
    <w:rsid w:val="004D55D6"/>
    <w:rsid w:val="004E528F"/>
    <w:rsid w:val="004E58B4"/>
    <w:rsid w:val="004F476D"/>
    <w:rsid w:val="004F6CBE"/>
    <w:rsid w:val="00504C7B"/>
    <w:rsid w:val="0050673D"/>
    <w:rsid w:val="005167F4"/>
    <w:rsid w:val="00531BE2"/>
    <w:rsid w:val="00532B86"/>
    <w:rsid w:val="00532E4C"/>
    <w:rsid w:val="00537CE7"/>
    <w:rsid w:val="00540020"/>
    <w:rsid w:val="005400BF"/>
    <w:rsid w:val="005407FA"/>
    <w:rsid w:val="00541AED"/>
    <w:rsid w:val="00543137"/>
    <w:rsid w:val="005440E9"/>
    <w:rsid w:val="005534EE"/>
    <w:rsid w:val="00555EBA"/>
    <w:rsid w:val="00562565"/>
    <w:rsid w:val="005638CE"/>
    <w:rsid w:val="00582FD3"/>
    <w:rsid w:val="005869C4"/>
    <w:rsid w:val="00587037"/>
    <w:rsid w:val="005A6E4D"/>
    <w:rsid w:val="005B4510"/>
    <w:rsid w:val="005B4BC4"/>
    <w:rsid w:val="005B7B8C"/>
    <w:rsid w:val="005C50A4"/>
    <w:rsid w:val="005D0783"/>
    <w:rsid w:val="005E7491"/>
    <w:rsid w:val="00605575"/>
    <w:rsid w:val="0060788B"/>
    <w:rsid w:val="00611976"/>
    <w:rsid w:val="00612F35"/>
    <w:rsid w:val="0062213B"/>
    <w:rsid w:val="006236DD"/>
    <w:rsid w:val="00637749"/>
    <w:rsid w:val="00642B65"/>
    <w:rsid w:val="00642DC5"/>
    <w:rsid w:val="0066615A"/>
    <w:rsid w:val="00673E2E"/>
    <w:rsid w:val="0068619C"/>
    <w:rsid w:val="006A15AD"/>
    <w:rsid w:val="006A6493"/>
    <w:rsid w:val="006B6EC0"/>
    <w:rsid w:val="006D1118"/>
    <w:rsid w:val="006E4DAB"/>
    <w:rsid w:val="007165A3"/>
    <w:rsid w:val="00721CF4"/>
    <w:rsid w:val="00725C72"/>
    <w:rsid w:val="0073108A"/>
    <w:rsid w:val="00732595"/>
    <w:rsid w:val="007350E3"/>
    <w:rsid w:val="0075585F"/>
    <w:rsid w:val="0075722E"/>
    <w:rsid w:val="00760B0E"/>
    <w:rsid w:val="007714B8"/>
    <w:rsid w:val="00777BB1"/>
    <w:rsid w:val="00781405"/>
    <w:rsid w:val="00787A76"/>
    <w:rsid w:val="00791741"/>
    <w:rsid w:val="00795311"/>
    <w:rsid w:val="007A3EEC"/>
    <w:rsid w:val="007A609F"/>
    <w:rsid w:val="007A7AA1"/>
    <w:rsid w:val="007B1EEE"/>
    <w:rsid w:val="007B63F4"/>
    <w:rsid w:val="007C3095"/>
    <w:rsid w:val="007D29BD"/>
    <w:rsid w:val="007E34CD"/>
    <w:rsid w:val="007F5DB2"/>
    <w:rsid w:val="0080383D"/>
    <w:rsid w:val="0081299B"/>
    <w:rsid w:val="00816F63"/>
    <w:rsid w:val="00830048"/>
    <w:rsid w:val="00834983"/>
    <w:rsid w:val="00856708"/>
    <w:rsid w:val="00860DB9"/>
    <w:rsid w:val="0086564F"/>
    <w:rsid w:val="00872101"/>
    <w:rsid w:val="0088059B"/>
    <w:rsid w:val="008855B9"/>
    <w:rsid w:val="00887E61"/>
    <w:rsid w:val="00893E0A"/>
    <w:rsid w:val="008A67D8"/>
    <w:rsid w:val="008A7E0E"/>
    <w:rsid w:val="008D3576"/>
    <w:rsid w:val="008E4BC2"/>
    <w:rsid w:val="008E5868"/>
    <w:rsid w:val="008F0E8D"/>
    <w:rsid w:val="008F0F12"/>
    <w:rsid w:val="008F2FA6"/>
    <w:rsid w:val="008F4ACF"/>
    <w:rsid w:val="008F54C9"/>
    <w:rsid w:val="009140E2"/>
    <w:rsid w:val="00915205"/>
    <w:rsid w:val="00916583"/>
    <w:rsid w:val="00927E4B"/>
    <w:rsid w:val="009430F4"/>
    <w:rsid w:val="009460C4"/>
    <w:rsid w:val="009519CC"/>
    <w:rsid w:val="00951B85"/>
    <w:rsid w:val="009615C1"/>
    <w:rsid w:val="00967D37"/>
    <w:rsid w:val="009734EA"/>
    <w:rsid w:val="00983FE6"/>
    <w:rsid w:val="009B5876"/>
    <w:rsid w:val="009B78A5"/>
    <w:rsid w:val="009C3002"/>
    <w:rsid w:val="009D7A34"/>
    <w:rsid w:val="009E3265"/>
    <w:rsid w:val="009E38CC"/>
    <w:rsid w:val="009E5BCD"/>
    <w:rsid w:val="009F75C1"/>
    <w:rsid w:val="00A01BA4"/>
    <w:rsid w:val="00A1415A"/>
    <w:rsid w:val="00A14750"/>
    <w:rsid w:val="00A24F30"/>
    <w:rsid w:val="00A33454"/>
    <w:rsid w:val="00A4321D"/>
    <w:rsid w:val="00A658B4"/>
    <w:rsid w:val="00A70484"/>
    <w:rsid w:val="00A76E44"/>
    <w:rsid w:val="00A90D4F"/>
    <w:rsid w:val="00AA075B"/>
    <w:rsid w:val="00AA1DB8"/>
    <w:rsid w:val="00AC77C4"/>
    <w:rsid w:val="00AC7FBD"/>
    <w:rsid w:val="00AD7E83"/>
    <w:rsid w:val="00AE18BC"/>
    <w:rsid w:val="00AE5764"/>
    <w:rsid w:val="00AF0ABE"/>
    <w:rsid w:val="00AF2C07"/>
    <w:rsid w:val="00AF72C9"/>
    <w:rsid w:val="00B02356"/>
    <w:rsid w:val="00B076D9"/>
    <w:rsid w:val="00B07BFF"/>
    <w:rsid w:val="00B12724"/>
    <w:rsid w:val="00B211F2"/>
    <w:rsid w:val="00B245D4"/>
    <w:rsid w:val="00B24BD5"/>
    <w:rsid w:val="00B24E19"/>
    <w:rsid w:val="00B3726E"/>
    <w:rsid w:val="00B44869"/>
    <w:rsid w:val="00B475C9"/>
    <w:rsid w:val="00B53EFD"/>
    <w:rsid w:val="00B60072"/>
    <w:rsid w:val="00B870A9"/>
    <w:rsid w:val="00B93BFB"/>
    <w:rsid w:val="00BA2ED6"/>
    <w:rsid w:val="00BA2F01"/>
    <w:rsid w:val="00BA3097"/>
    <w:rsid w:val="00BB7D40"/>
    <w:rsid w:val="00BD6558"/>
    <w:rsid w:val="00BD6F61"/>
    <w:rsid w:val="00BD7E10"/>
    <w:rsid w:val="00BE3F3B"/>
    <w:rsid w:val="00BE4722"/>
    <w:rsid w:val="00BF119E"/>
    <w:rsid w:val="00BF28C0"/>
    <w:rsid w:val="00BF3EA9"/>
    <w:rsid w:val="00C04866"/>
    <w:rsid w:val="00C24073"/>
    <w:rsid w:val="00C32458"/>
    <w:rsid w:val="00C3321A"/>
    <w:rsid w:val="00C45EDE"/>
    <w:rsid w:val="00C51F57"/>
    <w:rsid w:val="00C676B8"/>
    <w:rsid w:val="00C74BF6"/>
    <w:rsid w:val="00C80871"/>
    <w:rsid w:val="00C827C3"/>
    <w:rsid w:val="00C83582"/>
    <w:rsid w:val="00C854A9"/>
    <w:rsid w:val="00C95C27"/>
    <w:rsid w:val="00CB13B4"/>
    <w:rsid w:val="00CB2EFB"/>
    <w:rsid w:val="00CB4F2A"/>
    <w:rsid w:val="00CC466D"/>
    <w:rsid w:val="00CC4C9B"/>
    <w:rsid w:val="00CD07ED"/>
    <w:rsid w:val="00CD603E"/>
    <w:rsid w:val="00CE24F0"/>
    <w:rsid w:val="00CE3781"/>
    <w:rsid w:val="00CE3C3A"/>
    <w:rsid w:val="00CE6582"/>
    <w:rsid w:val="00CF608D"/>
    <w:rsid w:val="00D12C94"/>
    <w:rsid w:val="00D3312A"/>
    <w:rsid w:val="00D552CB"/>
    <w:rsid w:val="00D71089"/>
    <w:rsid w:val="00D911F1"/>
    <w:rsid w:val="00D96C83"/>
    <w:rsid w:val="00DB52B1"/>
    <w:rsid w:val="00DB625E"/>
    <w:rsid w:val="00DC0368"/>
    <w:rsid w:val="00DC09C4"/>
    <w:rsid w:val="00DC2153"/>
    <w:rsid w:val="00DC4B27"/>
    <w:rsid w:val="00DC64BE"/>
    <w:rsid w:val="00DD4961"/>
    <w:rsid w:val="00DD5B42"/>
    <w:rsid w:val="00DF49A8"/>
    <w:rsid w:val="00DF567F"/>
    <w:rsid w:val="00DF5E6F"/>
    <w:rsid w:val="00DF76D5"/>
    <w:rsid w:val="00E02717"/>
    <w:rsid w:val="00E03C75"/>
    <w:rsid w:val="00E041E5"/>
    <w:rsid w:val="00E1083D"/>
    <w:rsid w:val="00E12457"/>
    <w:rsid w:val="00E21D8B"/>
    <w:rsid w:val="00E47C4B"/>
    <w:rsid w:val="00E5553E"/>
    <w:rsid w:val="00E6230F"/>
    <w:rsid w:val="00E625B1"/>
    <w:rsid w:val="00E70A78"/>
    <w:rsid w:val="00E717EC"/>
    <w:rsid w:val="00E765F7"/>
    <w:rsid w:val="00E804AB"/>
    <w:rsid w:val="00E80796"/>
    <w:rsid w:val="00E853CE"/>
    <w:rsid w:val="00E861FD"/>
    <w:rsid w:val="00E87507"/>
    <w:rsid w:val="00E90271"/>
    <w:rsid w:val="00E94B0F"/>
    <w:rsid w:val="00E97EF5"/>
    <w:rsid w:val="00EA3716"/>
    <w:rsid w:val="00EC150F"/>
    <w:rsid w:val="00EF3F06"/>
    <w:rsid w:val="00F03182"/>
    <w:rsid w:val="00F21E6F"/>
    <w:rsid w:val="00F244FA"/>
    <w:rsid w:val="00F24A01"/>
    <w:rsid w:val="00F24E69"/>
    <w:rsid w:val="00F269C1"/>
    <w:rsid w:val="00F3563D"/>
    <w:rsid w:val="00F43C32"/>
    <w:rsid w:val="00F459DE"/>
    <w:rsid w:val="00F47E04"/>
    <w:rsid w:val="00F50165"/>
    <w:rsid w:val="00F53307"/>
    <w:rsid w:val="00F615BD"/>
    <w:rsid w:val="00F64865"/>
    <w:rsid w:val="00F74333"/>
    <w:rsid w:val="00F77063"/>
    <w:rsid w:val="00F82238"/>
    <w:rsid w:val="00F93207"/>
    <w:rsid w:val="00FB46FA"/>
    <w:rsid w:val="00FB6E19"/>
    <w:rsid w:val="00FE427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F02DE"/>
  <w15:docId w15:val="{9FE2AF17-AA15-445E-A1B1-0707BBF4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8CC"/>
    <w:pPr>
      <w:spacing w:line="240" w:lineRule="auto"/>
    </w:pPr>
    <w:rPr>
      <w:rFonts w:ascii="Calibri" w:eastAsia="Dotum" w:hAnsi="Calibri" w:cs="Calibri"/>
    </w:rPr>
  </w:style>
  <w:style w:type="paragraph" w:styleId="Heading1">
    <w:name w:val="heading 1"/>
    <w:next w:val="Normal"/>
    <w:link w:val="Heading1Char"/>
    <w:uiPriority w:val="9"/>
    <w:qFormat/>
    <w:rsid w:val="003D27F1"/>
    <w:pPr>
      <w:widowControl w:val="0"/>
      <w:spacing w:after="240" w:line="580" w:lineRule="exact"/>
      <w:ind w:right="6"/>
      <w:outlineLvl w:val="0"/>
    </w:pPr>
    <w:rPr>
      <w:rFonts w:ascii="Calibri" w:eastAsia="HYGothic-Extra" w:hAnsi="Calibri" w:cs="Calibri"/>
      <w:bCs/>
      <w:color w:val="1E1E1E"/>
      <w:spacing w:val="-20"/>
      <w:sz w:val="56"/>
      <w:szCs w:val="72"/>
    </w:rPr>
  </w:style>
  <w:style w:type="paragraph" w:styleId="Heading2">
    <w:name w:val="heading 2"/>
    <w:next w:val="Normal"/>
    <w:link w:val="Heading2Char"/>
    <w:uiPriority w:val="9"/>
    <w:unhideWhenUsed/>
    <w:qFormat/>
    <w:rsid w:val="00B3726E"/>
    <w:pPr>
      <w:spacing w:before="360" w:after="120" w:line="240" w:lineRule="auto"/>
      <w:outlineLvl w:val="1"/>
    </w:pPr>
    <w:rPr>
      <w:rFonts w:ascii="Arial" w:eastAsia="Dotum" w:hAnsi="Arial" w:cs="Arial"/>
      <w:sz w:val="36"/>
      <w:szCs w:val="36"/>
    </w:rPr>
  </w:style>
  <w:style w:type="paragraph" w:styleId="Heading3">
    <w:name w:val="heading 3"/>
    <w:basedOn w:val="Normal"/>
    <w:next w:val="Normal"/>
    <w:link w:val="Heading3Char"/>
    <w:uiPriority w:val="9"/>
    <w:unhideWhenUsed/>
    <w:qFormat/>
    <w:rsid w:val="003D27F1"/>
    <w:pPr>
      <w:spacing w:before="120" w:after="120"/>
      <w:outlineLvl w:val="2"/>
    </w:pPr>
    <w:rPr>
      <w:rFonts w:ascii="Arial" w:hAnsi="Arial" w:cs="Arial"/>
      <w:color w:val="C60C30"/>
      <w:sz w:val="28"/>
      <w:szCs w:val="28"/>
    </w:rPr>
  </w:style>
  <w:style w:type="paragraph" w:styleId="Heading4">
    <w:name w:val="heading 4"/>
    <w:basedOn w:val="Normal"/>
    <w:next w:val="Normal"/>
    <w:link w:val="Heading4Char"/>
    <w:uiPriority w:val="9"/>
    <w:unhideWhenUsed/>
    <w:qFormat/>
    <w:rsid w:val="00B3726E"/>
    <w:pPr>
      <w:spacing w:after="0"/>
      <w:outlineLvl w:val="3"/>
    </w:pPr>
    <w:rPr>
      <w:rFonts w:ascii="Arial" w:hAnsi="Arial" w:cs="Arial"/>
      <w:b/>
    </w:rPr>
  </w:style>
  <w:style w:type="paragraph" w:styleId="Heading5">
    <w:name w:val="heading 5"/>
    <w:basedOn w:val="Normal"/>
    <w:next w:val="Normal"/>
    <w:link w:val="Heading5Char"/>
    <w:uiPriority w:val="9"/>
    <w:unhideWhenUsed/>
    <w:rsid w:val="00B3726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rsid w:val="00B3726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3726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3726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3726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7F1"/>
    <w:rPr>
      <w:rFonts w:ascii="Calibri" w:eastAsia="HYGothic-Extra" w:hAnsi="Calibri" w:cs="Calibri"/>
      <w:bCs/>
      <w:color w:val="1E1E1E"/>
      <w:spacing w:val="-20"/>
      <w:sz w:val="56"/>
      <w:szCs w:val="72"/>
    </w:rPr>
  </w:style>
  <w:style w:type="character" w:customStyle="1" w:styleId="Heading2Char">
    <w:name w:val="Heading 2 Char"/>
    <w:basedOn w:val="DefaultParagraphFont"/>
    <w:link w:val="Heading2"/>
    <w:uiPriority w:val="9"/>
    <w:rsid w:val="00B3726E"/>
    <w:rPr>
      <w:rFonts w:ascii="Arial" w:eastAsia="Dotum" w:hAnsi="Arial" w:cs="Arial"/>
      <w:sz w:val="36"/>
      <w:szCs w:val="36"/>
    </w:rPr>
  </w:style>
  <w:style w:type="character" w:customStyle="1" w:styleId="Heading3Char">
    <w:name w:val="Heading 3 Char"/>
    <w:basedOn w:val="DefaultParagraphFont"/>
    <w:link w:val="Heading3"/>
    <w:uiPriority w:val="9"/>
    <w:rsid w:val="003D27F1"/>
    <w:rPr>
      <w:rFonts w:ascii="Arial" w:eastAsia="Dotum" w:hAnsi="Arial" w:cs="Arial"/>
      <w:color w:val="C60C30"/>
      <w:sz w:val="28"/>
      <w:szCs w:val="28"/>
    </w:rPr>
  </w:style>
  <w:style w:type="character" w:customStyle="1" w:styleId="Heading4Char">
    <w:name w:val="Heading 4 Char"/>
    <w:basedOn w:val="DefaultParagraphFont"/>
    <w:link w:val="Heading4"/>
    <w:uiPriority w:val="9"/>
    <w:rsid w:val="00B3726E"/>
    <w:rPr>
      <w:rFonts w:ascii="Arial" w:eastAsia="Dotum" w:hAnsi="Arial" w:cs="Arial"/>
      <w:b/>
    </w:rPr>
  </w:style>
  <w:style w:type="character" w:customStyle="1" w:styleId="Heading5Char">
    <w:name w:val="Heading 5 Char"/>
    <w:basedOn w:val="DefaultParagraphFont"/>
    <w:link w:val="Heading5"/>
    <w:uiPriority w:val="9"/>
    <w:rsid w:val="00B372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372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372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3726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3726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B3726E"/>
    <w:pPr>
      <w:ind w:left="720"/>
      <w:contextualSpacing/>
    </w:pPr>
  </w:style>
  <w:style w:type="table" w:styleId="TableGrid">
    <w:name w:val="Table Grid"/>
    <w:basedOn w:val="TableNormal"/>
    <w:uiPriority w:val="59"/>
    <w:rsid w:val="00B37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36EDC"/>
    <w:pPr>
      <w:spacing w:before="3000" w:after="300"/>
      <w:contextualSpacing/>
    </w:pPr>
    <w:rPr>
      <w:rFonts w:ascii="Arial" w:eastAsiaTheme="majorEastAsia" w:hAnsi="Arial" w:cstheme="majorBidi"/>
      <w:caps/>
      <w:color w:val="1E1E1E"/>
      <w:spacing w:val="-22"/>
      <w:w w:val="105"/>
      <w:kern w:val="28"/>
      <w:sz w:val="80"/>
      <w:szCs w:val="80"/>
    </w:rPr>
  </w:style>
  <w:style w:type="character" w:customStyle="1" w:styleId="TitleChar">
    <w:name w:val="Title Char"/>
    <w:basedOn w:val="DefaultParagraphFont"/>
    <w:link w:val="Title"/>
    <w:uiPriority w:val="10"/>
    <w:rsid w:val="00036EDC"/>
    <w:rPr>
      <w:rFonts w:ascii="Arial" w:eastAsiaTheme="majorEastAsia" w:hAnsi="Arial" w:cstheme="majorBidi"/>
      <w:caps/>
      <w:color w:val="1E1E1E"/>
      <w:spacing w:val="-22"/>
      <w:w w:val="105"/>
      <w:kern w:val="28"/>
      <w:sz w:val="80"/>
      <w:szCs w:val="80"/>
    </w:rPr>
  </w:style>
  <w:style w:type="paragraph" w:styleId="Subtitle">
    <w:name w:val="Subtitle"/>
    <w:basedOn w:val="Normal"/>
    <w:next w:val="Normal"/>
    <w:link w:val="SubtitleChar"/>
    <w:uiPriority w:val="11"/>
    <w:qFormat/>
    <w:rsid w:val="004D4636"/>
    <w:rPr>
      <w:rFonts w:asciiTheme="majorHAnsi" w:eastAsiaTheme="majorEastAsia" w:hAnsiTheme="majorHAnsi" w:cstheme="majorBidi"/>
      <w:i/>
      <w:iCs/>
      <w:color w:val="C60C30"/>
      <w:spacing w:val="15"/>
      <w:sz w:val="24"/>
      <w:szCs w:val="24"/>
    </w:rPr>
  </w:style>
  <w:style w:type="character" w:customStyle="1" w:styleId="SubtitleChar">
    <w:name w:val="Subtitle Char"/>
    <w:basedOn w:val="DefaultParagraphFont"/>
    <w:link w:val="Subtitle"/>
    <w:uiPriority w:val="11"/>
    <w:rsid w:val="004D4636"/>
    <w:rPr>
      <w:rFonts w:asciiTheme="majorHAnsi" w:eastAsiaTheme="majorEastAsia" w:hAnsiTheme="majorHAnsi" w:cstheme="majorBidi"/>
      <w:i/>
      <w:iCs/>
      <w:color w:val="C60C30"/>
      <w:spacing w:val="15"/>
      <w:sz w:val="24"/>
      <w:szCs w:val="24"/>
    </w:rPr>
  </w:style>
  <w:style w:type="paragraph" w:styleId="Header">
    <w:name w:val="header"/>
    <w:basedOn w:val="Normal"/>
    <w:link w:val="HeaderChar"/>
    <w:uiPriority w:val="99"/>
    <w:unhideWhenUsed/>
    <w:rsid w:val="00856708"/>
    <w:pPr>
      <w:tabs>
        <w:tab w:val="center" w:pos="4513"/>
        <w:tab w:val="right" w:pos="9026"/>
      </w:tabs>
      <w:spacing w:after="0"/>
    </w:pPr>
  </w:style>
  <w:style w:type="character" w:customStyle="1" w:styleId="HeaderChar">
    <w:name w:val="Header Char"/>
    <w:basedOn w:val="DefaultParagraphFont"/>
    <w:link w:val="Header"/>
    <w:uiPriority w:val="99"/>
    <w:rsid w:val="00856708"/>
    <w:rPr>
      <w:rFonts w:ascii="Calibri" w:eastAsia="Dotum" w:hAnsi="Calibri" w:cs="Calibri"/>
    </w:rPr>
  </w:style>
  <w:style w:type="paragraph" w:styleId="Footer">
    <w:name w:val="footer"/>
    <w:basedOn w:val="Normal"/>
    <w:link w:val="FooterChar"/>
    <w:uiPriority w:val="99"/>
    <w:unhideWhenUsed/>
    <w:rsid w:val="00856708"/>
    <w:pPr>
      <w:tabs>
        <w:tab w:val="center" w:pos="4513"/>
        <w:tab w:val="right" w:pos="9026"/>
      </w:tabs>
      <w:spacing w:after="0"/>
    </w:pPr>
  </w:style>
  <w:style w:type="character" w:customStyle="1" w:styleId="FooterChar">
    <w:name w:val="Footer Char"/>
    <w:basedOn w:val="DefaultParagraphFont"/>
    <w:link w:val="Footer"/>
    <w:uiPriority w:val="99"/>
    <w:rsid w:val="00856708"/>
    <w:rPr>
      <w:rFonts w:ascii="Calibri" w:eastAsia="Dotum" w:hAnsi="Calibri" w:cs="Calibri"/>
    </w:rPr>
  </w:style>
  <w:style w:type="character" w:styleId="CommentReference">
    <w:name w:val="annotation reference"/>
    <w:basedOn w:val="DefaultParagraphFont"/>
    <w:uiPriority w:val="99"/>
    <w:semiHidden/>
    <w:unhideWhenUsed/>
    <w:rsid w:val="002C116E"/>
    <w:rPr>
      <w:sz w:val="16"/>
      <w:szCs w:val="16"/>
    </w:rPr>
  </w:style>
  <w:style w:type="paragraph" w:styleId="CommentText">
    <w:name w:val="annotation text"/>
    <w:basedOn w:val="Normal"/>
    <w:link w:val="CommentTextChar"/>
    <w:uiPriority w:val="99"/>
    <w:unhideWhenUsed/>
    <w:rsid w:val="002C116E"/>
    <w:rPr>
      <w:sz w:val="20"/>
      <w:szCs w:val="20"/>
    </w:rPr>
  </w:style>
  <w:style w:type="character" w:customStyle="1" w:styleId="CommentTextChar">
    <w:name w:val="Comment Text Char"/>
    <w:basedOn w:val="DefaultParagraphFont"/>
    <w:link w:val="CommentText"/>
    <w:uiPriority w:val="99"/>
    <w:rsid w:val="002C116E"/>
    <w:rPr>
      <w:rFonts w:ascii="Calibri" w:eastAsia="Dotum" w:hAnsi="Calibri" w:cs="Calibri"/>
      <w:sz w:val="20"/>
      <w:szCs w:val="20"/>
    </w:rPr>
  </w:style>
  <w:style w:type="paragraph" w:styleId="CommentSubject">
    <w:name w:val="annotation subject"/>
    <w:basedOn w:val="CommentText"/>
    <w:next w:val="CommentText"/>
    <w:link w:val="CommentSubjectChar"/>
    <w:uiPriority w:val="99"/>
    <w:semiHidden/>
    <w:unhideWhenUsed/>
    <w:rsid w:val="002C116E"/>
    <w:rPr>
      <w:b/>
      <w:bCs/>
    </w:rPr>
  </w:style>
  <w:style w:type="character" w:customStyle="1" w:styleId="CommentSubjectChar">
    <w:name w:val="Comment Subject Char"/>
    <w:basedOn w:val="CommentTextChar"/>
    <w:link w:val="CommentSubject"/>
    <w:uiPriority w:val="99"/>
    <w:semiHidden/>
    <w:rsid w:val="002C116E"/>
    <w:rPr>
      <w:rFonts w:ascii="Calibri" w:eastAsia="Dotum" w:hAnsi="Calibri" w:cs="Calibri"/>
      <w:b/>
      <w:bCs/>
      <w:sz w:val="20"/>
      <w:szCs w:val="20"/>
    </w:rPr>
  </w:style>
  <w:style w:type="paragraph" w:styleId="BalloonText">
    <w:name w:val="Balloon Text"/>
    <w:basedOn w:val="Normal"/>
    <w:link w:val="BalloonTextChar"/>
    <w:uiPriority w:val="99"/>
    <w:semiHidden/>
    <w:unhideWhenUsed/>
    <w:rsid w:val="002C1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16E"/>
    <w:rPr>
      <w:rFonts w:ascii="Tahoma" w:eastAsia="Dotum" w:hAnsi="Tahoma" w:cs="Tahoma"/>
      <w:sz w:val="16"/>
      <w:szCs w:val="16"/>
    </w:rPr>
  </w:style>
  <w:style w:type="paragraph" w:styleId="Revision">
    <w:name w:val="Revision"/>
    <w:hidden/>
    <w:uiPriority w:val="99"/>
    <w:semiHidden/>
    <w:rsid w:val="00927E4B"/>
    <w:pPr>
      <w:spacing w:after="0" w:line="240" w:lineRule="auto"/>
    </w:pPr>
    <w:rPr>
      <w:rFonts w:ascii="Calibri" w:eastAsia="Dotum" w:hAnsi="Calibri" w:cs="Calibri"/>
    </w:rPr>
  </w:style>
  <w:style w:type="character" w:customStyle="1" w:styleId="ListParagraphChar">
    <w:name w:val="List Paragraph Char"/>
    <w:link w:val="ListParagraph"/>
    <w:uiPriority w:val="34"/>
    <w:rsid w:val="00AE5764"/>
    <w:rPr>
      <w:rFonts w:ascii="Calibri" w:eastAsia="Dotum" w:hAnsi="Calibri" w:cs="Calibri"/>
    </w:rPr>
  </w:style>
  <w:style w:type="character" w:styleId="Hyperlink">
    <w:name w:val="Hyperlink"/>
    <w:basedOn w:val="DefaultParagraphFont"/>
    <w:uiPriority w:val="99"/>
    <w:unhideWhenUsed/>
    <w:rsid w:val="00732595"/>
    <w:rPr>
      <w:color w:val="0000FF" w:themeColor="hyperlink"/>
      <w:u w:val="single"/>
    </w:rPr>
  </w:style>
  <w:style w:type="character" w:styleId="Strong">
    <w:name w:val="Strong"/>
    <w:basedOn w:val="DefaultParagraphFont"/>
    <w:uiPriority w:val="22"/>
    <w:qFormat/>
    <w:rsid w:val="00CC466D"/>
    <w:rPr>
      <w:b/>
      <w:bCs/>
    </w:rPr>
  </w:style>
  <w:style w:type="character" w:styleId="FollowedHyperlink">
    <w:name w:val="FollowedHyperlink"/>
    <w:basedOn w:val="DefaultParagraphFont"/>
    <w:uiPriority w:val="99"/>
    <w:semiHidden/>
    <w:unhideWhenUsed/>
    <w:rsid w:val="00B076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5202">
      <w:bodyDiv w:val="1"/>
      <w:marLeft w:val="0"/>
      <w:marRight w:val="0"/>
      <w:marTop w:val="0"/>
      <w:marBottom w:val="0"/>
      <w:divBdr>
        <w:top w:val="none" w:sz="0" w:space="0" w:color="auto"/>
        <w:left w:val="none" w:sz="0" w:space="0" w:color="auto"/>
        <w:bottom w:val="none" w:sz="0" w:space="0" w:color="auto"/>
        <w:right w:val="none" w:sz="0" w:space="0" w:color="auto"/>
      </w:divBdr>
    </w:div>
    <w:div w:id="367872344">
      <w:bodyDiv w:val="1"/>
      <w:marLeft w:val="0"/>
      <w:marRight w:val="0"/>
      <w:marTop w:val="0"/>
      <w:marBottom w:val="0"/>
      <w:divBdr>
        <w:top w:val="none" w:sz="0" w:space="0" w:color="auto"/>
        <w:left w:val="none" w:sz="0" w:space="0" w:color="auto"/>
        <w:bottom w:val="none" w:sz="0" w:space="0" w:color="auto"/>
        <w:right w:val="none" w:sz="0" w:space="0" w:color="auto"/>
      </w:divBdr>
    </w:div>
    <w:div w:id="370229105">
      <w:bodyDiv w:val="1"/>
      <w:marLeft w:val="0"/>
      <w:marRight w:val="0"/>
      <w:marTop w:val="0"/>
      <w:marBottom w:val="0"/>
      <w:divBdr>
        <w:top w:val="none" w:sz="0" w:space="0" w:color="auto"/>
        <w:left w:val="none" w:sz="0" w:space="0" w:color="auto"/>
        <w:bottom w:val="none" w:sz="0" w:space="0" w:color="auto"/>
        <w:right w:val="none" w:sz="0" w:space="0" w:color="auto"/>
      </w:divBdr>
    </w:div>
    <w:div w:id="664169888">
      <w:bodyDiv w:val="1"/>
      <w:marLeft w:val="0"/>
      <w:marRight w:val="0"/>
      <w:marTop w:val="0"/>
      <w:marBottom w:val="0"/>
      <w:divBdr>
        <w:top w:val="none" w:sz="0" w:space="0" w:color="auto"/>
        <w:left w:val="none" w:sz="0" w:space="0" w:color="auto"/>
        <w:bottom w:val="none" w:sz="0" w:space="0" w:color="auto"/>
        <w:right w:val="none" w:sz="0" w:space="0" w:color="auto"/>
      </w:divBdr>
    </w:div>
    <w:div w:id="686516474">
      <w:bodyDiv w:val="1"/>
      <w:marLeft w:val="0"/>
      <w:marRight w:val="0"/>
      <w:marTop w:val="0"/>
      <w:marBottom w:val="0"/>
      <w:divBdr>
        <w:top w:val="none" w:sz="0" w:space="0" w:color="auto"/>
        <w:left w:val="none" w:sz="0" w:space="0" w:color="auto"/>
        <w:bottom w:val="none" w:sz="0" w:space="0" w:color="auto"/>
        <w:right w:val="none" w:sz="0" w:space="0" w:color="auto"/>
      </w:divBdr>
    </w:div>
    <w:div w:id="1427727183">
      <w:bodyDiv w:val="1"/>
      <w:marLeft w:val="0"/>
      <w:marRight w:val="0"/>
      <w:marTop w:val="0"/>
      <w:marBottom w:val="0"/>
      <w:divBdr>
        <w:top w:val="none" w:sz="0" w:space="0" w:color="auto"/>
        <w:left w:val="none" w:sz="0" w:space="0" w:color="auto"/>
        <w:bottom w:val="none" w:sz="0" w:space="0" w:color="auto"/>
        <w:right w:val="none" w:sz="0" w:space="0" w:color="auto"/>
      </w:divBdr>
    </w:div>
    <w:div w:id="1562641041">
      <w:bodyDiv w:val="1"/>
      <w:marLeft w:val="0"/>
      <w:marRight w:val="0"/>
      <w:marTop w:val="0"/>
      <w:marBottom w:val="0"/>
      <w:divBdr>
        <w:top w:val="none" w:sz="0" w:space="0" w:color="auto"/>
        <w:left w:val="none" w:sz="0" w:space="0" w:color="auto"/>
        <w:bottom w:val="none" w:sz="0" w:space="0" w:color="auto"/>
        <w:right w:val="none" w:sz="0" w:space="0" w:color="auto"/>
      </w:divBdr>
    </w:div>
    <w:div w:id="1856113121">
      <w:bodyDiv w:val="1"/>
      <w:marLeft w:val="0"/>
      <w:marRight w:val="0"/>
      <w:marTop w:val="0"/>
      <w:marBottom w:val="0"/>
      <w:divBdr>
        <w:top w:val="none" w:sz="0" w:space="0" w:color="auto"/>
        <w:left w:val="none" w:sz="0" w:space="0" w:color="auto"/>
        <w:bottom w:val="none" w:sz="0" w:space="0" w:color="auto"/>
        <w:right w:val="none" w:sz="0" w:space="0" w:color="auto"/>
      </w:divBdr>
    </w:div>
    <w:div w:id="210568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blood.gov.au/supply-system/governance-immunoglobulin-products" TargetMode="External"/><Relationship Id="rId2" Type="http://schemas.openxmlformats.org/officeDocument/2006/relationships/hyperlink" Target="http://www.blood.gov.au" TargetMode="External"/><Relationship Id="rId1" Type="http://schemas.openxmlformats.org/officeDocument/2006/relationships/image" Target="media/image3.png"/><Relationship Id="rId5" Type="http://schemas.openxmlformats.org/officeDocument/2006/relationships/image" Target="media/image5.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Lyndsay Wall</dc:creator>
  <cp:lastModifiedBy>Mairs, Courtney</cp:lastModifiedBy>
  <cp:revision>15</cp:revision>
  <cp:lastPrinted>2020-02-28T03:11:00Z</cp:lastPrinted>
  <dcterms:created xsi:type="dcterms:W3CDTF">2025-07-07T00:50:00Z</dcterms:created>
  <dcterms:modified xsi:type="dcterms:W3CDTF">2025-11-11T23:59:00Z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5,8,9</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MSIP_Label_11d3a1ea-a727-4720-a216-7dae13a61c56_Enabled">
    <vt:lpwstr>true</vt:lpwstr>
  </property>
  <property fmtid="{D5CDD505-2E9C-101B-9397-08002B2CF9AE}" pid="6" name="MSIP_Label_11d3a1ea-a727-4720-a216-7dae13a61c56_SetDate">
    <vt:lpwstr>2023-11-15T06:41:15Z</vt:lpwstr>
  </property>
  <property fmtid="{D5CDD505-2E9C-101B-9397-08002B2CF9AE}" pid="7" name="MSIP_Label_11d3a1ea-a727-4720-a216-7dae13a61c56_Method">
    <vt:lpwstr>Privileged</vt:lpwstr>
  </property>
  <property fmtid="{D5CDD505-2E9C-101B-9397-08002B2CF9AE}" pid="8" name="MSIP_Label_11d3a1ea-a727-4720-a216-7dae13a61c56_Name">
    <vt:lpwstr>OFFICIAL</vt:lpwstr>
  </property>
  <property fmtid="{D5CDD505-2E9C-101B-9397-08002B2CF9AE}" pid="9" name="MSIP_Label_11d3a1ea-a727-4720-a216-7dae13a61c56_SiteId">
    <vt:lpwstr>9c233057-0738-4b40-91b2-3798ceb38ebf</vt:lpwstr>
  </property>
  <property fmtid="{D5CDD505-2E9C-101B-9397-08002B2CF9AE}" pid="10" name="MSIP_Label_11d3a1ea-a727-4720-a216-7dae13a61c56_ActionId">
    <vt:lpwstr>bc8dfd28-abef-40fb-b099-e25923a279e1</vt:lpwstr>
  </property>
  <property fmtid="{D5CDD505-2E9C-101B-9397-08002B2CF9AE}" pid="11" name="MSIP_Label_11d3a1ea-a727-4720-a216-7dae13a61c56_ContentBits">
    <vt:lpwstr>1</vt:lpwstr>
  </property>
</Properties>
</file>