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99AC" w14:textId="10BDAFFE" w:rsidR="00B70C8C" w:rsidRDefault="007F774A" w:rsidP="00827412">
      <w:pPr>
        <w:pStyle w:val="BodyText"/>
        <w:spacing w:before="120" w:after="120" w:line="276" w:lineRule="auto"/>
        <w:rPr>
          <w:rFonts w:ascii="Aptos" w:hAnsi="Aptos" w:cstheme="minorHAnsi"/>
          <w:sz w:val="40"/>
          <w:szCs w:val="24"/>
          <w:lang w:val="en-AU"/>
        </w:rPr>
      </w:pPr>
      <w:r>
        <w:rPr>
          <w:rFonts w:ascii="Aptos" w:hAnsi="Aptos" w:cstheme="minorHAnsi"/>
          <w:sz w:val="40"/>
          <w:szCs w:val="24"/>
          <w:lang w:val="en-AU"/>
        </w:rPr>
        <w:t>Immunoglobulin Adjusted Body Weight Dosing</w:t>
      </w:r>
    </w:p>
    <w:p w14:paraId="76AEA1A1" w14:textId="00A8013D" w:rsidR="002C4F23" w:rsidRDefault="00E713C8" w:rsidP="00827412">
      <w:pPr>
        <w:spacing w:before="120" w:after="120" w:line="276" w:lineRule="auto"/>
        <w:rPr>
          <w:rFonts w:ascii="Aptos" w:hAnsi="Aptos" w:cs="Arial"/>
          <w:sz w:val="24"/>
          <w:szCs w:val="24"/>
        </w:rPr>
      </w:pPr>
      <w:r>
        <w:rPr>
          <w:rFonts w:ascii="Aptos" w:hAnsi="Aptos" w:cs="Arial"/>
          <w:sz w:val="24"/>
          <w:szCs w:val="24"/>
        </w:rPr>
        <w:t>From</w:t>
      </w:r>
      <w:r w:rsidRPr="007736EE">
        <w:rPr>
          <w:rFonts w:ascii="Aptos" w:hAnsi="Aptos" w:cs="Arial"/>
          <w:b/>
          <w:bCs/>
          <w:sz w:val="24"/>
          <w:szCs w:val="24"/>
        </w:rPr>
        <w:t xml:space="preserve"> 1 July 2026</w:t>
      </w:r>
      <w:r>
        <w:rPr>
          <w:rFonts w:ascii="Aptos" w:hAnsi="Aptos" w:cs="Arial"/>
          <w:sz w:val="24"/>
          <w:szCs w:val="24"/>
        </w:rPr>
        <w:t>, t</w:t>
      </w:r>
      <w:r w:rsidR="00E6677A" w:rsidRPr="0053485F">
        <w:rPr>
          <w:rFonts w:ascii="Aptos" w:hAnsi="Aptos" w:cs="Arial"/>
          <w:sz w:val="24"/>
          <w:szCs w:val="24"/>
        </w:rPr>
        <w:t xml:space="preserve">he way in which immunoglobulin (Ig) doses are calculated in </w:t>
      </w:r>
      <w:proofErr w:type="spellStart"/>
      <w:r w:rsidR="00E6677A" w:rsidRPr="0053485F">
        <w:rPr>
          <w:rFonts w:ascii="Aptos" w:hAnsi="Aptos" w:cs="Arial"/>
          <w:sz w:val="24"/>
          <w:szCs w:val="24"/>
        </w:rPr>
        <w:t>BloodSTAR</w:t>
      </w:r>
      <w:proofErr w:type="spellEnd"/>
      <w:r w:rsidR="00E6677A" w:rsidRPr="0053485F">
        <w:rPr>
          <w:rFonts w:ascii="Aptos" w:hAnsi="Aptos" w:cs="Arial"/>
          <w:sz w:val="24"/>
          <w:szCs w:val="24"/>
        </w:rPr>
        <w:t xml:space="preserve"> is changing.</w:t>
      </w:r>
      <w:r w:rsidR="006823B4">
        <w:rPr>
          <w:rFonts w:ascii="Aptos" w:hAnsi="Aptos" w:cs="Arial"/>
          <w:sz w:val="24"/>
          <w:szCs w:val="24"/>
        </w:rPr>
        <w:t xml:space="preserve"> This factsheet provides information </w:t>
      </w:r>
      <w:r w:rsidR="00875101">
        <w:rPr>
          <w:rFonts w:ascii="Aptos" w:hAnsi="Aptos" w:cs="Arial"/>
          <w:sz w:val="24"/>
          <w:szCs w:val="24"/>
        </w:rPr>
        <w:t>on the changes</w:t>
      </w:r>
      <w:r w:rsidR="00210AAF">
        <w:rPr>
          <w:rFonts w:ascii="Aptos" w:hAnsi="Aptos" w:cs="Arial"/>
          <w:sz w:val="24"/>
          <w:szCs w:val="24"/>
        </w:rPr>
        <w:t xml:space="preserve"> to expect</w:t>
      </w:r>
      <w:r w:rsidR="00875101">
        <w:rPr>
          <w:rFonts w:ascii="Aptos" w:hAnsi="Aptos" w:cs="Arial"/>
          <w:sz w:val="24"/>
          <w:szCs w:val="24"/>
        </w:rPr>
        <w:t xml:space="preserve"> and</w:t>
      </w:r>
      <w:r w:rsidR="002C4F23">
        <w:rPr>
          <w:rFonts w:ascii="Aptos" w:hAnsi="Aptos" w:cs="Arial"/>
          <w:sz w:val="24"/>
          <w:szCs w:val="24"/>
        </w:rPr>
        <w:t xml:space="preserve"> what prescribers need to do.</w:t>
      </w:r>
      <w:r w:rsidR="00E6677A" w:rsidRPr="0053485F">
        <w:rPr>
          <w:rFonts w:ascii="Aptos" w:hAnsi="Aptos" w:cs="Arial"/>
          <w:sz w:val="24"/>
          <w:szCs w:val="24"/>
        </w:rPr>
        <w:t xml:space="preserve"> </w:t>
      </w:r>
    </w:p>
    <w:p w14:paraId="35A11378" w14:textId="3101711A" w:rsidR="007F2950" w:rsidRDefault="007F2950" w:rsidP="00827412">
      <w:pPr>
        <w:spacing w:before="120" w:after="120" w:line="276" w:lineRule="auto"/>
        <w:rPr>
          <w:rFonts w:ascii="Aptos" w:hAnsi="Aptos" w:cs="Arial"/>
          <w:color w:val="C00000"/>
          <w:sz w:val="28"/>
          <w:szCs w:val="28"/>
        </w:rPr>
      </w:pPr>
      <w:r w:rsidRPr="007F2950">
        <w:rPr>
          <w:rFonts w:ascii="Aptos" w:hAnsi="Aptos" w:cs="Arial"/>
          <w:color w:val="C00000"/>
          <w:sz w:val="28"/>
          <w:szCs w:val="28"/>
        </w:rPr>
        <w:t>What is changing</w:t>
      </w:r>
    </w:p>
    <w:p w14:paraId="312E99C8" w14:textId="39BF3570" w:rsidR="00B645EE" w:rsidRDefault="5BBFBA65" w:rsidP="00827412">
      <w:pPr>
        <w:spacing w:before="120" w:after="120" w:line="276" w:lineRule="auto"/>
        <w:rPr>
          <w:rFonts w:ascii="Aptos" w:hAnsi="Aptos" w:cs="Arial"/>
          <w:sz w:val="24"/>
          <w:szCs w:val="24"/>
        </w:rPr>
      </w:pPr>
      <w:r w:rsidRPr="53E29BDD">
        <w:rPr>
          <w:rFonts w:ascii="Aptos" w:hAnsi="Aptos" w:cs="Arial"/>
          <w:sz w:val="24"/>
          <w:szCs w:val="24"/>
        </w:rPr>
        <w:t>Immunoglobulin adjusted</w:t>
      </w:r>
      <w:r w:rsidR="000A2F65" w:rsidRPr="53E29BDD">
        <w:rPr>
          <w:rFonts w:ascii="Aptos" w:hAnsi="Aptos" w:cs="Arial"/>
          <w:sz w:val="24"/>
          <w:szCs w:val="24"/>
        </w:rPr>
        <w:t xml:space="preserve"> body weight </w:t>
      </w:r>
      <w:r w:rsidR="00DA3293" w:rsidRPr="53E29BDD">
        <w:rPr>
          <w:rFonts w:ascii="Aptos" w:hAnsi="Aptos" w:cs="Arial"/>
          <w:sz w:val="24"/>
          <w:szCs w:val="24"/>
        </w:rPr>
        <w:t xml:space="preserve">dosing </w:t>
      </w:r>
      <w:r w:rsidR="000A2F65" w:rsidRPr="53E29BDD">
        <w:rPr>
          <w:rFonts w:ascii="Aptos" w:hAnsi="Aptos" w:cs="Arial"/>
          <w:sz w:val="24"/>
          <w:szCs w:val="24"/>
        </w:rPr>
        <w:t xml:space="preserve">will be the mandated default in </w:t>
      </w:r>
      <w:proofErr w:type="spellStart"/>
      <w:r w:rsidR="00B645EE" w:rsidRPr="53E29BDD">
        <w:rPr>
          <w:rFonts w:ascii="Aptos" w:hAnsi="Aptos" w:cs="Arial"/>
          <w:sz w:val="24"/>
          <w:szCs w:val="24"/>
        </w:rPr>
        <w:t>B</w:t>
      </w:r>
      <w:r w:rsidR="000A2F65" w:rsidRPr="53E29BDD">
        <w:rPr>
          <w:rFonts w:ascii="Aptos" w:hAnsi="Aptos" w:cs="Arial"/>
          <w:sz w:val="24"/>
          <w:szCs w:val="24"/>
        </w:rPr>
        <w:t>loodSTAR</w:t>
      </w:r>
      <w:proofErr w:type="spellEnd"/>
      <w:r w:rsidR="000A2F65" w:rsidRPr="53E29BDD">
        <w:rPr>
          <w:rFonts w:ascii="Aptos" w:hAnsi="Aptos" w:cs="Arial"/>
          <w:sz w:val="24"/>
          <w:szCs w:val="24"/>
        </w:rPr>
        <w:t xml:space="preserve">, Australia’s online system for accessing government-funded Ig products. If there is a clinical reason not to </w:t>
      </w:r>
      <w:r w:rsidR="00D14DE9" w:rsidRPr="53E29BDD">
        <w:rPr>
          <w:rFonts w:ascii="Aptos" w:hAnsi="Aptos" w:cs="Arial"/>
          <w:sz w:val="24"/>
          <w:szCs w:val="24"/>
        </w:rPr>
        <w:t>use adjusted body weight dosing</w:t>
      </w:r>
      <w:r w:rsidR="000A2F65" w:rsidRPr="53E29BDD">
        <w:rPr>
          <w:rFonts w:ascii="Aptos" w:hAnsi="Aptos" w:cs="Arial"/>
          <w:sz w:val="24"/>
          <w:szCs w:val="24"/>
        </w:rPr>
        <w:t xml:space="preserve">, the clinician should select the appropriate option in </w:t>
      </w:r>
      <w:proofErr w:type="spellStart"/>
      <w:r w:rsidR="000A2F65" w:rsidRPr="53E29BDD">
        <w:rPr>
          <w:rFonts w:ascii="Aptos" w:hAnsi="Aptos" w:cs="Arial"/>
          <w:sz w:val="24"/>
          <w:szCs w:val="24"/>
        </w:rPr>
        <w:t>BloodSTAR</w:t>
      </w:r>
      <w:proofErr w:type="spellEnd"/>
      <w:r w:rsidR="000A2F65" w:rsidRPr="53E29BDD">
        <w:rPr>
          <w:rFonts w:ascii="Aptos" w:hAnsi="Aptos" w:cs="Arial"/>
          <w:sz w:val="24"/>
          <w:szCs w:val="24"/>
        </w:rPr>
        <w:t xml:space="preserve"> and provide </w:t>
      </w:r>
      <w:proofErr w:type="gramStart"/>
      <w:r w:rsidR="00B645EE" w:rsidRPr="53E29BDD">
        <w:rPr>
          <w:rFonts w:ascii="Aptos" w:hAnsi="Aptos" w:cs="Arial"/>
          <w:sz w:val="24"/>
          <w:szCs w:val="24"/>
        </w:rPr>
        <w:t>a clinical</w:t>
      </w:r>
      <w:proofErr w:type="gramEnd"/>
      <w:r w:rsidR="000A2F65" w:rsidRPr="53E29BDD">
        <w:rPr>
          <w:rFonts w:ascii="Aptos" w:hAnsi="Aptos" w:cs="Arial"/>
          <w:sz w:val="24"/>
          <w:szCs w:val="24"/>
        </w:rPr>
        <w:t xml:space="preserve"> justification in the </w:t>
      </w:r>
      <w:proofErr w:type="spellStart"/>
      <w:r w:rsidR="000A2F65" w:rsidRPr="53E29BDD">
        <w:rPr>
          <w:rFonts w:ascii="Aptos" w:hAnsi="Aptos" w:cs="Arial"/>
          <w:sz w:val="24"/>
          <w:szCs w:val="24"/>
        </w:rPr>
        <w:t>authorisation</w:t>
      </w:r>
      <w:proofErr w:type="spellEnd"/>
      <w:r w:rsidR="000A2F65" w:rsidRPr="53E29BDD">
        <w:rPr>
          <w:rFonts w:ascii="Aptos" w:hAnsi="Aptos" w:cs="Arial"/>
          <w:sz w:val="24"/>
          <w:szCs w:val="24"/>
        </w:rPr>
        <w:t xml:space="preserve"> request. </w:t>
      </w:r>
    </w:p>
    <w:p w14:paraId="2EF8F854" w14:textId="3CD172E5" w:rsidR="00F34629" w:rsidRDefault="00B645EE" w:rsidP="00827412">
      <w:pPr>
        <w:spacing w:before="120" w:after="120" w:line="276" w:lineRule="auto"/>
        <w:rPr>
          <w:rFonts w:ascii="Aptos" w:hAnsi="Aptos" w:cs="Arial"/>
          <w:sz w:val="24"/>
          <w:szCs w:val="24"/>
        </w:rPr>
      </w:pPr>
      <w:r>
        <w:rPr>
          <w:rFonts w:ascii="Aptos" w:hAnsi="Aptos" w:cs="Arial"/>
          <w:sz w:val="24"/>
          <w:szCs w:val="24"/>
        </w:rPr>
        <w:t>Due to this change, e</w:t>
      </w:r>
      <w:r w:rsidR="00F34629" w:rsidRPr="00F34629">
        <w:rPr>
          <w:rFonts w:ascii="Aptos" w:hAnsi="Aptos" w:cs="Arial"/>
          <w:sz w:val="24"/>
          <w:szCs w:val="24"/>
        </w:rPr>
        <w:t xml:space="preserve">ntering the patient’s height is now mandatory for all </w:t>
      </w:r>
      <w:proofErr w:type="spellStart"/>
      <w:r w:rsidR="00F34629" w:rsidRPr="00F34629">
        <w:rPr>
          <w:rFonts w:ascii="Aptos" w:hAnsi="Aptos" w:cs="Arial"/>
          <w:sz w:val="24"/>
          <w:szCs w:val="24"/>
        </w:rPr>
        <w:t>BloodSTAR</w:t>
      </w:r>
      <w:proofErr w:type="spellEnd"/>
      <w:r w:rsidR="00F34629" w:rsidRPr="00F34629">
        <w:rPr>
          <w:rFonts w:ascii="Aptos" w:hAnsi="Aptos" w:cs="Arial"/>
          <w:sz w:val="24"/>
          <w:szCs w:val="24"/>
        </w:rPr>
        <w:t xml:space="preserve"> </w:t>
      </w:r>
      <w:proofErr w:type="spellStart"/>
      <w:r>
        <w:rPr>
          <w:rFonts w:ascii="Aptos" w:hAnsi="Aptos" w:cs="Arial"/>
          <w:sz w:val="24"/>
          <w:szCs w:val="24"/>
        </w:rPr>
        <w:t>authorisation</w:t>
      </w:r>
      <w:proofErr w:type="spellEnd"/>
      <w:r>
        <w:rPr>
          <w:rFonts w:ascii="Aptos" w:hAnsi="Aptos" w:cs="Arial"/>
          <w:sz w:val="24"/>
          <w:szCs w:val="24"/>
        </w:rPr>
        <w:t xml:space="preserve"> </w:t>
      </w:r>
      <w:r w:rsidR="00F34629" w:rsidRPr="00F34629">
        <w:rPr>
          <w:rFonts w:ascii="Aptos" w:hAnsi="Aptos" w:cs="Arial"/>
          <w:sz w:val="24"/>
          <w:szCs w:val="24"/>
        </w:rPr>
        <w:t>requests</w:t>
      </w:r>
      <w:r>
        <w:rPr>
          <w:rFonts w:ascii="Aptos" w:hAnsi="Aptos" w:cs="Arial"/>
          <w:sz w:val="24"/>
          <w:szCs w:val="24"/>
        </w:rPr>
        <w:t>.</w:t>
      </w:r>
      <w:r w:rsidR="00F34629" w:rsidRPr="00F34629">
        <w:rPr>
          <w:rFonts w:ascii="Aptos" w:hAnsi="Aptos" w:cs="Arial"/>
          <w:sz w:val="24"/>
          <w:szCs w:val="24"/>
        </w:rPr>
        <w:t xml:space="preserve"> </w:t>
      </w:r>
    </w:p>
    <w:p w14:paraId="28BCA40D" w14:textId="43D085D9" w:rsidR="00ED2148" w:rsidRPr="0053485F" w:rsidRDefault="00ED2148" w:rsidP="00827412">
      <w:pPr>
        <w:spacing w:before="120" w:after="120" w:line="276" w:lineRule="auto"/>
        <w:rPr>
          <w:rFonts w:ascii="Aptos" w:hAnsi="Aptos" w:cs="Arial"/>
          <w:sz w:val="24"/>
          <w:szCs w:val="24"/>
        </w:rPr>
      </w:pPr>
      <w:r w:rsidRPr="53E29BDD">
        <w:rPr>
          <w:rFonts w:ascii="Aptos" w:hAnsi="Aptos" w:cs="Arial"/>
          <w:sz w:val="24"/>
          <w:szCs w:val="24"/>
        </w:rPr>
        <w:t xml:space="preserve">The </w:t>
      </w:r>
      <w:r w:rsidR="00DA3293" w:rsidRPr="53E29BDD">
        <w:rPr>
          <w:rFonts w:ascii="Aptos" w:hAnsi="Aptos" w:cs="Arial"/>
          <w:sz w:val="24"/>
          <w:szCs w:val="24"/>
        </w:rPr>
        <w:t>adjusted body weight dos</w:t>
      </w:r>
      <w:r w:rsidR="00223038" w:rsidRPr="53E29BDD">
        <w:rPr>
          <w:rFonts w:ascii="Aptos" w:hAnsi="Aptos" w:cs="Arial"/>
          <w:sz w:val="24"/>
          <w:szCs w:val="24"/>
        </w:rPr>
        <w:t>e</w:t>
      </w:r>
      <w:r w:rsidR="00DA3293" w:rsidRPr="53E29BDD">
        <w:rPr>
          <w:rFonts w:ascii="Aptos" w:hAnsi="Aptos" w:cs="Arial"/>
          <w:sz w:val="24"/>
          <w:szCs w:val="24"/>
        </w:rPr>
        <w:t xml:space="preserve"> </w:t>
      </w:r>
      <w:r w:rsidR="00C20D36" w:rsidRPr="53E29BDD">
        <w:rPr>
          <w:rFonts w:ascii="Aptos" w:hAnsi="Aptos" w:cs="Arial"/>
          <w:sz w:val="24"/>
          <w:szCs w:val="24"/>
        </w:rPr>
        <w:t xml:space="preserve">may </w:t>
      </w:r>
      <w:r w:rsidRPr="53E29BDD">
        <w:rPr>
          <w:rFonts w:ascii="Aptos" w:hAnsi="Aptos" w:cs="Arial"/>
          <w:sz w:val="24"/>
          <w:szCs w:val="24"/>
        </w:rPr>
        <w:t xml:space="preserve">be lower than a dose based on actual body weight. For most patients, the difference is </w:t>
      </w:r>
      <w:r w:rsidR="0078019D" w:rsidRPr="53E29BDD">
        <w:rPr>
          <w:rFonts w:ascii="Aptos" w:hAnsi="Aptos" w:cs="Arial"/>
          <w:sz w:val="24"/>
          <w:szCs w:val="24"/>
        </w:rPr>
        <w:t xml:space="preserve">less than </w:t>
      </w:r>
      <w:r w:rsidRPr="53E29BDD">
        <w:rPr>
          <w:rFonts w:ascii="Aptos" w:hAnsi="Aptos" w:cs="Arial"/>
          <w:sz w:val="24"/>
          <w:szCs w:val="24"/>
        </w:rPr>
        <w:t>5%</w:t>
      </w:r>
      <w:r w:rsidR="0078019D" w:rsidRPr="53E29BDD">
        <w:rPr>
          <w:rFonts w:ascii="Aptos" w:hAnsi="Aptos" w:cs="Arial"/>
          <w:sz w:val="24"/>
          <w:szCs w:val="24"/>
        </w:rPr>
        <w:t>.</w:t>
      </w:r>
      <w:r w:rsidRPr="53E29BDD">
        <w:rPr>
          <w:rFonts w:ascii="Aptos" w:hAnsi="Aptos" w:cs="Arial"/>
          <w:sz w:val="24"/>
          <w:szCs w:val="24"/>
        </w:rPr>
        <w:t xml:space="preserve"> </w:t>
      </w:r>
      <w:r w:rsidR="0078019D" w:rsidRPr="53E29BDD">
        <w:rPr>
          <w:rFonts w:ascii="Aptos" w:hAnsi="Aptos" w:cs="Arial"/>
          <w:sz w:val="24"/>
          <w:szCs w:val="24"/>
        </w:rPr>
        <w:t>F</w:t>
      </w:r>
      <w:r w:rsidRPr="53E29BDD">
        <w:rPr>
          <w:rFonts w:ascii="Aptos" w:hAnsi="Aptos" w:cs="Arial"/>
          <w:sz w:val="24"/>
          <w:szCs w:val="24"/>
        </w:rPr>
        <w:t>or patients with higher actual body weight, the difference might be more substantial. Adjusted</w:t>
      </w:r>
      <w:r w:rsidR="00DA3293" w:rsidRPr="53E29BDD">
        <w:rPr>
          <w:rFonts w:ascii="Aptos" w:hAnsi="Aptos" w:cs="Arial"/>
          <w:sz w:val="24"/>
          <w:szCs w:val="24"/>
        </w:rPr>
        <w:t xml:space="preserve"> body weight dosing </w:t>
      </w:r>
      <w:r w:rsidRPr="53E29BDD">
        <w:rPr>
          <w:rFonts w:ascii="Aptos" w:hAnsi="Aptos" w:cs="Arial"/>
          <w:sz w:val="24"/>
          <w:szCs w:val="24"/>
        </w:rPr>
        <w:t xml:space="preserve">is based on the underlying pharmacological properties </w:t>
      </w:r>
      <w:r w:rsidR="001806ED" w:rsidRPr="53E29BDD">
        <w:rPr>
          <w:rFonts w:ascii="Aptos" w:hAnsi="Aptos" w:cs="Arial"/>
          <w:sz w:val="24"/>
          <w:szCs w:val="24"/>
        </w:rPr>
        <w:t xml:space="preserve">and evidence for the use </w:t>
      </w:r>
      <w:r w:rsidRPr="53E29BDD">
        <w:rPr>
          <w:rFonts w:ascii="Aptos" w:hAnsi="Aptos" w:cs="Arial"/>
          <w:sz w:val="24"/>
          <w:szCs w:val="24"/>
        </w:rPr>
        <w:t xml:space="preserve">of therapeutic Ig. It is considered </w:t>
      </w:r>
      <w:r w:rsidR="001806ED" w:rsidRPr="53E29BDD">
        <w:rPr>
          <w:rFonts w:ascii="Aptos" w:hAnsi="Aptos" w:cs="Arial"/>
          <w:sz w:val="24"/>
          <w:szCs w:val="24"/>
        </w:rPr>
        <w:t xml:space="preserve">a </w:t>
      </w:r>
      <w:r w:rsidRPr="53E29BDD">
        <w:rPr>
          <w:rFonts w:ascii="Aptos" w:hAnsi="Aptos" w:cs="Arial"/>
          <w:sz w:val="24"/>
          <w:szCs w:val="24"/>
        </w:rPr>
        <w:t xml:space="preserve">safe and appropriate </w:t>
      </w:r>
      <w:r w:rsidR="001806ED" w:rsidRPr="53E29BDD">
        <w:rPr>
          <w:rFonts w:ascii="Aptos" w:hAnsi="Aptos" w:cs="Arial"/>
          <w:sz w:val="24"/>
          <w:szCs w:val="24"/>
        </w:rPr>
        <w:t xml:space="preserve">method for </w:t>
      </w:r>
      <w:proofErr w:type="gramStart"/>
      <w:r w:rsidR="001806ED" w:rsidRPr="53E29BDD">
        <w:rPr>
          <w:rFonts w:ascii="Aptos" w:hAnsi="Aptos" w:cs="Arial"/>
          <w:sz w:val="24"/>
          <w:szCs w:val="24"/>
        </w:rPr>
        <w:t>dosing</w:t>
      </w:r>
      <w:proofErr w:type="gramEnd"/>
      <w:r w:rsidR="001806ED" w:rsidRPr="53E29BDD">
        <w:rPr>
          <w:rFonts w:ascii="Aptos" w:hAnsi="Aptos" w:cs="Arial"/>
          <w:sz w:val="24"/>
          <w:szCs w:val="24"/>
        </w:rPr>
        <w:t xml:space="preserve"> calculation </w:t>
      </w:r>
      <w:r w:rsidRPr="53E29BDD">
        <w:rPr>
          <w:rFonts w:ascii="Aptos" w:hAnsi="Aptos" w:cs="Arial"/>
          <w:sz w:val="24"/>
          <w:szCs w:val="24"/>
        </w:rPr>
        <w:t>for most patients, except</w:t>
      </w:r>
      <w:r w:rsidR="0036087A" w:rsidRPr="53E29BDD">
        <w:rPr>
          <w:rFonts w:ascii="Aptos" w:hAnsi="Aptos" w:cs="Arial"/>
          <w:sz w:val="24"/>
          <w:szCs w:val="24"/>
        </w:rPr>
        <w:t xml:space="preserve"> patients who</w:t>
      </w:r>
      <w:r w:rsidRPr="53E29BDD">
        <w:rPr>
          <w:rFonts w:ascii="Aptos" w:hAnsi="Aptos" w:cs="Arial"/>
          <w:sz w:val="24"/>
          <w:szCs w:val="24"/>
        </w:rPr>
        <w:t>:</w:t>
      </w:r>
    </w:p>
    <w:p w14:paraId="237A9F2D" w14:textId="77777777" w:rsidR="0036087A" w:rsidRPr="0036087A" w:rsidRDefault="0036087A" w:rsidP="00827412">
      <w:pPr>
        <w:widowControl/>
        <w:numPr>
          <w:ilvl w:val="0"/>
          <w:numId w:val="11"/>
        </w:numPr>
        <w:autoSpaceDE/>
        <w:autoSpaceDN/>
        <w:spacing w:before="120" w:after="120" w:line="276" w:lineRule="auto"/>
        <w:ind w:left="1077" w:hanging="357"/>
        <w:rPr>
          <w:rFonts w:ascii="Aptos" w:eastAsia="Times New Roman" w:hAnsi="Aptos" w:cs="Times New Roman"/>
          <w:sz w:val="24"/>
          <w:szCs w:val="24"/>
          <w:lang w:val="en-AU" w:eastAsia="zh-CN" w:bidi="th-TH"/>
        </w:rPr>
      </w:pPr>
      <w:r w:rsidRPr="0036087A">
        <w:rPr>
          <w:rFonts w:ascii="Aptos" w:eastAsia="Times New Roman" w:hAnsi="Aptos" w:cs="Times New Roman"/>
          <w:sz w:val="24"/>
          <w:szCs w:val="24"/>
          <w:lang w:val="en-AU" w:eastAsia="zh-CN" w:bidi="th-TH"/>
        </w:rPr>
        <w:t>Are aged less than 18 years</w:t>
      </w:r>
    </w:p>
    <w:p w14:paraId="323943E3" w14:textId="77777777" w:rsidR="0036087A" w:rsidRPr="0036087A" w:rsidRDefault="0036087A" w:rsidP="00827412">
      <w:pPr>
        <w:widowControl/>
        <w:numPr>
          <w:ilvl w:val="0"/>
          <w:numId w:val="11"/>
        </w:numPr>
        <w:autoSpaceDE/>
        <w:autoSpaceDN/>
        <w:spacing w:before="120" w:after="120" w:line="276" w:lineRule="auto"/>
        <w:ind w:left="1077" w:hanging="357"/>
        <w:rPr>
          <w:rFonts w:ascii="Aptos" w:eastAsia="Times New Roman" w:hAnsi="Aptos" w:cs="Times New Roman"/>
          <w:sz w:val="24"/>
          <w:szCs w:val="24"/>
          <w:lang w:val="en-AU" w:eastAsia="zh-CN" w:bidi="th-TH"/>
        </w:rPr>
      </w:pPr>
      <w:r w:rsidRPr="0036087A">
        <w:rPr>
          <w:rFonts w:ascii="Aptos" w:eastAsia="Times New Roman" w:hAnsi="Aptos" w:cs="Times New Roman"/>
          <w:sz w:val="24"/>
          <w:szCs w:val="24"/>
          <w:lang w:val="en-AU" w:eastAsia="zh-CN" w:bidi="th-TH"/>
        </w:rPr>
        <w:t>Are less than 152 cm in height</w:t>
      </w:r>
    </w:p>
    <w:p w14:paraId="59EE1A54" w14:textId="77777777" w:rsidR="0036087A" w:rsidRPr="0036087A" w:rsidRDefault="0036087A" w:rsidP="00827412">
      <w:pPr>
        <w:widowControl/>
        <w:numPr>
          <w:ilvl w:val="0"/>
          <w:numId w:val="11"/>
        </w:numPr>
        <w:autoSpaceDE/>
        <w:autoSpaceDN/>
        <w:spacing w:before="120" w:after="120" w:line="276" w:lineRule="auto"/>
        <w:ind w:left="1077" w:hanging="357"/>
        <w:rPr>
          <w:rFonts w:ascii="Aptos" w:eastAsia="Times New Roman" w:hAnsi="Aptos" w:cs="Times New Roman"/>
          <w:sz w:val="24"/>
          <w:szCs w:val="24"/>
          <w:lang w:val="en-AU" w:eastAsia="zh-CN" w:bidi="th-TH"/>
        </w:rPr>
      </w:pPr>
      <w:r w:rsidRPr="0036087A">
        <w:rPr>
          <w:rFonts w:ascii="Aptos" w:eastAsia="Times New Roman" w:hAnsi="Aptos" w:cs="Times New Roman"/>
          <w:sz w:val="24"/>
          <w:szCs w:val="24"/>
          <w:lang w:val="en-AU" w:eastAsia="zh-CN" w:bidi="th-TH"/>
        </w:rPr>
        <w:t>Are pregnant</w:t>
      </w:r>
    </w:p>
    <w:p w14:paraId="3B177B56" w14:textId="0EF7D7B7" w:rsidR="0036087A" w:rsidRPr="008A7B26" w:rsidRDefault="0036087A" w:rsidP="00827412">
      <w:pPr>
        <w:widowControl/>
        <w:numPr>
          <w:ilvl w:val="0"/>
          <w:numId w:val="11"/>
        </w:numPr>
        <w:autoSpaceDE/>
        <w:autoSpaceDN/>
        <w:spacing w:before="120" w:after="120" w:line="276" w:lineRule="auto"/>
        <w:ind w:left="1077" w:hanging="357"/>
        <w:rPr>
          <w:rFonts w:ascii="Aptos" w:hAnsi="Aptos" w:cs="Arial"/>
          <w:sz w:val="24"/>
          <w:szCs w:val="24"/>
        </w:rPr>
      </w:pPr>
      <w:r w:rsidRPr="0036087A">
        <w:rPr>
          <w:rFonts w:ascii="Aptos" w:eastAsia="Times New Roman" w:hAnsi="Aptos" w:cs="Times New Roman"/>
          <w:sz w:val="24"/>
          <w:szCs w:val="24"/>
          <w:lang w:val="en-AU" w:eastAsia="zh-CN" w:bidi="th-TH"/>
        </w:rPr>
        <w:t>Have an actual body weight that is lower than their ideal body weight.</w:t>
      </w:r>
    </w:p>
    <w:p w14:paraId="7DB09C19" w14:textId="3D65B39B" w:rsidR="00F357C5" w:rsidRDefault="00ED2148" w:rsidP="00827412">
      <w:pPr>
        <w:spacing w:before="120" w:after="120" w:line="276" w:lineRule="auto"/>
        <w:rPr>
          <w:rFonts w:ascii="Aptos" w:hAnsi="Aptos" w:cs="Arial"/>
          <w:sz w:val="24"/>
          <w:szCs w:val="24"/>
        </w:rPr>
      </w:pPr>
      <w:r w:rsidRPr="53E29BDD">
        <w:rPr>
          <w:rFonts w:ascii="Aptos" w:hAnsi="Aptos" w:cs="Arial"/>
          <w:sz w:val="24"/>
          <w:szCs w:val="24"/>
        </w:rPr>
        <w:t xml:space="preserve">In these cases, </w:t>
      </w:r>
      <w:proofErr w:type="spellStart"/>
      <w:r w:rsidR="00400B6B" w:rsidRPr="53E29BDD">
        <w:rPr>
          <w:rFonts w:ascii="Aptos" w:hAnsi="Aptos" w:cs="Arial"/>
          <w:sz w:val="24"/>
          <w:szCs w:val="24"/>
        </w:rPr>
        <w:t>BloodSTAR</w:t>
      </w:r>
      <w:proofErr w:type="spellEnd"/>
      <w:r w:rsidR="00400B6B" w:rsidRPr="53E29BDD">
        <w:rPr>
          <w:rFonts w:ascii="Aptos" w:hAnsi="Aptos" w:cs="Arial"/>
          <w:sz w:val="24"/>
          <w:szCs w:val="24"/>
        </w:rPr>
        <w:t xml:space="preserve"> will not apply </w:t>
      </w:r>
      <w:r w:rsidR="00DA3293" w:rsidRPr="53E29BDD">
        <w:rPr>
          <w:rFonts w:ascii="Aptos" w:hAnsi="Aptos" w:cs="Arial"/>
          <w:sz w:val="24"/>
          <w:szCs w:val="24"/>
        </w:rPr>
        <w:t xml:space="preserve">adjusted body weight dosing </w:t>
      </w:r>
      <w:r w:rsidR="00400B6B" w:rsidRPr="53E29BDD">
        <w:rPr>
          <w:rFonts w:ascii="Aptos" w:hAnsi="Aptos" w:cs="Arial"/>
          <w:sz w:val="24"/>
          <w:szCs w:val="24"/>
        </w:rPr>
        <w:t>and</w:t>
      </w:r>
      <w:r w:rsidR="006A288D" w:rsidRPr="53E29BDD">
        <w:rPr>
          <w:rFonts w:ascii="Aptos" w:hAnsi="Aptos" w:cs="Arial"/>
          <w:sz w:val="24"/>
          <w:szCs w:val="24"/>
        </w:rPr>
        <w:t xml:space="preserve"> </w:t>
      </w:r>
      <w:r w:rsidRPr="53E29BDD">
        <w:rPr>
          <w:rFonts w:ascii="Aptos" w:hAnsi="Aptos" w:cs="Arial"/>
          <w:sz w:val="24"/>
          <w:szCs w:val="24"/>
        </w:rPr>
        <w:t xml:space="preserve">actual body </w:t>
      </w:r>
      <w:r w:rsidR="00400B6B" w:rsidRPr="53E29BDD">
        <w:rPr>
          <w:rFonts w:ascii="Aptos" w:hAnsi="Aptos" w:cs="Arial"/>
          <w:sz w:val="24"/>
          <w:szCs w:val="24"/>
        </w:rPr>
        <w:t xml:space="preserve">weight dosing </w:t>
      </w:r>
      <w:r w:rsidRPr="53E29BDD">
        <w:rPr>
          <w:rFonts w:ascii="Aptos" w:hAnsi="Aptos" w:cs="Arial"/>
          <w:sz w:val="24"/>
          <w:szCs w:val="24"/>
        </w:rPr>
        <w:t xml:space="preserve">will be applied. </w:t>
      </w:r>
      <w:r w:rsidR="00400B6B" w:rsidRPr="53E29BDD">
        <w:rPr>
          <w:rFonts w:ascii="Aptos" w:hAnsi="Aptos" w:cs="Arial"/>
          <w:sz w:val="24"/>
          <w:szCs w:val="24"/>
        </w:rPr>
        <w:t xml:space="preserve">Safeguards have been built into the </w:t>
      </w:r>
      <w:proofErr w:type="spellStart"/>
      <w:r w:rsidR="00400B6B" w:rsidRPr="53E29BDD">
        <w:rPr>
          <w:rFonts w:ascii="Aptos" w:hAnsi="Aptos" w:cs="Arial"/>
          <w:sz w:val="24"/>
          <w:szCs w:val="24"/>
        </w:rPr>
        <w:t>BloodSTAR</w:t>
      </w:r>
      <w:proofErr w:type="spellEnd"/>
      <w:r w:rsidR="00400B6B" w:rsidRPr="53E29BDD">
        <w:rPr>
          <w:rFonts w:ascii="Aptos" w:hAnsi="Aptos" w:cs="Arial"/>
          <w:sz w:val="24"/>
          <w:szCs w:val="24"/>
        </w:rPr>
        <w:t xml:space="preserve"> system to ensure patients in these groups are exempt. </w:t>
      </w:r>
      <w:r w:rsidRPr="53E29BDD">
        <w:rPr>
          <w:rFonts w:ascii="Aptos" w:hAnsi="Aptos" w:cs="Arial"/>
          <w:sz w:val="24"/>
          <w:szCs w:val="24"/>
        </w:rPr>
        <w:t xml:space="preserve">Prescribers can also elect to use actual body weight dosing if it is clinically justified for your patient. </w:t>
      </w:r>
    </w:p>
    <w:p w14:paraId="1D4112A7" w14:textId="66F6F1CF" w:rsidR="00F357C5" w:rsidRDefault="00F357C5" w:rsidP="00827412">
      <w:pPr>
        <w:pStyle w:val="Heading2"/>
        <w:spacing w:before="120" w:after="120" w:line="276" w:lineRule="auto"/>
        <w:rPr>
          <w:rFonts w:ascii="Aptos" w:eastAsia="Calibri" w:hAnsi="Aptos" w:cs="Arial"/>
          <w:color w:val="C00000"/>
          <w:sz w:val="28"/>
          <w:szCs w:val="28"/>
        </w:rPr>
      </w:pPr>
      <w:r w:rsidRPr="007736EE">
        <w:rPr>
          <w:rFonts w:ascii="Aptos" w:eastAsia="Calibri" w:hAnsi="Aptos" w:cs="Arial"/>
          <w:color w:val="C00000"/>
          <w:sz w:val="28"/>
          <w:szCs w:val="28"/>
        </w:rPr>
        <w:t xml:space="preserve">How </w:t>
      </w:r>
      <w:proofErr w:type="spellStart"/>
      <w:r w:rsidRPr="007736EE">
        <w:rPr>
          <w:rFonts w:ascii="Aptos" w:eastAsia="Calibri" w:hAnsi="Aptos" w:cs="Arial"/>
          <w:color w:val="C00000"/>
          <w:sz w:val="28"/>
          <w:szCs w:val="28"/>
        </w:rPr>
        <w:t>BloodSTAR</w:t>
      </w:r>
      <w:proofErr w:type="spellEnd"/>
      <w:r w:rsidRPr="007736EE">
        <w:rPr>
          <w:rFonts w:ascii="Aptos" w:eastAsia="Calibri" w:hAnsi="Aptos" w:cs="Arial"/>
          <w:color w:val="C00000"/>
          <w:sz w:val="28"/>
          <w:szCs w:val="28"/>
        </w:rPr>
        <w:t xml:space="preserve"> calculate</w:t>
      </w:r>
      <w:r w:rsidR="00AD641E">
        <w:rPr>
          <w:rFonts w:ascii="Aptos" w:eastAsia="Calibri" w:hAnsi="Aptos" w:cs="Arial"/>
          <w:color w:val="C00000"/>
          <w:sz w:val="28"/>
          <w:szCs w:val="28"/>
        </w:rPr>
        <w:t>s</w:t>
      </w:r>
      <w:r w:rsidRPr="007736EE">
        <w:rPr>
          <w:rFonts w:ascii="Aptos" w:eastAsia="Calibri" w:hAnsi="Aptos" w:cs="Arial"/>
          <w:color w:val="C00000"/>
          <w:sz w:val="28"/>
          <w:szCs w:val="28"/>
        </w:rPr>
        <w:t xml:space="preserve"> the dose</w:t>
      </w:r>
    </w:p>
    <w:p w14:paraId="61ED63F2" w14:textId="4F782C98" w:rsidR="001C0DF0" w:rsidRPr="0053485F" w:rsidRDefault="00873000" w:rsidP="00827412">
      <w:pPr>
        <w:spacing w:before="120" w:after="120" w:line="276" w:lineRule="auto"/>
        <w:rPr>
          <w:rFonts w:ascii="Aptos" w:eastAsiaTheme="minorEastAsia" w:hAnsi="Aptos"/>
          <w:sz w:val="24"/>
          <w:szCs w:val="24"/>
        </w:rPr>
      </w:pPr>
      <w:r>
        <w:rPr>
          <w:rFonts w:ascii="Aptos" w:hAnsi="Aptos" w:cs="Arial"/>
          <w:sz w:val="24"/>
          <w:szCs w:val="24"/>
        </w:rPr>
        <w:t xml:space="preserve">The calculator in </w:t>
      </w:r>
      <w:proofErr w:type="spellStart"/>
      <w:r w:rsidR="001C0DF0" w:rsidRPr="0053485F">
        <w:rPr>
          <w:rFonts w:ascii="Aptos" w:hAnsi="Aptos" w:cs="Arial"/>
          <w:sz w:val="24"/>
          <w:szCs w:val="24"/>
        </w:rPr>
        <w:t>BloodSTAR</w:t>
      </w:r>
      <w:proofErr w:type="spellEnd"/>
      <w:r>
        <w:rPr>
          <w:rFonts w:ascii="Aptos" w:hAnsi="Aptos" w:cs="Arial"/>
          <w:sz w:val="24"/>
          <w:szCs w:val="24"/>
        </w:rPr>
        <w:t xml:space="preserve"> </w:t>
      </w:r>
      <w:r w:rsidR="001C0DF0" w:rsidRPr="0053485F">
        <w:rPr>
          <w:rFonts w:ascii="Aptos" w:hAnsi="Aptos" w:cs="Arial"/>
          <w:sz w:val="24"/>
          <w:szCs w:val="24"/>
        </w:rPr>
        <w:t xml:space="preserve">uses a </w:t>
      </w:r>
      <w:r w:rsidR="007F774A">
        <w:rPr>
          <w:rFonts w:ascii="Aptos" w:hAnsi="Aptos" w:cs="Arial"/>
          <w:sz w:val="24"/>
          <w:szCs w:val="24"/>
        </w:rPr>
        <w:t>three</w:t>
      </w:r>
      <w:r w:rsidR="001C0DF0" w:rsidRPr="0053485F">
        <w:rPr>
          <w:rFonts w:ascii="Aptos" w:hAnsi="Aptos" w:cs="Arial"/>
          <w:sz w:val="24"/>
          <w:szCs w:val="24"/>
        </w:rPr>
        <w:noBreakHyphen/>
        <w:t>step calculation:</w:t>
      </w:r>
    </w:p>
    <w:p w14:paraId="6B201BB8" w14:textId="4880AA2C" w:rsidR="001C0DF0" w:rsidRPr="0053485F" w:rsidRDefault="001C0DF0" w:rsidP="00827412">
      <w:pPr>
        <w:spacing w:before="120" w:after="120" w:line="276" w:lineRule="auto"/>
        <w:rPr>
          <w:rFonts w:ascii="Aptos" w:hAnsi="Aptos"/>
          <w:sz w:val="24"/>
          <w:szCs w:val="24"/>
        </w:rPr>
      </w:pPr>
      <w:r w:rsidRPr="0053485F">
        <w:rPr>
          <w:rFonts w:ascii="Aptos" w:hAnsi="Aptos" w:cs="Arial"/>
          <w:b/>
          <w:bCs/>
          <w:sz w:val="24"/>
          <w:szCs w:val="24"/>
        </w:rPr>
        <w:t>Step 1 – Ideal body weight</w:t>
      </w:r>
      <w:r w:rsidR="00400B6B">
        <w:rPr>
          <w:rFonts w:ascii="Aptos" w:hAnsi="Aptos" w:cs="Arial"/>
          <w:b/>
          <w:bCs/>
          <w:sz w:val="24"/>
          <w:szCs w:val="24"/>
        </w:rPr>
        <w:t xml:space="preserve"> (IBW)</w:t>
      </w:r>
      <w:r w:rsidRPr="0053485F">
        <w:rPr>
          <w:rFonts w:ascii="Aptos" w:hAnsi="Aptos" w:cs="Arial"/>
          <w:b/>
          <w:bCs/>
          <w:sz w:val="24"/>
          <w:szCs w:val="24"/>
        </w:rPr>
        <w:t xml:space="preserve"> (Devine formula):</w:t>
      </w:r>
    </w:p>
    <w:p w14:paraId="49D455C2" w14:textId="77777777" w:rsidR="001C0DF0" w:rsidRPr="0053485F" w:rsidRDefault="001C0DF0" w:rsidP="00827412">
      <w:pPr>
        <w:widowControl/>
        <w:numPr>
          <w:ilvl w:val="0"/>
          <w:numId w:val="12"/>
        </w:numPr>
        <w:autoSpaceDE/>
        <w:autoSpaceDN/>
        <w:spacing w:before="120" w:after="120" w:line="276" w:lineRule="auto"/>
        <w:ind w:left="714" w:hanging="357"/>
        <w:rPr>
          <w:rFonts w:ascii="Aptos" w:hAnsi="Aptos"/>
          <w:sz w:val="24"/>
          <w:szCs w:val="24"/>
        </w:rPr>
      </w:pPr>
      <w:r w:rsidRPr="0053485F">
        <w:rPr>
          <w:rFonts w:ascii="Aptos" w:hAnsi="Aptos" w:cs="Arial"/>
          <w:sz w:val="24"/>
          <w:szCs w:val="24"/>
        </w:rPr>
        <w:t>Males: 50 + [2.3 × (height in inches − 60)]</w:t>
      </w:r>
    </w:p>
    <w:p w14:paraId="71EACD50" w14:textId="77777777" w:rsidR="001C0DF0" w:rsidRPr="0053485F" w:rsidRDefault="001C0DF0" w:rsidP="00827412">
      <w:pPr>
        <w:widowControl/>
        <w:numPr>
          <w:ilvl w:val="0"/>
          <w:numId w:val="12"/>
        </w:numPr>
        <w:autoSpaceDE/>
        <w:autoSpaceDN/>
        <w:spacing w:before="120" w:after="120" w:line="276" w:lineRule="auto"/>
        <w:ind w:left="714" w:hanging="357"/>
        <w:rPr>
          <w:rFonts w:ascii="Aptos" w:hAnsi="Aptos"/>
          <w:sz w:val="24"/>
          <w:szCs w:val="24"/>
        </w:rPr>
      </w:pPr>
      <w:r w:rsidRPr="0053485F">
        <w:rPr>
          <w:rFonts w:ascii="Aptos" w:hAnsi="Aptos" w:cs="Arial"/>
          <w:sz w:val="24"/>
          <w:szCs w:val="24"/>
        </w:rPr>
        <w:t>Females: 45.5 + [2.3 × (height in inches − 60)]</w:t>
      </w:r>
    </w:p>
    <w:p w14:paraId="57D36E19" w14:textId="18046835" w:rsidR="001C0DF0" w:rsidRPr="0053485F" w:rsidRDefault="001C0DF0" w:rsidP="00827412">
      <w:pPr>
        <w:spacing w:before="120" w:after="120" w:line="276" w:lineRule="auto"/>
        <w:rPr>
          <w:rFonts w:ascii="Aptos" w:eastAsiaTheme="minorEastAsia" w:hAnsi="Aptos"/>
          <w:sz w:val="24"/>
          <w:szCs w:val="24"/>
        </w:rPr>
      </w:pPr>
      <w:r w:rsidRPr="0053485F">
        <w:rPr>
          <w:rFonts w:ascii="Aptos" w:hAnsi="Aptos" w:cs="Arial"/>
          <w:i/>
          <w:iCs/>
          <w:sz w:val="24"/>
          <w:szCs w:val="24"/>
        </w:rPr>
        <w:t xml:space="preserve">(Height entered in </w:t>
      </w:r>
      <w:proofErr w:type="spellStart"/>
      <w:r w:rsidR="007F774A" w:rsidRPr="0053485F">
        <w:rPr>
          <w:rFonts w:ascii="Aptos" w:hAnsi="Aptos" w:cs="Arial"/>
          <w:i/>
          <w:iCs/>
          <w:sz w:val="24"/>
          <w:szCs w:val="24"/>
        </w:rPr>
        <w:t>centimet</w:t>
      </w:r>
      <w:r w:rsidR="007F774A">
        <w:rPr>
          <w:rFonts w:ascii="Aptos" w:hAnsi="Aptos" w:cs="Arial"/>
          <w:i/>
          <w:iCs/>
          <w:sz w:val="24"/>
          <w:szCs w:val="24"/>
        </w:rPr>
        <w:t>re</w:t>
      </w:r>
      <w:r w:rsidR="007F774A" w:rsidRPr="0053485F">
        <w:rPr>
          <w:rFonts w:ascii="Aptos" w:hAnsi="Aptos" w:cs="Arial"/>
          <w:i/>
          <w:iCs/>
          <w:sz w:val="24"/>
          <w:szCs w:val="24"/>
        </w:rPr>
        <w:t>s</w:t>
      </w:r>
      <w:proofErr w:type="spellEnd"/>
      <w:r w:rsidRPr="0053485F">
        <w:rPr>
          <w:rFonts w:ascii="Aptos" w:hAnsi="Aptos" w:cs="Arial"/>
          <w:i/>
          <w:iCs/>
          <w:sz w:val="24"/>
          <w:szCs w:val="24"/>
        </w:rPr>
        <w:t xml:space="preserve"> is automatically converted.)</w:t>
      </w:r>
    </w:p>
    <w:p w14:paraId="47A1FEEB" w14:textId="77777777" w:rsidR="007F774A" w:rsidRDefault="007F774A" w:rsidP="00827412">
      <w:pPr>
        <w:spacing w:before="120" w:after="120" w:line="276" w:lineRule="auto"/>
        <w:rPr>
          <w:rFonts w:ascii="Aptos" w:hAnsi="Aptos" w:cs="Arial"/>
          <w:b/>
          <w:bCs/>
          <w:sz w:val="24"/>
          <w:szCs w:val="24"/>
        </w:rPr>
      </w:pPr>
    </w:p>
    <w:p w14:paraId="65338E9F" w14:textId="581563C9" w:rsidR="001C0DF0" w:rsidRPr="0053485F" w:rsidRDefault="001C0DF0" w:rsidP="00827412">
      <w:pPr>
        <w:spacing w:before="120" w:after="120" w:line="276" w:lineRule="auto"/>
        <w:rPr>
          <w:rFonts w:ascii="Aptos" w:hAnsi="Aptos"/>
          <w:sz w:val="24"/>
          <w:szCs w:val="24"/>
        </w:rPr>
      </w:pPr>
      <w:r w:rsidRPr="0053485F">
        <w:rPr>
          <w:rFonts w:ascii="Aptos" w:hAnsi="Aptos" w:cs="Arial"/>
          <w:b/>
          <w:bCs/>
          <w:sz w:val="24"/>
          <w:szCs w:val="24"/>
        </w:rPr>
        <w:t>Step 2 – Dose</w:t>
      </w:r>
      <w:r w:rsidRPr="0053485F">
        <w:rPr>
          <w:rFonts w:ascii="Aptos" w:hAnsi="Aptos" w:cs="Arial"/>
          <w:b/>
          <w:bCs/>
          <w:sz w:val="24"/>
          <w:szCs w:val="24"/>
        </w:rPr>
        <w:noBreakHyphen/>
        <w:t>determining weight:</w:t>
      </w:r>
    </w:p>
    <w:p w14:paraId="05F345ED" w14:textId="77777777" w:rsidR="001C0DF0" w:rsidRPr="0053485F" w:rsidRDefault="001C0DF0" w:rsidP="00827412">
      <w:pPr>
        <w:spacing w:before="120" w:after="120" w:line="276" w:lineRule="auto"/>
        <w:rPr>
          <w:rFonts w:ascii="Aptos" w:hAnsi="Aptos" w:cs="Arial"/>
          <w:sz w:val="24"/>
          <w:szCs w:val="24"/>
        </w:rPr>
      </w:pPr>
      <w:r w:rsidRPr="0053485F">
        <w:rPr>
          <w:rFonts w:ascii="Aptos" w:hAnsi="Aptos" w:cs="Arial"/>
          <w:sz w:val="24"/>
          <w:szCs w:val="24"/>
        </w:rPr>
        <w:t>Dose</w:t>
      </w:r>
      <w:r w:rsidRPr="0053485F">
        <w:rPr>
          <w:rFonts w:ascii="Aptos" w:hAnsi="Aptos" w:cs="Arial"/>
          <w:sz w:val="24"/>
          <w:szCs w:val="24"/>
        </w:rPr>
        <w:noBreakHyphen/>
        <w:t>determining weight = IBW + 0.4 × (Actual body weight − IBW)</w:t>
      </w:r>
    </w:p>
    <w:p w14:paraId="60CE589B" w14:textId="77777777" w:rsidR="001C0DF0" w:rsidRPr="0053485F" w:rsidRDefault="001C0DF0" w:rsidP="00827412">
      <w:pPr>
        <w:spacing w:before="120" w:after="120" w:line="276" w:lineRule="auto"/>
        <w:rPr>
          <w:rFonts w:ascii="Aptos" w:hAnsi="Aptos" w:cs="Arial"/>
          <w:b/>
          <w:bCs/>
          <w:sz w:val="24"/>
          <w:szCs w:val="24"/>
        </w:rPr>
      </w:pPr>
      <w:r w:rsidRPr="0053485F">
        <w:rPr>
          <w:rFonts w:ascii="Aptos" w:hAnsi="Aptos" w:cs="Arial"/>
          <w:b/>
          <w:bCs/>
          <w:sz w:val="24"/>
          <w:szCs w:val="24"/>
        </w:rPr>
        <w:t>Step 3 – Adjusting the dose:</w:t>
      </w:r>
    </w:p>
    <w:p w14:paraId="7121283A" w14:textId="58CFCF9C" w:rsidR="00DF15E4" w:rsidRDefault="009E7375" w:rsidP="00827412">
      <w:pPr>
        <w:spacing w:before="120" w:after="120" w:line="276" w:lineRule="auto"/>
        <w:rPr>
          <w:rFonts w:ascii="Aptos" w:hAnsi="Aptos" w:cs="Arial"/>
          <w:sz w:val="24"/>
          <w:szCs w:val="24"/>
        </w:rPr>
      </w:pPr>
      <w:r w:rsidRPr="53E29BDD">
        <w:rPr>
          <w:rFonts w:ascii="Aptos" w:hAnsi="Aptos" w:cs="Arial"/>
          <w:sz w:val="24"/>
          <w:szCs w:val="24"/>
        </w:rPr>
        <w:t xml:space="preserve">The dose-determining weight is then applied to the requested dose per kilogram in </w:t>
      </w:r>
      <w:proofErr w:type="spellStart"/>
      <w:r w:rsidRPr="53E29BDD">
        <w:rPr>
          <w:rFonts w:ascii="Aptos" w:hAnsi="Aptos" w:cs="Arial"/>
          <w:sz w:val="24"/>
          <w:szCs w:val="24"/>
        </w:rPr>
        <w:t>BloodSTAR</w:t>
      </w:r>
      <w:proofErr w:type="spellEnd"/>
      <w:r w:rsidRPr="53E29BDD">
        <w:rPr>
          <w:rFonts w:ascii="Aptos" w:hAnsi="Aptos" w:cs="Arial"/>
          <w:sz w:val="24"/>
          <w:szCs w:val="24"/>
        </w:rPr>
        <w:t>.</w:t>
      </w:r>
    </w:p>
    <w:p w14:paraId="7BCD1C31" w14:textId="4C59C41B" w:rsidR="002C4F23" w:rsidRPr="00DF15E4" w:rsidRDefault="001476EE" w:rsidP="00827412">
      <w:pPr>
        <w:spacing w:before="120" w:after="120" w:line="276" w:lineRule="auto"/>
        <w:rPr>
          <w:rFonts w:ascii="Aptos" w:hAnsi="Aptos" w:cs="Arial"/>
          <w:sz w:val="24"/>
          <w:szCs w:val="24"/>
        </w:rPr>
      </w:pPr>
      <w:r w:rsidRPr="007736EE">
        <w:rPr>
          <w:rFonts w:ascii="Aptos" w:hAnsi="Aptos" w:cs="Arial"/>
          <w:color w:val="C00000"/>
          <w:sz w:val="28"/>
          <w:szCs w:val="28"/>
        </w:rPr>
        <w:t xml:space="preserve">What </w:t>
      </w:r>
      <w:r w:rsidR="003C4637">
        <w:rPr>
          <w:rFonts w:ascii="Aptos" w:hAnsi="Aptos" w:cs="Arial"/>
          <w:color w:val="C00000"/>
          <w:sz w:val="28"/>
          <w:szCs w:val="28"/>
        </w:rPr>
        <w:t>does this change look like</w:t>
      </w:r>
      <w:r w:rsidR="00B26240" w:rsidRPr="007736EE">
        <w:rPr>
          <w:rFonts w:ascii="Aptos" w:hAnsi="Aptos" w:cs="Arial"/>
          <w:color w:val="C00000"/>
          <w:sz w:val="28"/>
          <w:szCs w:val="28"/>
        </w:rPr>
        <w:t xml:space="preserve"> in </w:t>
      </w:r>
      <w:proofErr w:type="spellStart"/>
      <w:r w:rsidR="00B26240" w:rsidRPr="007736EE">
        <w:rPr>
          <w:rFonts w:ascii="Aptos" w:hAnsi="Aptos" w:cs="Arial"/>
          <w:color w:val="C00000"/>
          <w:sz w:val="28"/>
          <w:szCs w:val="28"/>
        </w:rPr>
        <w:t>BloodSTAR</w:t>
      </w:r>
      <w:proofErr w:type="spellEnd"/>
    </w:p>
    <w:p w14:paraId="4F21E050" w14:textId="691C10DE" w:rsidR="00302C3F" w:rsidRDefault="00C20D36" w:rsidP="00827412">
      <w:pPr>
        <w:spacing w:before="120" w:after="120" w:line="276" w:lineRule="auto"/>
        <w:rPr>
          <w:rFonts w:ascii="Aptos" w:hAnsi="Aptos" w:cs="Arial"/>
          <w:sz w:val="24"/>
          <w:szCs w:val="24"/>
        </w:rPr>
      </w:pPr>
      <w:r>
        <w:rPr>
          <w:rFonts w:ascii="Aptos" w:hAnsi="Aptos" w:cs="Arial"/>
          <w:sz w:val="24"/>
          <w:szCs w:val="24"/>
        </w:rPr>
        <w:t>T</w:t>
      </w:r>
      <w:r w:rsidR="0002758F" w:rsidRPr="0002758F">
        <w:rPr>
          <w:rFonts w:ascii="Aptos" w:hAnsi="Aptos" w:cs="Arial"/>
          <w:sz w:val="24"/>
          <w:szCs w:val="24"/>
        </w:rPr>
        <w:t xml:space="preserve">he process of prescribing Ig through </w:t>
      </w:r>
      <w:proofErr w:type="spellStart"/>
      <w:r w:rsidR="0002758F" w:rsidRPr="0002758F">
        <w:rPr>
          <w:rFonts w:ascii="Aptos" w:hAnsi="Aptos" w:cs="Arial"/>
          <w:sz w:val="24"/>
          <w:szCs w:val="24"/>
        </w:rPr>
        <w:t>BloodSTAR</w:t>
      </w:r>
      <w:proofErr w:type="spellEnd"/>
      <w:r w:rsidR="0002758F" w:rsidRPr="0002758F">
        <w:rPr>
          <w:rFonts w:ascii="Aptos" w:hAnsi="Aptos" w:cs="Arial"/>
          <w:sz w:val="24"/>
          <w:szCs w:val="24"/>
        </w:rPr>
        <w:t xml:space="preserve"> will be largely unchanged</w:t>
      </w:r>
      <w:r w:rsidR="0055021B">
        <w:rPr>
          <w:rFonts w:ascii="Aptos" w:hAnsi="Aptos" w:cs="Arial"/>
          <w:sz w:val="24"/>
          <w:szCs w:val="24"/>
        </w:rPr>
        <w:t xml:space="preserve">, </w:t>
      </w:r>
      <w:r>
        <w:rPr>
          <w:rFonts w:ascii="Aptos" w:hAnsi="Aptos" w:cs="Arial"/>
          <w:sz w:val="24"/>
          <w:szCs w:val="24"/>
        </w:rPr>
        <w:t xml:space="preserve">however </w:t>
      </w:r>
      <w:r w:rsidR="0055021B">
        <w:rPr>
          <w:rFonts w:ascii="Aptos" w:hAnsi="Aptos" w:cs="Arial"/>
          <w:sz w:val="24"/>
          <w:szCs w:val="24"/>
        </w:rPr>
        <w:t xml:space="preserve">the </w:t>
      </w:r>
      <w:r w:rsidR="00DA3293">
        <w:rPr>
          <w:rFonts w:ascii="Aptos" w:hAnsi="Aptos" w:cs="Arial"/>
          <w:sz w:val="24"/>
          <w:szCs w:val="24"/>
        </w:rPr>
        <w:t xml:space="preserve">adjusted body weight dosing </w:t>
      </w:r>
      <w:r w:rsidR="0055021B">
        <w:rPr>
          <w:rFonts w:ascii="Aptos" w:hAnsi="Aptos" w:cs="Arial"/>
          <w:sz w:val="24"/>
          <w:szCs w:val="24"/>
        </w:rPr>
        <w:t xml:space="preserve">calculator </w:t>
      </w:r>
      <w:r w:rsidR="004A22F8" w:rsidRPr="0053485F">
        <w:rPr>
          <w:rFonts w:ascii="Aptos" w:hAnsi="Aptos" w:cs="Arial"/>
          <w:sz w:val="24"/>
          <w:szCs w:val="24"/>
        </w:rPr>
        <w:t>will be</w:t>
      </w:r>
      <w:r w:rsidR="00190376">
        <w:rPr>
          <w:rFonts w:ascii="Aptos" w:hAnsi="Aptos" w:cs="Arial"/>
          <w:sz w:val="24"/>
          <w:szCs w:val="24"/>
        </w:rPr>
        <w:t xml:space="preserve"> selected by default</w:t>
      </w:r>
      <w:r w:rsidR="00912973">
        <w:rPr>
          <w:rFonts w:ascii="Aptos" w:hAnsi="Aptos" w:cs="Arial"/>
          <w:sz w:val="24"/>
          <w:szCs w:val="24"/>
        </w:rPr>
        <w:t>.</w:t>
      </w:r>
    </w:p>
    <w:p w14:paraId="7C0BDC69" w14:textId="16A5B4E9" w:rsidR="00F81942" w:rsidRDefault="000A40DB" w:rsidP="00827412">
      <w:pPr>
        <w:spacing w:before="120" w:after="120" w:line="276" w:lineRule="auto"/>
        <w:rPr>
          <w:rFonts w:ascii="Aptos" w:hAnsi="Aptos" w:cs="Arial"/>
          <w:sz w:val="24"/>
          <w:szCs w:val="24"/>
        </w:rPr>
      </w:pPr>
      <w:r>
        <w:rPr>
          <w:rFonts w:ascii="Aptos" w:hAnsi="Aptos" w:cs="Arial"/>
          <w:sz w:val="24"/>
          <w:szCs w:val="24"/>
        </w:rPr>
        <w:t>You will see the following changes:</w:t>
      </w:r>
    </w:p>
    <w:p w14:paraId="531BB381" w14:textId="74260F4D" w:rsidR="00F43C67" w:rsidRPr="00382617" w:rsidRDefault="003C4637" w:rsidP="00FC60BB">
      <w:pPr>
        <w:pStyle w:val="ListParagraph"/>
        <w:numPr>
          <w:ilvl w:val="0"/>
          <w:numId w:val="10"/>
        </w:numPr>
        <w:spacing w:before="120" w:after="120" w:line="276" w:lineRule="auto"/>
        <w:ind w:left="714" w:hanging="357"/>
        <w:rPr>
          <w:rFonts w:ascii="Aptos" w:hAnsi="Aptos" w:cs="Arial"/>
          <w:sz w:val="24"/>
          <w:szCs w:val="24"/>
        </w:rPr>
      </w:pPr>
      <w:r>
        <w:rPr>
          <w:rFonts w:ascii="Aptos" w:hAnsi="Aptos"/>
          <w:sz w:val="24"/>
          <w:szCs w:val="24"/>
        </w:rPr>
        <w:t>P</w:t>
      </w:r>
      <w:r w:rsidRPr="003C4637">
        <w:rPr>
          <w:rFonts w:ascii="Aptos" w:hAnsi="Aptos"/>
          <w:sz w:val="24"/>
          <w:szCs w:val="24"/>
        </w:rPr>
        <w:t xml:space="preserve">atient </w:t>
      </w:r>
      <w:r w:rsidRPr="003C4637">
        <w:rPr>
          <w:rFonts w:ascii="Aptos" w:hAnsi="Aptos" w:cs="Arial"/>
          <w:sz w:val="24"/>
          <w:szCs w:val="24"/>
        </w:rPr>
        <w:t>height</w:t>
      </w:r>
      <w:r w:rsidR="008E216E">
        <w:rPr>
          <w:rFonts w:ascii="Aptos" w:hAnsi="Aptos" w:cs="Arial"/>
          <w:sz w:val="24"/>
          <w:szCs w:val="24"/>
        </w:rPr>
        <w:t xml:space="preserve"> and weight</w:t>
      </w:r>
      <w:r w:rsidRPr="003C4637">
        <w:rPr>
          <w:rFonts w:ascii="Aptos" w:hAnsi="Aptos" w:cs="Arial"/>
          <w:sz w:val="24"/>
          <w:szCs w:val="24"/>
        </w:rPr>
        <w:t xml:space="preserve"> </w:t>
      </w:r>
      <w:r w:rsidR="003941EA">
        <w:rPr>
          <w:rFonts w:ascii="Aptos" w:hAnsi="Aptos" w:cs="Arial"/>
          <w:sz w:val="24"/>
          <w:szCs w:val="24"/>
        </w:rPr>
        <w:t>will</w:t>
      </w:r>
      <w:r w:rsidRPr="003C4637">
        <w:rPr>
          <w:rFonts w:ascii="Aptos" w:hAnsi="Aptos" w:cs="Arial"/>
          <w:sz w:val="24"/>
          <w:szCs w:val="24"/>
        </w:rPr>
        <w:t xml:space="preserve"> </w:t>
      </w:r>
      <w:r w:rsidR="008E216E">
        <w:rPr>
          <w:rFonts w:ascii="Aptos" w:hAnsi="Aptos" w:cs="Arial"/>
          <w:sz w:val="24"/>
          <w:szCs w:val="24"/>
        </w:rPr>
        <w:t xml:space="preserve">be </w:t>
      </w:r>
      <w:r w:rsidRPr="003C4637">
        <w:rPr>
          <w:rFonts w:ascii="Aptos" w:hAnsi="Aptos" w:cs="Arial"/>
          <w:sz w:val="24"/>
          <w:szCs w:val="24"/>
        </w:rPr>
        <w:t>mandatory field</w:t>
      </w:r>
      <w:r w:rsidR="0003474E">
        <w:rPr>
          <w:rFonts w:ascii="Aptos" w:hAnsi="Aptos" w:cs="Arial"/>
          <w:sz w:val="24"/>
          <w:szCs w:val="24"/>
        </w:rPr>
        <w:t>s</w:t>
      </w:r>
      <w:r w:rsidRPr="003C4637">
        <w:rPr>
          <w:rFonts w:ascii="Aptos" w:hAnsi="Aptos" w:cs="Arial"/>
          <w:sz w:val="24"/>
          <w:szCs w:val="24"/>
        </w:rPr>
        <w:t xml:space="preserve"> </w:t>
      </w:r>
    </w:p>
    <w:p w14:paraId="0FAB2172" w14:textId="1FA756F0" w:rsidR="00382617" w:rsidRDefault="00F43C67" w:rsidP="00FC60BB">
      <w:pPr>
        <w:pStyle w:val="ListParagraph"/>
        <w:numPr>
          <w:ilvl w:val="0"/>
          <w:numId w:val="10"/>
        </w:numPr>
        <w:spacing w:before="120" w:after="120" w:line="276" w:lineRule="auto"/>
        <w:ind w:left="714" w:hanging="357"/>
        <w:rPr>
          <w:rFonts w:ascii="Aptos" w:hAnsi="Aptos" w:cs="Arial"/>
          <w:sz w:val="24"/>
          <w:szCs w:val="24"/>
        </w:rPr>
      </w:pPr>
      <w:r w:rsidRPr="53E29BDD">
        <w:rPr>
          <w:rFonts w:ascii="Aptos" w:hAnsi="Aptos" w:cs="Arial"/>
          <w:sz w:val="24"/>
          <w:szCs w:val="24"/>
        </w:rPr>
        <w:t xml:space="preserve">The above </w:t>
      </w:r>
      <w:r w:rsidR="00382617" w:rsidRPr="53E29BDD">
        <w:rPr>
          <w:rFonts w:ascii="Aptos" w:hAnsi="Aptos" w:cs="Arial"/>
          <w:sz w:val="24"/>
          <w:szCs w:val="24"/>
        </w:rPr>
        <w:t>fields,</w:t>
      </w:r>
      <w:r w:rsidRPr="53E29BDD">
        <w:rPr>
          <w:rFonts w:ascii="Aptos" w:hAnsi="Aptos" w:cs="Arial"/>
          <w:sz w:val="24"/>
          <w:szCs w:val="24"/>
        </w:rPr>
        <w:t xml:space="preserve"> in addition to age and pregnancy status, will be used to determine if the patient is in an exclusion group. In these cases, the </w:t>
      </w:r>
      <w:proofErr w:type="spellStart"/>
      <w:r w:rsidRPr="53E29BDD">
        <w:rPr>
          <w:rFonts w:ascii="Aptos" w:hAnsi="Aptos" w:cs="Arial"/>
          <w:sz w:val="24"/>
          <w:szCs w:val="24"/>
        </w:rPr>
        <w:t>BloodSTAR</w:t>
      </w:r>
      <w:proofErr w:type="spellEnd"/>
      <w:r w:rsidRPr="53E29BDD">
        <w:rPr>
          <w:rFonts w:ascii="Aptos" w:hAnsi="Aptos" w:cs="Arial"/>
          <w:sz w:val="24"/>
          <w:szCs w:val="24"/>
        </w:rPr>
        <w:t xml:space="preserve"> system will not apply </w:t>
      </w:r>
      <w:r w:rsidR="00DA3293" w:rsidRPr="53E29BDD">
        <w:rPr>
          <w:rFonts w:ascii="Aptos" w:hAnsi="Aptos" w:cs="Arial"/>
          <w:sz w:val="24"/>
          <w:szCs w:val="24"/>
        </w:rPr>
        <w:t>adjusted body weight dosing</w:t>
      </w:r>
    </w:p>
    <w:p w14:paraId="34114337" w14:textId="2C5E161C" w:rsidR="003C4637" w:rsidRPr="003C4637" w:rsidRDefault="00382617" w:rsidP="00FC60BB">
      <w:pPr>
        <w:pStyle w:val="ListParagraph"/>
        <w:numPr>
          <w:ilvl w:val="0"/>
          <w:numId w:val="10"/>
        </w:numPr>
        <w:spacing w:before="120" w:after="120" w:line="276" w:lineRule="auto"/>
        <w:ind w:left="714" w:hanging="357"/>
        <w:rPr>
          <w:rFonts w:ascii="Aptos" w:hAnsi="Aptos" w:cs="Arial"/>
          <w:sz w:val="24"/>
          <w:szCs w:val="24"/>
        </w:rPr>
      </w:pPr>
      <w:r w:rsidRPr="53E29BDD">
        <w:rPr>
          <w:rFonts w:ascii="Aptos" w:hAnsi="Aptos" w:cs="Arial"/>
          <w:sz w:val="24"/>
          <w:szCs w:val="24"/>
        </w:rPr>
        <w:t xml:space="preserve">If there is a clinical reason not to </w:t>
      </w:r>
      <w:r w:rsidR="009C6976" w:rsidRPr="53E29BDD">
        <w:rPr>
          <w:rFonts w:ascii="Aptos" w:hAnsi="Aptos" w:cs="Arial"/>
          <w:sz w:val="24"/>
          <w:szCs w:val="24"/>
        </w:rPr>
        <w:t xml:space="preserve">use </w:t>
      </w:r>
      <w:r w:rsidR="00DA3293" w:rsidRPr="53E29BDD">
        <w:rPr>
          <w:rFonts w:ascii="Aptos" w:hAnsi="Aptos" w:cs="Arial"/>
          <w:sz w:val="24"/>
          <w:szCs w:val="24"/>
        </w:rPr>
        <w:t>adjusted body weight dosing</w:t>
      </w:r>
      <w:r w:rsidRPr="53E29BDD">
        <w:rPr>
          <w:rFonts w:ascii="Aptos" w:hAnsi="Aptos" w:cs="Arial"/>
          <w:sz w:val="24"/>
          <w:szCs w:val="24"/>
        </w:rPr>
        <w:t>, you will be able to select t</w:t>
      </w:r>
      <w:r w:rsidR="003C4637" w:rsidRPr="53E29BDD">
        <w:rPr>
          <w:rFonts w:ascii="Aptos" w:hAnsi="Aptos" w:cs="Arial"/>
          <w:sz w:val="24"/>
          <w:szCs w:val="24"/>
        </w:rPr>
        <w:t>he ‘</w:t>
      </w:r>
      <w:r w:rsidRPr="53E29BDD">
        <w:rPr>
          <w:rFonts w:ascii="Aptos" w:hAnsi="Aptos" w:cs="Arial"/>
          <w:sz w:val="24"/>
          <w:szCs w:val="24"/>
        </w:rPr>
        <w:t xml:space="preserve">Do not </w:t>
      </w:r>
      <w:r w:rsidR="00303D34" w:rsidRPr="53E29BDD">
        <w:rPr>
          <w:rFonts w:ascii="Aptos" w:hAnsi="Aptos" w:cs="Arial"/>
          <w:sz w:val="24"/>
          <w:szCs w:val="24"/>
        </w:rPr>
        <w:t>use</w:t>
      </w:r>
      <w:r w:rsidR="00394F17" w:rsidRPr="53E29BDD">
        <w:rPr>
          <w:rFonts w:ascii="Aptos" w:hAnsi="Aptos" w:cs="Arial"/>
          <w:sz w:val="24"/>
          <w:szCs w:val="24"/>
        </w:rPr>
        <w:t xml:space="preserve"> Ig adjusted body weight dosing</w:t>
      </w:r>
      <w:r w:rsidR="003C4637" w:rsidRPr="53E29BDD">
        <w:rPr>
          <w:rFonts w:ascii="Aptos" w:hAnsi="Aptos" w:cs="Arial"/>
          <w:sz w:val="24"/>
          <w:szCs w:val="24"/>
        </w:rPr>
        <w:t>’ box</w:t>
      </w:r>
      <w:r w:rsidRPr="53E29BDD">
        <w:rPr>
          <w:rFonts w:ascii="Aptos" w:hAnsi="Aptos" w:cs="Arial"/>
          <w:sz w:val="24"/>
          <w:szCs w:val="24"/>
        </w:rPr>
        <w:t xml:space="preserve">. You must provide </w:t>
      </w:r>
      <w:proofErr w:type="gramStart"/>
      <w:r w:rsidRPr="53E29BDD">
        <w:rPr>
          <w:rFonts w:ascii="Aptos" w:hAnsi="Aptos" w:cs="Arial"/>
          <w:sz w:val="24"/>
          <w:szCs w:val="24"/>
        </w:rPr>
        <w:t>a clinical</w:t>
      </w:r>
      <w:proofErr w:type="gramEnd"/>
      <w:r w:rsidRPr="53E29BDD">
        <w:rPr>
          <w:rFonts w:ascii="Aptos" w:hAnsi="Aptos" w:cs="Arial"/>
          <w:sz w:val="24"/>
          <w:szCs w:val="24"/>
        </w:rPr>
        <w:t xml:space="preserve"> justification </w:t>
      </w:r>
    </w:p>
    <w:p w14:paraId="2C00C2FD" w14:textId="349B7396" w:rsidR="003C4637" w:rsidRPr="00411EF0" w:rsidRDefault="00382617" w:rsidP="00FC60BB">
      <w:pPr>
        <w:pStyle w:val="ListParagraph"/>
        <w:numPr>
          <w:ilvl w:val="0"/>
          <w:numId w:val="10"/>
        </w:numPr>
        <w:spacing w:before="120" w:after="120" w:line="276" w:lineRule="auto"/>
        <w:ind w:left="714" w:hanging="357"/>
        <w:rPr>
          <w:rFonts w:ascii="Aptos" w:hAnsi="Aptos" w:cs="Arial"/>
          <w:sz w:val="24"/>
          <w:szCs w:val="24"/>
        </w:rPr>
      </w:pPr>
      <w:r>
        <w:rPr>
          <w:rFonts w:ascii="Aptos" w:hAnsi="Aptos" w:cs="Arial"/>
          <w:sz w:val="24"/>
          <w:szCs w:val="24"/>
        </w:rPr>
        <w:t xml:space="preserve">By </w:t>
      </w:r>
      <w:r w:rsidR="00411EF0">
        <w:rPr>
          <w:rFonts w:ascii="Aptos" w:hAnsi="Aptos" w:cs="Arial"/>
          <w:sz w:val="24"/>
          <w:szCs w:val="24"/>
        </w:rPr>
        <w:t>default</w:t>
      </w:r>
      <w:r>
        <w:rPr>
          <w:rFonts w:ascii="Aptos" w:hAnsi="Aptos" w:cs="Arial"/>
          <w:sz w:val="24"/>
          <w:szCs w:val="24"/>
        </w:rPr>
        <w:t>, t</w:t>
      </w:r>
      <w:r w:rsidR="003C4637" w:rsidRPr="003C4637">
        <w:rPr>
          <w:rFonts w:ascii="Aptos" w:hAnsi="Aptos" w:cs="Arial"/>
          <w:sz w:val="24"/>
          <w:szCs w:val="24"/>
        </w:rPr>
        <w:t xml:space="preserve">he ‘approved dose’ will be the calculated </w:t>
      </w:r>
      <w:r w:rsidR="00DA3293">
        <w:rPr>
          <w:rFonts w:ascii="Aptos" w:hAnsi="Aptos" w:cs="Arial"/>
          <w:sz w:val="24"/>
          <w:szCs w:val="24"/>
        </w:rPr>
        <w:t>adjusted body weight dosing</w:t>
      </w:r>
      <w:r w:rsidR="003C4637" w:rsidRPr="003C4637">
        <w:rPr>
          <w:rFonts w:ascii="Aptos" w:hAnsi="Aptos" w:cs="Arial"/>
          <w:sz w:val="24"/>
          <w:szCs w:val="24"/>
        </w:rPr>
        <w:t xml:space="preserve"> </w:t>
      </w:r>
      <w:r w:rsidR="004B5287">
        <w:rPr>
          <w:rFonts w:ascii="Aptos" w:hAnsi="Aptos" w:cs="Arial"/>
          <w:sz w:val="24"/>
          <w:szCs w:val="24"/>
        </w:rPr>
        <w:t>(with the exceptions listed above)</w:t>
      </w:r>
      <w:r w:rsidR="003C4637" w:rsidRPr="003C4637">
        <w:rPr>
          <w:rFonts w:ascii="Aptos" w:hAnsi="Aptos" w:cs="Arial"/>
          <w:sz w:val="24"/>
          <w:szCs w:val="24"/>
        </w:rPr>
        <w:t xml:space="preserve">. </w:t>
      </w:r>
      <w:r w:rsidR="003C4637" w:rsidRPr="00A610AD">
        <w:rPr>
          <w:rFonts w:ascii="Aptos" w:hAnsi="Aptos" w:cs="Arial"/>
          <w:b/>
          <w:bCs/>
          <w:i/>
          <w:iCs/>
          <w:sz w:val="24"/>
          <w:szCs w:val="24"/>
        </w:rPr>
        <w:t xml:space="preserve">This is true even when requesting continuing </w:t>
      </w:r>
      <w:proofErr w:type="spellStart"/>
      <w:r w:rsidR="003C4637" w:rsidRPr="00A610AD">
        <w:rPr>
          <w:rFonts w:ascii="Aptos" w:hAnsi="Aptos" w:cs="Arial"/>
          <w:b/>
          <w:bCs/>
          <w:i/>
          <w:iCs/>
          <w:sz w:val="24"/>
          <w:szCs w:val="24"/>
        </w:rPr>
        <w:t>authorisation</w:t>
      </w:r>
      <w:proofErr w:type="spellEnd"/>
      <w:r w:rsidR="003C4637" w:rsidRPr="00A610AD">
        <w:rPr>
          <w:rFonts w:ascii="Aptos" w:hAnsi="Aptos" w:cs="Arial"/>
          <w:b/>
          <w:bCs/>
          <w:i/>
          <w:iCs/>
          <w:sz w:val="24"/>
          <w:szCs w:val="24"/>
        </w:rPr>
        <w:t xml:space="preserve"> for a patient previously approved for Ig. </w:t>
      </w:r>
    </w:p>
    <w:p w14:paraId="1D1EDCD0" w14:textId="7F787E47" w:rsidR="00783A23" w:rsidRPr="00783A23" w:rsidRDefault="00783A23" w:rsidP="00827412">
      <w:pPr>
        <w:pStyle w:val="Heading2"/>
        <w:spacing w:before="120" w:after="120" w:line="276" w:lineRule="auto"/>
        <w:rPr>
          <w:rFonts w:ascii="Aptos" w:eastAsia="Calibri" w:hAnsi="Aptos" w:cs="Arial"/>
          <w:color w:val="C00000"/>
          <w:sz w:val="28"/>
          <w:szCs w:val="28"/>
        </w:rPr>
      </w:pPr>
      <w:r>
        <w:rPr>
          <w:rFonts w:ascii="Aptos" w:eastAsia="Calibri" w:hAnsi="Aptos" w:cs="Arial"/>
          <w:color w:val="C00000"/>
          <w:sz w:val="28"/>
          <w:szCs w:val="28"/>
        </w:rPr>
        <w:t>Why this change is being introduced</w:t>
      </w:r>
    </w:p>
    <w:p w14:paraId="388FE45B" w14:textId="45271046" w:rsidR="00257758" w:rsidRPr="00257758" w:rsidRDefault="00257758" w:rsidP="00827412">
      <w:pPr>
        <w:pStyle w:val="BodyText"/>
        <w:spacing w:before="120" w:after="120" w:line="276" w:lineRule="auto"/>
        <w:rPr>
          <w:rFonts w:ascii="Aptos" w:hAnsi="Aptos" w:cs="Arial"/>
          <w:sz w:val="24"/>
          <w:szCs w:val="24"/>
        </w:rPr>
      </w:pPr>
      <w:r w:rsidRPr="00257758">
        <w:rPr>
          <w:rFonts w:ascii="Aptos" w:hAnsi="Aptos" w:cs="Arial"/>
          <w:sz w:val="24"/>
          <w:szCs w:val="24"/>
        </w:rPr>
        <w:t>These changes will bring Australian practice</w:t>
      </w:r>
      <w:r w:rsidR="00D82781">
        <w:rPr>
          <w:rFonts w:ascii="Aptos" w:hAnsi="Aptos" w:cs="Arial"/>
          <w:sz w:val="24"/>
          <w:szCs w:val="24"/>
        </w:rPr>
        <w:t xml:space="preserve"> in line w</w:t>
      </w:r>
      <w:r w:rsidR="00510F0E">
        <w:rPr>
          <w:rFonts w:ascii="Aptos" w:hAnsi="Aptos" w:cs="Arial"/>
          <w:sz w:val="24"/>
          <w:szCs w:val="24"/>
        </w:rPr>
        <w:t>ith standard</w:t>
      </w:r>
      <w:r w:rsidR="006014AA">
        <w:rPr>
          <w:rFonts w:ascii="Aptos" w:hAnsi="Aptos" w:cs="Arial"/>
          <w:sz w:val="24"/>
          <w:szCs w:val="24"/>
        </w:rPr>
        <w:t xml:space="preserve"> dosing </w:t>
      </w:r>
      <w:r w:rsidR="000C1AD0">
        <w:rPr>
          <w:rFonts w:ascii="Aptos" w:hAnsi="Aptos" w:cs="Arial"/>
          <w:sz w:val="24"/>
          <w:szCs w:val="24"/>
        </w:rPr>
        <w:t>approaches used internationally</w:t>
      </w:r>
      <w:r w:rsidRPr="00257758">
        <w:rPr>
          <w:rFonts w:ascii="Aptos" w:hAnsi="Aptos" w:cs="Arial"/>
          <w:sz w:val="24"/>
          <w:szCs w:val="24"/>
        </w:rPr>
        <w:t xml:space="preserve"> including New Zealand, Canada, and the United Kingdom. The change is supported by the National Immunoglobulin Governance Advisory Committee (NIGAC) and the Jurisdictional Blood Committee (JBC) and forms part of our ongoing commitment to promoting the safe and efficient use of blood products. </w:t>
      </w:r>
    </w:p>
    <w:p w14:paraId="23032573" w14:textId="4E232860" w:rsidR="00CD16F7" w:rsidRPr="00257758" w:rsidRDefault="001A2ADB" w:rsidP="00827412">
      <w:pPr>
        <w:pStyle w:val="BodyText"/>
        <w:spacing w:before="120" w:after="120" w:line="276" w:lineRule="auto"/>
        <w:rPr>
          <w:rFonts w:ascii="Aptos" w:hAnsi="Aptos" w:cs="Arial"/>
          <w:sz w:val="24"/>
          <w:szCs w:val="24"/>
        </w:rPr>
      </w:pPr>
      <w:r>
        <w:rPr>
          <w:rFonts w:ascii="Aptos" w:hAnsi="Aptos" w:cs="Arial"/>
          <w:sz w:val="24"/>
          <w:szCs w:val="24"/>
        </w:rPr>
        <w:t xml:space="preserve">Use of </w:t>
      </w:r>
      <w:r w:rsidR="00DA3293">
        <w:rPr>
          <w:rFonts w:ascii="Aptos" w:hAnsi="Aptos" w:cs="Arial"/>
          <w:sz w:val="24"/>
          <w:szCs w:val="24"/>
        </w:rPr>
        <w:t xml:space="preserve">adjusted body weight dosing </w:t>
      </w:r>
      <w:r w:rsidR="00257758" w:rsidRPr="00257758">
        <w:rPr>
          <w:rFonts w:ascii="Aptos" w:hAnsi="Aptos" w:cs="Arial"/>
          <w:sz w:val="24"/>
          <w:szCs w:val="24"/>
        </w:rPr>
        <w:t xml:space="preserve">better reflects </w:t>
      </w:r>
      <w:r w:rsidR="008A7B26">
        <w:rPr>
          <w:rFonts w:ascii="Aptos" w:hAnsi="Aptos" w:cs="Arial"/>
          <w:sz w:val="24"/>
          <w:szCs w:val="24"/>
        </w:rPr>
        <w:t xml:space="preserve">Ig </w:t>
      </w:r>
      <w:r w:rsidR="00257758" w:rsidRPr="00257758">
        <w:rPr>
          <w:rFonts w:ascii="Aptos" w:hAnsi="Aptos" w:cs="Arial"/>
          <w:sz w:val="24"/>
          <w:szCs w:val="24"/>
        </w:rPr>
        <w:t>pharmacokinetics, supports use of the lowest effective dose to achieve clinical benefit and may reduce the risk of dose</w:t>
      </w:r>
      <w:r w:rsidR="00C20D36">
        <w:rPr>
          <w:rFonts w:ascii="Aptos" w:hAnsi="Aptos" w:cs="Arial"/>
          <w:sz w:val="24"/>
          <w:szCs w:val="24"/>
        </w:rPr>
        <w:t>-</w:t>
      </w:r>
      <w:r w:rsidR="00257758" w:rsidRPr="00257758">
        <w:rPr>
          <w:rFonts w:ascii="Aptos" w:hAnsi="Aptos" w:cs="Arial"/>
          <w:sz w:val="24"/>
          <w:szCs w:val="24"/>
        </w:rPr>
        <w:t>related adverse effects.</w:t>
      </w:r>
      <w:r w:rsidR="00B9364B">
        <w:rPr>
          <w:rFonts w:ascii="Aptos" w:hAnsi="Aptos" w:cs="Arial"/>
          <w:sz w:val="24"/>
          <w:szCs w:val="24"/>
        </w:rPr>
        <w:t xml:space="preserve"> </w:t>
      </w:r>
      <w:r w:rsidR="00DF15E4">
        <w:rPr>
          <w:rFonts w:ascii="Aptos" w:hAnsi="Aptos" w:cs="Arial"/>
          <w:sz w:val="24"/>
          <w:szCs w:val="24"/>
        </w:rPr>
        <w:t>The</w:t>
      </w:r>
      <w:r w:rsidR="00B9364B" w:rsidRPr="00257758">
        <w:rPr>
          <w:rFonts w:ascii="Aptos" w:hAnsi="Aptos" w:cs="Arial"/>
          <w:sz w:val="24"/>
          <w:szCs w:val="24"/>
        </w:rPr>
        <w:t xml:space="preserve"> </w:t>
      </w:r>
      <w:hyperlink r:id="rId8" w:history="1">
        <w:r w:rsidR="00DF15E4" w:rsidRPr="009645DF">
          <w:rPr>
            <w:rStyle w:val="Hyperlink"/>
            <w:rFonts w:ascii="Aptos" w:hAnsi="Aptos" w:cs="Arial"/>
            <w:b/>
            <w:bCs/>
            <w:sz w:val="24"/>
            <w:szCs w:val="24"/>
          </w:rPr>
          <w:t xml:space="preserve">Position Statement – Immunoglobulin </w:t>
        </w:r>
        <w:r w:rsidR="00DA3293" w:rsidRPr="009645DF">
          <w:rPr>
            <w:rStyle w:val="Hyperlink"/>
            <w:rFonts w:ascii="Aptos" w:hAnsi="Aptos" w:cs="Arial"/>
            <w:b/>
            <w:bCs/>
            <w:sz w:val="24"/>
            <w:szCs w:val="24"/>
          </w:rPr>
          <w:t>adjusted body weight dosing</w:t>
        </w:r>
      </w:hyperlink>
      <w:r w:rsidR="00DF15E4" w:rsidRPr="008B6188">
        <w:rPr>
          <w:rFonts w:ascii="Aptos" w:hAnsi="Aptos" w:cs="Arial"/>
          <w:sz w:val="24"/>
          <w:szCs w:val="24"/>
        </w:rPr>
        <w:t xml:space="preserve"> </w:t>
      </w:r>
      <w:proofErr w:type="spellStart"/>
      <w:r w:rsidR="00B9364B" w:rsidRPr="00257758">
        <w:rPr>
          <w:rFonts w:ascii="Aptos" w:hAnsi="Aptos" w:cs="Arial"/>
          <w:sz w:val="24"/>
          <w:szCs w:val="24"/>
        </w:rPr>
        <w:t>summarises</w:t>
      </w:r>
      <w:proofErr w:type="spellEnd"/>
      <w:r w:rsidR="00B9364B" w:rsidRPr="00257758">
        <w:rPr>
          <w:rFonts w:ascii="Aptos" w:hAnsi="Aptos" w:cs="Arial"/>
          <w:sz w:val="24"/>
          <w:szCs w:val="24"/>
        </w:rPr>
        <w:t xml:space="preserve"> the evidence for </w:t>
      </w:r>
      <w:r w:rsidR="00DA3293">
        <w:rPr>
          <w:rFonts w:ascii="Aptos" w:hAnsi="Aptos" w:cs="Arial"/>
          <w:sz w:val="24"/>
          <w:szCs w:val="24"/>
        </w:rPr>
        <w:t xml:space="preserve">adjusted body weight dosing </w:t>
      </w:r>
      <w:r w:rsidR="00B9364B" w:rsidRPr="00257758">
        <w:rPr>
          <w:rFonts w:ascii="Aptos" w:hAnsi="Aptos" w:cs="Arial"/>
          <w:sz w:val="24"/>
          <w:szCs w:val="24"/>
        </w:rPr>
        <w:t>and includes supporting references.</w:t>
      </w:r>
    </w:p>
    <w:p w14:paraId="698A2611" w14:textId="4D53CD98" w:rsidR="00E6677A" w:rsidRDefault="00EC0039" w:rsidP="00827412">
      <w:pPr>
        <w:pStyle w:val="BodyText"/>
        <w:spacing w:before="120" w:after="120" w:line="276" w:lineRule="auto"/>
        <w:rPr>
          <w:rFonts w:ascii="Aptos" w:hAnsi="Aptos" w:cs="Arial"/>
          <w:color w:val="C00000"/>
          <w:sz w:val="28"/>
          <w:szCs w:val="28"/>
        </w:rPr>
      </w:pPr>
      <w:r>
        <w:rPr>
          <w:rFonts w:ascii="Aptos" w:hAnsi="Aptos" w:cs="Arial"/>
          <w:color w:val="C00000"/>
          <w:sz w:val="28"/>
          <w:szCs w:val="28"/>
        </w:rPr>
        <w:t>What you need to know as a pres</w:t>
      </w:r>
      <w:r w:rsidR="00017707">
        <w:rPr>
          <w:rFonts w:ascii="Aptos" w:hAnsi="Aptos" w:cs="Arial"/>
          <w:color w:val="C00000"/>
          <w:sz w:val="28"/>
          <w:szCs w:val="28"/>
        </w:rPr>
        <w:t>c</w:t>
      </w:r>
      <w:r>
        <w:rPr>
          <w:rFonts w:ascii="Aptos" w:hAnsi="Aptos" w:cs="Arial"/>
          <w:color w:val="C00000"/>
          <w:sz w:val="28"/>
          <w:szCs w:val="28"/>
        </w:rPr>
        <w:t>riber</w:t>
      </w:r>
    </w:p>
    <w:p w14:paraId="26EEB607" w14:textId="6B832748" w:rsidR="001C4DD8" w:rsidRDefault="00BB79D0" w:rsidP="00FC60BB">
      <w:pPr>
        <w:widowControl/>
        <w:autoSpaceDE/>
        <w:autoSpaceDN/>
        <w:spacing w:before="120" w:after="120" w:line="276" w:lineRule="auto"/>
        <w:rPr>
          <w:rFonts w:ascii="Aptos" w:hAnsi="Aptos" w:cs="Arial"/>
          <w:sz w:val="24"/>
          <w:szCs w:val="24"/>
        </w:rPr>
      </w:pPr>
      <w:r w:rsidRPr="53E29BDD">
        <w:rPr>
          <w:rFonts w:ascii="Aptos" w:hAnsi="Aptos" w:cs="Arial"/>
          <w:sz w:val="24"/>
          <w:szCs w:val="24"/>
        </w:rPr>
        <w:t xml:space="preserve">While </w:t>
      </w:r>
      <w:r w:rsidR="00DA3293" w:rsidRPr="53E29BDD">
        <w:rPr>
          <w:rFonts w:ascii="Aptos" w:hAnsi="Aptos" w:cs="Arial"/>
          <w:sz w:val="24"/>
          <w:szCs w:val="24"/>
        </w:rPr>
        <w:t xml:space="preserve">adjusted body weight dosing </w:t>
      </w:r>
      <w:r w:rsidRPr="53E29BDD">
        <w:rPr>
          <w:rFonts w:ascii="Aptos" w:hAnsi="Aptos" w:cs="Arial"/>
          <w:sz w:val="24"/>
          <w:szCs w:val="24"/>
        </w:rPr>
        <w:t xml:space="preserve">becomes the default in </w:t>
      </w:r>
      <w:proofErr w:type="spellStart"/>
      <w:r w:rsidRPr="53E29BDD">
        <w:rPr>
          <w:rFonts w:ascii="Aptos" w:hAnsi="Aptos" w:cs="Arial"/>
          <w:sz w:val="24"/>
          <w:szCs w:val="24"/>
        </w:rPr>
        <w:t>BloodSTAR</w:t>
      </w:r>
      <w:proofErr w:type="spellEnd"/>
      <w:r w:rsidRPr="53E29BDD">
        <w:rPr>
          <w:rFonts w:ascii="Aptos" w:hAnsi="Aptos" w:cs="Arial"/>
          <w:sz w:val="24"/>
          <w:szCs w:val="24"/>
        </w:rPr>
        <w:t xml:space="preserve"> from</w:t>
      </w:r>
      <w:r w:rsidR="00037CED" w:rsidRPr="53E29BDD">
        <w:rPr>
          <w:rFonts w:ascii="Aptos" w:hAnsi="Aptos" w:cs="Arial"/>
          <w:sz w:val="24"/>
          <w:szCs w:val="24"/>
        </w:rPr>
        <w:t xml:space="preserve"> </w:t>
      </w:r>
      <w:r w:rsidRPr="53E29BDD">
        <w:rPr>
          <w:rFonts w:ascii="Aptos" w:hAnsi="Aptos" w:cs="Arial"/>
          <w:sz w:val="24"/>
          <w:szCs w:val="24"/>
        </w:rPr>
        <w:t>1</w:t>
      </w:r>
      <w:r w:rsidR="00037CED" w:rsidRPr="53E29BDD">
        <w:rPr>
          <w:rFonts w:ascii="Aptos" w:hAnsi="Aptos" w:cs="Arial"/>
          <w:sz w:val="24"/>
          <w:szCs w:val="24"/>
        </w:rPr>
        <w:t> </w:t>
      </w:r>
      <w:r w:rsidRPr="53E29BDD">
        <w:rPr>
          <w:rFonts w:ascii="Aptos" w:hAnsi="Aptos" w:cs="Arial"/>
          <w:sz w:val="24"/>
          <w:szCs w:val="24"/>
        </w:rPr>
        <w:t>July 2026, t</w:t>
      </w:r>
      <w:r w:rsidR="00EC0039" w:rsidRPr="53E29BDD">
        <w:rPr>
          <w:rFonts w:ascii="Aptos" w:hAnsi="Aptos" w:cs="Arial"/>
          <w:sz w:val="24"/>
          <w:szCs w:val="24"/>
        </w:rPr>
        <w:t xml:space="preserve">his change does not alter </w:t>
      </w:r>
      <w:r w:rsidR="00411EF0" w:rsidRPr="53E29BDD">
        <w:rPr>
          <w:rFonts w:ascii="Aptos" w:hAnsi="Aptos" w:cs="Arial"/>
          <w:sz w:val="24"/>
          <w:szCs w:val="24"/>
        </w:rPr>
        <w:t xml:space="preserve">the </w:t>
      </w:r>
      <w:r w:rsidR="00EC0039" w:rsidRPr="53E29BDD">
        <w:rPr>
          <w:rFonts w:ascii="Aptos" w:hAnsi="Aptos" w:cs="Arial"/>
          <w:sz w:val="24"/>
          <w:szCs w:val="24"/>
        </w:rPr>
        <w:t xml:space="preserve">approved clinical indications for Ig or the requirement to </w:t>
      </w:r>
      <w:r w:rsidR="00EC0039" w:rsidRPr="53E29BDD">
        <w:rPr>
          <w:rFonts w:ascii="Aptos" w:hAnsi="Aptos" w:cs="Arial"/>
          <w:sz w:val="24"/>
          <w:szCs w:val="24"/>
        </w:rPr>
        <w:lastRenderedPageBreak/>
        <w:t xml:space="preserve">meet the </w:t>
      </w:r>
      <w:r w:rsidR="00411EF0" w:rsidRPr="53E29BDD">
        <w:rPr>
          <w:rFonts w:ascii="Aptos" w:hAnsi="Aptos" w:cs="Arial"/>
          <w:i/>
          <w:iCs/>
          <w:sz w:val="24"/>
          <w:szCs w:val="24"/>
        </w:rPr>
        <w:t>Criteria for the clinical use of immunoglobulin in Australia</w:t>
      </w:r>
      <w:r w:rsidR="00411EF0" w:rsidRPr="53E29BDD">
        <w:rPr>
          <w:rFonts w:ascii="Aptos" w:hAnsi="Aptos" w:cs="Arial"/>
          <w:sz w:val="24"/>
          <w:szCs w:val="24"/>
        </w:rPr>
        <w:t xml:space="preserve"> (the Criteria). </w:t>
      </w:r>
      <w:r w:rsidR="00F752ED" w:rsidRPr="53E29BDD">
        <w:rPr>
          <w:rFonts w:ascii="Aptos" w:hAnsi="Aptos" w:cs="Arial"/>
          <w:sz w:val="24"/>
          <w:szCs w:val="24"/>
        </w:rPr>
        <w:t>C</w:t>
      </w:r>
      <w:r w:rsidR="006E6BE5" w:rsidRPr="53E29BDD">
        <w:rPr>
          <w:rFonts w:ascii="Aptos" w:hAnsi="Aptos" w:cs="Arial"/>
          <w:sz w:val="24"/>
          <w:szCs w:val="24"/>
        </w:rPr>
        <w:t>ontinue to apply clinical judgement, including dose adjustment</w:t>
      </w:r>
      <w:r w:rsidR="001806ED" w:rsidRPr="53E29BDD">
        <w:rPr>
          <w:rFonts w:ascii="Aptos" w:hAnsi="Aptos" w:cs="Arial"/>
          <w:sz w:val="24"/>
          <w:szCs w:val="24"/>
        </w:rPr>
        <w:t xml:space="preserve"> and/or trial of cessation,</w:t>
      </w:r>
      <w:r w:rsidR="006E6BE5" w:rsidRPr="53E29BDD">
        <w:rPr>
          <w:rFonts w:ascii="Aptos" w:hAnsi="Aptos" w:cs="Arial"/>
          <w:sz w:val="24"/>
          <w:szCs w:val="24"/>
        </w:rPr>
        <w:t xml:space="preserve"> over time based on </w:t>
      </w:r>
      <w:r w:rsidR="00411EF0" w:rsidRPr="53E29BDD">
        <w:rPr>
          <w:rFonts w:ascii="Aptos" w:hAnsi="Aptos" w:cs="Arial"/>
          <w:sz w:val="24"/>
          <w:szCs w:val="24"/>
        </w:rPr>
        <w:t xml:space="preserve">the clinical </w:t>
      </w:r>
      <w:r w:rsidR="006E6BE5" w:rsidRPr="53E29BDD">
        <w:rPr>
          <w:rFonts w:ascii="Aptos" w:hAnsi="Aptos" w:cs="Arial"/>
          <w:sz w:val="24"/>
          <w:szCs w:val="24"/>
        </w:rPr>
        <w:t>response and ongoing review, in line with the Criteria.</w:t>
      </w:r>
    </w:p>
    <w:p w14:paraId="6A22418D" w14:textId="66260C71" w:rsidR="002301F9" w:rsidRPr="00B459F4" w:rsidRDefault="001C4DD8" w:rsidP="00FC60BB">
      <w:pPr>
        <w:spacing w:before="120" w:after="120" w:line="276" w:lineRule="auto"/>
        <w:rPr>
          <w:rFonts w:ascii="Aptos" w:hAnsi="Aptos" w:cs="Arial"/>
          <w:sz w:val="24"/>
          <w:szCs w:val="24"/>
        </w:rPr>
      </w:pPr>
      <w:r>
        <w:rPr>
          <w:rFonts w:ascii="Aptos" w:hAnsi="Aptos" w:cs="Arial"/>
          <w:sz w:val="24"/>
          <w:szCs w:val="24"/>
        </w:rPr>
        <w:t>T</w:t>
      </w:r>
      <w:r w:rsidRPr="001C4DD8">
        <w:rPr>
          <w:rFonts w:ascii="Aptos" w:hAnsi="Aptos" w:cs="Arial"/>
          <w:sz w:val="24"/>
          <w:szCs w:val="24"/>
        </w:rPr>
        <w:t xml:space="preserve">he National Blood Authority will be conducting a review of these changes </w:t>
      </w:r>
      <w:r w:rsidR="00411EF0">
        <w:rPr>
          <w:rFonts w:ascii="Aptos" w:hAnsi="Aptos" w:cs="Arial"/>
          <w:sz w:val="24"/>
          <w:szCs w:val="24"/>
        </w:rPr>
        <w:t xml:space="preserve">within the first </w:t>
      </w:r>
      <w:r w:rsidRPr="001C4DD8">
        <w:rPr>
          <w:rFonts w:ascii="Aptos" w:hAnsi="Aptos" w:cs="Arial"/>
          <w:sz w:val="24"/>
          <w:szCs w:val="24"/>
        </w:rPr>
        <w:t>12 months to assess the</w:t>
      </w:r>
      <w:r w:rsidR="008A7B26">
        <w:rPr>
          <w:rFonts w:ascii="Aptos" w:hAnsi="Aptos" w:cs="Arial"/>
          <w:sz w:val="24"/>
          <w:szCs w:val="24"/>
        </w:rPr>
        <w:t>ir impact</w:t>
      </w:r>
      <w:r w:rsidR="00BE3B4F">
        <w:rPr>
          <w:rFonts w:ascii="Aptos" w:hAnsi="Aptos" w:cs="Arial"/>
          <w:sz w:val="24"/>
          <w:szCs w:val="24"/>
        </w:rPr>
        <w:t>.</w:t>
      </w:r>
      <w:r w:rsidR="00A53EAC">
        <w:rPr>
          <w:rFonts w:ascii="Aptos" w:hAnsi="Aptos" w:cs="Arial"/>
          <w:sz w:val="24"/>
          <w:szCs w:val="24"/>
        </w:rPr>
        <w:t xml:space="preserve"> </w:t>
      </w:r>
      <w:r w:rsidR="003941EA" w:rsidRPr="008B6188">
        <w:rPr>
          <w:rFonts w:ascii="Aptos" w:hAnsi="Aptos" w:cs="Arial"/>
          <w:sz w:val="24"/>
          <w:szCs w:val="24"/>
        </w:rPr>
        <w:t xml:space="preserve">For further information, refer to the </w:t>
      </w:r>
      <w:hyperlink r:id="rId9" w:history="1">
        <w:r w:rsidR="003941EA" w:rsidRPr="003941EA">
          <w:rPr>
            <w:rStyle w:val="Hyperlink"/>
            <w:rFonts w:ascii="Aptos" w:hAnsi="Aptos" w:cs="Arial"/>
            <w:sz w:val="24"/>
            <w:szCs w:val="24"/>
          </w:rPr>
          <w:t>Criteria for the clinical use of immunoglobulin in Australia</w:t>
        </w:r>
      </w:hyperlink>
      <w:r w:rsidR="003941EA" w:rsidRPr="003941EA">
        <w:rPr>
          <w:rFonts w:ascii="Aptos" w:hAnsi="Aptos" w:cs="Arial"/>
          <w:sz w:val="24"/>
          <w:szCs w:val="24"/>
        </w:rPr>
        <w:t>.</w:t>
      </w:r>
    </w:p>
    <w:sectPr w:rsidR="002301F9" w:rsidRPr="00B459F4" w:rsidSect="006F3C82">
      <w:headerReference w:type="even" r:id="rId10"/>
      <w:headerReference w:type="default" r:id="rId11"/>
      <w:footerReference w:type="default" r:id="rId12"/>
      <w:headerReference w:type="first" r:id="rId13"/>
      <w:pgSz w:w="11910" w:h="16840"/>
      <w:pgMar w:top="1440" w:right="1440" w:bottom="1440" w:left="1440" w:header="567"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4BAA" w14:textId="77777777" w:rsidR="00CA7D3B" w:rsidRDefault="00CA7D3B" w:rsidP="00BC01BF">
      <w:r>
        <w:separator/>
      </w:r>
    </w:p>
  </w:endnote>
  <w:endnote w:type="continuationSeparator" w:id="0">
    <w:p w14:paraId="1DB4F3CA" w14:textId="77777777" w:rsidR="00CA7D3B" w:rsidRDefault="00CA7D3B" w:rsidP="00BC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top w:val="single" w:sz="8" w:space="0" w:color="A8A8A8"/>
      </w:tblBorders>
      <w:tblLook w:val="04A0" w:firstRow="1" w:lastRow="0" w:firstColumn="1" w:lastColumn="0" w:noHBand="0" w:noVBand="1"/>
    </w:tblPr>
    <w:tblGrid>
      <w:gridCol w:w="7088"/>
      <w:gridCol w:w="2551"/>
    </w:tblGrid>
    <w:tr w:rsidR="006F3C82" w:rsidRPr="0042138D" w14:paraId="11D630A8" w14:textId="77777777" w:rsidTr="53E29BDD">
      <w:trPr>
        <w:trHeight w:val="205"/>
        <w:jc w:val="center"/>
      </w:trPr>
      <w:tc>
        <w:tcPr>
          <w:tcW w:w="7088" w:type="dxa"/>
        </w:tcPr>
        <w:p w14:paraId="0EF7A651" w14:textId="5B05A6EF" w:rsidR="006F3C82" w:rsidRPr="00902893" w:rsidRDefault="53E29BDD" w:rsidP="006F3C82">
          <w:pPr>
            <w:pStyle w:val="Footer"/>
            <w:spacing w:before="120" w:after="60"/>
            <w:rPr>
              <w:rFonts w:ascii="Aptos" w:hAnsi="Aptos" w:cs="Arial"/>
              <w:color w:val="404040" w:themeColor="text1" w:themeTint="BF"/>
              <w:sz w:val="18"/>
              <w:szCs w:val="18"/>
            </w:rPr>
          </w:pPr>
          <w:r w:rsidRPr="53E29BDD">
            <w:rPr>
              <w:rFonts w:ascii="Aptos" w:hAnsi="Aptos" w:cs="Arial"/>
              <w:color w:val="404040" w:themeColor="text1" w:themeTint="BF"/>
              <w:sz w:val="18"/>
              <w:szCs w:val="18"/>
            </w:rPr>
            <w:t>Prescriber factsheet - Immunoglobulin Adjusted Body Weight Dosing</w:t>
          </w:r>
          <w:r w:rsidR="00A53EAC">
            <w:br/>
          </w:r>
          <w:r w:rsidRPr="53E29BDD">
            <w:rPr>
              <w:rFonts w:ascii="Aptos" w:hAnsi="Aptos" w:cs="Arial"/>
              <w:color w:val="404040" w:themeColor="text1" w:themeTint="BF"/>
              <w:sz w:val="18"/>
              <w:szCs w:val="18"/>
            </w:rPr>
            <w:t>Document reference: D26/12374</w:t>
          </w:r>
        </w:p>
      </w:tc>
      <w:tc>
        <w:tcPr>
          <w:tcW w:w="2551" w:type="dxa"/>
        </w:tcPr>
        <w:sdt>
          <w:sdtPr>
            <w:rPr>
              <w:rFonts w:ascii="Aptos" w:hAnsi="Aptos"/>
              <w:color w:val="404040" w:themeColor="text1" w:themeTint="BF"/>
              <w:sz w:val="18"/>
              <w:szCs w:val="18"/>
            </w:rPr>
            <w:id w:val="-370913881"/>
            <w:docPartObj>
              <w:docPartGallery w:val="Page Numbers (Bottom of Page)"/>
              <w:docPartUnique/>
            </w:docPartObj>
          </w:sdtPr>
          <w:sdtEndPr/>
          <w:sdtContent>
            <w:sdt>
              <w:sdtPr>
                <w:rPr>
                  <w:rFonts w:ascii="Aptos" w:hAnsi="Aptos"/>
                  <w:color w:val="404040" w:themeColor="text1" w:themeTint="BF"/>
                  <w:sz w:val="18"/>
                  <w:szCs w:val="18"/>
                </w:rPr>
                <w:id w:val="1379896224"/>
                <w:docPartObj>
                  <w:docPartGallery w:val="Page Numbers (Top of Page)"/>
                  <w:docPartUnique/>
                </w:docPartObj>
              </w:sdtPr>
              <w:sdtEndPr/>
              <w:sdtContent>
                <w:p w14:paraId="4DB41D55" w14:textId="6313843A" w:rsidR="006F3C82" w:rsidRPr="00902893" w:rsidRDefault="006F3C82" w:rsidP="006F3C82">
                  <w:pPr>
                    <w:pStyle w:val="Footer"/>
                    <w:spacing w:before="120" w:after="60"/>
                    <w:jc w:val="right"/>
                    <w:rPr>
                      <w:rFonts w:ascii="Aptos" w:hAnsi="Aptos" w:cs="Arial"/>
                      <w:bCs/>
                      <w:color w:val="404040" w:themeColor="text1" w:themeTint="BF"/>
                      <w:sz w:val="18"/>
                      <w:szCs w:val="18"/>
                    </w:rPr>
                  </w:pPr>
                  <w:r w:rsidRPr="00902893">
                    <w:rPr>
                      <w:rFonts w:ascii="Aptos" w:hAnsi="Aptos" w:cs="Arial"/>
                      <w:color w:val="404040" w:themeColor="text1" w:themeTint="BF"/>
                      <w:sz w:val="18"/>
                      <w:szCs w:val="18"/>
                    </w:rPr>
                    <w:t xml:space="preserve">Page </w:t>
                  </w:r>
                  <w:r w:rsidRPr="00902893">
                    <w:rPr>
                      <w:rFonts w:ascii="Aptos" w:hAnsi="Aptos" w:cs="Arial"/>
                      <w:bCs/>
                      <w:color w:val="404040" w:themeColor="text1" w:themeTint="BF"/>
                      <w:sz w:val="18"/>
                      <w:szCs w:val="18"/>
                    </w:rPr>
                    <w:fldChar w:fldCharType="begin"/>
                  </w:r>
                  <w:r w:rsidRPr="00902893">
                    <w:rPr>
                      <w:rFonts w:ascii="Aptos" w:hAnsi="Aptos" w:cs="Arial"/>
                      <w:bCs/>
                      <w:color w:val="404040" w:themeColor="text1" w:themeTint="BF"/>
                      <w:sz w:val="18"/>
                      <w:szCs w:val="18"/>
                    </w:rPr>
                    <w:instrText xml:space="preserve"> PAGE </w:instrText>
                  </w:r>
                  <w:r w:rsidRPr="00902893">
                    <w:rPr>
                      <w:rFonts w:ascii="Aptos" w:hAnsi="Aptos" w:cs="Arial"/>
                      <w:bCs/>
                      <w:color w:val="404040" w:themeColor="text1" w:themeTint="BF"/>
                      <w:sz w:val="18"/>
                      <w:szCs w:val="18"/>
                    </w:rPr>
                    <w:fldChar w:fldCharType="separate"/>
                  </w:r>
                  <w:r w:rsidRPr="00902893">
                    <w:rPr>
                      <w:rFonts w:ascii="Aptos" w:hAnsi="Aptos" w:cs="Arial"/>
                      <w:bCs/>
                      <w:noProof/>
                      <w:color w:val="404040" w:themeColor="text1" w:themeTint="BF"/>
                      <w:sz w:val="18"/>
                      <w:szCs w:val="18"/>
                    </w:rPr>
                    <w:t>2</w:t>
                  </w:r>
                  <w:r w:rsidRPr="00902893">
                    <w:rPr>
                      <w:rFonts w:ascii="Aptos" w:hAnsi="Aptos" w:cs="Arial"/>
                      <w:bCs/>
                      <w:color w:val="404040" w:themeColor="text1" w:themeTint="BF"/>
                      <w:sz w:val="18"/>
                      <w:szCs w:val="18"/>
                    </w:rPr>
                    <w:fldChar w:fldCharType="end"/>
                  </w:r>
                  <w:r w:rsidRPr="00902893">
                    <w:rPr>
                      <w:rFonts w:ascii="Aptos" w:hAnsi="Aptos" w:cs="Arial"/>
                      <w:color w:val="404040" w:themeColor="text1" w:themeTint="BF"/>
                      <w:sz w:val="18"/>
                      <w:szCs w:val="18"/>
                    </w:rPr>
                    <w:t xml:space="preserve"> of </w:t>
                  </w:r>
                  <w:r w:rsidRPr="00902893">
                    <w:rPr>
                      <w:rFonts w:ascii="Aptos" w:hAnsi="Aptos" w:cs="Arial"/>
                      <w:bCs/>
                      <w:color w:val="404040" w:themeColor="text1" w:themeTint="BF"/>
                      <w:sz w:val="18"/>
                      <w:szCs w:val="18"/>
                    </w:rPr>
                    <w:fldChar w:fldCharType="begin"/>
                  </w:r>
                  <w:r w:rsidRPr="00902893">
                    <w:rPr>
                      <w:rFonts w:ascii="Aptos" w:hAnsi="Aptos" w:cs="Arial"/>
                      <w:bCs/>
                      <w:color w:val="404040" w:themeColor="text1" w:themeTint="BF"/>
                      <w:sz w:val="18"/>
                      <w:szCs w:val="18"/>
                    </w:rPr>
                    <w:instrText xml:space="preserve"> NUMPAGES  </w:instrText>
                  </w:r>
                  <w:r w:rsidRPr="00902893">
                    <w:rPr>
                      <w:rFonts w:ascii="Aptos" w:hAnsi="Aptos" w:cs="Arial"/>
                      <w:bCs/>
                      <w:color w:val="404040" w:themeColor="text1" w:themeTint="BF"/>
                      <w:sz w:val="18"/>
                      <w:szCs w:val="18"/>
                    </w:rPr>
                    <w:fldChar w:fldCharType="separate"/>
                  </w:r>
                  <w:r w:rsidRPr="00902893">
                    <w:rPr>
                      <w:rFonts w:ascii="Aptos" w:hAnsi="Aptos" w:cs="Arial"/>
                      <w:bCs/>
                      <w:noProof/>
                      <w:color w:val="404040" w:themeColor="text1" w:themeTint="BF"/>
                      <w:sz w:val="18"/>
                      <w:szCs w:val="18"/>
                    </w:rPr>
                    <w:t>141</w:t>
                  </w:r>
                  <w:r w:rsidRPr="00902893">
                    <w:rPr>
                      <w:rFonts w:ascii="Aptos" w:hAnsi="Aptos" w:cs="Arial"/>
                      <w:bCs/>
                      <w:color w:val="404040" w:themeColor="text1" w:themeTint="BF"/>
                      <w:sz w:val="18"/>
                      <w:szCs w:val="18"/>
                    </w:rPr>
                    <w:fldChar w:fldCharType="end"/>
                  </w:r>
                  <w:r>
                    <w:rPr>
                      <w:rFonts w:ascii="Aptos" w:hAnsi="Aptos" w:cs="Arial"/>
                      <w:bCs/>
                      <w:color w:val="404040" w:themeColor="text1" w:themeTint="BF"/>
                      <w:sz w:val="18"/>
                      <w:szCs w:val="18"/>
                    </w:rPr>
                    <w:br/>
                  </w:r>
                  <w:r w:rsidR="00A53EAC" w:rsidRPr="00013C70">
                    <w:rPr>
                      <w:rFonts w:ascii="Aptos" w:hAnsi="Aptos"/>
                      <w:color w:val="404040" w:themeColor="text1" w:themeTint="BF"/>
                      <w:sz w:val="18"/>
                      <w:szCs w:val="18"/>
                    </w:rPr>
                    <w:t>May</w:t>
                  </w:r>
                  <w:r w:rsidRPr="00902893">
                    <w:rPr>
                      <w:rFonts w:ascii="Aptos" w:hAnsi="Aptos"/>
                      <w:color w:val="404040" w:themeColor="text1" w:themeTint="BF"/>
                      <w:sz w:val="18"/>
                      <w:szCs w:val="18"/>
                    </w:rPr>
                    <w:t xml:space="preserve"> 202</w:t>
                  </w:r>
                  <w:r w:rsidR="00A53EAC">
                    <w:rPr>
                      <w:rFonts w:ascii="Aptos" w:hAnsi="Aptos"/>
                      <w:color w:val="404040" w:themeColor="text1" w:themeTint="BF"/>
                      <w:sz w:val="18"/>
                      <w:szCs w:val="18"/>
                    </w:rPr>
                    <w:t>6</w:t>
                  </w:r>
                </w:p>
              </w:sdtContent>
            </w:sdt>
          </w:sdtContent>
        </w:sdt>
      </w:tc>
    </w:tr>
  </w:tbl>
  <w:p w14:paraId="23CA42EB" w14:textId="77777777" w:rsidR="00047436" w:rsidRPr="00DA2704" w:rsidRDefault="00047436" w:rsidP="006F3C8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5871" w14:textId="77777777" w:rsidR="00CA7D3B" w:rsidRDefault="00CA7D3B" w:rsidP="00BC01BF">
      <w:r>
        <w:separator/>
      </w:r>
    </w:p>
  </w:footnote>
  <w:footnote w:type="continuationSeparator" w:id="0">
    <w:p w14:paraId="6A03C6BB" w14:textId="77777777" w:rsidR="00CA7D3B" w:rsidRDefault="00CA7D3B" w:rsidP="00BC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810E" w14:textId="541D0128" w:rsidR="00547B6F" w:rsidRDefault="00547B6F">
    <w:pPr>
      <w:pStyle w:val="Header"/>
    </w:pPr>
    <w:r>
      <w:rPr>
        <w:noProof/>
      </w:rPr>
      <mc:AlternateContent>
        <mc:Choice Requires="wps">
          <w:drawing>
            <wp:anchor distT="0" distB="0" distL="0" distR="0" simplePos="0" relativeHeight="251659264" behindDoc="0" locked="0" layoutInCell="1" allowOverlap="1" wp14:anchorId="77C237FD" wp14:editId="27E2D9E5">
              <wp:simplePos x="635" y="635"/>
              <wp:positionH relativeFrom="column">
                <wp:align>center</wp:align>
              </wp:positionH>
              <wp:positionV relativeFrom="paragraph">
                <wp:posOffset>635</wp:posOffset>
              </wp:positionV>
              <wp:extent cx="443865" cy="443865"/>
              <wp:effectExtent l="0" t="0" r="635" b="44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69557F" w14:textId="2301D602" w:rsidR="00547B6F" w:rsidRPr="00547B6F" w:rsidRDefault="00547B6F">
                          <w:pPr>
                            <w:rPr>
                              <w:color w:val="FF0000"/>
                              <w:sz w:val="24"/>
                              <w:szCs w:val="24"/>
                            </w:rPr>
                          </w:pPr>
                          <w:r w:rsidRPr="00547B6F">
                            <w:rPr>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5A2FD98E">
            <v:shapetype id="_x0000_t202" coordsize="21600,21600" o:spt="202" path="m,l,21600r21600,l21600,xe" w14:anchorId="77C237FD">
              <v:stroke joinstyle="miter"/>
              <v:path gradientshapeok="t" o:connecttype="rect"/>
            </v:shapetype>
            <v:shape id="Text Box 3"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547B6F" w:rsidR="00547B6F" w:rsidRDefault="00547B6F" w14:paraId="08CE8BEA" w14:textId="2301D602">
                    <w:pPr>
                      <w:rPr>
                        <w:color w:val="FF0000"/>
                        <w:sz w:val="24"/>
                        <w:szCs w:val="24"/>
                      </w:rPr>
                    </w:pPr>
                    <w:r w:rsidRPr="00547B6F">
                      <w:rPr>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ED75" w14:textId="4D46DDE4" w:rsidR="007F7329" w:rsidRDefault="00E96B6E" w:rsidP="00047436">
    <w:pPr>
      <w:pStyle w:val="Header"/>
      <w:tabs>
        <w:tab w:val="clear" w:pos="4513"/>
        <w:tab w:val="clear" w:pos="9026"/>
        <w:tab w:val="left" w:pos="5071"/>
      </w:tabs>
    </w:pPr>
    <w:r w:rsidRPr="005F74FD">
      <w:rPr>
        <w:noProof/>
      </w:rPr>
      <w:drawing>
        <wp:anchor distT="0" distB="0" distL="114300" distR="114300" simplePos="0" relativeHeight="251672576" behindDoc="0" locked="0" layoutInCell="1" allowOverlap="1" wp14:anchorId="787719F4" wp14:editId="4271F570">
          <wp:simplePos x="0" y="0"/>
          <wp:positionH relativeFrom="column">
            <wp:posOffset>-144073</wp:posOffset>
          </wp:positionH>
          <wp:positionV relativeFrom="paragraph">
            <wp:posOffset>-32493</wp:posOffset>
          </wp:positionV>
          <wp:extent cx="2219325" cy="414020"/>
          <wp:effectExtent l="0" t="0" r="9525" b="5080"/>
          <wp:wrapSquare wrapText="bothSides"/>
          <wp:docPr id="7"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9325" cy="414020"/>
                  </a:xfrm>
                  <a:prstGeom prst="rect">
                    <a:avLst/>
                  </a:prstGeom>
                </pic:spPr>
              </pic:pic>
            </a:graphicData>
          </a:graphic>
          <wp14:sizeRelH relativeFrom="page">
            <wp14:pctWidth>0</wp14:pctWidth>
          </wp14:sizeRelH>
          <wp14:sizeRelV relativeFrom="page">
            <wp14:pctHeight>0</wp14:pctHeight>
          </wp14:sizeRelV>
        </wp:anchor>
      </w:drawing>
    </w:r>
    <w:r w:rsidR="005B146A">
      <w:tab/>
    </w:r>
    <w:r w:rsidR="005B146A">
      <w:tab/>
    </w:r>
    <w:r w:rsidR="005B146A">
      <w:tab/>
    </w:r>
    <w:r w:rsidR="00047436">
      <w:tab/>
    </w:r>
  </w:p>
  <w:p w14:paraId="19F6980F" w14:textId="77777777" w:rsidR="005B146A" w:rsidRPr="005B146A" w:rsidRDefault="00E96B6E" w:rsidP="005B146A">
    <w:pPr>
      <w:pStyle w:val="BodyText"/>
      <w:snapToGrid w:val="0"/>
      <w:spacing w:after="100" w:afterAutospacing="1"/>
      <w:jc w:val="right"/>
      <w:rPr>
        <w:rFonts w:ascii="Aptos" w:hAnsi="Aptos" w:cstheme="minorHAnsi"/>
        <w:sz w:val="36"/>
        <w:lang w:val="en-AU"/>
      </w:rPr>
    </w:pPr>
    <w:r w:rsidRPr="005F74FD">
      <w:rPr>
        <w:noProof/>
      </w:rPr>
      <w:drawing>
        <wp:anchor distT="0" distB="0" distL="114300" distR="114300" simplePos="0" relativeHeight="251671552" behindDoc="0" locked="0" layoutInCell="1" allowOverlap="1" wp14:anchorId="66E94D1C" wp14:editId="368BCB19">
          <wp:simplePos x="0" y="0"/>
          <wp:positionH relativeFrom="margin">
            <wp:align>center</wp:align>
          </wp:positionH>
          <wp:positionV relativeFrom="paragraph">
            <wp:posOffset>389559</wp:posOffset>
          </wp:positionV>
          <wp:extent cx="6106160" cy="47625"/>
          <wp:effectExtent l="0" t="0" r="889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6106160" cy="47625"/>
                  </a:xfrm>
                  <a:prstGeom prst="rect">
                    <a:avLst/>
                  </a:prstGeom>
                  <a:noFill/>
                </pic:spPr>
              </pic:pic>
            </a:graphicData>
          </a:graphic>
          <wp14:sizeRelH relativeFrom="page">
            <wp14:pctWidth>0</wp14:pctWidth>
          </wp14:sizeRelH>
          <wp14:sizeRelV relativeFrom="page">
            <wp14:pctHeight>0</wp14:pctHeight>
          </wp14:sizeRelV>
        </wp:anchor>
      </w:drawing>
    </w:r>
    <w:r w:rsidR="005B146A">
      <w:tab/>
    </w:r>
    <w:r w:rsidR="005B146A" w:rsidRPr="005B146A">
      <w:rPr>
        <w:rFonts w:ascii="Aptos" w:hAnsi="Aptos"/>
        <w:sz w:val="32"/>
        <w:szCs w:val="32"/>
        <w:lang w:val="en-AU"/>
      </w:rPr>
      <w:t>Prescriber factsheet</w:t>
    </w:r>
  </w:p>
  <w:p w14:paraId="787DC1BA" w14:textId="2434412E" w:rsidR="00547B6F" w:rsidRDefault="00547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1AF6" w14:textId="2F3057A7" w:rsidR="00547B6F" w:rsidRDefault="00547B6F">
    <w:pPr>
      <w:pStyle w:val="Header"/>
    </w:pPr>
    <w:r>
      <w:rPr>
        <w:noProof/>
      </w:rPr>
      <mc:AlternateContent>
        <mc:Choice Requires="wps">
          <w:drawing>
            <wp:anchor distT="0" distB="0" distL="0" distR="0" simplePos="0" relativeHeight="251658240" behindDoc="0" locked="0" layoutInCell="1" allowOverlap="1" wp14:anchorId="6C9F6BEB" wp14:editId="16D9FF10">
              <wp:simplePos x="635" y="635"/>
              <wp:positionH relativeFrom="column">
                <wp:align>center</wp:align>
              </wp:positionH>
              <wp:positionV relativeFrom="paragraph">
                <wp:posOffset>635</wp:posOffset>
              </wp:positionV>
              <wp:extent cx="443865" cy="443865"/>
              <wp:effectExtent l="0" t="0" r="635" b="44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2CAB5" w14:textId="54574903" w:rsidR="00547B6F" w:rsidRPr="00547B6F" w:rsidRDefault="00547B6F">
                          <w:pPr>
                            <w:rPr>
                              <w:color w:val="FF0000"/>
                              <w:sz w:val="24"/>
                              <w:szCs w:val="24"/>
                            </w:rPr>
                          </w:pPr>
                          <w:r w:rsidRPr="00547B6F">
                            <w:rPr>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w:pict w14:anchorId="07376850">
            <v:shapetype id="_x0000_t202" coordsize="21600,21600" o:spt="202" path="m,l,21600r21600,l21600,xe" w14:anchorId="6C9F6BEB">
              <v:stroke joinstyle="miter"/>
              <v:path gradientshapeok="t" o:connecttype="rect"/>
            </v:shapetype>
            <v:shape id="Text Box 2"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547B6F" w:rsidR="00547B6F" w:rsidRDefault="00547B6F" w14:paraId="09E77742" w14:textId="54574903">
                    <w:pPr>
                      <w:rPr>
                        <w:color w:val="FF0000"/>
                        <w:sz w:val="24"/>
                        <w:szCs w:val="24"/>
                      </w:rPr>
                    </w:pPr>
                    <w:r w:rsidRPr="00547B6F">
                      <w:rPr>
                        <w:color w:val="FF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2226"/>
    <w:multiLevelType w:val="hybridMultilevel"/>
    <w:tmpl w:val="6284C7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4A59FA"/>
    <w:multiLevelType w:val="hybridMultilevel"/>
    <w:tmpl w:val="00F88636"/>
    <w:lvl w:ilvl="0" w:tplc="66F2D280">
      <w:start w:val="2"/>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2B0442"/>
    <w:multiLevelType w:val="hybridMultilevel"/>
    <w:tmpl w:val="F44EF9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B344E2C"/>
    <w:multiLevelType w:val="multilevel"/>
    <w:tmpl w:val="5296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854A4"/>
    <w:multiLevelType w:val="hybridMultilevel"/>
    <w:tmpl w:val="D21ABB90"/>
    <w:lvl w:ilvl="0" w:tplc="86B8C1E4">
      <w:start w:val="1"/>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841C93"/>
    <w:multiLevelType w:val="hybridMultilevel"/>
    <w:tmpl w:val="DF0C5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D401AF"/>
    <w:multiLevelType w:val="hybridMultilevel"/>
    <w:tmpl w:val="66E00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C12B0A"/>
    <w:multiLevelType w:val="hybridMultilevel"/>
    <w:tmpl w:val="F6188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CF43F1"/>
    <w:multiLevelType w:val="hybridMultilevel"/>
    <w:tmpl w:val="5858B11A"/>
    <w:lvl w:ilvl="0" w:tplc="0C09000F">
      <w:start w:val="1"/>
      <w:numFmt w:val="decimal"/>
      <w:lvlText w:val="%1."/>
      <w:lvlJc w:val="left"/>
      <w:pPr>
        <w:ind w:left="1198" w:hanging="360"/>
      </w:pPr>
    </w:lvl>
    <w:lvl w:ilvl="1" w:tplc="0C090019" w:tentative="1">
      <w:start w:val="1"/>
      <w:numFmt w:val="lowerLetter"/>
      <w:lvlText w:val="%2."/>
      <w:lvlJc w:val="left"/>
      <w:pPr>
        <w:ind w:left="1918" w:hanging="360"/>
      </w:pPr>
    </w:lvl>
    <w:lvl w:ilvl="2" w:tplc="0C09001B" w:tentative="1">
      <w:start w:val="1"/>
      <w:numFmt w:val="lowerRoman"/>
      <w:lvlText w:val="%3."/>
      <w:lvlJc w:val="right"/>
      <w:pPr>
        <w:ind w:left="2638" w:hanging="180"/>
      </w:pPr>
    </w:lvl>
    <w:lvl w:ilvl="3" w:tplc="0C09000F" w:tentative="1">
      <w:start w:val="1"/>
      <w:numFmt w:val="decimal"/>
      <w:lvlText w:val="%4."/>
      <w:lvlJc w:val="left"/>
      <w:pPr>
        <w:ind w:left="3358" w:hanging="360"/>
      </w:pPr>
    </w:lvl>
    <w:lvl w:ilvl="4" w:tplc="0C090019" w:tentative="1">
      <w:start w:val="1"/>
      <w:numFmt w:val="lowerLetter"/>
      <w:lvlText w:val="%5."/>
      <w:lvlJc w:val="left"/>
      <w:pPr>
        <w:ind w:left="4078" w:hanging="360"/>
      </w:pPr>
    </w:lvl>
    <w:lvl w:ilvl="5" w:tplc="0C09001B" w:tentative="1">
      <w:start w:val="1"/>
      <w:numFmt w:val="lowerRoman"/>
      <w:lvlText w:val="%6."/>
      <w:lvlJc w:val="right"/>
      <w:pPr>
        <w:ind w:left="4798" w:hanging="180"/>
      </w:pPr>
    </w:lvl>
    <w:lvl w:ilvl="6" w:tplc="0C09000F" w:tentative="1">
      <w:start w:val="1"/>
      <w:numFmt w:val="decimal"/>
      <w:lvlText w:val="%7."/>
      <w:lvlJc w:val="left"/>
      <w:pPr>
        <w:ind w:left="5518" w:hanging="360"/>
      </w:pPr>
    </w:lvl>
    <w:lvl w:ilvl="7" w:tplc="0C090019" w:tentative="1">
      <w:start w:val="1"/>
      <w:numFmt w:val="lowerLetter"/>
      <w:lvlText w:val="%8."/>
      <w:lvlJc w:val="left"/>
      <w:pPr>
        <w:ind w:left="6238" w:hanging="360"/>
      </w:pPr>
    </w:lvl>
    <w:lvl w:ilvl="8" w:tplc="0C09001B" w:tentative="1">
      <w:start w:val="1"/>
      <w:numFmt w:val="lowerRoman"/>
      <w:lvlText w:val="%9."/>
      <w:lvlJc w:val="right"/>
      <w:pPr>
        <w:ind w:left="6958" w:hanging="180"/>
      </w:pPr>
    </w:lvl>
  </w:abstractNum>
  <w:abstractNum w:abstractNumId="9" w15:restartNumberingAfterBreak="0">
    <w:nsid w:val="6A9367E9"/>
    <w:multiLevelType w:val="hybridMultilevel"/>
    <w:tmpl w:val="D47C23DA"/>
    <w:lvl w:ilvl="0" w:tplc="B9DE3282">
      <w:start w:val="1"/>
      <w:numFmt w:val="decimal"/>
      <w:lvlText w:val="%1."/>
      <w:lvlJc w:val="left"/>
      <w:pPr>
        <w:ind w:left="839" w:hanging="361"/>
      </w:pPr>
      <w:rPr>
        <w:rFonts w:ascii="Calibri" w:eastAsia="Calibri" w:hAnsi="Calibri" w:cs="Calibri" w:hint="default"/>
        <w:b/>
        <w:bCs/>
        <w:w w:val="100"/>
        <w:sz w:val="22"/>
        <w:szCs w:val="22"/>
      </w:rPr>
    </w:lvl>
    <w:lvl w:ilvl="1" w:tplc="FE8CCA58">
      <w:numFmt w:val="bullet"/>
      <w:lvlText w:val="•"/>
      <w:lvlJc w:val="left"/>
      <w:pPr>
        <w:ind w:left="1714" w:hanging="361"/>
      </w:pPr>
      <w:rPr>
        <w:rFonts w:hint="default"/>
      </w:rPr>
    </w:lvl>
    <w:lvl w:ilvl="2" w:tplc="07605526">
      <w:numFmt w:val="bullet"/>
      <w:lvlText w:val="•"/>
      <w:lvlJc w:val="left"/>
      <w:pPr>
        <w:ind w:left="2589" w:hanging="361"/>
      </w:pPr>
      <w:rPr>
        <w:rFonts w:hint="default"/>
      </w:rPr>
    </w:lvl>
    <w:lvl w:ilvl="3" w:tplc="2A1281E8">
      <w:numFmt w:val="bullet"/>
      <w:lvlText w:val="•"/>
      <w:lvlJc w:val="left"/>
      <w:pPr>
        <w:ind w:left="3463" w:hanging="361"/>
      </w:pPr>
      <w:rPr>
        <w:rFonts w:hint="default"/>
      </w:rPr>
    </w:lvl>
    <w:lvl w:ilvl="4" w:tplc="0CC6848A">
      <w:numFmt w:val="bullet"/>
      <w:lvlText w:val="•"/>
      <w:lvlJc w:val="left"/>
      <w:pPr>
        <w:ind w:left="4338" w:hanging="361"/>
      </w:pPr>
      <w:rPr>
        <w:rFonts w:hint="default"/>
      </w:rPr>
    </w:lvl>
    <w:lvl w:ilvl="5" w:tplc="04544B38">
      <w:numFmt w:val="bullet"/>
      <w:lvlText w:val="•"/>
      <w:lvlJc w:val="left"/>
      <w:pPr>
        <w:ind w:left="5213" w:hanging="361"/>
      </w:pPr>
      <w:rPr>
        <w:rFonts w:hint="default"/>
      </w:rPr>
    </w:lvl>
    <w:lvl w:ilvl="6" w:tplc="07FE0C12">
      <w:numFmt w:val="bullet"/>
      <w:lvlText w:val="•"/>
      <w:lvlJc w:val="left"/>
      <w:pPr>
        <w:ind w:left="6087" w:hanging="361"/>
      </w:pPr>
      <w:rPr>
        <w:rFonts w:hint="default"/>
      </w:rPr>
    </w:lvl>
    <w:lvl w:ilvl="7" w:tplc="637E6FFE">
      <w:numFmt w:val="bullet"/>
      <w:lvlText w:val="•"/>
      <w:lvlJc w:val="left"/>
      <w:pPr>
        <w:ind w:left="6962" w:hanging="361"/>
      </w:pPr>
      <w:rPr>
        <w:rFonts w:hint="default"/>
      </w:rPr>
    </w:lvl>
    <w:lvl w:ilvl="8" w:tplc="DA64EEB2">
      <w:numFmt w:val="bullet"/>
      <w:lvlText w:val="•"/>
      <w:lvlJc w:val="left"/>
      <w:pPr>
        <w:ind w:left="7837" w:hanging="361"/>
      </w:pPr>
      <w:rPr>
        <w:rFonts w:hint="default"/>
      </w:rPr>
    </w:lvl>
  </w:abstractNum>
  <w:abstractNum w:abstractNumId="10" w15:restartNumberingAfterBreak="0">
    <w:nsid w:val="6AB90083"/>
    <w:multiLevelType w:val="multilevel"/>
    <w:tmpl w:val="87C6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36956"/>
    <w:multiLevelType w:val="hybridMultilevel"/>
    <w:tmpl w:val="B562F05C"/>
    <w:lvl w:ilvl="0" w:tplc="C088BA9E">
      <w:numFmt w:val="bullet"/>
      <w:lvlText w:val=""/>
      <w:lvlJc w:val="left"/>
      <w:pPr>
        <w:ind w:left="840" w:hanging="361"/>
      </w:pPr>
      <w:rPr>
        <w:rFonts w:ascii="Symbol" w:eastAsia="Symbol" w:hAnsi="Symbol" w:cs="Symbol" w:hint="default"/>
        <w:w w:val="100"/>
        <w:sz w:val="22"/>
        <w:szCs w:val="22"/>
      </w:rPr>
    </w:lvl>
    <w:lvl w:ilvl="1" w:tplc="BD30723E">
      <w:numFmt w:val="bullet"/>
      <w:lvlText w:val="•"/>
      <w:lvlJc w:val="left"/>
      <w:pPr>
        <w:ind w:left="1714" w:hanging="361"/>
      </w:pPr>
      <w:rPr>
        <w:rFonts w:hint="default"/>
      </w:rPr>
    </w:lvl>
    <w:lvl w:ilvl="2" w:tplc="155A6EF8">
      <w:numFmt w:val="bullet"/>
      <w:lvlText w:val="•"/>
      <w:lvlJc w:val="left"/>
      <w:pPr>
        <w:ind w:left="2589" w:hanging="361"/>
      </w:pPr>
      <w:rPr>
        <w:rFonts w:hint="default"/>
      </w:rPr>
    </w:lvl>
    <w:lvl w:ilvl="3" w:tplc="AF0AB07C">
      <w:numFmt w:val="bullet"/>
      <w:lvlText w:val="•"/>
      <w:lvlJc w:val="left"/>
      <w:pPr>
        <w:ind w:left="3463" w:hanging="361"/>
      </w:pPr>
      <w:rPr>
        <w:rFonts w:hint="default"/>
      </w:rPr>
    </w:lvl>
    <w:lvl w:ilvl="4" w:tplc="38965AEC">
      <w:numFmt w:val="bullet"/>
      <w:lvlText w:val="•"/>
      <w:lvlJc w:val="left"/>
      <w:pPr>
        <w:ind w:left="4338" w:hanging="361"/>
      </w:pPr>
      <w:rPr>
        <w:rFonts w:hint="default"/>
      </w:rPr>
    </w:lvl>
    <w:lvl w:ilvl="5" w:tplc="A9F23144">
      <w:numFmt w:val="bullet"/>
      <w:lvlText w:val="•"/>
      <w:lvlJc w:val="left"/>
      <w:pPr>
        <w:ind w:left="5213" w:hanging="361"/>
      </w:pPr>
      <w:rPr>
        <w:rFonts w:hint="default"/>
      </w:rPr>
    </w:lvl>
    <w:lvl w:ilvl="6" w:tplc="6C14C350">
      <w:numFmt w:val="bullet"/>
      <w:lvlText w:val="•"/>
      <w:lvlJc w:val="left"/>
      <w:pPr>
        <w:ind w:left="6087" w:hanging="361"/>
      </w:pPr>
      <w:rPr>
        <w:rFonts w:hint="default"/>
      </w:rPr>
    </w:lvl>
    <w:lvl w:ilvl="7" w:tplc="5ABAF498">
      <w:numFmt w:val="bullet"/>
      <w:lvlText w:val="•"/>
      <w:lvlJc w:val="left"/>
      <w:pPr>
        <w:ind w:left="6962" w:hanging="361"/>
      </w:pPr>
      <w:rPr>
        <w:rFonts w:hint="default"/>
      </w:rPr>
    </w:lvl>
    <w:lvl w:ilvl="8" w:tplc="156EA1E8">
      <w:numFmt w:val="bullet"/>
      <w:lvlText w:val="•"/>
      <w:lvlJc w:val="left"/>
      <w:pPr>
        <w:ind w:left="7837" w:hanging="361"/>
      </w:pPr>
      <w:rPr>
        <w:rFonts w:hint="default"/>
      </w:rPr>
    </w:lvl>
  </w:abstractNum>
  <w:abstractNum w:abstractNumId="12" w15:restartNumberingAfterBreak="0">
    <w:nsid w:val="7D613C63"/>
    <w:multiLevelType w:val="hybridMultilevel"/>
    <w:tmpl w:val="66F2E3A6"/>
    <w:lvl w:ilvl="0" w:tplc="F3D61336">
      <w:start w:val="2"/>
      <w:numFmt w:val="decimal"/>
      <w:lvlText w:val="%1."/>
      <w:lvlJc w:val="left"/>
      <w:pPr>
        <w:ind w:left="720" w:hanging="360"/>
      </w:pPr>
      <w:rPr>
        <w:rFonts w:hint="default"/>
        <w:b/>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E100E8"/>
    <w:multiLevelType w:val="multilevel"/>
    <w:tmpl w:val="0220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428710">
    <w:abstractNumId w:val="11"/>
  </w:num>
  <w:num w:numId="2" w16cid:durableId="675619587">
    <w:abstractNumId w:val="9"/>
  </w:num>
  <w:num w:numId="3" w16cid:durableId="242882871">
    <w:abstractNumId w:val="8"/>
  </w:num>
  <w:num w:numId="4" w16cid:durableId="419182522">
    <w:abstractNumId w:val="0"/>
  </w:num>
  <w:num w:numId="5" w16cid:durableId="1553271200">
    <w:abstractNumId w:val="4"/>
  </w:num>
  <w:num w:numId="6" w16cid:durableId="1611084291">
    <w:abstractNumId w:val="6"/>
  </w:num>
  <w:num w:numId="7" w16cid:durableId="545261724">
    <w:abstractNumId w:val="12"/>
  </w:num>
  <w:num w:numId="8" w16cid:durableId="673260356">
    <w:abstractNumId w:val="1"/>
  </w:num>
  <w:num w:numId="9" w16cid:durableId="834800522">
    <w:abstractNumId w:val="7"/>
  </w:num>
  <w:num w:numId="10" w16cid:durableId="2075856193">
    <w:abstractNumId w:val="5"/>
  </w:num>
  <w:num w:numId="11" w16cid:durableId="573710128">
    <w:abstractNumId w:val="2"/>
  </w:num>
  <w:num w:numId="12" w16cid:durableId="226649122">
    <w:abstractNumId w:val="10"/>
  </w:num>
  <w:num w:numId="13" w16cid:durableId="957445290">
    <w:abstractNumId w:val="13"/>
  </w:num>
  <w:num w:numId="14" w16cid:durableId="1554121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09"/>
    <w:rsid w:val="00004599"/>
    <w:rsid w:val="00010720"/>
    <w:rsid w:val="00013C70"/>
    <w:rsid w:val="00017707"/>
    <w:rsid w:val="00024CEB"/>
    <w:rsid w:val="0002758F"/>
    <w:rsid w:val="000302E3"/>
    <w:rsid w:val="0003474E"/>
    <w:rsid w:val="00037CED"/>
    <w:rsid w:val="00047436"/>
    <w:rsid w:val="000504E8"/>
    <w:rsid w:val="0005195D"/>
    <w:rsid w:val="00055CF9"/>
    <w:rsid w:val="00062700"/>
    <w:rsid w:val="00095686"/>
    <w:rsid w:val="000A2F65"/>
    <w:rsid w:val="000A3884"/>
    <w:rsid w:val="000A40DB"/>
    <w:rsid w:val="000B18D0"/>
    <w:rsid w:val="000B53AF"/>
    <w:rsid w:val="000C0C09"/>
    <w:rsid w:val="000C1AD0"/>
    <w:rsid w:val="000C4E05"/>
    <w:rsid w:val="000C6A9F"/>
    <w:rsid w:val="000D1D8C"/>
    <w:rsid w:val="000D66DA"/>
    <w:rsid w:val="000E1C4F"/>
    <w:rsid w:val="000F0A76"/>
    <w:rsid w:val="000F1331"/>
    <w:rsid w:val="00106E14"/>
    <w:rsid w:val="00120B0E"/>
    <w:rsid w:val="00125A6B"/>
    <w:rsid w:val="00141B57"/>
    <w:rsid w:val="00145A24"/>
    <w:rsid w:val="001476EE"/>
    <w:rsid w:val="001512E3"/>
    <w:rsid w:val="001532F9"/>
    <w:rsid w:val="00176E45"/>
    <w:rsid w:val="0017748F"/>
    <w:rsid w:val="001806ED"/>
    <w:rsid w:val="00186ABC"/>
    <w:rsid w:val="00190376"/>
    <w:rsid w:val="001907A1"/>
    <w:rsid w:val="00195812"/>
    <w:rsid w:val="001A06A8"/>
    <w:rsid w:val="001A2ADB"/>
    <w:rsid w:val="001A73CE"/>
    <w:rsid w:val="001B60B5"/>
    <w:rsid w:val="001C0DF0"/>
    <w:rsid w:val="001C4DD8"/>
    <w:rsid w:val="001D6D65"/>
    <w:rsid w:val="001D7BA9"/>
    <w:rsid w:val="001E3E56"/>
    <w:rsid w:val="001E4D43"/>
    <w:rsid w:val="00210AAF"/>
    <w:rsid w:val="00220CD2"/>
    <w:rsid w:val="00222284"/>
    <w:rsid w:val="00223038"/>
    <w:rsid w:val="002301F9"/>
    <w:rsid w:val="0023529E"/>
    <w:rsid w:val="00236F0F"/>
    <w:rsid w:val="002548D3"/>
    <w:rsid w:val="00257758"/>
    <w:rsid w:val="00260530"/>
    <w:rsid w:val="002646B0"/>
    <w:rsid w:val="002738E9"/>
    <w:rsid w:val="00274414"/>
    <w:rsid w:val="0027712C"/>
    <w:rsid w:val="002A72C7"/>
    <w:rsid w:val="002B4AC8"/>
    <w:rsid w:val="002B4B9A"/>
    <w:rsid w:val="002C4F23"/>
    <w:rsid w:val="002D2086"/>
    <w:rsid w:val="002D6959"/>
    <w:rsid w:val="002E359C"/>
    <w:rsid w:val="002F5095"/>
    <w:rsid w:val="00302C3F"/>
    <w:rsid w:val="00303D34"/>
    <w:rsid w:val="00304B08"/>
    <w:rsid w:val="00306B37"/>
    <w:rsid w:val="00307B9E"/>
    <w:rsid w:val="00333444"/>
    <w:rsid w:val="00334874"/>
    <w:rsid w:val="00342250"/>
    <w:rsid w:val="00353DEB"/>
    <w:rsid w:val="00354331"/>
    <w:rsid w:val="0036087A"/>
    <w:rsid w:val="00373968"/>
    <w:rsid w:val="00374817"/>
    <w:rsid w:val="00375DE8"/>
    <w:rsid w:val="00377670"/>
    <w:rsid w:val="0038100E"/>
    <w:rsid w:val="00382617"/>
    <w:rsid w:val="003829A7"/>
    <w:rsid w:val="00385419"/>
    <w:rsid w:val="003941EA"/>
    <w:rsid w:val="00394F17"/>
    <w:rsid w:val="00395FBD"/>
    <w:rsid w:val="00397825"/>
    <w:rsid w:val="003A54B2"/>
    <w:rsid w:val="003A6E85"/>
    <w:rsid w:val="003A7A11"/>
    <w:rsid w:val="003C263A"/>
    <w:rsid w:val="003C2E70"/>
    <w:rsid w:val="003C4637"/>
    <w:rsid w:val="003D647F"/>
    <w:rsid w:val="003E3633"/>
    <w:rsid w:val="003E3A00"/>
    <w:rsid w:val="003F35D6"/>
    <w:rsid w:val="00400B6B"/>
    <w:rsid w:val="00411EF0"/>
    <w:rsid w:val="00412CEB"/>
    <w:rsid w:val="004166CC"/>
    <w:rsid w:val="0043021D"/>
    <w:rsid w:val="00435902"/>
    <w:rsid w:val="00457C48"/>
    <w:rsid w:val="004715D0"/>
    <w:rsid w:val="00473AAA"/>
    <w:rsid w:val="0048147C"/>
    <w:rsid w:val="00485FAF"/>
    <w:rsid w:val="0049222F"/>
    <w:rsid w:val="00496C02"/>
    <w:rsid w:val="004A22F8"/>
    <w:rsid w:val="004A3970"/>
    <w:rsid w:val="004A3D21"/>
    <w:rsid w:val="004B5287"/>
    <w:rsid w:val="004C1FFF"/>
    <w:rsid w:val="004C4400"/>
    <w:rsid w:val="004E2712"/>
    <w:rsid w:val="004E4191"/>
    <w:rsid w:val="004E6BDF"/>
    <w:rsid w:val="004F499E"/>
    <w:rsid w:val="00500ADB"/>
    <w:rsid w:val="0050516E"/>
    <w:rsid w:val="00510F0E"/>
    <w:rsid w:val="00511D67"/>
    <w:rsid w:val="005130FA"/>
    <w:rsid w:val="00521172"/>
    <w:rsid w:val="00530666"/>
    <w:rsid w:val="00534390"/>
    <w:rsid w:val="005352C2"/>
    <w:rsid w:val="005417F1"/>
    <w:rsid w:val="00547B6F"/>
    <w:rsid w:val="0055021B"/>
    <w:rsid w:val="00554464"/>
    <w:rsid w:val="005552D9"/>
    <w:rsid w:val="0056059B"/>
    <w:rsid w:val="00561E7A"/>
    <w:rsid w:val="005811D4"/>
    <w:rsid w:val="00581B35"/>
    <w:rsid w:val="005940AF"/>
    <w:rsid w:val="00596F18"/>
    <w:rsid w:val="005A50E7"/>
    <w:rsid w:val="005A57F1"/>
    <w:rsid w:val="005B146A"/>
    <w:rsid w:val="005B29E5"/>
    <w:rsid w:val="005B62AE"/>
    <w:rsid w:val="005D3530"/>
    <w:rsid w:val="005E02C6"/>
    <w:rsid w:val="005E7028"/>
    <w:rsid w:val="006014AA"/>
    <w:rsid w:val="0063276A"/>
    <w:rsid w:val="00635A9A"/>
    <w:rsid w:val="00647E1F"/>
    <w:rsid w:val="00664FA3"/>
    <w:rsid w:val="00675E0A"/>
    <w:rsid w:val="006823B4"/>
    <w:rsid w:val="006A288D"/>
    <w:rsid w:val="006A3592"/>
    <w:rsid w:val="006A4F1A"/>
    <w:rsid w:val="006A73E3"/>
    <w:rsid w:val="006B550C"/>
    <w:rsid w:val="006C5DFB"/>
    <w:rsid w:val="006C670F"/>
    <w:rsid w:val="006D278A"/>
    <w:rsid w:val="006D371B"/>
    <w:rsid w:val="006D54E2"/>
    <w:rsid w:val="006E59EC"/>
    <w:rsid w:val="006E6BE5"/>
    <w:rsid w:val="006F3C82"/>
    <w:rsid w:val="00713A9A"/>
    <w:rsid w:val="0071764C"/>
    <w:rsid w:val="007460C4"/>
    <w:rsid w:val="00750418"/>
    <w:rsid w:val="007508E2"/>
    <w:rsid w:val="00760600"/>
    <w:rsid w:val="007736EE"/>
    <w:rsid w:val="0078019D"/>
    <w:rsid w:val="00783A23"/>
    <w:rsid w:val="007852C8"/>
    <w:rsid w:val="0079319A"/>
    <w:rsid w:val="00793EF5"/>
    <w:rsid w:val="007A4ADF"/>
    <w:rsid w:val="007A4B79"/>
    <w:rsid w:val="007A7DEF"/>
    <w:rsid w:val="007B24E5"/>
    <w:rsid w:val="007B3D09"/>
    <w:rsid w:val="007C1E95"/>
    <w:rsid w:val="007C42D1"/>
    <w:rsid w:val="007D3823"/>
    <w:rsid w:val="007F1DA5"/>
    <w:rsid w:val="007F2950"/>
    <w:rsid w:val="007F3946"/>
    <w:rsid w:val="007F7329"/>
    <w:rsid w:val="007F774A"/>
    <w:rsid w:val="00802139"/>
    <w:rsid w:val="008127D2"/>
    <w:rsid w:val="00814CD7"/>
    <w:rsid w:val="00827412"/>
    <w:rsid w:val="00834307"/>
    <w:rsid w:val="0084093E"/>
    <w:rsid w:val="00843E29"/>
    <w:rsid w:val="00853DEE"/>
    <w:rsid w:val="008627DE"/>
    <w:rsid w:val="00866F34"/>
    <w:rsid w:val="00871FCE"/>
    <w:rsid w:val="008724FB"/>
    <w:rsid w:val="00873000"/>
    <w:rsid w:val="00873B7A"/>
    <w:rsid w:val="00875101"/>
    <w:rsid w:val="00875402"/>
    <w:rsid w:val="0087602B"/>
    <w:rsid w:val="00876748"/>
    <w:rsid w:val="00887C78"/>
    <w:rsid w:val="00893223"/>
    <w:rsid w:val="008A0242"/>
    <w:rsid w:val="008A3DDC"/>
    <w:rsid w:val="008A4232"/>
    <w:rsid w:val="008A7B26"/>
    <w:rsid w:val="008C52C2"/>
    <w:rsid w:val="008E216E"/>
    <w:rsid w:val="008E42C5"/>
    <w:rsid w:val="00902893"/>
    <w:rsid w:val="00903327"/>
    <w:rsid w:val="00903EF2"/>
    <w:rsid w:val="00911C4B"/>
    <w:rsid w:val="00912973"/>
    <w:rsid w:val="00917435"/>
    <w:rsid w:val="00926622"/>
    <w:rsid w:val="00930FF0"/>
    <w:rsid w:val="0093565A"/>
    <w:rsid w:val="00941AB5"/>
    <w:rsid w:val="009423D6"/>
    <w:rsid w:val="0094569F"/>
    <w:rsid w:val="0094706C"/>
    <w:rsid w:val="00952839"/>
    <w:rsid w:val="009645DF"/>
    <w:rsid w:val="00965519"/>
    <w:rsid w:val="009752F7"/>
    <w:rsid w:val="0098422A"/>
    <w:rsid w:val="009A1896"/>
    <w:rsid w:val="009A6B70"/>
    <w:rsid w:val="009A78EC"/>
    <w:rsid w:val="009B5399"/>
    <w:rsid w:val="009B7DD3"/>
    <w:rsid w:val="009C6976"/>
    <w:rsid w:val="009D2A75"/>
    <w:rsid w:val="009D672E"/>
    <w:rsid w:val="009D7584"/>
    <w:rsid w:val="009D7AA5"/>
    <w:rsid w:val="009E7375"/>
    <w:rsid w:val="009E7CAD"/>
    <w:rsid w:val="009F20A3"/>
    <w:rsid w:val="009F621C"/>
    <w:rsid w:val="009F6778"/>
    <w:rsid w:val="009F7939"/>
    <w:rsid w:val="00A02104"/>
    <w:rsid w:val="00A03B54"/>
    <w:rsid w:val="00A04ABB"/>
    <w:rsid w:val="00A15F97"/>
    <w:rsid w:val="00A208A9"/>
    <w:rsid w:val="00A21C26"/>
    <w:rsid w:val="00A22E7A"/>
    <w:rsid w:val="00A30C8B"/>
    <w:rsid w:val="00A34180"/>
    <w:rsid w:val="00A53EAC"/>
    <w:rsid w:val="00A567D7"/>
    <w:rsid w:val="00A6011A"/>
    <w:rsid w:val="00A6013C"/>
    <w:rsid w:val="00A610AD"/>
    <w:rsid w:val="00A75BD8"/>
    <w:rsid w:val="00A8295C"/>
    <w:rsid w:val="00A837D9"/>
    <w:rsid w:val="00A84895"/>
    <w:rsid w:val="00AB6EDB"/>
    <w:rsid w:val="00AD641E"/>
    <w:rsid w:val="00AE0089"/>
    <w:rsid w:val="00AF66F5"/>
    <w:rsid w:val="00AF7A0C"/>
    <w:rsid w:val="00B1149A"/>
    <w:rsid w:val="00B12D4D"/>
    <w:rsid w:val="00B13DE6"/>
    <w:rsid w:val="00B16397"/>
    <w:rsid w:val="00B21929"/>
    <w:rsid w:val="00B26240"/>
    <w:rsid w:val="00B33AE1"/>
    <w:rsid w:val="00B45718"/>
    <w:rsid w:val="00B459F4"/>
    <w:rsid w:val="00B5063D"/>
    <w:rsid w:val="00B52684"/>
    <w:rsid w:val="00B54F3E"/>
    <w:rsid w:val="00B57283"/>
    <w:rsid w:val="00B645EE"/>
    <w:rsid w:val="00B652F3"/>
    <w:rsid w:val="00B65B7D"/>
    <w:rsid w:val="00B70C8C"/>
    <w:rsid w:val="00B823FF"/>
    <w:rsid w:val="00B848B0"/>
    <w:rsid w:val="00B92BC2"/>
    <w:rsid w:val="00B9364B"/>
    <w:rsid w:val="00B93940"/>
    <w:rsid w:val="00BA106B"/>
    <w:rsid w:val="00BA348F"/>
    <w:rsid w:val="00BB2165"/>
    <w:rsid w:val="00BB79D0"/>
    <w:rsid w:val="00BC01BF"/>
    <w:rsid w:val="00BC7C3A"/>
    <w:rsid w:val="00BD11CC"/>
    <w:rsid w:val="00BD65A7"/>
    <w:rsid w:val="00BE3A12"/>
    <w:rsid w:val="00BE3B4F"/>
    <w:rsid w:val="00BE5A96"/>
    <w:rsid w:val="00BF002C"/>
    <w:rsid w:val="00BF1ABF"/>
    <w:rsid w:val="00BF20B9"/>
    <w:rsid w:val="00C07316"/>
    <w:rsid w:val="00C20D36"/>
    <w:rsid w:val="00C23073"/>
    <w:rsid w:val="00C31545"/>
    <w:rsid w:val="00C4015D"/>
    <w:rsid w:val="00C403C6"/>
    <w:rsid w:val="00C40E3F"/>
    <w:rsid w:val="00C450FA"/>
    <w:rsid w:val="00C47EFC"/>
    <w:rsid w:val="00C530A4"/>
    <w:rsid w:val="00C6399F"/>
    <w:rsid w:val="00C81132"/>
    <w:rsid w:val="00C833EB"/>
    <w:rsid w:val="00C97F74"/>
    <w:rsid w:val="00CA2960"/>
    <w:rsid w:val="00CA7D3B"/>
    <w:rsid w:val="00CB2FE3"/>
    <w:rsid w:val="00CB4A45"/>
    <w:rsid w:val="00CC138E"/>
    <w:rsid w:val="00CC60C2"/>
    <w:rsid w:val="00CD16F7"/>
    <w:rsid w:val="00CD2392"/>
    <w:rsid w:val="00CD5E9D"/>
    <w:rsid w:val="00CF6AA1"/>
    <w:rsid w:val="00CF6E20"/>
    <w:rsid w:val="00D04C79"/>
    <w:rsid w:val="00D14134"/>
    <w:rsid w:val="00D14DE9"/>
    <w:rsid w:val="00D20EE7"/>
    <w:rsid w:val="00D33403"/>
    <w:rsid w:val="00D40C46"/>
    <w:rsid w:val="00D42422"/>
    <w:rsid w:val="00D42AA1"/>
    <w:rsid w:val="00D4615C"/>
    <w:rsid w:val="00D47714"/>
    <w:rsid w:val="00D53AC2"/>
    <w:rsid w:val="00D623D5"/>
    <w:rsid w:val="00D71C83"/>
    <w:rsid w:val="00D777B0"/>
    <w:rsid w:val="00D808DA"/>
    <w:rsid w:val="00D81DD4"/>
    <w:rsid w:val="00D82781"/>
    <w:rsid w:val="00D92142"/>
    <w:rsid w:val="00D950BE"/>
    <w:rsid w:val="00DA2704"/>
    <w:rsid w:val="00DA3293"/>
    <w:rsid w:val="00DA65AA"/>
    <w:rsid w:val="00DB1737"/>
    <w:rsid w:val="00DB3CE8"/>
    <w:rsid w:val="00DB77BF"/>
    <w:rsid w:val="00DC7BBB"/>
    <w:rsid w:val="00DD486C"/>
    <w:rsid w:val="00DD707D"/>
    <w:rsid w:val="00DE0E27"/>
    <w:rsid w:val="00DE63EB"/>
    <w:rsid w:val="00DF15E4"/>
    <w:rsid w:val="00E02497"/>
    <w:rsid w:val="00E02E46"/>
    <w:rsid w:val="00E11FCF"/>
    <w:rsid w:val="00E2016B"/>
    <w:rsid w:val="00E23867"/>
    <w:rsid w:val="00E266A9"/>
    <w:rsid w:val="00E31345"/>
    <w:rsid w:val="00E35B6A"/>
    <w:rsid w:val="00E36195"/>
    <w:rsid w:val="00E40153"/>
    <w:rsid w:val="00E52FA2"/>
    <w:rsid w:val="00E57000"/>
    <w:rsid w:val="00E66644"/>
    <w:rsid w:val="00E6677A"/>
    <w:rsid w:val="00E713C8"/>
    <w:rsid w:val="00E75401"/>
    <w:rsid w:val="00E76608"/>
    <w:rsid w:val="00E96B6E"/>
    <w:rsid w:val="00EC0039"/>
    <w:rsid w:val="00EC0E5E"/>
    <w:rsid w:val="00EC3F35"/>
    <w:rsid w:val="00EC6295"/>
    <w:rsid w:val="00ED2148"/>
    <w:rsid w:val="00ED46F0"/>
    <w:rsid w:val="00ED4F3C"/>
    <w:rsid w:val="00EE2CF4"/>
    <w:rsid w:val="00EF2285"/>
    <w:rsid w:val="00EF4089"/>
    <w:rsid w:val="00EF5EB1"/>
    <w:rsid w:val="00F05AE6"/>
    <w:rsid w:val="00F165A5"/>
    <w:rsid w:val="00F22259"/>
    <w:rsid w:val="00F266B5"/>
    <w:rsid w:val="00F34629"/>
    <w:rsid w:val="00F357C5"/>
    <w:rsid w:val="00F36CD3"/>
    <w:rsid w:val="00F43C67"/>
    <w:rsid w:val="00F46AC0"/>
    <w:rsid w:val="00F57EEE"/>
    <w:rsid w:val="00F709D2"/>
    <w:rsid w:val="00F7337E"/>
    <w:rsid w:val="00F752ED"/>
    <w:rsid w:val="00F81942"/>
    <w:rsid w:val="00FA59C4"/>
    <w:rsid w:val="00FC0CEB"/>
    <w:rsid w:val="00FC60BB"/>
    <w:rsid w:val="00FD597D"/>
    <w:rsid w:val="00FD79EF"/>
    <w:rsid w:val="00FD7B12"/>
    <w:rsid w:val="00FD7C6A"/>
    <w:rsid w:val="00FE44E8"/>
    <w:rsid w:val="00FE5EB4"/>
    <w:rsid w:val="00FF1271"/>
    <w:rsid w:val="28958897"/>
    <w:rsid w:val="3184FB83"/>
    <w:rsid w:val="3230B788"/>
    <w:rsid w:val="4F86410D"/>
    <w:rsid w:val="53E29BDD"/>
    <w:rsid w:val="5BBFBA65"/>
    <w:rsid w:val="676516A2"/>
    <w:rsid w:val="6821734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C67B6"/>
  <w15:docId w15:val="{2DE40128-4488-4D97-B2AB-BB3632F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12CEB"/>
    <w:rPr>
      <w:rFonts w:ascii="Calibri" w:eastAsia="Calibri" w:hAnsi="Calibri" w:cs="Calibri"/>
    </w:rPr>
  </w:style>
  <w:style w:type="paragraph" w:styleId="Heading1">
    <w:name w:val="heading 1"/>
    <w:basedOn w:val="Normal"/>
    <w:uiPriority w:val="1"/>
    <w:qFormat/>
    <w:pPr>
      <w:ind w:left="839" w:hanging="361"/>
      <w:outlineLvl w:val="0"/>
    </w:pPr>
    <w:rPr>
      <w:b/>
      <w:bCs/>
    </w:rPr>
  </w:style>
  <w:style w:type="paragraph" w:styleId="Heading2">
    <w:name w:val="heading 2"/>
    <w:basedOn w:val="Normal"/>
    <w:next w:val="Normal"/>
    <w:link w:val="Heading2Char"/>
    <w:uiPriority w:val="9"/>
    <w:semiHidden/>
    <w:unhideWhenUsed/>
    <w:qFormat/>
    <w:rsid w:val="00F357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pPr>
      <w:spacing w:line="268" w:lineRule="exact"/>
      <w:ind w:left="107"/>
    </w:pPr>
  </w:style>
  <w:style w:type="character" w:styleId="CommentReference">
    <w:name w:val="annotation reference"/>
    <w:basedOn w:val="DefaultParagraphFont"/>
    <w:uiPriority w:val="99"/>
    <w:semiHidden/>
    <w:unhideWhenUsed/>
    <w:rsid w:val="00D40C46"/>
    <w:rPr>
      <w:sz w:val="16"/>
      <w:szCs w:val="16"/>
    </w:rPr>
  </w:style>
  <w:style w:type="paragraph" w:styleId="CommentText">
    <w:name w:val="annotation text"/>
    <w:basedOn w:val="Normal"/>
    <w:link w:val="CommentTextChar"/>
    <w:uiPriority w:val="99"/>
    <w:unhideWhenUsed/>
    <w:rsid w:val="00D40C46"/>
    <w:rPr>
      <w:sz w:val="20"/>
      <w:szCs w:val="20"/>
    </w:rPr>
  </w:style>
  <w:style w:type="character" w:customStyle="1" w:styleId="CommentTextChar">
    <w:name w:val="Comment Text Char"/>
    <w:basedOn w:val="DefaultParagraphFont"/>
    <w:link w:val="CommentText"/>
    <w:uiPriority w:val="99"/>
    <w:rsid w:val="00D40C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0C46"/>
    <w:rPr>
      <w:b/>
      <w:bCs/>
    </w:rPr>
  </w:style>
  <w:style w:type="character" w:customStyle="1" w:styleId="CommentSubjectChar">
    <w:name w:val="Comment Subject Char"/>
    <w:basedOn w:val="CommentTextChar"/>
    <w:link w:val="CommentSubject"/>
    <w:uiPriority w:val="99"/>
    <w:semiHidden/>
    <w:rsid w:val="00D40C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0C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C46"/>
    <w:rPr>
      <w:rFonts w:ascii="Segoe UI" w:eastAsia="Calibri" w:hAnsi="Segoe UI" w:cs="Segoe UI"/>
      <w:sz w:val="18"/>
      <w:szCs w:val="18"/>
    </w:rPr>
  </w:style>
  <w:style w:type="character" w:styleId="Hyperlink">
    <w:name w:val="Hyperlink"/>
    <w:basedOn w:val="DefaultParagraphFont"/>
    <w:uiPriority w:val="99"/>
    <w:unhideWhenUsed/>
    <w:rsid w:val="00C07316"/>
    <w:rPr>
      <w:color w:val="0000FF"/>
      <w:u w:val="single"/>
    </w:rPr>
  </w:style>
  <w:style w:type="paragraph" w:styleId="Revision">
    <w:name w:val="Revision"/>
    <w:hidden/>
    <w:uiPriority w:val="99"/>
    <w:semiHidden/>
    <w:rsid w:val="005B62AE"/>
    <w:pPr>
      <w:widowControl/>
      <w:autoSpaceDE/>
      <w:autoSpaceDN/>
    </w:pPr>
    <w:rPr>
      <w:rFonts w:ascii="Calibri" w:eastAsia="Calibri" w:hAnsi="Calibri" w:cs="Calibri"/>
    </w:rPr>
  </w:style>
  <w:style w:type="paragraph" w:styleId="Header">
    <w:name w:val="header"/>
    <w:basedOn w:val="Normal"/>
    <w:link w:val="HeaderChar"/>
    <w:uiPriority w:val="99"/>
    <w:unhideWhenUsed/>
    <w:rsid w:val="00BC01BF"/>
    <w:pPr>
      <w:tabs>
        <w:tab w:val="center" w:pos="4513"/>
        <w:tab w:val="right" w:pos="9026"/>
      </w:tabs>
    </w:pPr>
  </w:style>
  <w:style w:type="character" w:customStyle="1" w:styleId="HeaderChar">
    <w:name w:val="Header Char"/>
    <w:basedOn w:val="DefaultParagraphFont"/>
    <w:link w:val="Header"/>
    <w:uiPriority w:val="99"/>
    <w:rsid w:val="00BC01BF"/>
    <w:rPr>
      <w:rFonts w:ascii="Calibri" w:eastAsia="Calibri" w:hAnsi="Calibri" w:cs="Calibri"/>
    </w:rPr>
  </w:style>
  <w:style w:type="paragraph" w:styleId="Footer">
    <w:name w:val="footer"/>
    <w:basedOn w:val="Normal"/>
    <w:link w:val="FooterChar"/>
    <w:uiPriority w:val="99"/>
    <w:unhideWhenUsed/>
    <w:rsid w:val="00BC01BF"/>
    <w:pPr>
      <w:tabs>
        <w:tab w:val="center" w:pos="4513"/>
        <w:tab w:val="right" w:pos="9026"/>
      </w:tabs>
    </w:pPr>
  </w:style>
  <w:style w:type="character" w:customStyle="1" w:styleId="FooterChar">
    <w:name w:val="Footer Char"/>
    <w:basedOn w:val="DefaultParagraphFont"/>
    <w:link w:val="Footer"/>
    <w:uiPriority w:val="99"/>
    <w:rsid w:val="00BC01BF"/>
    <w:rPr>
      <w:rFonts w:ascii="Calibri" w:eastAsia="Calibri" w:hAnsi="Calibri" w:cs="Calibri"/>
    </w:rPr>
  </w:style>
  <w:style w:type="character" w:styleId="FollowedHyperlink">
    <w:name w:val="FollowedHyperlink"/>
    <w:basedOn w:val="DefaultParagraphFont"/>
    <w:uiPriority w:val="99"/>
    <w:semiHidden/>
    <w:unhideWhenUsed/>
    <w:rsid w:val="00B93940"/>
    <w:rPr>
      <w:color w:val="800080" w:themeColor="followedHyperlink"/>
      <w:u w:val="single"/>
    </w:rPr>
  </w:style>
  <w:style w:type="character" w:styleId="UnresolvedMention">
    <w:name w:val="Unresolved Mention"/>
    <w:basedOn w:val="DefaultParagraphFont"/>
    <w:uiPriority w:val="99"/>
    <w:semiHidden/>
    <w:unhideWhenUsed/>
    <w:rsid w:val="006A3592"/>
    <w:rPr>
      <w:color w:val="605E5C"/>
      <w:shd w:val="clear" w:color="auto" w:fill="E1DFDD"/>
    </w:rPr>
  </w:style>
  <w:style w:type="table" w:styleId="TableGrid">
    <w:name w:val="Table Grid"/>
    <w:basedOn w:val="TableNormal"/>
    <w:uiPriority w:val="39"/>
    <w:rsid w:val="00E96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357C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40621">
      <w:bodyDiv w:val="1"/>
      <w:marLeft w:val="0"/>
      <w:marRight w:val="0"/>
      <w:marTop w:val="0"/>
      <w:marBottom w:val="0"/>
      <w:divBdr>
        <w:top w:val="none" w:sz="0" w:space="0" w:color="auto"/>
        <w:left w:val="none" w:sz="0" w:space="0" w:color="auto"/>
        <w:bottom w:val="none" w:sz="0" w:space="0" w:color="auto"/>
        <w:right w:val="none" w:sz="0" w:space="0" w:color="auto"/>
      </w:divBdr>
    </w:div>
    <w:div w:id="194977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ood.gov.au/sites/default/files/documents/2026-05/Position%20Statement%20Immunoglobulin%20Adjusted%20Body%20Weight%20Dosing%20May%20202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ood.gov.au/supply-system/governance-immunoglobulin-products/criteria-immunoglobulin-product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D3FC-A2D6-49D3-BE6D-DE61DE93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4254</Characters>
  <Application>Microsoft Office Word</Application>
  <DocSecurity>0</DocSecurity>
  <Lines>327</Lines>
  <Paragraphs>105</Paragraphs>
  <ScaleCrop>false</ScaleCrop>
  <Company>The National Blood Authority, Australia</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Heland</dc:creator>
  <cp:keywords/>
  <dc:description/>
  <cp:lastModifiedBy>Cuthbert, Lenore</cp:lastModifiedBy>
  <cp:revision>2</cp:revision>
  <cp:lastPrinted>2021-02-25T22:16:00Z</cp:lastPrinted>
  <dcterms:created xsi:type="dcterms:W3CDTF">2026-05-29T03:20:00Z</dcterms:created>
  <dcterms:modified xsi:type="dcterms:W3CDTF">2026-05-29T03:20:00Z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2018-11-15T00:00:00Z</vt:filetime>
  </property>
  <property fmtid="{D5CDD505-2E9C-101B-9397-08002B2CF9AE}" pid="3" name="Creator">
    <vt:lpwstr>Acrobat PDFMaker 10.1 for Word</vt:lpwstr>
  </property>
  <property fmtid="{D5CDD505-2E9C-101B-9397-08002B2CF9AE}" pid="4" name="LastSaved">
    <vt:filetime>2021-02-24T00:00:00Z</vt:filetime>
  </property>
  <property fmtid="{D5CDD505-2E9C-101B-9397-08002B2CF9AE}" pid="5" name="TitusGUID">
    <vt:lpwstr>2e1bf017-853d-4e14-80db-54784f6e0814</vt:lpwstr>
  </property>
  <property fmtid="{D5CDD505-2E9C-101B-9397-08002B2CF9AE}" pid="6" name="ClassificationContentMarkingHeaderShapeIds">
    <vt:lpwstr>2,3,4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MSIP_Label_11d3a1ea-a727-4720-a216-7dae13a61c56_Enabled">
    <vt:lpwstr>true</vt:lpwstr>
  </property>
  <property fmtid="{D5CDD505-2E9C-101B-9397-08002B2CF9AE}" pid="10" name="MSIP_Label_11d3a1ea-a727-4720-a216-7dae13a61c56_SetDate">
    <vt:lpwstr>2023-07-27T03:11:42Z</vt:lpwstr>
  </property>
  <property fmtid="{D5CDD505-2E9C-101B-9397-08002B2CF9AE}" pid="11" name="MSIP_Label_11d3a1ea-a727-4720-a216-7dae13a61c56_Method">
    <vt:lpwstr>Privileged</vt:lpwstr>
  </property>
  <property fmtid="{D5CDD505-2E9C-101B-9397-08002B2CF9AE}" pid="12" name="MSIP_Label_11d3a1ea-a727-4720-a216-7dae13a61c56_Name">
    <vt:lpwstr>OFFICIAL</vt:lpwstr>
  </property>
  <property fmtid="{D5CDD505-2E9C-101B-9397-08002B2CF9AE}" pid="13" name="MSIP_Label_11d3a1ea-a727-4720-a216-7dae13a61c56_SiteId">
    <vt:lpwstr>9c233057-0738-4b40-91b2-3798ceb38ebf</vt:lpwstr>
  </property>
  <property fmtid="{D5CDD505-2E9C-101B-9397-08002B2CF9AE}" pid="14" name="MSIP_Label_11d3a1ea-a727-4720-a216-7dae13a61c56_ActionId">
    <vt:lpwstr>5c0debcf-bb3a-4301-a889-0dac89ffa1d1</vt:lpwstr>
  </property>
  <property fmtid="{D5CDD505-2E9C-101B-9397-08002B2CF9AE}" pid="15" name="MSIP_Label_11d3a1ea-a727-4720-a216-7dae13a61c56_ContentBits">
    <vt:lpwstr>1</vt:lpwstr>
  </property>
</Properties>
</file>