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5F0B" w14:textId="4421475F" w:rsidR="00FC79C8" w:rsidRPr="00E129ED" w:rsidRDefault="0045280E" w:rsidP="00DF6BA1">
      <w:pPr>
        <w:snapToGrid w:val="0"/>
        <w:spacing w:before="120" w:after="120"/>
        <w:jc w:val="center"/>
        <w:rPr>
          <w:rFonts w:ascii="Aptos" w:hAnsi="Aptos"/>
          <w:b/>
          <w:bCs/>
          <w:sz w:val="28"/>
          <w:szCs w:val="28"/>
        </w:rPr>
      </w:pPr>
      <w:r w:rsidRPr="00E129ED">
        <w:rPr>
          <w:rFonts w:ascii="Aptos" w:hAnsi="Aptos"/>
          <w:b/>
          <w:bCs/>
          <w:sz w:val="28"/>
          <w:szCs w:val="28"/>
        </w:rPr>
        <w:t xml:space="preserve">Position </w:t>
      </w:r>
      <w:r w:rsidR="00665B49" w:rsidRPr="00E129ED">
        <w:rPr>
          <w:rFonts w:ascii="Aptos" w:hAnsi="Aptos"/>
          <w:b/>
          <w:bCs/>
          <w:sz w:val="28"/>
          <w:szCs w:val="28"/>
        </w:rPr>
        <w:t>Statement</w:t>
      </w:r>
    </w:p>
    <w:p w14:paraId="340B44B0" w14:textId="77777777" w:rsidR="006F5AE7" w:rsidRDefault="006F5AE7" w:rsidP="00DF6BA1">
      <w:pPr>
        <w:snapToGrid w:val="0"/>
        <w:spacing w:before="120" w:after="120"/>
        <w:jc w:val="center"/>
        <w:rPr>
          <w:rFonts w:ascii="Aptos" w:hAnsi="Aptos"/>
          <w:b/>
          <w:bCs/>
          <w:szCs w:val="24"/>
        </w:rPr>
      </w:pPr>
    </w:p>
    <w:p w14:paraId="3D8CD44D" w14:textId="104EE979" w:rsidR="00A43AA3" w:rsidRDefault="00E129ED" w:rsidP="00DF6BA1">
      <w:pPr>
        <w:snapToGrid w:val="0"/>
        <w:spacing w:before="120" w:after="120"/>
        <w:jc w:val="center"/>
        <w:rPr>
          <w:rFonts w:ascii="Aptos" w:hAnsi="Aptos"/>
          <w:b/>
          <w:bCs/>
          <w:szCs w:val="24"/>
        </w:rPr>
      </w:pPr>
      <w:r>
        <w:rPr>
          <w:rFonts w:ascii="Aptos" w:hAnsi="Aptos"/>
          <w:b/>
          <w:bCs/>
          <w:szCs w:val="24"/>
        </w:rPr>
        <w:t>IMMUNOGLOBULIN ADJUSTED BODY WEIGHT</w:t>
      </w:r>
      <w:r w:rsidR="000A6D60">
        <w:rPr>
          <w:rFonts w:ascii="Aptos" w:hAnsi="Aptos"/>
          <w:b/>
          <w:bCs/>
          <w:szCs w:val="24"/>
        </w:rPr>
        <w:t xml:space="preserve"> DOSING</w:t>
      </w:r>
    </w:p>
    <w:p w14:paraId="663C87CF" w14:textId="1FDE1A66" w:rsidR="00665B49" w:rsidRPr="00735918" w:rsidRDefault="006C302E" w:rsidP="00DF6BA1">
      <w:pPr>
        <w:snapToGrid w:val="0"/>
        <w:spacing w:before="120" w:after="120"/>
        <w:jc w:val="center"/>
        <w:rPr>
          <w:rFonts w:ascii="Aptos" w:hAnsi="Aptos"/>
          <w:i/>
          <w:iCs/>
          <w:sz w:val="22"/>
          <w:szCs w:val="22"/>
        </w:rPr>
      </w:pPr>
      <w:r w:rsidRPr="00735918">
        <w:rPr>
          <w:rFonts w:ascii="Aptos" w:hAnsi="Aptos"/>
          <w:i/>
          <w:iCs/>
          <w:sz w:val="22"/>
          <w:szCs w:val="22"/>
        </w:rPr>
        <w:t>Endorsed by the National Immunoglobulin Governance Advisory Committee May 2026</w:t>
      </w:r>
      <w:r w:rsidR="00BB450A" w:rsidRPr="00735918">
        <w:rPr>
          <w:rFonts w:ascii="Aptos" w:hAnsi="Aptos"/>
          <w:i/>
          <w:iCs/>
          <w:sz w:val="22"/>
          <w:szCs w:val="22"/>
        </w:rPr>
        <w:t xml:space="preserve"> </w:t>
      </w:r>
    </w:p>
    <w:p w14:paraId="39413F71" w14:textId="3F1A1456" w:rsidR="00DF6BA1" w:rsidRPr="00DF6BA1" w:rsidRDefault="00DF6BA1" w:rsidP="00DF6BA1">
      <w:pPr>
        <w:snapToGrid w:val="0"/>
        <w:spacing w:before="120" w:after="120"/>
        <w:rPr>
          <w:rFonts w:ascii="Aptos" w:hAnsi="Aptos"/>
          <w:b/>
          <w:bCs/>
          <w:sz w:val="22"/>
          <w:szCs w:val="22"/>
        </w:rPr>
      </w:pPr>
      <w:r w:rsidRPr="00DF6BA1">
        <w:rPr>
          <w:rFonts w:ascii="Aptos" w:hAnsi="Aptos"/>
          <w:b/>
          <w:bCs/>
          <w:sz w:val="22"/>
          <w:szCs w:val="22"/>
        </w:rPr>
        <w:t>Background</w:t>
      </w:r>
    </w:p>
    <w:p w14:paraId="7D1A3D69" w14:textId="0BE1D00D" w:rsidR="00665B49" w:rsidRPr="00665B49" w:rsidRDefault="00665B49" w:rsidP="00DF6BA1">
      <w:pPr>
        <w:snapToGrid w:val="0"/>
        <w:spacing w:before="120" w:after="120"/>
        <w:rPr>
          <w:rFonts w:ascii="Aptos" w:hAnsi="Aptos"/>
          <w:sz w:val="22"/>
          <w:szCs w:val="22"/>
        </w:rPr>
      </w:pPr>
      <w:r w:rsidRPr="00665B49">
        <w:rPr>
          <w:rFonts w:ascii="Aptos" w:hAnsi="Aptos"/>
          <w:sz w:val="22"/>
          <w:szCs w:val="22"/>
        </w:rPr>
        <w:t xml:space="preserve">The amount of immunoglobulin (Ig) prescribed for a patient varies according to the clinical indication and patient characteristics, including body weight, and is set out in the </w:t>
      </w:r>
      <w:r w:rsidRPr="00665B49">
        <w:rPr>
          <w:rFonts w:ascii="Aptos" w:hAnsi="Aptos"/>
          <w:i/>
          <w:iCs/>
          <w:sz w:val="22"/>
          <w:szCs w:val="22"/>
        </w:rPr>
        <w:t>Criteria for the clinical use of immunoglobulin in Australia</w:t>
      </w:r>
      <w:r w:rsidRPr="00665B49">
        <w:rPr>
          <w:rFonts w:ascii="Aptos" w:hAnsi="Aptos"/>
          <w:sz w:val="22"/>
          <w:szCs w:val="22"/>
        </w:rPr>
        <w:t xml:space="preserve"> (the Criteria). When prescribing Ig, clinicians should aim to use the lowest dose that achieves the appropriate clinical outcome for each patient. This approach supports stewardship of </w:t>
      </w:r>
      <w:r w:rsidR="00E129ED">
        <w:rPr>
          <w:rFonts w:ascii="Aptos" w:hAnsi="Aptos"/>
          <w:sz w:val="22"/>
          <w:szCs w:val="22"/>
        </w:rPr>
        <w:t>the</w:t>
      </w:r>
      <w:r w:rsidRPr="00665B49">
        <w:rPr>
          <w:rFonts w:ascii="Aptos" w:hAnsi="Aptos"/>
          <w:sz w:val="22"/>
          <w:szCs w:val="22"/>
        </w:rPr>
        <w:t xml:space="preserve"> limited plasma</w:t>
      </w:r>
      <w:r w:rsidR="002D7AF6">
        <w:rPr>
          <w:rFonts w:ascii="Aptos" w:hAnsi="Aptos"/>
          <w:sz w:val="22"/>
          <w:szCs w:val="22"/>
        </w:rPr>
        <w:t xml:space="preserve"> </w:t>
      </w:r>
      <w:r w:rsidRPr="00665B49">
        <w:rPr>
          <w:rFonts w:ascii="Aptos" w:hAnsi="Aptos"/>
          <w:sz w:val="22"/>
          <w:szCs w:val="22"/>
        </w:rPr>
        <w:t xml:space="preserve">derived </w:t>
      </w:r>
      <w:r w:rsidR="00E129ED">
        <w:rPr>
          <w:rFonts w:ascii="Aptos" w:hAnsi="Aptos"/>
          <w:sz w:val="22"/>
          <w:szCs w:val="22"/>
        </w:rPr>
        <w:t xml:space="preserve">medical </w:t>
      </w:r>
      <w:r w:rsidRPr="00665B49">
        <w:rPr>
          <w:rFonts w:ascii="Aptos" w:hAnsi="Aptos"/>
          <w:sz w:val="22"/>
          <w:szCs w:val="22"/>
        </w:rPr>
        <w:t xml:space="preserve">product </w:t>
      </w:r>
      <w:r w:rsidR="007F696F">
        <w:rPr>
          <w:rFonts w:ascii="Aptos" w:hAnsi="Aptos"/>
          <w:sz w:val="22"/>
          <w:szCs w:val="22"/>
        </w:rPr>
        <w:t xml:space="preserve">supply </w:t>
      </w:r>
      <w:r w:rsidRPr="00665B49">
        <w:rPr>
          <w:rFonts w:ascii="Aptos" w:hAnsi="Aptos"/>
          <w:sz w:val="22"/>
          <w:szCs w:val="22"/>
        </w:rPr>
        <w:t>and may reduce the risk of dose</w:t>
      </w:r>
      <w:r w:rsidR="007F696F">
        <w:rPr>
          <w:rFonts w:ascii="Aptos" w:hAnsi="Aptos"/>
          <w:sz w:val="22"/>
          <w:szCs w:val="22"/>
        </w:rPr>
        <w:t>-</w:t>
      </w:r>
      <w:r w:rsidRPr="00665B49">
        <w:rPr>
          <w:rFonts w:ascii="Aptos" w:hAnsi="Aptos"/>
          <w:sz w:val="22"/>
          <w:szCs w:val="22"/>
        </w:rPr>
        <w:t>related adverse effects.</w:t>
      </w:r>
    </w:p>
    <w:p w14:paraId="25AD8F83" w14:textId="77777777" w:rsidR="00DF6BA1" w:rsidRPr="00DF6BA1" w:rsidRDefault="00DF6BA1" w:rsidP="00DF6BA1">
      <w:pPr>
        <w:snapToGrid w:val="0"/>
        <w:spacing w:before="120" w:after="120"/>
        <w:rPr>
          <w:rFonts w:ascii="Aptos" w:hAnsi="Aptos"/>
          <w:b/>
          <w:bCs/>
          <w:sz w:val="22"/>
          <w:szCs w:val="22"/>
        </w:rPr>
      </w:pPr>
      <w:r w:rsidRPr="00DF6BA1">
        <w:rPr>
          <w:rFonts w:ascii="Aptos" w:hAnsi="Aptos"/>
          <w:b/>
          <w:bCs/>
          <w:sz w:val="22"/>
          <w:szCs w:val="22"/>
        </w:rPr>
        <w:t>Evidence base</w:t>
      </w:r>
    </w:p>
    <w:p w14:paraId="72B2E93E" w14:textId="26337801" w:rsidR="00665B49" w:rsidRPr="00F665E3" w:rsidRDefault="00665B49" w:rsidP="00DF6BA1">
      <w:pPr>
        <w:snapToGrid w:val="0"/>
        <w:spacing w:before="120" w:after="120"/>
        <w:rPr>
          <w:rFonts w:ascii="Aptos" w:hAnsi="Aptos"/>
          <w:sz w:val="22"/>
          <w:szCs w:val="22"/>
        </w:rPr>
      </w:pPr>
      <w:r w:rsidRPr="00665B49">
        <w:rPr>
          <w:rFonts w:ascii="Aptos" w:hAnsi="Aptos"/>
          <w:sz w:val="22"/>
          <w:szCs w:val="22"/>
        </w:rPr>
        <w:t xml:space="preserve">Evidence indicates that </w:t>
      </w:r>
      <w:r w:rsidR="002D7AF6">
        <w:rPr>
          <w:rFonts w:ascii="Aptos" w:hAnsi="Aptos"/>
          <w:sz w:val="22"/>
          <w:szCs w:val="22"/>
        </w:rPr>
        <w:t>Ig</w:t>
      </w:r>
      <w:r w:rsidRPr="00665B49">
        <w:rPr>
          <w:rFonts w:ascii="Aptos" w:hAnsi="Aptos"/>
          <w:sz w:val="22"/>
          <w:szCs w:val="22"/>
        </w:rPr>
        <w:t xml:space="preserve"> distributes predominantly within the intravascular and extracellular fluid compartments, with minimal distribution into adipose tissue. As a result, dosing based solely on actual body weight </w:t>
      </w:r>
      <w:r w:rsidR="002D7AF6">
        <w:rPr>
          <w:rFonts w:ascii="Aptos" w:hAnsi="Aptos"/>
          <w:sz w:val="22"/>
          <w:szCs w:val="22"/>
        </w:rPr>
        <w:t xml:space="preserve">(ABW) </w:t>
      </w:r>
      <w:r w:rsidRPr="00665B49">
        <w:rPr>
          <w:rFonts w:ascii="Aptos" w:hAnsi="Aptos"/>
          <w:sz w:val="22"/>
          <w:szCs w:val="22"/>
        </w:rPr>
        <w:t xml:space="preserve">in overweight or obese patients may overestimate clinical requirements without improving outcomes. </w:t>
      </w:r>
      <w:r w:rsidR="00DF6BA1" w:rsidRPr="00DF6BA1">
        <w:rPr>
          <w:rFonts w:ascii="Aptos" w:hAnsi="Aptos"/>
          <w:sz w:val="22"/>
          <w:szCs w:val="22"/>
        </w:rPr>
        <w:t xml:space="preserve">The use of </w:t>
      </w:r>
      <w:r w:rsidR="000A6D60">
        <w:rPr>
          <w:rFonts w:ascii="Aptos" w:hAnsi="Aptos"/>
          <w:sz w:val="22"/>
          <w:szCs w:val="22"/>
        </w:rPr>
        <w:t>adj</w:t>
      </w:r>
      <w:r w:rsidR="002365B8">
        <w:rPr>
          <w:rFonts w:ascii="Aptos" w:hAnsi="Aptos"/>
          <w:sz w:val="22"/>
          <w:szCs w:val="22"/>
        </w:rPr>
        <w:t>usted</w:t>
      </w:r>
      <w:r w:rsidR="00174447" w:rsidRPr="00174447">
        <w:rPr>
          <w:rFonts w:ascii="Aptos" w:hAnsi="Aptos"/>
          <w:sz w:val="22"/>
          <w:szCs w:val="22"/>
        </w:rPr>
        <w:t xml:space="preserve"> body weight</w:t>
      </w:r>
      <w:r w:rsidR="002365B8">
        <w:rPr>
          <w:rFonts w:ascii="Aptos" w:hAnsi="Aptos"/>
          <w:sz w:val="22"/>
          <w:szCs w:val="22"/>
        </w:rPr>
        <w:t xml:space="preserve"> </w:t>
      </w:r>
      <w:r w:rsidR="000A6D60">
        <w:rPr>
          <w:rFonts w:ascii="Aptos" w:hAnsi="Aptos"/>
          <w:sz w:val="22"/>
          <w:szCs w:val="22"/>
        </w:rPr>
        <w:t xml:space="preserve">dosing </w:t>
      </w:r>
      <w:r w:rsidR="007F696F">
        <w:rPr>
          <w:rFonts w:ascii="Aptos" w:hAnsi="Aptos"/>
          <w:sz w:val="22"/>
          <w:szCs w:val="22"/>
        </w:rPr>
        <w:t>informs</w:t>
      </w:r>
      <w:r w:rsidR="00DF6BA1" w:rsidRPr="00DF6BA1">
        <w:rPr>
          <w:rFonts w:ascii="Aptos" w:hAnsi="Aptos"/>
          <w:sz w:val="22"/>
          <w:szCs w:val="22"/>
        </w:rPr>
        <w:t xml:space="preserve"> dosing that better reflects pharmacokinetic principles and supports clinically appropriate dosing in selected adult populations.</w:t>
      </w:r>
    </w:p>
    <w:p w14:paraId="1D8F283C" w14:textId="67C208D4" w:rsidR="00DF6BA1" w:rsidRPr="00DF6BA1" w:rsidRDefault="0045280E" w:rsidP="00DF6BA1">
      <w:pPr>
        <w:snapToGrid w:val="0"/>
        <w:spacing w:before="120" w:after="12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Po</w:t>
      </w:r>
      <w:r w:rsidR="00CB2BB0">
        <w:rPr>
          <w:rFonts w:ascii="Aptos" w:hAnsi="Aptos"/>
          <w:b/>
          <w:bCs/>
          <w:sz w:val="22"/>
          <w:szCs w:val="22"/>
        </w:rPr>
        <w:t>sition</w:t>
      </w:r>
      <w:r>
        <w:rPr>
          <w:rFonts w:ascii="Aptos" w:hAnsi="Aptos"/>
          <w:b/>
          <w:bCs/>
          <w:sz w:val="22"/>
          <w:szCs w:val="22"/>
        </w:rPr>
        <w:t xml:space="preserve"> statement</w:t>
      </w:r>
    </w:p>
    <w:p w14:paraId="594C3FC8" w14:textId="23B9F56B" w:rsidR="000C0FC0" w:rsidRPr="002B46FC" w:rsidRDefault="0045280E" w:rsidP="003A5C9C">
      <w:pPr>
        <w:snapToGrid w:val="0"/>
        <w:spacing w:before="120" w:after="120"/>
        <w:rPr>
          <w:rFonts w:ascii="Aptos" w:hAnsi="Aptos"/>
          <w:sz w:val="22"/>
          <w:szCs w:val="22"/>
        </w:rPr>
      </w:pPr>
      <w:r w:rsidRPr="7D709F14">
        <w:rPr>
          <w:rFonts w:ascii="Aptos" w:hAnsi="Aptos"/>
          <w:sz w:val="22"/>
          <w:szCs w:val="22"/>
        </w:rPr>
        <w:t xml:space="preserve">Patients </w:t>
      </w:r>
      <w:r w:rsidR="00511E99" w:rsidRPr="7D709F14">
        <w:rPr>
          <w:rFonts w:ascii="Aptos" w:hAnsi="Aptos"/>
          <w:sz w:val="22"/>
          <w:szCs w:val="22"/>
        </w:rPr>
        <w:t>accessing</w:t>
      </w:r>
      <w:r w:rsidRPr="7D709F14">
        <w:rPr>
          <w:rFonts w:ascii="Aptos" w:hAnsi="Aptos"/>
          <w:sz w:val="22"/>
          <w:szCs w:val="22"/>
        </w:rPr>
        <w:t xml:space="preserve"> Ig through Australia’s </w:t>
      </w:r>
      <w:r w:rsidR="00E959AE" w:rsidRPr="7D709F14">
        <w:rPr>
          <w:rFonts w:ascii="Aptos" w:hAnsi="Aptos"/>
          <w:sz w:val="22"/>
          <w:szCs w:val="22"/>
        </w:rPr>
        <w:t>national blood arrangements</w:t>
      </w:r>
      <w:r w:rsidRPr="7D709F14">
        <w:rPr>
          <w:rFonts w:ascii="Aptos" w:hAnsi="Aptos"/>
          <w:sz w:val="22"/>
          <w:szCs w:val="22"/>
        </w:rPr>
        <w:t xml:space="preserve"> should </w:t>
      </w:r>
      <w:r w:rsidR="00D643CD" w:rsidRPr="7D709F14">
        <w:rPr>
          <w:rFonts w:ascii="Aptos" w:hAnsi="Aptos"/>
          <w:sz w:val="22"/>
          <w:szCs w:val="22"/>
        </w:rPr>
        <w:t>receiv</w:t>
      </w:r>
      <w:r w:rsidR="00D84604" w:rsidRPr="7D709F14">
        <w:rPr>
          <w:rFonts w:ascii="Aptos" w:hAnsi="Aptos"/>
          <w:sz w:val="22"/>
          <w:szCs w:val="22"/>
        </w:rPr>
        <w:t xml:space="preserve">e </w:t>
      </w:r>
      <w:r w:rsidR="000A6D60" w:rsidRPr="7D709F14">
        <w:rPr>
          <w:rFonts w:ascii="Aptos" w:hAnsi="Aptos"/>
          <w:sz w:val="22"/>
          <w:szCs w:val="22"/>
        </w:rPr>
        <w:t>adjusted body weight dos</w:t>
      </w:r>
      <w:r w:rsidR="001B3C63" w:rsidRPr="7D709F14">
        <w:rPr>
          <w:rFonts w:ascii="Aptos" w:hAnsi="Aptos"/>
          <w:sz w:val="22"/>
          <w:szCs w:val="22"/>
        </w:rPr>
        <w:t>ing</w:t>
      </w:r>
      <w:r w:rsidR="00D84604" w:rsidRPr="7D709F14">
        <w:rPr>
          <w:rFonts w:ascii="Aptos" w:hAnsi="Aptos"/>
          <w:sz w:val="22"/>
          <w:szCs w:val="22"/>
        </w:rPr>
        <w:t xml:space="preserve"> </w:t>
      </w:r>
      <w:r w:rsidR="007D70D7" w:rsidRPr="7D709F14">
        <w:rPr>
          <w:rFonts w:ascii="Aptos" w:hAnsi="Aptos"/>
          <w:sz w:val="22"/>
          <w:szCs w:val="22"/>
        </w:rPr>
        <w:t xml:space="preserve">unless </w:t>
      </w:r>
      <w:r w:rsidRPr="7D709F14">
        <w:rPr>
          <w:rFonts w:ascii="Aptos" w:hAnsi="Aptos"/>
          <w:sz w:val="22"/>
          <w:szCs w:val="22"/>
        </w:rPr>
        <w:t xml:space="preserve">there is a clinical reason </w:t>
      </w:r>
      <w:r w:rsidR="003F337E" w:rsidRPr="7D709F14">
        <w:rPr>
          <w:rFonts w:ascii="Aptos" w:hAnsi="Aptos"/>
          <w:sz w:val="22"/>
          <w:szCs w:val="22"/>
        </w:rPr>
        <w:t>not to do so</w:t>
      </w:r>
      <w:r w:rsidR="007D70D7" w:rsidRPr="7D709F14">
        <w:rPr>
          <w:rFonts w:ascii="Aptos" w:hAnsi="Aptos"/>
          <w:sz w:val="22"/>
          <w:szCs w:val="22"/>
        </w:rPr>
        <w:t>. The National Blood Authority (NBA) does not recommend this approach for patient groups outlined in the exclusions and safeguards section below.</w:t>
      </w:r>
    </w:p>
    <w:p w14:paraId="54AAD25A" w14:textId="3DEB4A3E" w:rsidR="00665B49" w:rsidRPr="00665B49" w:rsidRDefault="000C0FC0" w:rsidP="000C0FC0">
      <w:pPr>
        <w:snapToGrid w:val="0"/>
        <w:spacing w:before="120" w:after="120"/>
        <w:rPr>
          <w:rFonts w:ascii="Aptos" w:hAnsi="Aptos"/>
          <w:sz w:val="22"/>
          <w:szCs w:val="22"/>
        </w:rPr>
      </w:pPr>
      <w:r w:rsidRPr="7D709F14">
        <w:rPr>
          <w:rFonts w:ascii="Aptos" w:hAnsi="Aptos"/>
          <w:sz w:val="22"/>
          <w:szCs w:val="22"/>
        </w:rPr>
        <w:t xml:space="preserve">From 1 July 2026, </w:t>
      </w:r>
      <w:r w:rsidR="000A6D60" w:rsidRPr="7D709F14">
        <w:rPr>
          <w:rFonts w:ascii="Aptos" w:hAnsi="Aptos"/>
          <w:sz w:val="22"/>
          <w:szCs w:val="22"/>
        </w:rPr>
        <w:t xml:space="preserve">adjusted body weight dosing </w:t>
      </w:r>
      <w:r w:rsidRPr="7D709F14">
        <w:rPr>
          <w:rFonts w:ascii="Aptos" w:hAnsi="Aptos"/>
          <w:sz w:val="22"/>
          <w:szCs w:val="22"/>
        </w:rPr>
        <w:t xml:space="preserve">will be </w:t>
      </w:r>
      <w:r w:rsidR="007F696F" w:rsidRPr="7D709F14">
        <w:rPr>
          <w:rFonts w:ascii="Aptos" w:hAnsi="Aptos"/>
          <w:sz w:val="22"/>
          <w:szCs w:val="22"/>
        </w:rPr>
        <w:t>the mandated default</w:t>
      </w:r>
      <w:r w:rsidRPr="7D709F14">
        <w:rPr>
          <w:rFonts w:ascii="Aptos" w:hAnsi="Aptos"/>
          <w:sz w:val="22"/>
          <w:szCs w:val="22"/>
        </w:rPr>
        <w:t xml:space="preserve"> in </w:t>
      </w:r>
      <w:proofErr w:type="spellStart"/>
      <w:r w:rsidRPr="7D709F14">
        <w:rPr>
          <w:rFonts w:ascii="Aptos" w:hAnsi="Aptos"/>
          <w:sz w:val="22"/>
          <w:szCs w:val="22"/>
        </w:rPr>
        <w:t>BloodSTAR</w:t>
      </w:r>
      <w:proofErr w:type="spellEnd"/>
      <w:r w:rsidRPr="7D709F14">
        <w:rPr>
          <w:rFonts w:ascii="Aptos" w:hAnsi="Aptos"/>
          <w:sz w:val="22"/>
          <w:szCs w:val="22"/>
        </w:rPr>
        <w:t xml:space="preserve">, Australia’s online system for accessing government-funded Ig products. If there is a clinical reason not to </w:t>
      </w:r>
      <w:r w:rsidR="00063F1A" w:rsidRPr="7D709F14">
        <w:rPr>
          <w:rFonts w:ascii="Aptos" w:hAnsi="Aptos"/>
          <w:sz w:val="22"/>
          <w:szCs w:val="22"/>
        </w:rPr>
        <w:t>use adjusted body weight dosing</w:t>
      </w:r>
      <w:r w:rsidRPr="7D709F14">
        <w:rPr>
          <w:rFonts w:ascii="Aptos" w:hAnsi="Aptos"/>
          <w:sz w:val="22"/>
          <w:szCs w:val="22"/>
        </w:rPr>
        <w:t xml:space="preserve">, the clinician should select the appropriate option in </w:t>
      </w:r>
      <w:proofErr w:type="spellStart"/>
      <w:r w:rsidRPr="7D709F14">
        <w:rPr>
          <w:rFonts w:ascii="Aptos" w:hAnsi="Aptos"/>
          <w:sz w:val="22"/>
          <w:szCs w:val="22"/>
        </w:rPr>
        <w:t>BloodSTAR</w:t>
      </w:r>
      <w:proofErr w:type="spellEnd"/>
      <w:r w:rsidRPr="7D709F14">
        <w:rPr>
          <w:rFonts w:ascii="Aptos" w:hAnsi="Aptos"/>
          <w:sz w:val="22"/>
          <w:szCs w:val="22"/>
        </w:rPr>
        <w:t xml:space="preserve"> and provide a clinical </w:t>
      </w:r>
      <w:r w:rsidR="007F696F" w:rsidRPr="7D709F14">
        <w:rPr>
          <w:rFonts w:ascii="Aptos" w:hAnsi="Aptos"/>
          <w:sz w:val="22"/>
          <w:szCs w:val="22"/>
        </w:rPr>
        <w:t>justification</w:t>
      </w:r>
      <w:r w:rsidR="00DD00E7" w:rsidRPr="7D709F14">
        <w:rPr>
          <w:rFonts w:ascii="Aptos" w:hAnsi="Aptos"/>
          <w:sz w:val="22"/>
          <w:szCs w:val="22"/>
        </w:rPr>
        <w:t xml:space="preserve"> in the authorisation request</w:t>
      </w:r>
      <w:r w:rsidRPr="7D709F14">
        <w:rPr>
          <w:rFonts w:ascii="Aptos" w:hAnsi="Aptos"/>
          <w:sz w:val="22"/>
          <w:szCs w:val="22"/>
        </w:rPr>
        <w:t>.</w:t>
      </w:r>
    </w:p>
    <w:p w14:paraId="2B42D11F" w14:textId="0DB44C2B" w:rsidR="00511E99" w:rsidRPr="00665B49" w:rsidRDefault="00665B49" w:rsidP="00DF6BA1">
      <w:pPr>
        <w:snapToGrid w:val="0"/>
        <w:spacing w:before="120" w:after="120"/>
        <w:rPr>
          <w:rFonts w:ascii="Aptos" w:hAnsi="Aptos"/>
          <w:b/>
          <w:bCs/>
          <w:sz w:val="22"/>
          <w:szCs w:val="22"/>
        </w:rPr>
      </w:pPr>
      <w:proofErr w:type="spellStart"/>
      <w:r w:rsidRPr="00665B49">
        <w:rPr>
          <w:rFonts w:ascii="Aptos" w:hAnsi="Aptos"/>
          <w:b/>
          <w:bCs/>
          <w:sz w:val="22"/>
          <w:szCs w:val="22"/>
        </w:rPr>
        <w:t>BloodSTAR</w:t>
      </w:r>
      <w:proofErr w:type="spellEnd"/>
      <w:r w:rsidRPr="00665B49">
        <w:rPr>
          <w:rFonts w:ascii="Aptos" w:hAnsi="Aptos"/>
          <w:b/>
          <w:bCs/>
          <w:sz w:val="22"/>
          <w:szCs w:val="22"/>
        </w:rPr>
        <w:t xml:space="preserve"> calculator</w:t>
      </w:r>
    </w:p>
    <w:p w14:paraId="24FDD2A5" w14:textId="522D6E90" w:rsidR="00665B49" w:rsidRPr="00665B49" w:rsidRDefault="00027B51" w:rsidP="00DF6BA1">
      <w:pPr>
        <w:snapToGrid w:val="0"/>
        <w:spacing w:before="120" w:after="120"/>
        <w:rPr>
          <w:rFonts w:ascii="Aptos" w:hAnsi="Aptos"/>
          <w:sz w:val="22"/>
          <w:szCs w:val="22"/>
        </w:rPr>
      </w:pPr>
      <w:r w:rsidRPr="7D709F14">
        <w:rPr>
          <w:rFonts w:ascii="Aptos" w:hAnsi="Aptos"/>
          <w:sz w:val="22"/>
          <w:szCs w:val="22"/>
        </w:rPr>
        <w:t>Using</w:t>
      </w:r>
      <w:r w:rsidR="00DD00E7" w:rsidRPr="7D709F14">
        <w:rPr>
          <w:rFonts w:ascii="Aptos" w:hAnsi="Aptos"/>
          <w:sz w:val="22"/>
          <w:szCs w:val="22"/>
        </w:rPr>
        <w:t xml:space="preserve"> </w:t>
      </w:r>
      <w:r w:rsidR="000A6D60" w:rsidRPr="7D709F14">
        <w:rPr>
          <w:rFonts w:ascii="Aptos" w:hAnsi="Aptos"/>
          <w:sz w:val="22"/>
          <w:szCs w:val="22"/>
        </w:rPr>
        <w:t>adjusted body weight dosing</w:t>
      </w:r>
      <w:r w:rsidRPr="7D709F14">
        <w:rPr>
          <w:rFonts w:ascii="Aptos" w:hAnsi="Aptos"/>
          <w:sz w:val="22"/>
          <w:szCs w:val="22"/>
        </w:rPr>
        <w:t>, t</w:t>
      </w:r>
      <w:r w:rsidR="00665B49" w:rsidRPr="7D709F14">
        <w:rPr>
          <w:rFonts w:ascii="Aptos" w:hAnsi="Aptos"/>
          <w:sz w:val="22"/>
          <w:szCs w:val="22"/>
        </w:rPr>
        <w:t xml:space="preserve">he </w:t>
      </w:r>
      <w:proofErr w:type="spellStart"/>
      <w:r w:rsidR="00665B49" w:rsidRPr="7D709F14">
        <w:rPr>
          <w:rFonts w:ascii="Aptos" w:hAnsi="Aptos"/>
          <w:sz w:val="22"/>
          <w:szCs w:val="22"/>
        </w:rPr>
        <w:t>BloodSTAR</w:t>
      </w:r>
      <w:proofErr w:type="spellEnd"/>
      <w:r w:rsidR="00665B49" w:rsidRPr="7D709F14">
        <w:rPr>
          <w:rFonts w:ascii="Aptos" w:hAnsi="Aptos"/>
          <w:sz w:val="22"/>
          <w:szCs w:val="22"/>
        </w:rPr>
        <w:t xml:space="preserve"> calculator applies </w:t>
      </w:r>
      <w:r w:rsidR="00C66E57" w:rsidRPr="7D709F14">
        <w:rPr>
          <w:rFonts w:ascii="Aptos" w:hAnsi="Aptos"/>
          <w:sz w:val="22"/>
          <w:szCs w:val="22"/>
        </w:rPr>
        <w:t xml:space="preserve">2 </w:t>
      </w:r>
      <w:r w:rsidR="00665B49" w:rsidRPr="7D709F14">
        <w:rPr>
          <w:rFonts w:ascii="Aptos" w:hAnsi="Aptos"/>
          <w:sz w:val="22"/>
          <w:szCs w:val="22"/>
        </w:rPr>
        <w:t>calculations</w:t>
      </w:r>
      <w:r w:rsidR="00DF6BA1" w:rsidRPr="7D709F14">
        <w:rPr>
          <w:rFonts w:ascii="Aptos" w:hAnsi="Aptos"/>
          <w:sz w:val="22"/>
          <w:szCs w:val="22"/>
        </w:rPr>
        <w:t xml:space="preserve"> </w:t>
      </w:r>
      <w:r w:rsidR="00665B49" w:rsidRPr="7D709F14">
        <w:rPr>
          <w:rFonts w:ascii="Aptos" w:hAnsi="Aptos"/>
          <w:sz w:val="22"/>
          <w:szCs w:val="22"/>
        </w:rPr>
        <w:t>to generate a dose</w:t>
      </w:r>
      <w:r w:rsidR="00277492" w:rsidRPr="7D709F14">
        <w:rPr>
          <w:rFonts w:ascii="Aptos" w:hAnsi="Aptos"/>
          <w:sz w:val="22"/>
          <w:szCs w:val="22"/>
        </w:rPr>
        <w:t>-</w:t>
      </w:r>
      <w:r w:rsidR="00665B49" w:rsidRPr="7D709F14">
        <w:rPr>
          <w:rFonts w:ascii="Aptos" w:hAnsi="Aptos"/>
          <w:sz w:val="22"/>
          <w:szCs w:val="22"/>
        </w:rPr>
        <w:t xml:space="preserve">determining weight </w:t>
      </w:r>
      <w:r w:rsidR="00DF6BA1" w:rsidRPr="7D709F14">
        <w:rPr>
          <w:rFonts w:ascii="Aptos" w:hAnsi="Aptos"/>
          <w:sz w:val="22"/>
          <w:szCs w:val="22"/>
        </w:rPr>
        <w:t xml:space="preserve">(DDW) </w:t>
      </w:r>
      <w:r w:rsidR="00665B49" w:rsidRPr="7D709F14">
        <w:rPr>
          <w:rFonts w:ascii="Aptos" w:hAnsi="Aptos"/>
          <w:sz w:val="22"/>
          <w:szCs w:val="22"/>
        </w:rPr>
        <w:t>for clinical use.</w:t>
      </w:r>
      <w:r w:rsidR="00483ECA" w:rsidRPr="7D709F14">
        <w:rPr>
          <w:rFonts w:ascii="Aptos" w:hAnsi="Aptos"/>
          <w:sz w:val="22"/>
          <w:szCs w:val="22"/>
        </w:rPr>
        <w:t xml:space="preserve"> This DDW is then applied to the requested dose per kilogram in </w:t>
      </w:r>
      <w:proofErr w:type="spellStart"/>
      <w:r w:rsidR="00483ECA" w:rsidRPr="7D709F14">
        <w:rPr>
          <w:rFonts w:ascii="Aptos" w:hAnsi="Aptos"/>
          <w:sz w:val="22"/>
          <w:szCs w:val="22"/>
        </w:rPr>
        <w:t>BloodSTAR</w:t>
      </w:r>
      <w:proofErr w:type="spellEnd"/>
      <w:r w:rsidR="00483ECA" w:rsidRPr="7D709F14">
        <w:rPr>
          <w:rFonts w:ascii="Aptos" w:hAnsi="Aptos"/>
          <w:sz w:val="22"/>
          <w:szCs w:val="22"/>
        </w:rPr>
        <w:t>.</w:t>
      </w:r>
    </w:p>
    <w:p w14:paraId="3886D4A4" w14:textId="0645AA1A" w:rsidR="00665B49" w:rsidRPr="00665B49" w:rsidRDefault="00665B49" w:rsidP="00DF6BA1">
      <w:pPr>
        <w:snapToGrid w:val="0"/>
        <w:spacing w:before="120" w:after="120"/>
        <w:rPr>
          <w:rFonts w:ascii="Aptos" w:hAnsi="Aptos"/>
          <w:sz w:val="22"/>
          <w:szCs w:val="22"/>
        </w:rPr>
      </w:pPr>
      <w:r w:rsidRPr="00665B49">
        <w:rPr>
          <w:rFonts w:ascii="Aptos" w:hAnsi="Aptos"/>
          <w:b/>
          <w:bCs/>
          <w:sz w:val="22"/>
          <w:szCs w:val="22"/>
        </w:rPr>
        <w:t>Calculation 1 – Ideal Body Weight</w:t>
      </w:r>
      <w:r w:rsidR="00DD00E7">
        <w:rPr>
          <w:rFonts w:ascii="Aptos" w:hAnsi="Aptos"/>
          <w:b/>
          <w:bCs/>
          <w:sz w:val="22"/>
          <w:szCs w:val="22"/>
        </w:rPr>
        <w:t xml:space="preserve"> (IBW)</w:t>
      </w:r>
      <w:r w:rsidRPr="00665B49">
        <w:rPr>
          <w:rFonts w:ascii="Aptos" w:hAnsi="Aptos"/>
          <w:b/>
          <w:bCs/>
          <w:sz w:val="22"/>
          <w:szCs w:val="22"/>
        </w:rPr>
        <w:t xml:space="preserve"> (kg) (Devine formula):</w:t>
      </w:r>
    </w:p>
    <w:p w14:paraId="2798631C" w14:textId="77777777" w:rsidR="00665B49" w:rsidRPr="00665B49" w:rsidRDefault="00665B49" w:rsidP="00DF6BA1">
      <w:pPr>
        <w:numPr>
          <w:ilvl w:val="0"/>
          <w:numId w:val="1"/>
        </w:numPr>
        <w:snapToGrid w:val="0"/>
        <w:spacing w:before="120" w:after="120"/>
        <w:rPr>
          <w:rFonts w:ascii="Aptos" w:hAnsi="Aptos"/>
          <w:sz w:val="22"/>
          <w:szCs w:val="22"/>
        </w:rPr>
      </w:pPr>
      <w:r w:rsidRPr="00665B49">
        <w:rPr>
          <w:rFonts w:ascii="Aptos" w:hAnsi="Aptos"/>
          <w:sz w:val="22"/>
          <w:szCs w:val="22"/>
        </w:rPr>
        <w:t>IBW (males) = 50 + [2.3 × (height in inches − 60)]</w:t>
      </w:r>
    </w:p>
    <w:p w14:paraId="1C1EE03F" w14:textId="77777777" w:rsidR="00665B49" w:rsidRPr="00665B49" w:rsidRDefault="00665B49" w:rsidP="00DF6BA1">
      <w:pPr>
        <w:numPr>
          <w:ilvl w:val="0"/>
          <w:numId w:val="1"/>
        </w:numPr>
        <w:snapToGrid w:val="0"/>
        <w:spacing w:before="120" w:after="120"/>
        <w:rPr>
          <w:rFonts w:ascii="Aptos" w:hAnsi="Aptos"/>
          <w:sz w:val="22"/>
          <w:szCs w:val="22"/>
        </w:rPr>
      </w:pPr>
      <w:r w:rsidRPr="00665B49">
        <w:rPr>
          <w:rFonts w:ascii="Aptos" w:hAnsi="Aptos"/>
          <w:sz w:val="22"/>
          <w:szCs w:val="22"/>
        </w:rPr>
        <w:t>IBW (females) = 45.5 + [2.3 × (height in inches − 60)]</w:t>
      </w:r>
    </w:p>
    <w:p w14:paraId="678D97C4" w14:textId="77777777" w:rsidR="00665B49" w:rsidRPr="00665B49" w:rsidRDefault="00665B49" w:rsidP="00DF6BA1">
      <w:pPr>
        <w:snapToGrid w:val="0"/>
        <w:spacing w:before="120" w:after="120"/>
        <w:rPr>
          <w:rFonts w:ascii="Aptos" w:hAnsi="Aptos"/>
          <w:sz w:val="22"/>
          <w:szCs w:val="22"/>
        </w:rPr>
      </w:pPr>
      <w:r w:rsidRPr="00665B49">
        <w:rPr>
          <w:rFonts w:ascii="Aptos" w:hAnsi="Aptos"/>
          <w:i/>
          <w:iCs/>
          <w:sz w:val="22"/>
          <w:szCs w:val="22"/>
        </w:rPr>
        <w:t>Patient height entered in centimetres is converted to inches for the calculation.</w:t>
      </w:r>
    </w:p>
    <w:p w14:paraId="3E0433F6" w14:textId="4D02959E" w:rsidR="00665B49" w:rsidRPr="00665B49" w:rsidRDefault="00665B49" w:rsidP="00DF6BA1">
      <w:pPr>
        <w:snapToGrid w:val="0"/>
        <w:spacing w:before="120" w:after="120"/>
        <w:rPr>
          <w:rFonts w:ascii="Aptos" w:hAnsi="Aptos"/>
          <w:sz w:val="22"/>
          <w:szCs w:val="22"/>
        </w:rPr>
      </w:pPr>
      <w:r w:rsidRPr="7D709F14">
        <w:rPr>
          <w:rFonts w:ascii="Aptos" w:hAnsi="Aptos"/>
          <w:b/>
          <w:bCs/>
          <w:sz w:val="22"/>
          <w:szCs w:val="22"/>
        </w:rPr>
        <w:t>Calculation 2 – Dose</w:t>
      </w:r>
      <w:r w:rsidR="007D6852" w:rsidRPr="7D709F14">
        <w:rPr>
          <w:rFonts w:ascii="Aptos" w:hAnsi="Aptos"/>
          <w:b/>
          <w:bCs/>
          <w:sz w:val="22"/>
          <w:szCs w:val="22"/>
        </w:rPr>
        <w:t>-</w:t>
      </w:r>
      <w:r w:rsidRPr="7D709F14">
        <w:rPr>
          <w:rFonts w:ascii="Aptos" w:hAnsi="Aptos"/>
          <w:b/>
          <w:bCs/>
          <w:sz w:val="22"/>
          <w:szCs w:val="22"/>
        </w:rPr>
        <w:t>Determining Weight (kg):</w:t>
      </w:r>
    </w:p>
    <w:p w14:paraId="424A4493" w14:textId="2EFBAE2A" w:rsidR="00665B49" w:rsidRPr="00665B49" w:rsidRDefault="00665B49" w:rsidP="00DF6BA1">
      <w:pPr>
        <w:numPr>
          <w:ilvl w:val="0"/>
          <w:numId w:val="2"/>
        </w:numPr>
        <w:snapToGrid w:val="0"/>
        <w:spacing w:before="120" w:after="120"/>
        <w:rPr>
          <w:rFonts w:ascii="Aptos" w:hAnsi="Aptos"/>
          <w:sz w:val="22"/>
          <w:szCs w:val="22"/>
        </w:rPr>
      </w:pPr>
      <w:r w:rsidRPr="00665B49">
        <w:rPr>
          <w:rFonts w:ascii="Aptos" w:hAnsi="Aptos"/>
          <w:sz w:val="22"/>
          <w:szCs w:val="22"/>
        </w:rPr>
        <w:t>DDW = IBW + 0.4 × (</w:t>
      </w:r>
      <w:r w:rsidR="00DD00E7">
        <w:rPr>
          <w:rFonts w:ascii="Aptos" w:hAnsi="Aptos"/>
          <w:sz w:val="22"/>
          <w:szCs w:val="22"/>
        </w:rPr>
        <w:t>A</w:t>
      </w:r>
      <w:r w:rsidR="002B46FC">
        <w:rPr>
          <w:rFonts w:ascii="Aptos" w:hAnsi="Aptos"/>
          <w:sz w:val="22"/>
          <w:szCs w:val="22"/>
        </w:rPr>
        <w:t>BW</w:t>
      </w:r>
      <w:r w:rsidR="00763B74">
        <w:rPr>
          <w:rFonts w:ascii="Aptos" w:hAnsi="Aptos"/>
          <w:sz w:val="22"/>
          <w:szCs w:val="22"/>
        </w:rPr>
        <w:t xml:space="preserve"> </w:t>
      </w:r>
      <w:r w:rsidR="00763B74" w:rsidRPr="00665B49">
        <w:rPr>
          <w:rFonts w:ascii="Aptos" w:hAnsi="Aptos"/>
          <w:sz w:val="22"/>
          <w:szCs w:val="22"/>
        </w:rPr>
        <w:t>−</w:t>
      </w:r>
      <w:r w:rsidRPr="00665B49">
        <w:rPr>
          <w:rFonts w:ascii="Aptos" w:hAnsi="Aptos"/>
          <w:sz w:val="22"/>
          <w:szCs w:val="22"/>
        </w:rPr>
        <w:t xml:space="preserve"> IBW)</w:t>
      </w:r>
    </w:p>
    <w:p w14:paraId="69DAD947" w14:textId="77777777" w:rsidR="00B74042" w:rsidRDefault="00B74042" w:rsidP="00DF6BA1">
      <w:pPr>
        <w:snapToGrid w:val="0"/>
        <w:spacing w:before="120" w:after="120"/>
        <w:rPr>
          <w:rFonts w:ascii="Aptos" w:hAnsi="Aptos"/>
          <w:b/>
          <w:bCs/>
          <w:sz w:val="22"/>
          <w:szCs w:val="22"/>
        </w:rPr>
      </w:pPr>
    </w:p>
    <w:p w14:paraId="100438D3" w14:textId="77777777" w:rsidR="006F5AE7" w:rsidRDefault="006F5AE7" w:rsidP="00DF6BA1">
      <w:pPr>
        <w:snapToGrid w:val="0"/>
        <w:spacing w:before="120" w:after="120"/>
        <w:rPr>
          <w:rFonts w:ascii="Aptos" w:hAnsi="Aptos"/>
          <w:b/>
          <w:bCs/>
          <w:sz w:val="22"/>
          <w:szCs w:val="22"/>
        </w:rPr>
      </w:pPr>
    </w:p>
    <w:p w14:paraId="36359DEF" w14:textId="05E7285D" w:rsidR="00665B49" w:rsidRPr="00665B49" w:rsidRDefault="00665B49" w:rsidP="00DF6BA1">
      <w:pPr>
        <w:snapToGrid w:val="0"/>
        <w:spacing w:before="120" w:after="120"/>
        <w:rPr>
          <w:rFonts w:ascii="Aptos" w:hAnsi="Aptos"/>
          <w:b/>
          <w:bCs/>
          <w:sz w:val="22"/>
          <w:szCs w:val="22"/>
        </w:rPr>
      </w:pPr>
      <w:r w:rsidRPr="00665B49">
        <w:rPr>
          <w:rFonts w:ascii="Aptos" w:hAnsi="Aptos"/>
          <w:b/>
          <w:bCs/>
          <w:sz w:val="22"/>
          <w:szCs w:val="22"/>
        </w:rPr>
        <w:t>Exclusions and safeguards</w:t>
      </w:r>
    </w:p>
    <w:p w14:paraId="41F8AE32" w14:textId="13543190" w:rsidR="00665B49" w:rsidRPr="00665B49" w:rsidRDefault="00665B49" w:rsidP="00DF6BA1">
      <w:pPr>
        <w:snapToGrid w:val="0"/>
        <w:spacing w:before="120" w:after="120"/>
        <w:rPr>
          <w:rFonts w:ascii="Aptos" w:hAnsi="Aptos"/>
          <w:sz w:val="22"/>
          <w:szCs w:val="22"/>
        </w:rPr>
      </w:pPr>
      <w:r w:rsidRPr="00665B49">
        <w:rPr>
          <w:rFonts w:ascii="Aptos" w:hAnsi="Aptos"/>
          <w:sz w:val="22"/>
          <w:szCs w:val="22"/>
        </w:rPr>
        <w:t xml:space="preserve">The NBA does not recommend application of the </w:t>
      </w:r>
      <w:r w:rsidR="000A6D60">
        <w:rPr>
          <w:rFonts w:ascii="Aptos" w:hAnsi="Aptos"/>
          <w:sz w:val="22"/>
          <w:szCs w:val="22"/>
        </w:rPr>
        <w:t>adjusted</w:t>
      </w:r>
      <w:r w:rsidR="000A6D60" w:rsidRPr="00174447">
        <w:rPr>
          <w:rFonts w:ascii="Aptos" w:hAnsi="Aptos"/>
          <w:sz w:val="22"/>
          <w:szCs w:val="22"/>
        </w:rPr>
        <w:t xml:space="preserve"> body weight</w:t>
      </w:r>
      <w:r w:rsidR="000A6D60">
        <w:rPr>
          <w:rFonts w:ascii="Aptos" w:hAnsi="Aptos"/>
          <w:sz w:val="22"/>
          <w:szCs w:val="22"/>
        </w:rPr>
        <w:t xml:space="preserve"> dosing </w:t>
      </w:r>
      <w:r w:rsidRPr="00665B49">
        <w:rPr>
          <w:rFonts w:ascii="Aptos" w:hAnsi="Aptos"/>
          <w:sz w:val="22"/>
          <w:szCs w:val="22"/>
        </w:rPr>
        <w:t>calculator for patients who:</w:t>
      </w:r>
    </w:p>
    <w:p w14:paraId="7C3F7BDE" w14:textId="337C52EA" w:rsidR="00665B49" w:rsidRPr="00665B49" w:rsidRDefault="003A5C9C" w:rsidP="00DF6BA1">
      <w:pPr>
        <w:numPr>
          <w:ilvl w:val="0"/>
          <w:numId w:val="3"/>
        </w:numPr>
        <w:snapToGrid w:val="0"/>
        <w:spacing w:before="120" w:after="1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Are </w:t>
      </w:r>
      <w:r w:rsidR="00665B49" w:rsidRPr="00665B49">
        <w:rPr>
          <w:rFonts w:ascii="Aptos" w:hAnsi="Aptos"/>
          <w:sz w:val="22"/>
          <w:szCs w:val="22"/>
        </w:rPr>
        <w:t>aged less than 18 years</w:t>
      </w:r>
    </w:p>
    <w:p w14:paraId="2A7FED55" w14:textId="5A0DE5BE" w:rsidR="00665B49" w:rsidRPr="00665B49" w:rsidRDefault="003A5C9C" w:rsidP="00DF6BA1">
      <w:pPr>
        <w:numPr>
          <w:ilvl w:val="0"/>
          <w:numId w:val="3"/>
        </w:numPr>
        <w:snapToGrid w:val="0"/>
        <w:spacing w:before="120" w:after="1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Are </w:t>
      </w:r>
      <w:r w:rsidR="00665B49" w:rsidRPr="00665B49">
        <w:rPr>
          <w:rFonts w:ascii="Aptos" w:hAnsi="Aptos"/>
          <w:sz w:val="22"/>
          <w:szCs w:val="22"/>
        </w:rPr>
        <w:t>less than 152 cm in height</w:t>
      </w:r>
    </w:p>
    <w:p w14:paraId="08C0AF1F" w14:textId="3D8C5848" w:rsidR="00665B49" w:rsidRDefault="003A5C9C" w:rsidP="00DF6BA1">
      <w:pPr>
        <w:numPr>
          <w:ilvl w:val="0"/>
          <w:numId w:val="3"/>
        </w:numPr>
        <w:snapToGrid w:val="0"/>
        <w:spacing w:before="120" w:after="12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Are </w:t>
      </w:r>
      <w:r w:rsidR="00665B49" w:rsidRPr="00665B49">
        <w:rPr>
          <w:rFonts w:ascii="Aptos" w:hAnsi="Aptos"/>
          <w:sz w:val="22"/>
          <w:szCs w:val="22"/>
        </w:rPr>
        <w:t>pregnant</w:t>
      </w:r>
    </w:p>
    <w:p w14:paraId="0CE9B8BA" w14:textId="40975926" w:rsidR="003A5C9C" w:rsidRPr="00FB0810" w:rsidRDefault="003A5C9C" w:rsidP="003A5C9C">
      <w:pPr>
        <w:pStyle w:val="ListParagraph"/>
        <w:numPr>
          <w:ilvl w:val="0"/>
          <w:numId w:val="3"/>
        </w:numPr>
        <w:snapToGrid w:val="0"/>
        <w:spacing w:before="120" w:after="120"/>
        <w:rPr>
          <w:rFonts w:ascii="Aptos" w:hAnsi="Aptos"/>
          <w:sz w:val="22"/>
          <w:szCs w:val="22"/>
        </w:rPr>
      </w:pPr>
      <w:r w:rsidRPr="7D709F14">
        <w:rPr>
          <w:rFonts w:ascii="Aptos" w:hAnsi="Aptos"/>
          <w:sz w:val="22"/>
          <w:szCs w:val="22"/>
        </w:rPr>
        <w:t xml:space="preserve">Have an actual body weight that is lower than their </w:t>
      </w:r>
      <w:r w:rsidR="00FE7A8B" w:rsidRPr="7D709F14">
        <w:rPr>
          <w:rFonts w:ascii="Aptos" w:hAnsi="Aptos"/>
          <w:sz w:val="22"/>
          <w:szCs w:val="22"/>
        </w:rPr>
        <w:t>ideal</w:t>
      </w:r>
      <w:r w:rsidRPr="7D709F14">
        <w:rPr>
          <w:rFonts w:ascii="Aptos" w:hAnsi="Aptos"/>
          <w:sz w:val="22"/>
          <w:szCs w:val="22"/>
        </w:rPr>
        <w:t xml:space="preserve"> body weight</w:t>
      </w:r>
      <w:r w:rsidR="00763B74" w:rsidRPr="7D709F14">
        <w:rPr>
          <w:rFonts w:ascii="Aptos" w:hAnsi="Aptos"/>
          <w:sz w:val="22"/>
          <w:szCs w:val="22"/>
        </w:rPr>
        <w:t>.</w:t>
      </w:r>
    </w:p>
    <w:p w14:paraId="630AF88C" w14:textId="3CFDD8F4" w:rsidR="00665B49" w:rsidRPr="00665B49" w:rsidRDefault="00281D37" w:rsidP="00281D37">
      <w:pPr>
        <w:snapToGrid w:val="0"/>
        <w:spacing w:before="120" w:after="120"/>
        <w:rPr>
          <w:rFonts w:ascii="Aptos" w:hAnsi="Aptos"/>
          <w:sz w:val="22"/>
          <w:szCs w:val="22"/>
        </w:rPr>
      </w:pPr>
      <w:r w:rsidRPr="00281D37">
        <w:rPr>
          <w:rFonts w:ascii="Aptos" w:hAnsi="Aptos"/>
          <w:sz w:val="22"/>
          <w:szCs w:val="22"/>
        </w:rPr>
        <w:t>Clinical judgement should always be applied, and</w:t>
      </w:r>
      <w:r w:rsidR="00DC2233">
        <w:rPr>
          <w:rFonts w:ascii="Aptos" w:hAnsi="Aptos"/>
          <w:sz w:val="22"/>
          <w:szCs w:val="22"/>
        </w:rPr>
        <w:t xml:space="preserve"> maintenance</w:t>
      </w:r>
      <w:r w:rsidRPr="00281D37">
        <w:rPr>
          <w:rFonts w:ascii="Aptos" w:hAnsi="Aptos"/>
          <w:sz w:val="22"/>
          <w:szCs w:val="22"/>
        </w:rPr>
        <w:t xml:space="preserve"> dosing should be adjusted according to clinical response and ongoing monitoring.</w:t>
      </w:r>
    </w:p>
    <w:p w14:paraId="40D3DCDE" w14:textId="19CA02A2" w:rsidR="00DC2233" w:rsidRDefault="00DC2233" w:rsidP="00E129ED">
      <w:pPr>
        <w:snapToGrid w:val="0"/>
        <w:spacing w:before="240" w:after="120"/>
        <w:rPr>
          <w:rFonts w:ascii="Aptos" w:hAnsi="Aptos"/>
          <w:b/>
          <w:bCs/>
          <w:sz w:val="22"/>
          <w:szCs w:val="22"/>
        </w:rPr>
      </w:pPr>
      <w:r w:rsidRPr="00B83E9E">
        <w:rPr>
          <w:rFonts w:ascii="Aptos" w:hAnsi="Aptos"/>
          <w:b/>
          <w:bCs/>
          <w:sz w:val="22"/>
          <w:szCs w:val="22"/>
        </w:rPr>
        <w:t xml:space="preserve">References </w:t>
      </w:r>
    </w:p>
    <w:p w14:paraId="41166B92" w14:textId="7733BD87" w:rsidR="00511E99" w:rsidRPr="00534832" w:rsidRDefault="00511E99" w:rsidP="00511E99">
      <w:pPr>
        <w:pStyle w:val="ListParagraph"/>
        <w:widowControl w:val="0"/>
        <w:numPr>
          <w:ilvl w:val="0"/>
          <w:numId w:val="4"/>
        </w:numPr>
        <w:tabs>
          <w:tab w:val="left" w:pos="1985"/>
        </w:tabs>
        <w:snapToGrid w:val="0"/>
        <w:spacing w:before="120" w:after="120" w:line="240" w:lineRule="auto"/>
        <w:rPr>
          <w:rFonts w:ascii="Aptos" w:hAnsi="Aptos" w:cstheme="minorHAnsi"/>
          <w:sz w:val="22"/>
          <w:szCs w:val="22"/>
        </w:rPr>
      </w:pPr>
      <w:r w:rsidRPr="00534832">
        <w:rPr>
          <w:rFonts w:ascii="Aptos" w:hAnsi="Aptos"/>
          <w:sz w:val="22"/>
          <w:szCs w:val="22"/>
        </w:rPr>
        <w:t xml:space="preserve">Lababidi et al (2025), </w:t>
      </w:r>
      <w:r w:rsidRPr="00534832">
        <w:rPr>
          <w:rFonts w:ascii="Aptos" w:hAnsi="Aptos" w:cstheme="minorHAnsi"/>
          <w:sz w:val="22"/>
          <w:szCs w:val="22"/>
        </w:rPr>
        <w:t>Comparison of Ideal vs. Actual Body Weight Dosing of Intravenous Immunoglobulins for Immune Thrombocytopenia - A Retrospective Analysis, Advances in Hematology, 2025:8770122</w:t>
      </w:r>
    </w:p>
    <w:p w14:paraId="14298820" w14:textId="520F89D6" w:rsidR="00511E99" w:rsidRPr="00534832" w:rsidRDefault="00511E99" w:rsidP="00511E99">
      <w:pPr>
        <w:pStyle w:val="ListParagraph"/>
        <w:widowControl w:val="0"/>
        <w:numPr>
          <w:ilvl w:val="0"/>
          <w:numId w:val="4"/>
        </w:numPr>
        <w:tabs>
          <w:tab w:val="left" w:pos="1985"/>
        </w:tabs>
        <w:snapToGrid w:val="0"/>
        <w:spacing w:before="120" w:after="120" w:line="240" w:lineRule="auto"/>
        <w:rPr>
          <w:rFonts w:ascii="Aptos" w:hAnsi="Aptos"/>
          <w:sz w:val="22"/>
          <w:szCs w:val="22"/>
        </w:rPr>
      </w:pPr>
      <w:r w:rsidRPr="00534832">
        <w:rPr>
          <w:rFonts w:ascii="Aptos" w:hAnsi="Aptos"/>
          <w:sz w:val="22"/>
          <w:szCs w:val="22"/>
        </w:rPr>
        <w:t>Nguyen et al (2021), Precision Intravenous Immunoglobulin Dosing and Clinical Outcomes: A Retrospective Chart Review, Journal of Clinical Neuromuscular Disease, 23(1):18-23</w:t>
      </w:r>
    </w:p>
    <w:p w14:paraId="1857DD10" w14:textId="6E409EC4" w:rsidR="00511E99" w:rsidRPr="00534832" w:rsidRDefault="00511E99" w:rsidP="00511E99">
      <w:pPr>
        <w:pStyle w:val="ListParagraph"/>
        <w:widowControl w:val="0"/>
        <w:numPr>
          <w:ilvl w:val="0"/>
          <w:numId w:val="4"/>
        </w:numPr>
        <w:tabs>
          <w:tab w:val="left" w:pos="1985"/>
        </w:tabs>
        <w:snapToGrid w:val="0"/>
        <w:spacing w:before="120" w:after="120" w:line="240" w:lineRule="auto"/>
        <w:rPr>
          <w:rFonts w:ascii="Aptos" w:hAnsi="Aptos"/>
          <w:sz w:val="22"/>
          <w:szCs w:val="22"/>
        </w:rPr>
      </w:pPr>
      <w:r w:rsidRPr="00534832">
        <w:rPr>
          <w:rFonts w:ascii="Aptos" w:hAnsi="Aptos"/>
          <w:sz w:val="22"/>
          <w:szCs w:val="22"/>
        </w:rPr>
        <w:t>Stump et al (2017), Comparison of Weight-Based Dosing Strategies for Intravenous Immunoglobulin in Patients with Hematologic Malignancies, Pharmacotherapy, 37(12):1530-1536</w:t>
      </w:r>
    </w:p>
    <w:p w14:paraId="7DC87372" w14:textId="63AAEDA1" w:rsidR="00511E99" w:rsidRPr="00534832" w:rsidRDefault="00511E99" w:rsidP="00511E99">
      <w:pPr>
        <w:pStyle w:val="ListParagraph"/>
        <w:widowControl w:val="0"/>
        <w:numPr>
          <w:ilvl w:val="0"/>
          <w:numId w:val="4"/>
        </w:numPr>
        <w:tabs>
          <w:tab w:val="left" w:pos="1985"/>
        </w:tabs>
        <w:snapToGrid w:val="0"/>
        <w:spacing w:before="120" w:after="120" w:line="240" w:lineRule="auto"/>
        <w:rPr>
          <w:rFonts w:ascii="Aptos" w:hAnsi="Aptos"/>
          <w:sz w:val="22"/>
          <w:szCs w:val="22"/>
        </w:rPr>
      </w:pPr>
      <w:r w:rsidRPr="00534832">
        <w:rPr>
          <w:rFonts w:ascii="Aptos" w:hAnsi="Aptos"/>
          <w:sz w:val="22"/>
          <w:szCs w:val="22"/>
        </w:rPr>
        <w:t>Heidari et al (2024), Optimal Weight-based Dosing of Intravenous Immunoglobulin (IVIG) among Overweight and Obese Patients, Current Drug Therapy, 2024, 19(4), 385-393</w:t>
      </w:r>
    </w:p>
    <w:p w14:paraId="0E01C4F1" w14:textId="159F812D" w:rsidR="00511E99" w:rsidRPr="00534832" w:rsidRDefault="00511E99" w:rsidP="00511E99">
      <w:pPr>
        <w:pStyle w:val="ListParagraph"/>
        <w:widowControl w:val="0"/>
        <w:numPr>
          <w:ilvl w:val="0"/>
          <w:numId w:val="4"/>
        </w:numPr>
        <w:tabs>
          <w:tab w:val="left" w:pos="1985"/>
        </w:tabs>
        <w:snapToGrid w:val="0"/>
        <w:spacing w:before="120" w:after="120" w:line="240" w:lineRule="auto"/>
        <w:rPr>
          <w:rFonts w:ascii="Aptos" w:hAnsi="Aptos"/>
          <w:sz w:val="22"/>
          <w:szCs w:val="22"/>
        </w:rPr>
      </w:pPr>
      <w:proofErr w:type="spellStart"/>
      <w:r w:rsidRPr="00534832">
        <w:rPr>
          <w:rFonts w:ascii="Aptos" w:hAnsi="Aptos"/>
          <w:sz w:val="22"/>
          <w:szCs w:val="22"/>
        </w:rPr>
        <w:t>Rajabally</w:t>
      </w:r>
      <w:proofErr w:type="spellEnd"/>
      <w:r w:rsidRPr="00534832">
        <w:rPr>
          <w:rFonts w:ascii="Aptos" w:hAnsi="Aptos"/>
          <w:sz w:val="22"/>
          <w:szCs w:val="22"/>
        </w:rPr>
        <w:t xml:space="preserve"> &amp; Afzal (2019), Clinical and economic comparison of an individualised immunoglobulin protocol vs. standard dosing for chronic inflammatory demyelinating polyneuropathy, Journal of Neurology 266(2):461-467</w:t>
      </w:r>
    </w:p>
    <w:p w14:paraId="46259559" w14:textId="23E6506B" w:rsidR="00511E99" w:rsidRPr="00534832" w:rsidRDefault="00511E99" w:rsidP="00511E99">
      <w:pPr>
        <w:pStyle w:val="ListParagraph"/>
        <w:widowControl w:val="0"/>
        <w:numPr>
          <w:ilvl w:val="0"/>
          <w:numId w:val="4"/>
        </w:numPr>
        <w:tabs>
          <w:tab w:val="left" w:pos="1985"/>
        </w:tabs>
        <w:snapToGrid w:val="0"/>
        <w:spacing w:before="120" w:after="120" w:line="240" w:lineRule="auto"/>
        <w:rPr>
          <w:rFonts w:ascii="Aptos" w:hAnsi="Aptos" w:cstheme="minorHAnsi"/>
          <w:sz w:val="22"/>
          <w:szCs w:val="22"/>
        </w:rPr>
      </w:pPr>
      <w:r w:rsidRPr="00534832">
        <w:rPr>
          <w:rFonts w:ascii="Aptos" w:hAnsi="Aptos" w:cstheme="minorHAnsi"/>
          <w:sz w:val="22"/>
          <w:szCs w:val="22"/>
        </w:rPr>
        <w:t xml:space="preserve">Grindeland et al (2019), Outcomes Associated </w:t>
      </w:r>
      <w:proofErr w:type="gramStart"/>
      <w:r w:rsidRPr="00534832">
        <w:rPr>
          <w:rFonts w:ascii="Aptos" w:hAnsi="Aptos" w:cstheme="minorHAnsi"/>
          <w:sz w:val="22"/>
          <w:szCs w:val="22"/>
        </w:rPr>
        <w:t>With</w:t>
      </w:r>
      <w:proofErr w:type="gramEnd"/>
      <w:r w:rsidRPr="00534832">
        <w:rPr>
          <w:rFonts w:ascii="Aptos" w:hAnsi="Aptos" w:cstheme="minorHAnsi"/>
          <w:sz w:val="22"/>
          <w:szCs w:val="22"/>
        </w:rPr>
        <w:t xml:space="preserve"> Standardized Ideal Body Weight Dosing of Intravenous Immune Globulin in Hospitalized Patients: A </w:t>
      </w:r>
      <w:proofErr w:type="spellStart"/>
      <w:r w:rsidRPr="00534832">
        <w:rPr>
          <w:rFonts w:ascii="Aptos" w:hAnsi="Aptos" w:cstheme="minorHAnsi"/>
          <w:sz w:val="22"/>
          <w:szCs w:val="22"/>
        </w:rPr>
        <w:t>Multicenter</w:t>
      </w:r>
      <w:proofErr w:type="spellEnd"/>
      <w:r w:rsidRPr="00534832">
        <w:rPr>
          <w:rFonts w:ascii="Aptos" w:hAnsi="Aptos" w:cstheme="minorHAnsi"/>
          <w:sz w:val="22"/>
          <w:szCs w:val="22"/>
        </w:rPr>
        <w:t xml:space="preserve"> Study, Annals of Pharmacotherapy 54(3), 205-212</w:t>
      </w:r>
    </w:p>
    <w:p w14:paraId="1A328843" w14:textId="302117DB" w:rsidR="00A44175" w:rsidRPr="00534832" w:rsidRDefault="00A44175" w:rsidP="00511E99">
      <w:pPr>
        <w:pStyle w:val="ListParagraph"/>
        <w:widowControl w:val="0"/>
        <w:numPr>
          <w:ilvl w:val="0"/>
          <w:numId w:val="4"/>
        </w:numPr>
        <w:tabs>
          <w:tab w:val="left" w:pos="1985"/>
        </w:tabs>
        <w:snapToGrid w:val="0"/>
        <w:spacing w:before="120" w:after="120" w:line="240" w:lineRule="auto"/>
        <w:rPr>
          <w:rFonts w:ascii="Aptos" w:hAnsi="Aptos" w:cstheme="minorHAnsi"/>
          <w:sz w:val="22"/>
          <w:szCs w:val="22"/>
        </w:rPr>
      </w:pPr>
      <w:r w:rsidRPr="00534832">
        <w:rPr>
          <w:rFonts w:ascii="Aptos" w:hAnsi="Aptos" w:cstheme="minorHAnsi"/>
          <w:sz w:val="22"/>
          <w:szCs w:val="22"/>
        </w:rPr>
        <w:t>Pai, M.P. &amp; Paloucek, F.P (2000), The origin of the "ideal" body weight equations, Annals of Pharmacotherapy;34(9):1066-1069</w:t>
      </w:r>
    </w:p>
    <w:p w14:paraId="47EB1097" w14:textId="77777777" w:rsidR="00511E99" w:rsidRPr="00B83E9E" w:rsidRDefault="00511E99" w:rsidP="00DF6BA1">
      <w:pPr>
        <w:snapToGrid w:val="0"/>
        <w:spacing w:before="120" w:after="120"/>
        <w:rPr>
          <w:rFonts w:ascii="Aptos" w:hAnsi="Aptos"/>
          <w:b/>
          <w:bCs/>
          <w:sz w:val="22"/>
          <w:szCs w:val="22"/>
        </w:rPr>
      </w:pPr>
    </w:p>
    <w:sectPr w:rsidR="00511E99" w:rsidRPr="00B83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F2A4" w14:textId="77777777" w:rsidR="002037D3" w:rsidRDefault="002037D3" w:rsidP="00665B49">
      <w:pPr>
        <w:spacing w:after="0" w:line="240" w:lineRule="auto"/>
      </w:pPr>
      <w:r>
        <w:separator/>
      </w:r>
    </w:p>
  </w:endnote>
  <w:endnote w:type="continuationSeparator" w:id="0">
    <w:p w14:paraId="2D9F03B3" w14:textId="77777777" w:rsidR="002037D3" w:rsidRDefault="002037D3" w:rsidP="0066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9924" w14:textId="3BAD4B96" w:rsidR="00665B49" w:rsidRDefault="00665B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23991D6" wp14:editId="1E5BD2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2540813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05736" w14:textId="279E6F03" w:rsidR="00665B49" w:rsidRPr="00665B49" w:rsidRDefault="00665B49" w:rsidP="00665B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65B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23991D6">
              <v:stroke joinstyle="miter"/>
              <v:path gradientshapeok="t" o:connecttype="rect"/>
            </v:shapetype>
            <v:shape id="Text Box 5" style="position:absolute;margin-left:0;margin-top:0;width:49pt;height:31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>
              <v:textbox style="mso-fit-shape-to-text:t" inset="0,0,0,15pt">
                <w:txbxContent>
                  <w:p w:rsidRPr="00665B49" w:rsidR="00665B49" w:rsidP="00665B49" w:rsidRDefault="00665B49" w14:paraId="05805736" w14:textId="279E6F0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65B49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0A5C" w14:textId="38542277" w:rsidR="00665B49" w:rsidRDefault="00665B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EBAF345" wp14:editId="2247EC6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5908195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14DF2" w14:textId="3A182404" w:rsidR="00665B49" w:rsidRPr="00665B49" w:rsidRDefault="00665B49" w:rsidP="00665B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65B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EBAF345">
              <v:stroke joinstyle="miter"/>
              <v:path gradientshapeok="t" o:connecttype="rect"/>
            </v:shapetype>
            <v:shape id="Text Box 6" style="position:absolute;margin-left:0;margin-top:0;width:49pt;height:31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mo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Y+5vNPi3lEya6XrfPhqwBNolFSh1tJZLHj&#10;1ochdUyJtQxsWqXSZpT5zYGY0ZNdO4xW6KuetHVJb8buK6hPOJSDYd/e8k2LpbfMh2fmcMHYLYo2&#10;POEhFXQlhbNFSQPux9/8MR95xyglHQqmpAYVTYn6ZnAfUVuj4UajSsb0cz6P9JiDvgeU4RRfhOXJ&#10;RK8LajSlA/2Kcl7HQhhihmO5klajeR8G5eJz4GK9TkkoI8vC1uwsj9CRrsjlS//KnD0THnBTjzCq&#10;iRVveB9y401v14eA7KelRGoHIs+MowTTWs/PJWr81/+UdX3Uq58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A/iSmoDgIAABwE&#10;AAAOAAAAAAAAAAAAAAAAAC4CAABkcnMvZTJvRG9jLnhtbFBLAQItABQABgAIAAAAIQDAscVe2gAA&#10;AAMBAAAPAAAAAAAAAAAAAAAAAGgEAABkcnMvZG93bnJldi54bWxQSwUGAAAAAAQABADzAAAAbwUA&#10;AAAA&#10;">
              <v:textbox style="mso-fit-shape-to-text:t" inset="0,0,0,15pt">
                <w:txbxContent>
                  <w:p w:rsidRPr="00665B49" w:rsidR="00665B49" w:rsidP="00665B49" w:rsidRDefault="00665B49" w14:paraId="51014DF2" w14:textId="3A18240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65B49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7D97" w14:textId="375FBC29" w:rsidR="00665B49" w:rsidRDefault="00665B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C24064" wp14:editId="283D85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8725530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C554A" w14:textId="7BD0DD42" w:rsidR="00665B49" w:rsidRPr="00665B49" w:rsidRDefault="00665B49" w:rsidP="00665B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65B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EC24064">
              <v:stroke joinstyle="miter"/>
              <v:path gradientshapeok="t" o:connecttype="rect"/>
            </v:shapetype>
            <v:shape id="Text Box 4" style="position:absolute;margin-left:0;margin-top:0;width:49pt;height:31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UQqGJQwCAAAcBAAA&#10;DgAAAAAAAAAAAAAAAAAuAgAAZHJzL2Uyb0RvYy54bWxQSwECLQAUAAYACAAAACEAwLHFXtoAAAAD&#10;AQAADwAAAAAAAAAAAAAAAABmBAAAZHJzL2Rvd25yZXYueG1sUEsFBgAAAAAEAAQA8wAAAG0FAAAA&#10;AA==&#10;">
              <v:textbox style="mso-fit-shape-to-text:t" inset="0,0,0,15pt">
                <w:txbxContent>
                  <w:p w:rsidRPr="00665B49" w:rsidR="00665B49" w:rsidP="00665B49" w:rsidRDefault="00665B49" w14:paraId="6C2C554A" w14:textId="7BD0DD4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65B49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D52C" w14:textId="77777777" w:rsidR="002037D3" w:rsidRDefault="002037D3" w:rsidP="00665B49">
      <w:pPr>
        <w:spacing w:after="0" w:line="240" w:lineRule="auto"/>
      </w:pPr>
      <w:r>
        <w:separator/>
      </w:r>
    </w:p>
  </w:footnote>
  <w:footnote w:type="continuationSeparator" w:id="0">
    <w:p w14:paraId="38B4BC82" w14:textId="77777777" w:rsidR="002037D3" w:rsidRDefault="002037D3" w:rsidP="0066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7B9F" w14:textId="75774BD5" w:rsidR="00665B49" w:rsidRDefault="00665B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CA5197F" wp14:editId="61C29D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583474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C540A" w14:textId="76C0EF4D" w:rsidR="00665B49" w:rsidRPr="00665B49" w:rsidRDefault="00665B49" w:rsidP="00665B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65B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CA5197F">
              <v:stroke joinstyle="miter"/>
              <v:path gradientshapeok="t" o:connecttype="rect"/>
            </v:shapetype>
            <v:shape id="Text Box 2" style="position:absolute;margin-left:0;margin-top:0;width:49pt;height:31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>
              <v:textbox style="mso-fit-shape-to-text:t" inset="0,15pt,0,0">
                <w:txbxContent>
                  <w:p w:rsidRPr="00665B49" w:rsidR="00665B49" w:rsidP="00665B49" w:rsidRDefault="00665B49" w14:paraId="61CC540A" w14:textId="76C0EF4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65B49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A9DC" w14:textId="08CA830E" w:rsidR="00665B49" w:rsidRDefault="006F5A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5C1271CC" wp14:editId="301DE501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588342" cy="10725150"/>
          <wp:effectExtent l="0" t="0" r="0" b="0"/>
          <wp:wrapNone/>
          <wp:docPr id="6" name="Pictur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A A4 Factsheets_Backgroun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42" cy="1072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B49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5CD3620" wp14:editId="5A1998F1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9351554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2A1BF" w14:textId="78F41A7D" w:rsidR="00665B49" w:rsidRPr="00665B49" w:rsidRDefault="00665B49" w:rsidP="00665B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65B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5CD3620">
              <v:stroke joinstyle="miter"/>
              <v:path gradientshapeok="t" o:connecttype="rect"/>
            </v:shapetype>
            <v:shape id="Text Box 3" style="position:absolute;margin-left:0;margin-top:0;width:49pt;height:31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>
              <v:textbox style="mso-fit-shape-to-text:t" inset="0,15pt,0,0">
                <w:txbxContent>
                  <w:p w:rsidRPr="00665B49" w:rsidR="00665B49" w:rsidP="00665B49" w:rsidRDefault="00665B49" w14:paraId="6DB2A1BF" w14:textId="78F41A7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65B49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AA33" w14:textId="281F4C48" w:rsidR="00665B49" w:rsidRDefault="00665B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53BE1E20" wp14:editId="268FB3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1126501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317ED" w14:textId="3DC9E419" w:rsidR="00665B49" w:rsidRPr="00665B49" w:rsidRDefault="00665B49" w:rsidP="00665B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65B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3BE1E20">
              <v:stroke joinstyle="miter"/>
              <v:path gradientshapeok="t" o:connecttype="rect"/>
            </v:shapetype>
            <v:shape id="Text Box 1" style="position:absolute;margin-left:0;margin-top:0;width:49pt;height:31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WsDA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">
              <v:textbox style="mso-fit-shape-to-text:t" inset="0,15pt,0,0">
                <w:txbxContent>
                  <w:p w:rsidRPr="00665B49" w:rsidR="00665B49" w:rsidP="00665B49" w:rsidRDefault="00665B49" w14:paraId="7B5317ED" w14:textId="3DC9E41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65B49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81"/>
    <w:multiLevelType w:val="hybridMultilevel"/>
    <w:tmpl w:val="E65A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28CE"/>
    <w:multiLevelType w:val="multilevel"/>
    <w:tmpl w:val="4D56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45527"/>
    <w:multiLevelType w:val="multilevel"/>
    <w:tmpl w:val="F838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83B92"/>
    <w:multiLevelType w:val="multilevel"/>
    <w:tmpl w:val="29B2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60FCA"/>
    <w:multiLevelType w:val="hybridMultilevel"/>
    <w:tmpl w:val="44D2A0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12551">
    <w:abstractNumId w:val="2"/>
  </w:num>
  <w:num w:numId="2" w16cid:durableId="1851984003">
    <w:abstractNumId w:val="1"/>
  </w:num>
  <w:num w:numId="3" w16cid:durableId="1934972593">
    <w:abstractNumId w:val="3"/>
  </w:num>
  <w:num w:numId="4" w16cid:durableId="124008032">
    <w:abstractNumId w:val="4"/>
  </w:num>
  <w:num w:numId="5" w16cid:durableId="177061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49"/>
    <w:rsid w:val="00021CFD"/>
    <w:rsid w:val="00027B51"/>
    <w:rsid w:val="00037F2C"/>
    <w:rsid w:val="00051369"/>
    <w:rsid w:val="00063F1A"/>
    <w:rsid w:val="00067730"/>
    <w:rsid w:val="00073690"/>
    <w:rsid w:val="00096701"/>
    <w:rsid w:val="000A6D60"/>
    <w:rsid w:val="000B09BF"/>
    <w:rsid w:val="000C0FC0"/>
    <w:rsid w:val="000D1559"/>
    <w:rsid w:val="000E12DF"/>
    <w:rsid w:val="000F0045"/>
    <w:rsid w:val="000F013A"/>
    <w:rsid w:val="00116312"/>
    <w:rsid w:val="001455CE"/>
    <w:rsid w:val="00174447"/>
    <w:rsid w:val="001A73CE"/>
    <w:rsid w:val="001B1261"/>
    <w:rsid w:val="001B3C63"/>
    <w:rsid w:val="001B4DCC"/>
    <w:rsid w:val="001B6E73"/>
    <w:rsid w:val="001D0E4F"/>
    <w:rsid w:val="001F3C26"/>
    <w:rsid w:val="002037D3"/>
    <w:rsid w:val="002365B8"/>
    <w:rsid w:val="00277492"/>
    <w:rsid w:val="00281D37"/>
    <w:rsid w:val="00286D94"/>
    <w:rsid w:val="0029706F"/>
    <w:rsid w:val="002A7CCC"/>
    <w:rsid w:val="002B46FC"/>
    <w:rsid w:val="002C5C5A"/>
    <w:rsid w:val="002D4579"/>
    <w:rsid w:val="002D5484"/>
    <w:rsid w:val="002D57A4"/>
    <w:rsid w:val="002D7AF6"/>
    <w:rsid w:val="00310512"/>
    <w:rsid w:val="00311D7E"/>
    <w:rsid w:val="00314C9B"/>
    <w:rsid w:val="0032390B"/>
    <w:rsid w:val="0037177C"/>
    <w:rsid w:val="00377226"/>
    <w:rsid w:val="00381ABD"/>
    <w:rsid w:val="003829EA"/>
    <w:rsid w:val="00394C77"/>
    <w:rsid w:val="003A5C9C"/>
    <w:rsid w:val="003A7238"/>
    <w:rsid w:val="003B2F35"/>
    <w:rsid w:val="003B50B6"/>
    <w:rsid w:val="003C2AFD"/>
    <w:rsid w:val="003C504B"/>
    <w:rsid w:val="003D085E"/>
    <w:rsid w:val="003F337E"/>
    <w:rsid w:val="00445D00"/>
    <w:rsid w:val="0045280E"/>
    <w:rsid w:val="00461120"/>
    <w:rsid w:val="00483ECA"/>
    <w:rsid w:val="00484C42"/>
    <w:rsid w:val="004B30DE"/>
    <w:rsid w:val="004C6A61"/>
    <w:rsid w:val="004E6275"/>
    <w:rsid w:val="004F6A96"/>
    <w:rsid w:val="00511E99"/>
    <w:rsid w:val="00531342"/>
    <w:rsid w:val="00534832"/>
    <w:rsid w:val="005677F0"/>
    <w:rsid w:val="00591A14"/>
    <w:rsid w:val="005A12A4"/>
    <w:rsid w:val="005A6525"/>
    <w:rsid w:val="005B0BED"/>
    <w:rsid w:val="005B73F7"/>
    <w:rsid w:val="005C7181"/>
    <w:rsid w:val="005D04AF"/>
    <w:rsid w:val="005F2CB3"/>
    <w:rsid w:val="005F6A31"/>
    <w:rsid w:val="00617271"/>
    <w:rsid w:val="0065492B"/>
    <w:rsid w:val="00665B49"/>
    <w:rsid w:val="0067251B"/>
    <w:rsid w:val="006822EA"/>
    <w:rsid w:val="0069203F"/>
    <w:rsid w:val="006C302E"/>
    <w:rsid w:val="006C4553"/>
    <w:rsid w:val="006D2058"/>
    <w:rsid w:val="006E0A28"/>
    <w:rsid w:val="006F5AE7"/>
    <w:rsid w:val="00733AE8"/>
    <w:rsid w:val="00735918"/>
    <w:rsid w:val="00752BA6"/>
    <w:rsid w:val="007617AE"/>
    <w:rsid w:val="00763B74"/>
    <w:rsid w:val="00773A76"/>
    <w:rsid w:val="0078444A"/>
    <w:rsid w:val="00791899"/>
    <w:rsid w:val="007D3823"/>
    <w:rsid w:val="007D6852"/>
    <w:rsid w:val="007D70D7"/>
    <w:rsid w:val="007E4FEE"/>
    <w:rsid w:val="007F696F"/>
    <w:rsid w:val="007F6CE4"/>
    <w:rsid w:val="0080583A"/>
    <w:rsid w:val="0081484F"/>
    <w:rsid w:val="00833EC3"/>
    <w:rsid w:val="008658D9"/>
    <w:rsid w:val="00874BBD"/>
    <w:rsid w:val="008904D3"/>
    <w:rsid w:val="008948AA"/>
    <w:rsid w:val="008A1216"/>
    <w:rsid w:val="008A2BC7"/>
    <w:rsid w:val="008A392E"/>
    <w:rsid w:val="008D110E"/>
    <w:rsid w:val="008D21EB"/>
    <w:rsid w:val="008E6FB3"/>
    <w:rsid w:val="00902121"/>
    <w:rsid w:val="00924A21"/>
    <w:rsid w:val="00925E10"/>
    <w:rsid w:val="00931FC7"/>
    <w:rsid w:val="00971CDF"/>
    <w:rsid w:val="00980273"/>
    <w:rsid w:val="00983593"/>
    <w:rsid w:val="009C1F69"/>
    <w:rsid w:val="009D413A"/>
    <w:rsid w:val="009E3CCE"/>
    <w:rsid w:val="009E6D2B"/>
    <w:rsid w:val="009E7CAD"/>
    <w:rsid w:val="009F1803"/>
    <w:rsid w:val="00A03B54"/>
    <w:rsid w:val="00A367A9"/>
    <w:rsid w:val="00A36D7A"/>
    <w:rsid w:val="00A43AA3"/>
    <w:rsid w:val="00A44175"/>
    <w:rsid w:val="00A866BE"/>
    <w:rsid w:val="00A91376"/>
    <w:rsid w:val="00AA76D7"/>
    <w:rsid w:val="00AD3D69"/>
    <w:rsid w:val="00AE0089"/>
    <w:rsid w:val="00AF6F65"/>
    <w:rsid w:val="00AF7A0C"/>
    <w:rsid w:val="00B13BFD"/>
    <w:rsid w:val="00B143E1"/>
    <w:rsid w:val="00B74042"/>
    <w:rsid w:val="00B8137D"/>
    <w:rsid w:val="00B83E9E"/>
    <w:rsid w:val="00B92202"/>
    <w:rsid w:val="00B92B88"/>
    <w:rsid w:val="00BA1CA2"/>
    <w:rsid w:val="00BA562B"/>
    <w:rsid w:val="00BB018C"/>
    <w:rsid w:val="00BB450A"/>
    <w:rsid w:val="00BB47F1"/>
    <w:rsid w:val="00BC6883"/>
    <w:rsid w:val="00BE2E9C"/>
    <w:rsid w:val="00BF19BA"/>
    <w:rsid w:val="00BF3C9E"/>
    <w:rsid w:val="00C10305"/>
    <w:rsid w:val="00C1632A"/>
    <w:rsid w:val="00C20CB2"/>
    <w:rsid w:val="00C34341"/>
    <w:rsid w:val="00C66E57"/>
    <w:rsid w:val="00C822B1"/>
    <w:rsid w:val="00C83F24"/>
    <w:rsid w:val="00C9342A"/>
    <w:rsid w:val="00C97CFD"/>
    <w:rsid w:val="00CB2BB0"/>
    <w:rsid w:val="00CB561D"/>
    <w:rsid w:val="00CB5FE0"/>
    <w:rsid w:val="00CC1A26"/>
    <w:rsid w:val="00CC64D3"/>
    <w:rsid w:val="00CD0840"/>
    <w:rsid w:val="00CD10CD"/>
    <w:rsid w:val="00CD3E2D"/>
    <w:rsid w:val="00CD6262"/>
    <w:rsid w:val="00D37AD0"/>
    <w:rsid w:val="00D427ED"/>
    <w:rsid w:val="00D447BD"/>
    <w:rsid w:val="00D4660B"/>
    <w:rsid w:val="00D5213C"/>
    <w:rsid w:val="00D576F9"/>
    <w:rsid w:val="00D643CD"/>
    <w:rsid w:val="00D7270C"/>
    <w:rsid w:val="00D7592D"/>
    <w:rsid w:val="00D828A0"/>
    <w:rsid w:val="00D84604"/>
    <w:rsid w:val="00DA548E"/>
    <w:rsid w:val="00DC210F"/>
    <w:rsid w:val="00DC2233"/>
    <w:rsid w:val="00DC3885"/>
    <w:rsid w:val="00DD00E7"/>
    <w:rsid w:val="00DD5D7C"/>
    <w:rsid w:val="00DD6060"/>
    <w:rsid w:val="00DD6AC1"/>
    <w:rsid w:val="00DF6BA1"/>
    <w:rsid w:val="00E129ED"/>
    <w:rsid w:val="00E465C3"/>
    <w:rsid w:val="00E63161"/>
    <w:rsid w:val="00E64FBA"/>
    <w:rsid w:val="00E72608"/>
    <w:rsid w:val="00E8499E"/>
    <w:rsid w:val="00E959AE"/>
    <w:rsid w:val="00E96A97"/>
    <w:rsid w:val="00E97A22"/>
    <w:rsid w:val="00ED1BA1"/>
    <w:rsid w:val="00ED20B0"/>
    <w:rsid w:val="00EF4089"/>
    <w:rsid w:val="00F42FAF"/>
    <w:rsid w:val="00F665E3"/>
    <w:rsid w:val="00FB0BB7"/>
    <w:rsid w:val="00FC4D74"/>
    <w:rsid w:val="00FC79C8"/>
    <w:rsid w:val="00FE7A8B"/>
    <w:rsid w:val="32B6E052"/>
    <w:rsid w:val="485F0C8F"/>
    <w:rsid w:val="515D831C"/>
    <w:rsid w:val="77D72CAF"/>
    <w:rsid w:val="7B143792"/>
    <w:rsid w:val="7D709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4CA59"/>
  <w15:chartTrackingRefBased/>
  <w15:docId w15:val="{8817FA02-CF33-49F3-994B-71E6B980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B4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B4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B4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65B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65B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6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B49"/>
    <w:rPr>
      <w:i/>
      <w:iCs/>
      <w:color w:val="404040" w:themeColor="text1" w:themeTint="BF"/>
    </w:rPr>
  </w:style>
  <w:style w:type="paragraph" w:styleId="ListParagraph">
    <w:name w:val="List Paragraph"/>
    <w:aliases w:val="Bullet point,List Paragraph1,List Paragraph11,Recommendation,Bullets,CV text,Dot pt,F5 List Paragraph,FooterText,L,List Paragraph111,List Paragraph2,Medium Grid 1 - Accent 21,NAST Quote,NFP GP Bulleted List,Numbered Paragraph,Table text,列"/>
    <w:basedOn w:val="Normal"/>
    <w:link w:val="ListParagraphChar"/>
    <w:uiPriority w:val="34"/>
    <w:qFormat/>
    <w:rsid w:val="00665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B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49"/>
  </w:style>
  <w:style w:type="paragraph" w:styleId="Footer">
    <w:name w:val="footer"/>
    <w:basedOn w:val="Normal"/>
    <w:link w:val="FooterChar"/>
    <w:uiPriority w:val="99"/>
    <w:unhideWhenUsed/>
    <w:rsid w:val="00665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49"/>
  </w:style>
  <w:style w:type="paragraph" w:styleId="FootnoteText">
    <w:name w:val="footnote text"/>
    <w:basedOn w:val="Normal"/>
    <w:link w:val="FootnoteTextChar"/>
    <w:uiPriority w:val="99"/>
    <w:semiHidden/>
    <w:unhideWhenUsed/>
    <w:rsid w:val="00C83F2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F2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83F2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3E2D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3E2D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CD3E2D"/>
    <w:rPr>
      <w:vertAlign w:val="superscript"/>
    </w:rPr>
  </w:style>
  <w:style w:type="character" w:styleId="Hyperlink">
    <w:name w:val="Hyperlink"/>
    <w:basedOn w:val="DefaultParagraphFont"/>
    <w:unhideWhenUsed/>
    <w:rsid w:val="00924A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A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92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528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2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23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23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233"/>
    <w:rPr>
      <w:b/>
      <w:bCs/>
      <w:sz w:val="20"/>
      <w:szCs w:val="25"/>
    </w:rPr>
  </w:style>
  <w:style w:type="character" w:customStyle="1" w:styleId="ListParagraphChar">
    <w:name w:val="List Paragraph Char"/>
    <w:aliases w:val="Bullet point Char,List Paragraph1 Char,List Paragraph11 Char,Recommendation Char,Bullets Char,CV text Char,Dot pt Char,F5 List Paragraph Char,FooterText Char,L Char,List Paragraph111 Char,List Paragraph2 Char,NAST Quote Char,列 Char"/>
    <w:link w:val="ListParagraph"/>
    <w:uiPriority w:val="34"/>
    <w:qFormat/>
    <w:rsid w:val="0051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3CD3-DF1E-4113-9094-C423A7A6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3614</Characters>
  <Application>Microsoft Office Word</Application>
  <DocSecurity>0</DocSecurity>
  <Lines>278</Lines>
  <Paragraphs>89</Paragraphs>
  <ScaleCrop>false</ScaleCrop>
  <Company>National Blood Authority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Jagtap, Rajani</dc:creator>
  <cp:keywords/>
  <dc:description/>
  <cp:lastModifiedBy>Cuthbert, Lenore</cp:lastModifiedBy>
  <cp:revision>2</cp:revision>
  <dcterms:created xsi:type="dcterms:W3CDTF">2026-05-29T03:22:00Z</dcterms:created>
  <dcterms:modified xsi:type="dcterms:W3CDTF">2026-05-29T03:22:00Z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4251b1d2,22c71d80,735820dd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34021a61,4abfc32e,233730d9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11d3a1ea-a727-4720-a216-7dae13a61c56_Enabled">
    <vt:lpwstr>true</vt:lpwstr>
  </property>
  <property fmtid="{D5CDD505-2E9C-101B-9397-08002B2CF9AE}" pid="9" name="MSIP_Label_11d3a1ea-a727-4720-a216-7dae13a61c56_SetDate">
    <vt:lpwstr>2026-03-23T04:38:16Z</vt:lpwstr>
  </property>
  <property fmtid="{D5CDD505-2E9C-101B-9397-08002B2CF9AE}" pid="10" name="MSIP_Label_11d3a1ea-a727-4720-a216-7dae13a61c56_Method">
    <vt:lpwstr>Privileged</vt:lpwstr>
  </property>
  <property fmtid="{D5CDD505-2E9C-101B-9397-08002B2CF9AE}" pid="11" name="MSIP_Label_11d3a1ea-a727-4720-a216-7dae13a61c56_Name">
    <vt:lpwstr>OFFICIAL</vt:lpwstr>
  </property>
  <property fmtid="{D5CDD505-2E9C-101B-9397-08002B2CF9AE}" pid="12" name="MSIP_Label_11d3a1ea-a727-4720-a216-7dae13a61c56_SiteId">
    <vt:lpwstr>9c233057-0738-4b40-91b2-3798ceb38ebf</vt:lpwstr>
  </property>
  <property fmtid="{D5CDD505-2E9C-101B-9397-08002B2CF9AE}" pid="13" name="MSIP_Label_11d3a1ea-a727-4720-a216-7dae13a61c56_ActionId">
    <vt:lpwstr>046e03a8-2602-426d-99ea-acf7c2f9201c</vt:lpwstr>
  </property>
  <property fmtid="{D5CDD505-2E9C-101B-9397-08002B2CF9AE}" pid="14" name="MSIP_Label_11d3a1ea-a727-4720-a216-7dae13a61c56_ContentBits">
    <vt:lpwstr>3</vt:lpwstr>
  </property>
  <property fmtid="{D5CDD505-2E9C-101B-9397-08002B2CF9AE}" pid="15" name="MSIP_Label_11d3a1ea-a727-4720-a216-7dae13a61c56_Tag">
    <vt:lpwstr>10, 0, 1, 1</vt:lpwstr>
  </property>
</Properties>
</file>