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D5" w:rsidRDefault="001167D5" w:rsidP="00C24B88">
      <w:pPr>
        <w:spacing w:after="0" w:line="240" w:lineRule="auto"/>
        <w:contextualSpacing/>
        <w:rPr>
          <w:sz w:val="24"/>
          <w:szCs w:val="24"/>
          <w:u w:val="single"/>
        </w:rPr>
      </w:pPr>
      <w:bookmarkStart w:id="0" w:name="_GoBack"/>
      <w:bookmarkEnd w:id="0"/>
      <w:r w:rsidRPr="00564FFD">
        <w:rPr>
          <w:sz w:val="24"/>
          <w:szCs w:val="24"/>
          <w:u w:val="single"/>
        </w:rPr>
        <w:t xml:space="preserve">Forthcoming </w:t>
      </w:r>
      <w:r w:rsidR="00A645CA">
        <w:rPr>
          <w:sz w:val="24"/>
          <w:szCs w:val="24"/>
          <w:u w:val="single"/>
        </w:rPr>
        <w:t>change to Australia’s d</w:t>
      </w:r>
      <w:r w:rsidRPr="00564FFD">
        <w:rPr>
          <w:sz w:val="24"/>
          <w:szCs w:val="24"/>
          <w:u w:val="single"/>
        </w:rPr>
        <w:t>omestic</w:t>
      </w:r>
      <w:r w:rsidR="00A645CA">
        <w:rPr>
          <w:sz w:val="24"/>
          <w:szCs w:val="24"/>
          <w:u w:val="single"/>
        </w:rPr>
        <w:t xml:space="preserve">ally produced </w:t>
      </w:r>
      <w:r w:rsidRPr="00564FFD">
        <w:rPr>
          <w:sz w:val="24"/>
          <w:szCs w:val="24"/>
          <w:u w:val="single"/>
        </w:rPr>
        <w:t>IVIg</w:t>
      </w:r>
    </w:p>
    <w:p w:rsidR="00EE48C4" w:rsidRPr="00564FFD" w:rsidRDefault="00EE48C4" w:rsidP="00C24B88">
      <w:pPr>
        <w:spacing w:after="0" w:line="240" w:lineRule="auto"/>
        <w:contextualSpacing/>
        <w:rPr>
          <w:sz w:val="24"/>
          <w:szCs w:val="24"/>
          <w:u w:val="single"/>
        </w:rPr>
      </w:pPr>
    </w:p>
    <w:p w:rsidR="001167D5" w:rsidRPr="00564FFD" w:rsidRDefault="00832E8B" w:rsidP="00C24B8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INTRAGAM</w:t>
      </w:r>
      <w:r w:rsidR="00082303" w:rsidRPr="00564FFD">
        <w:rPr>
          <w:sz w:val="24"/>
          <w:szCs w:val="24"/>
        </w:rPr>
        <w:t>®</w:t>
      </w:r>
      <w:r w:rsidR="001167D5" w:rsidRPr="00564FFD">
        <w:rPr>
          <w:sz w:val="24"/>
          <w:szCs w:val="24"/>
        </w:rPr>
        <w:t xml:space="preserve"> </w:t>
      </w:r>
      <w:r w:rsidR="00A645CA">
        <w:rPr>
          <w:sz w:val="24"/>
          <w:szCs w:val="24"/>
        </w:rPr>
        <w:t>10</w:t>
      </w:r>
      <w:r w:rsidR="001167D5" w:rsidRPr="00564FFD">
        <w:rPr>
          <w:sz w:val="24"/>
          <w:szCs w:val="24"/>
        </w:rPr>
        <w:t xml:space="preserve"> </w:t>
      </w:r>
      <w:r w:rsidR="00082303" w:rsidRPr="00564FFD">
        <w:rPr>
          <w:sz w:val="24"/>
          <w:szCs w:val="24"/>
        </w:rPr>
        <w:t xml:space="preserve">to </w:t>
      </w:r>
      <w:r w:rsidR="00A645CA">
        <w:rPr>
          <w:sz w:val="24"/>
          <w:szCs w:val="24"/>
        </w:rPr>
        <w:t xml:space="preserve">replace </w:t>
      </w:r>
      <w:r>
        <w:rPr>
          <w:sz w:val="24"/>
          <w:szCs w:val="24"/>
        </w:rPr>
        <w:t>INTRAGAM</w:t>
      </w:r>
      <w:r w:rsidR="00082303" w:rsidRPr="00564FFD">
        <w:rPr>
          <w:sz w:val="24"/>
          <w:szCs w:val="24"/>
        </w:rPr>
        <w:t>®</w:t>
      </w:r>
      <w:r w:rsidR="001167D5" w:rsidRPr="00564FFD">
        <w:rPr>
          <w:sz w:val="24"/>
          <w:szCs w:val="24"/>
        </w:rPr>
        <w:t xml:space="preserve"> </w:t>
      </w:r>
      <w:r w:rsidR="0042104B">
        <w:rPr>
          <w:sz w:val="24"/>
          <w:szCs w:val="24"/>
        </w:rPr>
        <w:t>P</w:t>
      </w:r>
      <w:r w:rsidR="001167D5" w:rsidRPr="00564FFD">
        <w:rPr>
          <w:sz w:val="24"/>
          <w:szCs w:val="24"/>
        </w:rPr>
        <w:t>, commencing February 2017</w:t>
      </w:r>
    </w:p>
    <w:p w:rsidR="001167D5" w:rsidRPr="00564FFD" w:rsidRDefault="001167D5" w:rsidP="00C24B88">
      <w:pPr>
        <w:spacing w:after="0" w:line="240" w:lineRule="auto"/>
        <w:contextualSpacing/>
      </w:pPr>
    </w:p>
    <w:p w:rsidR="00A645CA" w:rsidRPr="00DB24E4" w:rsidRDefault="001167D5" w:rsidP="00C24B88">
      <w:pPr>
        <w:spacing w:after="0" w:line="240" w:lineRule="auto"/>
        <w:contextualSpacing/>
        <w:rPr>
          <w:rFonts w:cstheme="minorHAnsi"/>
        </w:rPr>
      </w:pPr>
      <w:r w:rsidRPr="00DB24E4">
        <w:rPr>
          <w:rFonts w:cstheme="minorHAnsi"/>
        </w:rPr>
        <w:t>The N</w:t>
      </w:r>
      <w:r w:rsidR="008C6E83" w:rsidRPr="00DB24E4">
        <w:rPr>
          <w:rFonts w:cstheme="minorHAnsi"/>
        </w:rPr>
        <w:t>ational Blood Authority (N</w:t>
      </w:r>
      <w:r w:rsidRPr="00DB24E4">
        <w:rPr>
          <w:rFonts w:cstheme="minorHAnsi"/>
        </w:rPr>
        <w:t>BA</w:t>
      </w:r>
      <w:r w:rsidR="008C6E83" w:rsidRPr="00DB24E4">
        <w:rPr>
          <w:rFonts w:cstheme="minorHAnsi"/>
        </w:rPr>
        <w:t>)</w:t>
      </w:r>
      <w:r w:rsidRPr="00DB24E4">
        <w:rPr>
          <w:rFonts w:cstheme="minorHAnsi"/>
        </w:rPr>
        <w:t xml:space="preserve"> advises </w:t>
      </w:r>
      <w:r w:rsidR="00EE48C4" w:rsidRPr="00DB24E4">
        <w:rPr>
          <w:rFonts w:cstheme="minorHAnsi"/>
        </w:rPr>
        <w:t xml:space="preserve">a forthcoming change </w:t>
      </w:r>
      <w:r w:rsidR="00A645CA" w:rsidRPr="00DB24E4">
        <w:rPr>
          <w:rFonts w:cstheme="minorHAnsi"/>
        </w:rPr>
        <w:t xml:space="preserve">to </w:t>
      </w:r>
      <w:r w:rsidRPr="00DB24E4">
        <w:rPr>
          <w:rFonts w:cstheme="minorHAnsi"/>
        </w:rPr>
        <w:t>Australia’s domestic</w:t>
      </w:r>
      <w:r w:rsidR="00082303" w:rsidRPr="00DB24E4">
        <w:rPr>
          <w:rFonts w:cstheme="minorHAnsi"/>
        </w:rPr>
        <w:t>ally</w:t>
      </w:r>
      <w:r w:rsidRPr="00DB24E4">
        <w:rPr>
          <w:rFonts w:cstheme="minorHAnsi"/>
        </w:rPr>
        <w:t xml:space="preserve"> </w:t>
      </w:r>
      <w:r w:rsidR="00F81520" w:rsidRPr="00DB24E4">
        <w:rPr>
          <w:rFonts w:cstheme="minorHAnsi"/>
        </w:rPr>
        <w:t xml:space="preserve">produced </w:t>
      </w:r>
      <w:r w:rsidRPr="00DB24E4">
        <w:rPr>
          <w:rFonts w:cstheme="minorHAnsi"/>
        </w:rPr>
        <w:t>intravenous immunoglobulin (IVIg) product</w:t>
      </w:r>
      <w:r w:rsidR="00EE48C4" w:rsidRPr="00DB24E4">
        <w:rPr>
          <w:rFonts w:cstheme="minorHAnsi"/>
        </w:rPr>
        <w:t xml:space="preserve">. During </w:t>
      </w:r>
      <w:r w:rsidR="00A645CA" w:rsidRPr="00DB24E4">
        <w:rPr>
          <w:rFonts w:cstheme="minorHAnsi"/>
        </w:rPr>
        <w:t>the first half of 2017</w:t>
      </w:r>
      <w:r w:rsidR="0042104B">
        <w:rPr>
          <w:rFonts w:cstheme="minorHAnsi"/>
        </w:rPr>
        <w:t>,</w:t>
      </w:r>
      <w:r w:rsidR="00EE48C4" w:rsidRPr="00DB24E4">
        <w:rPr>
          <w:rFonts w:cstheme="minorHAnsi"/>
        </w:rPr>
        <w:t xml:space="preserve"> the 10% concentration </w:t>
      </w:r>
      <w:r w:rsidR="00A645CA" w:rsidRPr="00DB24E4">
        <w:rPr>
          <w:rFonts w:cstheme="minorHAnsi"/>
        </w:rPr>
        <w:t>‘</w:t>
      </w:r>
      <w:r w:rsidR="00832E8B">
        <w:rPr>
          <w:rFonts w:cstheme="minorHAnsi"/>
        </w:rPr>
        <w:t>INTRAGAM</w:t>
      </w:r>
      <w:r w:rsidR="00A645CA" w:rsidRPr="00DB24E4">
        <w:rPr>
          <w:rFonts w:cstheme="minorHAnsi"/>
        </w:rPr>
        <w:t xml:space="preserve"> 10’ </w:t>
      </w:r>
      <w:r w:rsidR="00EE48C4" w:rsidRPr="00DB24E4">
        <w:rPr>
          <w:rFonts w:cstheme="minorHAnsi"/>
        </w:rPr>
        <w:t xml:space="preserve">will </w:t>
      </w:r>
      <w:r w:rsidR="00C23E87">
        <w:rPr>
          <w:rFonts w:cstheme="minorHAnsi"/>
        </w:rPr>
        <w:t>be introduced</w:t>
      </w:r>
      <w:r w:rsidR="00A645CA" w:rsidRPr="00DB24E4">
        <w:rPr>
          <w:rFonts w:cstheme="minorHAnsi"/>
        </w:rPr>
        <w:t xml:space="preserve"> and </w:t>
      </w:r>
      <w:r w:rsidR="00C23E87">
        <w:rPr>
          <w:rFonts w:cstheme="minorHAnsi"/>
        </w:rPr>
        <w:t xml:space="preserve">will </w:t>
      </w:r>
      <w:r w:rsidR="0042104B">
        <w:rPr>
          <w:rFonts w:cstheme="minorHAnsi"/>
        </w:rPr>
        <w:t xml:space="preserve">eventually </w:t>
      </w:r>
      <w:r w:rsidR="00A645CA" w:rsidRPr="00DB24E4">
        <w:rPr>
          <w:rFonts w:cstheme="minorHAnsi"/>
        </w:rPr>
        <w:t>replac</w:t>
      </w:r>
      <w:r w:rsidR="00EE48C4" w:rsidRPr="00DB24E4">
        <w:rPr>
          <w:rFonts w:cstheme="minorHAnsi"/>
        </w:rPr>
        <w:t xml:space="preserve">e the </w:t>
      </w:r>
      <w:r w:rsidR="0042104B">
        <w:rPr>
          <w:rFonts w:cstheme="minorHAnsi"/>
        </w:rPr>
        <w:t xml:space="preserve">current </w:t>
      </w:r>
      <w:r w:rsidR="00EE48C4" w:rsidRPr="00DB24E4">
        <w:rPr>
          <w:rFonts w:cstheme="minorHAnsi"/>
        </w:rPr>
        <w:t xml:space="preserve">6% </w:t>
      </w:r>
      <w:r w:rsidR="00A645CA" w:rsidRPr="00DB24E4">
        <w:rPr>
          <w:rFonts w:cstheme="minorHAnsi"/>
        </w:rPr>
        <w:t>‘</w:t>
      </w:r>
      <w:r w:rsidR="00832E8B">
        <w:rPr>
          <w:rFonts w:cstheme="minorHAnsi"/>
        </w:rPr>
        <w:t>INTRAGAM</w:t>
      </w:r>
      <w:r w:rsidRPr="00DB24E4">
        <w:rPr>
          <w:rFonts w:cstheme="minorHAnsi"/>
        </w:rPr>
        <w:t xml:space="preserve"> P</w:t>
      </w:r>
      <w:r w:rsidR="00A645CA" w:rsidRPr="00DB24E4">
        <w:rPr>
          <w:rFonts w:cstheme="minorHAnsi"/>
        </w:rPr>
        <w:t>’.</w:t>
      </w:r>
    </w:p>
    <w:p w:rsidR="00EE48C4" w:rsidRPr="00DB24E4" w:rsidRDefault="00EE48C4" w:rsidP="00C24B88">
      <w:pPr>
        <w:spacing w:after="0" w:line="240" w:lineRule="auto"/>
        <w:contextualSpacing/>
        <w:rPr>
          <w:rFonts w:cstheme="minorHAnsi"/>
        </w:rPr>
      </w:pPr>
    </w:p>
    <w:p w:rsidR="006F246C" w:rsidRDefault="00832E8B" w:rsidP="00842885">
      <w:pPr>
        <w:autoSpaceDE w:val="0"/>
        <w:autoSpaceDN w:val="0"/>
        <w:adjustRightInd w:val="0"/>
        <w:spacing w:after="0" w:line="240" w:lineRule="auto"/>
        <w:rPr>
          <w:rFonts w:eastAsia="FrutigerLTStd-Light" w:cstheme="minorHAnsi"/>
        </w:rPr>
      </w:pPr>
      <w:r>
        <w:rPr>
          <w:rFonts w:eastAsia="FrutigerLTStd-Light" w:cstheme="minorHAnsi"/>
        </w:rPr>
        <w:t>INTRAGAM</w:t>
      </w:r>
      <w:r w:rsidR="00EE48C4" w:rsidRPr="00DB24E4">
        <w:rPr>
          <w:rFonts w:eastAsia="FrutigerLTStd-Light" w:cstheme="minorHAnsi"/>
        </w:rPr>
        <w:t xml:space="preserve"> 10 </w:t>
      </w:r>
      <w:r w:rsidR="00DB24E4" w:rsidRPr="00DB24E4">
        <w:rPr>
          <w:rFonts w:eastAsia="FrutigerLTStd-Light" w:cstheme="minorHAnsi"/>
        </w:rPr>
        <w:t xml:space="preserve">will </w:t>
      </w:r>
      <w:r w:rsidR="0042104B">
        <w:rPr>
          <w:rFonts w:eastAsia="FrutigerLTStd-Light" w:cstheme="minorHAnsi"/>
        </w:rPr>
        <w:t>provide</w:t>
      </w:r>
      <w:r w:rsidR="0042104B" w:rsidRPr="00DB24E4">
        <w:rPr>
          <w:rFonts w:eastAsia="FrutigerLTStd-Light" w:cstheme="minorHAnsi"/>
        </w:rPr>
        <w:t xml:space="preserve"> </w:t>
      </w:r>
      <w:r w:rsidR="00DB24E4" w:rsidRPr="00DB24E4">
        <w:rPr>
          <w:rFonts w:eastAsia="FrutigerLTStd-Light" w:cstheme="minorHAnsi"/>
        </w:rPr>
        <w:t xml:space="preserve">lower volume doses </w:t>
      </w:r>
      <w:r w:rsidR="00DB24E4">
        <w:rPr>
          <w:rFonts w:eastAsia="FrutigerLTStd-Light" w:cstheme="minorHAnsi"/>
        </w:rPr>
        <w:t xml:space="preserve">for patients </w:t>
      </w:r>
      <w:r w:rsidR="00DB24E4" w:rsidRPr="00DB24E4">
        <w:rPr>
          <w:rFonts w:eastAsia="FrutigerLTStd-Light" w:cstheme="minorHAnsi"/>
        </w:rPr>
        <w:t xml:space="preserve">compared with the same Ig dose of </w:t>
      </w:r>
      <w:r>
        <w:rPr>
          <w:rFonts w:eastAsia="FrutigerLTStd-Light" w:cstheme="minorHAnsi"/>
        </w:rPr>
        <w:t>INTRAGAM</w:t>
      </w:r>
      <w:r w:rsidR="00DB24E4" w:rsidRPr="00DB24E4">
        <w:rPr>
          <w:rFonts w:eastAsia="FrutigerLTStd-Light" w:cstheme="minorHAnsi"/>
        </w:rPr>
        <w:t xml:space="preserve"> P</w:t>
      </w:r>
      <w:r w:rsidR="006F246C">
        <w:rPr>
          <w:rFonts w:eastAsia="FrutigerLTStd-Light" w:cstheme="minorHAnsi"/>
        </w:rPr>
        <w:t>.</w:t>
      </w:r>
    </w:p>
    <w:p w:rsidR="00C24B88" w:rsidRPr="00564FFD" w:rsidRDefault="00C24B88" w:rsidP="00C24B88">
      <w:pPr>
        <w:spacing w:after="0" w:line="240" w:lineRule="auto"/>
        <w:contextualSpacing/>
        <w:rPr>
          <w:rFonts w:ascii="Calibri" w:eastAsia="Calibri" w:hAnsi="Calibri" w:cs="Calibri"/>
        </w:rPr>
      </w:pPr>
    </w:p>
    <w:tbl>
      <w:tblPr>
        <w:tblStyle w:val="TableGrid1"/>
        <w:tblW w:w="51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3892"/>
        <w:gridCol w:w="2247"/>
        <w:gridCol w:w="2890"/>
      </w:tblGrid>
      <w:tr w:rsidR="00D2552A" w:rsidRPr="00564FFD" w:rsidTr="004D36AA">
        <w:tc>
          <w:tcPr>
            <w:tcW w:w="2286" w:type="pct"/>
            <w:gridSpan w:val="2"/>
            <w:tcBorders>
              <w:bottom w:val="dotted" w:sz="4" w:space="0" w:color="auto"/>
            </w:tcBorders>
            <w:vAlign w:val="center"/>
          </w:tcPr>
          <w:p w:rsidR="0070723E" w:rsidRPr="00564FFD" w:rsidRDefault="0070723E" w:rsidP="00C24B8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pct"/>
            <w:tcBorders>
              <w:bottom w:val="dotted" w:sz="4" w:space="0" w:color="auto"/>
            </w:tcBorders>
            <w:vAlign w:val="center"/>
          </w:tcPr>
          <w:p w:rsidR="0070723E" w:rsidRPr="00564FFD" w:rsidRDefault="00832E8B" w:rsidP="00C24B8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INTRAGAM</w:t>
            </w:r>
            <w:r w:rsidR="0070723E" w:rsidRPr="00564FFD">
              <w:rPr>
                <w:rFonts w:ascii="Calibri" w:eastAsia="Calibri" w:hAnsi="Calibri" w:cs="Times New Roman"/>
              </w:rPr>
              <w:t xml:space="preserve"> P</w:t>
            </w:r>
          </w:p>
        </w:tc>
        <w:tc>
          <w:tcPr>
            <w:tcW w:w="1527" w:type="pct"/>
            <w:tcBorders>
              <w:bottom w:val="dotted" w:sz="4" w:space="0" w:color="auto"/>
            </w:tcBorders>
            <w:vAlign w:val="center"/>
          </w:tcPr>
          <w:p w:rsidR="0070723E" w:rsidRPr="00564FFD" w:rsidRDefault="00832E8B" w:rsidP="00C24B8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INTRAGAM</w:t>
            </w:r>
            <w:r w:rsidR="0070723E" w:rsidRPr="00564FFD">
              <w:rPr>
                <w:rFonts w:ascii="Calibri" w:eastAsia="Calibri" w:hAnsi="Calibri" w:cs="Times New Roman"/>
              </w:rPr>
              <w:t xml:space="preserve"> 10</w:t>
            </w:r>
          </w:p>
        </w:tc>
      </w:tr>
      <w:tr w:rsidR="00D2552A" w:rsidRPr="00564FFD" w:rsidTr="004D36AA"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23E" w:rsidRPr="00564FFD" w:rsidRDefault="0070723E" w:rsidP="00C24B8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564FF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23E" w:rsidRPr="00564FFD" w:rsidRDefault="0070723E" w:rsidP="00C24B8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564FFD">
              <w:rPr>
                <w:rFonts w:ascii="Calibri" w:eastAsia="Calibri" w:hAnsi="Calibri" w:cs="Times New Roman"/>
              </w:rPr>
              <w:t>Ig concentration</w:t>
            </w:r>
          </w:p>
        </w:tc>
        <w:tc>
          <w:tcPr>
            <w:tcW w:w="118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23E" w:rsidRPr="00564FFD" w:rsidRDefault="0070723E" w:rsidP="00C24B8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564FFD">
              <w:rPr>
                <w:rFonts w:ascii="Calibri" w:eastAsia="Calibri" w:hAnsi="Calibri" w:cs="Times New Roman"/>
              </w:rPr>
              <w:t>6%</w:t>
            </w:r>
          </w:p>
          <w:p w:rsidR="0070723E" w:rsidRPr="00564FFD" w:rsidRDefault="0070723E" w:rsidP="00C24B8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564FFD">
              <w:rPr>
                <w:rFonts w:ascii="Calibri" w:eastAsia="Calibri" w:hAnsi="Calibri" w:cs="Times New Roman"/>
              </w:rPr>
              <w:t>(6g/100mL)</w:t>
            </w:r>
          </w:p>
        </w:tc>
        <w:tc>
          <w:tcPr>
            <w:tcW w:w="15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23E" w:rsidRPr="00564FFD" w:rsidRDefault="0070723E" w:rsidP="00C24B8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564FFD">
              <w:rPr>
                <w:rFonts w:ascii="Calibri" w:eastAsia="Calibri" w:hAnsi="Calibri" w:cs="Times New Roman"/>
              </w:rPr>
              <w:t>10%</w:t>
            </w:r>
          </w:p>
          <w:p w:rsidR="0070723E" w:rsidRPr="00564FFD" w:rsidRDefault="0070723E" w:rsidP="00C24B8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564FFD">
              <w:rPr>
                <w:rFonts w:ascii="Calibri" w:eastAsia="Calibri" w:hAnsi="Calibri" w:cs="Times New Roman"/>
              </w:rPr>
              <w:t>(10g/100mL)</w:t>
            </w:r>
          </w:p>
        </w:tc>
      </w:tr>
      <w:tr w:rsidR="00D2552A" w:rsidRPr="00564FFD" w:rsidTr="004D36AA"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23E" w:rsidRPr="00564FFD" w:rsidRDefault="0070723E" w:rsidP="00C24B8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564FF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23E" w:rsidRPr="00564FFD" w:rsidRDefault="0070723E" w:rsidP="00C24B8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564FFD">
              <w:rPr>
                <w:rFonts w:ascii="Calibri" w:eastAsia="Calibri" w:hAnsi="Calibri" w:cs="Times New Roman"/>
              </w:rPr>
              <w:t>Presentations</w:t>
            </w:r>
            <w:r w:rsidR="008C6E83" w:rsidRPr="00564FFD">
              <w:rPr>
                <w:rFonts w:ascii="Calibri" w:eastAsia="Calibri" w:hAnsi="Calibri" w:cs="Times New Roman"/>
              </w:rPr>
              <w:t xml:space="preserve"> supplied</w:t>
            </w:r>
          </w:p>
        </w:tc>
        <w:tc>
          <w:tcPr>
            <w:tcW w:w="118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23E" w:rsidRPr="00564FFD" w:rsidRDefault="0070723E" w:rsidP="00C24B8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564FFD">
              <w:rPr>
                <w:rFonts w:ascii="Calibri" w:eastAsia="Calibri" w:hAnsi="Calibri" w:cs="Times New Roman"/>
              </w:rPr>
              <w:t>3g in 50mL</w:t>
            </w:r>
          </w:p>
          <w:p w:rsidR="0070723E" w:rsidRPr="00564FFD" w:rsidRDefault="0070723E" w:rsidP="00C24B8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564FFD">
              <w:rPr>
                <w:rFonts w:ascii="Calibri" w:eastAsia="Calibri" w:hAnsi="Calibri" w:cs="Times New Roman"/>
              </w:rPr>
              <w:t>12g in 200mL</w:t>
            </w:r>
          </w:p>
          <w:p w:rsidR="0070723E" w:rsidRPr="00564FFD" w:rsidRDefault="0070723E" w:rsidP="00C24B8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23E" w:rsidRPr="00564FFD" w:rsidRDefault="0070723E" w:rsidP="00C24B8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564FFD">
              <w:rPr>
                <w:rFonts w:ascii="Calibri" w:eastAsia="Calibri" w:hAnsi="Calibri" w:cs="Times New Roman"/>
              </w:rPr>
              <w:t>2.5g in 25mL</w:t>
            </w:r>
          </w:p>
          <w:p w:rsidR="0070723E" w:rsidRPr="00564FFD" w:rsidRDefault="0070723E" w:rsidP="00C24B8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564FFD">
              <w:rPr>
                <w:rFonts w:ascii="Calibri" w:eastAsia="Calibri" w:hAnsi="Calibri" w:cs="Times New Roman"/>
              </w:rPr>
              <w:t>10g in 100mL</w:t>
            </w:r>
          </w:p>
          <w:p w:rsidR="0070723E" w:rsidRPr="00564FFD" w:rsidRDefault="0070723E" w:rsidP="00C24B8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564FFD">
              <w:rPr>
                <w:rFonts w:ascii="Calibri" w:eastAsia="Calibri" w:hAnsi="Calibri" w:cs="Times New Roman"/>
              </w:rPr>
              <w:t>20g in 200mL</w:t>
            </w:r>
          </w:p>
        </w:tc>
      </w:tr>
    </w:tbl>
    <w:p w:rsidR="00C30789" w:rsidRDefault="00C30789" w:rsidP="00842885">
      <w:pPr>
        <w:rPr>
          <w:u w:val="single"/>
        </w:rPr>
      </w:pPr>
    </w:p>
    <w:p w:rsidR="00F81520" w:rsidRDefault="0070723E" w:rsidP="00842885">
      <w:pPr>
        <w:rPr>
          <w:u w:val="single"/>
        </w:rPr>
      </w:pPr>
      <w:r w:rsidRPr="00564FFD">
        <w:rPr>
          <w:u w:val="single"/>
        </w:rPr>
        <w:t>K</w:t>
      </w:r>
      <w:r w:rsidR="001167D5" w:rsidRPr="00564FFD">
        <w:rPr>
          <w:u w:val="single"/>
        </w:rPr>
        <w:t>ey</w:t>
      </w:r>
      <w:r w:rsidR="00842885">
        <w:rPr>
          <w:u w:val="single"/>
        </w:rPr>
        <w:t xml:space="preserve"> </w:t>
      </w:r>
      <w:r w:rsidR="00082303" w:rsidRPr="00564FFD">
        <w:rPr>
          <w:u w:val="single"/>
        </w:rPr>
        <w:t>T</w:t>
      </w:r>
      <w:r w:rsidR="001167D5" w:rsidRPr="00564FFD">
        <w:rPr>
          <w:u w:val="single"/>
        </w:rPr>
        <w:t xml:space="preserve">ransition </w:t>
      </w:r>
      <w:r w:rsidR="00B23A8D" w:rsidRPr="00564FFD">
        <w:rPr>
          <w:u w:val="single"/>
        </w:rPr>
        <w:t>Dates</w:t>
      </w:r>
      <w:r w:rsidR="001167D5" w:rsidRPr="00564FFD">
        <w:rPr>
          <w:u w:val="single"/>
        </w:rPr>
        <w:t>:</w:t>
      </w:r>
    </w:p>
    <w:p w:rsidR="0042104B" w:rsidRPr="006F246C" w:rsidRDefault="0042104B" w:rsidP="00842885">
      <w:r>
        <w:t>INTRAGAM 10 will be introduced in a two-step process.</w:t>
      </w:r>
    </w:p>
    <w:p w:rsidR="00563D6A" w:rsidRPr="00563D6A" w:rsidRDefault="00563D6A" w:rsidP="00C24B88">
      <w:pPr>
        <w:spacing w:after="0" w:line="240" w:lineRule="auto"/>
        <w:contextualSpacing/>
        <w:rPr>
          <w:u w:val="single"/>
        </w:rPr>
      </w:pPr>
      <w:r w:rsidRPr="00563D6A">
        <w:rPr>
          <w:u w:val="single"/>
        </w:rPr>
        <w:t>Phase 1</w:t>
      </w:r>
      <w:r w:rsidR="007D4BDD">
        <w:rPr>
          <w:u w:val="single"/>
        </w:rPr>
        <w:t xml:space="preserve"> </w:t>
      </w:r>
      <w:r w:rsidR="006F246C">
        <w:rPr>
          <w:u w:val="single"/>
        </w:rPr>
        <w:t xml:space="preserve">- </w:t>
      </w:r>
      <w:r w:rsidR="0042104B">
        <w:rPr>
          <w:u w:val="single"/>
        </w:rPr>
        <w:t xml:space="preserve">Supplied to </w:t>
      </w:r>
      <w:r w:rsidR="00842885">
        <w:rPr>
          <w:u w:val="single"/>
        </w:rPr>
        <w:t>‘</w:t>
      </w:r>
      <w:r w:rsidR="0042104B">
        <w:rPr>
          <w:u w:val="single"/>
        </w:rPr>
        <w:t>n</w:t>
      </w:r>
      <w:r w:rsidRPr="00563D6A">
        <w:rPr>
          <w:u w:val="single"/>
        </w:rPr>
        <w:t>ew patients</w:t>
      </w:r>
      <w:r w:rsidR="00842885">
        <w:rPr>
          <w:u w:val="single"/>
        </w:rPr>
        <w:t>’</w:t>
      </w:r>
      <w:r w:rsidRPr="00563D6A">
        <w:rPr>
          <w:u w:val="single"/>
        </w:rPr>
        <w:t xml:space="preserve"> </w:t>
      </w:r>
      <w:r w:rsidR="00842885">
        <w:rPr>
          <w:u w:val="single"/>
        </w:rPr>
        <w:t xml:space="preserve">with conditions for which </w:t>
      </w:r>
      <w:r w:rsidRPr="00563D6A">
        <w:rPr>
          <w:u w:val="single"/>
        </w:rPr>
        <w:t>domestic IVIg</w:t>
      </w:r>
      <w:r w:rsidR="00842885">
        <w:rPr>
          <w:u w:val="single"/>
        </w:rPr>
        <w:t xml:space="preserve"> is allocated</w:t>
      </w:r>
    </w:p>
    <w:p w:rsidR="00563D6A" w:rsidRPr="00564FFD" w:rsidRDefault="00563D6A" w:rsidP="00C24B88">
      <w:pPr>
        <w:spacing w:after="0" w:line="240" w:lineRule="auto"/>
        <w:contextualSpacing/>
      </w:pPr>
    </w:p>
    <w:p w:rsidR="00C24B88" w:rsidRPr="00564FFD" w:rsidRDefault="00C24B88" w:rsidP="00DB24E4">
      <w:pPr>
        <w:spacing w:after="0" w:line="240" w:lineRule="auto"/>
        <w:ind w:left="2880" w:hanging="2160"/>
        <w:contextualSpacing/>
      </w:pPr>
      <w:r w:rsidRPr="00564FFD">
        <w:t>Mon 23 Jan 2017</w:t>
      </w:r>
      <w:r w:rsidR="00082303" w:rsidRPr="00564FFD">
        <w:t>:</w:t>
      </w:r>
      <w:r w:rsidR="00082303" w:rsidRPr="00564FFD">
        <w:tab/>
      </w:r>
      <w:r w:rsidRPr="00564FFD">
        <w:t xml:space="preserve">Centres </w:t>
      </w:r>
      <w:r w:rsidR="005A41E9">
        <w:t xml:space="preserve">may </w:t>
      </w:r>
      <w:r w:rsidRPr="00564FFD">
        <w:t xml:space="preserve">commence ordering the incoming </w:t>
      </w:r>
      <w:r w:rsidR="00832E8B">
        <w:t>INTRAGAM</w:t>
      </w:r>
      <w:r w:rsidRPr="00564FFD">
        <w:t xml:space="preserve"> 10</w:t>
      </w:r>
      <w:r w:rsidR="0071501A" w:rsidRPr="00564FFD">
        <w:t xml:space="preserve"> </w:t>
      </w:r>
      <w:r w:rsidR="00DB24E4">
        <w:t xml:space="preserve">in small volumes to meet </w:t>
      </w:r>
      <w:r w:rsidR="005A41E9">
        <w:t xml:space="preserve">anticipated </w:t>
      </w:r>
      <w:r w:rsidR="00DB24E4">
        <w:t xml:space="preserve">needs </w:t>
      </w:r>
      <w:r w:rsidR="00563D6A">
        <w:t xml:space="preserve">from 1 February for </w:t>
      </w:r>
      <w:r w:rsidR="0071501A" w:rsidRPr="00564FFD">
        <w:t>‘new patients</w:t>
      </w:r>
      <w:r w:rsidR="00C070E1" w:rsidRPr="00564FFD">
        <w:t xml:space="preserve"> </w:t>
      </w:r>
      <w:r w:rsidR="00430E4A">
        <w:t xml:space="preserve">with conditions for which </w:t>
      </w:r>
      <w:r w:rsidR="00C070E1" w:rsidRPr="00564FFD">
        <w:t>domestic IVIg</w:t>
      </w:r>
      <w:r w:rsidR="00430E4A">
        <w:t xml:space="preserve"> is allocated</w:t>
      </w:r>
      <w:r w:rsidR="0071501A" w:rsidRPr="00564FFD">
        <w:t>’</w:t>
      </w:r>
      <w:r w:rsidR="005A41E9">
        <w:t>.</w:t>
      </w:r>
    </w:p>
    <w:p w:rsidR="00C24B88" w:rsidRPr="00564FFD" w:rsidRDefault="00C24B88" w:rsidP="00C24B88">
      <w:pPr>
        <w:spacing w:after="0" w:line="240" w:lineRule="auto"/>
        <w:contextualSpacing/>
      </w:pPr>
    </w:p>
    <w:p w:rsidR="00C24B88" w:rsidRPr="00564FFD" w:rsidRDefault="0070723E" w:rsidP="006F246C">
      <w:pPr>
        <w:spacing w:after="0" w:line="240" w:lineRule="auto"/>
        <w:ind w:left="2880" w:hanging="2160"/>
        <w:contextualSpacing/>
      </w:pPr>
      <w:r w:rsidRPr="00564FFD">
        <w:t>Wed 1 Feb 2017</w:t>
      </w:r>
      <w:r w:rsidR="00082303" w:rsidRPr="00564FFD">
        <w:t>:</w:t>
      </w:r>
      <w:r w:rsidR="00082303" w:rsidRPr="00564FFD">
        <w:tab/>
      </w:r>
      <w:r w:rsidR="00C24B88" w:rsidRPr="00564FFD">
        <w:t xml:space="preserve">Date from which </w:t>
      </w:r>
      <w:r w:rsidR="00832E8B">
        <w:t>INTRAGAM</w:t>
      </w:r>
      <w:r w:rsidR="00C24B88" w:rsidRPr="00564FFD">
        <w:t xml:space="preserve"> </w:t>
      </w:r>
      <w:r w:rsidR="00DB24E4">
        <w:t xml:space="preserve">10 </w:t>
      </w:r>
      <w:r w:rsidR="0042104B">
        <w:t xml:space="preserve">will be </w:t>
      </w:r>
      <w:r w:rsidR="00980888">
        <w:t>supplied</w:t>
      </w:r>
      <w:r w:rsidR="0042104B">
        <w:t xml:space="preserve"> </w:t>
      </w:r>
      <w:r w:rsidR="00DB24E4">
        <w:t>to n</w:t>
      </w:r>
      <w:r w:rsidRPr="00564FFD">
        <w:t>ew patients with condition</w:t>
      </w:r>
      <w:r w:rsidR="00563D6A">
        <w:t>s</w:t>
      </w:r>
      <w:r w:rsidRPr="00564FFD">
        <w:t xml:space="preserve"> for which domestic</w:t>
      </w:r>
      <w:r w:rsidR="00123E37" w:rsidRPr="00564FFD">
        <w:t xml:space="preserve"> </w:t>
      </w:r>
      <w:r w:rsidRPr="00564FFD">
        <w:t>IVIg is allocated</w:t>
      </w:r>
      <w:r w:rsidR="00980888">
        <w:t xml:space="preserve"> via BloodSTAR</w:t>
      </w:r>
      <w:r w:rsidR="00DB24E4">
        <w:t>.</w:t>
      </w:r>
    </w:p>
    <w:p w:rsidR="00082303" w:rsidRDefault="00082303" w:rsidP="00F81520">
      <w:pPr>
        <w:spacing w:after="0" w:line="240" w:lineRule="auto"/>
        <w:contextualSpacing/>
      </w:pPr>
    </w:p>
    <w:p w:rsidR="00563D6A" w:rsidRDefault="00563D6A" w:rsidP="00563D6A">
      <w:pPr>
        <w:spacing w:after="0" w:line="240" w:lineRule="auto"/>
        <w:contextualSpacing/>
        <w:rPr>
          <w:u w:val="single"/>
        </w:rPr>
      </w:pPr>
      <w:r w:rsidRPr="00563D6A">
        <w:rPr>
          <w:u w:val="single"/>
        </w:rPr>
        <w:t xml:space="preserve">Phase </w:t>
      </w:r>
      <w:r>
        <w:rPr>
          <w:u w:val="single"/>
        </w:rPr>
        <w:t>2</w:t>
      </w:r>
      <w:r w:rsidR="007D4BDD">
        <w:rPr>
          <w:u w:val="single"/>
        </w:rPr>
        <w:t xml:space="preserve"> </w:t>
      </w:r>
      <w:r w:rsidR="006F246C">
        <w:rPr>
          <w:u w:val="single"/>
        </w:rPr>
        <w:t xml:space="preserve">- </w:t>
      </w:r>
      <w:r w:rsidR="00980888">
        <w:rPr>
          <w:u w:val="single"/>
        </w:rPr>
        <w:t xml:space="preserve">Supplied to </w:t>
      </w:r>
      <w:r w:rsidR="00842885">
        <w:rPr>
          <w:u w:val="single"/>
        </w:rPr>
        <w:t>‘</w:t>
      </w:r>
      <w:r w:rsidR="00980888">
        <w:rPr>
          <w:u w:val="single"/>
        </w:rPr>
        <w:t>e</w:t>
      </w:r>
      <w:r>
        <w:rPr>
          <w:u w:val="single"/>
        </w:rPr>
        <w:t>xisting patients</w:t>
      </w:r>
      <w:r w:rsidR="00842885">
        <w:rPr>
          <w:u w:val="single"/>
        </w:rPr>
        <w:t>’</w:t>
      </w:r>
      <w:r>
        <w:rPr>
          <w:u w:val="single"/>
        </w:rPr>
        <w:t xml:space="preserve"> </w:t>
      </w:r>
      <w:r w:rsidR="00980888">
        <w:rPr>
          <w:u w:val="single"/>
        </w:rPr>
        <w:t>currently receiving INTRAGAM P</w:t>
      </w:r>
      <w:r w:rsidR="00980888" w:rsidDel="00980888">
        <w:rPr>
          <w:u w:val="single"/>
        </w:rPr>
        <w:t xml:space="preserve"> </w:t>
      </w:r>
    </w:p>
    <w:p w:rsidR="00563D6A" w:rsidRDefault="00563D6A" w:rsidP="00563D6A">
      <w:pPr>
        <w:spacing w:after="0" w:line="240" w:lineRule="auto"/>
      </w:pPr>
    </w:p>
    <w:p w:rsidR="007D4BDD" w:rsidRDefault="00563D6A" w:rsidP="00842885">
      <w:pPr>
        <w:spacing w:after="0" w:line="240" w:lineRule="auto"/>
        <w:ind w:left="720"/>
      </w:pPr>
      <w:r>
        <w:t>U</w:t>
      </w:r>
      <w:r w:rsidRPr="00564FFD">
        <w:t xml:space="preserve">pon commencing </w:t>
      </w:r>
      <w:r w:rsidR="00832E8B">
        <w:t>INTRAGAM</w:t>
      </w:r>
      <w:r w:rsidRPr="00564FFD">
        <w:t xml:space="preserve"> 10 manufacture</w:t>
      </w:r>
      <w:r w:rsidR="00980888">
        <w:t>,</w:t>
      </w:r>
      <w:r w:rsidRPr="00564FFD">
        <w:t xml:space="preserve"> CSL Behring will cease </w:t>
      </w:r>
      <w:r w:rsidR="00832E8B">
        <w:t>INTRAGAM</w:t>
      </w:r>
      <w:r w:rsidRPr="00564FFD">
        <w:t xml:space="preserve"> P manufacture</w:t>
      </w:r>
      <w:r w:rsidR="005A41E9">
        <w:t xml:space="preserve"> </w:t>
      </w:r>
      <w:r w:rsidR="007D4BDD">
        <w:t>and t</w:t>
      </w:r>
      <w:r w:rsidRPr="00564FFD">
        <w:t xml:space="preserve">he Blood Service will </w:t>
      </w:r>
      <w:r>
        <w:t xml:space="preserve">draw down </w:t>
      </w:r>
      <w:r w:rsidRPr="00564FFD">
        <w:t xml:space="preserve">national </w:t>
      </w:r>
      <w:r w:rsidR="00832E8B">
        <w:t>INTRAGAM</w:t>
      </w:r>
      <w:r>
        <w:t xml:space="preserve"> P</w:t>
      </w:r>
      <w:r w:rsidR="007D4BDD">
        <w:t xml:space="preserve"> inventories. When</w:t>
      </w:r>
      <w:r>
        <w:t xml:space="preserve"> these </w:t>
      </w:r>
      <w:r w:rsidR="00430E4A">
        <w:t xml:space="preserve">inventories </w:t>
      </w:r>
      <w:r>
        <w:t>are exhausted</w:t>
      </w:r>
      <w:r w:rsidR="006F246C">
        <w:t xml:space="preserve"> </w:t>
      </w:r>
      <w:r>
        <w:t xml:space="preserve">only </w:t>
      </w:r>
      <w:r w:rsidR="00832E8B">
        <w:t>INTRAGAM</w:t>
      </w:r>
      <w:r>
        <w:t xml:space="preserve"> 10 will be </w:t>
      </w:r>
      <w:r w:rsidR="00C23E87">
        <w:t>supplied</w:t>
      </w:r>
      <w:r w:rsidR="00430E4A">
        <w:t xml:space="preserve">, </w:t>
      </w:r>
      <w:r>
        <w:t xml:space="preserve">and patients </w:t>
      </w:r>
      <w:r w:rsidR="00ED256E">
        <w:t xml:space="preserve">who are </w:t>
      </w:r>
      <w:r>
        <w:t xml:space="preserve">currently receiving </w:t>
      </w:r>
      <w:r w:rsidR="00832E8B">
        <w:t>INTRAGAM</w:t>
      </w:r>
      <w:r>
        <w:t xml:space="preserve"> P will </w:t>
      </w:r>
      <w:r w:rsidR="00980888">
        <w:t xml:space="preserve">be required to </w:t>
      </w:r>
      <w:r>
        <w:t>transition</w:t>
      </w:r>
      <w:r w:rsidR="00980888">
        <w:t xml:space="preserve"> to INTRAGAM 10</w:t>
      </w:r>
      <w:r>
        <w:t xml:space="preserve">. </w:t>
      </w:r>
    </w:p>
    <w:p w:rsidR="007D4BDD" w:rsidRDefault="007D4BDD" w:rsidP="00842885">
      <w:pPr>
        <w:spacing w:after="0" w:line="240" w:lineRule="auto"/>
        <w:ind w:left="720"/>
      </w:pPr>
    </w:p>
    <w:p w:rsidR="00842885" w:rsidRDefault="00980888" w:rsidP="003F5FA5">
      <w:pPr>
        <w:spacing w:after="0" w:line="240" w:lineRule="auto"/>
        <w:ind w:left="720"/>
        <w:contextualSpacing/>
      </w:pPr>
      <w:r>
        <w:t xml:space="preserve">It is currently anticipated that </w:t>
      </w:r>
      <w:r w:rsidR="00832E8B">
        <w:t>INTRAGAM</w:t>
      </w:r>
      <w:r w:rsidR="007D4BDD">
        <w:t xml:space="preserve"> P inventories </w:t>
      </w:r>
      <w:r>
        <w:t>will be</w:t>
      </w:r>
      <w:r w:rsidR="00430E4A">
        <w:t xml:space="preserve"> </w:t>
      </w:r>
      <w:r w:rsidR="007D4BDD">
        <w:t>exhaust</w:t>
      </w:r>
      <w:r>
        <w:t>ed</w:t>
      </w:r>
      <w:r w:rsidR="007D4BDD">
        <w:t xml:space="preserve"> at some </w:t>
      </w:r>
      <w:r w:rsidR="00430E4A">
        <w:t xml:space="preserve">time </w:t>
      </w:r>
      <w:r w:rsidR="007D4BDD">
        <w:t>between mid</w:t>
      </w:r>
      <w:r w:rsidR="00430E4A">
        <w:t>-</w:t>
      </w:r>
      <w:r w:rsidR="007D4BDD">
        <w:t>March and mid-April 2017</w:t>
      </w:r>
      <w:r w:rsidR="00430E4A">
        <w:t xml:space="preserve">. The </w:t>
      </w:r>
      <w:r w:rsidR="007D4BDD">
        <w:t xml:space="preserve">Blood Service </w:t>
      </w:r>
      <w:r w:rsidR="00430E4A">
        <w:t xml:space="preserve">will </w:t>
      </w:r>
      <w:r>
        <w:t>work closely with approved health providers</w:t>
      </w:r>
      <w:r w:rsidR="00C23E87">
        <w:t xml:space="preserve"> (AHPs)</w:t>
      </w:r>
      <w:r>
        <w:t xml:space="preserve"> to facilitate the structured transition of inventory</w:t>
      </w:r>
      <w:r w:rsidR="007D4BDD">
        <w:t xml:space="preserve"> closer to the time.</w:t>
      </w:r>
      <w:r w:rsidR="00C23E87">
        <w:t xml:space="preserve"> This may require AHPs to reduce their stock holdings of INTRAGAM P as national inventory levels fall</w:t>
      </w:r>
      <w:r w:rsidR="00AE7320">
        <w:t>,</w:t>
      </w:r>
      <w:r w:rsidR="00C23E87">
        <w:t xml:space="preserve"> in order to ensure a smooth transition to INTRAGAM 10.</w:t>
      </w:r>
    </w:p>
    <w:p w:rsidR="00842885" w:rsidRDefault="009F0A9E" w:rsidP="00C24B88">
      <w:pPr>
        <w:spacing w:after="0" w:line="240" w:lineRule="auto"/>
        <w:contextualSpacing/>
      </w:pPr>
      <w:r>
        <w:br/>
      </w:r>
    </w:p>
    <w:p w:rsidR="009F0A9E" w:rsidRDefault="009F0A9E" w:rsidP="00C24B88">
      <w:pPr>
        <w:spacing w:after="0" w:line="240" w:lineRule="auto"/>
        <w:contextualSpacing/>
      </w:pPr>
    </w:p>
    <w:p w:rsidR="00CC0F99" w:rsidRDefault="00CC0F99" w:rsidP="00C24B88">
      <w:pPr>
        <w:spacing w:after="0" w:line="240" w:lineRule="auto"/>
        <w:contextualSpacing/>
      </w:pPr>
    </w:p>
    <w:p w:rsidR="00CC0F99" w:rsidRDefault="00CC0F99" w:rsidP="00C24B88">
      <w:pPr>
        <w:spacing w:after="0" w:line="240" w:lineRule="auto"/>
        <w:contextualSpacing/>
      </w:pPr>
    </w:p>
    <w:p w:rsidR="00CC0F99" w:rsidRPr="00564FFD" w:rsidRDefault="00CC0F99" w:rsidP="00C24B88">
      <w:pPr>
        <w:spacing w:after="0" w:line="240" w:lineRule="auto"/>
        <w:contextualSpacing/>
      </w:pPr>
    </w:p>
    <w:p w:rsidR="006338C8" w:rsidRDefault="006338C8" w:rsidP="00C24B88">
      <w:pPr>
        <w:spacing w:after="0" w:line="240" w:lineRule="auto"/>
        <w:contextualSpacing/>
        <w:rPr>
          <w:u w:val="single"/>
        </w:rPr>
      </w:pPr>
      <w:r w:rsidRPr="00564FFD">
        <w:rPr>
          <w:u w:val="single"/>
        </w:rPr>
        <w:lastRenderedPageBreak/>
        <w:t>Figure 1: Timeline for Domestic IVIg Transition</w:t>
      </w:r>
    </w:p>
    <w:p w:rsidR="001D57AB" w:rsidRDefault="001D57AB" w:rsidP="00C24B88">
      <w:pPr>
        <w:spacing w:after="0" w:line="240" w:lineRule="auto"/>
        <w:contextualSpacing/>
        <w:rPr>
          <w:u w:val="single"/>
        </w:rPr>
      </w:pPr>
    </w:p>
    <w:p w:rsidR="00AE7320" w:rsidRDefault="00AE7320" w:rsidP="00C24B88">
      <w:pPr>
        <w:spacing w:after="0" w:line="240" w:lineRule="auto"/>
        <w:contextualSpacing/>
        <w:rPr>
          <w:u w:val="single"/>
        </w:rPr>
      </w:pPr>
      <w:r w:rsidRPr="00AE7320">
        <w:rPr>
          <w:noProof/>
        </w:rPr>
        <w:drawing>
          <wp:inline distT="0" distB="0" distL="0" distR="0" wp14:anchorId="43B34981" wp14:editId="5017BFEA">
            <wp:extent cx="5731510" cy="1428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A9E" w:rsidRDefault="009F0A9E" w:rsidP="00C24B88">
      <w:pPr>
        <w:spacing w:after="0" w:line="240" w:lineRule="auto"/>
        <w:contextualSpacing/>
        <w:rPr>
          <w:u w:val="single"/>
        </w:rPr>
      </w:pPr>
    </w:p>
    <w:p w:rsidR="009F0A9E" w:rsidRPr="00564FFD" w:rsidRDefault="009F0A9E" w:rsidP="00C24B88">
      <w:pPr>
        <w:spacing w:after="0" w:line="240" w:lineRule="auto"/>
        <w:contextualSpacing/>
        <w:rPr>
          <w:u w:val="single"/>
        </w:rPr>
      </w:pPr>
    </w:p>
    <w:p w:rsidR="001167D5" w:rsidRPr="00564FFD" w:rsidRDefault="001167D5" w:rsidP="00C24B88">
      <w:pPr>
        <w:spacing w:after="0" w:line="240" w:lineRule="auto"/>
        <w:contextualSpacing/>
        <w:rPr>
          <w:u w:val="single"/>
        </w:rPr>
      </w:pPr>
      <w:r w:rsidRPr="00564FFD">
        <w:rPr>
          <w:u w:val="single"/>
        </w:rPr>
        <w:t>Distribution, authorisation and allocation of Ig products</w:t>
      </w:r>
    </w:p>
    <w:p w:rsidR="00B23A8D" w:rsidRPr="00564FFD" w:rsidRDefault="00B23A8D" w:rsidP="00C24B88">
      <w:pPr>
        <w:spacing w:after="0" w:line="240" w:lineRule="auto"/>
        <w:contextualSpacing/>
        <w:rPr>
          <w:u w:val="single"/>
        </w:rPr>
      </w:pPr>
    </w:p>
    <w:p w:rsidR="006F246C" w:rsidRDefault="00ED256E" w:rsidP="00C24B88">
      <w:pPr>
        <w:spacing w:after="0" w:line="240" w:lineRule="auto"/>
        <w:contextualSpacing/>
      </w:pPr>
      <w:r>
        <w:t xml:space="preserve">There will be no change to the distribution, authorisation and allocation processes for Ig products supplied under </w:t>
      </w:r>
      <w:r w:rsidR="00F81520" w:rsidRPr="00564FFD">
        <w:t>the National Blood Supply arrangements</w:t>
      </w:r>
      <w:r w:rsidR="00AE52D5">
        <w:t>.</w:t>
      </w:r>
      <w:r w:rsidR="00F81520" w:rsidRPr="00564FFD">
        <w:t xml:space="preserve"> </w:t>
      </w:r>
    </w:p>
    <w:p w:rsidR="006F246C" w:rsidRDefault="006F246C" w:rsidP="00C24B88">
      <w:pPr>
        <w:spacing w:after="0" w:line="240" w:lineRule="auto"/>
        <w:contextualSpacing/>
      </w:pPr>
    </w:p>
    <w:p w:rsidR="009F0A9E" w:rsidRDefault="009F0A9E" w:rsidP="00C24B88">
      <w:pPr>
        <w:spacing w:after="0" w:line="240" w:lineRule="auto"/>
        <w:contextualSpacing/>
      </w:pPr>
    </w:p>
    <w:p w:rsidR="00842885" w:rsidRPr="00564FFD" w:rsidRDefault="00842885" w:rsidP="00842885">
      <w:pPr>
        <w:spacing w:after="0" w:line="240" w:lineRule="auto"/>
        <w:contextualSpacing/>
        <w:rPr>
          <w:u w:val="single"/>
        </w:rPr>
      </w:pPr>
      <w:r>
        <w:rPr>
          <w:u w:val="single"/>
        </w:rPr>
        <w:t>Further Transition Information</w:t>
      </w:r>
    </w:p>
    <w:p w:rsidR="00842885" w:rsidRPr="00564FFD" w:rsidRDefault="00842885" w:rsidP="00842885">
      <w:pPr>
        <w:spacing w:after="0" w:line="240" w:lineRule="auto"/>
        <w:contextualSpacing/>
      </w:pPr>
    </w:p>
    <w:p w:rsidR="00842885" w:rsidRDefault="00842885" w:rsidP="00842885">
      <w:pPr>
        <w:spacing w:after="0" w:line="240" w:lineRule="auto"/>
        <w:contextualSpacing/>
      </w:pPr>
      <w:r w:rsidRPr="00564FFD">
        <w:t>The NBA is finalising transition arrangements with the Australian Red Cross Blood Service (the Blood Service), clinical stakeholders, State and Territory health department representatives, and the manufacturer CSL Behring.</w:t>
      </w:r>
      <w:r>
        <w:t xml:space="preserve"> </w:t>
      </w:r>
    </w:p>
    <w:p w:rsidR="00842885" w:rsidRDefault="00842885" w:rsidP="00842885">
      <w:pPr>
        <w:spacing w:after="0" w:line="240" w:lineRule="auto"/>
        <w:contextualSpacing/>
      </w:pPr>
    </w:p>
    <w:p w:rsidR="00842885" w:rsidRPr="00564FFD" w:rsidRDefault="00AE52D5" w:rsidP="00842885">
      <w:pPr>
        <w:spacing w:after="0" w:line="240" w:lineRule="auto"/>
        <w:contextualSpacing/>
      </w:pPr>
      <w:r>
        <w:t>M</w:t>
      </w:r>
      <w:r w:rsidR="00842885" w:rsidRPr="00564FFD">
        <w:t xml:space="preserve">ore detailed information regarding the transition processes </w:t>
      </w:r>
      <w:r>
        <w:t>for</w:t>
      </w:r>
      <w:r w:rsidRPr="00564FFD">
        <w:t xml:space="preserve"> </w:t>
      </w:r>
      <w:r w:rsidR="00842885" w:rsidRPr="00564FFD">
        <w:t>key stakeholders including clinicians, hospitals, blood banks, medical directors, infusion clinics, medical colleges and societies and patient groups</w:t>
      </w:r>
      <w:r>
        <w:t xml:space="preserve"> will be distributed over the coming months</w:t>
      </w:r>
      <w:r w:rsidR="00842885" w:rsidRPr="00564FFD">
        <w:t xml:space="preserve">. The information will </w:t>
      </w:r>
      <w:r w:rsidR="00AE7320">
        <w:t>include</w:t>
      </w:r>
      <w:r w:rsidR="00842885" w:rsidRPr="00564FFD">
        <w:t xml:space="preserve">: </w:t>
      </w:r>
    </w:p>
    <w:p w:rsidR="00A8717D" w:rsidRPr="00564FFD" w:rsidRDefault="00842885" w:rsidP="00A8717D">
      <w:pPr>
        <w:pStyle w:val="ListParagraph"/>
        <w:numPr>
          <w:ilvl w:val="0"/>
          <w:numId w:val="2"/>
        </w:numPr>
        <w:spacing w:after="0" w:line="240" w:lineRule="auto"/>
      </w:pPr>
      <w:r w:rsidRPr="00564FFD">
        <w:t xml:space="preserve">Timeframes for availability of </w:t>
      </w:r>
      <w:r>
        <w:t>INTRAGAM</w:t>
      </w:r>
      <w:r w:rsidRPr="00564FFD">
        <w:t xml:space="preserve"> 10 and cessation of the outgoing </w:t>
      </w:r>
      <w:r>
        <w:t>INTRAGAM</w:t>
      </w:r>
      <w:r w:rsidRPr="00564FFD">
        <w:t xml:space="preserve"> P</w:t>
      </w:r>
      <w:r w:rsidR="006F246C">
        <w:t>.</w:t>
      </w:r>
    </w:p>
    <w:p w:rsidR="00842885" w:rsidRPr="00564FFD" w:rsidRDefault="00842885" w:rsidP="00842885">
      <w:pPr>
        <w:pStyle w:val="ListParagraph"/>
        <w:numPr>
          <w:ilvl w:val="0"/>
          <w:numId w:val="2"/>
        </w:numPr>
        <w:spacing w:after="0" w:line="240" w:lineRule="auto"/>
      </w:pPr>
      <w:r w:rsidRPr="00564FFD">
        <w:t xml:space="preserve">Either hard copies or web links to the following information for </w:t>
      </w:r>
      <w:r>
        <w:t>INTRAGAM</w:t>
      </w:r>
      <w:r w:rsidRPr="00564FFD">
        <w:t xml:space="preserve"> 10: </w:t>
      </w:r>
    </w:p>
    <w:p w:rsidR="00842885" w:rsidRDefault="006F246C" w:rsidP="00842885">
      <w:pPr>
        <w:pStyle w:val="ListParagraph"/>
        <w:numPr>
          <w:ilvl w:val="1"/>
          <w:numId w:val="2"/>
        </w:numPr>
        <w:spacing w:after="0" w:line="240" w:lineRule="auto"/>
      </w:pPr>
      <w:r>
        <w:t>Updated h</w:t>
      </w:r>
      <w:r w:rsidR="00AE7320">
        <w:t xml:space="preserve">igh-level comparison of </w:t>
      </w:r>
      <w:r w:rsidR="00842885" w:rsidRPr="00564FFD">
        <w:t>available Ig products</w:t>
      </w:r>
    </w:p>
    <w:p w:rsidR="00842885" w:rsidRPr="00564FFD" w:rsidRDefault="006F246C" w:rsidP="0084288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INTRAGAM 10 </w:t>
      </w:r>
      <w:r w:rsidR="004F22AE" w:rsidRPr="00564FFD">
        <w:t>Product Information and Consumer Medicine Information sheets</w:t>
      </w:r>
      <w:r w:rsidR="004F22AE">
        <w:t xml:space="preserve">, Healthcare Professional </w:t>
      </w:r>
      <w:r>
        <w:t>brochure</w:t>
      </w:r>
      <w:r w:rsidR="003F5FA5">
        <w:t xml:space="preserve"> including administration guidance, FAQ leaflet, dosing calculator, Patient brochure</w:t>
      </w:r>
    </w:p>
    <w:p w:rsidR="00842885" w:rsidRPr="00564FFD" w:rsidRDefault="00842885" w:rsidP="00842885">
      <w:pPr>
        <w:pStyle w:val="ListParagraph"/>
        <w:numPr>
          <w:ilvl w:val="0"/>
          <w:numId w:val="2"/>
        </w:numPr>
        <w:spacing w:after="0" w:line="240" w:lineRule="auto"/>
      </w:pPr>
      <w:r w:rsidRPr="00564FFD">
        <w:t>Product information will also be available through the manufacturer’s website (CSL Behring)</w:t>
      </w:r>
    </w:p>
    <w:p w:rsidR="00842885" w:rsidRDefault="00842885" w:rsidP="00C24B88">
      <w:pPr>
        <w:spacing w:after="0" w:line="240" w:lineRule="auto"/>
        <w:contextualSpacing/>
      </w:pPr>
    </w:p>
    <w:p w:rsidR="009F0A9E" w:rsidRPr="00564FFD" w:rsidRDefault="009F0A9E" w:rsidP="00C24B88">
      <w:pPr>
        <w:spacing w:after="0" w:line="240" w:lineRule="auto"/>
        <w:contextualSpacing/>
      </w:pPr>
    </w:p>
    <w:p w:rsidR="001167D5" w:rsidRPr="00564FFD" w:rsidRDefault="00E3092B" w:rsidP="00C24B88">
      <w:pPr>
        <w:spacing w:after="0" w:line="240" w:lineRule="auto"/>
        <w:contextualSpacing/>
        <w:rPr>
          <w:u w:val="single"/>
        </w:rPr>
      </w:pPr>
      <w:r>
        <w:rPr>
          <w:u w:val="single"/>
        </w:rPr>
        <w:t>Q</w:t>
      </w:r>
      <w:r w:rsidR="001167D5" w:rsidRPr="00564FFD">
        <w:rPr>
          <w:u w:val="single"/>
        </w:rPr>
        <w:t xml:space="preserve">ueries on the </w:t>
      </w:r>
      <w:r w:rsidR="001458C7" w:rsidRPr="00564FFD">
        <w:rPr>
          <w:u w:val="single"/>
        </w:rPr>
        <w:t>N</w:t>
      </w:r>
      <w:r w:rsidR="001167D5" w:rsidRPr="00564FFD">
        <w:rPr>
          <w:u w:val="single"/>
        </w:rPr>
        <w:t xml:space="preserve">ational </w:t>
      </w:r>
      <w:r w:rsidR="001458C7" w:rsidRPr="00564FFD">
        <w:rPr>
          <w:u w:val="single"/>
        </w:rPr>
        <w:t>S</w:t>
      </w:r>
      <w:r w:rsidR="001167D5" w:rsidRPr="00564FFD">
        <w:rPr>
          <w:u w:val="single"/>
        </w:rPr>
        <w:t xml:space="preserve">upply </w:t>
      </w:r>
      <w:r w:rsidR="001458C7" w:rsidRPr="00564FFD">
        <w:rPr>
          <w:u w:val="single"/>
        </w:rPr>
        <w:t>A</w:t>
      </w:r>
      <w:r w:rsidR="001167D5" w:rsidRPr="00564FFD">
        <w:rPr>
          <w:u w:val="single"/>
        </w:rPr>
        <w:t>rrangements for Ig can be directed to:</w:t>
      </w:r>
    </w:p>
    <w:p w:rsidR="001167D5" w:rsidRDefault="001167D5" w:rsidP="00C24B88">
      <w:pPr>
        <w:spacing w:after="0" w:line="240" w:lineRule="auto"/>
        <w:contextualSpacing/>
      </w:pPr>
      <w:r w:rsidRPr="00564FFD">
        <w:t>•</w:t>
      </w:r>
      <w:r w:rsidRPr="00564FFD">
        <w:tab/>
        <w:t xml:space="preserve">National Blood Authority: </w:t>
      </w:r>
      <w:hyperlink r:id="rId10" w:history="1">
        <w:r w:rsidR="00D54181">
          <w:rPr>
            <w:rStyle w:val="Hyperlink"/>
          </w:rPr>
          <w:t>support</w:t>
        </w:r>
        <w:r w:rsidR="00D54181" w:rsidRPr="00561611">
          <w:rPr>
            <w:rStyle w:val="Hyperlink"/>
          </w:rPr>
          <w:t>@blood.gov.au</w:t>
        </w:r>
      </w:hyperlink>
    </w:p>
    <w:p w:rsidR="001167D5" w:rsidRPr="00564FFD" w:rsidRDefault="001167D5" w:rsidP="00842885">
      <w:pPr>
        <w:spacing w:after="0" w:line="240" w:lineRule="auto"/>
        <w:ind w:left="720" w:hanging="720"/>
        <w:contextualSpacing/>
      </w:pPr>
      <w:r w:rsidRPr="00564FFD">
        <w:t>•</w:t>
      </w:r>
      <w:r w:rsidRPr="00564FFD">
        <w:tab/>
        <w:t>Australian Red Cross Blood Service: by contacting a member of your local Transfusion Medicine team.</w:t>
      </w:r>
    </w:p>
    <w:p w:rsidR="001458C7" w:rsidRDefault="001458C7" w:rsidP="00C24B88">
      <w:pPr>
        <w:spacing w:after="0" w:line="240" w:lineRule="auto"/>
        <w:contextualSpacing/>
      </w:pPr>
    </w:p>
    <w:p w:rsidR="00842885" w:rsidRPr="00564FFD" w:rsidRDefault="00842885" w:rsidP="00C24B88">
      <w:pPr>
        <w:spacing w:after="0" w:line="240" w:lineRule="auto"/>
        <w:contextualSpacing/>
      </w:pPr>
    </w:p>
    <w:p w:rsidR="001167D5" w:rsidRPr="00564FFD" w:rsidRDefault="001167D5" w:rsidP="00C24B88">
      <w:pPr>
        <w:spacing w:after="0" w:line="240" w:lineRule="auto"/>
        <w:contextualSpacing/>
      </w:pPr>
      <w:r w:rsidRPr="00564FFD">
        <w:t>National Blood Authority</w:t>
      </w:r>
    </w:p>
    <w:p w:rsidR="001167D5" w:rsidRPr="00564FFD" w:rsidRDefault="00B26BA1" w:rsidP="00C24B88">
      <w:pPr>
        <w:spacing w:after="0" w:line="240" w:lineRule="auto"/>
        <w:contextualSpacing/>
      </w:pPr>
      <w:r>
        <w:t>September</w:t>
      </w:r>
      <w:r w:rsidR="001458C7" w:rsidRPr="00564FFD">
        <w:t xml:space="preserve"> 2016</w:t>
      </w:r>
    </w:p>
    <w:p w:rsidR="001167D5" w:rsidRPr="00D2552A" w:rsidRDefault="001167D5" w:rsidP="00C24B88">
      <w:pPr>
        <w:spacing w:after="0" w:line="240" w:lineRule="auto"/>
        <w:contextualSpacing/>
      </w:pPr>
    </w:p>
    <w:p w:rsidR="00422350" w:rsidRPr="00D2552A" w:rsidRDefault="008028B3" w:rsidP="00C24B88">
      <w:pPr>
        <w:spacing w:after="0" w:line="240" w:lineRule="auto"/>
        <w:contextualSpacing/>
      </w:pPr>
    </w:p>
    <w:sectPr w:rsidR="00422350" w:rsidRPr="00D2552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D5" w:rsidRDefault="00D427D5" w:rsidP="006338C8">
      <w:pPr>
        <w:spacing w:after="0" w:line="240" w:lineRule="auto"/>
      </w:pPr>
      <w:r>
        <w:separator/>
      </w:r>
    </w:p>
  </w:endnote>
  <w:endnote w:type="continuationSeparator" w:id="0">
    <w:p w:rsidR="00D427D5" w:rsidRDefault="00D427D5" w:rsidP="0063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C8" w:rsidRDefault="006338C8">
    <w:pPr>
      <w:pStyle w:val="Footer"/>
    </w:pPr>
    <w:r w:rsidRPr="006338C8">
      <w:rPr>
        <w:color w:val="C00000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D5" w:rsidRDefault="00D427D5" w:rsidP="006338C8">
      <w:pPr>
        <w:spacing w:after="0" w:line="240" w:lineRule="auto"/>
      </w:pPr>
      <w:r>
        <w:separator/>
      </w:r>
    </w:p>
  </w:footnote>
  <w:footnote w:type="continuationSeparator" w:id="0">
    <w:p w:rsidR="00D427D5" w:rsidRDefault="00D427D5" w:rsidP="00633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EF7"/>
    <w:multiLevelType w:val="hybridMultilevel"/>
    <w:tmpl w:val="E4FC3954"/>
    <w:lvl w:ilvl="0" w:tplc="71CE680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576710"/>
    <w:multiLevelType w:val="hybridMultilevel"/>
    <w:tmpl w:val="2D2A0456"/>
    <w:lvl w:ilvl="0" w:tplc="71CE6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5267C"/>
    <w:multiLevelType w:val="hybridMultilevel"/>
    <w:tmpl w:val="1C5E81EE"/>
    <w:lvl w:ilvl="0" w:tplc="71CE6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45C2D"/>
    <w:multiLevelType w:val="hybridMultilevel"/>
    <w:tmpl w:val="0E66A96C"/>
    <w:lvl w:ilvl="0" w:tplc="71CE6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F1315"/>
    <w:multiLevelType w:val="hybridMultilevel"/>
    <w:tmpl w:val="7BA26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D5"/>
    <w:rsid w:val="000258E8"/>
    <w:rsid w:val="00082303"/>
    <w:rsid w:val="0008446A"/>
    <w:rsid w:val="000C58E6"/>
    <w:rsid w:val="000F4F72"/>
    <w:rsid w:val="001167D5"/>
    <w:rsid w:val="00123E37"/>
    <w:rsid w:val="001449B8"/>
    <w:rsid w:val="001458C7"/>
    <w:rsid w:val="00162D83"/>
    <w:rsid w:val="001972C3"/>
    <w:rsid w:val="001D57AB"/>
    <w:rsid w:val="001F52C0"/>
    <w:rsid w:val="00243669"/>
    <w:rsid w:val="00377DF0"/>
    <w:rsid w:val="003F5FA5"/>
    <w:rsid w:val="0042104B"/>
    <w:rsid w:val="00430E4A"/>
    <w:rsid w:val="004F22AE"/>
    <w:rsid w:val="00547F51"/>
    <w:rsid w:val="00563D6A"/>
    <w:rsid w:val="00564FFD"/>
    <w:rsid w:val="005A41E9"/>
    <w:rsid w:val="006338C8"/>
    <w:rsid w:val="006B34D8"/>
    <w:rsid w:val="006F246C"/>
    <w:rsid w:val="0070723E"/>
    <w:rsid w:val="00707F18"/>
    <w:rsid w:val="0071501A"/>
    <w:rsid w:val="007336E4"/>
    <w:rsid w:val="007D4BDD"/>
    <w:rsid w:val="007D598A"/>
    <w:rsid w:val="008028B3"/>
    <w:rsid w:val="00832E8B"/>
    <w:rsid w:val="00840A7F"/>
    <w:rsid w:val="00842885"/>
    <w:rsid w:val="008C6E83"/>
    <w:rsid w:val="00980888"/>
    <w:rsid w:val="0099007C"/>
    <w:rsid w:val="009B73C9"/>
    <w:rsid w:val="009F0A9E"/>
    <w:rsid w:val="00A645CA"/>
    <w:rsid w:val="00A84227"/>
    <w:rsid w:val="00A8717D"/>
    <w:rsid w:val="00AD733F"/>
    <w:rsid w:val="00AE52D5"/>
    <w:rsid w:val="00AE7320"/>
    <w:rsid w:val="00B22077"/>
    <w:rsid w:val="00B23A8D"/>
    <w:rsid w:val="00B26BA1"/>
    <w:rsid w:val="00C070E1"/>
    <w:rsid w:val="00C23E87"/>
    <w:rsid w:val="00C24B88"/>
    <w:rsid w:val="00C30789"/>
    <w:rsid w:val="00CC0F99"/>
    <w:rsid w:val="00D2552A"/>
    <w:rsid w:val="00D262F2"/>
    <w:rsid w:val="00D427D5"/>
    <w:rsid w:val="00D54181"/>
    <w:rsid w:val="00DB24E4"/>
    <w:rsid w:val="00E3092B"/>
    <w:rsid w:val="00ED256E"/>
    <w:rsid w:val="00EE48C4"/>
    <w:rsid w:val="00F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0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0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0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B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8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8C8"/>
  </w:style>
  <w:style w:type="paragraph" w:styleId="Footer">
    <w:name w:val="footer"/>
    <w:basedOn w:val="Normal"/>
    <w:link w:val="FooterChar"/>
    <w:uiPriority w:val="99"/>
    <w:unhideWhenUsed/>
    <w:rsid w:val="00633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8C8"/>
  </w:style>
  <w:style w:type="character" w:styleId="CommentReference">
    <w:name w:val="annotation reference"/>
    <w:basedOn w:val="DefaultParagraphFont"/>
    <w:uiPriority w:val="99"/>
    <w:semiHidden/>
    <w:unhideWhenUsed/>
    <w:rsid w:val="00421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0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0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0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0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B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8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8C8"/>
  </w:style>
  <w:style w:type="paragraph" w:styleId="Footer">
    <w:name w:val="footer"/>
    <w:basedOn w:val="Normal"/>
    <w:link w:val="FooterChar"/>
    <w:uiPriority w:val="99"/>
    <w:unhideWhenUsed/>
    <w:rsid w:val="00633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8C8"/>
  </w:style>
  <w:style w:type="character" w:styleId="CommentReference">
    <w:name w:val="annotation reference"/>
    <w:basedOn w:val="DefaultParagraphFont"/>
    <w:uiPriority w:val="99"/>
    <w:semiHidden/>
    <w:unhideWhenUsed/>
    <w:rsid w:val="00421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upply.management.plasma@blood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EA3E-6B84-40E4-BAE4-54E387CC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3064</Characters>
  <Application>Microsoft Office Word</Application>
  <DocSecurity>4</DocSecurity>
  <Lines>97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CSL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Fry, Christopher AU/BMW</dc:creator>
  <cp:lastModifiedBy>Administrator</cp:lastModifiedBy>
  <cp:revision>2</cp:revision>
  <cp:lastPrinted>2016-07-29T07:49:00Z</cp:lastPrinted>
  <dcterms:created xsi:type="dcterms:W3CDTF">2016-09-06T00:35:00Z</dcterms:created>
  <dcterms:modified xsi:type="dcterms:W3CDTF">2016-09-06T00:35:00Z</dcterms:modified>
</cp:coreProperties>
</file>