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FB" w:rsidRPr="002152D2" w:rsidRDefault="00D155F0" w:rsidP="002664F0">
      <w:pPr>
        <w:widowControl w:val="0"/>
        <w:spacing w:after="240"/>
        <w:outlineLvl w:val="0"/>
        <w:rPr>
          <w:rFonts w:eastAsia="HYGothic-Extra"/>
          <w:b/>
          <w:bCs/>
          <w:color w:val="C00000"/>
          <w:spacing w:val="-20"/>
          <w:sz w:val="24"/>
          <w:szCs w:val="72"/>
        </w:rPr>
      </w:pPr>
      <w:r w:rsidRPr="002152D2">
        <w:rPr>
          <w:rFonts w:eastAsia="HYGothic-Extra"/>
          <w:b/>
          <w:bCs/>
          <w:color w:val="C00000"/>
          <w:spacing w:val="-20"/>
          <w:sz w:val="24"/>
          <w:szCs w:val="72"/>
        </w:rPr>
        <w:t xml:space="preserve">User Tip Sheet – </w:t>
      </w:r>
      <w:r w:rsidR="007F648C" w:rsidRPr="002152D2">
        <w:rPr>
          <w:rFonts w:eastAsia="HYGothic-Extra"/>
          <w:b/>
          <w:bCs/>
          <w:color w:val="C00000"/>
          <w:spacing w:val="-20"/>
          <w:sz w:val="24"/>
          <w:szCs w:val="72"/>
        </w:rPr>
        <w:t>Dispens</w:t>
      </w:r>
      <w:r w:rsidR="00694B3C" w:rsidRPr="002152D2">
        <w:rPr>
          <w:rFonts w:eastAsia="HYGothic-Extra"/>
          <w:b/>
          <w:bCs/>
          <w:color w:val="C00000"/>
          <w:spacing w:val="-20"/>
          <w:sz w:val="24"/>
          <w:szCs w:val="72"/>
        </w:rPr>
        <w:t>er role</w:t>
      </w:r>
    </w:p>
    <w:p w:rsidR="00536E79" w:rsidRDefault="001658F8" w:rsidP="00154A46">
      <w:pPr>
        <w:widowControl w:val="0"/>
        <w:spacing w:after="120"/>
        <w:ind w:right="6"/>
        <w:jc w:val="center"/>
        <w:outlineLvl w:val="0"/>
        <w:rPr>
          <w:rFonts w:eastAsia="HYGothic-Extra"/>
          <w:b/>
          <w:bCs/>
          <w:color w:val="C00000"/>
          <w:spacing w:val="-20"/>
          <w:sz w:val="48"/>
          <w:szCs w:val="72"/>
        </w:rPr>
      </w:pPr>
      <w:r>
        <w:rPr>
          <w:rFonts w:eastAsia="HYGothic-Extra"/>
          <w:b/>
          <w:bCs/>
          <w:color w:val="C00000"/>
          <w:spacing w:val="-20"/>
          <w:sz w:val="48"/>
          <w:szCs w:val="72"/>
        </w:rPr>
        <w:t>Actioning</w:t>
      </w:r>
      <w:r w:rsidR="007F648C">
        <w:rPr>
          <w:rFonts w:eastAsia="HYGothic-Extra"/>
          <w:b/>
          <w:bCs/>
          <w:color w:val="C00000"/>
          <w:spacing w:val="-20"/>
          <w:sz w:val="48"/>
          <w:szCs w:val="72"/>
        </w:rPr>
        <w:t xml:space="preserve"> </w:t>
      </w:r>
      <w:r w:rsidR="00EA52BA">
        <w:rPr>
          <w:rFonts w:eastAsia="HYGothic-Extra"/>
          <w:b/>
          <w:bCs/>
          <w:color w:val="C00000"/>
          <w:spacing w:val="-20"/>
          <w:sz w:val="48"/>
          <w:szCs w:val="72"/>
        </w:rPr>
        <w:t>D</w:t>
      </w:r>
      <w:r w:rsidR="007F648C">
        <w:rPr>
          <w:rFonts w:eastAsia="HYGothic-Extra"/>
          <w:b/>
          <w:bCs/>
          <w:color w:val="C00000"/>
          <w:spacing w:val="-20"/>
          <w:sz w:val="48"/>
          <w:szCs w:val="72"/>
        </w:rPr>
        <w:t xml:space="preserve">ispense </w:t>
      </w:r>
      <w:r w:rsidR="00EA52BA">
        <w:rPr>
          <w:rFonts w:eastAsia="HYGothic-Extra"/>
          <w:b/>
          <w:bCs/>
          <w:color w:val="C00000"/>
          <w:spacing w:val="-20"/>
          <w:sz w:val="48"/>
          <w:szCs w:val="72"/>
        </w:rPr>
        <w:t>D</w:t>
      </w:r>
      <w:r w:rsidR="007F648C">
        <w:rPr>
          <w:rFonts w:eastAsia="HYGothic-Extra"/>
          <w:b/>
          <w:bCs/>
          <w:color w:val="C00000"/>
          <w:spacing w:val="-20"/>
          <w:sz w:val="48"/>
          <w:szCs w:val="72"/>
        </w:rPr>
        <w:t>iscrepancies</w:t>
      </w:r>
      <w:r w:rsidR="00536E79">
        <w:rPr>
          <w:rFonts w:eastAsia="HYGothic-Extra"/>
          <w:b/>
          <w:bCs/>
          <w:color w:val="C00000"/>
          <w:spacing w:val="-20"/>
          <w:sz w:val="48"/>
          <w:szCs w:val="72"/>
        </w:rPr>
        <w:t xml:space="preserve"> and</w:t>
      </w:r>
    </w:p>
    <w:p w:rsidR="0043140C" w:rsidRPr="000D084E" w:rsidRDefault="00536E79" w:rsidP="00154A46">
      <w:pPr>
        <w:widowControl w:val="0"/>
        <w:spacing w:after="120"/>
        <w:ind w:right="6"/>
        <w:jc w:val="center"/>
        <w:outlineLvl w:val="0"/>
        <w:rPr>
          <w:rFonts w:eastAsia="HYGothic-Extra"/>
          <w:b/>
          <w:bCs/>
          <w:color w:val="C00000"/>
          <w:spacing w:val="-20"/>
          <w:sz w:val="48"/>
          <w:szCs w:val="72"/>
        </w:rPr>
      </w:pPr>
      <w:r>
        <w:rPr>
          <w:rFonts w:eastAsia="HYGothic-Extra"/>
          <w:b/>
          <w:bCs/>
          <w:color w:val="C00000"/>
          <w:spacing w:val="-20"/>
          <w:sz w:val="48"/>
          <w:szCs w:val="72"/>
        </w:rPr>
        <w:t>Unmatched Fate Episodes</w:t>
      </w:r>
    </w:p>
    <w:p w:rsidR="007A6D7C" w:rsidRPr="007A6D7C" w:rsidRDefault="007A6D7C" w:rsidP="00770BA4">
      <w:pPr>
        <w:spacing w:after="120"/>
        <w:rPr>
          <w:rFonts w:eastAsia="HYGothic-Extra"/>
          <w:b/>
          <w:bCs/>
          <w:color w:val="C00000"/>
          <w:spacing w:val="-20"/>
          <w:sz w:val="28"/>
          <w:szCs w:val="72"/>
        </w:rPr>
      </w:pPr>
      <w:r w:rsidRPr="007A6D7C">
        <w:rPr>
          <w:rFonts w:eastAsia="HYGothic-Extra"/>
          <w:b/>
          <w:bCs/>
          <w:color w:val="C00000"/>
          <w:spacing w:val="-20"/>
          <w:sz w:val="28"/>
          <w:szCs w:val="72"/>
        </w:rPr>
        <w:t>Purpose</w:t>
      </w:r>
    </w:p>
    <w:p w:rsidR="00D52215" w:rsidRDefault="007A6D7C" w:rsidP="00154A46">
      <w:pPr>
        <w:spacing w:after="0"/>
      </w:pPr>
      <w:r w:rsidRPr="008B6E32">
        <w:t xml:space="preserve">This </w:t>
      </w:r>
      <w:r>
        <w:t>document</w:t>
      </w:r>
      <w:r w:rsidRPr="008B6E32">
        <w:t xml:space="preserve"> describes </w:t>
      </w:r>
      <w:r w:rsidR="00536E79">
        <w:t xml:space="preserve">how to reconcile IVIg and SCIg dispense episodes that the system has flagged as </w:t>
      </w:r>
      <w:r w:rsidR="006F408E">
        <w:t xml:space="preserve">outside the patient’s </w:t>
      </w:r>
      <w:r w:rsidR="008B45A4">
        <w:t>authoris</w:t>
      </w:r>
      <w:r w:rsidR="006F408E">
        <w:t>ation</w:t>
      </w:r>
      <w:r w:rsidR="008B45A4">
        <w:t xml:space="preserve">. </w:t>
      </w:r>
    </w:p>
    <w:p w:rsidR="00536E79" w:rsidRDefault="00536E79" w:rsidP="00154A46">
      <w:pPr>
        <w:pStyle w:val="ListParagraph"/>
        <w:numPr>
          <w:ilvl w:val="0"/>
          <w:numId w:val="17"/>
        </w:numPr>
        <w:spacing w:after="0"/>
      </w:pPr>
      <w:r>
        <w:t>Part A - How to</w:t>
      </w:r>
      <w:r w:rsidR="008B45A4">
        <w:t xml:space="preserve"> review and</w:t>
      </w:r>
      <w:r>
        <w:t xml:space="preserve"> action a dispense discrepancy </w:t>
      </w:r>
    </w:p>
    <w:p w:rsidR="008B45A4" w:rsidRDefault="00536E79" w:rsidP="00154A46">
      <w:pPr>
        <w:pStyle w:val="ListParagraph"/>
        <w:numPr>
          <w:ilvl w:val="0"/>
          <w:numId w:val="17"/>
        </w:numPr>
        <w:spacing w:after="0"/>
      </w:pPr>
      <w:r>
        <w:t xml:space="preserve">Part B – How to </w:t>
      </w:r>
      <w:r w:rsidR="008B45A4">
        <w:t>review and action</w:t>
      </w:r>
      <w:r>
        <w:t xml:space="preserve"> an unmatched fate episode</w:t>
      </w:r>
    </w:p>
    <w:p w:rsidR="00154A46" w:rsidRDefault="00154A46" w:rsidP="00154A46">
      <w:pPr>
        <w:pStyle w:val="ListParagraph"/>
        <w:spacing w:after="0"/>
      </w:pPr>
    </w:p>
    <w:p w:rsidR="008B45A4" w:rsidRPr="007A6D7C" w:rsidRDefault="000346A8" w:rsidP="00770BA4">
      <w:pPr>
        <w:spacing w:after="120"/>
        <w:rPr>
          <w:rFonts w:eastAsia="HYGothic-Extra"/>
          <w:b/>
          <w:bCs/>
          <w:color w:val="C00000"/>
          <w:spacing w:val="-20"/>
          <w:sz w:val="28"/>
          <w:szCs w:val="72"/>
        </w:rPr>
      </w:pPr>
      <w:r>
        <w:rPr>
          <w:rFonts w:eastAsia="HYGothic-Extra"/>
          <w:b/>
          <w:bCs/>
          <w:color w:val="C00000"/>
          <w:spacing w:val="-20"/>
          <w:sz w:val="28"/>
          <w:szCs w:val="72"/>
        </w:rPr>
        <w:t xml:space="preserve">Part A - </w:t>
      </w:r>
      <w:r w:rsidR="008B45A4">
        <w:rPr>
          <w:rFonts w:eastAsia="HYGothic-Extra"/>
          <w:b/>
          <w:bCs/>
          <w:color w:val="C00000"/>
          <w:spacing w:val="-20"/>
          <w:sz w:val="28"/>
          <w:szCs w:val="72"/>
        </w:rPr>
        <w:t>How to action a Dispense Discrepancy</w:t>
      </w:r>
    </w:p>
    <w:p w:rsidR="00D52215" w:rsidRPr="000167EC" w:rsidRDefault="00D52215" w:rsidP="00D52215">
      <w:r w:rsidRPr="00D52215">
        <w:rPr>
          <w:b/>
        </w:rPr>
        <w:t>Dispensing discrepancies</w:t>
      </w:r>
      <w:r w:rsidRPr="00D52215">
        <w:t xml:space="preserve"> are raised when product is dispensed for a patient outside the constraints of the patient’s authorisatio</w:t>
      </w:r>
      <w:r>
        <w:t xml:space="preserve">n for immunoglobulin treatment. </w:t>
      </w:r>
      <w:r w:rsidRPr="00D52215">
        <w:t>A dispensing discrepancy may be rectified by returning incorrec</w:t>
      </w:r>
      <w:r>
        <w:t xml:space="preserve">tly </w:t>
      </w:r>
      <w:r w:rsidRPr="000167EC">
        <w:t>dispensed product to stock. When the incorrectly dispensed product cannot be returned to stock, please provide written justification for each of these discrepancies.</w:t>
      </w:r>
    </w:p>
    <w:p w:rsidR="00770BA4" w:rsidRPr="000167EC" w:rsidRDefault="00F003B7" w:rsidP="00D52215">
      <w:r w:rsidRPr="00380366">
        <w:rPr>
          <w:b/>
          <w:u w:val="single"/>
        </w:rPr>
        <w:t>Please Note</w:t>
      </w:r>
      <w:r w:rsidRPr="00380366">
        <w:rPr>
          <w:b/>
        </w:rPr>
        <w:t>:</w:t>
      </w:r>
      <w:r>
        <w:t xml:space="preserve"> Dispense discrepancies are flagged at the time of dispensing and this will trigger a justification reason pop-up box (See Step 4). If this is actioned at the time the product is dispensed, no further action is required. </w:t>
      </w:r>
    </w:p>
    <w:p w:rsidR="00536E79" w:rsidRPr="000167EC" w:rsidRDefault="000167EC" w:rsidP="008B45A4">
      <w:pPr>
        <w:pStyle w:val="ListParagraph"/>
        <w:numPr>
          <w:ilvl w:val="0"/>
          <w:numId w:val="18"/>
        </w:numPr>
      </w:pPr>
      <w:r w:rsidRPr="000167EC">
        <w:rPr>
          <w:b/>
        </w:rPr>
        <w:t>L</w:t>
      </w:r>
      <w:r w:rsidR="008B45A4" w:rsidRPr="000167EC">
        <w:rPr>
          <w:b/>
        </w:rPr>
        <w:t>ogin to BloodNet and select Authorisation -&gt; Dispensing Discrepancies</w:t>
      </w:r>
    </w:p>
    <w:p w:rsidR="007A6D7C" w:rsidRDefault="0033089F" w:rsidP="007A6D7C">
      <w:r>
        <w:rPr>
          <w:noProof/>
          <w:lang w:eastAsia="en-AU"/>
        </w:rPr>
        <w:drawing>
          <wp:inline distT="0" distB="0" distL="0" distR="0" wp14:anchorId="4294A827" wp14:editId="12F2F3B5">
            <wp:extent cx="5926455" cy="1487945"/>
            <wp:effectExtent l="19050" t="19050" r="1714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6455" cy="1487945"/>
                    </a:xfrm>
                    <a:prstGeom prst="rect">
                      <a:avLst/>
                    </a:prstGeom>
                    <a:ln>
                      <a:solidFill>
                        <a:schemeClr val="tx1"/>
                      </a:solidFill>
                    </a:ln>
                  </pic:spPr>
                </pic:pic>
              </a:graphicData>
            </a:graphic>
          </wp:inline>
        </w:drawing>
      </w:r>
    </w:p>
    <w:p w:rsidR="00770BA4" w:rsidRDefault="00770BA4" w:rsidP="007A6D7C"/>
    <w:p w:rsidR="00536E79" w:rsidRDefault="00F36AE4" w:rsidP="00D52215">
      <w:pPr>
        <w:pStyle w:val="ListParagraph"/>
        <w:numPr>
          <w:ilvl w:val="0"/>
          <w:numId w:val="18"/>
        </w:numPr>
      </w:pPr>
      <w:r w:rsidRPr="00770BA4">
        <w:rPr>
          <w:b/>
        </w:rPr>
        <w:t>Dispense Discrepancies appear red and there are three</w:t>
      </w:r>
      <w:r w:rsidR="00154A46" w:rsidRPr="00770BA4">
        <w:rPr>
          <w:b/>
        </w:rPr>
        <w:t xml:space="preserve"> possible</w:t>
      </w:r>
      <w:r w:rsidRPr="00770BA4">
        <w:rPr>
          <w:b/>
        </w:rPr>
        <w:t xml:space="preserve"> causes</w:t>
      </w:r>
      <w:r w:rsidR="00D52215">
        <w:t>:</w:t>
      </w:r>
    </w:p>
    <w:p w:rsidR="00F36AE4" w:rsidRDefault="00F36AE4" w:rsidP="00770BA4">
      <w:pPr>
        <w:pStyle w:val="ListParagraph"/>
        <w:numPr>
          <w:ilvl w:val="0"/>
          <w:numId w:val="20"/>
        </w:numPr>
      </w:pPr>
      <w:r w:rsidRPr="00F36AE4">
        <w:rPr>
          <w:b/>
        </w:rPr>
        <w:t>Quantity Dispensed is larger</w:t>
      </w:r>
      <w:r>
        <w:t xml:space="preserve"> than authorised </w:t>
      </w:r>
      <w:r w:rsidR="000D7DD4">
        <w:t xml:space="preserve">         e.g. </w:t>
      </w:r>
      <w:r w:rsidRPr="00745FBA">
        <w:rPr>
          <w:b/>
          <w:color w:val="FF0000"/>
        </w:rPr>
        <w:t>39.00 g of 33.00 g</w:t>
      </w:r>
    </w:p>
    <w:p w:rsidR="00D52215" w:rsidRDefault="00F36AE4" w:rsidP="00770BA4">
      <w:pPr>
        <w:pStyle w:val="ListParagraph"/>
        <w:numPr>
          <w:ilvl w:val="0"/>
          <w:numId w:val="20"/>
        </w:numPr>
      </w:pPr>
      <w:r w:rsidRPr="00F36AE4">
        <w:rPr>
          <w:b/>
        </w:rPr>
        <w:t>Dispensed Product is different</w:t>
      </w:r>
      <w:r>
        <w:t xml:space="preserve"> to authorisation</w:t>
      </w:r>
      <w:r w:rsidR="000D7DD4">
        <w:t xml:space="preserve">      e.g. </w:t>
      </w:r>
      <w:r w:rsidRPr="00745FBA">
        <w:rPr>
          <w:b/>
          <w:color w:val="FF0000"/>
        </w:rPr>
        <w:t>Privigen authorised, Intragam given</w:t>
      </w:r>
    </w:p>
    <w:p w:rsidR="00D52215" w:rsidRPr="00154A46" w:rsidRDefault="00F36AE4" w:rsidP="00770BA4">
      <w:pPr>
        <w:pStyle w:val="ListParagraph"/>
        <w:numPr>
          <w:ilvl w:val="0"/>
          <w:numId w:val="20"/>
        </w:numPr>
      </w:pPr>
      <w:r w:rsidRPr="00F36AE4">
        <w:rPr>
          <w:b/>
        </w:rPr>
        <w:t>Early Infusion Date</w:t>
      </w:r>
      <w:r>
        <w:t xml:space="preserve"> (&gt;7 days early for monthly) </w:t>
      </w:r>
      <w:r w:rsidR="000D7DD4">
        <w:t xml:space="preserve">      e.g. </w:t>
      </w:r>
      <w:r w:rsidRPr="00745FBA">
        <w:rPr>
          <w:b/>
          <w:color w:val="FF0000"/>
        </w:rPr>
        <w:t>Infusion 21 days early</w:t>
      </w:r>
    </w:p>
    <w:p w:rsidR="00770BA4" w:rsidRDefault="00154A46" w:rsidP="00154A46">
      <w:r>
        <w:rPr>
          <w:noProof/>
          <w:lang w:eastAsia="en-AU"/>
        </w:rPr>
        <w:drawing>
          <wp:inline distT="0" distB="0" distL="0" distR="0" wp14:anchorId="204F1A01" wp14:editId="1F9478DA">
            <wp:extent cx="5926455" cy="1265070"/>
            <wp:effectExtent l="19050" t="19050" r="1714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26455" cy="1265070"/>
                    </a:xfrm>
                    <a:prstGeom prst="rect">
                      <a:avLst/>
                    </a:prstGeom>
                    <a:ln>
                      <a:solidFill>
                        <a:schemeClr val="tx1"/>
                      </a:solidFill>
                    </a:ln>
                  </pic:spPr>
                </pic:pic>
              </a:graphicData>
            </a:graphic>
          </wp:inline>
        </w:drawing>
      </w:r>
    </w:p>
    <w:p w:rsidR="00770BA4" w:rsidRDefault="00770BA4" w:rsidP="00770BA4">
      <w:pPr>
        <w:spacing w:line="276" w:lineRule="auto"/>
      </w:pPr>
    </w:p>
    <w:p w:rsidR="00F003B7" w:rsidRDefault="00F003B7" w:rsidP="00770BA4">
      <w:pPr>
        <w:spacing w:line="276" w:lineRule="auto"/>
      </w:pPr>
    </w:p>
    <w:p w:rsidR="00770BA4" w:rsidRPr="007F7024" w:rsidRDefault="007F7024" w:rsidP="00770BA4">
      <w:pPr>
        <w:pStyle w:val="ListParagraph"/>
        <w:numPr>
          <w:ilvl w:val="0"/>
          <w:numId w:val="18"/>
        </w:numPr>
        <w:spacing w:line="276" w:lineRule="auto"/>
      </w:pPr>
      <w:r>
        <w:rPr>
          <w:b/>
        </w:rPr>
        <w:t>Reconcile as follows:</w:t>
      </w:r>
    </w:p>
    <w:p w:rsidR="007F7024" w:rsidRPr="007F7024" w:rsidRDefault="007F7024" w:rsidP="007F7024">
      <w:pPr>
        <w:pStyle w:val="ListParagraph"/>
        <w:numPr>
          <w:ilvl w:val="1"/>
          <w:numId w:val="18"/>
        </w:numPr>
        <w:spacing w:line="276" w:lineRule="auto"/>
      </w:pPr>
      <w:r>
        <w:rPr>
          <w:b/>
        </w:rPr>
        <w:t xml:space="preserve">To fix a dispense error </w:t>
      </w:r>
      <w:r w:rsidRPr="007F7024">
        <w:t>- Click on the patient’s authorisation and complete a return to stock</w:t>
      </w:r>
      <w:r>
        <w:t>.</w:t>
      </w:r>
    </w:p>
    <w:p w:rsidR="007F7024" w:rsidRPr="007F7024" w:rsidRDefault="007F7024" w:rsidP="007F7024">
      <w:pPr>
        <w:pStyle w:val="ListParagraph"/>
        <w:spacing w:line="276" w:lineRule="auto"/>
        <w:ind w:left="1080"/>
        <w:rPr>
          <w:b/>
          <w:u w:val="single"/>
        </w:rPr>
      </w:pPr>
      <w:r w:rsidRPr="007F7024">
        <w:rPr>
          <w:b/>
          <w:u w:val="single"/>
        </w:rPr>
        <w:t>Or</w:t>
      </w:r>
    </w:p>
    <w:p w:rsidR="007F7024" w:rsidRDefault="007F7024" w:rsidP="007F7024">
      <w:pPr>
        <w:pStyle w:val="ListParagraph"/>
        <w:numPr>
          <w:ilvl w:val="1"/>
          <w:numId w:val="18"/>
        </w:numPr>
        <w:spacing w:line="276" w:lineRule="auto"/>
      </w:pPr>
      <w:r w:rsidRPr="007F7024">
        <w:rPr>
          <w:b/>
        </w:rPr>
        <w:t>To justify a discrepancy</w:t>
      </w:r>
      <w:r>
        <w:t xml:space="preserve"> - Click on action to record a reason for dispensing outside the authorisation.</w:t>
      </w:r>
    </w:p>
    <w:p w:rsidR="007F7024" w:rsidRDefault="007F7024" w:rsidP="007F7024">
      <w:pPr>
        <w:spacing w:line="276" w:lineRule="auto"/>
      </w:pPr>
      <w:r>
        <w:rPr>
          <w:noProof/>
          <w:lang w:eastAsia="en-AU"/>
        </w:rPr>
        <w:drawing>
          <wp:inline distT="0" distB="0" distL="0" distR="0" wp14:anchorId="7D939AC3" wp14:editId="3762604C">
            <wp:extent cx="5926455" cy="1964088"/>
            <wp:effectExtent l="19050" t="19050" r="17145"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26455" cy="1964088"/>
                    </a:xfrm>
                    <a:prstGeom prst="rect">
                      <a:avLst/>
                    </a:prstGeom>
                    <a:ln>
                      <a:solidFill>
                        <a:schemeClr val="tx1"/>
                      </a:solidFill>
                    </a:ln>
                  </pic:spPr>
                </pic:pic>
              </a:graphicData>
            </a:graphic>
          </wp:inline>
        </w:drawing>
      </w:r>
    </w:p>
    <w:p w:rsidR="007F7024" w:rsidRDefault="00562250" w:rsidP="007F7024">
      <w:pPr>
        <w:spacing w:line="276" w:lineRule="auto"/>
      </w:pPr>
      <w:r w:rsidRPr="00562250">
        <w:rPr>
          <w:b/>
        </w:rPr>
        <w:t>Please Note</w:t>
      </w:r>
      <w:r>
        <w:t>:  If a different product, increased dose or more frequent dose is required on an ongoing basis, the patient’s specialist should be asked to complete a Dose Change Request.</w:t>
      </w:r>
    </w:p>
    <w:p w:rsidR="00562250" w:rsidRDefault="00DA17BF" w:rsidP="00562250">
      <w:pPr>
        <w:pStyle w:val="ListParagraph"/>
        <w:numPr>
          <w:ilvl w:val="0"/>
          <w:numId w:val="18"/>
        </w:numPr>
        <w:spacing w:line="276" w:lineRule="auto"/>
      </w:pPr>
      <w:r w:rsidRPr="00B22790">
        <w:rPr>
          <w:b/>
        </w:rPr>
        <w:t xml:space="preserve">Click ‘Action’ </w:t>
      </w:r>
      <w:r w:rsidR="00B22790" w:rsidRPr="00B22790">
        <w:rPr>
          <w:b/>
        </w:rPr>
        <w:t>to</w:t>
      </w:r>
      <w:r w:rsidRPr="00B22790">
        <w:rPr>
          <w:b/>
        </w:rPr>
        <w:t xml:space="preserve"> open the Reconcile Dispense Discrepancy pop-up window</w:t>
      </w:r>
      <w:r w:rsidR="00A16013">
        <w:t>. Please enter written justification in the reason box and click ‘OK’.</w:t>
      </w:r>
    </w:p>
    <w:p w:rsidR="00A16013" w:rsidRDefault="00A16013" w:rsidP="00A16013">
      <w:pPr>
        <w:spacing w:line="276" w:lineRule="auto"/>
      </w:pPr>
      <w:r>
        <w:rPr>
          <w:noProof/>
          <w:lang w:eastAsia="en-AU"/>
        </w:rPr>
        <w:drawing>
          <wp:inline distT="0" distB="0" distL="0" distR="0" wp14:anchorId="22E892E8" wp14:editId="721225D3">
            <wp:extent cx="5926455" cy="2725789"/>
            <wp:effectExtent l="19050" t="19050" r="1714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26455" cy="2725789"/>
                    </a:xfrm>
                    <a:prstGeom prst="rect">
                      <a:avLst/>
                    </a:prstGeom>
                    <a:ln>
                      <a:solidFill>
                        <a:schemeClr val="tx1"/>
                      </a:solidFill>
                    </a:ln>
                  </pic:spPr>
                </pic:pic>
              </a:graphicData>
            </a:graphic>
          </wp:inline>
        </w:drawing>
      </w:r>
    </w:p>
    <w:p w:rsidR="007A6D7C" w:rsidRPr="00B22790" w:rsidRDefault="00A16013" w:rsidP="00496043">
      <w:r w:rsidRPr="00B22790">
        <w:rPr>
          <w:b/>
        </w:rPr>
        <w:t>Repeat these steps to action any other Dispense Discrepancies</w:t>
      </w:r>
      <w:r w:rsidRPr="00B22790">
        <w:t>.</w:t>
      </w:r>
      <w:r w:rsidR="000167EC" w:rsidRPr="00B22790">
        <w:t xml:space="preserve"> You may also wish to check for unmatched fat</w:t>
      </w:r>
      <w:r w:rsidR="00496043" w:rsidRPr="00B22790">
        <w:t>e episodes</w:t>
      </w:r>
      <w:r w:rsidR="00496043" w:rsidRPr="00B22790">
        <w:rPr>
          <w:b/>
        </w:rPr>
        <w:t xml:space="preserve"> </w:t>
      </w:r>
      <w:r w:rsidR="00496043" w:rsidRPr="00B22790">
        <w:t>(See Part B – How to review and action an Unmatched Fate Episode).</w:t>
      </w:r>
    </w:p>
    <w:p w:rsidR="00A16013" w:rsidRDefault="00A16013">
      <w:pPr>
        <w:spacing w:line="276" w:lineRule="auto"/>
      </w:pPr>
      <w:r>
        <w:br w:type="page"/>
      </w:r>
    </w:p>
    <w:p w:rsidR="00A16013" w:rsidRDefault="00A16013" w:rsidP="00A16013"/>
    <w:p w:rsidR="00A16013" w:rsidRPr="007A6D7C" w:rsidRDefault="00A16013" w:rsidP="00A16013">
      <w:pPr>
        <w:spacing w:after="120"/>
        <w:rPr>
          <w:rFonts w:eastAsia="HYGothic-Extra"/>
          <w:b/>
          <w:bCs/>
          <w:color w:val="C00000"/>
          <w:spacing w:val="-20"/>
          <w:sz w:val="28"/>
          <w:szCs w:val="72"/>
        </w:rPr>
      </w:pPr>
      <w:r>
        <w:rPr>
          <w:rFonts w:eastAsia="HYGothic-Extra"/>
          <w:b/>
          <w:bCs/>
          <w:color w:val="C00000"/>
          <w:spacing w:val="-20"/>
          <w:sz w:val="28"/>
          <w:szCs w:val="72"/>
        </w:rPr>
        <w:t>Part B – How to review and action an Unmatched Fate Episode</w:t>
      </w:r>
    </w:p>
    <w:p w:rsidR="00A16013" w:rsidRDefault="00A16013" w:rsidP="00A16013">
      <w:r w:rsidRPr="00A16013">
        <w:rPr>
          <w:b/>
        </w:rPr>
        <w:t>Unmatched Fate Episodes</w:t>
      </w:r>
      <w:r w:rsidRPr="00A16013">
        <w:t xml:space="preserve"> are created when a fate episode cannot be accurately matched to an authorised patient in BloodSTAR. When fate episodes are not accurately matched to authorisation records BloodNET is unable to assist you in determining whether a patient is receiving treatment within the constraints of the authorisation.</w:t>
      </w:r>
    </w:p>
    <w:p w:rsidR="000167EC" w:rsidRPr="000167EC" w:rsidRDefault="000167EC" w:rsidP="000167EC">
      <w:pPr>
        <w:pStyle w:val="ListParagraph"/>
        <w:numPr>
          <w:ilvl w:val="0"/>
          <w:numId w:val="18"/>
        </w:numPr>
      </w:pPr>
      <w:r w:rsidRPr="00BE76CA">
        <w:t>Login to</w:t>
      </w:r>
      <w:r w:rsidRPr="000167EC">
        <w:rPr>
          <w:b/>
        </w:rPr>
        <w:t xml:space="preserve"> BloodNet</w:t>
      </w:r>
      <w:r w:rsidRPr="00BE76CA">
        <w:t xml:space="preserve"> and select Authorisation -&gt; </w:t>
      </w:r>
      <w:r>
        <w:rPr>
          <w:b/>
        </w:rPr>
        <w:t>Unmatched Fate Episodes</w:t>
      </w:r>
    </w:p>
    <w:p w:rsidR="000167EC" w:rsidRDefault="000167EC" w:rsidP="00A16013">
      <w:r>
        <w:rPr>
          <w:noProof/>
          <w:lang w:eastAsia="en-AU"/>
        </w:rPr>
        <w:drawing>
          <wp:inline distT="0" distB="0" distL="0" distR="0" wp14:anchorId="265DDAFF" wp14:editId="1BF10A92">
            <wp:extent cx="5926455" cy="1481614"/>
            <wp:effectExtent l="19050" t="19050" r="1714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26455" cy="1481614"/>
                    </a:xfrm>
                    <a:prstGeom prst="rect">
                      <a:avLst/>
                    </a:prstGeom>
                    <a:ln>
                      <a:solidFill>
                        <a:schemeClr val="tx1"/>
                      </a:solidFill>
                    </a:ln>
                  </pic:spPr>
                </pic:pic>
              </a:graphicData>
            </a:graphic>
          </wp:inline>
        </w:drawing>
      </w:r>
    </w:p>
    <w:p w:rsidR="000167EC" w:rsidRPr="000167EC" w:rsidRDefault="000167EC" w:rsidP="000167EC">
      <w:pPr>
        <w:pStyle w:val="ListParagraph"/>
        <w:numPr>
          <w:ilvl w:val="0"/>
          <w:numId w:val="18"/>
        </w:numPr>
      </w:pPr>
      <w:r>
        <w:t xml:space="preserve"> </w:t>
      </w:r>
      <w:r w:rsidRPr="000167EC">
        <w:t>Click ‘</w:t>
      </w:r>
      <w:r w:rsidRPr="00BE76CA">
        <w:rPr>
          <w:b/>
        </w:rPr>
        <w:t>Match</w:t>
      </w:r>
      <w:r w:rsidRPr="000167EC">
        <w:t xml:space="preserve">’ to action an </w:t>
      </w:r>
      <w:r w:rsidRPr="00BE76CA">
        <w:rPr>
          <w:b/>
        </w:rPr>
        <w:t>Unmatched Fate Episode</w:t>
      </w:r>
    </w:p>
    <w:p w:rsidR="000167EC" w:rsidRDefault="00BE76CA">
      <w:pPr>
        <w:spacing w:line="276" w:lineRule="auto"/>
      </w:pPr>
      <w:r>
        <w:rPr>
          <w:noProof/>
          <w:lang w:eastAsia="en-AU"/>
        </w:rPr>
        <w:drawing>
          <wp:inline distT="0" distB="0" distL="0" distR="0" wp14:anchorId="0BF0D52C" wp14:editId="275A1378">
            <wp:extent cx="5926455" cy="1626609"/>
            <wp:effectExtent l="19050" t="19050" r="1714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26455" cy="1626609"/>
                    </a:xfrm>
                    <a:prstGeom prst="rect">
                      <a:avLst/>
                    </a:prstGeom>
                    <a:ln>
                      <a:solidFill>
                        <a:schemeClr val="tx1"/>
                      </a:solidFill>
                    </a:ln>
                  </pic:spPr>
                </pic:pic>
              </a:graphicData>
            </a:graphic>
          </wp:inline>
        </w:drawing>
      </w:r>
    </w:p>
    <w:p w:rsidR="007A6D7C" w:rsidRDefault="001B740C" w:rsidP="00BE76CA">
      <w:pPr>
        <w:pStyle w:val="ListParagraph"/>
        <w:numPr>
          <w:ilvl w:val="0"/>
          <w:numId w:val="18"/>
        </w:numPr>
        <w:spacing w:line="276" w:lineRule="auto"/>
      </w:pPr>
      <w:r>
        <w:t xml:space="preserve"> </w:t>
      </w:r>
      <w:r w:rsidR="00EE4939" w:rsidRPr="00B22790">
        <w:rPr>
          <w:b/>
        </w:rPr>
        <w:t>Enter three patient identifiers</w:t>
      </w:r>
      <w:r w:rsidR="00EE4939">
        <w:t xml:space="preserve"> or authorisation number and </w:t>
      </w:r>
      <w:r w:rsidR="00EE4939" w:rsidRPr="00B22790">
        <w:rPr>
          <w:b/>
        </w:rPr>
        <w:t>click search</w:t>
      </w:r>
    </w:p>
    <w:p w:rsidR="00EE4939" w:rsidRDefault="00EE4939" w:rsidP="00EE4939">
      <w:pPr>
        <w:spacing w:line="276" w:lineRule="auto"/>
      </w:pPr>
      <w:r>
        <w:rPr>
          <w:noProof/>
          <w:lang w:eastAsia="en-AU"/>
        </w:rPr>
        <w:drawing>
          <wp:inline distT="0" distB="0" distL="0" distR="0" wp14:anchorId="0F77ABBB" wp14:editId="2E13756A">
            <wp:extent cx="5926455" cy="2404140"/>
            <wp:effectExtent l="19050" t="19050" r="17145"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26455" cy="2404140"/>
                    </a:xfrm>
                    <a:prstGeom prst="rect">
                      <a:avLst/>
                    </a:prstGeom>
                    <a:ln>
                      <a:solidFill>
                        <a:schemeClr val="tx1"/>
                      </a:solidFill>
                    </a:ln>
                  </pic:spPr>
                </pic:pic>
              </a:graphicData>
            </a:graphic>
          </wp:inline>
        </w:drawing>
      </w:r>
    </w:p>
    <w:p w:rsidR="004133DB" w:rsidRDefault="004133DB">
      <w:pPr>
        <w:spacing w:line="276" w:lineRule="auto"/>
      </w:pPr>
      <w:r>
        <w:br w:type="page"/>
      </w:r>
    </w:p>
    <w:p w:rsidR="00EE4939" w:rsidRDefault="00EE4939" w:rsidP="00EE4939">
      <w:pPr>
        <w:pStyle w:val="ListParagraph"/>
        <w:spacing w:line="276" w:lineRule="auto"/>
        <w:ind w:left="360"/>
      </w:pPr>
    </w:p>
    <w:p w:rsidR="004133DB" w:rsidRPr="004133DB" w:rsidRDefault="004133DB" w:rsidP="00EE4939">
      <w:pPr>
        <w:pStyle w:val="ListParagraph"/>
        <w:spacing w:line="276" w:lineRule="auto"/>
        <w:ind w:left="360"/>
        <w:rPr>
          <w:sz w:val="12"/>
        </w:rPr>
      </w:pPr>
    </w:p>
    <w:p w:rsidR="00EE4939" w:rsidRDefault="00496043" w:rsidP="00BE76CA">
      <w:pPr>
        <w:pStyle w:val="ListParagraph"/>
        <w:numPr>
          <w:ilvl w:val="0"/>
          <w:numId w:val="18"/>
        </w:numPr>
        <w:spacing w:line="276" w:lineRule="auto"/>
      </w:pPr>
      <w:r>
        <w:t>Did the search identify a patient dose with matching details?</w:t>
      </w:r>
    </w:p>
    <w:p w:rsidR="00496043" w:rsidRDefault="00496043" w:rsidP="00496043">
      <w:pPr>
        <w:pStyle w:val="ListParagraph"/>
        <w:numPr>
          <w:ilvl w:val="1"/>
          <w:numId w:val="18"/>
        </w:numPr>
        <w:spacing w:line="276" w:lineRule="auto"/>
      </w:pPr>
      <w:r>
        <w:t>Yes – Click ‘Match’ to</w:t>
      </w:r>
      <w:r w:rsidR="00B22790">
        <w:t xml:space="preserve"> link the BloodNet Fate Episode</w:t>
      </w:r>
      <w:r>
        <w:t xml:space="preserve"> to the matching BloodSTAR Dose</w:t>
      </w:r>
    </w:p>
    <w:p w:rsidR="00496043" w:rsidRPr="00496043" w:rsidRDefault="00496043" w:rsidP="00496043">
      <w:pPr>
        <w:pStyle w:val="ListParagraph"/>
        <w:spacing w:line="276" w:lineRule="auto"/>
        <w:ind w:left="1080"/>
        <w:rPr>
          <w:b/>
          <w:u w:val="single"/>
        </w:rPr>
      </w:pPr>
      <w:r w:rsidRPr="00496043">
        <w:rPr>
          <w:b/>
          <w:u w:val="single"/>
        </w:rPr>
        <w:t>OR</w:t>
      </w:r>
    </w:p>
    <w:p w:rsidR="00496043" w:rsidRDefault="00496043" w:rsidP="00496043">
      <w:pPr>
        <w:pStyle w:val="ListParagraph"/>
        <w:numPr>
          <w:ilvl w:val="1"/>
          <w:numId w:val="18"/>
        </w:numPr>
        <w:spacing w:line="276" w:lineRule="auto"/>
      </w:pPr>
      <w:r>
        <w:t xml:space="preserve">No – Contact NBA Support at </w:t>
      </w:r>
      <w:hyperlink r:id="rId16" w:history="1">
        <w:r w:rsidRPr="00796BCF">
          <w:rPr>
            <w:rStyle w:val="Hyperlink"/>
          </w:rPr>
          <w:t>support@blood.gov.au</w:t>
        </w:r>
      </w:hyperlink>
      <w:r>
        <w:t xml:space="preserve"> or 13 000 BLOOD (13 000 25663)</w:t>
      </w:r>
    </w:p>
    <w:p w:rsidR="00496043" w:rsidRDefault="00496043" w:rsidP="00496043">
      <w:pPr>
        <w:pStyle w:val="ListParagraph"/>
        <w:spacing w:line="276" w:lineRule="auto"/>
        <w:ind w:left="0"/>
      </w:pPr>
    </w:p>
    <w:p w:rsidR="00496043" w:rsidRDefault="00496043" w:rsidP="00496043">
      <w:pPr>
        <w:pStyle w:val="ListParagraph"/>
        <w:spacing w:line="276" w:lineRule="auto"/>
        <w:ind w:left="0"/>
      </w:pPr>
      <w:r>
        <w:rPr>
          <w:noProof/>
          <w:lang w:eastAsia="en-AU"/>
        </w:rPr>
        <w:drawing>
          <wp:inline distT="0" distB="0" distL="0" distR="0" wp14:anchorId="0D16729F" wp14:editId="4B033943">
            <wp:extent cx="5926455" cy="3651481"/>
            <wp:effectExtent l="19050" t="19050" r="17145"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6455" cy="3651481"/>
                    </a:xfrm>
                    <a:prstGeom prst="rect">
                      <a:avLst/>
                    </a:prstGeom>
                    <a:ln>
                      <a:solidFill>
                        <a:schemeClr val="tx1"/>
                      </a:solidFill>
                    </a:ln>
                  </pic:spPr>
                </pic:pic>
              </a:graphicData>
            </a:graphic>
          </wp:inline>
        </w:drawing>
      </w:r>
    </w:p>
    <w:p w:rsidR="007A6D7C" w:rsidRPr="008B6E32" w:rsidRDefault="00496043" w:rsidP="007A6D7C">
      <w:r w:rsidRPr="00496043">
        <w:rPr>
          <w:b/>
        </w:rPr>
        <w:t>Please Note</w:t>
      </w:r>
      <w:r>
        <w:t xml:space="preserve">:  In the unlikely event that there are no potential matches, please contact NBA Support. It may be necessary to follow up with the patient’s specialist or a jurisdictional </w:t>
      </w:r>
      <w:r w:rsidR="00B22790">
        <w:t>representative to complete this action</w:t>
      </w:r>
      <w:bookmarkStart w:id="0" w:name="_GoBack"/>
      <w:bookmarkEnd w:id="0"/>
      <w:r w:rsidR="00B22790">
        <w:t>.</w:t>
      </w:r>
    </w:p>
    <w:sectPr w:rsidR="007A6D7C" w:rsidRPr="008B6E32" w:rsidSect="00E40DB0">
      <w:headerReference w:type="default" r:id="rId18"/>
      <w:footerReference w:type="default" r:id="rId19"/>
      <w:headerReference w:type="first" r:id="rId20"/>
      <w:footerReference w:type="first" r:id="rId21"/>
      <w:pgSz w:w="11906" w:h="16838"/>
      <w:pgMar w:top="1440" w:right="1133" w:bottom="993" w:left="1440"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DA" w:rsidRDefault="00F768DA" w:rsidP="00856708">
      <w:pPr>
        <w:spacing w:after="0"/>
      </w:pPr>
      <w:r>
        <w:separator/>
      </w:r>
    </w:p>
  </w:endnote>
  <w:endnote w:type="continuationSeparator" w:id="0">
    <w:p w:rsidR="00F768DA" w:rsidRDefault="00F768D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8" w:rsidRPr="00E707F0" w:rsidRDefault="00E55958" w:rsidP="00E55958">
    <w:pPr>
      <w:pStyle w:val="Footer"/>
      <w:tabs>
        <w:tab w:val="left" w:pos="6521"/>
      </w:tabs>
      <w:ind w:left="-284" w:right="-306" w:firstLine="284"/>
      <w:jc w:val="both"/>
      <w:rPr>
        <w:rFonts w:ascii="Arial" w:hAnsi="Arial" w:cs="Arial"/>
        <w:spacing w:val="-6"/>
        <w:sz w:val="26"/>
        <w:szCs w:val="26"/>
      </w:rPr>
    </w:pPr>
    <w:r>
      <w:rPr>
        <w:rFonts w:ascii="Arial" w:hAnsi="Arial" w:cs="Arial"/>
        <w:color w:val="C00000"/>
        <w:spacing w:val="-6"/>
        <w:sz w:val="26"/>
        <w:szCs w:val="26"/>
      </w:rPr>
      <w:tab/>
    </w:r>
    <w:r>
      <w:rPr>
        <w:rFonts w:ascii="Arial" w:hAnsi="Arial" w:cs="Arial"/>
        <w:color w:val="C00000"/>
        <w:spacing w:val="-6"/>
        <w:sz w:val="26"/>
        <w:szCs w:val="26"/>
      </w:rPr>
      <w:tab/>
    </w:r>
    <w:r w:rsidRPr="00E707F0">
      <w:rPr>
        <w:rFonts w:ascii="Arial" w:hAnsi="Arial" w:cs="Arial"/>
        <w:color w:val="C00000"/>
        <w:spacing w:val="-6"/>
        <w:sz w:val="26"/>
        <w:szCs w:val="26"/>
      </w:rPr>
      <w:t xml:space="preserve">Support </w:t>
    </w:r>
  </w:p>
  <w:p w:rsidR="00E55958" w:rsidRPr="00465009" w:rsidRDefault="00E55958" w:rsidP="00E55958">
    <w:pPr>
      <w:pStyle w:val="Footer"/>
      <w:tabs>
        <w:tab w:val="clear" w:pos="9026"/>
        <w:tab w:val="left" w:pos="6521"/>
      </w:tabs>
      <w:ind w:right="-306"/>
      <w:rPr>
        <w:sz w:val="20"/>
        <w:szCs w:val="20"/>
      </w:rPr>
    </w:pPr>
    <w:r>
      <w:tab/>
    </w:r>
    <w:r>
      <w:tab/>
    </w:r>
    <w:r w:rsidR="002152D2" w:rsidRPr="00465009">
      <w:rPr>
        <w:sz w:val="20"/>
        <w:szCs w:val="20"/>
      </w:rPr>
      <w:t>Phone</w:t>
    </w:r>
    <w:r w:rsidRPr="00465009">
      <w:rPr>
        <w:sz w:val="20"/>
        <w:szCs w:val="20"/>
      </w:rPr>
      <w:t>: 13 000 BLOOD (13 000 25663)</w:t>
    </w:r>
    <w:r w:rsidRPr="00465009">
      <w:rPr>
        <w:sz w:val="20"/>
        <w:szCs w:val="20"/>
      </w:rPr>
      <w:tab/>
    </w:r>
    <w:r w:rsidRPr="00465009">
      <w:rPr>
        <w:sz w:val="20"/>
        <w:szCs w:val="20"/>
      </w:rPr>
      <w:tab/>
    </w:r>
    <w:r w:rsidR="002152D2">
      <w:rPr>
        <w:sz w:val="20"/>
        <w:szCs w:val="20"/>
      </w:rPr>
      <w:t>E</w:t>
    </w:r>
    <w:r>
      <w:rPr>
        <w:sz w:val="20"/>
        <w:szCs w:val="20"/>
      </w:rPr>
      <w:t xml:space="preserve">mail: </w:t>
    </w:r>
    <w:hyperlink r:id="rId1" w:history="1">
      <w:r w:rsidRPr="00465009">
        <w:rPr>
          <w:rStyle w:val="Hyperlink"/>
          <w:sz w:val="20"/>
          <w:szCs w:val="20"/>
        </w:rPr>
        <w:t>support@blood.gov.au</w:t>
      </w:r>
    </w:hyperlink>
  </w:p>
  <w:p w:rsidR="00856708" w:rsidRPr="00E55958" w:rsidRDefault="00E55958" w:rsidP="00E55958">
    <w:pPr>
      <w:pStyle w:val="Footer"/>
      <w:tabs>
        <w:tab w:val="left" w:pos="6521"/>
      </w:tabs>
      <w:ind w:right="-306"/>
    </w:pPr>
    <w:r>
      <w:rPr>
        <w:sz w:val="20"/>
        <w:szCs w:val="20"/>
      </w:rPr>
      <w:tab/>
    </w:r>
    <w:r>
      <w:rPr>
        <w:sz w:val="20"/>
        <w:szCs w:val="20"/>
      </w:rPr>
      <w:tab/>
    </w:r>
    <w:r w:rsidR="002152D2">
      <w:rPr>
        <w:sz w:val="20"/>
        <w:szCs w:val="20"/>
      </w:rPr>
      <w:t>Fax</w:t>
    </w:r>
    <w:r w:rsidR="00F1528C">
      <w:rPr>
        <w:sz w:val="20"/>
        <w:szCs w:val="20"/>
      </w:rPr>
      <w:t>: 02 6151 5210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1" w:rsidRPr="00E707F0" w:rsidRDefault="00F3182B" w:rsidP="00094131">
    <w:pPr>
      <w:pStyle w:val="Footer"/>
      <w:tabs>
        <w:tab w:val="left" w:pos="6521"/>
      </w:tabs>
      <w:ind w:left="-284" w:right="-306" w:firstLine="284"/>
      <w:jc w:val="both"/>
      <w:rPr>
        <w:rFonts w:ascii="Arial" w:hAnsi="Arial" w:cs="Arial"/>
        <w:spacing w:val="-6"/>
        <w:sz w:val="26"/>
        <w:szCs w:val="26"/>
      </w:rPr>
    </w:pPr>
    <w:r>
      <w:rPr>
        <w:noProof/>
        <w:lang w:eastAsia="en-AU"/>
      </w:rPr>
      <w:drawing>
        <wp:anchor distT="0" distB="0" distL="114300" distR="114300" simplePos="0" relativeHeight="251659264" behindDoc="1" locked="0" layoutInCell="1" allowOverlap="1" wp14:anchorId="7F34AC1B" wp14:editId="22BB8EFB">
          <wp:simplePos x="0" y="0"/>
          <wp:positionH relativeFrom="column">
            <wp:posOffset>-180975</wp:posOffset>
          </wp:positionH>
          <wp:positionV relativeFrom="paragraph">
            <wp:posOffset>29845</wp:posOffset>
          </wp:positionV>
          <wp:extent cx="2552700" cy="47654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552700" cy="476549"/>
                  </a:xfrm>
                  <a:prstGeom prst="rect">
                    <a:avLst/>
                  </a:prstGeom>
                </pic:spPr>
              </pic:pic>
            </a:graphicData>
          </a:graphic>
          <wp14:sizeRelH relativeFrom="page">
            <wp14:pctWidth>0</wp14:pctWidth>
          </wp14:sizeRelH>
          <wp14:sizeRelV relativeFrom="page">
            <wp14:pctHeight>0</wp14:pctHeight>
          </wp14:sizeRelV>
        </wp:anchor>
      </w:drawing>
    </w:r>
    <w:r>
      <w:tab/>
    </w:r>
    <w:r w:rsidRPr="00F3182B">
      <w:rPr>
        <w:b/>
        <w:color w:val="C00000"/>
      </w:rPr>
      <w:t xml:space="preserve"> </w:t>
    </w:r>
    <w:r w:rsidR="00094131">
      <w:rPr>
        <w:b/>
        <w:color w:val="C00000"/>
      </w:rPr>
      <w:tab/>
    </w:r>
    <w:r w:rsidR="00094131" w:rsidRPr="00E707F0">
      <w:rPr>
        <w:rFonts w:ascii="Arial" w:hAnsi="Arial" w:cs="Arial"/>
        <w:color w:val="C00000"/>
        <w:spacing w:val="-6"/>
        <w:sz w:val="26"/>
        <w:szCs w:val="26"/>
      </w:rPr>
      <w:t xml:space="preserve">Support </w:t>
    </w:r>
  </w:p>
  <w:p w:rsidR="00094131" w:rsidRPr="00465009" w:rsidRDefault="00094131" w:rsidP="00094131">
    <w:pPr>
      <w:pStyle w:val="Footer"/>
      <w:tabs>
        <w:tab w:val="clear" w:pos="9026"/>
        <w:tab w:val="left" w:pos="6521"/>
      </w:tabs>
      <w:ind w:right="-306"/>
      <w:rPr>
        <w:sz w:val="20"/>
        <w:szCs w:val="20"/>
      </w:rPr>
    </w:pPr>
    <w:r>
      <w:tab/>
    </w:r>
    <w:r>
      <w:tab/>
    </w:r>
    <w:r w:rsidR="002152D2" w:rsidRPr="00465009">
      <w:rPr>
        <w:sz w:val="20"/>
        <w:szCs w:val="20"/>
      </w:rPr>
      <w:t>Phone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2" w:history="1">
      <w:r w:rsidRPr="00465009">
        <w:rPr>
          <w:rStyle w:val="Hyperlink"/>
          <w:sz w:val="20"/>
          <w:szCs w:val="20"/>
        </w:rPr>
        <w:t>support@blood.gov.au</w:t>
      </w:r>
    </w:hyperlink>
  </w:p>
  <w:p w:rsidR="00094131" w:rsidRPr="00465009" w:rsidRDefault="00094131" w:rsidP="00094131">
    <w:pPr>
      <w:pStyle w:val="Footer"/>
      <w:tabs>
        <w:tab w:val="left" w:pos="6521"/>
      </w:tabs>
      <w:ind w:right="-306"/>
      <w:rPr>
        <w:sz w:val="20"/>
        <w:szCs w:val="20"/>
      </w:rPr>
    </w:pPr>
    <w:r>
      <w:rPr>
        <w:sz w:val="20"/>
        <w:szCs w:val="20"/>
      </w:rPr>
      <w:tab/>
    </w:r>
    <w:r>
      <w:rPr>
        <w:sz w:val="20"/>
        <w:szCs w:val="20"/>
      </w:rPr>
      <w:tab/>
    </w:r>
    <w:r w:rsidR="002152D2">
      <w:rPr>
        <w:sz w:val="20"/>
        <w:szCs w:val="20"/>
      </w:rPr>
      <w:t>Fax</w:t>
    </w:r>
    <w:r w:rsidR="00F1528C">
      <w:rPr>
        <w:sz w:val="20"/>
        <w:szCs w:val="20"/>
      </w:rPr>
      <w:t>: 02 6151 5210</w:t>
    </w:r>
    <w:r w:rsidRPr="00465009">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DA" w:rsidRDefault="00F768DA" w:rsidP="00856708">
      <w:pPr>
        <w:spacing w:after="0"/>
      </w:pPr>
      <w:r>
        <w:separator/>
      </w:r>
    </w:p>
  </w:footnote>
  <w:footnote w:type="continuationSeparator" w:id="0">
    <w:p w:rsidR="00F768DA" w:rsidRDefault="00F768D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17" w:rsidRDefault="00E671B9">
    <w:pPr>
      <w:pStyle w:val="Header"/>
    </w:pPr>
    <w:r w:rsidRPr="00E671B9">
      <w:rPr>
        <w:noProof/>
        <w:lang w:eastAsia="en-AU"/>
      </w:rPr>
      <w:t xml:space="preserve"> </w:t>
    </w:r>
    <w:r w:rsidR="005C3785" w:rsidRPr="005C3785">
      <w:rPr>
        <w:noProof/>
        <w:lang w:eastAsia="en-AU"/>
      </w:rPr>
      <w:drawing>
        <wp:inline distT="0" distB="0" distL="0" distR="0" wp14:anchorId="2B7C04AB" wp14:editId="592AB971">
          <wp:extent cx="2065458" cy="655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80198" cy="660286"/>
                  </a:xfrm>
                  <a:prstGeom prst="rect">
                    <a:avLst/>
                  </a:prstGeom>
                </pic:spPr>
              </pic:pic>
            </a:graphicData>
          </a:graphic>
        </wp:inline>
      </w:drawing>
    </w:r>
    <w:r w:rsidR="00076117">
      <w:rPr>
        <w:noProof/>
        <w:lang w:eastAsia="en-AU"/>
      </w:rPr>
      <w:drawing>
        <wp:anchor distT="0" distB="0" distL="114300" distR="114300" simplePos="0" relativeHeight="251662336" behindDoc="1" locked="0" layoutInCell="1" allowOverlap="1" wp14:anchorId="6C85C127" wp14:editId="624FD6B9">
          <wp:simplePos x="0" y="0"/>
          <wp:positionH relativeFrom="column">
            <wp:posOffset>-923925</wp:posOffset>
          </wp:positionH>
          <wp:positionV relativeFrom="paragraph">
            <wp:posOffset>-448945</wp:posOffset>
          </wp:positionV>
          <wp:extent cx="7581900" cy="1581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D155F0" w:rsidP="004A03E0">
    <w:pPr>
      <w:pStyle w:val="Header"/>
      <w:tabs>
        <w:tab w:val="clear" w:pos="4513"/>
        <w:tab w:val="clear" w:pos="9026"/>
        <w:tab w:val="left" w:pos="7950"/>
      </w:tabs>
      <w:ind w:left="-284"/>
    </w:pPr>
    <w:r>
      <w:rPr>
        <w:noProof/>
        <w:lang w:eastAsia="en-AU"/>
      </w:rPr>
      <w:drawing>
        <wp:anchor distT="0" distB="0" distL="114300" distR="114300" simplePos="0" relativeHeight="251660288" behindDoc="0" locked="0" layoutInCell="1" allowOverlap="1" wp14:anchorId="7B47E72E" wp14:editId="107CB89D">
          <wp:simplePos x="0" y="0"/>
          <wp:positionH relativeFrom="column">
            <wp:posOffset>19050</wp:posOffset>
          </wp:positionH>
          <wp:positionV relativeFrom="paragraph">
            <wp:posOffset>-1905</wp:posOffset>
          </wp:positionV>
          <wp:extent cx="289715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F9">
      <w:rPr>
        <w:noProof/>
        <w:lang w:eastAsia="en-AU"/>
      </w:rPr>
      <w:drawing>
        <wp:anchor distT="0" distB="0" distL="114300" distR="114300" simplePos="0" relativeHeight="251658240" behindDoc="1" locked="0" layoutInCell="1" allowOverlap="1" wp14:anchorId="1BC31DE7" wp14:editId="275EE99B">
          <wp:simplePos x="0" y="0"/>
          <wp:positionH relativeFrom="column">
            <wp:posOffset>-923925</wp:posOffset>
          </wp:positionH>
          <wp:positionV relativeFrom="paragraph">
            <wp:posOffset>-478154</wp:posOffset>
          </wp:positionV>
          <wp:extent cx="7581900"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EDD"/>
    <w:multiLevelType w:val="hybridMultilevel"/>
    <w:tmpl w:val="A3CEC7B2"/>
    <w:lvl w:ilvl="0" w:tplc="931AB44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6B4D1F"/>
    <w:multiLevelType w:val="hybridMultilevel"/>
    <w:tmpl w:val="E46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EC7DE9"/>
    <w:multiLevelType w:val="hybridMultilevel"/>
    <w:tmpl w:val="63448E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8384DF6"/>
    <w:multiLevelType w:val="hybridMultilevel"/>
    <w:tmpl w:val="2794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CA2158"/>
    <w:multiLevelType w:val="hybridMultilevel"/>
    <w:tmpl w:val="854E8928"/>
    <w:lvl w:ilvl="0" w:tplc="7BF04CD8">
      <w:start w:val="1"/>
      <w:numFmt w:val="upperLetter"/>
      <w:lvlText w:val="%1."/>
      <w:lvlJc w:val="left"/>
      <w:pPr>
        <w:ind w:left="360" w:hanging="360"/>
      </w:pPr>
      <w:rPr>
        <w:rFonts w:hint="default"/>
        <w:color w:val="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F4C6D89"/>
    <w:multiLevelType w:val="hybridMultilevel"/>
    <w:tmpl w:val="EAA67F5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3731EC3"/>
    <w:multiLevelType w:val="hybridMultilevel"/>
    <w:tmpl w:val="0D1058EA"/>
    <w:lvl w:ilvl="0" w:tplc="6E94BF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F964308"/>
    <w:multiLevelType w:val="hybridMultilevel"/>
    <w:tmpl w:val="B75A9B3E"/>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7C23AE0"/>
    <w:multiLevelType w:val="hybridMultilevel"/>
    <w:tmpl w:val="B58065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1E0B93"/>
    <w:multiLevelType w:val="hybridMultilevel"/>
    <w:tmpl w:val="551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B84666"/>
    <w:multiLevelType w:val="hybridMultilevel"/>
    <w:tmpl w:val="103C15C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7030C87"/>
    <w:multiLevelType w:val="hybridMultilevel"/>
    <w:tmpl w:val="90B63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A880F80"/>
    <w:multiLevelType w:val="hybridMultilevel"/>
    <w:tmpl w:val="97F04FD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B354D36"/>
    <w:multiLevelType w:val="hybridMultilevel"/>
    <w:tmpl w:val="874E2CBC"/>
    <w:lvl w:ilvl="0" w:tplc="7DC8DD7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5C20242"/>
    <w:multiLevelType w:val="hybridMultilevel"/>
    <w:tmpl w:val="C7442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263FA5"/>
    <w:multiLevelType w:val="hybridMultilevel"/>
    <w:tmpl w:val="CEFAF01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E75F3A"/>
    <w:multiLevelType w:val="hybridMultilevel"/>
    <w:tmpl w:val="ADF660AA"/>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58428B2"/>
    <w:multiLevelType w:val="hybridMultilevel"/>
    <w:tmpl w:val="FAECC9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B3619A3"/>
    <w:multiLevelType w:val="hybridMultilevel"/>
    <w:tmpl w:val="12E090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1"/>
  </w:num>
  <w:num w:numId="5">
    <w:abstractNumId w:val="4"/>
  </w:num>
  <w:num w:numId="6">
    <w:abstractNumId w:val="2"/>
  </w:num>
  <w:num w:numId="7">
    <w:abstractNumId w:val="11"/>
  </w:num>
  <w:num w:numId="8">
    <w:abstractNumId w:val="13"/>
  </w:num>
  <w:num w:numId="9">
    <w:abstractNumId w:val="6"/>
  </w:num>
  <w:num w:numId="10">
    <w:abstractNumId w:val="16"/>
  </w:num>
  <w:num w:numId="11">
    <w:abstractNumId w:val="10"/>
  </w:num>
  <w:num w:numId="12">
    <w:abstractNumId w:val="3"/>
  </w:num>
  <w:num w:numId="13">
    <w:abstractNumId w:val="0"/>
  </w:num>
  <w:num w:numId="14">
    <w:abstractNumId w:val="19"/>
  </w:num>
  <w:num w:numId="15">
    <w:abstractNumId w:val="14"/>
  </w:num>
  <w:num w:numId="16">
    <w:abstractNumId w:val="18"/>
  </w:num>
  <w:num w:numId="17">
    <w:abstractNumId w:val="15"/>
  </w:num>
  <w:num w:numId="18">
    <w:abstractNumId w:val="5"/>
  </w:num>
  <w:num w:numId="19">
    <w:abstractNumId w:val="12"/>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11"/>
    <w:rsid w:val="00000B39"/>
    <w:rsid w:val="000167EC"/>
    <w:rsid w:val="000346A8"/>
    <w:rsid w:val="000351BA"/>
    <w:rsid w:val="00035799"/>
    <w:rsid w:val="00036EDC"/>
    <w:rsid w:val="00060800"/>
    <w:rsid w:val="00060C15"/>
    <w:rsid w:val="000729CD"/>
    <w:rsid w:val="00076117"/>
    <w:rsid w:val="00093DC3"/>
    <w:rsid w:val="00094131"/>
    <w:rsid w:val="000941BE"/>
    <w:rsid w:val="000D084E"/>
    <w:rsid w:val="000D7DD4"/>
    <w:rsid w:val="00113588"/>
    <w:rsid w:val="00137648"/>
    <w:rsid w:val="00154A46"/>
    <w:rsid w:val="00163901"/>
    <w:rsid w:val="001658F8"/>
    <w:rsid w:val="001A1AF0"/>
    <w:rsid w:val="001B740C"/>
    <w:rsid w:val="001D2C76"/>
    <w:rsid w:val="001D36DF"/>
    <w:rsid w:val="001D70BD"/>
    <w:rsid w:val="001F5BCD"/>
    <w:rsid w:val="002152D2"/>
    <w:rsid w:val="002537F2"/>
    <w:rsid w:val="0025640B"/>
    <w:rsid w:val="002619D7"/>
    <w:rsid w:val="0026258D"/>
    <w:rsid w:val="00263656"/>
    <w:rsid w:val="002664F0"/>
    <w:rsid w:val="002850A9"/>
    <w:rsid w:val="002B3945"/>
    <w:rsid w:val="002D5A1F"/>
    <w:rsid w:val="002F079E"/>
    <w:rsid w:val="002F0B2D"/>
    <w:rsid w:val="00301083"/>
    <w:rsid w:val="00315FB0"/>
    <w:rsid w:val="0033089F"/>
    <w:rsid w:val="00332B55"/>
    <w:rsid w:val="003733C2"/>
    <w:rsid w:val="00380366"/>
    <w:rsid w:val="0039529F"/>
    <w:rsid w:val="003A26C2"/>
    <w:rsid w:val="003C00D4"/>
    <w:rsid w:val="003C4BEC"/>
    <w:rsid w:val="00413224"/>
    <w:rsid w:val="004133DB"/>
    <w:rsid w:val="0042077E"/>
    <w:rsid w:val="00421F37"/>
    <w:rsid w:val="00430CFC"/>
    <w:rsid w:val="0043140C"/>
    <w:rsid w:val="00454DF8"/>
    <w:rsid w:val="00496043"/>
    <w:rsid w:val="004A03E0"/>
    <w:rsid w:val="004A0A5C"/>
    <w:rsid w:val="004A64E9"/>
    <w:rsid w:val="004C49FE"/>
    <w:rsid w:val="004D4636"/>
    <w:rsid w:val="005219A9"/>
    <w:rsid w:val="00536E79"/>
    <w:rsid w:val="00561915"/>
    <w:rsid w:val="00562250"/>
    <w:rsid w:val="00576FDE"/>
    <w:rsid w:val="00577C66"/>
    <w:rsid w:val="005829B6"/>
    <w:rsid w:val="005A2646"/>
    <w:rsid w:val="005C3785"/>
    <w:rsid w:val="0060516D"/>
    <w:rsid w:val="0060698F"/>
    <w:rsid w:val="0061379D"/>
    <w:rsid w:val="006170BD"/>
    <w:rsid w:val="00665051"/>
    <w:rsid w:val="00693BD3"/>
    <w:rsid w:val="00694B3C"/>
    <w:rsid w:val="00697B6F"/>
    <w:rsid w:val="006C5719"/>
    <w:rsid w:val="006D13A0"/>
    <w:rsid w:val="006E22B9"/>
    <w:rsid w:val="006F3536"/>
    <w:rsid w:val="006F408E"/>
    <w:rsid w:val="00710F9D"/>
    <w:rsid w:val="00745FBA"/>
    <w:rsid w:val="0074782F"/>
    <w:rsid w:val="00752A72"/>
    <w:rsid w:val="00763FB9"/>
    <w:rsid w:val="00770BA4"/>
    <w:rsid w:val="00782BFD"/>
    <w:rsid w:val="00787003"/>
    <w:rsid w:val="00791FEA"/>
    <w:rsid w:val="007A6D7C"/>
    <w:rsid w:val="007C32C9"/>
    <w:rsid w:val="007E37F9"/>
    <w:rsid w:val="007E6385"/>
    <w:rsid w:val="007F648C"/>
    <w:rsid w:val="007F7024"/>
    <w:rsid w:val="00816A05"/>
    <w:rsid w:val="00823964"/>
    <w:rsid w:val="00833AAC"/>
    <w:rsid w:val="00851C91"/>
    <w:rsid w:val="00856708"/>
    <w:rsid w:val="00856C66"/>
    <w:rsid w:val="00863EC3"/>
    <w:rsid w:val="00874AE4"/>
    <w:rsid w:val="00884190"/>
    <w:rsid w:val="00887688"/>
    <w:rsid w:val="0089205F"/>
    <w:rsid w:val="00893E0A"/>
    <w:rsid w:val="00893FFD"/>
    <w:rsid w:val="008A0B1D"/>
    <w:rsid w:val="008A78FB"/>
    <w:rsid w:val="008B45A4"/>
    <w:rsid w:val="008F4947"/>
    <w:rsid w:val="008F704B"/>
    <w:rsid w:val="00930E44"/>
    <w:rsid w:val="00951B85"/>
    <w:rsid w:val="009E38CC"/>
    <w:rsid w:val="00A0370E"/>
    <w:rsid w:val="00A143BC"/>
    <w:rsid w:val="00A16013"/>
    <w:rsid w:val="00A230E7"/>
    <w:rsid w:val="00A31209"/>
    <w:rsid w:val="00A3730E"/>
    <w:rsid w:val="00A501D4"/>
    <w:rsid w:val="00A632AE"/>
    <w:rsid w:val="00A73B0C"/>
    <w:rsid w:val="00A80AC0"/>
    <w:rsid w:val="00A95C82"/>
    <w:rsid w:val="00AA4010"/>
    <w:rsid w:val="00AA6FFA"/>
    <w:rsid w:val="00AA709B"/>
    <w:rsid w:val="00AD02D0"/>
    <w:rsid w:val="00AD47B8"/>
    <w:rsid w:val="00AF0E90"/>
    <w:rsid w:val="00B07252"/>
    <w:rsid w:val="00B22790"/>
    <w:rsid w:val="00B26312"/>
    <w:rsid w:val="00B3726E"/>
    <w:rsid w:val="00B64DBF"/>
    <w:rsid w:val="00B70AA7"/>
    <w:rsid w:val="00B721FD"/>
    <w:rsid w:val="00BA08BA"/>
    <w:rsid w:val="00BA1CBF"/>
    <w:rsid w:val="00BC55C9"/>
    <w:rsid w:val="00BE76CA"/>
    <w:rsid w:val="00BF23DC"/>
    <w:rsid w:val="00BF340C"/>
    <w:rsid w:val="00C10319"/>
    <w:rsid w:val="00C15EDB"/>
    <w:rsid w:val="00C16DEA"/>
    <w:rsid w:val="00C2003A"/>
    <w:rsid w:val="00C45A1C"/>
    <w:rsid w:val="00C47D86"/>
    <w:rsid w:val="00C619BC"/>
    <w:rsid w:val="00C669BE"/>
    <w:rsid w:val="00C708FB"/>
    <w:rsid w:val="00C7337B"/>
    <w:rsid w:val="00C73845"/>
    <w:rsid w:val="00C75458"/>
    <w:rsid w:val="00CA018A"/>
    <w:rsid w:val="00CA396C"/>
    <w:rsid w:val="00CA4C5C"/>
    <w:rsid w:val="00CD79C8"/>
    <w:rsid w:val="00CE102D"/>
    <w:rsid w:val="00D067D5"/>
    <w:rsid w:val="00D155F0"/>
    <w:rsid w:val="00D16989"/>
    <w:rsid w:val="00D40477"/>
    <w:rsid w:val="00D50487"/>
    <w:rsid w:val="00D52215"/>
    <w:rsid w:val="00D52CF4"/>
    <w:rsid w:val="00D70198"/>
    <w:rsid w:val="00D82C50"/>
    <w:rsid w:val="00DA17BF"/>
    <w:rsid w:val="00DA3D15"/>
    <w:rsid w:val="00DB4330"/>
    <w:rsid w:val="00DE1B11"/>
    <w:rsid w:val="00DE5FA1"/>
    <w:rsid w:val="00DF6998"/>
    <w:rsid w:val="00E24402"/>
    <w:rsid w:val="00E256F7"/>
    <w:rsid w:val="00E40355"/>
    <w:rsid w:val="00E40DB0"/>
    <w:rsid w:val="00E45B66"/>
    <w:rsid w:val="00E52C53"/>
    <w:rsid w:val="00E55958"/>
    <w:rsid w:val="00E671B9"/>
    <w:rsid w:val="00E7294B"/>
    <w:rsid w:val="00E74A7F"/>
    <w:rsid w:val="00EA18F4"/>
    <w:rsid w:val="00EA2B25"/>
    <w:rsid w:val="00EA3B29"/>
    <w:rsid w:val="00EA52BA"/>
    <w:rsid w:val="00ED4C62"/>
    <w:rsid w:val="00EE4939"/>
    <w:rsid w:val="00EF0D4D"/>
    <w:rsid w:val="00EF6E90"/>
    <w:rsid w:val="00F003B7"/>
    <w:rsid w:val="00F1528C"/>
    <w:rsid w:val="00F3182B"/>
    <w:rsid w:val="00F36AE4"/>
    <w:rsid w:val="00F41309"/>
    <w:rsid w:val="00F510F8"/>
    <w:rsid w:val="00F63701"/>
    <w:rsid w:val="00F768DA"/>
    <w:rsid w:val="00F810BB"/>
    <w:rsid w:val="00F8779A"/>
    <w:rsid w:val="00FA1A41"/>
    <w:rsid w:val="00FA59F9"/>
    <w:rsid w:val="00FB0F56"/>
    <w:rsid w:val="00FC17C2"/>
    <w:rsid w:val="00FC18F7"/>
    <w:rsid w:val="00FE1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A501D4"/>
    <w:rPr>
      <w:color w:val="800080" w:themeColor="followedHyperlink"/>
      <w:u w:val="single"/>
    </w:rPr>
  </w:style>
  <w:style w:type="character" w:styleId="CommentReference">
    <w:name w:val="annotation reference"/>
    <w:basedOn w:val="DefaultParagraphFont"/>
    <w:uiPriority w:val="99"/>
    <w:semiHidden/>
    <w:unhideWhenUsed/>
    <w:rsid w:val="00E45B66"/>
    <w:rPr>
      <w:sz w:val="16"/>
      <w:szCs w:val="16"/>
    </w:rPr>
  </w:style>
  <w:style w:type="paragraph" w:styleId="CommentText">
    <w:name w:val="annotation text"/>
    <w:basedOn w:val="Normal"/>
    <w:link w:val="CommentTextChar"/>
    <w:uiPriority w:val="99"/>
    <w:semiHidden/>
    <w:unhideWhenUsed/>
    <w:rsid w:val="00E45B66"/>
    <w:rPr>
      <w:sz w:val="20"/>
      <w:szCs w:val="20"/>
    </w:rPr>
  </w:style>
  <w:style w:type="character" w:customStyle="1" w:styleId="CommentTextChar">
    <w:name w:val="Comment Text Char"/>
    <w:basedOn w:val="DefaultParagraphFont"/>
    <w:link w:val="CommentText"/>
    <w:uiPriority w:val="99"/>
    <w:semiHidden/>
    <w:rsid w:val="00E45B6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E45B66"/>
    <w:rPr>
      <w:b/>
      <w:bCs/>
    </w:rPr>
  </w:style>
  <w:style w:type="character" w:customStyle="1" w:styleId="CommentSubjectChar">
    <w:name w:val="Comment Subject Char"/>
    <w:basedOn w:val="CommentTextChar"/>
    <w:link w:val="CommentSubject"/>
    <w:uiPriority w:val="99"/>
    <w:semiHidden/>
    <w:rsid w:val="00E45B66"/>
    <w:rPr>
      <w:rFonts w:ascii="Calibri" w:eastAsia="Dotum" w:hAnsi="Calibri" w:cs="Calibri"/>
      <w:b/>
      <w:bCs/>
      <w:sz w:val="20"/>
      <w:szCs w:val="20"/>
    </w:rPr>
  </w:style>
  <w:style w:type="paragraph" w:styleId="Revision">
    <w:name w:val="Revision"/>
    <w:hidden/>
    <w:uiPriority w:val="99"/>
    <w:semiHidden/>
    <w:rsid w:val="00E45B66"/>
    <w:pPr>
      <w:spacing w:after="0" w:line="240" w:lineRule="auto"/>
    </w:pPr>
    <w:rPr>
      <w:rFonts w:ascii="Calibri" w:eastAsia="Dotum" w:hAnsi="Calibri" w:cs="Calibri"/>
    </w:rPr>
  </w:style>
  <w:style w:type="character" w:styleId="Emphasis">
    <w:name w:val="Emphasis"/>
    <w:basedOn w:val="DefaultParagraphFont"/>
    <w:uiPriority w:val="20"/>
    <w:qFormat/>
    <w:rsid w:val="00C754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A501D4"/>
    <w:rPr>
      <w:color w:val="800080" w:themeColor="followedHyperlink"/>
      <w:u w:val="single"/>
    </w:rPr>
  </w:style>
  <w:style w:type="character" w:styleId="CommentReference">
    <w:name w:val="annotation reference"/>
    <w:basedOn w:val="DefaultParagraphFont"/>
    <w:uiPriority w:val="99"/>
    <w:semiHidden/>
    <w:unhideWhenUsed/>
    <w:rsid w:val="00E45B66"/>
    <w:rPr>
      <w:sz w:val="16"/>
      <w:szCs w:val="16"/>
    </w:rPr>
  </w:style>
  <w:style w:type="paragraph" w:styleId="CommentText">
    <w:name w:val="annotation text"/>
    <w:basedOn w:val="Normal"/>
    <w:link w:val="CommentTextChar"/>
    <w:uiPriority w:val="99"/>
    <w:semiHidden/>
    <w:unhideWhenUsed/>
    <w:rsid w:val="00E45B66"/>
    <w:rPr>
      <w:sz w:val="20"/>
      <w:szCs w:val="20"/>
    </w:rPr>
  </w:style>
  <w:style w:type="character" w:customStyle="1" w:styleId="CommentTextChar">
    <w:name w:val="Comment Text Char"/>
    <w:basedOn w:val="DefaultParagraphFont"/>
    <w:link w:val="CommentText"/>
    <w:uiPriority w:val="99"/>
    <w:semiHidden/>
    <w:rsid w:val="00E45B6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E45B66"/>
    <w:rPr>
      <w:b/>
      <w:bCs/>
    </w:rPr>
  </w:style>
  <w:style w:type="character" w:customStyle="1" w:styleId="CommentSubjectChar">
    <w:name w:val="Comment Subject Char"/>
    <w:basedOn w:val="CommentTextChar"/>
    <w:link w:val="CommentSubject"/>
    <w:uiPriority w:val="99"/>
    <w:semiHidden/>
    <w:rsid w:val="00E45B66"/>
    <w:rPr>
      <w:rFonts w:ascii="Calibri" w:eastAsia="Dotum" w:hAnsi="Calibri" w:cs="Calibri"/>
      <w:b/>
      <w:bCs/>
      <w:sz w:val="20"/>
      <w:szCs w:val="20"/>
    </w:rPr>
  </w:style>
  <w:style w:type="paragraph" w:styleId="Revision">
    <w:name w:val="Revision"/>
    <w:hidden/>
    <w:uiPriority w:val="99"/>
    <w:semiHidden/>
    <w:rsid w:val="00E45B66"/>
    <w:pPr>
      <w:spacing w:after="0" w:line="240" w:lineRule="auto"/>
    </w:pPr>
    <w:rPr>
      <w:rFonts w:ascii="Calibri" w:eastAsia="Dotum" w:hAnsi="Calibri" w:cs="Calibri"/>
    </w:rPr>
  </w:style>
  <w:style w:type="character" w:styleId="Emphasis">
    <w:name w:val="Emphasis"/>
    <w:basedOn w:val="DefaultParagraphFont"/>
    <w:uiPriority w:val="20"/>
    <w:qFormat/>
    <w:rsid w:val="00C75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49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support@bloo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upport@blood.gov.au" TargetMode="External"/><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E029-D01B-4B6E-937B-75674623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508</Words>
  <Characters>2713</Characters>
  <Application>Microsoft Office Word</Application>
  <DocSecurity>4</DocSecurity>
  <Lines>65</Lines>
  <Paragraphs>32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Sharpe</dc:creator>
  <cp:lastModifiedBy>Andrew</cp:lastModifiedBy>
  <cp:revision>2</cp:revision>
  <cp:lastPrinted>2016-05-24T00:53:00Z</cp:lastPrinted>
  <dcterms:created xsi:type="dcterms:W3CDTF">2016-07-14T02:00:00Z</dcterms:created>
  <dcterms:modified xsi:type="dcterms:W3CDTF">2016-07-14T02:00:00Z</dcterms:modified>
</cp:coreProperties>
</file>