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E" w:rsidRPr="002B2CD6" w:rsidRDefault="006314FD" w:rsidP="00614FEB">
      <w:pPr>
        <w:pStyle w:val="Title"/>
        <w:spacing w:before="4080"/>
        <w:ind w:left="-709" w:right="3805"/>
        <w:rPr>
          <w:color w:val="000000" w:themeColor="text1"/>
          <w:sz w:val="58"/>
          <w:szCs w:val="58"/>
        </w:rPr>
      </w:pPr>
      <w:r w:rsidRPr="002B2CD6">
        <w:rPr>
          <w:noProof/>
          <w:color w:val="000000" w:themeColor="text1"/>
          <w:sz w:val="56"/>
          <w:lang w:eastAsia="en-AU"/>
        </w:rPr>
        <w:drawing>
          <wp:anchor distT="0" distB="0" distL="114300" distR="114300" simplePos="0" relativeHeight="251678720" behindDoc="1" locked="0" layoutInCell="1" allowOverlap="1" wp14:anchorId="132EF434" wp14:editId="0B5B3DA5">
            <wp:simplePos x="0" y="0"/>
            <wp:positionH relativeFrom="column">
              <wp:posOffset>-909320</wp:posOffset>
            </wp:positionH>
            <wp:positionV relativeFrom="paragraph">
              <wp:posOffset>-833314</wp:posOffset>
            </wp:positionV>
            <wp:extent cx="7560332" cy="1068990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332" cy="10689901"/>
                    </a:xfrm>
                    <a:prstGeom prst="rect">
                      <a:avLst/>
                    </a:prstGeom>
                  </pic:spPr>
                </pic:pic>
              </a:graphicData>
            </a:graphic>
            <wp14:sizeRelH relativeFrom="page">
              <wp14:pctWidth>0</wp14:pctWidth>
            </wp14:sizeRelH>
            <wp14:sizeRelV relativeFrom="page">
              <wp14:pctHeight>0</wp14:pctHeight>
            </wp14:sizeRelV>
          </wp:anchor>
        </w:drawing>
      </w:r>
      <w:r w:rsidR="00614FEB" w:rsidRPr="002B2CD6">
        <w:rPr>
          <w:noProof/>
          <w:color w:val="000000" w:themeColor="text1"/>
          <w:sz w:val="56"/>
          <w:lang w:eastAsia="en-AU"/>
        </w:rPr>
        <w:t>SuPPLY OF IMPORTED PLASMA &amp; RECOMBINANT PRODUCTS: FUTURE ARRANGEMENTS</w:t>
      </w:r>
    </w:p>
    <w:p w:rsidR="008D683E" w:rsidRDefault="00614FEB" w:rsidP="00614FEB">
      <w:pPr>
        <w:pStyle w:val="NoSpacing"/>
        <w:spacing w:before="1200"/>
        <w:ind w:left="-709"/>
        <w:rPr>
          <w:color w:val="FFFFFF" w:themeColor="background1"/>
          <w:sz w:val="40"/>
          <w:szCs w:val="40"/>
        </w:rPr>
      </w:pPr>
      <w:r w:rsidRPr="00614FEB">
        <w:rPr>
          <w:color w:val="FFFFFF" w:themeColor="background1"/>
          <w:sz w:val="40"/>
          <w:szCs w:val="40"/>
        </w:rPr>
        <w:t>REQUEST FOR INFORMATION</w:t>
      </w:r>
      <w:r w:rsidR="00194E01">
        <w:rPr>
          <w:color w:val="FFFFFF" w:themeColor="background1"/>
          <w:sz w:val="40"/>
          <w:szCs w:val="40"/>
        </w:rPr>
        <w:t xml:space="preserve"> (RFI)</w:t>
      </w:r>
    </w:p>
    <w:p w:rsidR="000F1558" w:rsidRPr="000F1558" w:rsidRDefault="000F1558" w:rsidP="005C3A0D">
      <w:pPr>
        <w:pStyle w:val="NoSpacing"/>
        <w:spacing w:before="1200"/>
        <w:ind w:left="-709"/>
        <w:rPr>
          <w:color w:val="000000" w:themeColor="text1"/>
          <w:sz w:val="36"/>
          <w:szCs w:val="36"/>
        </w:rPr>
      </w:pPr>
      <w:r w:rsidRPr="000F1558">
        <w:rPr>
          <w:color w:val="000000" w:themeColor="text1"/>
          <w:sz w:val="36"/>
          <w:szCs w:val="36"/>
        </w:rPr>
        <w:t xml:space="preserve">Responses due </w:t>
      </w:r>
      <w:r w:rsidR="00A16CC8">
        <w:rPr>
          <w:color w:val="000000" w:themeColor="text1"/>
          <w:sz w:val="36"/>
          <w:szCs w:val="36"/>
        </w:rPr>
        <w:t>5:00p</w:t>
      </w:r>
      <w:r w:rsidR="003F63CC">
        <w:rPr>
          <w:color w:val="000000" w:themeColor="text1"/>
          <w:sz w:val="36"/>
          <w:szCs w:val="36"/>
        </w:rPr>
        <w:t>m</w:t>
      </w:r>
      <w:r w:rsidR="00A60BFF">
        <w:rPr>
          <w:color w:val="000000" w:themeColor="text1"/>
          <w:sz w:val="36"/>
          <w:szCs w:val="36"/>
        </w:rPr>
        <w:t xml:space="preserve"> (AEST) on </w:t>
      </w:r>
      <w:r w:rsidR="00A60BFF">
        <w:rPr>
          <w:color w:val="000000" w:themeColor="text1"/>
          <w:sz w:val="36"/>
          <w:szCs w:val="36"/>
        </w:rPr>
        <w:br/>
      </w:r>
      <w:r w:rsidR="00785031">
        <w:rPr>
          <w:color w:val="000000" w:themeColor="text1"/>
          <w:sz w:val="36"/>
          <w:szCs w:val="36"/>
        </w:rPr>
        <w:t>17</w:t>
      </w:r>
      <w:r w:rsidR="00C54F21">
        <w:rPr>
          <w:color w:val="000000" w:themeColor="text1"/>
          <w:sz w:val="36"/>
          <w:szCs w:val="36"/>
        </w:rPr>
        <w:t xml:space="preserve"> March 2017</w:t>
      </w:r>
      <w:r w:rsidR="00E4631E">
        <w:rPr>
          <w:color w:val="000000" w:themeColor="text1"/>
          <w:sz w:val="36"/>
          <w:szCs w:val="36"/>
        </w:rPr>
        <w:t xml:space="preserve"> </w:t>
      </w:r>
    </w:p>
    <w:p w:rsidR="008D683E" w:rsidRDefault="008D683E" w:rsidP="008D683E">
      <w:r>
        <w:br w:type="page"/>
      </w:r>
    </w:p>
    <w:p w:rsidR="001D4FE1" w:rsidRDefault="002B2CD6" w:rsidP="002B2CD6">
      <w:pPr>
        <w:pStyle w:val="Heading1"/>
      </w:pPr>
      <w:bookmarkStart w:id="0" w:name="_Toc361385753"/>
      <w:bookmarkStart w:id="1" w:name="_Toc361386739"/>
      <w:bookmarkStart w:id="2" w:name="_Toc469984564"/>
      <w:r>
        <w:lastRenderedPageBreak/>
        <w:t>Contents</w:t>
      </w:r>
      <w:bookmarkEnd w:id="0"/>
      <w:bookmarkEnd w:id="1"/>
      <w:bookmarkEnd w:id="2"/>
    </w:p>
    <w:p w:rsidR="00F66ABD" w:rsidRDefault="002B2CD6">
      <w:pPr>
        <w:pStyle w:val="TOC1"/>
        <w:tabs>
          <w:tab w:val="right" w:leader="dot" w:pos="9323"/>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69984564" w:history="1">
        <w:r w:rsidR="00F66ABD" w:rsidRPr="00255095">
          <w:rPr>
            <w:rStyle w:val="Hyperlink"/>
            <w:noProof/>
          </w:rPr>
          <w:t>Contents</w:t>
        </w:r>
        <w:r w:rsidR="00F66ABD">
          <w:rPr>
            <w:noProof/>
            <w:webHidden/>
          </w:rPr>
          <w:tab/>
        </w:r>
        <w:r w:rsidR="00F66ABD">
          <w:rPr>
            <w:noProof/>
            <w:webHidden/>
          </w:rPr>
          <w:fldChar w:fldCharType="begin"/>
        </w:r>
        <w:r w:rsidR="00F66ABD">
          <w:rPr>
            <w:noProof/>
            <w:webHidden/>
          </w:rPr>
          <w:instrText xml:space="preserve"> PAGEREF _Toc469984564 \h </w:instrText>
        </w:r>
        <w:r w:rsidR="00F66ABD">
          <w:rPr>
            <w:noProof/>
            <w:webHidden/>
          </w:rPr>
        </w:r>
        <w:r w:rsidR="00F66ABD">
          <w:rPr>
            <w:noProof/>
            <w:webHidden/>
          </w:rPr>
          <w:fldChar w:fldCharType="separate"/>
        </w:r>
        <w:r w:rsidR="00785031">
          <w:rPr>
            <w:noProof/>
            <w:webHidden/>
          </w:rPr>
          <w:t>2</w:t>
        </w:r>
        <w:r w:rsidR="00F66ABD">
          <w:rPr>
            <w:noProof/>
            <w:webHidden/>
          </w:rPr>
          <w:fldChar w:fldCharType="end"/>
        </w:r>
      </w:hyperlink>
    </w:p>
    <w:p w:rsidR="00F66ABD" w:rsidRDefault="00785031">
      <w:pPr>
        <w:pStyle w:val="TOC1"/>
        <w:tabs>
          <w:tab w:val="right" w:leader="dot" w:pos="9323"/>
        </w:tabs>
        <w:rPr>
          <w:rFonts w:asciiTheme="minorHAnsi" w:eastAsiaTheme="minorEastAsia" w:hAnsiTheme="minorHAnsi" w:cstheme="minorBidi"/>
          <w:noProof/>
          <w:lang w:eastAsia="en-AU"/>
        </w:rPr>
      </w:pPr>
      <w:hyperlink w:anchor="_Toc469984565" w:history="1">
        <w:r w:rsidR="00F66ABD" w:rsidRPr="00255095">
          <w:rPr>
            <w:rStyle w:val="Hyperlink"/>
            <w:noProof/>
          </w:rPr>
          <w:t>Introduction</w:t>
        </w:r>
        <w:r w:rsidR="00F66ABD">
          <w:rPr>
            <w:noProof/>
            <w:webHidden/>
          </w:rPr>
          <w:tab/>
        </w:r>
        <w:r w:rsidR="00F66ABD">
          <w:rPr>
            <w:noProof/>
            <w:webHidden/>
          </w:rPr>
          <w:fldChar w:fldCharType="begin"/>
        </w:r>
        <w:r w:rsidR="00F66ABD">
          <w:rPr>
            <w:noProof/>
            <w:webHidden/>
          </w:rPr>
          <w:instrText xml:space="preserve"> PAGEREF _Toc469984565 \h </w:instrText>
        </w:r>
        <w:r w:rsidR="00F66ABD">
          <w:rPr>
            <w:noProof/>
            <w:webHidden/>
          </w:rPr>
        </w:r>
        <w:r w:rsidR="00F66ABD">
          <w:rPr>
            <w:noProof/>
            <w:webHidden/>
          </w:rPr>
          <w:fldChar w:fldCharType="separate"/>
        </w:r>
        <w:r>
          <w:rPr>
            <w:noProof/>
            <w:webHidden/>
          </w:rPr>
          <w:t>3</w:t>
        </w:r>
        <w:r w:rsidR="00F66ABD">
          <w:rPr>
            <w:noProof/>
            <w:webHidden/>
          </w:rPr>
          <w:fldChar w:fldCharType="end"/>
        </w:r>
      </w:hyperlink>
    </w:p>
    <w:p w:rsidR="00F66ABD" w:rsidRDefault="00785031">
      <w:pPr>
        <w:pStyle w:val="TOC1"/>
        <w:tabs>
          <w:tab w:val="right" w:leader="dot" w:pos="9323"/>
        </w:tabs>
        <w:rPr>
          <w:rFonts w:asciiTheme="minorHAnsi" w:eastAsiaTheme="minorEastAsia" w:hAnsiTheme="minorHAnsi" w:cstheme="minorBidi"/>
          <w:noProof/>
          <w:lang w:eastAsia="en-AU"/>
        </w:rPr>
      </w:pPr>
      <w:hyperlink w:anchor="_Toc469984566" w:history="1">
        <w:r w:rsidR="00F66ABD" w:rsidRPr="00255095">
          <w:rPr>
            <w:rStyle w:val="Hyperlink"/>
            <w:noProof/>
          </w:rPr>
          <w:t>Future arrangements for supply of IPRP</w:t>
        </w:r>
        <w:r w:rsidR="00F66ABD">
          <w:rPr>
            <w:noProof/>
            <w:webHidden/>
          </w:rPr>
          <w:tab/>
        </w:r>
        <w:r w:rsidR="00F66ABD">
          <w:rPr>
            <w:noProof/>
            <w:webHidden/>
          </w:rPr>
          <w:fldChar w:fldCharType="begin"/>
        </w:r>
        <w:r w:rsidR="00F66ABD">
          <w:rPr>
            <w:noProof/>
            <w:webHidden/>
          </w:rPr>
          <w:instrText xml:space="preserve"> PAGEREF _Toc469984566 \h </w:instrText>
        </w:r>
        <w:r w:rsidR="00F66ABD">
          <w:rPr>
            <w:noProof/>
            <w:webHidden/>
          </w:rPr>
        </w:r>
        <w:r w:rsidR="00F66ABD">
          <w:rPr>
            <w:noProof/>
            <w:webHidden/>
          </w:rPr>
          <w:fldChar w:fldCharType="separate"/>
        </w:r>
        <w:r>
          <w:rPr>
            <w:noProof/>
            <w:webHidden/>
          </w:rPr>
          <w:t>4</w:t>
        </w:r>
        <w:r w:rsidR="00F66ABD">
          <w:rPr>
            <w:noProof/>
            <w:webHidden/>
          </w:rPr>
          <w:fldChar w:fldCharType="end"/>
        </w:r>
      </w:hyperlink>
    </w:p>
    <w:p w:rsidR="00F66ABD" w:rsidRDefault="00785031">
      <w:pPr>
        <w:pStyle w:val="TOC1"/>
        <w:tabs>
          <w:tab w:val="right" w:leader="dot" w:pos="9323"/>
        </w:tabs>
        <w:rPr>
          <w:rFonts w:asciiTheme="minorHAnsi" w:eastAsiaTheme="minorEastAsia" w:hAnsiTheme="minorHAnsi" w:cstheme="minorBidi"/>
          <w:noProof/>
          <w:lang w:eastAsia="en-AU"/>
        </w:rPr>
      </w:pPr>
      <w:hyperlink w:anchor="_Toc469984567" w:history="1">
        <w:r w:rsidR="00F66ABD" w:rsidRPr="00255095">
          <w:rPr>
            <w:rStyle w:val="Hyperlink"/>
            <w:noProof/>
          </w:rPr>
          <w:t>Purpose of the RFI</w:t>
        </w:r>
        <w:r w:rsidR="00F66ABD">
          <w:rPr>
            <w:noProof/>
            <w:webHidden/>
          </w:rPr>
          <w:tab/>
        </w:r>
        <w:r w:rsidR="00F66ABD">
          <w:rPr>
            <w:noProof/>
            <w:webHidden/>
          </w:rPr>
          <w:fldChar w:fldCharType="begin"/>
        </w:r>
        <w:r w:rsidR="00F66ABD">
          <w:rPr>
            <w:noProof/>
            <w:webHidden/>
          </w:rPr>
          <w:instrText xml:space="preserve"> PAGEREF _Toc469984567 \h </w:instrText>
        </w:r>
        <w:r w:rsidR="00F66ABD">
          <w:rPr>
            <w:noProof/>
            <w:webHidden/>
          </w:rPr>
        </w:r>
        <w:r w:rsidR="00F66ABD">
          <w:rPr>
            <w:noProof/>
            <w:webHidden/>
          </w:rPr>
          <w:fldChar w:fldCharType="separate"/>
        </w:r>
        <w:r>
          <w:rPr>
            <w:noProof/>
            <w:webHidden/>
          </w:rPr>
          <w:t>5</w:t>
        </w:r>
        <w:r w:rsidR="00F66ABD">
          <w:rPr>
            <w:noProof/>
            <w:webHidden/>
          </w:rPr>
          <w:fldChar w:fldCharType="end"/>
        </w:r>
      </w:hyperlink>
    </w:p>
    <w:p w:rsidR="00F66ABD" w:rsidRDefault="00785031">
      <w:pPr>
        <w:pStyle w:val="TOC1"/>
        <w:tabs>
          <w:tab w:val="right" w:leader="dot" w:pos="9323"/>
        </w:tabs>
        <w:rPr>
          <w:rFonts w:asciiTheme="minorHAnsi" w:eastAsiaTheme="minorEastAsia" w:hAnsiTheme="minorHAnsi" w:cstheme="minorBidi"/>
          <w:noProof/>
          <w:lang w:eastAsia="en-AU"/>
        </w:rPr>
      </w:pPr>
      <w:hyperlink w:anchor="_Toc469984568" w:history="1">
        <w:r w:rsidR="00F66ABD" w:rsidRPr="00255095">
          <w:rPr>
            <w:rStyle w:val="Hyperlink"/>
            <w:noProof/>
          </w:rPr>
          <w:t>Closing Date</w:t>
        </w:r>
        <w:r w:rsidR="00F66ABD">
          <w:rPr>
            <w:noProof/>
            <w:webHidden/>
          </w:rPr>
          <w:tab/>
        </w:r>
        <w:r w:rsidR="00F66ABD">
          <w:rPr>
            <w:noProof/>
            <w:webHidden/>
          </w:rPr>
          <w:fldChar w:fldCharType="begin"/>
        </w:r>
        <w:r w:rsidR="00F66ABD">
          <w:rPr>
            <w:noProof/>
            <w:webHidden/>
          </w:rPr>
          <w:instrText xml:space="preserve"> PAGEREF _Toc469984568 \h </w:instrText>
        </w:r>
        <w:r w:rsidR="00F66ABD">
          <w:rPr>
            <w:noProof/>
            <w:webHidden/>
          </w:rPr>
        </w:r>
        <w:r w:rsidR="00F66ABD">
          <w:rPr>
            <w:noProof/>
            <w:webHidden/>
          </w:rPr>
          <w:fldChar w:fldCharType="separate"/>
        </w:r>
        <w:r>
          <w:rPr>
            <w:noProof/>
            <w:webHidden/>
          </w:rPr>
          <w:t>5</w:t>
        </w:r>
        <w:r w:rsidR="00F66ABD">
          <w:rPr>
            <w:noProof/>
            <w:webHidden/>
          </w:rPr>
          <w:fldChar w:fldCharType="end"/>
        </w:r>
      </w:hyperlink>
    </w:p>
    <w:p w:rsidR="00F66ABD" w:rsidRDefault="00785031">
      <w:pPr>
        <w:pStyle w:val="TOC1"/>
        <w:tabs>
          <w:tab w:val="right" w:leader="dot" w:pos="9323"/>
        </w:tabs>
        <w:rPr>
          <w:rFonts w:asciiTheme="minorHAnsi" w:eastAsiaTheme="minorEastAsia" w:hAnsiTheme="minorHAnsi" w:cstheme="minorBidi"/>
          <w:noProof/>
          <w:lang w:eastAsia="en-AU"/>
        </w:rPr>
      </w:pPr>
      <w:hyperlink w:anchor="_Toc469984569" w:history="1">
        <w:r w:rsidR="00F66ABD" w:rsidRPr="00255095">
          <w:rPr>
            <w:rStyle w:val="Hyperlink"/>
            <w:noProof/>
          </w:rPr>
          <w:t>Providing your response</w:t>
        </w:r>
        <w:r w:rsidR="00F66ABD">
          <w:rPr>
            <w:noProof/>
            <w:webHidden/>
          </w:rPr>
          <w:tab/>
        </w:r>
        <w:r w:rsidR="00F66ABD">
          <w:rPr>
            <w:noProof/>
            <w:webHidden/>
          </w:rPr>
          <w:fldChar w:fldCharType="begin"/>
        </w:r>
        <w:r w:rsidR="00F66ABD">
          <w:rPr>
            <w:noProof/>
            <w:webHidden/>
          </w:rPr>
          <w:instrText xml:space="preserve"> PAGEREF _Toc469984569 \h </w:instrText>
        </w:r>
        <w:r w:rsidR="00F66ABD">
          <w:rPr>
            <w:noProof/>
            <w:webHidden/>
          </w:rPr>
        </w:r>
        <w:r w:rsidR="00F66ABD">
          <w:rPr>
            <w:noProof/>
            <w:webHidden/>
          </w:rPr>
          <w:fldChar w:fldCharType="separate"/>
        </w:r>
        <w:r>
          <w:rPr>
            <w:noProof/>
            <w:webHidden/>
          </w:rPr>
          <w:t>5</w:t>
        </w:r>
        <w:r w:rsidR="00F66ABD">
          <w:rPr>
            <w:noProof/>
            <w:webHidden/>
          </w:rPr>
          <w:fldChar w:fldCharType="end"/>
        </w:r>
      </w:hyperlink>
    </w:p>
    <w:p w:rsidR="00F66ABD" w:rsidRDefault="00785031">
      <w:pPr>
        <w:pStyle w:val="TOC1"/>
        <w:tabs>
          <w:tab w:val="right" w:leader="dot" w:pos="9323"/>
        </w:tabs>
        <w:rPr>
          <w:rFonts w:asciiTheme="minorHAnsi" w:eastAsiaTheme="minorEastAsia" w:hAnsiTheme="minorHAnsi" w:cstheme="minorBidi"/>
          <w:noProof/>
          <w:lang w:eastAsia="en-AU"/>
        </w:rPr>
      </w:pPr>
      <w:hyperlink w:anchor="_Toc469984570" w:history="1">
        <w:r w:rsidR="00F66ABD" w:rsidRPr="00255095">
          <w:rPr>
            <w:rStyle w:val="Hyperlink"/>
            <w:noProof/>
          </w:rPr>
          <w:t>Attachment A – Questions for response</w:t>
        </w:r>
        <w:r w:rsidR="00F66ABD">
          <w:rPr>
            <w:noProof/>
            <w:webHidden/>
          </w:rPr>
          <w:tab/>
        </w:r>
        <w:r w:rsidR="00F66ABD">
          <w:rPr>
            <w:noProof/>
            <w:webHidden/>
          </w:rPr>
          <w:fldChar w:fldCharType="begin"/>
        </w:r>
        <w:r w:rsidR="00F66ABD">
          <w:rPr>
            <w:noProof/>
            <w:webHidden/>
          </w:rPr>
          <w:instrText xml:space="preserve"> PAGEREF _Toc469984570 \h </w:instrText>
        </w:r>
        <w:r w:rsidR="00F66ABD">
          <w:rPr>
            <w:noProof/>
            <w:webHidden/>
          </w:rPr>
        </w:r>
        <w:r w:rsidR="00F66ABD">
          <w:rPr>
            <w:noProof/>
            <w:webHidden/>
          </w:rPr>
          <w:fldChar w:fldCharType="separate"/>
        </w:r>
        <w:r>
          <w:rPr>
            <w:noProof/>
            <w:webHidden/>
          </w:rPr>
          <w:t>6</w:t>
        </w:r>
        <w:r w:rsidR="00F66ABD">
          <w:rPr>
            <w:noProof/>
            <w:webHidden/>
          </w:rPr>
          <w:fldChar w:fldCharType="end"/>
        </w:r>
      </w:hyperlink>
    </w:p>
    <w:p w:rsidR="00F66ABD" w:rsidRDefault="00785031">
      <w:pPr>
        <w:pStyle w:val="TOC2"/>
        <w:tabs>
          <w:tab w:val="right" w:leader="dot" w:pos="9323"/>
        </w:tabs>
        <w:rPr>
          <w:rFonts w:asciiTheme="minorHAnsi" w:eastAsiaTheme="minorEastAsia" w:hAnsiTheme="minorHAnsi" w:cstheme="minorBidi"/>
          <w:noProof/>
          <w:lang w:eastAsia="en-AU"/>
        </w:rPr>
      </w:pPr>
      <w:hyperlink w:anchor="_Toc469984571" w:history="1">
        <w:r w:rsidR="00F66ABD" w:rsidRPr="00255095">
          <w:rPr>
            <w:rStyle w:val="Hyperlink"/>
            <w:noProof/>
          </w:rPr>
          <w:t>Instructions for responses</w:t>
        </w:r>
        <w:r w:rsidR="00F66ABD">
          <w:rPr>
            <w:noProof/>
            <w:webHidden/>
          </w:rPr>
          <w:tab/>
        </w:r>
        <w:r w:rsidR="00F66ABD">
          <w:rPr>
            <w:noProof/>
            <w:webHidden/>
          </w:rPr>
          <w:fldChar w:fldCharType="begin"/>
        </w:r>
        <w:r w:rsidR="00F66ABD">
          <w:rPr>
            <w:noProof/>
            <w:webHidden/>
          </w:rPr>
          <w:instrText xml:space="preserve"> PAGEREF _Toc469984571 \h </w:instrText>
        </w:r>
        <w:r w:rsidR="00F66ABD">
          <w:rPr>
            <w:noProof/>
            <w:webHidden/>
          </w:rPr>
        </w:r>
        <w:r w:rsidR="00F66ABD">
          <w:rPr>
            <w:noProof/>
            <w:webHidden/>
          </w:rPr>
          <w:fldChar w:fldCharType="separate"/>
        </w:r>
        <w:r>
          <w:rPr>
            <w:noProof/>
            <w:webHidden/>
          </w:rPr>
          <w:t>6</w:t>
        </w:r>
        <w:r w:rsidR="00F66ABD">
          <w:rPr>
            <w:noProof/>
            <w:webHidden/>
          </w:rPr>
          <w:fldChar w:fldCharType="end"/>
        </w:r>
      </w:hyperlink>
    </w:p>
    <w:p w:rsidR="00F66ABD" w:rsidRDefault="00785031">
      <w:pPr>
        <w:pStyle w:val="TOC2"/>
        <w:tabs>
          <w:tab w:val="right" w:leader="dot" w:pos="9323"/>
        </w:tabs>
        <w:rPr>
          <w:rFonts w:asciiTheme="minorHAnsi" w:eastAsiaTheme="minorEastAsia" w:hAnsiTheme="minorHAnsi" w:cstheme="minorBidi"/>
          <w:noProof/>
          <w:lang w:eastAsia="en-AU"/>
        </w:rPr>
      </w:pPr>
      <w:hyperlink w:anchor="_Toc469984572" w:history="1">
        <w:r w:rsidR="00F66ABD" w:rsidRPr="00255095">
          <w:rPr>
            <w:rStyle w:val="Hyperlink"/>
            <w:noProof/>
          </w:rPr>
          <w:t>RFI Response</w:t>
        </w:r>
        <w:r w:rsidR="00F66ABD">
          <w:rPr>
            <w:noProof/>
            <w:webHidden/>
          </w:rPr>
          <w:tab/>
        </w:r>
        <w:r w:rsidR="00F66ABD">
          <w:rPr>
            <w:noProof/>
            <w:webHidden/>
          </w:rPr>
          <w:fldChar w:fldCharType="begin"/>
        </w:r>
        <w:r w:rsidR="00F66ABD">
          <w:rPr>
            <w:noProof/>
            <w:webHidden/>
          </w:rPr>
          <w:instrText xml:space="preserve"> PAGEREF _Toc469984572 \h </w:instrText>
        </w:r>
        <w:r w:rsidR="00F66ABD">
          <w:rPr>
            <w:noProof/>
            <w:webHidden/>
          </w:rPr>
        </w:r>
        <w:r w:rsidR="00F66ABD">
          <w:rPr>
            <w:noProof/>
            <w:webHidden/>
          </w:rPr>
          <w:fldChar w:fldCharType="separate"/>
        </w:r>
        <w:r>
          <w:rPr>
            <w:noProof/>
            <w:webHidden/>
          </w:rPr>
          <w:t>6</w:t>
        </w:r>
        <w:r w:rsidR="00F66ABD">
          <w:rPr>
            <w:noProof/>
            <w:webHidden/>
          </w:rPr>
          <w:fldChar w:fldCharType="end"/>
        </w:r>
      </w:hyperlink>
      <w:bookmarkStart w:id="3" w:name="_GoBack"/>
      <w:bookmarkEnd w:id="3"/>
    </w:p>
    <w:p w:rsidR="002B2CD6" w:rsidRPr="002B2CD6" w:rsidRDefault="002B2CD6" w:rsidP="002B2CD6">
      <w:r>
        <w:fldChar w:fldCharType="end"/>
      </w:r>
    </w:p>
    <w:p w:rsidR="00452030" w:rsidRPr="002B2CD6" w:rsidRDefault="002B2CD6" w:rsidP="00452030">
      <w:pPr>
        <w:pStyle w:val="Heading1"/>
      </w:pPr>
      <w:r>
        <w:br w:type="page"/>
      </w:r>
      <w:bookmarkStart w:id="4" w:name="_Toc356198870"/>
      <w:bookmarkStart w:id="5" w:name="_Toc356911019"/>
      <w:bookmarkStart w:id="6" w:name="_Toc469984565"/>
      <w:r w:rsidR="00452030" w:rsidRPr="002B2CD6">
        <w:lastRenderedPageBreak/>
        <w:t>Introduction</w:t>
      </w:r>
      <w:bookmarkEnd w:id="4"/>
      <w:bookmarkEnd w:id="5"/>
      <w:bookmarkEnd w:id="6"/>
    </w:p>
    <w:p w:rsidR="00452030" w:rsidRDefault="00452030" w:rsidP="00452030">
      <w:r>
        <w:t xml:space="preserve">Under the national blood arrangements administered by the National Blood Authority (NBA), Australia imports a range of plasma derived and recombinant products, to supplement domestic supply and obtain products that are not manufactured in Australia. </w:t>
      </w:r>
    </w:p>
    <w:p w:rsidR="00452030" w:rsidRDefault="00452030" w:rsidP="00452030">
      <w:pPr>
        <w:spacing w:before="120"/>
      </w:pPr>
      <w:r>
        <w:t xml:space="preserve">The products in Table 1 have been treated as a group by the NBA for tendering and supply management purposes, under the general title of ‘Imported Plasma and Recombinant Products’ (IPRP).  </w:t>
      </w:r>
    </w:p>
    <w:p w:rsidR="00452030" w:rsidRPr="006E562B" w:rsidRDefault="00452030" w:rsidP="00452030">
      <w:pPr>
        <w:rPr>
          <w:b/>
        </w:rPr>
      </w:pPr>
      <w:r w:rsidRPr="00944FD1">
        <w:rPr>
          <w:b/>
        </w:rPr>
        <w:t>Table 1</w:t>
      </w:r>
      <w:r>
        <w:rPr>
          <w:b/>
        </w:rPr>
        <w:t>:</w:t>
      </w:r>
      <w:r w:rsidRPr="00944FD1">
        <w:rPr>
          <w:b/>
        </w:rPr>
        <w:t xml:space="preserve"> Imported Plasma and Recombinant Products (IPRP)</w:t>
      </w:r>
    </w:p>
    <w:tbl>
      <w:tblPr>
        <w:tblStyle w:val="TableGrid1"/>
        <w:tblW w:w="0" w:type="auto"/>
        <w:tblLook w:val="04A0" w:firstRow="1" w:lastRow="0" w:firstColumn="1" w:lastColumn="0" w:noHBand="0" w:noVBand="1"/>
      </w:tblPr>
      <w:tblGrid>
        <w:gridCol w:w="3183"/>
        <w:gridCol w:w="3183"/>
        <w:gridCol w:w="3183"/>
      </w:tblGrid>
      <w:tr w:rsidR="00452030" w:rsidTr="003F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3" w:type="dxa"/>
            <w:shd w:val="clear" w:color="auto" w:fill="92D050"/>
          </w:tcPr>
          <w:p w:rsidR="00452030" w:rsidRDefault="00452030" w:rsidP="003F5243">
            <w:r>
              <w:t>Product Type</w:t>
            </w:r>
          </w:p>
        </w:tc>
        <w:tc>
          <w:tcPr>
            <w:tcW w:w="3183" w:type="dxa"/>
            <w:shd w:val="clear" w:color="auto" w:fill="92D050"/>
          </w:tcPr>
          <w:p w:rsidR="00452030" w:rsidRDefault="00452030" w:rsidP="003F5243">
            <w:pPr>
              <w:cnfStyle w:val="100000000000" w:firstRow="1" w:lastRow="0" w:firstColumn="0" w:lastColumn="0" w:oddVBand="0" w:evenVBand="0" w:oddHBand="0" w:evenHBand="0" w:firstRowFirstColumn="0" w:firstRowLastColumn="0" w:lastRowFirstColumn="0" w:lastRowLastColumn="0"/>
            </w:pPr>
            <w:r>
              <w:t xml:space="preserve">Brand </w:t>
            </w:r>
          </w:p>
        </w:tc>
        <w:tc>
          <w:tcPr>
            <w:tcW w:w="3183" w:type="dxa"/>
            <w:shd w:val="clear" w:color="auto" w:fill="92D050"/>
          </w:tcPr>
          <w:p w:rsidR="00452030" w:rsidRDefault="00452030" w:rsidP="003F5243">
            <w:pPr>
              <w:cnfStyle w:val="100000000000" w:firstRow="1" w:lastRow="0" w:firstColumn="0" w:lastColumn="0" w:oddVBand="0" w:evenVBand="0" w:oddHBand="0" w:evenHBand="0" w:firstRowFirstColumn="0" w:firstRowLastColumn="0" w:lastRowFirstColumn="0" w:lastRowLastColumn="0"/>
            </w:pPr>
            <w:r>
              <w:t>Supplier</w:t>
            </w:r>
          </w:p>
        </w:tc>
      </w:tr>
      <w:tr w:rsidR="00452030" w:rsidTr="003F5243">
        <w:trPr>
          <w:trHeight w:val="580"/>
        </w:trPr>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452030" w:rsidRPr="00A125E8" w:rsidRDefault="00452030" w:rsidP="003F5243">
            <w:pPr>
              <w:rPr>
                <w:b w:val="0"/>
              </w:rPr>
            </w:pPr>
            <w:r>
              <w:rPr>
                <w:b w:val="0"/>
              </w:rPr>
              <w:t>Activated Prothrombin Complex C</w:t>
            </w:r>
            <w:r w:rsidRPr="00A125E8">
              <w:rPr>
                <w:b w:val="0"/>
              </w:rPr>
              <w:t>oncentrate</w:t>
            </w:r>
          </w:p>
        </w:tc>
        <w:tc>
          <w:tcPr>
            <w:tcW w:w="3183" w:type="dxa"/>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FEIBA</w:t>
            </w:r>
          </w:p>
        </w:tc>
        <w:tc>
          <w:tcPr>
            <w:tcW w:w="3183" w:type="dxa"/>
            <w:shd w:val="clear" w:color="auto" w:fill="auto"/>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Baxalta</w:t>
            </w:r>
            <w:proofErr w:type="spellEnd"/>
            <w:r w:rsidRPr="004F1057">
              <w:t xml:space="preserve"> Australia</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452030" w:rsidRPr="00A125E8" w:rsidRDefault="00452030" w:rsidP="003F5243">
            <w:pPr>
              <w:rPr>
                <w:b w:val="0"/>
              </w:rPr>
            </w:pPr>
            <w:r w:rsidRPr="00A125E8">
              <w:rPr>
                <w:b w:val="0"/>
              </w:rPr>
              <w:t>Anti-Rh(D) Immunoglobulin</w:t>
            </w:r>
          </w:p>
        </w:tc>
        <w:tc>
          <w:tcPr>
            <w:tcW w:w="3183" w:type="dxa"/>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Rhophylac</w:t>
            </w:r>
            <w:proofErr w:type="spellEnd"/>
          </w:p>
        </w:tc>
        <w:tc>
          <w:tcPr>
            <w:tcW w:w="3183" w:type="dxa"/>
            <w:shd w:val="clear" w:color="auto" w:fill="auto"/>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CSL Behring</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452030" w:rsidRPr="00A125E8" w:rsidRDefault="00452030" w:rsidP="003F5243">
            <w:pPr>
              <w:rPr>
                <w:b w:val="0"/>
              </w:rPr>
            </w:pPr>
            <w:r w:rsidRPr="00A125E8">
              <w:rPr>
                <w:b w:val="0"/>
              </w:rPr>
              <w:t>Protein C</w:t>
            </w:r>
          </w:p>
        </w:tc>
        <w:tc>
          <w:tcPr>
            <w:tcW w:w="3183" w:type="dxa"/>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CEPROTIN</w:t>
            </w:r>
          </w:p>
        </w:tc>
        <w:tc>
          <w:tcPr>
            <w:tcW w:w="3183" w:type="dxa"/>
            <w:shd w:val="clear" w:color="auto" w:fill="auto"/>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Baxalta</w:t>
            </w:r>
            <w:proofErr w:type="spellEnd"/>
            <w:r w:rsidRPr="004F1057">
              <w:t xml:space="preserve"> Australia</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452030" w:rsidRPr="00A125E8" w:rsidRDefault="00452030" w:rsidP="003F5243">
            <w:pPr>
              <w:rPr>
                <w:b w:val="0"/>
              </w:rPr>
            </w:pPr>
            <w:r w:rsidRPr="00A125E8">
              <w:rPr>
                <w:b w:val="0"/>
              </w:rPr>
              <w:t>Fibrinogen Concentrate</w:t>
            </w:r>
          </w:p>
        </w:tc>
        <w:tc>
          <w:tcPr>
            <w:tcW w:w="3183" w:type="dxa"/>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Riastap</w:t>
            </w:r>
            <w:proofErr w:type="spellEnd"/>
          </w:p>
        </w:tc>
        <w:tc>
          <w:tcPr>
            <w:tcW w:w="3183" w:type="dxa"/>
            <w:shd w:val="clear" w:color="auto" w:fill="auto"/>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CSL Behring</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FFFFFF" w:themeFill="background1"/>
          </w:tcPr>
          <w:p w:rsidR="00452030" w:rsidRDefault="00452030" w:rsidP="003F5243">
            <w:pPr>
              <w:rPr>
                <w:b w:val="0"/>
              </w:rPr>
            </w:pPr>
            <w:r>
              <w:rPr>
                <w:b w:val="0"/>
              </w:rPr>
              <w:t xml:space="preserve">Recombinant Factor </w:t>
            </w:r>
            <w:proofErr w:type="spellStart"/>
            <w:r>
              <w:rPr>
                <w:b w:val="0"/>
              </w:rPr>
              <w:t>VIIa</w:t>
            </w:r>
            <w:proofErr w:type="spellEnd"/>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NovoSeven</w:t>
            </w:r>
            <w:proofErr w:type="spellEnd"/>
            <w:r w:rsidRPr="004F1057">
              <w:t xml:space="preserve"> RT</w:t>
            </w: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Novo Nordisk</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vMerge w:val="restart"/>
            <w:shd w:val="clear" w:color="auto" w:fill="FFFFFF" w:themeFill="background1"/>
          </w:tcPr>
          <w:p w:rsidR="00452030" w:rsidRDefault="00452030" w:rsidP="003F5243">
            <w:pPr>
              <w:rPr>
                <w:b w:val="0"/>
              </w:rPr>
            </w:pPr>
            <w:r>
              <w:rPr>
                <w:b w:val="0"/>
              </w:rPr>
              <w:t>Recombinant Factor VIII</w:t>
            </w: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ADVATE</w:t>
            </w: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Baxalta</w:t>
            </w:r>
            <w:proofErr w:type="spellEnd"/>
            <w:r w:rsidRPr="004F1057">
              <w:t xml:space="preserve"> Australia</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vMerge/>
            <w:shd w:val="clear" w:color="auto" w:fill="FFFFFF" w:themeFill="background1"/>
          </w:tcPr>
          <w:p w:rsidR="00452030" w:rsidRDefault="00452030" w:rsidP="003F5243">
            <w:pPr>
              <w:rPr>
                <w:b w:val="0"/>
              </w:rPr>
            </w:pP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Xyntha</w:t>
            </w:r>
            <w:proofErr w:type="spellEnd"/>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Pfizer Australia</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vMerge w:val="restart"/>
            <w:shd w:val="clear" w:color="auto" w:fill="FFFFFF" w:themeFill="background1"/>
          </w:tcPr>
          <w:p w:rsidR="00452030" w:rsidRDefault="00452030" w:rsidP="003F5243">
            <w:pPr>
              <w:rPr>
                <w:b w:val="0"/>
              </w:rPr>
            </w:pPr>
            <w:r>
              <w:rPr>
                <w:b w:val="0"/>
              </w:rPr>
              <w:t>Recombinant Factor IX</w:t>
            </w: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RIXUBIS</w:t>
            </w: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Baxalta</w:t>
            </w:r>
            <w:proofErr w:type="spellEnd"/>
            <w:r w:rsidRPr="004F1057">
              <w:t xml:space="preserve"> Australia</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vMerge/>
            <w:shd w:val="clear" w:color="auto" w:fill="FFFFFF" w:themeFill="background1"/>
          </w:tcPr>
          <w:p w:rsidR="00452030" w:rsidRDefault="00452030" w:rsidP="003F5243">
            <w:pPr>
              <w:rPr>
                <w:b w:val="0"/>
              </w:rPr>
            </w:pPr>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BeneFIX</w:t>
            </w:r>
            <w:proofErr w:type="spellEnd"/>
          </w:p>
        </w:tc>
        <w:tc>
          <w:tcPr>
            <w:tcW w:w="3183" w:type="dxa"/>
            <w:shd w:val="clear" w:color="auto" w:fill="FFFFFF" w:themeFill="background1"/>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Pfizer Australia</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452030" w:rsidRPr="00B07965" w:rsidRDefault="00452030" w:rsidP="003F5243">
            <w:pPr>
              <w:rPr>
                <w:b w:val="0"/>
              </w:rPr>
            </w:pPr>
            <w:r w:rsidRPr="00B07965">
              <w:rPr>
                <w:b w:val="0"/>
              </w:rPr>
              <w:t>Factor XI</w:t>
            </w:r>
          </w:p>
        </w:tc>
        <w:tc>
          <w:tcPr>
            <w:tcW w:w="3183" w:type="dxa"/>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 xml:space="preserve">BPL Product </w:t>
            </w:r>
          </w:p>
        </w:tc>
        <w:tc>
          <w:tcPr>
            <w:tcW w:w="3183" w:type="dxa"/>
            <w:shd w:val="clear" w:color="auto" w:fill="auto"/>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CSL Behring</w:t>
            </w:r>
          </w:p>
        </w:tc>
      </w:tr>
      <w:tr w:rsidR="00452030"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452030" w:rsidRPr="00A125E8" w:rsidRDefault="00452030" w:rsidP="003F5243">
            <w:pPr>
              <w:rPr>
                <w:b w:val="0"/>
              </w:rPr>
            </w:pPr>
            <w:r w:rsidRPr="00A125E8">
              <w:rPr>
                <w:b w:val="0"/>
              </w:rPr>
              <w:t>Factor XIII</w:t>
            </w:r>
          </w:p>
        </w:tc>
        <w:tc>
          <w:tcPr>
            <w:tcW w:w="3183" w:type="dxa"/>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proofErr w:type="spellStart"/>
            <w:r w:rsidRPr="004F1057">
              <w:t>Fibrogammin</w:t>
            </w:r>
            <w:proofErr w:type="spellEnd"/>
          </w:p>
        </w:tc>
        <w:tc>
          <w:tcPr>
            <w:tcW w:w="3183" w:type="dxa"/>
            <w:shd w:val="clear" w:color="auto" w:fill="auto"/>
          </w:tcPr>
          <w:p w:rsidR="00452030" w:rsidRPr="004F1057" w:rsidRDefault="00452030" w:rsidP="003F5243">
            <w:pPr>
              <w:cnfStyle w:val="000000000000" w:firstRow="0" w:lastRow="0" w:firstColumn="0" w:lastColumn="0" w:oddVBand="0" w:evenVBand="0" w:oddHBand="0" w:evenHBand="0" w:firstRowFirstColumn="0" w:firstRowLastColumn="0" w:lastRowFirstColumn="0" w:lastRowLastColumn="0"/>
            </w:pPr>
            <w:r w:rsidRPr="004F1057">
              <w:t>CSL Behring</w:t>
            </w:r>
          </w:p>
        </w:tc>
      </w:tr>
      <w:tr w:rsidR="00C54F21" w:rsidRPr="00C54F21" w:rsidTr="003F5243">
        <w:tc>
          <w:tcPr>
            <w:cnfStyle w:val="001000000000" w:firstRow="0" w:lastRow="0" w:firstColumn="1" w:lastColumn="0" w:oddVBand="0" w:evenVBand="0" w:oddHBand="0" w:evenHBand="0" w:firstRowFirstColumn="0" w:firstRowLastColumn="0" w:lastRowFirstColumn="0" w:lastRowLastColumn="0"/>
            <w:tcW w:w="3183" w:type="dxa"/>
            <w:shd w:val="clear" w:color="auto" w:fill="auto"/>
          </w:tcPr>
          <w:p w:rsidR="00C54F21" w:rsidRPr="00C54F21" w:rsidRDefault="00C54F21" w:rsidP="003F5243">
            <w:pPr>
              <w:spacing w:after="200"/>
              <w:rPr>
                <w:b w:val="0"/>
              </w:rPr>
            </w:pPr>
            <w:r w:rsidRPr="00C54F21">
              <w:t>C1 esterase inhibitor concentrate</w:t>
            </w:r>
          </w:p>
        </w:tc>
        <w:tc>
          <w:tcPr>
            <w:tcW w:w="3183" w:type="dxa"/>
          </w:tcPr>
          <w:p w:rsidR="00C54F21" w:rsidRPr="00F66ABD" w:rsidRDefault="00C54F21" w:rsidP="003F5243">
            <w:pPr>
              <w:cnfStyle w:val="000000000000" w:firstRow="0" w:lastRow="0" w:firstColumn="0" w:lastColumn="0" w:oddVBand="0" w:evenVBand="0" w:oddHBand="0" w:evenHBand="0" w:firstRowFirstColumn="0" w:firstRowLastColumn="0" w:lastRowFirstColumn="0" w:lastRowLastColumn="0"/>
            </w:pPr>
            <w:proofErr w:type="spellStart"/>
            <w:r>
              <w:t>Berinert</w:t>
            </w:r>
            <w:proofErr w:type="spellEnd"/>
          </w:p>
        </w:tc>
        <w:tc>
          <w:tcPr>
            <w:tcW w:w="3183" w:type="dxa"/>
            <w:shd w:val="clear" w:color="auto" w:fill="auto"/>
          </w:tcPr>
          <w:p w:rsidR="00C54F21" w:rsidRPr="00F66ABD" w:rsidRDefault="00C54F21" w:rsidP="003F5243">
            <w:pPr>
              <w:cnfStyle w:val="000000000000" w:firstRow="0" w:lastRow="0" w:firstColumn="0" w:lastColumn="0" w:oddVBand="0" w:evenVBand="0" w:oddHBand="0" w:evenHBand="0" w:firstRowFirstColumn="0" w:firstRowLastColumn="0" w:lastRowFirstColumn="0" w:lastRowLastColumn="0"/>
            </w:pPr>
            <w:r>
              <w:t>CSL Behring</w:t>
            </w:r>
          </w:p>
        </w:tc>
      </w:tr>
    </w:tbl>
    <w:p w:rsidR="00452030" w:rsidRDefault="00452030" w:rsidP="00452030"/>
    <w:p w:rsidR="00452030" w:rsidRDefault="00452030" w:rsidP="00452030">
      <w:r>
        <w:t xml:space="preserve">Current agreements for products in Table 2 will expire over the period 30 June 2017 to 30 June 2018 </w:t>
      </w:r>
      <w:r w:rsidR="00C54F21">
        <w:t xml:space="preserve">(unless the NBA exercises contract options to extend) </w:t>
      </w:r>
      <w:r>
        <w:t>and are the products within the scope of this Request for Information (RFI).</w:t>
      </w:r>
    </w:p>
    <w:p w:rsidR="00452030" w:rsidRDefault="00452030" w:rsidP="00452030">
      <w:pPr>
        <w:rPr>
          <w:b/>
        </w:rPr>
      </w:pPr>
      <w:r w:rsidRPr="00180929">
        <w:rPr>
          <w:b/>
        </w:rPr>
        <w:t>Table 2: Products within the scope of this RFI</w:t>
      </w:r>
    </w:p>
    <w:tbl>
      <w:tblPr>
        <w:tblStyle w:val="TableGrid"/>
        <w:tblW w:w="0" w:type="auto"/>
        <w:tblLook w:val="04A0" w:firstRow="1" w:lastRow="0" w:firstColumn="1" w:lastColumn="0" w:noHBand="0" w:noVBand="1"/>
      </w:tblPr>
      <w:tblGrid>
        <w:gridCol w:w="4361"/>
      </w:tblGrid>
      <w:tr w:rsidR="00452030" w:rsidTr="003F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92D050"/>
          </w:tcPr>
          <w:p w:rsidR="00452030" w:rsidRDefault="00452030" w:rsidP="003F5243">
            <w:pPr>
              <w:rPr>
                <w:b w:val="0"/>
              </w:rPr>
            </w:pPr>
            <w:r>
              <w:rPr>
                <w:b w:val="0"/>
              </w:rPr>
              <w:t>Recombinant products</w:t>
            </w:r>
          </w:p>
        </w:tc>
      </w:tr>
      <w:tr w:rsidR="00452030" w:rsidTr="003F5243">
        <w:tc>
          <w:tcPr>
            <w:cnfStyle w:val="001000000000" w:firstRow="0" w:lastRow="0" w:firstColumn="1" w:lastColumn="0" w:oddVBand="0" w:evenVBand="0" w:oddHBand="0" w:evenHBand="0" w:firstRowFirstColumn="0" w:firstRowLastColumn="0" w:lastRowFirstColumn="0" w:lastRowLastColumn="0"/>
            <w:tcW w:w="4361" w:type="dxa"/>
          </w:tcPr>
          <w:p w:rsidR="00452030" w:rsidRDefault="00452030" w:rsidP="003F5243">
            <w:r>
              <w:rPr>
                <w:b w:val="0"/>
              </w:rPr>
              <w:t xml:space="preserve">Factor </w:t>
            </w:r>
            <w:proofErr w:type="spellStart"/>
            <w:r>
              <w:rPr>
                <w:b w:val="0"/>
              </w:rPr>
              <w:t>VIIa</w:t>
            </w:r>
            <w:proofErr w:type="spellEnd"/>
            <w:r>
              <w:rPr>
                <w:b w:val="0"/>
              </w:rPr>
              <w:t xml:space="preserve"> (</w:t>
            </w:r>
            <w:proofErr w:type="spellStart"/>
            <w:r>
              <w:rPr>
                <w:b w:val="0"/>
              </w:rPr>
              <w:t>rFVIIa</w:t>
            </w:r>
            <w:proofErr w:type="spellEnd"/>
            <w:r>
              <w:rPr>
                <w:b w:val="0"/>
              </w:rPr>
              <w:t>)</w:t>
            </w:r>
          </w:p>
        </w:tc>
      </w:tr>
      <w:tr w:rsidR="00452030" w:rsidTr="003F5243">
        <w:tc>
          <w:tcPr>
            <w:cnfStyle w:val="001000000000" w:firstRow="0" w:lastRow="0" w:firstColumn="1" w:lastColumn="0" w:oddVBand="0" w:evenVBand="0" w:oddHBand="0" w:evenHBand="0" w:firstRowFirstColumn="0" w:firstRowLastColumn="0" w:lastRowFirstColumn="0" w:lastRowLastColumn="0"/>
            <w:tcW w:w="4361" w:type="dxa"/>
          </w:tcPr>
          <w:p w:rsidR="00452030" w:rsidRDefault="00452030" w:rsidP="003F5243">
            <w:pPr>
              <w:rPr>
                <w:b w:val="0"/>
              </w:rPr>
            </w:pPr>
            <w:r>
              <w:rPr>
                <w:b w:val="0"/>
              </w:rPr>
              <w:t>Factor VIII (</w:t>
            </w:r>
            <w:proofErr w:type="spellStart"/>
            <w:r>
              <w:rPr>
                <w:b w:val="0"/>
              </w:rPr>
              <w:t>rFVIII</w:t>
            </w:r>
            <w:proofErr w:type="spellEnd"/>
            <w:r>
              <w:rPr>
                <w:b w:val="0"/>
              </w:rPr>
              <w:t>)</w:t>
            </w:r>
          </w:p>
        </w:tc>
      </w:tr>
      <w:tr w:rsidR="00452030" w:rsidTr="003F5243">
        <w:tc>
          <w:tcPr>
            <w:cnfStyle w:val="001000000000" w:firstRow="0" w:lastRow="0" w:firstColumn="1" w:lastColumn="0" w:oddVBand="0" w:evenVBand="0" w:oddHBand="0" w:evenHBand="0" w:firstRowFirstColumn="0" w:firstRowLastColumn="0" w:lastRowFirstColumn="0" w:lastRowLastColumn="0"/>
            <w:tcW w:w="4361" w:type="dxa"/>
          </w:tcPr>
          <w:p w:rsidR="00452030" w:rsidRDefault="00452030" w:rsidP="003F5243">
            <w:pPr>
              <w:rPr>
                <w:b w:val="0"/>
              </w:rPr>
            </w:pPr>
            <w:r>
              <w:rPr>
                <w:b w:val="0"/>
              </w:rPr>
              <w:t>Factor IX (</w:t>
            </w:r>
            <w:proofErr w:type="spellStart"/>
            <w:r>
              <w:rPr>
                <w:b w:val="0"/>
              </w:rPr>
              <w:t>rFIX</w:t>
            </w:r>
            <w:proofErr w:type="spellEnd"/>
            <w:r>
              <w:rPr>
                <w:b w:val="0"/>
              </w:rPr>
              <w:t>)</w:t>
            </w:r>
          </w:p>
        </w:tc>
      </w:tr>
    </w:tbl>
    <w:p w:rsidR="00452030" w:rsidRPr="00180929" w:rsidRDefault="00452030" w:rsidP="00452030">
      <w:pPr>
        <w:rPr>
          <w:b/>
        </w:rPr>
      </w:pPr>
    </w:p>
    <w:p w:rsidR="00452030" w:rsidRDefault="00452030" w:rsidP="00452030">
      <w:pPr>
        <w:rPr>
          <w:i/>
        </w:rPr>
      </w:pPr>
      <w:r>
        <w:t xml:space="preserve">Information on the product trends and volumes issued can be found in Part 2 of the Annual Report (2014-15) on the NBA website at </w:t>
      </w:r>
      <w:hyperlink r:id="rId10" w:history="1">
        <w:r w:rsidRPr="006E571D">
          <w:rPr>
            <w:rStyle w:val="Hyperlink"/>
          </w:rPr>
          <w:t>https://www.blood.gov.au/sites/default/files/nba-annualreport-2014-15-as-at-20151013sm_1.pdf</w:t>
        </w:r>
      </w:hyperlink>
    </w:p>
    <w:p w:rsidR="00452030" w:rsidRDefault="00452030" w:rsidP="00452030">
      <w:pPr>
        <w:spacing w:before="120"/>
        <w:rPr>
          <w:i/>
        </w:rPr>
      </w:pPr>
    </w:p>
    <w:p w:rsidR="00452030" w:rsidRDefault="00452030" w:rsidP="00452030">
      <w:pPr>
        <w:spacing w:before="120"/>
        <w:rPr>
          <w:i/>
        </w:rPr>
      </w:pPr>
    </w:p>
    <w:p w:rsidR="00452030" w:rsidRDefault="00452030" w:rsidP="00452030">
      <w:pPr>
        <w:spacing w:before="120"/>
        <w:rPr>
          <w:i/>
        </w:rPr>
      </w:pPr>
    </w:p>
    <w:p w:rsidR="00452030" w:rsidRDefault="00452030" w:rsidP="00452030">
      <w:pPr>
        <w:spacing w:before="120"/>
        <w:rPr>
          <w:i/>
        </w:rPr>
      </w:pPr>
    </w:p>
    <w:p w:rsidR="00452030" w:rsidRDefault="00452030" w:rsidP="00452030">
      <w:pPr>
        <w:spacing w:before="120"/>
        <w:rPr>
          <w:i/>
        </w:rPr>
      </w:pPr>
    </w:p>
    <w:p w:rsidR="00452030" w:rsidRPr="006E571D" w:rsidRDefault="00452030" w:rsidP="00452030">
      <w:pPr>
        <w:pStyle w:val="Heading1"/>
      </w:pPr>
      <w:bookmarkStart w:id="7" w:name="_Toc469984566"/>
      <w:r w:rsidRPr="006E571D">
        <w:t xml:space="preserve">Future arrangements for supply of </w:t>
      </w:r>
      <w:r>
        <w:t>IPRP</w:t>
      </w:r>
      <w:bookmarkEnd w:id="7"/>
    </w:p>
    <w:p w:rsidR="00452030" w:rsidRDefault="00452030" w:rsidP="00452030">
      <w:pPr>
        <w:spacing w:before="120"/>
      </w:pPr>
      <w:r>
        <w:t>For the products where the current contracts expire during 30 June 2017 to 30 June 2018, the NBA may decide to:</w:t>
      </w:r>
    </w:p>
    <w:p w:rsidR="00452030" w:rsidRDefault="00452030" w:rsidP="00452030">
      <w:pPr>
        <w:pStyle w:val="ListParagraph"/>
        <w:numPr>
          <w:ilvl w:val="0"/>
          <w:numId w:val="24"/>
        </w:numPr>
      </w:pPr>
      <w:r>
        <w:t xml:space="preserve">exercise available options </w:t>
      </w:r>
    </w:p>
    <w:p w:rsidR="00452030" w:rsidRDefault="00452030" w:rsidP="00452030">
      <w:pPr>
        <w:pStyle w:val="ListParagraph"/>
        <w:numPr>
          <w:ilvl w:val="0"/>
          <w:numId w:val="24"/>
        </w:numPr>
      </w:pPr>
      <w:r>
        <w:t>go to tender</w:t>
      </w:r>
    </w:p>
    <w:p w:rsidR="00452030" w:rsidRPr="004F1057" w:rsidRDefault="00452030" w:rsidP="00452030">
      <w:pPr>
        <w:pStyle w:val="ListParagraph"/>
        <w:numPr>
          <w:ilvl w:val="0"/>
          <w:numId w:val="24"/>
        </w:numPr>
      </w:pPr>
      <w:r w:rsidRPr="004F1057">
        <w:t>negotiate outside the tendering arrangement with suppliers; or</w:t>
      </w:r>
    </w:p>
    <w:p w:rsidR="00452030" w:rsidRDefault="00452030" w:rsidP="00452030">
      <w:pPr>
        <w:pStyle w:val="ListParagraph"/>
        <w:numPr>
          <w:ilvl w:val="0"/>
          <w:numId w:val="24"/>
        </w:numPr>
      </w:pPr>
      <w:proofErr w:type="gramStart"/>
      <w:r>
        <w:t>undertake</w:t>
      </w:r>
      <w:proofErr w:type="gramEnd"/>
      <w:r>
        <w:t xml:space="preserve"> a combination of these actions.</w:t>
      </w:r>
    </w:p>
    <w:p w:rsidR="00452030" w:rsidRDefault="00452030" w:rsidP="00452030">
      <w:r>
        <w:t>A range of factors may be relevant to inform future decision making, including:</w:t>
      </w:r>
    </w:p>
    <w:p w:rsidR="00452030" w:rsidRDefault="00452030" w:rsidP="00452030">
      <w:pPr>
        <w:pStyle w:val="ListParagraph"/>
        <w:numPr>
          <w:ilvl w:val="0"/>
          <w:numId w:val="25"/>
        </w:numPr>
      </w:pPr>
      <w:r>
        <w:t>clinical and other stakeholder requirements</w:t>
      </w:r>
    </w:p>
    <w:p w:rsidR="00452030" w:rsidRDefault="00452030" w:rsidP="00452030">
      <w:pPr>
        <w:pStyle w:val="ListParagraph"/>
        <w:numPr>
          <w:ilvl w:val="0"/>
          <w:numId w:val="25"/>
        </w:numPr>
      </w:pPr>
      <w:r>
        <w:t>market conditions and product developments</w:t>
      </w:r>
    </w:p>
    <w:p w:rsidR="00452030" w:rsidRPr="00B4143E" w:rsidRDefault="00452030" w:rsidP="00452030">
      <w:pPr>
        <w:pStyle w:val="ListParagraph"/>
        <w:numPr>
          <w:ilvl w:val="0"/>
          <w:numId w:val="25"/>
        </w:numPr>
      </w:pPr>
      <w:r w:rsidRPr="00B4143E">
        <w:t>security of supply</w:t>
      </w:r>
    </w:p>
    <w:p w:rsidR="00452030" w:rsidRDefault="00452030" w:rsidP="00452030">
      <w:pPr>
        <w:pStyle w:val="ListParagraph"/>
        <w:numPr>
          <w:ilvl w:val="0"/>
          <w:numId w:val="25"/>
        </w:numPr>
      </w:pPr>
      <w:proofErr w:type="gramStart"/>
      <w:r>
        <w:t>value</w:t>
      </w:r>
      <w:proofErr w:type="gramEnd"/>
      <w:r>
        <w:t xml:space="preserve"> for money considerations.  </w:t>
      </w:r>
    </w:p>
    <w:p w:rsidR="00452030" w:rsidRDefault="00452030" w:rsidP="00452030">
      <w:r>
        <w:t xml:space="preserve">The NBA is aware of a number of product development activities being undertaken by companies, including possible direct competitors for current IPRP products, </w:t>
      </w:r>
      <w:r w:rsidR="00C54F21">
        <w:t xml:space="preserve">or new variants or alternatives to these products.  The NBA is also aware of </w:t>
      </w:r>
      <w:r>
        <w:t xml:space="preserve">market intelligence indicators suggesting there may be potential to achieve improved value for money outcomes. </w:t>
      </w:r>
    </w:p>
    <w:p w:rsidR="00452030" w:rsidRDefault="00452030" w:rsidP="00452030">
      <w:r>
        <w:t xml:space="preserve">The NBA is conducting consultations with suppliers and stakeholders via a RFI and </w:t>
      </w:r>
      <w:r w:rsidR="00C54F21">
        <w:t xml:space="preserve">a </w:t>
      </w:r>
      <w:r>
        <w:t>stakeholder consultation paper to inform forward decision making</w:t>
      </w:r>
      <w:r w:rsidR="00C54F21">
        <w:t xml:space="preserve"> and to obtain the best overall value for money in any future procurement arrangements</w:t>
      </w:r>
      <w:r>
        <w:t>.</w:t>
      </w:r>
    </w:p>
    <w:p w:rsidR="00452030" w:rsidRDefault="00452030" w:rsidP="00452030">
      <w:r w:rsidRPr="004F1057">
        <w:t>The NBA is interested in seeking feedback from all stakeholders, including clinicians, nurses, scientists</w:t>
      </w:r>
      <w:r w:rsidR="00C54F21">
        <w:t>, patients and patient representative groups, as well as from current or potential</w:t>
      </w:r>
      <w:r w:rsidRPr="004F1057">
        <w:t xml:space="preserve"> suppliers</w:t>
      </w:r>
      <w:r w:rsidR="00C54F21">
        <w:t>,</w:t>
      </w:r>
      <w:r w:rsidRPr="004F1057">
        <w:t xml:space="preserve"> to achieve the best possible outcome from </w:t>
      </w:r>
      <w:r w:rsidR="00C54F21">
        <w:t>any</w:t>
      </w:r>
      <w:r w:rsidR="00C54F21" w:rsidRPr="004F1057">
        <w:t xml:space="preserve"> </w:t>
      </w:r>
      <w:r w:rsidRPr="004F1057">
        <w:t>tender process</w:t>
      </w:r>
      <w:r w:rsidR="00C54F21">
        <w:t xml:space="preserve"> and for these other purposes</w:t>
      </w:r>
      <w:r w:rsidRPr="004F1057">
        <w:t>.</w:t>
      </w:r>
    </w:p>
    <w:p w:rsidR="00452030" w:rsidRDefault="00452030" w:rsidP="00452030">
      <w:pPr>
        <w:spacing w:line="276" w:lineRule="auto"/>
        <w:rPr>
          <w:rFonts w:eastAsia="HYGothic-Extra"/>
          <w:bCs/>
          <w:color w:val="1E1E1E"/>
          <w:spacing w:val="-20"/>
          <w:sz w:val="56"/>
          <w:szCs w:val="72"/>
        </w:rPr>
      </w:pPr>
      <w:bookmarkStart w:id="8" w:name="_Toc356198875"/>
      <w:bookmarkStart w:id="9" w:name="_Toc356911021"/>
      <w:r>
        <w:br w:type="page"/>
      </w:r>
    </w:p>
    <w:p w:rsidR="00452030" w:rsidRPr="0096015D" w:rsidRDefault="00452030" w:rsidP="00452030">
      <w:pPr>
        <w:pStyle w:val="Heading1"/>
      </w:pPr>
      <w:bookmarkStart w:id="10" w:name="_Toc469984567"/>
      <w:r>
        <w:t xml:space="preserve">Purpose of </w:t>
      </w:r>
      <w:bookmarkEnd w:id="8"/>
      <w:r>
        <w:t>the RFI</w:t>
      </w:r>
      <w:bookmarkEnd w:id="9"/>
      <w:bookmarkEnd w:id="10"/>
    </w:p>
    <w:p w:rsidR="00452030" w:rsidRDefault="00452030" w:rsidP="00452030">
      <w:r>
        <w:t xml:space="preserve">This RFI seeks information from suppliers of imported plasma and recombinant products on the products identified in Table 3 below.  </w:t>
      </w:r>
      <w:r w:rsidR="00C54F21">
        <w:t xml:space="preserve">The NBA is interested in obtaining relevant information about these products.  </w:t>
      </w:r>
      <w:r>
        <w:t>A key outcome of this RFI is to identify and obtain information about current and possible future products to inform the future supply arrangements.</w:t>
      </w:r>
      <w:r w:rsidR="00C54F21" w:rsidRPr="00C54F21">
        <w:t xml:space="preserve"> </w:t>
      </w:r>
      <w:r w:rsidR="00C54F21">
        <w:t>To assist with forward planning the NBA is also interested in obtaining information about any new types or variants of these products, or any new products which are alternative treatments which may replace these products.</w:t>
      </w:r>
    </w:p>
    <w:p w:rsidR="00452030" w:rsidRPr="00944FD1" w:rsidRDefault="00452030" w:rsidP="00452030">
      <w:pPr>
        <w:rPr>
          <w:b/>
        </w:rPr>
      </w:pPr>
      <w:r>
        <w:rPr>
          <w:b/>
        </w:rPr>
        <w:t>Table 3: Products withi</w:t>
      </w:r>
      <w:r w:rsidRPr="00944FD1">
        <w:rPr>
          <w:b/>
        </w:rPr>
        <w:t xml:space="preserve">n the scope of this </w:t>
      </w:r>
      <w:r>
        <w:rPr>
          <w:b/>
        </w:rPr>
        <w:t>RFI</w:t>
      </w:r>
    </w:p>
    <w:tbl>
      <w:tblPr>
        <w:tblStyle w:val="TableGrid"/>
        <w:tblW w:w="0" w:type="auto"/>
        <w:tblLayout w:type="fixed"/>
        <w:tblLook w:val="0420" w:firstRow="1" w:lastRow="0" w:firstColumn="0" w:lastColumn="0" w:noHBand="0" w:noVBand="1"/>
      </w:tblPr>
      <w:tblGrid>
        <w:gridCol w:w="4786"/>
      </w:tblGrid>
      <w:tr w:rsidR="00452030" w:rsidTr="003F5243">
        <w:trPr>
          <w:cnfStyle w:val="100000000000" w:firstRow="1" w:lastRow="0" w:firstColumn="0" w:lastColumn="0" w:oddVBand="0" w:evenVBand="0" w:oddHBand="0" w:evenHBand="0" w:firstRowFirstColumn="0" w:firstRowLastColumn="0" w:lastRowFirstColumn="0" w:lastRowLastColumn="0"/>
          <w:trHeight w:val="42"/>
          <w:tblHeader/>
        </w:trPr>
        <w:tc>
          <w:tcPr>
            <w:tcW w:w="4786" w:type="dxa"/>
            <w:shd w:val="clear" w:color="auto" w:fill="92D050"/>
          </w:tcPr>
          <w:p w:rsidR="00452030" w:rsidRPr="0005083D" w:rsidRDefault="00452030" w:rsidP="003F5243">
            <w:pPr>
              <w:pStyle w:val="NoSpacing"/>
              <w:rPr>
                <w:b w:val="0"/>
              </w:rPr>
            </w:pPr>
            <w:r>
              <w:t>Imported Plasma and Recombinant Products</w:t>
            </w:r>
            <w:r w:rsidRPr="0005083D">
              <w:t>:</w:t>
            </w:r>
          </w:p>
        </w:tc>
      </w:tr>
      <w:tr w:rsidR="00452030" w:rsidTr="003F5243">
        <w:tc>
          <w:tcPr>
            <w:tcW w:w="4786" w:type="dxa"/>
          </w:tcPr>
          <w:p w:rsidR="00452030" w:rsidRDefault="00452030" w:rsidP="003F5243">
            <w:r>
              <w:t xml:space="preserve">Recombinant Factor </w:t>
            </w:r>
            <w:proofErr w:type="spellStart"/>
            <w:r>
              <w:t>VIIa</w:t>
            </w:r>
            <w:proofErr w:type="spellEnd"/>
          </w:p>
          <w:p w:rsidR="00452030" w:rsidRDefault="00452030" w:rsidP="003F5243">
            <w:r>
              <w:t xml:space="preserve">Recombinant Factor VIII </w:t>
            </w:r>
          </w:p>
          <w:p w:rsidR="00452030" w:rsidRDefault="00452030" w:rsidP="003F5243">
            <w:r>
              <w:t xml:space="preserve">Recombinant Factor IX </w:t>
            </w:r>
          </w:p>
        </w:tc>
      </w:tr>
    </w:tbl>
    <w:p w:rsidR="00452030" w:rsidRDefault="00452030" w:rsidP="00452030"/>
    <w:p w:rsidR="00452030" w:rsidRDefault="00452030" w:rsidP="00452030">
      <w:r>
        <w:t>The purpose of this RFI is to:</w:t>
      </w:r>
    </w:p>
    <w:p w:rsidR="00452030" w:rsidRDefault="00452030" w:rsidP="00452030">
      <w:pPr>
        <w:pStyle w:val="ListParagraph"/>
        <w:numPr>
          <w:ilvl w:val="0"/>
          <w:numId w:val="20"/>
        </w:numPr>
      </w:pPr>
      <w:r>
        <w:t>provide the opportunity for current and potential suppliers of plasma and recombinant products to give the NBA their view on potential supply arrangements;</w:t>
      </w:r>
    </w:p>
    <w:p w:rsidR="00452030" w:rsidRDefault="00452030" w:rsidP="00452030">
      <w:pPr>
        <w:pStyle w:val="ListParagraph"/>
        <w:numPr>
          <w:ilvl w:val="0"/>
          <w:numId w:val="20"/>
        </w:numPr>
      </w:pPr>
      <w:r>
        <w:t>obtain information on those imported plasma and recombinant products that suppliers may be able to provide; and</w:t>
      </w:r>
    </w:p>
    <w:p w:rsidR="00452030" w:rsidRDefault="00452030" w:rsidP="00452030">
      <w:pPr>
        <w:pStyle w:val="ListParagraph"/>
        <w:numPr>
          <w:ilvl w:val="0"/>
          <w:numId w:val="20"/>
        </w:numPr>
      </w:pPr>
      <w:proofErr w:type="gramStart"/>
      <w:r>
        <w:t>enquire</w:t>
      </w:r>
      <w:proofErr w:type="gramEnd"/>
      <w:r>
        <w:t xml:space="preserve"> about suppliers’ plans to register relevant new products, both within Australia and globally.</w:t>
      </w:r>
    </w:p>
    <w:p w:rsidR="00452030" w:rsidRDefault="00452030" w:rsidP="00452030">
      <w:r>
        <w:t xml:space="preserve">The feedback and information obtained through this RFI and the consultation paper will enhance the NBA’s knowledge of the market, and help to inform the NBA’s decisions on future procurement decisions for supply of IPRP products beyond 1 July 2017.  </w:t>
      </w:r>
    </w:p>
    <w:p w:rsidR="00452030" w:rsidRDefault="00452030" w:rsidP="00452030">
      <w:r>
        <w:t>Note that responding to this request is not a mandatory or voluntary pre-qualification stage for participation in any potential competitive tender process.</w:t>
      </w:r>
    </w:p>
    <w:p w:rsidR="00452030" w:rsidRDefault="00452030" w:rsidP="00452030">
      <w:pPr>
        <w:pStyle w:val="Heading1"/>
      </w:pPr>
      <w:bookmarkStart w:id="11" w:name="_Toc356198876"/>
      <w:bookmarkStart w:id="12" w:name="_Toc356911022"/>
      <w:bookmarkStart w:id="13" w:name="_Toc469984568"/>
      <w:r>
        <w:t>Closing Date</w:t>
      </w:r>
      <w:bookmarkEnd w:id="11"/>
      <w:bookmarkEnd w:id="12"/>
      <w:bookmarkEnd w:id="13"/>
    </w:p>
    <w:p w:rsidR="00452030" w:rsidRDefault="00452030" w:rsidP="00452030">
      <w:pPr>
        <w:rPr>
          <w:b/>
        </w:rPr>
      </w:pPr>
      <w:r>
        <w:t xml:space="preserve">The NBA is seeking responses to this RFI </w:t>
      </w:r>
      <w:r w:rsidRPr="009B3A4A">
        <w:rPr>
          <w:b/>
        </w:rPr>
        <w:t xml:space="preserve">by </w:t>
      </w:r>
      <w:r>
        <w:rPr>
          <w:b/>
        </w:rPr>
        <w:t xml:space="preserve">5:00pm (AEST) on Friday </w:t>
      </w:r>
      <w:r w:rsidR="00785031">
        <w:rPr>
          <w:b/>
        </w:rPr>
        <w:t>17</w:t>
      </w:r>
      <w:r w:rsidR="00C54F21">
        <w:rPr>
          <w:b/>
        </w:rPr>
        <w:t xml:space="preserve"> March 2017</w:t>
      </w:r>
      <w:r w:rsidRPr="009B3A4A">
        <w:rPr>
          <w:b/>
        </w:rPr>
        <w:t>.</w:t>
      </w:r>
    </w:p>
    <w:p w:rsidR="00452030" w:rsidRDefault="00452030" w:rsidP="00452030">
      <w:pPr>
        <w:pStyle w:val="Heading1"/>
      </w:pPr>
      <w:bookmarkStart w:id="14" w:name="_Toc356198877"/>
      <w:bookmarkStart w:id="15" w:name="_Toc356911023"/>
      <w:bookmarkStart w:id="16" w:name="_Toc469984569"/>
      <w:r>
        <w:t>Providing your r</w:t>
      </w:r>
      <w:r w:rsidRPr="009B3A4A">
        <w:t>esponse</w:t>
      </w:r>
      <w:bookmarkEnd w:id="14"/>
      <w:bookmarkEnd w:id="15"/>
      <w:bookmarkEnd w:id="16"/>
    </w:p>
    <w:p w:rsidR="00452030" w:rsidRDefault="00452030" w:rsidP="00452030">
      <w:r>
        <w:t xml:space="preserve">Please provide your response by answering the questions in </w:t>
      </w:r>
      <w:r w:rsidRPr="006C2F74">
        <w:rPr>
          <w:b/>
        </w:rPr>
        <w:t>Attachment A.</w:t>
      </w:r>
    </w:p>
    <w:p w:rsidR="00452030" w:rsidRDefault="00452030" w:rsidP="00452030">
      <w:r>
        <w:t>There are no conditions for participation in this RFI.</w:t>
      </w:r>
    </w:p>
    <w:p w:rsidR="00452030" w:rsidRDefault="00452030" w:rsidP="00452030">
      <w:r w:rsidRPr="00B91F24">
        <w:t>The NBA may consider publishing a summary of responses on a de-identified basis.  Where requested, the NBA will keep information and material submitted as commercial in confidence and will not publish this information.</w:t>
      </w:r>
    </w:p>
    <w:p w:rsidR="00452030" w:rsidRDefault="00452030" w:rsidP="00452030">
      <w:r>
        <w:t xml:space="preserve">Forward your response to the NBA (Attention Consultation Coordinator) by email: </w:t>
      </w:r>
      <w:hyperlink r:id="rId11" w:history="1">
        <w:r w:rsidRPr="008F3DBB">
          <w:rPr>
            <w:rStyle w:val="Hyperlink"/>
          </w:rPr>
          <w:t>iprptender@blood.gov.au</w:t>
        </w:r>
      </w:hyperlink>
    </w:p>
    <w:p w:rsidR="00452030" w:rsidRDefault="00452030" w:rsidP="00452030">
      <w:pPr>
        <w:rPr>
          <w:rStyle w:val="Hyperlink"/>
        </w:rPr>
      </w:pPr>
      <w:r>
        <w:t xml:space="preserve">Enquires about issues raised in this RFI may be directed to </w:t>
      </w:r>
      <w:hyperlink r:id="rId12" w:history="1">
        <w:r w:rsidRPr="008F3DBB">
          <w:rPr>
            <w:rStyle w:val="Hyperlink"/>
          </w:rPr>
          <w:t>iprptender@blood.gov.au</w:t>
        </w:r>
      </w:hyperlink>
    </w:p>
    <w:p w:rsidR="00452030" w:rsidRDefault="00452030" w:rsidP="00452030">
      <w:pPr>
        <w:pStyle w:val="Heading1"/>
      </w:pPr>
      <w:r>
        <w:br w:type="page"/>
      </w:r>
      <w:bookmarkStart w:id="17" w:name="_Toc356198878"/>
      <w:bookmarkStart w:id="18" w:name="_Toc356911024"/>
      <w:bookmarkStart w:id="19" w:name="_Toc469984570"/>
      <w:r>
        <w:t xml:space="preserve">Attachment A – </w:t>
      </w:r>
      <w:bookmarkEnd w:id="17"/>
      <w:bookmarkEnd w:id="18"/>
      <w:r>
        <w:t>Questions for response</w:t>
      </w:r>
      <w:bookmarkEnd w:id="19"/>
    </w:p>
    <w:p w:rsidR="00452030" w:rsidRPr="0005083D" w:rsidRDefault="00452030" w:rsidP="00452030">
      <w:pPr>
        <w:pStyle w:val="Heading2"/>
      </w:pPr>
      <w:bookmarkStart w:id="20" w:name="_Toc469984571"/>
      <w:r w:rsidRPr="0005083D">
        <w:t>Instructions</w:t>
      </w:r>
      <w:r>
        <w:t xml:space="preserve"> for responses</w:t>
      </w:r>
      <w:bookmarkEnd w:id="20"/>
      <w:r>
        <w:tab/>
      </w:r>
    </w:p>
    <w:p w:rsidR="00452030" w:rsidRDefault="00452030" w:rsidP="00452030">
      <w:r>
        <w:t>Please provide your response by providing answers to the questions below in the format provided.  Please provide additional information by attachments if appropriate.</w:t>
      </w:r>
    </w:p>
    <w:p w:rsidR="00452030" w:rsidRDefault="00452030" w:rsidP="00452030">
      <w:r>
        <w:t>Please separate the details for different products where appropriate.</w:t>
      </w:r>
    </w:p>
    <w:p w:rsidR="00452030" w:rsidRDefault="00452030" w:rsidP="00452030">
      <w:pPr>
        <w:pStyle w:val="Heading2"/>
      </w:pPr>
      <w:bookmarkStart w:id="21" w:name="_Toc469984572"/>
      <w:r>
        <w:t>RFI Response</w:t>
      </w:r>
      <w:bookmarkEnd w:id="21"/>
    </w:p>
    <w:tbl>
      <w:tblPr>
        <w:tblStyle w:val="TableGrid"/>
        <w:tblW w:w="4825" w:type="pct"/>
        <w:tblInd w:w="108" w:type="dxa"/>
        <w:tblLook w:val="04A0" w:firstRow="1" w:lastRow="0" w:firstColumn="1" w:lastColumn="0" w:noHBand="0" w:noVBand="1"/>
      </w:tblPr>
      <w:tblGrid>
        <w:gridCol w:w="1913"/>
        <w:gridCol w:w="7302"/>
      </w:tblGrid>
      <w:tr w:rsidR="00452030" w:rsidTr="003F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452030" w:rsidRDefault="00452030" w:rsidP="003F5243">
            <w:pPr>
              <w:pStyle w:val="ListParagraph"/>
              <w:numPr>
                <w:ilvl w:val="0"/>
                <w:numId w:val="21"/>
              </w:numPr>
            </w:pPr>
            <w:r>
              <w:t>COMPANY DETAILS</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r>
              <w:t>Company Name</w:t>
            </w:r>
          </w:p>
        </w:tc>
        <w:tc>
          <w:tcPr>
            <w:tcW w:w="3962" w:type="pct"/>
          </w:tcPr>
          <w:p w:rsidR="00452030" w:rsidRDefault="00452030" w:rsidP="003F5243">
            <w:pPr>
              <w:cnfStyle w:val="000000000000" w:firstRow="0" w:lastRow="0" w:firstColumn="0" w:lastColumn="0" w:oddVBand="0" w:evenVBand="0" w:oddHBand="0" w:evenHBand="0" w:firstRowFirstColumn="0" w:firstRowLastColumn="0" w:lastRowFirstColumn="0" w:lastRowLastColumn="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452030" w:rsidRDefault="00452030" w:rsidP="003F5243">
            <w:pPr>
              <w:pStyle w:val="ListParagraph"/>
              <w:numPr>
                <w:ilvl w:val="0"/>
                <w:numId w:val="21"/>
              </w:numPr>
            </w:pPr>
            <w:r>
              <w:t>PRODUCT RANGE &amp; AVAILABLITY</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B1.  Products available for supply in Australia</w:t>
            </w:r>
          </w:p>
          <w:p w:rsidR="00452030" w:rsidRDefault="00452030" w:rsidP="003F5243">
            <w:pPr>
              <w:pStyle w:val="ListParagraph"/>
              <w:ind w:left="0"/>
            </w:pPr>
          </w:p>
          <w:p w:rsidR="00452030" w:rsidRDefault="00452030" w:rsidP="003F5243">
            <w:pPr>
              <w:pStyle w:val="ListParagraph"/>
              <w:ind w:left="0"/>
            </w:pPr>
            <w:r>
              <w:t>What products does your company have registered, or have in the process of being registered, through the TGA for supply in Australia from 1 July 2017?</w:t>
            </w:r>
          </w:p>
          <w:p w:rsidR="00452030" w:rsidRDefault="00452030" w:rsidP="003F5243">
            <w:pPr>
              <w:pStyle w:val="ListParagraph"/>
              <w:ind w:left="0"/>
            </w:pPr>
          </w:p>
          <w:p w:rsidR="00452030" w:rsidRPr="002B2CD6" w:rsidRDefault="00452030" w:rsidP="003F5243">
            <w:pPr>
              <w:pStyle w:val="ListParagraph"/>
              <w:ind w:left="0"/>
              <w:rPr>
                <w:b w:val="0"/>
                <w:i/>
              </w:rPr>
            </w:pPr>
            <w:r w:rsidRPr="002B2CD6">
              <w:rPr>
                <w:b w:val="0"/>
                <w:i/>
              </w:rPr>
              <w:t>For each product, provide the information requested below</w:t>
            </w:r>
            <w:r>
              <w:rPr>
                <w:b w:val="0"/>
                <w:i/>
              </w:rPr>
              <w:t>.</w:t>
            </w:r>
          </w:p>
          <w:p w:rsidR="00452030" w:rsidRPr="00EE0158" w:rsidRDefault="00452030" w:rsidP="003F5243">
            <w:pPr>
              <w:pStyle w:val="ListParagraph"/>
              <w:ind w:left="0"/>
              <w:rPr>
                <w:i/>
              </w:rPr>
            </w:pPr>
            <w:r w:rsidRPr="002B2CD6">
              <w:rPr>
                <w:b w:val="0"/>
                <w:i/>
              </w:rPr>
              <w:t>You may wish to provide a product Information sheet, in which case your response can refer to the relevant section on the sheet.</w:t>
            </w:r>
            <w:r>
              <w:rPr>
                <w:b w:val="0"/>
                <w:i/>
              </w:rPr>
              <w:t xml:space="preserve">  </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Product Type</w:t>
            </w:r>
          </w:p>
        </w:tc>
        <w:tc>
          <w:tcPr>
            <w:tcW w:w="3962" w:type="pct"/>
          </w:tcPr>
          <w:p w:rsidR="00452030" w:rsidRPr="00EE0158"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r w:rsidRPr="00EE0158">
              <w:rPr>
                <w:i/>
              </w:rPr>
              <w:t xml:space="preserve">Note: Please indicate the product type e.g. </w:t>
            </w:r>
            <w:r>
              <w:rPr>
                <w:i/>
              </w:rPr>
              <w:t xml:space="preserve">Factor </w:t>
            </w:r>
            <w:proofErr w:type="spellStart"/>
            <w:r>
              <w:rPr>
                <w:i/>
              </w:rPr>
              <w:t>rV</w:t>
            </w:r>
            <w:r w:rsidRPr="00EE0158">
              <w:rPr>
                <w:i/>
              </w:rPr>
              <w:t>III</w:t>
            </w:r>
            <w:proofErr w:type="spellEnd"/>
            <w:r w:rsidRPr="00EE0158">
              <w:rPr>
                <w:i/>
              </w:rPr>
              <w:t>.</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Product Name</w:t>
            </w:r>
          </w:p>
        </w:tc>
        <w:tc>
          <w:tcPr>
            <w:tcW w:w="3962" w:type="pct"/>
          </w:tcPr>
          <w:p w:rsidR="00452030" w:rsidRPr="00EE0158"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ARTG Status</w:t>
            </w:r>
          </w:p>
        </w:tc>
        <w:tc>
          <w:tcPr>
            <w:tcW w:w="3962" w:type="pct"/>
          </w:tcPr>
          <w:p w:rsidR="00452030" w:rsidRPr="004F169B" w:rsidRDefault="00452030" w:rsidP="003F5243">
            <w:pPr>
              <w:cnfStyle w:val="000000000000" w:firstRow="0" w:lastRow="0" w:firstColumn="0" w:lastColumn="0" w:oddVBand="0" w:evenVBand="0" w:oddHBand="0" w:evenHBand="0" w:firstRowFirstColumn="0" w:firstRowLastColumn="0" w:lastRowFirstColumn="0" w:lastRowLastColumn="0"/>
              <w:rPr>
                <w:i/>
              </w:rPr>
            </w:pPr>
            <w:r>
              <w:rPr>
                <w:i/>
              </w:rPr>
              <w:t>Note:  If product is not currently registered for supply in Australia:</w:t>
            </w:r>
          </w:p>
          <w:p w:rsidR="00452030" w:rsidRDefault="00452030" w:rsidP="003F524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i/>
              </w:rPr>
            </w:pPr>
            <w:r>
              <w:rPr>
                <w:i/>
              </w:rPr>
              <w:t xml:space="preserve">Identify if a submission for registration </w:t>
            </w:r>
            <w:r w:rsidRPr="004F169B">
              <w:rPr>
                <w:i/>
              </w:rPr>
              <w:t xml:space="preserve">was submitted to TGA and the expected date of inclusion on the Australian Register of Therapeutic Goods (ARTG). </w:t>
            </w:r>
          </w:p>
          <w:p w:rsidR="00452030" w:rsidRDefault="00452030" w:rsidP="003F524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i/>
              </w:rPr>
            </w:pPr>
            <w:r>
              <w:rPr>
                <w:i/>
              </w:rPr>
              <w:t xml:space="preserve">If no submission has been made as yet, </w:t>
            </w:r>
            <w:r w:rsidRPr="004F169B">
              <w:rPr>
                <w:i/>
              </w:rPr>
              <w:t xml:space="preserve">please indicate what documentation has been prepared for the </w:t>
            </w:r>
            <w:r>
              <w:rPr>
                <w:i/>
              </w:rPr>
              <w:t>submission including:</w:t>
            </w:r>
          </w:p>
          <w:p w:rsidR="00452030" w:rsidRDefault="00452030" w:rsidP="003F524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i/>
              </w:rPr>
            </w:pPr>
            <w:r>
              <w:rPr>
                <w:i/>
              </w:rPr>
              <w:t>Explanation of evidence available against TGA requirements for registration</w:t>
            </w:r>
          </w:p>
          <w:p w:rsidR="00452030" w:rsidRDefault="00452030" w:rsidP="003F524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i/>
              </w:rPr>
            </w:pPr>
            <w:r>
              <w:rPr>
                <w:i/>
              </w:rPr>
              <w:t>Likelihood of meeting TGA requirements for registration</w:t>
            </w:r>
          </w:p>
          <w:p w:rsidR="00452030" w:rsidRDefault="00452030" w:rsidP="003F524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i/>
              </w:rPr>
            </w:pPr>
            <w:r>
              <w:rPr>
                <w:i/>
              </w:rPr>
              <w:t>Proposed timelines for registration</w:t>
            </w:r>
          </w:p>
          <w:p w:rsidR="00452030" w:rsidRDefault="00452030" w:rsidP="003F524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i/>
              </w:rPr>
            </w:pPr>
            <w:r>
              <w:rPr>
                <w:i/>
              </w:rPr>
              <w:t xml:space="preserve">If there are no plans to register the product </w:t>
            </w:r>
            <w:r w:rsidRPr="00B9161D">
              <w:rPr>
                <w:i/>
              </w:rPr>
              <w:t>in Australia, please explain</w:t>
            </w:r>
            <w:r>
              <w:rPr>
                <w:i/>
              </w:rPr>
              <w:t xml:space="preserve"> why not and the basis on which assurance of ability to provide reliable national supply could be given.</w:t>
            </w:r>
          </w:p>
          <w:p w:rsidR="00452030" w:rsidRDefault="00452030" w:rsidP="003F5243">
            <w:pPr>
              <w:pStyle w:val="ListParagraph"/>
              <w:ind w:left="360"/>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pStyle w:val="ListParagraph"/>
              <w:ind w:left="360"/>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pStyle w:val="ListParagraph"/>
              <w:ind w:left="360"/>
              <w:cnfStyle w:val="000000000000" w:firstRow="0" w:lastRow="0" w:firstColumn="0" w:lastColumn="0" w:oddVBand="0" w:evenVBand="0" w:oddHBand="0" w:evenHBand="0" w:firstRowFirstColumn="0" w:firstRowLastColumn="0" w:lastRowFirstColumn="0" w:lastRowLastColumn="0"/>
              <w:rPr>
                <w:i/>
              </w:rPr>
            </w:pPr>
          </w:p>
          <w:p w:rsidR="00452030" w:rsidRPr="00B9161D" w:rsidRDefault="00452030" w:rsidP="003F5243">
            <w:pPr>
              <w:pStyle w:val="ListParagraph"/>
              <w:ind w:left="360"/>
              <w:cnfStyle w:val="000000000000" w:firstRow="0" w:lastRow="0" w:firstColumn="0" w:lastColumn="0" w:oddVBand="0" w:evenVBand="0" w:oddHBand="0" w:evenHBand="0" w:firstRowFirstColumn="0" w:firstRowLastColumn="0" w:lastRowFirstColumn="0" w:lastRowLastColumn="0"/>
              <w:rPr>
                <w:i/>
              </w:rPr>
            </w:pPr>
          </w:p>
          <w:p w:rsidR="00452030" w:rsidRPr="00EE0158"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Manufacturing Process</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r>
              <w:rPr>
                <w:i/>
              </w:rPr>
              <w:t>Note: Provide information on source material, where material is sourced from, and major manufacturing processes or steps.</w:t>
            </w:r>
          </w:p>
        </w:tc>
      </w:tr>
      <w:tr w:rsidR="00452030" w:rsidTr="003F5243">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Adverse Events/Regulatory Action</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r>
              <w:rPr>
                <w:i/>
              </w:rPr>
              <w:t>Note: Please advise the following:</w:t>
            </w:r>
          </w:p>
          <w:p w:rsidR="00452030" w:rsidRDefault="00452030" w:rsidP="003F524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Pr>
                <w:i/>
              </w:rPr>
              <w:t>What data is available on the number and type of adverse events in relation to this product?</w:t>
            </w:r>
          </w:p>
          <w:p w:rsidR="00452030" w:rsidRDefault="00452030" w:rsidP="003F524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Pr>
                <w:i/>
              </w:rPr>
              <w:t>Are you aware of current or intended investigations or regulatory restrictions in any jurisdiction, including but not limited to Australia, Europe or United States?  If so, provide details.</w:t>
            </w:r>
          </w:p>
          <w:p w:rsidR="00452030" w:rsidRDefault="00452030" w:rsidP="003F5243">
            <w:pPr>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cnfStyle w:val="000000000000" w:firstRow="0" w:lastRow="0" w:firstColumn="0" w:lastColumn="0" w:oddVBand="0" w:evenVBand="0" w:oddHBand="0" w:evenHBand="0" w:firstRowFirstColumn="0" w:firstRowLastColumn="0" w:lastRowFirstColumn="0" w:lastRowLastColumn="0"/>
              <w:rPr>
                <w:i/>
              </w:rPr>
            </w:pPr>
          </w:p>
          <w:p w:rsidR="00452030" w:rsidRDefault="00452030" w:rsidP="003F5243">
            <w:pPr>
              <w:cnfStyle w:val="000000000000" w:firstRow="0" w:lastRow="0" w:firstColumn="0" w:lastColumn="0" w:oddVBand="0" w:evenVBand="0" w:oddHBand="0" w:evenHBand="0" w:firstRowFirstColumn="0" w:firstRowLastColumn="0" w:lastRowFirstColumn="0" w:lastRowLastColumn="0"/>
              <w:rPr>
                <w:i/>
              </w:rPr>
            </w:pPr>
          </w:p>
          <w:p w:rsidR="00452030" w:rsidRPr="008F412B" w:rsidRDefault="00452030" w:rsidP="003F5243">
            <w:pPr>
              <w:cnfStyle w:val="000000000000" w:firstRow="0" w:lastRow="0" w:firstColumn="0" w:lastColumn="0" w:oddVBand="0" w:evenVBand="0" w:oddHBand="0" w:evenHBand="0" w:firstRowFirstColumn="0" w:firstRowLastColumn="0" w:lastRowFirstColumn="0" w:lastRowLastColumn="0"/>
              <w:rPr>
                <w:i/>
              </w:rPr>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Vial Sizes</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Shelf Life</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Storage Temperature</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Ancillary Equipment</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r>
              <w:rPr>
                <w:i/>
              </w:rPr>
              <w:t>Note: Please list any ancillary equipment and how this equipment is provided e.g. reconstitution and infusion kits provided as a separate package upon request.</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Additional Features</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r>
              <w:rPr>
                <w:i/>
              </w:rPr>
              <w:t>Note: Please list any additional features you consider are of value to users of the product, including patients, clinicians, and those who are involved in ordering and distribution.</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1038" w:type="pct"/>
          </w:tcPr>
          <w:p w:rsidR="00452030" w:rsidRDefault="00452030" w:rsidP="003F5243">
            <w:pPr>
              <w:pStyle w:val="ListParagraph"/>
              <w:ind w:left="0"/>
            </w:pPr>
            <w:r>
              <w:t>Future Features</w:t>
            </w:r>
          </w:p>
        </w:tc>
        <w:tc>
          <w:tcPr>
            <w:tcW w:w="3962" w:type="pct"/>
          </w:tcPr>
          <w:p w:rsidR="00452030" w:rsidRDefault="00452030" w:rsidP="003F5243">
            <w:pPr>
              <w:pStyle w:val="ListParagraph"/>
              <w:ind w:left="0"/>
              <w:cnfStyle w:val="000000000000" w:firstRow="0" w:lastRow="0" w:firstColumn="0" w:lastColumn="0" w:oddVBand="0" w:evenVBand="0" w:oddHBand="0" w:evenHBand="0" w:firstRowFirstColumn="0" w:firstRowLastColumn="0" w:lastRowFirstColumn="0" w:lastRowLastColumn="0"/>
              <w:rPr>
                <w:i/>
              </w:rPr>
            </w:pPr>
            <w:r>
              <w:rPr>
                <w:i/>
              </w:rPr>
              <w:t>Note: are there any planned enhancements or advances in technology that will improve safety, efficacy or convenience of this product over the next six years?</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785031">
            <w:pPr>
              <w:pStyle w:val="ListParagraph"/>
              <w:keepNext/>
              <w:ind w:left="0"/>
              <w:rPr>
                <w:b w:val="0"/>
              </w:rPr>
            </w:pPr>
            <w:r>
              <w:t>B</w:t>
            </w:r>
            <w:r w:rsidR="00C54F21">
              <w:t>2</w:t>
            </w:r>
            <w:r>
              <w:t>.  Support services</w:t>
            </w:r>
          </w:p>
          <w:p w:rsidR="00452030" w:rsidRDefault="00452030" w:rsidP="00785031">
            <w:pPr>
              <w:pStyle w:val="ListParagraph"/>
              <w:keepNext/>
              <w:ind w:left="0"/>
              <w:rPr>
                <w:b w:val="0"/>
              </w:rPr>
            </w:pPr>
          </w:p>
          <w:p w:rsidR="00452030" w:rsidRDefault="00452030" w:rsidP="00785031">
            <w:pPr>
              <w:pStyle w:val="ListParagraph"/>
              <w:keepNext/>
              <w:ind w:left="0"/>
              <w:rPr>
                <w:b w:val="0"/>
              </w:rPr>
            </w:pPr>
            <w:r>
              <w:t xml:space="preserve">Describe the support services your company provides for scientific or clinical personnel, or for patients, using the products (e.g. initial or ongoing training and education, demonstration kits, product information material, product advice, dose calculators and devices for managing patient use of the product).  </w:t>
            </w:r>
          </w:p>
          <w:p w:rsidR="00452030" w:rsidRDefault="00452030" w:rsidP="00785031">
            <w:pPr>
              <w:pStyle w:val="ListParagraph"/>
              <w:keepNext/>
              <w:ind w:left="0"/>
              <w:rPr>
                <w:b w:val="0"/>
              </w:rPr>
            </w:pPr>
          </w:p>
          <w:p w:rsidR="00452030" w:rsidRDefault="00452030" w:rsidP="00785031">
            <w:pPr>
              <w:pStyle w:val="ListParagraph"/>
              <w:keepNext/>
              <w:ind w:left="0"/>
              <w:rPr>
                <w:b w:val="0"/>
              </w:rPr>
            </w:pPr>
            <w:r>
              <w:t>What additional support services could your company provide?</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452030" w:rsidRDefault="00452030" w:rsidP="003F5243">
            <w:pPr>
              <w:pStyle w:val="ListParagraph"/>
              <w:keepNext/>
              <w:numPr>
                <w:ilvl w:val="0"/>
                <w:numId w:val="21"/>
              </w:numPr>
              <w:ind w:left="357" w:hanging="357"/>
            </w:pPr>
            <w:r>
              <w:t xml:space="preserve"> DEMAND &amp; SUPPLY</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keepNext/>
              <w:ind w:left="0"/>
            </w:pPr>
            <w:r>
              <w:t>C1.  Changes in supply or demand</w:t>
            </w:r>
          </w:p>
          <w:p w:rsidR="00452030" w:rsidRDefault="00452030" w:rsidP="003F5243">
            <w:pPr>
              <w:pStyle w:val="ListParagraph"/>
              <w:keepNext/>
              <w:ind w:left="0"/>
            </w:pPr>
          </w:p>
          <w:p w:rsidR="00452030" w:rsidRDefault="00452030" w:rsidP="003F5243">
            <w:pPr>
              <w:pStyle w:val="ListParagraph"/>
              <w:keepNext/>
              <w:ind w:left="0"/>
            </w:pPr>
            <w:r>
              <w:t>From your company’s knowledge of the market and clinical practice, do you anticipate any changes either globally or within Australia that may affect global or Australian supply or demand?  If so, how might this affect NBA or global supply arrangements in the future?</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785031">
            <w:pPr>
              <w:pStyle w:val="ListParagraph"/>
              <w:keepNext/>
              <w:ind w:left="0"/>
              <w:rPr>
                <w:b w:val="0"/>
              </w:rPr>
            </w:pPr>
            <w:r>
              <w:t>C2.  Global production scheduling and operation</w:t>
            </w:r>
          </w:p>
          <w:p w:rsidR="00452030" w:rsidRDefault="00452030" w:rsidP="00785031">
            <w:pPr>
              <w:pStyle w:val="ListParagraph"/>
              <w:keepNext/>
              <w:ind w:left="0"/>
              <w:rPr>
                <w:b w:val="0"/>
              </w:rPr>
            </w:pPr>
          </w:p>
          <w:p w:rsidR="00452030" w:rsidRDefault="00452030" w:rsidP="00785031">
            <w:pPr>
              <w:pStyle w:val="ListParagraph"/>
              <w:keepNext/>
              <w:ind w:left="0"/>
              <w:rPr>
                <w:b w:val="0"/>
              </w:rPr>
            </w:pPr>
            <w:r>
              <w:t>Where is the product manufactured and how often?  E.g. number of batches per year and batch quantity.</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C3.  Planning and production cycle</w:t>
            </w:r>
          </w:p>
          <w:p w:rsidR="00452030" w:rsidRDefault="00452030" w:rsidP="003F5243">
            <w:pPr>
              <w:pStyle w:val="ListParagraph"/>
              <w:ind w:left="0"/>
            </w:pPr>
          </w:p>
          <w:p w:rsidR="00452030" w:rsidRPr="00C863CA" w:rsidRDefault="00452030" w:rsidP="003F5243">
            <w:pPr>
              <w:pStyle w:val="ListParagraph"/>
              <w:ind w:left="0"/>
            </w:pPr>
            <w:r>
              <w:t>Provide a detailed description of the planning and production cycle from initial scheduling of production to delivery into Australian inventory.  This should include shelf life on production, country specific packaging, shipping, custom clearance and quarantine as required.  In addition please advise the level of flexibility in this schedule when additional product is required for emergency purposes.</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keepNext/>
              <w:ind w:left="0"/>
            </w:pPr>
            <w:r>
              <w:t>C4. Production and supply assurance</w:t>
            </w:r>
          </w:p>
          <w:p w:rsidR="00452030" w:rsidRDefault="00452030" w:rsidP="003F5243">
            <w:pPr>
              <w:pStyle w:val="ListParagraph"/>
              <w:keepNext/>
              <w:ind w:left="0"/>
            </w:pPr>
          </w:p>
          <w:p w:rsidR="00452030" w:rsidRDefault="00452030" w:rsidP="003F5243">
            <w:pPr>
              <w:pStyle w:val="ListParagraph"/>
              <w:keepNext/>
              <w:ind w:left="0"/>
            </w:pPr>
            <w:r>
              <w:t xml:space="preserve">Has your company experienced any batch failures or other major production or supply issues (e.g. quarantine or recall) for the products?  How were these managed?  </w:t>
            </w:r>
          </w:p>
          <w:p w:rsidR="00452030" w:rsidRDefault="00452030" w:rsidP="003F5243">
            <w:pPr>
              <w:pStyle w:val="ListParagraph"/>
              <w:keepNext/>
              <w:ind w:left="0"/>
            </w:pPr>
          </w:p>
          <w:p w:rsidR="00452030" w:rsidRDefault="00452030" w:rsidP="003F5243">
            <w:pPr>
              <w:pStyle w:val="ListParagraph"/>
              <w:keepNext/>
              <w:ind w:left="0"/>
            </w:pPr>
            <w:r>
              <w:t>What production and supply contingency arrangements do your company have in place or intend to have in place?  Please include in your response the definition used for a batch failure, and production or supply delay, within these contingency arrangements.</w:t>
            </w:r>
          </w:p>
          <w:p w:rsidR="00452030" w:rsidRDefault="00452030" w:rsidP="003F5243">
            <w:pPr>
              <w:pStyle w:val="ListParagraph"/>
              <w:keepNext/>
              <w:ind w:left="0"/>
            </w:pP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C5.  Minimum/maximum volumes</w:t>
            </w:r>
          </w:p>
          <w:p w:rsidR="00452030" w:rsidRDefault="00452030" w:rsidP="003F5243">
            <w:pPr>
              <w:pStyle w:val="ListParagraph"/>
              <w:ind w:left="0"/>
            </w:pPr>
          </w:p>
          <w:p w:rsidR="00452030" w:rsidRDefault="00452030" w:rsidP="003F5243">
            <w:pPr>
              <w:pStyle w:val="ListParagraph"/>
              <w:ind w:left="0"/>
            </w:pPr>
            <w:r>
              <w:t>Are there any minimum or maximum limits to the volumes of products your company can supply?  If so, advise these limits, within what time period, and the reason for them.</w:t>
            </w:r>
          </w:p>
          <w:p w:rsidR="00452030" w:rsidRDefault="00452030" w:rsidP="003F5243">
            <w:pPr>
              <w:pStyle w:val="ListParagraph"/>
              <w:tabs>
                <w:tab w:val="left" w:pos="6510"/>
              </w:tabs>
              <w:ind w:left="0"/>
            </w:pPr>
            <w:r>
              <w:tab/>
            </w:r>
          </w:p>
          <w:p w:rsidR="00452030" w:rsidRDefault="00452030" w:rsidP="003F5243">
            <w:pPr>
              <w:pStyle w:val="ListParagraph"/>
              <w:ind w:left="0"/>
            </w:pPr>
            <w:r>
              <w:t>What price or other value for money benefit would agreement to these limitations give to the NBA?</w:t>
            </w:r>
          </w:p>
        </w:tc>
      </w:tr>
      <w:tr w:rsidR="00452030" w:rsidTr="003F5243">
        <w:trPr>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452030" w:rsidRDefault="00452030" w:rsidP="003F5243">
            <w:pPr>
              <w:pStyle w:val="ListParagraph"/>
              <w:numPr>
                <w:ilvl w:val="0"/>
                <w:numId w:val="21"/>
              </w:numPr>
            </w:pPr>
            <w:r>
              <w:t xml:space="preserve"> LOGISTICS</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D1.  Distribution arrangements</w:t>
            </w:r>
          </w:p>
          <w:p w:rsidR="00452030" w:rsidRDefault="00452030" w:rsidP="003F5243">
            <w:pPr>
              <w:pStyle w:val="ListParagraph"/>
              <w:ind w:left="0"/>
            </w:pPr>
          </w:p>
          <w:p w:rsidR="00452030" w:rsidRDefault="00452030" w:rsidP="003F5243">
            <w:pPr>
              <w:pStyle w:val="ListParagraph"/>
              <w:ind w:left="0"/>
            </w:pPr>
            <w:r>
              <w:t>Noting suppliers under NBA contracts may be required to deliver products to hospital, clinic, pathology service, home delivery patients, Blood Service or other approved locations anywhere in Australia, please outline what your company’s distribution arrangements for supply in Australia would be under any contract with the NBA, and where geographically stock would be held.</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auto"/>
            </w:tcBorders>
            <w:shd w:val="clear" w:color="auto" w:fill="D6E3BC" w:themeFill="accent3" w:themeFillTint="66"/>
          </w:tcPr>
          <w:p w:rsidR="00452030" w:rsidRDefault="00452030" w:rsidP="003F5243">
            <w:pPr>
              <w:pStyle w:val="ListParagraph"/>
              <w:keepNext/>
              <w:ind w:left="0"/>
            </w:pPr>
            <w:r>
              <w:t>D2.  Logistics innovation</w:t>
            </w:r>
          </w:p>
          <w:p w:rsidR="00452030" w:rsidRDefault="00452030" w:rsidP="003F5243">
            <w:pPr>
              <w:pStyle w:val="ListParagraph"/>
              <w:ind w:left="0"/>
            </w:pPr>
          </w:p>
          <w:p w:rsidR="00452030" w:rsidRDefault="00452030" w:rsidP="003F5243">
            <w:pPr>
              <w:pStyle w:val="ListParagraph"/>
              <w:keepNext/>
              <w:ind w:left="0"/>
            </w:pPr>
            <w:r>
              <w:t xml:space="preserve">What </w:t>
            </w:r>
            <w:proofErr w:type="gramStart"/>
            <w:r>
              <w:t>possible advances in inventory or logistics processes or systems is</w:t>
            </w:r>
            <w:proofErr w:type="gramEnd"/>
            <w:r>
              <w:t xml:space="preserve"> your company aware of that may be relevant for the products over the next six years?  Are these likely to be available for supply within Australia?</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452030" w:rsidRDefault="00452030" w:rsidP="003F5243">
            <w:pPr>
              <w:pStyle w:val="ListParagraph"/>
              <w:numPr>
                <w:ilvl w:val="0"/>
                <w:numId w:val="21"/>
              </w:numPr>
            </w:pPr>
            <w:r>
              <w:t xml:space="preserve"> CONTRACT FEATURES</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E1.  Term of supply arrangements</w:t>
            </w:r>
          </w:p>
          <w:p w:rsidR="00452030" w:rsidRDefault="00452030" w:rsidP="003F5243">
            <w:pPr>
              <w:pStyle w:val="ListParagraph"/>
              <w:ind w:left="0"/>
            </w:pPr>
          </w:p>
          <w:p w:rsidR="00452030" w:rsidRDefault="00452030" w:rsidP="003F5243">
            <w:pPr>
              <w:pStyle w:val="ListParagraph"/>
              <w:ind w:left="0"/>
            </w:pPr>
            <w:r>
              <w:t>What term of NBA supply contract would your company prefer, and why?  What price or other value for money benefit would agreement to this term give to the NBA?</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E2.  Number of suppliers</w:t>
            </w:r>
          </w:p>
          <w:p w:rsidR="00452030" w:rsidRDefault="00452030" w:rsidP="003F5243">
            <w:pPr>
              <w:pStyle w:val="ListParagraph"/>
              <w:ind w:left="0"/>
            </w:pPr>
          </w:p>
          <w:p w:rsidR="00452030" w:rsidRDefault="00452030" w:rsidP="003F5243">
            <w:pPr>
              <w:pStyle w:val="ListParagraph"/>
              <w:ind w:left="0"/>
            </w:pPr>
            <w:r>
              <w:t>If there are multiple potential suppliers for a particular product, which number of suppliers engaged under NBA contract arrangements would enable your company to tender on the most advantageous terms for the NBA, and why:</w:t>
            </w:r>
          </w:p>
          <w:p w:rsidR="00452030" w:rsidRDefault="00452030" w:rsidP="003F5243">
            <w:pPr>
              <w:pStyle w:val="ListParagraph"/>
              <w:ind w:left="0"/>
            </w:pPr>
            <w:r>
              <w:t>(a)</w:t>
            </w:r>
            <w:r>
              <w:tab/>
              <w:t>one supplier</w:t>
            </w:r>
          </w:p>
          <w:p w:rsidR="00452030" w:rsidRDefault="00452030" w:rsidP="003F5243">
            <w:pPr>
              <w:pStyle w:val="ListParagraph"/>
              <w:ind w:left="0"/>
            </w:pPr>
            <w:r>
              <w:t>(b)</w:t>
            </w:r>
            <w:r>
              <w:tab/>
              <w:t>two suppliers</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CF0C6"/>
          </w:tcPr>
          <w:p w:rsidR="00452030" w:rsidRDefault="00452030" w:rsidP="003F5243">
            <w:pPr>
              <w:pStyle w:val="ListParagraph"/>
              <w:keepNext/>
              <w:ind w:left="0"/>
            </w:pPr>
            <w:r>
              <w:t>E3.  Supply risk mitigation</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keepNext/>
              <w:ind w:left="0"/>
            </w:pPr>
            <w:r>
              <w:t>E3.1. Under current NBA contract requirements suppliers must maintain in Australia the equivalent of up to 3 months demand of in country reserve to minimise supply risk.  Please provide your company’s views on whether these arrangements adequately minimise Australian supply risk for your company’s products.</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 xml:space="preserve">E3.2. Does your company have a suggestion for an alternative approach to addressing supply risks for Australia?  If so please outline this approach and explain the benefits for minimising supply risk.  </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auto"/>
            </w:tcBorders>
            <w:shd w:val="clear" w:color="auto" w:fill="FFFFFF" w:themeFill="background1"/>
          </w:tcPr>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keepNext/>
              <w:ind w:left="0"/>
            </w:pPr>
            <w:r>
              <w:t>E4.  Price</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 xml:space="preserve">E4.1. Please </w:t>
            </w:r>
            <w:proofErr w:type="gramStart"/>
            <w:r>
              <w:t>provide</w:t>
            </w:r>
            <w:proofErr w:type="gramEnd"/>
            <w:r>
              <w:t xml:space="preserve"> information on the price of your company’s products in the United States and European markets.  </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Pr="0027483E" w:rsidRDefault="00452030" w:rsidP="003F5243">
            <w:pPr>
              <w:pStyle w:val="ListParagraph"/>
              <w:ind w:left="0"/>
              <w:rPr>
                <w:i/>
              </w:rPr>
            </w:pPr>
            <w:r w:rsidRPr="0027483E">
              <w:rPr>
                <w:i/>
              </w:rPr>
              <w:t xml:space="preserve">Note: Prices should be in source currency and exclude </w:t>
            </w:r>
            <w:r>
              <w:rPr>
                <w:i/>
              </w:rPr>
              <w:t>va</w:t>
            </w:r>
            <w:r w:rsidRPr="0027483E">
              <w:rPr>
                <w:i/>
              </w:rPr>
              <w:t xml:space="preserve">lue </w:t>
            </w:r>
            <w:r>
              <w:rPr>
                <w:i/>
              </w:rPr>
              <w:t>a</w:t>
            </w:r>
            <w:r w:rsidRPr="0027483E">
              <w:rPr>
                <w:i/>
              </w:rPr>
              <w:t xml:space="preserve">dded </w:t>
            </w:r>
            <w:r>
              <w:rPr>
                <w:i/>
              </w:rPr>
              <w:t>t</w:t>
            </w:r>
            <w:r w:rsidRPr="0027483E">
              <w:rPr>
                <w:i/>
              </w:rPr>
              <w:t>a</w:t>
            </w:r>
            <w:r>
              <w:rPr>
                <w:i/>
              </w:rPr>
              <w:t>xes</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Pr="0027483E" w:rsidRDefault="00452030" w:rsidP="003F5243">
            <w:pPr>
              <w:pStyle w:val="ListParagraph"/>
              <w:ind w:left="0"/>
            </w:pPr>
            <w:r>
              <w:t>E4</w:t>
            </w:r>
            <w:r w:rsidRPr="0027483E">
              <w:t xml:space="preserve">.2. </w:t>
            </w:r>
            <w:r>
              <w:t xml:space="preserve">Please </w:t>
            </w:r>
            <w:proofErr w:type="gramStart"/>
            <w:r>
              <w:t>provide</w:t>
            </w:r>
            <w:proofErr w:type="gramEnd"/>
            <w:r>
              <w:t xml:space="preserve"> information on the likely price Australian dollars (GST Exclusive) at which your company would offer the products under NBA supply arrangements for supply from 1 July 2017.  Please also indicate the basis for price increases over time that your company would be likely to propose.  Please indicate whether any ancillary equipment is included in this price.</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Pr="0027483E"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Pr="0027483E" w:rsidRDefault="00452030" w:rsidP="003F5243">
            <w:pPr>
              <w:pStyle w:val="ListParagraph"/>
              <w:keepNext/>
              <w:ind w:left="0"/>
            </w:pPr>
            <w:r>
              <w:t>E4.3. More generally, what contract features, or overall aspects of the supply arrangements, would tend to reduce the price under which your company would be willing to supply, and why?</w:t>
            </w:r>
          </w:p>
        </w:tc>
      </w:tr>
      <w:tr w:rsidR="00452030" w:rsidTr="003F5243">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452030" w:rsidP="003F5243">
            <w:pPr>
              <w:pStyle w:val="ListParagraph"/>
              <w:ind w:left="0"/>
            </w:pPr>
            <w:r>
              <w:t>E4.4. What contract features, or overall aspects of the supply arrangements, would tend to increase the price under which your company would be willing to supply, and why?</w:t>
            </w:r>
          </w:p>
        </w:tc>
      </w:tr>
      <w:tr w:rsidR="00452030" w:rsidTr="003F5243">
        <w:trPr>
          <w:cantSplit/>
          <w:trHeight w:val="2022"/>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p w:rsidR="00452030" w:rsidRDefault="00452030" w:rsidP="003F5243">
            <w:pPr>
              <w:pStyle w:val="ListParagraph"/>
              <w:ind w:left="0"/>
            </w:pPr>
          </w:p>
        </w:tc>
      </w:tr>
      <w:tr w:rsidR="00C54F21" w:rsidTr="00145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C54F21" w:rsidRDefault="00C54F21" w:rsidP="001455C0">
            <w:pPr>
              <w:pStyle w:val="ListParagraph"/>
              <w:numPr>
                <w:ilvl w:val="0"/>
                <w:numId w:val="21"/>
              </w:numPr>
            </w:pPr>
            <w:r>
              <w:t>NEW PRODUCTS</w:t>
            </w:r>
          </w:p>
          <w:p w:rsidR="004B5255" w:rsidRPr="00F66ABD" w:rsidRDefault="004B5255" w:rsidP="00460714">
            <w:pPr>
              <w:pStyle w:val="ListParagraph"/>
              <w:ind w:left="0"/>
              <w:rPr>
                <w:b w:val="0"/>
              </w:rPr>
            </w:pPr>
            <w:r>
              <w:t xml:space="preserve">This section relates to new product types or variants of, or direct alternatives for, products covered by this RFI.  </w:t>
            </w:r>
          </w:p>
        </w:tc>
      </w:tr>
      <w:tr w:rsidR="00C54F21" w:rsidTr="001455C0">
        <w:trPr>
          <w:cantSpli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C54F21" w:rsidRPr="00460714" w:rsidRDefault="004B5255" w:rsidP="001455C0">
            <w:pPr>
              <w:pStyle w:val="ListParagraph"/>
              <w:spacing w:after="200"/>
              <w:ind w:left="0"/>
            </w:pPr>
            <w:r>
              <w:t>FI</w:t>
            </w:r>
            <w:r w:rsidR="00C54F21">
              <w:t xml:space="preserve">.  Does your company have any </w:t>
            </w:r>
            <w:r>
              <w:t xml:space="preserve">new </w:t>
            </w:r>
            <w:r w:rsidR="00C54F21">
              <w:t>product</w:t>
            </w:r>
            <w:r w:rsidR="00F66ABD">
              <w:t>s</w:t>
            </w:r>
            <w:r w:rsidR="00C54F21">
              <w:t xml:space="preserve"> in development (preclinical development or phase I, II and III clinical trials anywhere in the world), or in supply overseas but not yet in Australia, which </w:t>
            </w:r>
            <w:r w:rsidR="00C54F21" w:rsidRPr="004B5255">
              <w:t>may be registered and available for supply in Australia over the next six years?</w:t>
            </w:r>
          </w:p>
          <w:p w:rsidR="00C54F21" w:rsidRPr="00F66ABD" w:rsidRDefault="00C54F21" w:rsidP="001455C0">
            <w:pPr>
              <w:pStyle w:val="ListParagraph"/>
              <w:ind w:left="0"/>
            </w:pPr>
          </w:p>
          <w:p w:rsidR="00C54F21" w:rsidRPr="002B0AA6" w:rsidRDefault="00C54F21" w:rsidP="001455C0">
            <w:pPr>
              <w:pStyle w:val="ListParagraph"/>
              <w:ind w:left="0"/>
              <w:rPr>
                <w:i/>
              </w:rPr>
            </w:pPr>
            <w:r w:rsidRPr="00460714">
              <w:t>Please provide details of the product</w:t>
            </w:r>
            <w:r w:rsidR="00F66ABD">
              <w:t>s</w:t>
            </w:r>
            <w:r w:rsidRPr="00460714">
              <w:t xml:space="preserve"> and planned timetable to register in Australia.  If you have no plans to register in Australia, please explain why not.</w:t>
            </w:r>
          </w:p>
        </w:tc>
      </w:tr>
      <w:tr w:rsidR="004B5255" w:rsidTr="001455C0">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p w:rsidR="004B5255" w:rsidRDefault="004B5255" w:rsidP="001455C0">
            <w:pPr>
              <w:pStyle w:val="ListParagraph"/>
              <w:ind w:left="0"/>
            </w:pPr>
          </w:p>
        </w:tc>
      </w:tr>
      <w:tr w:rsidR="002F5D3D" w:rsidTr="00145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2F5D3D" w:rsidRPr="0027483E" w:rsidRDefault="00F66ABD" w:rsidP="001455C0">
            <w:pPr>
              <w:pStyle w:val="ListParagraph"/>
              <w:keepNext/>
              <w:ind w:left="0"/>
            </w:pPr>
            <w:r>
              <w:t>F2.  What is the intended use of the new products?  What might be the variability in how the products might be used in practice?</w:t>
            </w:r>
          </w:p>
        </w:tc>
      </w:tr>
      <w:tr w:rsidR="002F5D3D" w:rsidTr="001455C0">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tc>
      </w:tr>
      <w:tr w:rsidR="002F5D3D" w:rsidTr="00145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2F5D3D" w:rsidRPr="0027483E" w:rsidRDefault="00F66ABD" w:rsidP="001455C0">
            <w:pPr>
              <w:pStyle w:val="ListParagraph"/>
              <w:keepNext/>
              <w:ind w:left="0"/>
            </w:pPr>
            <w:r>
              <w:t>F3.  What are the potential advantages of the new products?</w:t>
            </w:r>
          </w:p>
        </w:tc>
      </w:tr>
      <w:tr w:rsidR="002F5D3D" w:rsidTr="001455C0">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p w:rsidR="002F5D3D" w:rsidRDefault="002F5D3D" w:rsidP="001455C0">
            <w:pPr>
              <w:pStyle w:val="ListParagraph"/>
              <w:ind w:left="0"/>
            </w:pPr>
          </w:p>
        </w:tc>
      </w:tr>
      <w:tr w:rsidR="00F66ABD" w:rsidTr="00145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F66ABD" w:rsidRPr="00460714" w:rsidRDefault="00F66ABD" w:rsidP="00460714">
            <w:pPr>
              <w:pStyle w:val="ListParagraph"/>
              <w:keepNext/>
              <w:tabs>
                <w:tab w:val="left" w:pos="6111"/>
              </w:tabs>
              <w:ind w:left="0"/>
            </w:pPr>
            <w:r w:rsidRPr="00F66ABD">
              <w:t>F</w:t>
            </w:r>
            <w:r>
              <w:t>4</w:t>
            </w:r>
            <w:r w:rsidRPr="00F66ABD">
              <w:t xml:space="preserve">.  </w:t>
            </w:r>
            <w:r w:rsidRPr="00F66ABD">
              <w:rPr>
                <w:rFonts w:asciiTheme="minorHAnsi" w:hAnsiTheme="minorHAnsi" w:cstheme="minorHAnsi"/>
              </w:rPr>
              <w:t xml:space="preserve">Are there </w:t>
            </w:r>
            <w:r>
              <w:rPr>
                <w:rFonts w:asciiTheme="minorHAnsi" w:hAnsiTheme="minorHAnsi" w:cstheme="minorHAnsi"/>
              </w:rPr>
              <w:t>potential</w:t>
            </w:r>
            <w:r w:rsidRPr="00F66ABD">
              <w:rPr>
                <w:rFonts w:asciiTheme="minorHAnsi" w:hAnsiTheme="minorHAnsi" w:cstheme="minorHAnsi"/>
              </w:rPr>
              <w:t xml:space="preserve"> disadvantages or limitations of the new products?</w:t>
            </w:r>
            <w:r w:rsidRPr="00F66ABD">
              <w:tab/>
            </w:r>
          </w:p>
        </w:tc>
      </w:tr>
      <w:tr w:rsidR="00F66ABD" w:rsidTr="001455C0">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tc>
      </w:tr>
      <w:tr w:rsidR="00F66ABD" w:rsidTr="00145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F66ABD" w:rsidRPr="0027483E" w:rsidRDefault="00F66ABD" w:rsidP="00F66ABD">
            <w:pPr>
              <w:pStyle w:val="ListParagraph"/>
              <w:keepNext/>
              <w:ind w:left="0"/>
            </w:pPr>
            <w:r>
              <w:t xml:space="preserve">F5.  What is the price </w:t>
            </w:r>
            <w:r w:rsidR="00460714">
              <w:t xml:space="preserve">per unit </w:t>
            </w:r>
            <w:r>
              <w:t>of the new products in overseas markets?</w:t>
            </w:r>
            <w:r>
              <w:br/>
              <w:t>What is the likely price</w:t>
            </w:r>
            <w:r w:rsidR="00460714">
              <w:t xml:space="preserve"> per unit</w:t>
            </w:r>
            <w:r>
              <w:t xml:space="preserve"> of the new products if introduced in Australia</w:t>
            </w:r>
            <w:r w:rsidR="00460714">
              <w:t xml:space="preserve"> (in Australian dollars)</w:t>
            </w:r>
            <w:r>
              <w:t>?</w:t>
            </w:r>
            <w:r>
              <w:br/>
              <w:t>How might the new products affect the cost of treatment compared to current products?</w:t>
            </w:r>
          </w:p>
        </w:tc>
      </w:tr>
      <w:tr w:rsidR="00F66ABD" w:rsidTr="001455C0">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tc>
      </w:tr>
      <w:tr w:rsidR="00F66ABD" w:rsidRPr="00F66ABD" w:rsidTr="00145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F66ABD" w:rsidRPr="00460714" w:rsidRDefault="00F66ABD" w:rsidP="001455C0">
            <w:pPr>
              <w:pStyle w:val="ListParagraph"/>
              <w:keepNext/>
              <w:spacing w:after="200"/>
              <w:ind w:left="0"/>
            </w:pPr>
            <w:r w:rsidRPr="00F66ABD">
              <w:t xml:space="preserve">F6.  </w:t>
            </w:r>
            <w:r w:rsidRPr="00F66ABD">
              <w:rPr>
                <w:rFonts w:asciiTheme="minorHAnsi" w:hAnsiTheme="minorHAnsi" w:cstheme="minorHAnsi"/>
              </w:rPr>
              <w:t>Please provide any additional information or views about the new products that may be useful for NBA forward planning</w:t>
            </w:r>
          </w:p>
        </w:tc>
      </w:tr>
      <w:tr w:rsidR="00F66ABD" w:rsidTr="001455C0">
        <w:trPr>
          <w:cantSplit/>
          <w:trHeight w:val="2268"/>
        </w:trPr>
        <w:tc>
          <w:tcPr>
            <w:cnfStyle w:val="001000000000" w:firstRow="0" w:lastRow="0" w:firstColumn="1" w:lastColumn="0" w:oddVBand="0" w:evenVBand="0" w:oddHBand="0" w:evenHBand="0" w:firstRowFirstColumn="0" w:firstRowLastColumn="0" w:lastRowFirstColumn="0" w:lastRowLastColumn="0"/>
            <w:tcW w:w="5000" w:type="pct"/>
            <w:gridSpan w:val="2"/>
          </w:tcPr>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p w:rsidR="00F66ABD" w:rsidRDefault="00F66ABD" w:rsidP="001455C0">
            <w:pPr>
              <w:pStyle w:val="ListParagraph"/>
              <w:ind w:left="0"/>
            </w:pP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D050"/>
          </w:tcPr>
          <w:p w:rsidR="00452030" w:rsidRDefault="00452030" w:rsidP="00460714">
            <w:pPr>
              <w:pStyle w:val="ListParagraph"/>
              <w:keepNext/>
              <w:numPr>
                <w:ilvl w:val="0"/>
                <w:numId w:val="21"/>
              </w:numPr>
              <w:rPr>
                <w:b w:val="0"/>
              </w:rPr>
            </w:pPr>
            <w:r w:rsidRPr="003A2A58">
              <w:t>ADDITIONAL INFORMATION</w:t>
            </w:r>
          </w:p>
        </w:tc>
      </w:tr>
      <w:tr w:rsidR="00452030" w:rsidTr="003F524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452030" w:rsidRDefault="00C54F21" w:rsidP="00460714">
            <w:pPr>
              <w:keepNext/>
              <w:rPr>
                <w:b w:val="0"/>
              </w:rPr>
            </w:pPr>
            <w:r>
              <w:t>G</w:t>
            </w:r>
            <w:r w:rsidR="00452030">
              <w:t>1. Do you have any additional comments or suggestions you would like to make in relation to the current or potential future imported plasma and recombinant arrangements and/or products, including feedback on or possible improvements to the NBA tender or consultation process?</w:t>
            </w:r>
          </w:p>
        </w:tc>
      </w:tr>
      <w:tr w:rsidR="00452030" w:rsidTr="003F5243">
        <w:trPr>
          <w:cantSplit/>
          <w:trHeight w:val="2849"/>
        </w:trPr>
        <w:tc>
          <w:tcPr>
            <w:cnfStyle w:val="001000000000" w:firstRow="0" w:lastRow="0" w:firstColumn="1" w:lastColumn="0" w:oddVBand="0" w:evenVBand="0" w:oddHBand="0" w:evenHBand="0" w:firstRowFirstColumn="0" w:firstRowLastColumn="0" w:lastRowFirstColumn="0" w:lastRowLastColumn="0"/>
            <w:tcW w:w="5000" w:type="pct"/>
            <w:gridSpan w:val="2"/>
          </w:tcPr>
          <w:p w:rsidR="00452030" w:rsidRDefault="00452030" w:rsidP="003F5243">
            <w:pPr>
              <w:pStyle w:val="ListParagraph"/>
              <w:ind w:left="360"/>
            </w:pPr>
          </w:p>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Default="00452030" w:rsidP="003F5243"/>
          <w:p w:rsidR="00452030" w:rsidRPr="005E6B3A" w:rsidRDefault="00452030" w:rsidP="003F5243"/>
        </w:tc>
      </w:tr>
    </w:tbl>
    <w:p w:rsidR="00452030" w:rsidRDefault="00452030" w:rsidP="00452030">
      <w:pPr>
        <w:spacing w:line="276" w:lineRule="auto"/>
        <w:rPr>
          <w:rFonts w:eastAsia="HYGothic-Extra"/>
          <w:bCs/>
          <w:color w:val="1E1E1E"/>
          <w:spacing w:val="-20"/>
          <w:sz w:val="56"/>
          <w:szCs w:val="72"/>
        </w:rPr>
      </w:pPr>
    </w:p>
    <w:p w:rsidR="002B2CD6" w:rsidRDefault="002B2CD6" w:rsidP="00452030">
      <w:pPr>
        <w:pStyle w:val="Heading1"/>
        <w:rPr>
          <w:bCs w:val="0"/>
        </w:rPr>
      </w:pPr>
    </w:p>
    <w:sectPr w:rsidR="002B2CD6" w:rsidSect="003A2A58">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AA" w:rsidRDefault="00BC79AA" w:rsidP="00856708">
      <w:pPr>
        <w:spacing w:after="0"/>
      </w:pPr>
      <w:r>
        <w:separator/>
      </w:r>
    </w:p>
  </w:endnote>
  <w:endnote w:type="continuationSeparator" w:id="0">
    <w:p w:rsidR="00BC79AA" w:rsidRDefault="00BC79A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7A" w:rsidRDefault="009E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A" w:rsidRPr="002B2CD6" w:rsidRDefault="00BC79AA" w:rsidP="002B2CD6">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85031">
      <w:rPr>
        <w:noProof/>
        <w:sz w:val="20"/>
        <w:szCs w:val="20"/>
      </w:rPr>
      <w:t>2</w:t>
    </w:r>
    <w:r w:rsidRPr="00856708">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7A" w:rsidRDefault="009E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AA" w:rsidRDefault="00BC79AA" w:rsidP="00856708">
      <w:pPr>
        <w:spacing w:after="0"/>
      </w:pPr>
      <w:r>
        <w:separator/>
      </w:r>
    </w:p>
  </w:footnote>
  <w:footnote w:type="continuationSeparator" w:id="0">
    <w:p w:rsidR="00BC79AA" w:rsidRDefault="00BC79A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7A" w:rsidRDefault="009E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7A" w:rsidRDefault="009E7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7A" w:rsidRDefault="009E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C5"/>
    <w:multiLevelType w:val="hybridMultilevel"/>
    <w:tmpl w:val="2EFA835C"/>
    <w:lvl w:ilvl="0" w:tplc="0C090019">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D26B1"/>
    <w:multiLevelType w:val="hybridMultilevel"/>
    <w:tmpl w:val="41164E26"/>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66C01"/>
    <w:multiLevelType w:val="hybridMultilevel"/>
    <w:tmpl w:val="873462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836CE4"/>
    <w:multiLevelType w:val="hybridMultilevel"/>
    <w:tmpl w:val="7792C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C7632"/>
    <w:multiLevelType w:val="hybridMultilevel"/>
    <w:tmpl w:val="727C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792FB7"/>
    <w:multiLevelType w:val="hybridMultilevel"/>
    <w:tmpl w:val="98DEF7BC"/>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2A052F"/>
    <w:multiLevelType w:val="hybridMultilevel"/>
    <w:tmpl w:val="F894E824"/>
    <w:lvl w:ilvl="0" w:tplc="DA3E38AC">
      <w:start w:val="1"/>
      <w:numFmt w:val="bullet"/>
      <w:lvlText w:val="&gt;"/>
      <w:lvlJc w:val="left"/>
      <w:pPr>
        <w:ind w:left="720" w:hanging="360"/>
      </w:pPr>
      <w:rPr>
        <w:rFonts w:ascii="Calibri" w:hAnsi="Calibri" w:hint="default"/>
        <w:b/>
        <w:i w:val="0"/>
        <w:color w:val="BCBDBC"/>
        <w:sz w:val="22"/>
      </w:rPr>
    </w:lvl>
    <w:lvl w:ilvl="1" w:tplc="DA3E38AC">
      <w:start w:val="1"/>
      <w:numFmt w:val="bullet"/>
      <w:lvlText w:val="&gt;"/>
      <w:lvlJc w:val="left"/>
      <w:pPr>
        <w:ind w:left="1800" w:hanging="720"/>
      </w:pPr>
      <w:rPr>
        <w:rFonts w:ascii="Calibri" w:hAnsi="Calibri" w:hint="default"/>
        <w:b/>
        <w:i w:val="0"/>
        <w:color w:val="BCBDBC"/>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C07A92"/>
    <w:multiLevelType w:val="hybridMultilevel"/>
    <w:tmpl w:val="30DCB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EF4527"/>
    <w:multiLevelType w:val="hybridMultilevel"/>
    <w:tmpl w:val="3FB8D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5A4EE4"/>
    <w:multiLevelType w:val="hybridMultilevel"/>
    <w:tmpl w:val="86A84FB6"/>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D006DD"/>
    <w:multiLevelType w:val="hybridMultilevel"/>
    <w:tmpl w:val="5EA079C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1284339"/>
    <w:multiLevelType w:val="hybridMultilevel"/>
    <w:tmpl w:val="643E2D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9E15CBA"/>
    <w:multiLevelType w:val="hybridMultilevel"/>
    <w:tmpl w:val="270A03BA"/>
    <w:lvl w:ilvl="0" w:tplc="DA3E38AC">
      <w:start w:val="1"/>
      <w:numFmt w:val="bullet"/>
      <w:lvlText w:val="&gt;"/>
      <w:lvlJc w:val="left"/>
      <w:pPr>
        <w:ind w:left="720" w:hanging="360"/>
      </w:pPr>
      <w:rPr>
        <w:rFonts w:ascii="Calibri" w:hAnsi="Calibri" w:hint="default"/>
        <w:b/>
        <w:i w:val="0"/>
        <w:color w:val="BCBDBC"/>
        <w:sz w:val="22"/>
      </w:rPr>
    </w:lvl>
    <w:lvl w:ilvl="1" w:tplc="C426918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E611DC"/>
    <w:multiLevelType w:val="hybridMultilevel"/>
    <w:tmpl w:val="99BC4396"/>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6C7704"/>
    <w:multiLevelType w:val="hybridMultilevel"/>
    <w:tmpl w:val="5E0695D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09C16B1"/>
    <w:multiLevelType w:val="hybridMultilevel"/>
    <w:tmpl w:val="8A264A82"/>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2330A2D"/>
    <w:multiLevelType w:val="hybridMultilevel"/>
    <w:tmpl w:val="FD846612"/>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166A63"/>
    <w:multiLevelType w:val="hybridMultilevel"/>
    <w:tmpl w:val="E80EE88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9B755CC"/>
    <w:multiLevelType w:val="hybridMultilevel"/>
    <w:tmpl w:val="88FE1C1E"/>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7737CE"/>
    <w:multiLevelType w:val="hybridMultilevel"/>
    <w:tmpl w:val="1D42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FB6B60"/>
    <w:multiLevelType w:val="hybridMultilevel"/>
    <w:tmpl w:val="177A0C3E"/>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9F07DE"/>
    <w:multiLevelType w:val="hybridMultilevel"/>
    <w:tmpl w:val="E3E6B246"/>
    <w:lvl w:ilvl="0" w:tplc="DA3E38AC">
      <w:start w:val="1"/>
      <w:numFmt w:val="bullet"/>
      <w:lvlText w:val="&gt;"/>
      <w:lvlJc w:val="left"/>
      <w:pPr>
        <w:ind w:left="360" w:hanging="360"/>
      </w:pPr>
      <w:rPr>
        <w:rFonts w:ascii="Calibri" w:hAnsi="Calibri" w:hint="default"/>
        <w:b/>
        <w:i w:val="0"/>
        <w:color w:val="BCBD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BE421B8"/>
    <w:multiLevelType w:val="hybridMultilevel"/>
    <w:tmpl w:val="6D084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CC663A"/>
    <w:multiLevelType w:val="hybridMultilevel"/>
    <w:tmpl w:val="C42A0AEE"/>
    <w:lvl w:ilvl="0" w:tplc="DA3E38AC">
      <w:start w:val="1"/>
      <w:numFmt w:val="bullet"/>
      <w:lvlText w:val="&gt;"/>
      <w:lvlJc w:val="left"/>
      <w:pPr>
        <w:ind w:left="720" w:hanging="360"/>
      </w:pPr>
      <w:rPr>
        <w:rFonts w:ascii="Calibri" w:hAnsi="Calibri" w:hint="default"/>
        <w:b/>
        <w:i w:val="0"/>
        <w:color w:val="BCBDBC"/>
        <w:sz w:val="22"/>
      </w:rPr>
    </w:lvl>
    <w:lvl w:ilvl="1" w:tplc="AAD8A3AA">
      <w:start w:val="11"/>
      <w:numFmt w:val="bullet"/>
      <w:lvlText w:val="•"/>
      <w:lvlJc w:val="left"/>
      <w:pPr>
        <w:ind w:left="1800" w:hanging="720"/>
      </w:pPr>
      <w:rPr>
        <w:rFonts w:ascii="Calibri" w:eastAsia="Dotum"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B875ED"/>
    <w:multiLevelType w:val="hybridMultilevel"/>
    <w:tmpl w:val="96FCA714"/>
    <w:lvl w:ilvl="0" w:tplc="0C09000F">
      <w:start w:val="1"/>
      <w:numFmt w:val="decimal"/>
      <w:lvlText w:val="%1."/>
      <w:lvlJc w:val="left"/>
      <w:pPr>
        <w:ind w:left="360" w:hanging="360"/>
      </w:pPr>
    </w:lvl>
    <w:lvl w:ilvl="1" w:tplc="04045306">
      <w:start w:val="5"/>
      <w:numFmt w:val="bullet"/>
      <w:lvlText w:val="•"/>
      <w:lvlJc w:val="left"/>
      <w:pPr>
        <w:ind w:left="1440" w:hanging="720"/>
      </w:pPr>
      <w:rPr>
        <w:rFonts w:ascii="Calibri" w:eastAsia="Dotum" w:hAnsi="Calibri" w:cs="Calibri" w:hint="default"/>
      </w:rPr>
    </w:lvl>
    <w:lvl w:ilvl="2" w:tplc="43044D00">
      <w:start w:val="5"/>
      <w:numFmt w:val="bullet"/>
      <w:lvlText w:val=""/>
      <w:lvlJc w:val="left"/>
      <w:pPr>
        <w:ind w:left="2340" w:hanging="720"/>
      </w:pPr>
      <w:rPr>
        <w:rFonts w:ascii="Symbol" w:eastAsia="Dotum" w:hAnsi="Symbol"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8AC4ED1"/>
    <w:multiLevelType w:val="hybridMultilevel"/>
    <w:tmpl w:val="455C3D66"/>
    <w:lvl w:ilvl="0" w:tplc="F8B2693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3F0F1A"/>
    <w:multiLevelType w:val="hybridMultilevel"/>
    <w:tmpl w:val="58B0E8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F6176DA"/>
    <w:multiLevelType w:val="hybridMultilevel"/>
    <w:tmpl w:val="D5CCACCE"/>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4"/>
  </w:num>
  <w:num w:numId="4">
    <w:abstractNumId w:val="25"/>
  </w:num>
  <w:num w:numId="5">
    <w:abstractNumId w:val="28"/>
  </w:num>
  <w:num w:numId="6">
    <w:abstractNumId w:val="13"/>
  </w:num>
  <w:num w:numId="7">
    <w:abstractNumId w:val="17"/>
  </w:num>
  <w:num w:numId="8">
    <w:abstractNumId w:val="22"/>
  </w:num>
  <w:num w:numId="9">
    <w:abstractNumId w:val="15"/>
  </w:num>
  <w:num w:numId="10">
    <w:abstractNumId w:val="0"/>
  </w:num>
  <w:num w:numId="11">
    <w:abstractNumId w:val="9"/>
  </w:num>
  <w:num w:numId="12">
    <w:abstractNumId w:val="2"/>
  </w:num>
  <w:num w:numId="13">
    <w:abstractNumId w:val="20"/>
  </w:num>
  <w:num w:numId="14">
    <w:abstractNumId w:val="21"/>
  </w:num>
  <w:num w:numId="15">
    <w:abstractNumId w:val="6"/>
  </w:num>
  <w:num w:numId="16">
    <w:abstractNumId w:val="5"/>
  </w:num>
  <w:num w:numId="17">
    <w:abstractNumId w:val="12"/>
  </w:num>
  <w:num w:numId="18">
    <w:abstractNumId w:val="19"/>
  </w:num>
  <w:num w:numId="19">
    <w:abstractNumId w:val="11"/>
  </w:num>
  <w:num w:numId="20">
    <w:abstractNumId w:val="14"/>
  </w:num>
  <w:num w:numId="21">
    <w:abstractNumId w:val="10"/>
  </w:num>
  <w:num w:numId="22">
    <w:abstractNumId w:val="18"/>
  </w:num>
  <w:num w:numId="23">
    <w:abstractNumId w:val="8"/>
  </w:num>
  <w:num w:numId="24">
    <w:abstractNumId w:val="3"/>
  </w:num>
  <w:num w:numId="25">
    <w:abstractNumId w:val="4"/>
  </w:num>
  <w:num w:numId="26">
    <w:abstractNumId w:val="27"/>
  </w:num>
  <w:num w:numId="27">
    <w:abstractNumId w:val="26"/>
  </w:num>
  <w:num w:numId="28">
    <w:abstractNumId w:val="23"/>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4A"/>
    <w:rsid w:val="00036EDC"/>
    <w:rsid w:val="00047E0C"/>
    <w:rsid w:val="000878D1"/>
    <w:rsid w:val="000932AB"/>
    <w:rsid w:val="0009487E"/>
    <w:rsid w:val="000C02E8"/>
    <w:rsid w:val="000F1558"/>
    <w:rsid w:val="001103C7"/>
    <w:rsid w:val="00110D83"/>
    <w:rsid w:val="0011600F"/>
    <w:rsid w:val="001737E1"/>
    <w:rsid w:val="00177EEF"/>
    <w:rsid w:val="00180929"/>
    <w:rsid w:val="00194E01"/>
    <w:rsid w:val="001A2952"/>
    <w:rsid w:val="001D4FE1"/>
    <w:rsid w:val="001F6B24"/>
    <w:rsid w:val="00241CA6"/>
    <w:rsid w:val="002537F2"/>
    <w:rsid w:val="00291F78"/>
    <w:rsid w:val="00295CD3"/>
    <w:rsid w:val="00296724"/>
    <w:rsid w:val="002B2CD6"/>
    <w:rsid w:val="002F5440"/>
    <w:rsid w:val="002F5D3D"/>
    <w:rsid w:val="002F6395"/>
    <w:rsid w:val="00307F52"/>
    <w:rsid w:val="00324D67"/>
    <w:rsid w:val="00357C33"/>
    <w:rsid w:val="00386330"/>
    <w:rsid w:val="00387D34"/>
    <w:rsid w:val="003A2A58"/>
    <w:rsid w:val="003A5131"/>
    <w:rsid w:val="003F0EDF"/>
    <w:rsid w:val="003F63CC"/>
    <w:rsid w:val="00414083"/>
    <w:rsid w:val="00416F70"/>
    <w:rsid w:val="004473AB"/>
    <w:rsid w:val="00452030"/>
    <w:rsid w:val="00460714"/>
    <w:rsid w:val="00473EB7"/>
    <w:rsid w:val="0047524F"/>
    <w:rsid w:val="004B5255"/>
    <w:rsid w:val="004D4636"/>
    <w:rsid w:val="004E093A"/>
    <w:rsid w:val="004E4C41"/>
    <w:rsid w:val="004F1057"/>
    <w:rsid w:val="004F169B"/>
    <w:rsid w:val="005045D2"/>
    <w:rsid w:val="00514407"/>
    <w:rsid w:val="005179A9"/>
    <w:rsid w:val="00534DFC"/>
    <w:rsid w:val="0053637F"/>
    <w:rsid w:val="005413F5"/>
    <w:rsid w:val="005531F6"/>
    <w:rsid w:val="00570E68"/>
    <w:rsid w:val="00583543"/>
    <w:rsid w:val="005C3A0D"/>
    <w:rsid w:val="005D6D89"/>
    <w:rsid w:val="005E0D66"/>
    <w:rsid w:val="005E6B3A"/>
    <w:rsid w:val="006036CA"/>
    <w:rsid w:val="00605CAE"/>
    <w:rsid w:val="00614FEB"/>
    <w:rsid w:val="006160C8"/>
    <w:rsid w:val="006314FD"/>
    <w:rsid w:val="00633723"/>
    <w:rsid w:val="0067275B"/>
    <w:rsid w:val="006A30B8"/>
    <w:rsid w:val="006C07C2"/>
    <w:rsid w:val="006C2F74"/>
    <w:rsid w:val="006E562B"/>
    <w:rsid w:val="006E571D"/>
    <w:rsid w:val="006F1F5C"/>
    <w:rsid w:val="00750F0E"/>
    <w:rsid w:val="007803C1"/>
    <w:rsid w:val="00780D02"/>
    <w:rsid w:val="00785031"/>
    <w:rsid w:val="007A033E"/>
    <w:rsid w:val="007B5944"/>
    <w:rsid w:val="0081516F"/>
    <w:rsid w:val="00816CFB"/>
    <w:rsid w:val="008523FC"/>
    <w:rsid w:val="00856708"/>
    <w:rsid w:val="008570DC"/>
    <w:rsid w:val="00866B4A"/>
    <w:rsid w:val="00875F37"/>
    <w:rsid w:val="00887BDE"/>
    <w:rsid w:val="00893E0A"/>
    <w:rsid w:val="008A2DDA"/>
    <w:rsid w:val="008C221B"/>
    <w:rsid w:val="008D0A65"/>
    <w:rsid w:val="008D2EB5"/>
    <w:rsid w:val="008D683E"/>
    <w:rsid w:val="008E5B85"/>
    <w:rsid w:val="008E6409"/>
    <w:rsid w:val="008F44DA"/>
    <w:rsid w:val="00934E26"/>
    <w:rsid w:val="00944FD1"/>
    <w:rsid w:val="009518CD"/>
    <w:rsid w:val="00951B85"/>
    <w:rsid w:val="009633A4"/>
    <w:rsid w:val="0098261C"/>
    <w:rsid w:val="00996841"/>
    <w:rsid w:val="009B24C3"/>
    <w:rsid w:val="009E38CC"/>
    <w:rsid w:val="009E757A"/>
    <w:rsid w:val="00A0335B"/>
    <w:rsid w:val="00A125E8"/>
    <w:rsid w:val="00A14E70"/>
    <w:rsid w:val="00A16CC8"/>
    <w:rsid w:val="00A322C3"/>
    <w:rsid w:val="00A354B2"/>
    <w:rsid w:val="00A60BFF"/>
    <w:rsid w:val="00A77E8A"/>
    <w:rsid w:val="00A8455A"/>
    <w:rsid w:val="00A91C6A"/>
    <w:rsid w:val="00A9700A"/>
    <w:rsid w:val="00AD4B31"/>
    <w:rsid w:val="00B004F2"/>
    <w:rsid w:val="00B027CC"/>
    <w:rsid w:val="00B07965"/>
    <w:rsid w:val="00B07EDC"/>
    <w:rsid w:val="00B10086"/>
    <w:rsid w:val="00B2613F"/>
    <w:rsid w:val="00B3726E"/>
    <w:rsid w:val="00B379BC"/>
    <w:rsid w:val="00B4143E"/>
    <w:rsid w:val="00B8533F"/>
    <w:rsid w:val="00B87ADE"/>
    <w:rsid w:val="00B9161D"/>
    <w:rsid w:val="00B91F24"/>
    <w:rsid w:val="00BA44E6"/>
    <w:rsid w:val="00BC79AA"/>
    <w:rsid w:val="00BD4BE4"/>
    <w:rsid w:val="00C168FA"/>
    <w:rsid w:val="00C36077"/>
    <w:rsid w:val="00C474DC"/>
    <w:rsid w:val="00C54F21"/>
    <w:rsid w:val="00C55F8C"/>
    <w:rsid w:val="00CB2CA1"/>
    <w:rsid w:val="00CE2701"/>
    <w:rsid w:val="00CF1DB6"/>
    <w:rsid w:val="00D042BE"/>
    <w:rsid w:val="00D14D2C"/>
    <w:rsid w:val="00D93B25"/>
    <w:rsid w:val="00E00EBF"/>
    <w:rsid w:val="00E07086"/>
    <w:rsid w:val="00E16750"/>
    <w:rsid w:val="00E3396C"/>
    <w:rsid w:val="00E40C04"/>
    <w:rsid w:val="00E4631E"/>
    <w:rsid w:val="00E62889"/>
    <w:rsid w:val="00E916CD"/>
    <w:rsid w:val="00EA5F4A"/>
    <w:rsid w:val="00EF3DAC"/>
    <w:rsid w:val="00F16011"/>
    <w:rsid w:val="00F16C04"/>
    <w:rsid w:val="00F27C41"/>
    <w:rsid w:val="00F66ABD"/>
    <w:rsid w:val="00F679ED"/>
    <w:rsid w:val="00F83275"/>
    <w:rsid w:val="00F9065F"/>
    <w:rsid w:val="00FD1A08"/>
    <w:rsid w:val="00FE5AC8"/>
    <w:rsid w:val="00FE7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8A"/>
    <w:pPr>
      <w:spacing w:line="240" w:lineRule="auto"/>
    </w:pPr>
    <w:rPr>
      <w:rFonts w:ascii="Calibri" w:eastAsia="Dotum" w:hAnsi="Calibri" w:cs="Calibri"/>
    </w:rPr>
  </w:style>
  <w:style w:type="paragraph" w:styleId="Heading1">
    <w:name w:val="heading 1"/>
    <w:next w:val="Normal"/>
    <w:link w:val="Heading1Char"/>
    <w:uiPriority w:val="9"/>
    <w:qFormat/>
    <w:rsid w:val="00816CFB"/>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816CFB"/>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next w:val="Normal"/>
    <w:rsid w:val="002537F2"/>
    <w:pPr>
      <w:ind w:left="1276" w:right="416"/>
    </w:pPr>
    <w:rPr>
      <w:rFonts w:ascii="Arial" w:hAnsi="Arial" w:cs="Arial"/>
      <w:color w:val="FFFFFF" w:themeColor="background1"/>
      <w:sz w:val="72"/>
      <w:szCs w:val="72"/>
    </w:rPr>
  </w:style>
  <w:style w:type="character" w:customStyle="1" w:styleId="Heading1Char">
    <w:name w:val="Heading 1 Char"/>
    <w:basedOn w:val="DefaultParagraphFont"/>
    <w:link w:val="Heading1"/>
    <w:uiPriority w:val="9"/>
    <w:rsid w:val="00816CFB"/>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816CFB"/>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09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0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CA"/>
    <w:rPr>
      <w:rFonts w:ascii="Tahoma" w:eastAsia="Dotum" w:hAnsi="Tahoma" w:cs="Tahoma"/>
      <w:sz w:val="16"/>
      <w:szCs w:val="16"/>
    </w:rPr>
  </w:style>
  <w:style w:type="paragraph" w:styleId="NoSpacing">
    <w:name w:val="No Spacing"/>
    <w:uiPriority w:val="1"/>
    <w:qFormat/>
    <w:rsid w:val="006036CA"/>
    <w:pPr>
      <w:spacing w:after="0" w:line="240" w:lineRule="auto"/>
    </w:pPr>
    <w:rPr>
      <w:rFonts w:ascii="Calibri" w:eastAsia="Dotum" w:hAnsi="Calibri" w:cs="Calibri"/>
    </w:rPr>
  </w:style>
  <w:style w:type="paragraph" w:styleId="Caption">
    <w:name w:val="caption"/>
    <w:basedOn w:val="Normal"/>
    <w:next w:val="Normal"/>
    <w:uiPriority w:val="35"/>
    <w:unhideWhenUsed/>
    <w:qFormat/>
    <w:rsid w:val="00780D02"/>
    <w:rPr>
      <w:b/>
      <w:bCs/>
      <w:color w:val="404040" w:themeColor="text1" w:themeTint="BF"/>
      <w:sz w:val="20"/>
      <w:szCs w:val="18"/>
    </w:rPr>
  </w:style>
  <w:style w:type="character" w:styleId="Hyperlink">
    <w:name w:val="Hyperlink"/>
    <w:basedOn w:val="DefaultParagraphFont"/>
    <w:uiPriority w:val="99"/>
    <w:unhideWhenUsed/>
    <w:rsid w:val="00B004F2"/>
    <w:rPr>
      <w:color w:val="0000FF" w:themeColor="hyperlink"/>
      <w:u w:val="single"/>
    </w:rPr>
  </w:style>
  <w:style w:type="table" w:customStyle="1" w:styleId="TableGrid1">
    <w:name w:val="Table Grid1"/>
    <w:basedOn w:val="TableNormal"/>
    <w:next w:val="TableGrid"/>
    <w:uiPriority w:val="59"/>
    <w:rsid w:val="00A7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OC1">
    <w:name w:val="toc 1"/>
    <w:basedOn w:val="Normal"/>
    <w:next w:val="Normal"/>
    <w:autoRedefine/>
    <w:uiPriority w:val="39"/>
    <w:unhideWhenUsed/>
    <w:rsid w:val="002B2CD6"/>
    <w:pPr>
      <w:spacing w:after="100"/>
    </w:pPr>
  </w:style>
  <w:style w:type="paragraph" w:styleId="TOC2">
    <w:name w:val="toc 2"/>
    <w:basedOn w:val="Normal"/>
    <w:next w:val="Normal"/>
    <w:autoRedefine/>
    <w:uiPriority w:val="39"/>
    <w:unhideWhenUsed/>
    <w:rsid w:val="002B2CD6"/>
    <w:pPr>
      <w:spacing w:after="100"/>
      <w:ind w:left="220"/>
    </w:pPr>
  </w:style>
  <w:style w:type="paragraph" w:styleId="TOC3">
    <w:name w:val="toc 3"/>
    <w:basedOn w:val="Normal"/>
    <w:next w:val="Normal"/>
    <w:autoRedefine/>
    <w:uiPriority w:val="39"/>
    <w:unhideWhenUsed/>
    <w:rsid w:val="002B2C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8A"/>
    <w:pPr>
      <w:spacing w:line="240" w:lineRule="auto"/>
    </w:pPr>
    <w:rPr>
      <w:rFonts w:ascii="Calibri" w:eastAsia="Dotum" w:hAnsi="Calibri" w:cs="Calibri"/>
    </w:rPr>
  </w:style>
  <w:style w:type="paragraph" w:styleId="Heading1">
    <w:name w:val="heading 1"/>
    <w:next w:val="Normal"/>
    <w:link w:val="Heading1Char"/>
    <w:uiPriority w:val="9"/>
    <w:qFormat/>
    <w:rsid w:val="00816CFB"/>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816CFB"/>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next w:val="Normal"/>
    <w:rsid w:val="002537F2"/>
    <w:pPr>
      <w:ind w:left="1276" w:right="416"/>
    </w:pPr>
    <w:rPr>
      <w:rFonts w:ascii="Arial" w:hAnsi="Arial" w:cs="Arial"/>
      <w:color w:val="FFFFFF" w:themeColor="background1"/>
      <w:sz w:val="72"/>
      <w:szCs w:val="72"/>
    </w:rPr>
  </w:style>
  <w:style w:type="character" w:customStyle="1" w:styleId="Heading1Char">
    <w:name w:val="Heading 1 Char"/>
    <w:basedOn w:val="DefaultParagraphFont"/>
    <w:link w:val="Heading1"/>
    <w:uiPriority w:val="9"/>
    <w:rsid w:val="00816CFB"/>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816CFB"/>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09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60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CA"/>
    <w:rPr>
      <w:rFonts w:ascii="Tahoma" w:eastAsia="Dotum" w:hAnsi="Tahoma" w:cs="Tahoma"/>
      <w:sz w:val="16"/>
      <w:szCs w:val="16"/>
    </w:rPr>
  </w:style>
  <w:style w:type="paragraph" w:styleId="NoSpacing">
    <w:name w:val="No Spacing"/>
    <w:uiPriority w:val="1"/>
    <w:qFormat/>
    <w:rsid w:val="006036CA"/>
    <w:pPr>
      <w:spacing w:after="0" w:line="240" w:lineRule="auto"/>
    </w:pPr>
    <w:rPr>
      <w:rFonts w:ascii="Calibri" w:eastAsia="Dotum" w:hAnsi="Calibri" w:cs="Calibri"/>
    </w:rPr>
  </w:style>
  <w:style w:type="paragraph" w:styleId="Caption">
    <w:name w:val="caption"/>
    <w:basedOn w:val="Normal"/>
    <w:next w:val="Normal"/>
    <w:uiPriority w:val="35"/>
    <w:unhideWhenUsed/>
    <w:qFormat/>
    <w:rsid w:val="00780D02"/>
    <w:rPr>
      <w:b/>
      <w:bCs/>
      <w:color w:val="404040" w:themeColor="text1" w:themeTint="BF"/>
      <w:sz w:val="20"/>
      <w:szCs w:val="18"/>
    </w:rPr>
  </w:style>
  <w:style w:type="character" w:styleId="Hyperlink">
    <w:name w:val="Hyperlink"/>
    <w:basedOn w:val="DefaultParagraphFont"/>
    <w:uiPriority w:val="99"/>
    <w:unhideWhenUsed/>
    <w:rsid w:val="00B004F2"/>
    <w:rPr>
      <w:color w:val="0000FF" w:themeColor="hyperlink"/>
      <w:u w:val="single"/>
    </w:rPr>
  </w:style>
  <w:style w:type="table" w:customStyle="1" w:styleId="TableGrid1">
    <w:name w:val="Table Grid1"/>
    <w:basedOn w:val="TableNormal"/>
    <w:next w:val="TableGrid"/>
    <w:uiPriority w:val="59"/>
    <w:rsid w:val="00A7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OC1">
    <w:name w:val="toc 1"/>
    <w:basedOn w:val="Normal"/>
    <w:next w:val="Normal"/>
    <w:autoRedefine/>
    <w:uiPriority w:val="39"/>
    <w:unhideWhenUsed/>
    <w:rsid w:val="002B2CD6"/>
    <w:pPr>
      <w:spacing w:after="100"/>
    </w:pPr>
  </w:style>
  <w:style w:type="paragraph" w:styleId="TOC2">
    <w:name w:val="toc 2"/>
    <w:basedOn w:val="Normal"/>
    <w:next w:val="Normal"/>
    <w:autoRedefine/>
    <w:uiPriority w:val="39"/>
    <w:unhideWhenUsed/>
    <w:rsid w:val="002B2CD6"/>
    <w:pPr>
      <w:spacing w:after="100"/>
      <w:ind w:left="220"/>
    </w:pPr>
  </w:style>
  <w:style w:type="paragraph" w:styleId="TOC3">
    <w:name w:val="toc 3"/>
    <w:basedOn w:val="Normal"/>
    <w:next w:val="Normal"/>
    <w:autoRedefine/>
    <w:uiPriority w:val="39"/>
    <w:unhideWhenUsed/>
    <w:rsid w:val="002B2C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rptender@bloo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rptender@blood.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ood.gov.au/sites/default/files/nba-annualreport-2014-15-as-at-20151013sm_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C6D9-F700-4FCF-8E5A-C972237A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Stone, Michael</cp:lastModifiedBy>
  <cp:revision>5</cp:revision>
  <cp:lastPrinted>2016-08-18T00:15:00Z</cp:lastPrinted>
  <dcterms:created xsi:type="dcterms:W3CDTF">2016-12-18T23:59:00Z</dcterms:created>
  <dcterms:modified xsi:type="dcterms:W3CDTF">2016-12-20T02:22:00Z</dcterms:modified>
</cp:coreProperties>
</file>