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6E" w:rsidRPr="003D383C" w:rsidRDefault="006314FD" w:rsidP="00614FEB">
      <w:pPr>
        <w:pStyle w:val="Title"/>
        <w:spacing w:before="4080"/>
        <w:ind w:left="-709" w:right="3805"/>
        <w:rPr>
          <w:color w:val="FFFFFF" w:themeColor="background1"/>
          <w:sz w:val="58"/>
          <w:szCs w:val="58"/>
        </w:rPr>
      </w:pPr>
      <w:r w:rsidRPr="003D383C">
        <w:rPr>
          <w:noProof/>
          <w:color w:val="FFFFFF" w:themeColor="background1"/>
          <w:sz w:val="56"/>
          <w:lang w:eastAsia="en-AU"/>
        </w:rPr>
        <w:drawing>
          <wp:anchor distT="0" distB="0" distL="114300" distR="114300" simplePos="0" relativeHeight="251678720" behindDoc="1" locked="0" layoutInCell="1" allowOverlap="1" wp14:anchorId="5877F62C" wp14:editId="0D2BE721">
            <wp:simplePos x="0" y="0"/>
            <wp:positionH relativeFrom="column">
              <wp:posOffset>-914400</wp:posOffset>
            </wp:positionH>
            <wp:positionV relativeFrom="paragraph">
              <wp:posOffset>-904875</wp:posOffset>
            </wp:positionV>
            <wp:extent cx="7560332" cy="1068990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332" cy="10689901"/>
                    </a:xfrm>
                    <a:prstGeom prst="rect">
                      <a:avLst/>
                    </a:prstGeom>
                  </pic:spPr>
                </pic:pic>
              </a:graphicData>
            </a:graphic>
            <wp14:sizeRelH relativeFrom="page">
              <wp14:pctWidth>0</wp14:pctWidth>
            </wp14:sizeRelH>
            <wp14:sizeRelV relativeFrom="page">
              <wp14:pctHeight>0</wp14:pctHeight>
            </wp14:sizeRelV>
          </wp:anchor>
        </w:drawing>
      </w:r>
      <w:r w:rsidR="00614FEB" w:rsidRPr="003D383C">
        <w:rPr>
          <w:noProof/>
          <w:color w:val="FFFFFF" w:themeColor="background1"/>
          <w:sz w:val="56"/>
          <w:lang w:eastAsia="en-AU"/>
        </w:rPr>
        <w:t>SuPPLY OF IMPORTED PLASMA &amp; RECOMBINANT PRODUCTS: FUTURE ARRANGEMENTS</w:t>
      </w:r>
    </w:p>
    <w:p w:rsidR="003D383C" w:rsidRDefault="003D383C" w:rsidP="003D383C">
      <w:pPr>
        <w:pStyle w:val="NoSpacing"/>
        <w:spacing w:before="1200"/>
        <w:ind w:left="-709"/>
        <w:rPr>
          <w:color w:val="FFFFFF" w:themeColor="background1"/>
          <w:sz w:val="40"/>
          <w:szCs w:val="40"/>
        </w:rPr>
      </w:pPr>
      <w:r>
        <w:rPr>
          <w:color w:val="FFFFFF" w:themeColor="background1"/>
          <w:sz w:val="40"/>
          <w:szCs w:val="40"/>
        </w:rPr>
        <w:t>STAKEHOLDER CONSULTATION</w:t>
      </w:r>
    </w:p>
    <w:p w:rsidR="008D683E" w:rsidRPr="003D383C" w:rsidRDefault="003D383C" w:rsidP="003D383C">
      <w:pPr>
        <w:pStyle w:val="NoSpacing"/>
        <w:spacing w:before="1080"/>
        <w:ind w:left="-709" w:right="5080"/>
        <w:rPr>
          <w:color w:val="000000" w:themeColor="text1"/>
          <w:sz w:val="36"/>
          <w:szCs w:val="36"/>
        </w:rPr>
      </w:pPr>
      <w:r>
        <w:rPr>
          <w:color w:val="000000" w:themeColor="text1"/>
          <w:sz w:val="36"/>
          <w:szCs w:val="36"/>
        </w:rPr>
        <w:t xml:space="preserve">For public consultation from </w:t>
      </w:r>
      <w:r>
        <w:rPr>
          <w:color w:val="000000" w:themeColor="text1"/>
          <w:sz w:val="36"/>
          <w:szCs w:val="36"/>
        </w:rPr>
        <w:br/>
      </w:r>
      <w:r w:rsidR="00F536CF">
        <w:rPr>
          <w:color w:val="000000" w:themeColor="text1"/>
          <w:sz w:val="36"/>
          <w:szCs w:val="36"/>
        </w:rPr>
        <w:t>1</w:t>
      </w:r>
      <w:r w:rsidR="000F221B">
        <w:rPr>
          <w:color w:val="000000" w:themeColor="text1"/>
          <w:sz w:val="36"/>
          <w:szCs w:val="36"/>
        </w:rPr>
        <w:t>3 January</w:t>
      </w:r>
      <w:r w:rsidR="00B557F3">
        <w:rPr>
          <w:color w:val="000000" w:themeColor="text1"/>
          <w:sz w:val="36"/>
          <w:szCs w:val="36"/>
        </w:rPr>
        <w:t xml:space="preserve"> 2016</w:t>
      </w:r>
      <w:r>
        <w:rPr>
          <w:color w:val="000000" w:themeColor="text1"/>
          <w:sz w:val="36"/>
          <w:szCs w:val="36"/>
        </w:rPr>
        <w:t xml:space="preserve"> to </w:t>
      </w:r>
      <w:r w:rsidR="00F536CF">
        <w:rPr>
          <w:color w:val="000000" w:themeColor="text1"/>
          <w:sz w:val="36"/>
          <w:szCs w:val="36"/>
        </w:rPr>
        <w:t>17</w:t>
      </w:r>
      <w:r w:rsidR="00B557F3">
        <w:rPr>
          <w:color w:val="000000" w:themeColor="text1"/>
          <w:sz w:val="36"/>
          <w:szCs w:val="36"/>
        </w:rPr>
        <w:t> March </w:t>
      </w:r>
      <w:r w:rsidR="00B32A36">
        <w:rPr>
          <w:color w:val="000000" w:themeColor="text1"/>
          <w:sz w:val="36"/>
          <w:szCs w:val="36"/>
        </w:rPr>
        <w:t>201</w:t>
      </w:r>
      <w:r w:rsidR="00B557F3">
        <w:rPr>
          <w:color w:val="000000" w:themeColor="text1"/>
          <w:sz w:val="36"/>
          <w:szCs w:val="36"/>
        </w:rPr>
        <w:t>7</w:t>
      </w:r>
      <w:r w:rsidR="00B32A36">
        <w:rPr>
          <w:color w:val="000000" w:themeColor="text1"/>
          <w:sz w:val="36"/>
          <w:szCs w:val="36"/>
        </w:rPr>
        <w:t xml:space="preserve"> </w:t>
      </w:r>
      <w:r w:rsidR="008D683E">
        <w:br w:type="page"/>
      </w:r>
    </w:p>
    <w:p w:rsidR="001D4FE1" w:rsidRDefault="002B2CD6" w:rsidP="002B2CD6">
      <w:pPr>
        <w:pStyle w:val="Heading1"/>
      </w:pPr>
      <w:bookmarkStart w:id="0" w:name="_Toc361385753"/>
      <w:bookmarkStart w:id="1" w:name="_Toc361386739"/>
      <w:bookmarkStart w:id="2" w:name="_Toc361387977"/>
      <w:bookmarkStart w:id="3" w:name="_Toc361387996"/>
      <w:bookmarkStart w:id="4" w:name="_Toc469981777"/>
      <w:r>
        <w:lastRenderedPageBreak/>
        <w:t>Contents</w:t>
      </w:r>
      <w:bookmarkEnd w:id="0"/>
      <w:bookmarkEnd w:id="1"/>
      <w:bookmarkEnd w:id="2"/>
      <w:bookmarkEnd w:id="3"/>
      <w:bookmarkEnd w:id="4"/>
    </w:p>
    <w:p w:rsidR="00502368" w:rsidRDefault="002B2CD6">
      <w:pPr>
        <w:pStyle w:val="TOC1"/>
        <w:tabs>
          <w:tab w:val="right" w:leader="dot" w:pos="9323"/>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69981777" w:history="1">
        <w:r w:rsidR="00502368" w:rsidRPr="00761B03">
          <w:rPr>
            <w:rStyle w:val="Hyperlink"/>
            <w:noProof/>
          </w:rPr>
          <w:t>Contents</w:t>
        </w:r>
        <w:r w:rsidR="00502368">
          <w:rPr>
            <w:noProof/>
            <w:webHidden/>
          </w:rPr>
          <w:tab/>
        </w:r>
        <w:r w:rsidR="00502368">
          <w:rPr>
            <w:noProof/>
            <w:webHidden/>
          </w:rPr>
          <w:fldChar w:fldCharType="begin"/>
        </w:r>
        <w:r w:rsidR="00502368">
          <w:rPr>
            <w:noProof/>
            <w:webHidden/>
          </w:rPr>
          <w:instrText xml:space="preserve"> PAGEREF _Toc469981777 \h </w:instrText>
        </w:r>
        <w:r w:rsidR="00502368">
          <w:rPr>
            <w:noProof/>
            <w:webHidden/>
          </w:rPr>
        </w:r>
        <w:r w:rsidR="00502368">
          <w:rPr>
            <w:noProof/>
            <w:webHidden/>
          </w:rPr>
          <w:fldChar w:fldCharType="separate"/>
        </w:r>
        <w:r w:rsidR="000F221B">
          <w:rPr>
            <w:noProof/>
            <w:webHidden/>
          </w:rPr>
          <w:t>2</w:t>
        </w:r>
        <w:r w:rsidR="00502368">
          <w:rPr>
            <w:noProof/>
            <w:webHidden/>
          </w:rPr>
          <w:fldChar w:fldCharType="end"/>
        </w:r>
      </w:hyperlink>
    </w:p>
    <w:p w:rsidR="00502368" w:rsidRDefault="00F536CF">
      <w:pPr>
        <w:pStyle w:val="TOC1"/>
        <w:tabs>
          <w:tab w:val="right" w:leader="dot" w:pos="9323"/>
        </w:tabs>
        <w:rPr>
          <w:rFonts w:asciiTheme="minorHAnsi" w:eastAsiaTheme="minorEastAsia" w:hAnsiTheme="minorHAnsi" w:cstheme="minorBidi"/>
          <w:noProof/>
          <w:lang w:eastAsia="en-AU"/>
        </w:rPr>
      </w:pPr>
      <w:hyperlink w:anchor="_Toc469981778" w:history="1">
        <w:r w:rsidR="00502368" w:rsidRPr="00761B03">
          <w:rPr>
            <w:rStyle w:val="Hyperlink"/>
            <w:noProof/>
          </w:rPr>
          <w:t>Glossary</w:t>
        </w:r>
        <w:r w:rsidR="00502368">
          <w:rPr>
            <w:noProof/>
            <w:webHidden/>
          </w:rPr>
          <w:tab/>
        </w:r>
        <w:r w:rsidR="00502368">
          <w:rPr>
            <w:noProof/>
            <w:webHidden/>
          </w:rPr>
          <w:fldChar w:fldCharType="begin"/>
        </w:r>
        <w:r w:rsidR="00502368">
          <w:rPr>
            <w:noProof/>
            <w:webHidden/>
          </w:rPr>
          <w:instrText xml:space="preserve"> PAGEREF _Toc469981778 \h </w:instrText>
        </w:r>
        <w:r w:rsidR="00502368">
          <w:rPr>
            <w:noProof/>
            <w:webHidden/>
          </w:rPr>
        </w:r>
        <w:r w:rsidR="00502368">
          <w:rPr>
            <w:noProof/>
            <w:webHidden/>
          </w:rPr>
          <w:fldChar w:fldCharType="separate"/>
        </w:r>
        <w:r w:rsidR="000F221B">
          <w:rPr>
            <w:noProof/>
            <w:webHidden/>
          </w:rPr>
          <w:t>3</w:t>
        </w:r>
        <w:r w:rsidR="00502368">
          <w:rPr>
            <w:noProof/>
            <w:webHidden/>
          </w:rPr>
          <w:fldChar w:fldCharType="end"/>
        </w:r>
      </w:hyperlink>
    </w:p>
    <w:p w:rsidR="00502368" w:rsidRDefault="00F536CF">
      <w:pPr>
        <w:pStyle w:val="TOC1"/>
        <w:tabs>
          <w:tab w:val="right" w:leader="dot" w:pos="9323"/>
        </w:tabs>
        <w:rPr>
          <w:rFonts w:asciiTheme="minorHAnsi" w:eastAsiaTheme="minorEastAsia" w:hAnsiTheme="minorHAnsi" w:cstheme="minorBidi"/>
          <w:noProof/>
          <w:lang w:eastAsia="en-AU"/>
        </w:rPr>
      </w:pPr>
      <w:hyperlink w:anchor="_Toc469981779" w:history="1">
        <w:r w:rsidR="00502368" w:rsidRPr="00761B03">
          <w:rPr>
            <w:rStyle w:val="Hyperlink"/>
            <w:noProof/>
          </w:rPr>
          <w:t>Introduction</w:t>
        </w:r>
        <w:r w:rsidR="00502368">
          <w:rPr>
            <w:noProof/>
            <w:webHidden/>
          </w:rPr>
          <w:tab/>
        </w:r>
        <w:r w:rsidR="00502368">
          <w:rPr>
            <w:noProof/>
            <w:webHidden/>
          </w:rPr>
          <w:fldChar w:fldCharType="begin"/>
        </w:r>
        <w:r w:rsidR="00502368">
          <w:rPr>
            <w:noProof/>
            <w:webHidden/>
          </w:rPr>
          <w:instrText xml:space="preserve"> PAGEREF _Toc469981779 \h </w:instrText>
        </w:r>
        <w:r w:rsidR="00502368">
          <w:rPr>
            <w:noProof/>
            <w:webHidden/>
          </w:rPr>
        </w:r>
        <w:r w:rsidR="00502368">
          <w:rPr>
            <w:noProof/>
            <w:webHidden/>
          </w:rPr>
          <w:fldChar w:fldCharType="separate"/>
        </w:r>
        <w:r w:rsidR="000F221B">
          <w:rPr>
            <w:noProof/>
            <w:webHidden/>
          </w:rPr>
          <w:t>4</w:t>
        </w:r>
        <w:r w:rsidR="00502368">
          <w:rPr>
            <w:noProof/>
            <w:webHidden/>
          </w:rPr>
          <w:fldChar w:fldCharType="end"/>
        </w:r>
      </w:hyperlink>
    </w:p>
    <w:p w:rsidR="00502368" w:rsidRDefault="00F536CF">
      <w:pPr>
        <w:pStyle w:val="TOC2"/>
        <w:tabs>
          <w:tab w:val="right" w:leader="dot" w:pos="9323"/>
        </w:tabs>
        <w:rPr>
          <w:rFonts w:asciiTheme="minorHAnsi" w:eastAsiaTheme="minorEastAsia" w:hAnsiTheme="minorHAnsi" w:cstheme="minorBidi"/>
          <w:noProof/>
          <w:lang w:eastAsia="en-AU"/>
        </w:rPr>
      </w:pPr>
      <w:hyperlink w:anchor="_Toc469981780" w:history="1">
        <w:r w:rsidR="00502368" w:rsidRPr="00761B03">
          <w:rPr>
            <w:rStyle w:val="Hyperlink"/>
            <w:noProof/>
          </w:rPr>
          <w:t>The role of the National Blood Authority</w:t>
        </w:r>
        <w:r w:rsidR="00502368">
          <w:rPr>
            <w:noProof/>
            <w:webHidden/>
          </w:rPr>
          <w:tab/>
        </w:r>
        <w:r w:rsidR="00502368">
          <w:rPr>
            <w:noProof/>
            <w:webHidden/>
          </w:rPr>
          <w:fldChar w:fldCharType="begin"/>
        </w:r>
        <w:r w:rsidR="00502368">
          <w:rPr>
            <w:noProof/>
            <w:webHidden/>
          </w:rPr>
          <w:instrText xml:space="preserve"> PAGEREF _Toc469981780 \h </w:instrText>
        </w:r>
        <w:r w:rsidR="00502368">
          <w:rPr>
            <w:noProof/>
            <w:webHidden/>
          </w:rPr>
        </w:r>
        <w:r w:rsidR="00502368">
          <w:rPr>
            <w:noProof/>
            <w:webHidden/>
          </w:rPr>
          <w:fldChar w:fldCharType="separate"/>
        </w:r>
        <w:r w:rsidR="000F221B">
          <w:rPr>
            <w:noProof/>
            <w:webHidden/>
          </w:rPr>
          <w:t>4</w:t>
        </w:r>
        <w:r w:rsidR="00502368">
          <w:rPr>
            <w:noProof/>
            <w:webHidden/>
          </w:rPr>
          <w:fldChar w:fldCharType="end"/>
        </w:r>
      </w:hyperlink>
    </w:p>
    <w:p w:rsidR="00502368" w:rsidRDefault="00F536CF">
      <w:pPr>
        <w:pStyle w:val="TOC2"/>
        <w:tabs>
          <w:tab w:val="right" w:leader="dot" w:pos="9323"/>
        </w:tabs>
        <w:rPr>
          <w:rFonts w:asciiTheme="minorHAnsi" w:eastAsiaTheme="minorEastAsia" w:hAnsiTheme="minorHAnsi" w:cstheme="minorBidi"/>
          <w:noProof/>
          <w:lang w:eastAsia="en-AU"/>
        </w:rPr>
      </w:pPr>
      <w:hyperlink w:anchor="_Toc469981781" w:history="1">
        <w:r w:rsidR="00502368" w:rsidRPr="00761B03">
          <w:rPr>
            <w:rStyle w:val="Hyperlink"/>
            <w:noProof/>
          </w:rPr>
          <w:t>Informed purchasing</w:t>
        </w:r>
        <w:r w:rsidR="00502368">
          <w:rPr>
            <w:noProof/>
            <w:webHidden/>
          </w:rPr>
          <w:tab/>
        </w:r>
        <w:r w:rsidR="00502368">
          <w:rPr>
            <w:noProof/>
            <w:webHidden/>
          </w:rPr>
          <w:fldChar w:fldCharType="begin"/>
        </w:r>
        <w:r w:rsidR="00502368">
          <w:rPr>
            <w:noProof/>
            <w:webHidden/>
          </w:rPr>
          <w:instrText xml:space="preserve"> PAGEREF _Toc469981781 \h </w:instrText>
        </w:r>
        <w:r w:rsidR="00502368">
          <w:rPr>
            <w:noProof/>
            <w:webHidden/>
          </w:rPr>
        </w:r>
        <w:r w:rsidR="00502368">
          <w:rPr>
            <w:noProof/>
            <w:webHidden/>
          </w:rPr>
          <w:fldChar w:fldCharType="separate"/>
        </w:r>
        <w:r w:rsidR="000F221B">
          <w:rPr>
            <w:noProof/>
            <w:webHidden/>
          </w:rPr>
          <w:t>4</w:t>
        </w:r>
        <w:r w:rsidR="00502368">
          <w:rPr>
            <w:noProof/>
            <w:webHidden/>
          </w:rPr>
          <w:fldChar w:fldCharType="end"/>
        </w:r>
      </w:hyperlink>
    </w:p>
    <w:p w:rsidR="00502368" w:rsidRDefault="00F536CF">
      <w:pPr>
        <w:pStyle w:val="TOC2"/>
        <w:tabs>
          <w:tab w:val="right" w:leader="dot" w:pos="9323"/>
        </w:tabs>
        <w:rPr>
          <w:rFonts w:asciiTheme="minorHAnsi" w:eastAsiaTheme="minorEastAsia" w:hAnsiTheme="minorHAnsi" w:cstheme="minorBidi"/>
          <w:noProof/>
          <w:lang w:eastAsia="en-AU"/>
        </w:rPr>
      </w:pPr>
      <w:hyperlink w:anchor="_Toc469981782" w:history="1">
        <w:r w:rsidR="00502368" w:rsidRPr="00761B03">
          <w:rPr>
            <w:rStyle w:val="Hyperlink"/>
            <w:noProof/>
          </w:rPr>
          <w:t>Current arrangements for imported plasma and recombinant products</w:t>
        </w:r>
        <w:r w:rsidR="00502368">
          <w:rPr>
            <w:noProof/>
            <w:webHidden/>
          </w:rPr>
          <w:tab/>
        </w:r>
        <w:r w:rsidR="00502368">
          <w:rPr>
            <w:noProof/>
            <w:webHidden/>
          </w:rPr>
          <w:fldChar w:fldCharType="begin"/>
        </w:r>
        <w:r w:rsidR="00502368">
          <w:rPr>
            <w:noProof/>
            <w:webHidden/>
          </w:rPr>
          <w:instrText xml:space="preserve"> PAGEREF _Toc469981782 \h </w:instrText>
        </w:r>
        <w:r w:rsidR="00502368">
          <w:rPr>
            <w:noProof/>
            <w:webHidden/>
          </w:rPr>
        </w:r>
        <w:r w:rsidR="00502368">
          <w:rPr>
            <w:noProof/>
            <w:webHidden/>
          </w:rPr>
          <w:fldChar w:fldCharType="separate"/>
        </w:r>
        <w:r w:rsidR="000F221B">
          <w:rPr>
            <w:noProof/>
            <w:webHidden/>
          </w:rPr>
          <w:t>4</w:t>
        </w:r>
        <w:r w:rsidR="00502368">
          <w:rPr>
            <w:noProof/>
            <w:webHidden/>
          </w:rPr>
          <w:fldChar w:fldCharType="end"/>
        </w:r>
      </w:hyperlink>
    </w:p>
    <w:p w:rsidR="00502368" w:rsidRDefault="00F536CF">
      <w:pPr>
        <w:pStyle w:val="TOC2"/>
        <w:tabs>
          <w:tab w:val="right" w:leader="dot" w:pos="9323"/>
        </w:tabs>
        <w:rPr>
          <w:rFonts w:asciiTheme="minorHAnsi" w:eastAsiaTheme="minorEastAsia" w:hAnsiTheme="minorHAnsi" w:cstheme="minorBidi"/>
          <w:noProof/>
          <w:lang w:eastAsia="en-AU"/>
        </w:rPr>
      </w:pPr>
      <w:hyperlink w:anchor="_Toc469981783" w:history="1">
        <w:r w:rsidR="00502368" w:rsidRPr="00761B03">
          <w:rPr>
            <w:rStyle w:val="Hyperlink"/>
            <w:noProof/>
          </w:rPr>
          <w:t>IPRP products covered by this consultation</w:t>
        </w:r>
        <w:r w:rsidR="00502368">
          <w:rPr>
            <w:noProof/>
            <w:webHidden/>
          </w:rPr>
          <w:tab/>
        </w:r>
        <w:r w:rsidR="00502368">
          <w:rPr>
            <w:noProof/>
            <w:webHidden/>
          </w:rPr>
          <w:fldChar w:fldCharType="begin"/>
        </w:r>
        <w:r w:rsidR="00502368">
          <w:rPr>
            <w:noProof/>
            <w:webHidden/>
          </w:rPr>
          <w:instrText xml:space="preserve"> PAGEREF _Toc469981783 \h </w:instrText>
        </w:r>
        <w:r w:rsidR="00502368">
          <w:rPr>
            <w:noProof/>
            <w:webHidden/>
          </w:rPr>
        </w:r>
        <w:r w:rsidR="00502368">
          <w:rPr>
            <w:noProof/>
            <w:webHidden/>
          </w:rPr>
          <w:fldChar w:fldCharType="separate"/>
        </w:r>
        <w:r w:rsidR="000F221B">
          <w:rPr>
            <w:noProof/>
            <w:webHidden/>
          </w:rPr>
          <w:t>5</w:t>
        </w:r>
        <w:r w:rsidR="00502368">
          <w:rPr>
            <w:noProof/>
            <w:webHidden/>
          </w:rPr>
          <w:fldChar w:fldCharType="end"/>
        </w:r>
      </w:hyperlink>
    </w:p>
    <w:p w:rsidR="00502368" w:rsidRDefault="00F536CF">
      <w:pPr>
        <w:pStyle w:val="TOC1"/>
        <w:tabs>
          <w:tab w:val="right" w:leader="dot" w:pos="9323"/>
        </w:tabs>
        <w:rPr>
          <w:rFonts w:asciiTheme="minorHAnsi" w:eastAsiaTheme="minorEastAsia" w:hAnsiTheme="minorHAnsi" w:cstheme="minorBidi"/>
          <w:noProof/>
          <w:lang w:eastAsia="en-AU"/>
        </w:rPr>
      </w:pPr>
      <w:hyperlink w:anchor="_Toc469981784" w:history="1">
        <w:r w:rsidR="00502368" w:rsidRPr="00761B03">
          <w:rPr>
            <w:rStyle w:val="Hyperlink"/>
            <w:noProof/>
          </w:rPr>
          <w:t>Future arrangements for supply of IPRP</w:t>
        </w:r>
        <w:r w:rsidR="00502368">
          <w:rPr>
            <w:noProof/>
            <w:webHidden/>
          </w:rPr>
          <w:tab/>
        </w:r>
        <w:r w:rsidR="00502368">
          <w:rPr>
            <w:noProof/>
            <w:webHidden/>
          </w:rPr>
          <w:fldChar w:fldCharType="begin"/>
        </w:r>
        <w:r w:rsidR="00502368">
          <w:rPr>
            <w:noProof/>
            <w:webHidden/>
          </w:rPr>
          <w:instrText xml:space="preserve"> PAGEREF _Toc469981784 \h </w:instrText>
        </w:r>
        <w:r w:rsidR="00502368">
          <w:rPr>
            <w:noProof/>
            <w:webHidden/>
          </w:rPr>
        </w:r>
        <w:r w:rsidR="00502368">
          <w:rPr>
            <w:noProof/>
            <w:webHidden/>
          </w:rPr>
          <w:fldChar w:fldCharType="separate"/>
        </w:r>
        <w:r w:rsidR="000F221B">
          <w:rPr>
            <w:noProof/>
            <w:webHidden/>
          </w:rPr>
          <w:t>5</w:t>
        </w:r>
        <w:r w:rsidR="00502368">
          <w:rPr>
            <w:noProof/>
            <w:webHidden/>
          </w:rPr>
          <w:fldChar w:fldCharType="end"/>
        </w:r>
      </w:hyperlink>
    </w:p>
    <w:p w:rsidR="00502368" w:rsidRDefault="00F536CF">
      <w:pPr>
        <w:pStyle w:val="TOC1"/>
        <w:tabs>
          <w:tab w:val="right" w:leader="dot" w:pos="9323"/>
        </w:tabs>
        <w:rPr>
          <w:rFonts w:asciiTheme="minorHAnsi" w:eastAsiaTheme="minorEastAsia" w:hAnsiTheme="minorHAnsi" w:cstheme="minorBidi"/>
          <w:noProof/>
          <w:lang w:eastAsia="en-AU"/>
        </w:rPr>
      </w:pPr>
      <w:hyperlink w:anchor="_Toc469981785" w:history="1">
        <w:r w:rsidR="00502368" w:rsidRPr="00761B03">
          <w:rPr>
            <w:rStyle w:val="Hyperlink"/>
            <w:noProof/>
          </w:rPr>
          <w:t>Purpose of consultation paper</w:t>
        </w:r>
        <w:r w:rsidR="00502368">
          <w:rPr>
            <w:noProof/>
            <w:webHidden/>
          </w:rPr>
          <w:tab/>
        </w:r>
        <w:r w:rsidR="00502368">
          <w:rPr>
            <w:noProof/>
            <w:webHidden/>
          </w:rPr>
          <w:fldChar w:fldCharType="begin"/>
        </w:r>
        <w:r w:rsidR="00502368">
          <w:rPr>
            <w:noProof/>
            <w:webHidden/>
          </w:rPr>
          <w:instrText xml:space="preserve"> PAGEREF _Toc469981785 \h </w:instrText>
        </w:r>
        <w:r w:rsidR="00502368">
          <w:rPr>
            <w:noProof/>
            <w:webHidden/>
          </w:rPr>
        </w:r>
        <w:r w:rsidR="00502368">
          <w:rPr>
            <w:noProof/>
            <w:webHidden/>
          </w:rPr>
          <w:fldChar w:fldCharType="separate"/>
        </w:r>
        <w:r w:rsidR="000F221B">
          <w:rPr>
            <w:noProof/>
            <w:webHidden/>
          </w:rPr>
          <w:t>6</w:t>
        </w:r>
        <w:r w:rsidR="00502368">
          <w:rPr>
            <w:noProof/>
            <w:webHidden/>
          </w:rPr>
          <w:fldChar w:fldCharType="end"/>
        </w:r>
      </w:hyperlink>
    </w:p>
    <w:p w:rsidR="00502368" w:rsidRDefault="00F536CF">
      <w:pPr>
        <w:pStyle w:val="TOC1"/>
        <w:tabs>
          <w:tab w:val="right" w:leader="dot" w:pos="9323"/>
        </w:tabs>
        <w:rPr>
          <w:rFonts w:asciiTheme="minorHAnsi" w:eastAsiaTheme="minorEastAsia" w:hAnsiTheme="minorHAnsi" w:cstheme="minorBidi"/>
          <w:noProof/>
          <w:lang w:eastAsia="en-AU"/>
        </w:rPr>
      </w:pPr>
      <w:hyperlink w:anchor="_Toc469981786" w:history="1">
        <w:r w:rsidR="00502368" w:rsidRPr="00761B03">
          <w:rPr>
            <w:rStyle w:val="Hyperlink"/>
            <w:noProof/>
          </w:rPr>
          <w:t>Closing date</w:t>
        </w:r>
        <w:r w:rsidR="00502368">
          <w:rPr>
            <w:noProof/>
            <w:webHidden/>
          </w:rPr>
          <w:tab/>
        </w:r>
        <w:r w:rsidR="00502368">
          <w:rPr>
            <w:noProof/>
            <w:webHidden/>
          </w:rPr>
          <w:fldChar w:fldCharType="begin"/>
        </w:r>
        <w:r w:rsidR="00502368">
          <w:rPr>
            <w:noProof/>
            <w:webHidden/>
          </w:rPr>
          <w:instrText xml:space="preserve"> PAGEREF _Toc469981786 \h </w:instrText>
        </w:r>
        <w:r w:rsidR="00502368">
          <w:rPr>
            <w:noProof/>
            <w:webHidden/>
          </w:rPr>
        </w:r>
        <w:r w:rsidR="00502368">
          <w:rPr>
            <w:noProof/>
            <w:webHidden/>
          </w:rPr>
          <w:fldChar w:fldCharType="separate"/>
        </w:r>
        <w:r w:rsidR="000F221B">
          <w:rPr>
            <w:noProof/>
            <w:webHidden/>
          </w:rPr>
          <w:t>6</w:t>
        </w:r>
        <w:r w:rsidR="00502368">
          <w:rPr>
            <w:noProof/>
            <w:webHidden/>
          </w:rPr>
          <w:fldChar w:fldCharType="end"/>
        </w:r>
      </w:hyperlink>
    </w:p>
    <w:p w:rsidR="00502368" w:rsidRDefault="00F536CF">
      <w:pPr>
        <w:pStyle w:val="TOC1"/>
        <w:tabs>
          <w:tab w:val="right" w:leader="dot" w:pos="9323"/>
        </w:tabs>
        <w:rPr>
          <w:rFonts w:asciiTheme="minorHAnsi" w:eastAsiaTheme="minorEastAsia" w:hAnsiTheme="minorHAnsi" w:cstheme="minorBidi"/>
          <w:noProof/>
          <w:lang w:eastAsia="en-AU"/>
        </w:rPr>
      </w:pPr>
      <w:hyperlink w:anchor="_Toc469981787" w:history="1">
        <w:r w:rsidR="00502368" w:rsidRPr="00761B03">
          <w:rPr>
            <w:rStyle w:val="Hyperlink"/>
            <w:noProof/>
          </w:rPr>
          <w:t>Providing your response</w:t>
        </w:r>
        <w:r w:rsidR="00502368">
          <w:rPr>
            <w:noProof/>
            <w:webHidden/>
          </w:rPr>
          <w:tab/>
        </w:r>
        <w:r w:rsidR="00502368">
          <w:rPr>
            <w:noProof/>
            <w:webHidden/>
          </w:rPr>
          <w:fldChar w:fldCharType="begin"/>
        </w:r>
        <w:r w:rsidR="00502368">
          <w:rPr>
            <w:noProof/>
            <w:webHidden/>
          </w:rPr>
          <w:instrText xml:space="preserve"> PAGEREF _Toc469981787 \h </w:instrText>
        </w:r>
        <w:r w:rsidR="00502368">
          <w:rPr>
            <w:noProof/>
            <w:webHidden/>
          </w:rPr>
        </w:r>
        <w:r w:rsidR="00502368">
          <w:rPr>
            <w:noProof/>
            <w:webHidden/>
          </w:rPr>
          <w:fldChar w:fldCharType="separate"/>
        </w:r>
        <w:r w:rsidR="000F221B">
          <w:rPr>
            <w:noProof/>
            <w:webHidden/>
          </w:rPr>
          <w:t>6</w:t>
        </w:r>
        <w:r w:rsidR="00502368">
          <w:rPr>
            <w:noProof/>
            <w:webHidden/>
          </w:rPr>
          <w:fldChar w:fldCharType="end"/>
        </w:r>
      </w:hyperlink>
    </w:p>
    <w:p w:rsidR="00502368" w:rsidRDefault="00F536CF">
      <w:pPr>
        <w:pStyle w:val="TOC1"/>
        <w:tabs>
          <w:tab w:val="right" w:leader="dot" w:pos="9323"/>
        </w:tabs>
        <w:rPr>
          <w:rFonts w:asciiTheme="minorHAnsi" w:eastAsiaTheme="minorEastAsia" w:hAnsiTheme="minorHAnsi" w:cstheme="minorBidi"/>
          <w:noProof/>
          <w:lang w:eastAsia="en-AU"/>
        </w:rPr>
      </w:pPr>
      <w:hyperlink w:anchor="_Toc469981788" w:history="1">
        <w:r w:rsidR="00502368" w:rsidRPr="00761B03">
          <w:rPr>
            <w:rStyle w:val="Hyperlink"/>
            <w:noProof/>
          </w:rPr>
          <w:t>Attachment A – Issues for consultation</w:t>
        </w:r>
        <w:r w:rsidR="00502368">
          <w:rPr>
            <w:noProof/>
            <w:webHidden/>
          </w:rPr>
          <w:tab/>
        </w:r>
        <w:r w:rsidR="00502368">
          <w:rPr>
            <w:noProof/>
            <w:webHidden/>
          </w:rPr>
          <w:fldChar w:fldCharType="begin"/>
        </w:r>
        <w:r w:rsidR="00502368">
          <w:rPr>
            <w:noProof/>
            <w:webHidden/>
          </w:rPr>
          <w:instrText xml:space="preserve"> PAGEREF _Toc469981788 \h </w:instrText>
        </w:r>
        <w:r w:rsidR="00502368">
          <w:rPr>
            <w:noProof/>
            <w:webHidden/>
          </w:rPr>
        </w:r>
        <w:r w:rsidR="00502368">
          <w:rPr>
            <w:noProof/>
            <w:webHidden/>
          </w:rPr>
          <w:fldChar w:fldCharType="separate"/>
        </w:r>
        <w:r w:rsidR="000F221B">
          <w:rPr>
            <w:noProof/>
            <w:webHidden/>
          </w:rPr>
          <w:t>7</w:t>
        </w:r>
        <w:r w:rsidR="00502368">
          <w:rPr>
            <w:noProof/>
            <w:webHidden/>
          </w:rPr>
          <w:fldChar w:fldCharType="end"/>
        </w:r>
      </w:hyperlink>
    </w:p>
    <w:p w:rsidR="00502368" w:rsidRDefault="00F536CF">
      <w:pPr>
        <w:pStyle w:val="TOC2"/>
        <w:tabs>
          <w:tab w:val="right" w:leader="dot" w:pos="9323"/>
        </w:tabs>
        <w:rPr>
          <w:rFonts w:asciiTheme="minorHAnsi" w:eastAsiaTheme="minorEastAsia" w:hAnsiTheme="minorHAnsi" w:cstheme="minorBidi"/>
          <w:noProof/>
          <w:lang w:eastAsia="en-AU"/>
        </w:rPr>
      </w:pPr>
      <w:hyperlink w:anchor="_Toc469981789" w:history="1">
        <w:r w:rsidR="00502368" w:rsidRPr="00761B03">
          <w:rPr>
            <w:rStyle w:val="Hyperlink"/>
            <w:noProof/>
          </w:rPr>
          <w:t>Instructions for responses</w:t>
        </w:r>
        <w:r w:rsidR="00502368">
          <w:rPr>
            <w:noProof/>
            <w:webHidden/>
          </w:rPr>
          <w:tab/>
        </w:r>
        <w:r w:rsidR="00502368">
          <w:rPr>
            <w:noProof/>
            <w:webHidden/>
          </w:rPr>
          <w:fldChar w:fldCharType="begin"/>
        </w:r>
        <w:r w:rsidR="00502368">
          <w:rPr>
            <w:noProof/>
            <w:webHidden/>
          </w:rPr>
          <w:instrText xml:space="preserve"> PAGEREF _Toc469981789 \h </w:instrText>
        </w:r>
        <w:r w:rsidR="00502368">
          <w:rPr>
            <w:noProof/>
            <w:webHidden/>
          </w:rPr>
        </w:r>
        <w:r w:rsidR="00502368">
          <w:rPr>
            <w:noProof/>
            <w:webHidden/>
          </w:rPr>
          <w:fldChar w:fldCharType="separate"/>
        </w:r>
        <w:r w:rsidR="000F221B">
          <w:rPr>
            <w:noProof/>
            <w:webHidden/>
          </w:rPr>
          <w:t>7</w:t>
        </w:r>
        <w:r w:rsidR="00502368">
          <w:rPr>
            <w:noProof/>
            <w:webHidden/>
          </w:rPr>
          <w:fldChar w:fldCharType="end"/>
        </w:r>
      </w:hyperlink>
    </w:p>
    <w:p w:rsidR="00502368" w:rsidRDefault="00F536CF">
      <w:pPr>
        <w:pStyle w:val="TOC2"/>
        <w:tabs>
          <w:tab w:val="right" w:leader="dot" w:pos="9323"/>
        </w:tabs>
        <w:rPr>
          <w:rFonts w:asciiTheme="minorHAnsi" w:eastAsiaTheme="minorEastAsia" w:hAnsiTheme="minorHAnsi" w:cstheme="minorBidi"/>
          <w:noProof/>
          <w:lang w:eastAsia="en-AU"/>
        </w:rPr>
      </w:pPr>
      <w:hyperlink w:anchor="_Toc469981790" w:history="1">
        <w:r w:rsidR="00502368" w:rsidRPr="00761B03">
          <w:rPr>
            <w:rStyle w:val="Hyperlink"/>
            <w:noProof/>
          </w:rPr>
          <w:t>Consultation Response</w:t>
        </w:r>
        <w:r w:rsidR="00502368">
          <w:rPr>
            <w:noProof/>
            <w:webHidden/>
          </w:rPr>
          <w:tab/>
        </w:r>
        <w:r w:rsidR="00502368">
          <w:rPr>
            <w:noProof/>
            <w:webHidden/>
          </w:rPr>
          <w:fldChar w:fldCharType="begin"/>
        </w:r>
        <w:r w:rsidR="00502368">
          <w:rPr>
            <w:noProof/>
            <w:webHidden/>
          </w:rPr>
          <w:instrText xml:space="preserve"> PAGEREF _Toc469981790 \h </w:instrText>
        </w:r>
        <w:r w:rsidR="00502368">
          <w:rPr>
            <w:noProof/>
            <w:webHidden/>
          </w:rPr>
        </w:r>
        <w:r w:rsidR="00502368">
          <w:rPr>
            <w:noProof/>
            <w:webHidden/>
          </w:rPr>
          <w:fldChar w:fldCharType="separate"/>
        </w:r>
        <w:r w:rsidR="000F221B">
          <w:rPr>
            <w:noProof/>
            <w:webHidden/>
          </w:rPr>
          <w:t>7</w:t>
        </w:r>
        <w:r w:rsidR="00502368">
          <w:rPr>
            <w:noProof/>
            <w:webHidden/>
          </w:rPr>
          <w:fldChar w:fldCharType="end"/>
        </w:r>
      </w:hyperlink>
    </w:p>
    <w:p w:rsidR="002B2CD6" w:rsidRPr="002B2CD6" w:rsidRDefault="002B2CD6" w:rsidP="002B2CD6">
      <w:r>
        <w:fldChar w:fldCharType="end"/>
      </w:r>
    </w:p>
    <w:p w:rsidR="002B2CD6" w:rsidRDefault="002B2CD6" w:rsidP="002B2CD6">
      <w:pPr>
        <w:pStyle w:val="Heading1"/>
      </w:pPr>
      <w:r>
        <w:br w:type="page"/>
      </w:r>
      <w:bookmarkStart w:id="5" w:name="_Toc469981778"/>
      <w:r w:rsidR="00F42E21">
        <w:lastRenderedPageBreak/>
        <w:t>Glossary</w:t>
      </w:r>
      <w:bookmarkEnd w:id="5"/>
    </w:p>
    <w:tbl>
      <w:tblPr>
        <w:tblStyle w:val="TableGrid2"/>
        <w:tblW w:w="0" w:type="auto"/>
        <w:tblLook w:val="04A0" w:firstRow="1" w:lastRow="0" w:firstColumn="1" w:lastColumn="0" w:noHBand="0" w:noVBand="1"/>
      </w:tblPr>
      <w:tblGrid>
        <w:gridCol w:w="2802"/>
        <w:gridCol w:w="6747"/>
      </w:tblGrid>
      <w:tr w:rsidR="00F42E21" w:rsidRPr="00F42E21" w:rsidTr="00F42E21">
        <w:trPr>
          <w:tblHeader/>
        </w:trPr>
        <w:tc>
          <w:tcPr>
            <w:tcW w:w="2802" w:type="dxa"/>
          </w:tcPr>
          <w:p w:rsidR="00F42E21" w:rsidRPr="00F42E21" w:rsidRDefault="00F42E21" w:rsidP="00F42E21">
            <w:pPr>
              <w:pStyle w:val="NoSpacing"/>
              <w:rPr>
                <w:b/>
              </w:rPr>
            </w:pPr>
            <w:r w:rsidRPr="00F42E21">
              <w:rPr>
                <w:b/>
              </w:rPr>
              <w:t>Term</w:t>
            </w:r>
          </w:p>
        </w:tc>
        <w:tc>
          <w:tcPr>
            <w:tcW w:w="6747" w:type="dxa"/>
          </w:tcPr>
          <w:p w:rsidR="00F42E21" w:rsidRPr="00F42E21" w:rsidRDefault="00F42E21" w:rsidP="00F42E21">
            <w:pPr>
              <w:pStyle w:val="NoSpacing"/>
              <w:rPr>
                <w:b/>
              </w:rPr>
            </w:pPr>
            <w:r w:rsidRPr="00F42E21">
              <w:rPr>
                <w:b/>
              </w:rPr>
              <w:t>Definition</w:t>
            </w:r>
          </w:p>
        </w:tc>
      </w:tr>
      <w:tr w:rsidR="00F42E21" w:rsidRPr="00F42E21" w:rsidTr="000A3D4C">
        <w:tc>
          <w:tcPr>
            <w:tcW w:w="2802" w:type="dxa"/>
          </w:tcPr>
          <w:p w:rsidR="00F42E21" w:rsidRPr="00F42E21" w:rsidRDefault="00F42E21" w:rsidP="00F42E21">
            <w:pPr>
              <w:pStyle w:val="NoSpacing"/>
            </w:pPr>
            <w:r w:rsidRPr="00F42E21">
              <w:t>Plasma or Plasma Derived</w:t>
            </w:r>
          </w:p>
        </w:tc>
        <w:tc>
          <w:tcPr>
            <w:tcW w:w="6747" w:type="dxa"/>
          </w:tcPr>
          <w:p w:rsidR="00F42E21" w:rsidRPr="00F42E21" w:rsidRDefault="00F42E21" w:rsidP="00F42E21">
            <w:pPr>
              <w:pStyle w:val="NoSpacing"/>
            </w:pPr>
            <w:r w:rsidRPr="00F42E21">
              <w:t>Manufactured from human plasma</w:t>
            </w:r>
          </w:p>
        </w:tc>
      </w:tr>
      <w:tr w:rsidR="00F42E21" w:rsidRPr="00F42E21" w:rsidTr="000A3D4C">
        <w:tc>
          <w:tcPr>
            <w:tcW w:w="2802" w:type="dxa"/>
          </w:tcPr>
          <w:p w:rsidR="00F42E21" w:rsidRPr="00F42E21" w:rsidRDefault="00F42E21" w:rsidP="00F42E21">
            <w:pPr>
              <w:pStyle w:val="NoSpacing"/>
            </w:pPr>
            <w:r w:rsidRPr="00F42E21">
              <w:t>Recombinant</w:t>
            </w:r>
          </w:p>
        </w:tc>
        <w:tc>
          <w:tcPr>
            <w:tcW w:w="6747" w:type="dxa"/>
          </w:tcPr>
          <w:p w:rsidR="00F42E21" w:rsidRPr="00F42E21" w:rsidRDefault="00F42E21" w:rsidP="00F42E21">
            <w:pPr>
              <w:pStyle w:val="NoSpacing"/>
            </w:pPr>
            <w:r w:rsidRPr="00F42E21">
              <w:t>Genetically engineered product</w:t>
            </w:r>
          </w:p>
        </w:tc>
      </w:tr>
    </w:tbl>
    <w:p w:rsidR="00F42E21" w:rsidRDefault="00F42E21" w:rsidP="00F42E21"/>
    <w:p w:rsidR="00F42E21" w:rsidRDefault="00F42E21">
      <w:pPr>
        <w:spacing w:line="276" w:lineRule="auto"/>
      </w:pPr>
      <w:r>
        <w:br w:type="page"/>
      </w:r>
    </w:p>
    <w:p w:rsidR="00F42E21" w:rsidRPr="00F42E21" w:rsidRDefault="00F42E21" w:rsidP="00F42E21">
      <w:pPr>
        <w:pStyle w:val="Heading1"/>
      </w:pPr>
      <w:bookmarkStart w:id="6" w:name="_Toc469981779"/>
      <w:r>
        <w:lastRenderedPageBreak/>
        <w:t>Introduction</w:t>
      </w:r>
      <w:bookmarkEnd w:id="6"/>
    </w:p>
    <w:p w:rsidR="00F42E21" w:rsidRDefault="00F42E21" w:rsidP="00F42E21">
      <w:pPr>
        <w:pStyle w:val="Heading2"/>
      </w:pPr>
      <w:bookmarkStart w:id="7" w:name="_Toc469981780"/>
      <w:r>
        <w:t>The role of the National Blood Authority</w:t>
      </w:r>
      <w:bookmarkEnd w:id="7"/>
    </w:p>
    <w:p w:rsidR="00F42E21" w:rsidRDefault="00F42E21" w:rsidP="00F42E21">
      <w:r>
        <w:t>The National Blood Authority (NBA) is responsible for contractual arrangements to ensure that Australia’s blood and blood product supply is secure, safe, adequate and affordable.</w:t>
      </w:r>
    </w:p>
    <w:p w:rsidR="00F42E21" w:rsidRDefault="00F42E21" w:rsidP="00F42E21">
      <w:r>
        <w:t xml:space="preserve">To find out further information about the NBA visit the NBA website </w:t>
      </w:r>
      <w:hyperlink r:id="rId10" w:history="1">
        <w:r w:rsidR="006B2E60" w:rsidRPr="006B2E60">
          <w:rPr>
            <w:rStyle w:val="Hyperlink"/>
          </w:rPr>
          <w:t>https://www.blood.gov.au/</w:t>
        </w:r>
      </w:hyperlink>
    </w:p>
    <w:p w:rsidR="00F42E21" w:rsidRDefault="00F42E21" w:rsidP="00F42E21">
      <w:pPr>
        <w:pStyle w:val="Heading2"/>
      </w:pPr>
      <w:bookmarkStart w:id="8" w:name="_Toc469981781"/>
      <w:r>
        <w:t>Informed purchasing</w:t>
      </w:r>
      <w:bookmarkEnd w:id="8"/>
    </w:p>
    <w:p w:rsidR="00F42E21" w:rsidRDefault="00F42E21" w:rsidP="00F42E21">
      <w:r>
        <w:t>The NBA has been charged by all Australian governments with purchasing blood and blood products on their behalf for all patients.  The maintenance of blood supply is an essential health service, and we aim to be a leading government agency in exercising this responsibility, and improve supply.</w:t>
      </w:r>
    </w:p>
    <w:p w:rsidR="00F42E21" w:rsidRDefault="00F42E21" w:rsidP="00F42E21">
      <w:r>
        <w:t xml:space="preserve">The NBA is the national manager of a number of contracts with suppliers of blood and blood products, including imported plasma and recombinant products (IPRP). Australian governments currently provide a total of over $1 billion annually to the NBA for these contracts.  Under the national supply arrangements patients receive blood products free of charge, including products for treating haemophilia and other bleeding disorders.  The NBA purchases products which meet the regulatory requirements for product safety, quality and efficacy of the </w:t>
      </w:r>
      <w:r w:rsidRPr="000F221B">
        <w:rPr>
          <w:i/>
        </w:rPr>
        <w:t>Therapeutic Goods Act 1989</w:t>
      </w:r>
      <w:r>
        <w:t>.</w:t>
      </w:r>
      <w:r w:rsidR="000A3D4C">
        <w:t xml:space="preserve">  The NBA undertakes national supply planning to ensure that the supply of products is available to meet clinical requirements in Australia.</w:t>
      </w:r>
    </w:p>
    <w:p w:rsidR="006C0AEC" w:rsidRPr="00486D77" w:rsidRDefault="006C0AEC" w:rsidP="00F42E21">
      <w:r>
        <w:t xml:space="preserve">Where new product types or new variants of existing products are developed, in some cases these require consideration through a health technology assessment process described in Schedule 4 of the National Blood Agreement (see </w:t>
      </w:r>
      <w:hyperlink r:id="rId11" w:history="1">
        <w:r w:rsidRPr="00AC1AAB">
          <w:rPr>
            <w:rStyle w:val="Hyperlink"/>
          </w:rPr>
          <w:t>https://www.blood.gov.au/changes-national-product-list</w:t>
        </w:r>
      </w:hyperlink>
      <w:r>
        <w:t xml:space="preserve"> ) so that a decision can be made by governments about whether these products should be brought within the supply and funding arrangements managed by the NBA.  The NBA manages the process for </w:t>
      </w:r>
      <w:r w:rsidR="000A3D4C">
        <w:t>such proposals to be made and evaluated</w:t>
      </w:r>
      <w:r w:rsidR="00486D77">
        <w:t>,</w:t>
      </w:r>
      <w:r w:rsidR="000A3D4C">
        <w:t xml:space="preserve"> to support government decision making. </w:t>
      </w:r>
      <w:r w:rsidR="00486D77">
        <w:t xml:space="preserve">(Please note that this </w:t>
      </w:r>
      <w:r w:rsidR="00486D77" w:rsidRPr="000F221B">
        <w:rPr>
          <w:rFonts w:asciiTheme="minorHAnsi" w:hAnsiTheme="minorHAnsi" w:cstheme="minorHAnsi"/>
        </w:rPr>
        <w:t>consultation process is not directly a process for deciding that new variants or alternatives can be added to the arrangements managed by the NBA).</w:t>
      </w:r>
    </w:p>
    <w:p w:rsidR="00F42E21" w:rsidRDefault="00F42E21" w:rsidP="00F42E21">
      <w:pPr>
        <w:pStyle w:val="Heading2"/>
      </w:pPr>
      <w:bookmarkStart w:id="9" w:name="_Toc469981782"/>
      <w:r>
        <w:t>Current arrangements for imported plasma and recombinant products</w:t>
      </w:r>
      <w:bookmarkEnd w:id="9"/>
    </w:p>
    <w:p w:rsidR="00F42E21" w:rsidRDefault="00F42E21" w:rsidP="00F42E21">
      <w:r>
        <w:t>Under the national blood arrangements administered by the NBA, Australia imports a range of plasma derived and recombinant products, including those listed in Table 1:</w:t>
      </w:r>
    </w:p>
    <w:p w:rsidR="002B2CD6" w:rsidRPr="001F375C" w:rsidRDefault="002B2CD6" w:rsidP="002B2CD6">
      <w:pPr>
        <w:rPr>
          <w:b/>
        </w:rPr>
      </w:pPr>
      <w:r w:rsidRPr="001F375C">
        <w:rPr>
          <w:b/>
        </w:rPr>
        <w:t>Table 1</w:t>
      </w:r>
      <w:r w:rsidR="001F375C" w:rsidRPr="001F375C">
        <w:rPr>
          <w:b/>
        </w:rPr>
        <w:t>:</w:t>
      </w:r>
      <w:r w:rsidRPr="001F375C">
        <w:rPr>
          <w:b/>
        </w:rPr>
        <w:t xml:space="preserve"> </w:t>
      </w:r>
      <w:r w:rsidR="000A3D4C">
        <w:rPr>
          <w:b/>
        </w:rPr>
        <w:t xml:space="preserve">Imported </w:t>
      </w:r>
      <w:r w:rsidR="001F375C" w:rsidRPr="001F375C">
        <w:rPr>
          <w:b/>
        </w:rPr>
        <w:t xml:space="preserve">Plasma and Recombinant </w:t>
      </w:r>
      <w:r w:rsidRPr="001F375C">
        <w:rPr>
          <w:b/>
        </w:rPr>
        <w:t xml:space="preserve">Products </w:t>
      </w:r>
    </w:p>
    <w:tbl>
      <w:tblPr>
        <w:tblStyle w:val="TableGrid"/>
        <w:tblW w:w="0" w:type="auto"/>
        <w:jc w:val="center"/>
        <w:tblLook w:val="0420" w:firstRow="1" w:lastRow="0" w:firstColumn="0" w:lastColumn="0" w:noHBand="0" w:noVBand="1"/>
      </w:tblPr>
      <w:tblGrid>
        <w:gridCol w:w="4846"/>
        <w:gridCol w:w="4427"/>
      </w:tblGrid>
      <w:tr w:rsidR="002B2CD6" w:rsidTr="003A2A58">
        <w:trPr>
          <w:cnfStyle w:val="100000000000" w:firstRow="1" w:lastRow="0" w:firstColumn="0" w:lastColumn="0" w:oddVBand="0" w:evenVBand="0" w:oddHBand="0" w:evenHBand="0" w:firstRowFirstColumn="0" w:firstRowLastColumn="0" w:lastRowFirstColumn="0" w:lastRowLastColumn="0"/>
          <w:trHeight w:val="42"/>
          <w:tblHeader/>
          <w:jc w:val="center"/>
        </w:trPr>
        <w:tc>
          <w:tcPr>
            <w:tcW w:w="4846" w:type="dxa"/>
            <w:shd w:val="clear" w:color="auto" w:fill="92D050"/>
          </w:tcPr>
          <w:p w:rsidR="002B2CD6" w:rsidRPr="0005083D" w:rsidRDefault="002B2CD6" w:rsidP="002B2CD6">
            <w:pPr>
              <w:pStyle w:val="NoSpacing"/>
              <w:rPr>
                <w:b w:val="0"/>
              </w:rPr>
            </w:pPr>
            <w:r w:rsidRPr="0005083D">
              <w:t>Recombinant products:</w:t>
            </w:r>
          </w:p>
        </w:tc>
        <w:tc>
          <w:tcPr>
            <w:tcW w:w="4427" w:type="dxa"/>
            <w:shd w:val="clear" w:color="auto" w:fill="92D050"/>
          </w:tcPr>
          <w:p w:rsidR="002B2CD6" w:rsidRPr="0005083D" w:rsidRDefault="002B2CD6" w:rsidP="002B2CD6">
            <w:pPr>
              <w:pStyle w:val="NoSpacing"/>
              <w:rPr>
                <w:b w:val="0"/>
              </w:rPr>
            </w:pPr>
            <w:r w:rsidRPr="0005083D">
              <w:t>Plasma derived products:</w:t>
            </w:r>
          </w:p>
        </w:tc>
      </w:tr>
      <w:tr w:rsidR="002B2CD6" w:rsidTr="002B2CD6">
        <w:trPr>
          <w:jc w:val="center"/>
        </w:trPr>
        <w:tc>
          <w:tcPr>
            <w:tcW w:w="4846" w:type="dxa"/>
          </w:tcPr>
          <w:p w:rsidR="001F375C" w:rsidRDefault="001F375C" w:rsidP="002B2CD6">
            <w:r>
              <w:t xml:space="preserve">Factor </w:t>
            </w:r>
            <w:proofErr w:type="spellStart"/>
            <w:r>
              <w:t>VIIa</w:t>
            </w:r>
            <w:proofErr w:type="spellEnd"/>
            <w:r>
              <w:t xml:space="preserve"> (</w:t>
            </w:r>
            <w:proofErr w:type="spellStart"/>
            <w:r>
              <w:t>rFVIIa</w:t>
            </w:r>
            <w:proofErr w:type="spellEnd"/>
            <w:r>
              <w:t>)</w:t>
            </w:r>
          </w:p>
          <w:p w:rsidR="002B2CD6" w:rsidRDefault="002B2CD6" w:rsidP="002B2CD6">
            <w:r>
              <w:t>Factor VIII (</w:t>
            </w:r>
            <w:proofErr w:type="spellStart"/>
            <w:r>
              <w:t>rFVIII</w:t>
            </w:r>
            <w:proofErr w:type="spellEnd"/>
            <w:r>
              <w:t>)</w:t>
            </w:r>
          </w:p>
          <w:p w:rsidR="002B2CD6" w:rsidRDefault="002B2CD6" w:rsidP="002B2CD6">
            <w:r>
              <w:t>Factor IX (rFIX)</w:t>
            </w:r>
          </w:p>
          <w:p w:rsidR="002B2CD6" w:rsidRDefault="002B2CD6" w:rsidP="002B2CD6"/>
        </w:tc>
        <w:tc>
          <w:tcPr>
            <w:tcW w:w="4427" w:type="dxa"/>
          </w:tcPr>
          <w:p w:rsidR="002B2CD6" w:rsidRDefault="002B2CD6" w:rsidP="002B2CD6">
            <w:r>
              <w:t>Activated prothrombin complex concentrate</w:t>
            </w:r>
          </w:p>
          <w:p w:rsidR="002B2CD6" w:rsidRDefault="002B2CD6" w:rsidP="002B2CD6">
            <w:r>
              <w:t>Anti-Rh(D) Immunoglobulin</w:t>
            </w:r>
          </w:p>
          <w:p w:rsidR="000A3D4C" w:rsidRDefault="000A3D4C" w:rsidP="002B2CD6">
            <w:r>
              <w:t>C1 esterase inhibitor concentrate</w:t>
            </w:r>
          </w:p>
          <w:p w:rsidR="002B2CD6" w:rsidRDefault="002B2CD6" w:rsidP="002B2CD6">
            <w:r>
              <w:t>Protein C</w:t>
            </w:r>
          </w:p>
          <w:p w:rsidR="002B2CD6" w:rsidRDefault="002B2CD6" w:rsidP="002B2CD6">
            <w:r>
              <w:t xml:space="preserve">Factor XI </w:t>
            </w:r>
          </w:p>
          <w:p w:rsidR="002B2CD6" w:rsidRDefault="002B2CD6" w:rsidP="002B2CD6">
            <w:r>
              <w:t>Factor XIII</w:t>
            </w:r>
          </w:p>
          <w:p w:rsidR="001F375C" w:rsidRDefault="006B2E60" w:rsidP="001F375C">
            <w:r>
              <w:t xml:space="preserve">Fibrinogen </w:t>
            </w:r>
            <w:r w:rsidR="001F375C">
              <w:t>Concentrate</w:t>
            </w:r>
          </w:p>
        </w:tc>
      </w:tr>
    </w:tbl>
    <w:p w:rsidR="002B2CD6" w:rsidRDefault="002B2CD6" w:rsidP="002B2CD6">
      <w:pPr>
        <w:spacing w:before="120"/>
      </w:pPr>
      <w:r>
        <w:t xml:space="preserve">The products in Table 1 have been treated as a group by the NBA for tendering and supply management purposes, under the general title of ‘Imported Plasma and Recombinant Products’ (IPRP).  </w:t>
      </w:r>
    </w:p>
    <w:p w:rsidR="000A3D4C" w:rsidRDefault="000A3D4C" w:rsidP="000A3D4C">
      <w:pPr>
        <w:pStyle w:val="Heading2"/>
      </w:pPr>
      <w:bookmarkStart w:id="10" w:name="_Toc469981783"/>
      <w:r>
        <w:t>IPRP products covered by this consultation</w:t>
      </w:r>
      <w:bookmarkEnd w:id="10"/>
    </w:p>
    <w:p w:rsidR="006B2E60" w:rsidRDefault="006B2E60" w:rsidP="006B2E60">
      <w:r>
        <w:t xml:space="preserve">The </w:t>
      </w:r>
      <w:r w:rsidR="006C0AEC">
        <w:t xml:space="preserve">IPRP </w:t>
      </w:r>
      <w:r>
        <w:t xml:space="preserve">products in Table 2 will expire over the period 30 June 2017 to 30 June 2018 </w:t>
      </w:r>
      <w:r w:rsidR="006C0AEC">
        <w:t xml:space="preserve">(unless the NBA exercises contractual options to extend) </w:t>
      </w:r>
      <w:r>
        <w:t>and are the products within the scope of this Stakeholder Consultation Paper.</w:t>
      </w:r>
      <w:r w:rsidR="000A3D4C">
        <w:t xml:space="preserve">  The NBA is interested in obtaining </w:t>
      </w:r>
      <w:r w:rsidR="002413C3">
        <w:t xml:space="preserve">relevant </w:t>
      </w:r>
      <w:r w:rsidR="000A3D4C">
        <w:t>in</w:t>
      </w:r>
      <w:r w:rsidR="002413C3">
        <w:t xml:space="preserve">formation about these products.  To assist with forward planning the NBA is also interested in obtaining information </w:t>
      </w:r>
      <w:r w:rsidR="000A3D4C">
        <w:t>about any new variants of these products, or any new products which are alternative treatments which may replace these products.</w:t>
      </w:r>
    </w:p>
    <w:p w:rsidR="006B2E60" w:rsidRDefault="006B2E60" w:rsidP="006B2E60">
      <w:pPr>
        <w:rPr>
          <w:b/>
        </w:rPr>
      </w:pPr>
      <w:r w:rsidRPr="00180929">
        <w:rPr>
          <w:b/>
        </w:rPr>
        <w:t xml:space="preserve">Table 2: Products </w:t>
      </w:r>
      <w:r w:rsidR="000A3D4C">
        <w:rPr>
          <w:b/>
        </w:rPr>
        <w:t>covered by this consultation</w:t>
      </w:r>
    </w:p>
    <w:tbl>
      <w:tblPr>
        <w:tblStyle w:val="TableGrid"/>
        <w:tblW w:w="0" w:type="auto"/>
        <w:tblLook w:val="04A0" w:firstRow="1" w:lastRow="0" w:firstColumn="1" w:lastColumn="0" w:noHBand="0" w:noVBand="1"/>
      </w:tblPr>
      <w:tblGrid>
        <w:gridCol w:w="4361"/>
      </w:tblGrid>
      <w:tr w:rsidR="006B2E60" w:rsidTr="000A3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92D050"/>
          </w:tcPr>
          <w:p w:rsidR="006B2E60" w:rsidRDefault="006B2E60" w:rsidP="000A3D4C">
            <w:pPr>
              <w:rPr>
                <w:b w:val="0"/>
              </w:rPr>
            </w:pPr>
            <w:r>
              <w:rPr>
                <w:b w:val="0"/>
              </w:rPr>
              <w:t>Recombinant products</w:t>
            </w:r>
          </w:p>
        </w:tc>
      </w:tr>
      <w:tr w:rsidR="001F375C" w:rsidTr="000A3D4C">
        <w:tc>
          <w:tcPr>
            <w:cnfStyle w:val="001000000000" w:firstRow="0" w:lastRow="0" w:firstColumn="1" w:lastColumn="0" w:oddVBand="0" w:evenVBand="0" w:oddHBand="0" w:evenHBand="0" w:firstRowFirstColumn="0" w:firstRowLastColumn="0" w:lastRowFirstColumn="0" w:lastRowLastColumn="0"/>
            <w:tcW w:w="4361" w:type="dxa"/>
          </w:tcPr>
          <w:p w:rsidR="001F375C" w:rsidRDefault="001F375C" w:rsidP="000A3D4C">
            <w:r>
              <w:rPr>
                <w:b w:val="0"/>
              </w:rPr>
              <w:t xml:space="preserve">Factor </w:t>
            </w:r>
            <w:proofErr w:type="spellStart"/>
            <w:r>
              <w:rPr>
                <w:b w:val="0"/>
              </w:rPr>
              <w:t>VIIa</w:t>
            </w:r>
            <w:proofErr w:type="spellEnd"/>
            <w:r>
              <w:rPr>
                <w:b w:val="0"/>
              </w:rPr>
              <w:t xml:space="preserve"> (</w:t>
            </w:r>
            <w:proofErr w:type="spellStart"/>
            <w:r>
              <w:rPr>
                <w:b w:val="0"/>
              </w:rPr>
              <w:t>rFVIIa</w:t>
            </w:r>
            <w:proofErr w:type="spellEnd"/>
            <w:r>
              <w:rPr>
                <w:b w:val="0"/>
              </w:rPr>
              <w:t>)</w:t>
            </w:r>
          </w:p>
        </w:tc>
      </w:tr>
      <w:tr w:rsidR="006B2E60" w:rsidTr="000A3D4C">
        <w:tc>
          <w:tcPr>
            <w:cnfStyle w:val="001000000000" w:firstRow="0" w:lastRow="0" w:firstColumn="1" w:lastColumn="0" w:oddVBand="0" w:evenVBand="0" w:oddHBand="0" w:evenHBand="0" w:firstRowFirstColumn="0" w:firstRowLastColumn="0" w:lastRowFirstColumn="0" w:lastRowLastColumn="0"/>
            <w:tcW w:w="4361" w:type="dxa"/>
          </w:tcPr>
          <w:p w:rsidR="006B2E60" w:rsidRDefault="006B2E60" w:rsidP="000A3D4C">
            <w:pPr>
              <w:rPr>
                <w:b w:val="0"/>
              </w:rPr>
            </w:pPr>
            <w:r>
              <w:rPr>
                <w:b w:val="0"/>
              </w:rPr>
              <w:t>Factor VIII (</w:t>
            </w:r>
            <w:proofErr w:type="spellStart"/>
            <w:r>
              <w:rPr>
                <w:b w:val="0"/>
              </w:rPr>
              <w:t>rFVIII</w:t>
            </w:r>
            <w:proofErr w:type="spellEnd"/>
            <w:r>
              <w:rPr>
                <w:b w:val="0"/>
              </w:rPr>
              <w:t>)</w:t>
            </w:r>
          </w:p>
        </w:tc>
      </w:tr>
      <w:tr w:rsidR="006B2E60" w:rsidTr="000A3D4C">
        <w:tc>
          <w:tcPr>
            <w:cnfStyle w:val="001000000000" w:firstRow="0" w:lastRow="0" w:firstColumn="1" w:lastColumn="0" w:oddVBand="0" w:evenVBand="0" w:oddHBand="0" w:evenHBand="0" w:firstRowFirstColumn="0" w:firstRowLastColumn="0" w:lastRowFirstColumn="0" w:lastRowLastColumn="0"/>
            <w:tcW w:w="4361" w:type="dxa"/>
          </w:tcPr>
          <w:p w:rsidR="006B2E60" w:rsidRDefault="006B2E60" w:rsidP="000A3D4C">
            <w:pPr>
              <w:rPr>
                <w:b w:val="0"/>
              </w:rPr>
            </w:pPr>
            <w:r>
              <w:rPr>
                <w:b w:val="0"/>
              </w:rPr>
              <w:t>Factor IX (</w:t>
            </w:r>
            <w:proofErr w:type="spellStart"/>
            <w:r>
              <w:rPr>
                <w:b w:val="0"/>
              </w:rPr>
              <w:t>rFIX</w:t>
            </w:r>
            <w:proofErr w:type="spellEnd"/>
            <w:r>
              <w:rPr>
                <w:b w:val="0"/>
              </w:rPr>
              <w:t>)</w:t>
            </w:r>
          </w:p>
        </w:tc>
      </w:tr>
    </w:tbl>
    <w:p w:rsidR="006B2E60" w:rsidRPr="00180929" w:rsidRDefault="006B2E60" w:rsidP="006B2E60">
      <w:pPr>
        <w:rPr>
          <w:b/>
        </w:rPr>
      </w:pPr>
    </w:p>
    <w:p w:rsidR="006B2E60" w:rsidRDefault="006B2E60" w:rsidP="002B2CD6">
      <w:pPr>
        <w:spacing w:before="120"/>
      </w:pPr>
    </w:p>
    <w:p w:rsidR="006B2E60" w:rsidRPr="006E571D" w:rsidRDefault="006B2E60" w:rsidP="006B2E60">
      <w:pPr>
        <w:pStyle w:val="Heading1"/>
      </w:pPr>
      <w:bookmarkStart w:id="11" w:name="_Toc469981784"/>
      <w:bookmarkStart w:id="12" w:name="_Toc356198875"/>
      <w:bookmarkStart w:id="13" w:name="_Toc356911021"/>
      <w:r w:rsidRPr="006E571D">
        <w:t xml:space="preserve">Future arrangements for supply of </w:t>
      </w:r>
      <w:r>
        <w:t>IPRP</w:t>
      </w:r>
      <w:bookmarkEnd w:id="11"/>
    </w:p>
    <w:p w:rsidR="006B2E60" w:rsidRDefault="006B2E60" w:rsidP="006B2E60">
      <w:pPr>
        <w:spacing w:before="120"/>
      </w:pPr>
      <w:r>
        <w:t>For the products</w:t>
      </w:r>
      <w:r w:rsidR="000A3D4C">
        <w:t xml:space="preserve"> covered by this consultation,</w:t>
      </w:r>
      <w:r>
        <w:t xml:space="preserve"> where the current contracts expire during 30 June 2017 to 30 June 2018, the NBA may decide to:</w:t>
      </w:r>
    </w:p>
    <w:p w:rsidR="006B2E60" w:rsidRDefault="000A3D4C" w:rsidP="006B2E60">
      <w:pPr>
        <w:pStyle w:val="ListParagraph"/>
        <w:numPr>
          <w:ilvl w:val="0"/>
          <w:numId w:val="25"/>
        </w:numPr>
      </w:pPr>
      <w:r>
        <w:t>e</w:t>
      </w:r>
      <w:r w:rsidR="006B2E60">
        <w:t xml:space="preserve">xercise available options </w:t>
      </w:r>
      <w:r>
        <w:t>to extend the contracts</w:t>
      </w:r>
    </w:p>
    <w:p w:rsidR="006B2E60" w:rsidRDefault="006B2E60" w:rsidP="006B2E60">
      <w:pPr>
        <w:pStyle w:val="ListParagraph"/>
        <w:numPr>
          <w:ilvl w:val="0"/>
          <w:numId w:val="25"/>
        </w:numPr>
      </w:pPr>
      <w:r>
        <w:t>go to tender</w:t>
      </w:r>
    </w:p>
    <w:p w:rsidR="006B2E60" w:rsidRDefault="006B2E60" w:rsidP="006B2E60">
      <w:pPr>
        <w:pStyle w:val="ListParagraph"/>
        <w:numPr>
          <w:ilvl w:val="0"/>
          <w:numId w:val="25"/>
        </w:numPr>
      </w:pPr>
      <w:r>
        <w:t>negotiate outside the tendering arrangement with suppliers</w:t>
      </w:r>
      <w:r w:rsidR="000A3D4C">
        <w:t xml:space="preserve"> (where permitted by </w:t>
      </w:r>
      <w:r w:rsidR="00B557F3">
        <w:t>procurement rules)</w:t>
      </w:r>
      <w:r>
        <w:t>; or</w:t>
      </w:r>
    </w:p>
    <w:p w:rsidR="006B2E60" w:rsidRDefault="006B2E60" w:rsidP="006B2E60">
      <w:pPr>
        <w:pStyle w:val="ListParagraph"/>
        <w:numPr>
          <w:ilvl w:val="0"/>
          <w:numId w:val="25"/>
        </w:numPr>
      </w:pPr>
      <w:proofErr w:type="gramStart"/>
      <w:r>
        <w:t>undertake</w:t>
      </w:r>
      <w:proofErr w:type="gramEnd"/>
      <w:r>
        <w:t xml:space="preserve"> a combination of these actions.</w:t>
      </w:r>
    </w:p>
    <w:p w:rsidR="006B2E60" w:rsidRDefault="006B2E60" w:rsidP="006B2E60">
      <w:r>
        <w:t>A range of factors may be relevant to inform future decision making, including:</w:t>
      </w:r>
    </w:p>
    <w:p w:rsidR="006B2E60" w:rsidRDefault="006B2E60" w:rsidP="006B2E60">
      <w:pPr>
        <w:pStyle w:val="ListParagraph"/>
        <w:numPr>
          <w:ilvl w:val="0"/>
          <w:numId w:val="26"/>
        </w:numPr>
      </w:pPr>
      <w:r>
        <w:t>clinical and other stakeholder requirements</w:t>
      </w:r>
    </w:p>
    <w:p w:rsidR="006B2E60" w:rsidRDefault="006B2E60" w:rsidP="006B2E60">
      <w:pPr>
        <w:pStyle w:val="ListParagraph"/>
        <w:numPr>
          <w:ilvl w:val="0"/>
          <w:numId w:val="26"/>
        </w:numPr>
      </w:pPr>
      <w:r>
        <w:t>market conditions and developments</w:t>
      </w:r>
    </w:p>
    <w:p w:rsidR="006B2E60" w:rsidRPr="00B4143E" w:rsidRDefault="006B2E60" w:rsidP="006B2E60">
      <w:pPr>
        <w:pStyle w:val="ListParagraph"/>
        <w:numPr>
          <w:ilvl w:val="0"/>
          <w:numId w:val="26"/>
        </w:numPr>
      </w:pPr>
      <w:r w:rsidRPr="00B4143E">
        <w:t>security of supply</w:t>
      </w:r>
    </w:p>
    <w:p w:rsidR="00B557F3" w:rsidRDefault="006B2E60" w:rsidP="006B2E60">
      <w:pPr>
        <w:pStyle w:val="ListParagraph"/>
        <w:numPr>
          <w:ilvl w:val="0"/>
          <w:numId w:val="26"/>
        </w:numPr>
      </w:pPr>
      <w:r>
        <w:t>value for money considerations</w:t>
      </w:r>
    </w:p>
    <w:p w:rsidR="006B2E60" w:rsidRDefault="00B557F3" w:rsidP="006B2E60">
      <w:pPr>
        <w:pStyle w:val="ListParagraph"/>
        <w:numPr>
          <w:ilvl w:val="0"/>
          <w:numId w:val="26"/>
        </w:numPr>
      </w:pPr>
      <w:proofErr w:type="gramStart"/>
      <w:r>
        <w:t>new</w:t>
      </w:r>
      <w:proofErr w:type="gramEnd"/>
      <w:r>
        <w:t xml:space="preserve"> product developments</w:t>
      </w:r>
      <w:r w:rsidR="006B2E60">
        <w:t xml:space="preserve">.  </w:t>
      </w:r>
    </w:p>
    <w:p w:rsidR="006B2E60" w:rsidRDefault="006B2E60" w:rsidP="006B2E60">
      <w:r>
        <w:t>The NBA is aware of a number of potentially relevant product development activities being undertaken by companies, including possible direct competitors for current IPRP products</w:t>
      </w:r>
      <w:r w:rsidR="00B557F3">
        <w:t xml:space="preserve"> or new variants or alternatives to these products.  The NBA is also aware of </w:t>
      </w:r>
      <w:r>
        <w:t xml:space="preserve">market intelligence indicators suggesting there may be potential to achieve improved value for money outcomes. </w:t>
      </w:r>
    </w:p>
    <w:p w:rsidR="006B2E60" w:rsidRDefault="006B2E60" w:rsidP="006B2E60">
      <w:r>
        <w:t xml:space="preserve">The NBA is conducting consultations with suppliers and stakeholders </w:t>
      </w:r>
      <w:r w:rsidR="00B557F3">
        <w:t xml:space="preserve">through </w:t>
      </w:r>
      <w:r>
        <w:t xml:space="preserve">a </w:t>
      </w:r>
      <w:r w:rsidR="00B557F3">
        <w:t>request for information,</w:t>
      </w:r>
      <w:r>
        <w:t xml:space="preserve"> and </w:t>
      </w:r>
      <w:r w:rsidR="00B557F3">
        <w:t xml:space="preserve">through this </w:t>
      </w:r>
      <w:r>
        <w:t>stakeholder consultation paper</w:t>
      </w:r>
      <w:r w:rsidR="00B557F3">
        <w:t>,</w:t>
      </w:r>
      <w:r>
        <w:t xml:space="preserve"> to inform forward </w:t>
      </w:r>
      <w:r w:rsidR="000A3D4C">
        <w:t xml:space="preserve">planning and </w:t>
      </w:r>
      <w:r>
        <w:t>decision making</w:t>
      </w:r>
      <w:r w:rsidR="00B557F3">
        <w:t xml:space="preserve"> and to obtain the best overall value for money in any future procurement arrangements</w:t>
      </w:r>
      <w:r>
        <w:t>.</w:t>
      </w:r>
    </w:p>
    <w:p w:rsidR="002B2CD6" w:rsidRPr="000F221B" w:rsidRDefault="006B2E60" w:rsidP="000F221B">
      <w:r>
        <w:t>The NBA is interested in seeking feedback from all stakeholders, including clinicians, nurses, scientists</w:t>
      </w:r>
      <w:r w:rsidR="00B557F3">
        <w:t>, patients and patient representative groups, as well as from</w:t>
      </w:r>
      <w:r>
        <w:t xml:space="preserve"> suppliers</w:t>
      </w:r>
      <w:r w:rsidR="00B557F3">
        <w:t xml:space="preserve">, for </w:t>
      </w:r>
      <w:r w:rsidR="00A65FB8">
        <w:t>these</w:t>
      </w:r>
      <w:r w:rsidR="00B557F3">
        <w:t xml:space="preserve"> purpose</w:t>
      </w:r>
      <w:r w:rsidR="00A65FB8">
        <w:t>s</w:t>
      </w:r>
      <w:r w:rsidR="002B2CD6">
        <w:br w:type="page"/>
      </w:r>
    </w:p>
    <w:p w:rsidR="002B2CD6" w:rsidRPr="0096015D" w:rsidRDefault="002B2CD6" w:rsidP="002B2CD6">
      <w:pPr>
        <w:pStyle w:val="Heading1"/>
      </w:pPr>
      <w:bookmarkStart w:id="14" w:name="_Toc469981785"/>
      <w:r>
        <w:t xml:space="preserve">Purpose of </w:t>
      </w:r>
      <w:bookmarkEnd w:id="12"/>
      <w:bookmarkEnd w:id="13"/>
      <w:r w:rsidR="00F42E21">
        <w:t>consultation paper</w:t>
      </w:r>
      <w:bookmarkEnd w:id="14"/>
    </w:p>
    <w:p w:rsidR="00F42E21" w:rsidRDefault="001F375C" w:rsidP="00F42E21">
      <w:bookmarkStart w:id="15" w:name="_Toc356198876"/>
      <w:bookmarkStart w:id="16" w:name="_Toc356911022"/>
      <w:r>
        <w:t>This consultation p</w:t>
      </w:r>
      <w:r w:rsidR="00F42E21">
        <w:t>aper seeks feedback from users of imported plasma and recombinant products on th</w:t>
      </w:r>
      <w:r w:rsidR="006B2E60">
        <w:t xml:space="preserve">e products </w:t>
      </w:r>
      <w:r w:rsidR="00B557F3">
        <w:t>covered by the consultation</w:t>
      </w:r>
      <w:r w:rsidR="00F42E21">
        <w:t>.  A ke</w:t>
      </w:r>
      <w:r w:rsidR="006B2E60">
        <w:t>y outcome of this consultation p</w:t>
      </w:r>
      <w:r w:rsidR="00F42E21">
        <w:t>aper is to identify the needs of product users in relation to these products to inform decision</w:t>
      </w:r>
      <w:r w:rsidR="00B557F3">
        <w:t>s</w:t>
      </w:r>
      <w:r w:rsidR="00F42E21">
        <w:t xml:space="preserve"> to extend the current suite of contracts or conduct a</w:t>
      </w:r>
      <w:r w:rsidR="00B557F3">
        <w:t xml:space="preserve"> tender</w:t>
      </w:r>
      <w:r w:rsidR="00F42E21">
        <w:t>.</w:t>
      </w:r>
    </w:p>
    <w:p w:rsidR="00B557F3" w:rsidRPr="006B2E60" w:rsidRDefault="006B2E60" w:rsidP="00F42E21">
      <w:pPr>
        <w:rPr>
          <w:i/>
        </w:rPr>
      </w:pPr>
      <w:r>
        <w:t xml:space="preserve">Information on the product trends and volumes issued can be found in Part 2 of the Annual Report (2014-15) on the NBA website at </w:t>
      </w:r>
      <w:hyperlink r:id="rId12" w:history="1">
        <w:r w:rsidRPr="006E571D">
          <w:rPr>
            <w:rStyle w:val="Hyperlink"/>
          </w:rPr>
          <w:t>https://www.blood.gov.au/sites/default/files/nba-annualreport-2014-15-as-at-20151013sm_1.pdf</w:t>
        </w:r>
      </w:hyperlink>
      <w:proofErr w:type="gramStart"/>
      <w:r w:rsidR="00B557F3">
        <w:t xml:space="preserve"> </w:t>
      </w:r>
      <w:proofErr w:type="gramEnd"/>
      <w:r w:rsidR="00B557F3">
        <w:t xml:space="preserve"> .</w:t>
      </w:r>
    </w:p>
    <w:p w:rsidR="00F42E21" w:rsidRDefault="00F42E21" w:rsidP="000F221B">
      <w:r>
        <w:t xml:space="preserve">A Request for Information (RFI) has been disseminated to current and potential suppliers of imported plasma and recombinant products seeking information on products available to the NBA </w:t>
      </w:r>
      <w:r w:rsidR="006B2E60">
        <w:t>from 1 July 2017</w:t>
      </w:r>
      <w:r>
        <w:t>.  A copy of this RFI can be found on the NBA website.</w:t>
      </w:r>
    </w:p>
    <w:p w:rsidR="006B2E60" w:rsidRDefault="006B2E60" w:rsidP="006B2E60">
      <w:pPr>
        <w:spacing w:after="0"/>
      </w:pPr>
    </w:p>
    <w:p w:rsidR="002B2CD6" w:rsidRDefault="002802C2" w:rsidP="002B2CD6">
      <w:pPr>
        <w:pStyle w:val="Heading1"/>
      </w:pPr>
      <w:bookmarkStart w:id="17" w:name="_Toc469981786"/>
      <w:r>
        <w:t>Closing d</w:t>
      </w:r>
      <w:r w:rsidR="002B2CD6">
        <w:t>ate</w:t>
      </w:r>
      <w:bookmarkEnd w:id="15"/>
      <w:bookmarkEnd w:id="16"/>
      <w:bookmarkEnd w:id="17"/>
    </w:p>
    <w:p w:rsidR="008F0A1B" w:rsidRDefault="00F42E21" w:rsidP="008F0A1B">
      <w:pPr>
        <w:spacing w:after="0"/>
        <w:rPr>
          <w:b/>
        </w:rPr>
      </w:pPr>
      <w:bookmarkStart w:id="18" w:name="_Toc356198877"/>
      <w:bookmarkStart w:id="19" w:name="_Toc356911023"/>
      <w:r w:rsidRPr="00F42E21">
        <w:t xml:space="preserve">The NBA is seeking responses to the consultation items in Attachment A to this document </w:t>
      </w:r>
      <w:r w:rsidRPr="008F0A1B">
        <w:t>by</w:t>
      </w:r>
      <w:r w:rsidRPr="00F42E21">
        <w:rPr>
          <w:b/>
        </w:rPr>
        <w:t xml:space="preserve"> </w:t>
      </w:r>
    </w:p>
    <w:p w:rsidR="00F42E21" w:rsidRDefault="00F42E21" w:rsidP="008F0A1B">
      <w:pPr>
        <w:spacing w:after="0"/>
        <w:rPr>
          <w:b/>
        </w:rPr>
      </w:pPr>
      <w:r w:rsidRPr="00F42E21">
        <w:rPr>
          <w:b/>
        </w:rPr>
        <w:t xml:space="preserve">Friday </w:t>
      </w:r>
      <w:r w:rsidR="00F536CF">
        <w:rPr>
          <w:b/>
        </w:rPr>
        <w:t>17</w:t>
      </w:r>
      <w:bookmarkStart w:id="20" w:name="_GoBack"/>
      <w:bookmarkEnd w:id="20"/>
      <w:r w:rsidR="00B557F3">
        <w:rPr>
          <w:b/>
        </w:rPr>
        <w:t xml:space="preserve"> March 2017</w:t>
      </w:r>
      <w:r w:rsidRPr="00F42E21">
        <w:rPr>
          <w:b/>
        </w:rPr>
        <w:t>.</w:t>
      </w:r>
    </w:p>
    <w:p w:rsidR="008F0A1B" w:rsidRPr="00F42E21" w:rsidRDefault="008F0A1B" w:rsidP="008F0A1B">
      <w:pPr>
        <w:spacing w:after="0"/>
        <w:rPr>
          <w:b/>
          <w:bCs/>
        </w:rPr>
      </w:pPr>
    </w:p>
    <w:p w:rsidR="002B2CD6" w:rsidRDefault="002B2CD6" w:rsidP="002B2CD6">
      <w:pPr>
        <w:pStyle w:val="Heading1"/>
      </w:pPr>
      <w:bookmarkStart w:id="21" w:name="_Toc469981787"/>
      <w:r>
        <w:t>Providing your r</w:t>
      </w:r>
      <w:r w:rsidRPr="009B3A4A">
        <w:t>esponse</w:t>
      </w:r>
      <w:bookmarkEnd w:id="18"/>
      <w:bookmarkEnd w:id="19"/>
      <w:bookmarkEnd w:id="21"/>
    </w:p>
    <w:p w:rsidR="002B2CD6" w:rsidRDefault="002B2CD6" w:rsidP="002B2CD6">
      <w:r>
        <w:t xml:space="preserve">Please provide your response by answering the questions in </w:t>
      </w:r>
      <w:r w:rsidRPr="006B2E60">
        <w:rPr>
          <w:b/>
        </w:rPr>
        <w:t>Attachment A.</w:t>
      </w:r>
    </w:p>
    <w:p w:rsidR="002B2CD6" w:rsidRDefault="002B2CD6" w:rsidP="002B2CD6">
      <w:r>
        <w:t>The NBA may consider publishing a summary of responses on a de-identified basis.</w:t>
      </w:r>
    </w:p>
    <w:p w:rsidR="002B2CD6" w:rsidRDefault="002B2CD6" w:rsidP="002B2CD6">
      <w:r>
        <w:t>Forward your response to the NBA (Attenti</w:t>
      </w:r>
      <w:r w:rsidR="006B2E60">
        <w:t>on Consultation Coordinator) b</w:t>
      </w:r>
      <w:r>
        <w:t xml:space="preserve">y email:  </w:t>
      </w:r>
      <w:hyperlink r:id="rId13" w:history="1">
        <w:r w:rsidR="006B2E60" w:rsidRPr="00E2765E">
          <w:rPr>
            <w:rStyle w:val="Hyperlink"/>
          </w:rPr>
          <w:t>iprptender@blood.gov.au</w:t>
        </w:r>
      </w:hyperlink>
    </w:p>
    <w:p w:rsidR="002B2CD6" w:rsidRDefault="002B2CD6" w:rsidP="002B2CD6">
      <w:r>
        <w:t xml:space="preserve">Enquires about issues raised in this </w:t>
      </w:r>
      <w:r w:rsidR="00B557F3">
        <w:t xml:space="preserve">consultation </w:t>
      </w:r>
      <w:r>
        <w:t xml:space="preserve">may be directed to </w:t>
      </w:r>
      <w:hyperlink r:id="rId14" w:history="1">
        <w:r w:rsidR="006B2E60" w:rsidRPr="00E2765E">
          <w:rPr>
            <w:rStyle w:val="Hyperlink"/>
          </w:rPr>
          <w:t>iprptender@blood.gov.au</w:t>
        </w:r>
      </w:hyperlink>
    </w:p>
    <w:p w:rsidR="002B2CD6" w:rsidRDefault="002B2CD6" w:rsidP="002B2CD6">
      <w:pPr>
        <w:spacing w:line="276" w:lineRule="auto"/>
      </w:pPr>
      <w:r>
        <w:br w:type="page"/>
      </w:r>
    </w:p>
    <w:p w:rsidR="002B2CD6" w:rsidRDefault="002B2CD6" w:rsidP="002B2CD6">
      <w:pPr>
        <w:pStyle w:val="Heading1"/>
      </w:pPr>
      <w:bookmarkStart w:id="22" w:name="_Toc356198878"/>
      <w:bookmarkStart w:id="23" w:name="_Toc356911024"/>
      <w:bookmarkStart w:id="24" w:name="_Toc469981788"/>
      <w:r>
        <w:t xml:space="preserve">Attachment A – </w:t>
      </w:r>
      <w:bookmarkEnd w:id="22"/>
      <w:bookmarkEnd w:id="23"/>
      <w:r w:rsidR="00546B9F">
        <w:t>Issues for consultation</w:t>
      </w:r>
      <w:bookmarkEnd w:id="24"/>
    </w:p>
    <w:p w:rsidR="002B2CD6" w:rsidRPr="0005083D" w:rsidRDefault="002B2CD6" w:rsidP="002B2CD6">
      <w:pPr>
        <w:pStyle w:val="Heading2"/>
      </w:pPr>
      <w:bookmarkStart w:id="25" w:name="_Toc469981789"/>
      <w:r w:rsidRPr="0005083D">
        <w:t>Instructions</w:t>
      </w:r>
      <w:r>
        <w:t xml:space="preserve"> for responses</w:t>
      </w:r>
      <w:bookmarkEnd w:id="25"/>
      <w:r>
        <w:tab/>
      </w:r>
    </w:p>
    <w:p w:rsidR="002B2CD6" w:rsidRDefault="002B2CD6" w:rsidP="002B2CD6">
      <w:r>
        <w:t>Please provide your response by providing answers to the questions below in the format provided.  Please provide additional information by attachments if appropriate.</w:t>
      </w:r>
    </w:p>
    <w:p w:rsidR="002B2CD6" w:rsidRDefault="002B2CD6" w:rsidP="002B2CD6">
      <w:r>
        <w:t>The questions below are asked in relation to the following range of products</w:t>
      </w:r>
      <w:r w:rsidR="00B557F3">
        <w:t>, including potential variants or alternatives to those products</w:t>
      </w:r>
      <w:r>
        <w:t>:</w:t>
      </w:r>
    </w:p>
    <w:tbl>
      <w:tblPr>
        <w:tblStyle w:val="TableGrid"/>
        <w:tblW w:w="0" w:type="auto"/>
        <w:tblLook w:val="04A0" w:firstRow="1" w:lastRow="0" w:firstColumn="1" w:lastColumn="0" w:noHBand="0" w:noVBand="1"/>
      </w:tblPr>
      <w:tblGrid>
        <w:gridCol w:w="4361"/>
      </w:tblGrid>
      <w:tr w:rsidR="000377F4" w:rsidTr="000A3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92D050"/>
          </w:tcPr>
          <w:p w:rsidR="000377F4" w:rsidRDefault="000377F4" w:rsidP="000A3D4C">
            <w:pPr>
              <w:rPr>
                <w:b w:val="0"/>
              </w:rPr>
            </w:pPr>
            <w:r>
              <w:rPr>
                <w:b w:val="0"/>
              </w:rPr>
              <w:t>Recombinant products</w:t>
            </w:r>
          </w:p>
        </w:tc>
      </w:tr>
      <w:tr w:rsidR="007E3D88" w:rsidTr="000A3D4C">
        <w:tc>
          <w:tcPr>
            <w:cnfStyle w:val="001000000000" w:firstRow="0" w:lastRow="0" w:firstColumn="1" w:lastColumn="0" w:oddVBand="0" w:evenVBand="0" w:oddHBand="0" w:evenHBand="0" w:firstRowFirstColumn="0" w:firstRowLastColumn="0" w:lastRowFirstColumn="0" w:lastRowLastColumn="0"/>
            <w:tcW w:w="4361" w:type="dxa"/>
          </w:tcPr>
          <w:p w:rsidR="007E3D88" w:rsidRDefault="007E3D88" w:rsidP="000A3D4C">
            <w:r>
              <w:rPr>
                <w:b w:val="0"/>
              </w:rPr>
              <w:t xml:space="preserve">Factor </w:t>
            </w:r>
            <w:proofErr w:type="spellStart"/>
            <w:r>
              <w:rPr>
                <w:b w:val="0"/>
              </w:rPr>
              <w:t>VIIa</w:t>
            </w:r>
            <w:proofErr w:type="spellEnd"/>
            <w:r>
              <w:rPr>
                <w:b w:val="0"/>
              </w:rPr>
              <w:t xml:space="preserve"> (</w:t>
            </w:r>
            <w:proofErr w:type="spellStart"/>
            <w:r>
              <w:rPr>
                <w:b w:val="0"/>
              </w:rPr>
              <w:t>rFVIIa</w:t>
            </w:r>
            <w:proofErr w:type="spellEnd"/>
            <w:r>
              <w:rPr>
                <w:b w:val="0"/>
              </w:rPr>
              <w:t>)</w:t>
            </w:r>
          </w:p>
        </w:tc>
      </w:tr>
      <w:tr w:rsidR="000377F4" w:rsidTr="000A3D4C">
        <w:tc>
          <w:tcPr>
            <w:cnfStyle w:val="001000000000" w:firstRow="0" w:lastRow="0" w:firstColumn="1" w:lastColumn="0" w:oddVBand="0" w:evenVBand="0" w:oddHBand="0" w:evenHBand="0" w:firstRowFirstColumn="0" w:firstRowLastColumn="0" w:lastRowFirstColumn="0" w:lastRowLastColumn="0"/>
            <w:tcW w:w="4361" w:type="dxa"/>
          </w:tcPr>
          <w:p w:rsidR="000377F4" w:rsidRDefault="000377F4" w:rsidP="000A3D4C">
            <w:pPr>
              <w:rPr>
                <w:b w:val="0"/>
              </w:rPr>
            </w:pPr>
            <w:r>
              <w:rPr>
                <w:b w:val="0"/>
              </w:rPr>
              <w:t>Factor VIII (</w:t>
            </w:r>
            <w:proofErr w:type="spellStart"/>
            <w:r>
              <w:rPr>
                <w:b w:val="0"/>
              </w:rPr>
              <w:t>rFVIII</w:t>
            </w:r>
            <w:proofErr w:type="spellEnd"/>
            <w:r>
              <w:rPr>
                <w:b w:val="0"/>
              </w:rPr>
              <w:t>)</w:t>
            </w:r>
          </w:p>
        </w:tc>
      </w:tr>
      <w:tr w:rsidR="000377F4" w:rsidTr="000A3D4C">
        <w:tc>
          <w:tcPr>
            <w:cnfStyle w:val="001000000000" w:firstRow="0" w:lastRow="0" w:firstColumn="1" w:lastColumn="0" w:oddVBand="0" w:evenVBand="0" w:oddHBand="0" w:evenHBand="0" w:firstRowFirstColumn="0" w:firstRowLastColumn="0" w:lastRowFirstColumn="0" w:lastRowLastColumn="0"/>
            <w:tcW w:w="4361" w:type="dxa"/>
          </w:tcPr>
          <w:p w:rsidR="000377F4" w:rsidRDefault="000377F4" w:rsidP="000A3D4C">
            <w:pPr>
              <w:rPr>
                <w:b w:val="0"/>
              </w:rPr>
            </w:pPr>
            <w:r>
              <w:rPr>
                <w:b w:val="0"/>
              </w:rPr>
              <w:t>Factor IX (</w:t>
            </w:r>
            <w:proofErr w:type="spellStart"/>
            <w:r>
              <w:rPr>
                <w:b w:val="0"/>
              </w:rPr>
              <w:t>rFIX</w:t>
            </w:r>
            <w:proofErr w:type="spellEnd"/>
            <w:r>
              <w:rPr>
                <w:b w:val="0"/>
              </w:rPr>
              <w:t>)</w:t>
            </w:r>
          </w:p>
        </w:tc>
      </w:tr>
    </w:tbl>
    <w:p w:rsidR="00546B9F" w:rsidRDefault="002B2CD6" w:rsidP="00546B9F">
      <w:r>
        <w:br/>
      </w:r>
      <w:r w:rsidR="00546B9F">
        <w:t>The consultation paper targets a broad range of stakeholders and not all questions may be applicable to you or your organisation.  If you are not able to respond to a particular question, please indicate this as not applicable.</w:t>
      </w:r>
    </w:p>
    <w:p w:rsidR="002B2CD6" w:rsidRDefault="00546B9F" w:rsidP="00546B9F">
      <w:r>
        <w:t>There is space at the end of the table to include any additional comments in relation to the current or potential future arrangements for imported plasma and recombinant products, which are not covered by questions below.</w:t>
      </w:r>
    </w:p>
    <w:p w:rsidR="003A2A58" w:rsidRDefault="00546B9F" w:rsidP="003A2A58">
      <w:pPr>
        <w:pStyle w:val="Heading2"/>
      </w:pPr>
      <w:bookmarkStart w:id="26" w:name="_Toc469981790"/>
      <w:r>
        <w:t>Consultation Response</w:t>
      </w:r>
      <w:bookmarkEnd w:id="26"/>
    </w:p>
    <w:tbl>
      <w:tblPr>
        <w:tblW w:w="4943"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440"/>
      </w:tblGrid>
      <w:tr w:rsidR="00546B9F" w:rsidRPr="00301744" w:rsidTr="00C44516">
        <w:tc>
          <w:tcPr>
            <w:tcW w:w="5000" w:type="pct"/>
            <w:shd w:val="clear" w:color="auto" w:fill="93D050"/>
            <w:vAlign w:val="center"/>
          </w:tcPr>
          <w:p w:rsidR="00546B9F" w:rsidRDefault="00546B9F" w:rsidP="00546B9F">
            <w:pPr>
              <w:spacing w:after="0"/>
              <w:rPr>
                <w:rFonts w:asciiTheme="minorHAnsi" w:hAnsiTheme="minorHAnsi" w:cstheme="minorHAnsi"/>
                <w:b/>
              </w:rPr>
            </w:pPr>
            <w:r w:rsidRPr="00546B9F">
              <w:rPr>
                <w:rFonts w:asciiTheme="minorHAnsi" w:hAnsiTheme="minorHAnsi" w:cstheme="minorHAnsi"/>
                <w:b/>
              </w:rPr>
              <w:t>1.  YOUR ROLE</w:t>
            </w:r>
          </w:p>
        </w:tc>
      </w:tr>
      <w:tr w:rsidR="00546B9F" w:rsidRPr="00301744" w:rsidTr="00C44516">
        <w:tc>
          <w:tcPr>
            <w:tcW w:w="5000" w:type="pct"/>
            <w:shd w:val="clear" w:color="auto" w:fill="DCF0C6"/>
            <w:vAlign w:val="center"/>
          </w:tcPr>
          <w:p w:rsidR="00546B9F" w:rsidRPr="00301744" w:rsidRDefault="00546B9F" w:rsidP="000A3D4C">
            <w:pPr>
              <w:spacing w:before="120" w:after="120"/>
              <w:rPr>
                <w:rFonts w:asciiTheme="minorHAnsi" w:hAnsiTheme="minorHAnsi" w:cstheme="minorHAnsi"/>
                <w:b/>
              </w:rPr>
            </w:pPr>
            <w:r w:rsidRPr="00301744">
              <w:rPr>
                <w:rFonts w:asciiTheme="minorHAnsi" w:hAnsiTheme="minorHAnsi" w:cstheme="minorHAnsi"/>
                <w:b/>
              </w:rPr>
              <w:t>Please advise your role e.g. are you a patient, carer, nurse, doctor,</w:t>
            </w:r>
            <w:r>
              <w:rPr>
                <w:rFonts w:asciiTheme="minorHAnsi" w:hAnsiTheme="minorHAnsi" w:cstheme="minorHAnsi"/>
                <w:b/>
              </w:rPr>
              <w:t xml:space="preserve"> scientist,</w:t>
            </w:r>
            <w:r w:rsidRPr="00301744">
              <w:rPr>
                <w:rFonts w:asciiTheme="minorHAnsi" w:hAnsiTheme="minorHAnsi" w:cstheme="minorHAnsi"/>
                <w:b/>
              </w:rPr>
              <w:t xml:space="preserve"> administrative officer or other (please indicate).</w:t>
            </w:r>
          </w:p>
          <w:p w:rsidR="00546B9F" w:rsidRPr="00301744" w:rsidRDefault="00546B9F" w:rsidP="000A3D4C">
            <w:pPr>
              <w:spacing w:before="120" w:after="120"/>
              <w:jc w:val="both"/>
              <w:rPr>
                <w:rFonts w:asciiTheme="minorHAnsi" w:hAnsiTheme="minorHAnsi" w:cstheme="minorHAnsi"/>
                <w:b/>
              </w:rPr>
            </w:pPr>
            <w:r w:rsidRPr="00301744">
              <w:rPr>
                <w:rFonts w:asciiTheme="minorHAnsi" w:hAnsiTheme="minorHAnsi" w:cstheme="minorHAnsi"/>
                <w:b/>
              </w:rPr>
              <w:t>If you work for or represent an organisation such as a hospital, Haemophilia Treatment Centre, patient group or clinical college or association, please identify which organisation.</w:t>
            </w:r>
          </w:p>
        </w:tc>
      </w:tr>
      <w:tr w:rsidR="00546B9F" w:rsidRPr="00301744" w:rsidTr="00C44516">
        <w:trPr>
          <w:trHeight w:val="1922"/>
        </w:trPr>
        <w:tc>
          <w:tcPr>
            <w:tcW w:w="5000" w:type="pct"/>
          </w:tcPr>
          <w:p w:rsidR="00546B9F" w:rsidRPr="00301744" w:rsidRDefault="00546B9F" w:rsidP="00C44516">
            <w:pPr>
              <w:spacing w:before="120" w:after="120"/>
              <w:jc w:val="both"/>
              <w:rPr>
                <w:rFonts w:asciiTheme="minorHAnsi" w:hAnsiTheme="minorHAnsi" w:cstheme="minorHAnsi"/>
                <w:b/>
              </w:rPr>
            </w:pPr>
          </w:p>
        </w:tc>
      </w:tr>
      <w:tr w:rsidR="00C44516" w:rsidRPr="00301744" w:rsidTr="00C44516">
        <w:tc>
          <w:tcPr>
            <w:tcW w:w="5000" w:type="pct"/>
            <w:shd w:val="clear" w:color="auto" w:fill="93D050"/>
            <w:vAlign w:val="center"/>
          </w:tcPr>
          <w:p w:rsidR="00C44516" w:rsidRDefault="00C44516" w:rsidP="000A3D4C">
            <w:pPr>
              <w:spacing w:after="0"/>
              <w:rPr>
                <w:rFonts w:asciiTheme="minorHAnsi" w:hAnsiTheme="minorHAnsi" w:cstheme="minorHAnsi"/>
                <w:b/>
              </w:rPr>
            </w:pPr>
            <w:r>
              <w:rPr>
                <w:rFonts w:asciiTheme="minorHAnsi" w:hAnsiTheme="minorHAnsi" w:cstheme="minorHAnsi"/>
                <w:b/>
              </w:rPr>
              <w:t>2. PRODUCT DEMAND</w:t>
            </w:r>
          </w:p>
        </w:tc>
      </w:tr>
      <w:tr w:rsidR="00546B9F" w:rsidRPr="00301744" w:rsidTr="00C44516">
        <w:tc>
          <w:tcPr>
            <w:tcW w:w="5000" w:type="pct"/>
            <w:shd w:val="clear" w:color="auto" w:fill="DCF0C6"/>
            <w:vAlign w:val="center"/>
          </w:tcPr>
          <w:p w:rsidR="00546B9F" w:rsidRPr="004171F2" w:rsidRDefault="00546B9F" w:rsidP="00C44516">
            <w:pPr>
              <w:spacing w:after="0"/>
              <w:rPr>
                <w:rFonts w:asciiTheme="minorHAnsi" w:hAnsiTheme="minorHAnsi" w:cstheme="minorHAnsi"/>
              </w:rPr>
            </w:pPr>
            <w:r w:rsidRPr="00301744">
              <w:rPr>
                <w:rFonts w:asciiTheme="minorHAnsi" w:hAnsiTheme="minorHAnsi" w:cstheme="minorHAnsi"/>
                <w:b/>
              </w:rPr>
              <w:t>Are you aware of any recent or potential future changes in relation to the pattern of clinical use of the products</w:t>
            </w:r>
            <w:r>
              <w:rPr>
                <w:rFonts w:asciiTheme="minorHAnsi" w:hAnsiTheme="minorHAnsi" w:cstheme="minorHAnsi"/>
                <w:b/>
              </w:rPr>
              <w:t xml:space="preserve"> that may materially affect demand over the next five years</w:t>
            </w:r>
            <w:r w:rsidRPr="00301744">
              <w:rPr>
                <w:rFonts w:asciiTheme="minorHAnsi" w:hAnsiTheme="minorHAnsi" w:cstheme="minorHAnsi"/>
                <w:b/>
              </w:rPr>
              <w:t xml:space="preserve">?  If so, please provide details. </w:t>
            </w:r>
          </w:p>
        </w:tc>
      </w:tr>
      <w:tr w:rsidR="00546B9F" w:rsidRPr="00301744" w:rsidTr="00C44516">
        <w:trPr>
          <w:trHeight w:val="1557"/>
        </w:trPr>
        <w:tc>
          <w:tcPr>
            <w:tcW w:w="5000" w:type="pct"/>
          </w:tcPr>
          <w:p w:rsidR="00546B9F" w:rsidRDefault="00546B9F" w:rsidP="00C44516">
            <w:pPr>
              <w:spacing w:before="120" w:after="120"/>
              <w:jc w:val="both"/>
              <w:rPr>
                <w:rFonts w:asciiTheme="minorHAnsi" w:hAnsiTheme="minorHAnsi" w:cstheme="minorHAnsi"/>
                <w:b/>
              </w:rPr>
            </w:pPr>
          </w:p>
          <w:p w:rsidR="000377F4" w:rsidRDefault="000377F4" w:rsidP="00C44516">
            <w:pPr>
              <w:spacing w:before="120" w:after="120"/>
              <w:jc w:val="both"/>
              <w:rPr>
                <w:rFonts w:asciiTheme="minorHAnsi" w:hAnsiTheme="minorHAnsi" w:cstheme="minorHAnsi"/>
                <w:b/>
              </w:rPr>
            </w:pPr>
          </w:p>
          <w:p w:rsidR="000377F4" w:rsidRDefault="000377F4" w:rsidP="00C44516">
            <w:pPr>
              <w:spacing w:before="120" w:after="120"/>
              <w:jc w:val="both"/>
              <w:rPr>
                <w:rFonts w:asciiTheme="minorHAnsi" w:hAnsiTheme="minorHAnsi" w:cstheme="minorHAnsi"/>
                <w:b/>
              </w:rPr>
            </w:pPr>
          </w:p>
          <w:p w:rsidR="000377F4" w:rsidRPr="00301744" w:rsidRDefault="000377F4" w:rsidP="00C44516">
            <w:pPr>
              <w:spacing w:before="120" w:after="120"/>
              <w:jc w:val="both"/>
              <w:rPr>
                <w:rFonts w:asciiTheme="minorHAnsi" w:hAnsiTheme="minorHAnsi" w:cstheme="minorHAnsi"/>
                <w:b/>
              </w:rPr>
            </w:pPr>
          </w:p>
        </w:tc>
      </w:tr>
      <w:tr w:rsidR="00C44516" w:rsidRPr="00301744" w:rsidTr="00C44516">
        <w:tc>
          <w:tcPr>
            <w:tcW w:w="5000" w:type="pct"/>
            <w:shd w:val="clear" w:color="auto" w:fill="93D050"/>
            <w:vAlign w:val="center"/>
          </w:tcPr>
          <w:p w:rsidR="00C44516" w:rsidRDefault="00C44516" w:rsidP="000A3D4C">
            <w:pPr>
              <w:spacing w:after="0"/>
              <w:rPr>
                <w:rFonts w:asciiTheme="minorHAnsi" w:hAnsiTheme="minorHAnsi" w:cstheme="minorHAnsi"/>
                <w:b/>
              </w:rPr>
            </w:pPr>
            <w:r w:rsidRPr="00C44516">
              <w:rPr>
                <w:rFonts w:asciiTheme="minorHAnsi" w:hAnsiTheme="minorHAnsi" w:cstheme="minorHAnsi"/>
                <w:b/>
              </w:rPr>
              <w:t>3.  PRODUCT RANGE AND CHOICE</w:t>
            </w:r>
          </w:p>
        </w:tc>
      </w:tr>
      <w:tr w:rsidR="00546B9F" w:rsidRPr="00301744" w:rsidTr="00C44516">
        <w:tc>
          <w:tcPr>
            <w:tcW w:w="5000" w:type="pct"/>
            <w:shd w:val="clear" w:color="auto" w:fill="DCF0C6"/>
            <w:vAlign w:val="center"/>
          </w:tcPr>
          <w:p w:rsidR="00546B9F" w:rsidRDefault="00546B9F" w:rsidP="000A3D4C">
            <w:pPr>
              <w:keepNext/>
              <w:spacing w:before="120" w:after="120"/>
              <w:rPr>
                <w:rFonts w:asciiTheme="minorHAnsi" w:hAnsiTheme="minorHAnsi" w:cstheme="minorHAnsi"/>
                <w:b/>
              </w:rPr>
            </w:pPr>
            <w:r>
              <w:rPr>
                <w:rFonts w:asciiTheme="minorHAnsi" w:hAnsiTheme="minorHAnsi" w:cstheme="minorHAnsi"/>
                <w:b/>
              </w:rPr>
              <w:t>a)  For some products more than one product brand may be available in the market.  Weighing the relative benefits and disadvantages of product brand choice, how important is it to you?</w:t>
            </w:r>
          </w:p>
          <w:p w:rsidR="00546B9F" w:rsidRPr="00AA6450" w:rsidRDefault="00546B9F" w:rsidP="00546B9F">
            <w:pPr>
              <w:pStyle w:val="ListParagraph"/>
              <w:keepNext/>
              <w:numPr>
                <w:ilvl w:val="0"/>
                <w:numId w:val="24"/>
              </w:numPr>
              <w:spacing w:before="120" w:after="120"/>
              <w:rPr>
                <w:rFonts w:asciiTheme="minorHAnsi" w:hAnsiTheme="minorHAnsi" w:cstheme="minorHAnsi"/>
                <w:b/>
              </w:rPr>
            </w:pPr>
            <w:r w:rsidRPr="00AA6450">
              <w:rPr>
                <w:rFonts w:asciiTheme="minorHAnsi" w:hAnsiTheme="minorHAnsi" w:cstheme="minorHAnsi"/>
                <w:b/>
              </w:rPr>
              <w:t>Important</w:t>
            </w:r>
          </w:p>
          <w:p w:rsidR="00546B9F" w:rsidRPr="00AA6450" w:rsidRDefault="00546B9F" w:rsidP="00546B9F">
            <w:pPr>
              <w:pStyle w:val="ListParagraph"/>
              <w:keepNext/>
              <w:numPr>
                <w:ilvl w:val="0"/>
                <w:numId w:val="24"/>
              </w:numPr>
              <w:spacing w:before="120" w:after="120"/>
              <w:rPr>
                <w:rFonts w:asciiTheme="minorHAnsi" w:hAnsiTheme="minorHAnsi" w:cstheme="minorHAnsi"/>
                <w:b/>
              </w:rPr>
            </w:pPr>
            <w:r w:rsidRPr="00AA6450">
              <w:rPr>
                <w:rFonts w:asciiTheme="minorHAnsi" w:hAnsiTheme="minorHAnsi" w:cstheme="minorHAnsi"/>
                <w:b/>
              </w:rPr>
              <w:t>Not important</w:t>
            </w:r>
          </w:p>
          <w:p w:rsidR="00546B9F" w:rsidRPr="00AA6450" w:rsidRDefault="00546B9F" w:rsidP="00546B9F">
            <w:pPr>
              <w:pStyle w:val="ListParagraph"/>
              <w:keepNext/>
              <w:numPr>
                <w:ilvl w:val="0"/>
                <w:numId w:val="24"/>
              </w:numPr>
              <w:spacing w:before="120" w:after="120"/>
              <w:rPr>
                <w:rFonts w:asciiTheme="minorHAnsi" w:hAnsiTheme="minorHAnsi" w:cstheme="minorHAnsi"/>
                <w:b/>
              </w:rPr>
            </w:pPr>
            <w:r w:rsidRPr="00AA6450">
              <w:rPr>
                <w:rFonts w:asciiTheme="minorHAnsi" w:hAnsiTheme="minorHAnsi" w:cstheme="minorHAnsi"/>
                <w:b/>
              </w:rPr>
              <w:t xml:space="preserve">Would prefer minimal </w:t>
            </w:r>
            <w:r>
              <w:rPr>
                <w:rFonts w:asciiTheme="minorHAnsi" w:hAnsiTheme="minorHAnsi" w:cstheme="minorHAnsi"/>
                <w:b/>
              </w:rPr>
              <w:t xml:space="preserve">product </w:t>
            </w:r>
            <w:r w:rsidRPr="00AA6450">
              <w:rPr>
                <w:rFonts w:asciiTheme="minorHAnsi" w:hAnsiTheme="minorHAnsi" w:cstheme="minorHAnsi"/>
                <w:b/>
              </w:rPr>
              <w:t>brand choice</w:t>
            </w:r>
          </w:p>
          <w:p w:rsidR="00546B9F" w:rsidRDefault="00546B9F" w:rsidP="000A3D4C">
            <w:pPr>
              <w:keepNext/>
              <w:spacing w:before="120" w:after="120"/>
              <w:rPr>
                <w:rFonts w:asciiTheme="minorHAnsi" w:hAnsiTheme="minorHAnsi" w:cstheme="minorHAnsi"/>
                <w:b/>
              </w:rPr>
            </w:pPr>
            <w:r>
              <w:rPr>
                <w:rFonts w:asciiTheme="minorHAnsi" w:hAnsiTheme="minorHAnsi" w:cstheme="minorHAnsi"/>
                <w:b/>
              </w:rPr>
              <w:t>Please provide some comment on what the key benefit or disadvantages influence your view.</w:t>
            </w:r>
          </w:p>
          <w:p w:rsidR="00546B9F" w:rsidRPr="00301744" w:rsidRDefault="00546B9F" w:rsidP="000A3D4C">
            <w:pPr>
              <w:keepNext/>
              <w:spacing w:before="120" w:after="120"/>
              <w:rPr>
                <w:rFonts w:asciiTheme="minorHAnsi" w:hAnsiTheme="minorHAnsi" w:cstheme="minorHAnsi"/>
                <w:b/>
              </w:rPr>
            </w:pPr>
            <w:r>
              <w:rPr>
                <w:rFonts w:asciiTheme="minorHAnsi" w:hAnsiTheme="minorHAnsi" w:cstheme="minorHAnsi"/>
                <w:b/>
              </w:rPr>
              <w:t>If product brand choice is important to you, d</w:t>
            </w:r>
            <w:r w:rsidRPr="00301744">
              <w:rPr>
                <w:rFonts w:asciiTheme="minorHAnsi" w:hAnsiTheme="minorHAnsi" w:cstheme="minorHAnsi"/>
                <w:b/>
              </w:rPr>
              <w:t xml:space="preserve">o the product options </w:t>
            </w:r>
            <w:r>
              <w:rPr>
                <w:rFonts w:asciiTheme="minorHAnsi" w:hAnsiTheme="minorHAnsi" w:cstheme="minorHAnsi"/>
                <w:b/>
              </w:rPr>
              <w:t xml:space="preserve">currently </w:t>
            </w:r>
            <w:r w:rsidRPr="00301744">
              <w:rPr>
                <w:rFonts w:asciiTheme="minorHAnsi" w:hAnsiTheme="minorHAnsi" w:cstheme="minorHAnsi"/>
                <w:b/>
              </w:rPr>
              <w:t>available provide sufficient choice for clinicians and patient</w:t>
            </w:r>
            <w:r>
              <w:rPr>
                <w:rFonts w:asciiTheme="minorHAnsi" w:hAnsiTheme="minorHAnsi" w:cstheme="minorHAnsi"/>
                <w:b/>
              </w:rPr>
              <w:t>s?  If not, please explain why not.</w:t>
            </w:r>
          </w:p>
        </w:tc>
      </w:tr>
      <w:tr w:rsidR="00546B9F" w:rsidRPr="00301744" w:rsidTr="00C44516">
        <w:trPr>
          <w:trHeight w:val="2020"/>
        </w:trPr>
        <w:tc>
          <w:tcPr>
            <w:tcW w:w="5000" w:type="pct"/>
          </w:tcPr>
          <w:p w:rsidR="00546B9F" w:rsidRPr="00301744" w:rsidRDefault="00546B9F" w:rsidP="00C44516">
            <w:pPr>
              <w:spacing w:before="120" w:after="120"/>
              <w:jc w:val="both"/>
              <w:rPr>
                <w:rFonts w:asciiTheme="minorHAnsi" w:hAnsiTheme="minorHAnsi" w:cstheme="minorHAnsi"/>
                <w:b/>
              </w:rPr>
            </w:pPr>
          </w:p>
        </w:tc>
      </w:tr>
      <w:tr w:rsidR="00546B9F" w:rsidRPr="00301744" w:rsidTr="00C44516">
        <w:tc>
          <w:tcPr>
            <w:tcW w:w="5000" w:type="pct"/>
            <w:shd w:val="clear" w:color="auto" w:fill="DCF0C6"/>
          </w:tcPr>
          <w:p w:rsidR="00546B9F" w:rsidRPr="00301744" w:rsidRDefault="00546B9F" w:rsidP="000A3D4C">
            <w:pPr>
              <w:keepNext/>
              <w:spacing w:before="120" w:after="120"/>
              <w:rPr>
                <w:rFonts w:asciiTheme="minorHAnsi" w:hAnsiTheme="minorHAnsi" w:cstheme="minorHAnsi"/>
                <w:b/>
              </w:rPr>
            </w:pPr>
            <w:r>
              <w:rPr>
                <w:rFonts w:asciiTheme="minorHAnsi" w:hAnsiTheme="minorHAnsi" w:cstheme="minorHAnsi"/>
                <w:b/>
              </w:rPr>
              <w:t>b</w:t>
            </w:r>
            <w:r w:rsidDel="00C63EAD">
              <w:rPr>
                <w:rFonts w:asciiTheme="minorHAnsi" w:hAnsiTheme="minorHAnsi" w:cstheme="minorHAnsi"/>
                <w:b/>
              </w:rPr>
              <w:t xml:space="preserve">) </w:t>
            </w:r>
            <w:r>
              <w:rPr>
                <w:rFonts w:asciiTheme="minorHAnsi" w:hAnsiTheme="minorHAnsi" w:cstheme="minorHAnsi"/>
                <w:b/>
              </w:rPr>
              <w:t xml:space="preserve"> </w:t>
            </w:r>
            <w:r w:rsidRPr="00301744" w:rsidDel="00C63EAD">
              <w:rPr>
                <w:rFonts w:asciiTheme="minorHAnsi" w:hAnsiTheme="minorHAnsi" w:cstheme="minorHAnsi"/>
                <w:b/>
              </w:rPr>
              <w:t xml:space="preserve">Does the current combination of vial sizes efficiently deliver the required dose?  If not, </w:t>
            </w:r>
            <w:r>
              <w:rPr>
                <w:rFonts w:asciiTheme="minorHAnsi" w:hAnsiTheme="minorHAnsi" w:cstheme="minorHAnsi"/>
                <w:b/>
              </w:rPr>
              <w:t>please explain why not.</w:t>
            </w:r>
          </w:p>
        </w:tc>
      </w:tr>
      <w:tr w:rsidR="00546B9F" w:rsidRPr="00301744" w:rsidTr="00C44516">
        <w:trPr>
          <w:trHeight w:val="1858"/>
        </w:trPr>
        <w:tc>
          <w:tcPr>
            <w:tcW w:w="5000" w:type="pct"/>
          </w:tcPr>
          <w:p w:rsidR="00546B9F" w:rsidRPr="00301744" w:rsidRDefault="00546B9F" w:rsidP="00C44516">
            <w:pPr>
              <w:spacing w:before="120" w:after="120"/>
              <w:jc w:val="both"/>
              <w:rPr>
                <w:rFonts w:asciiTheme="minorHAnsi" w:hAnsiTheme="minorHAnsi" w:cstheme="minorHAnsi"/>
                <w:b/>
              </w:rPr>
            </w:pPr>
          </w:p>
        </w:tc>
      </w:tr>
      <w:tr w:rsidR="00C44516" w:rsidRPr="00301744" w:rsidTr="00C44516">
        <w:tc>
          <w:tcPr>
            <w:tcW w:w="5000" w:type="pct"/>
            <w:shd w:val="clear" w:color="auto" w:fill="93D050"/>
            <w:vAlign w:val="center"/>
          </w:tcPr>
          <w:p w:rsidR="00C44516" w:rsidRDefault="00C44516" w:rsidP="000F221B">
            <w:pPr>
              <w:keepNext/>
              <w:spacing w:after="0"/>
              <w:rPr>
                <w:rFonts w:asciiTheme="minorHAnsi" w:hAnsiTheme="minorHAnsi" w:cstheme="minorHAnsi"/>
                <w:b/>
              </w:rPr>
            </w:pPr>
            <w:r>
              <w:rPr>
                <w:rFonts w:asciiTheme="minorHAnsi" w:hAnsiTheme="minorHAnsi" w:cstheme="minorHAnsi"/>
                <w:b/>
              </w:rPr>
              <w:t>4</w:t>
            </w:r>
            <w:r w:rsidRPr="00C44516">
              <w:rPr>
                <w:rFonts w:asciiTheme="minorHAnsi" w:hAnsiTheme="minorHAnsi" w:cstheme="minorHAnsi"/>
                <w:b/>
              </w:rPr>
              <w:t>.  CHANGE IN PRODUCT BRANDS</w:t>
            </w:r>
          </w:p>
        </w:tc>
      </w:tr>
      <w:tr w:rsidR="00546B9F" w:rsidRPr="00301744" w:rsidTr="00C44516">
        <w:tc>
          <w:tcPr>
            <w:tcW w:w="5000" w:type="pct"/>
            <w:shd w:val="clear" w:color="auto" w:fill="DCF0C6"/>
          </w:tcPr>
          <w:p w:rsidR="00546B9F" w:rsidRPr="00301744" w:rsidDel="00C63EAD" w:rsidRDefault="00546B9F" w:rsidP="000A3D4C">
            <w:pPr>
              <w:keepNext/>
              <w:keepLines/>
              <w:spacing w:before="120" w:after="120"/>
              <w:rPr>
                <w:rFonts w:asciiTheme="minorHAnsi" w:hAnsiTheme="minorHAnsi" w:cstheme="minorHAnsi"/>
                <w:b/>
              </w:rPr>
            </w:pPr>
            <w:r>
              <w:rPr>
                <w:rFonts w:asciiTheme="minorHAnsi" w:hAnsiTheme="minorHAnsi" w:cstheme="minorHAnsi"/>
                <w:b/>
              </w:rPr>
              <w:t>If the NBA were to issue a request for tender for sup</w:t>
            </w:r>
            <w:r w:rsidR="000377F4">
              <w:rPr>
                <w:rFonts w:asciiTheme="minorHAnsi" w:hAnsiTheme="minorHAnsi" w:cstheme="minorHAnsi"/>
                <w:b/>
              </w:rPr>
              <w:t>ply of products from 1 July 2017</w:t>
            </w:r>
            <w:r>
              <w:rPr>
                <w:rFonts w:asciiTheme="minorHAnsi" w:hAnsiTheme="minorHAnsi" w:cstheme="minorHAnsi"/>
                <w:b/>
              </w:rPr>
              <w:t>, p</w:t>
            </w:r>
            <w:r w:rsidRPr="00301744" w:rsidDel="00C63EAD">
              <w:rPr>
                <w:rFonts w:asciiTheme="minorHAnsi" w:hAnsiTheme="minorHAnsi" w:cstheme="minorHAnsi"/>
                <w:b/>
              </w:rPr>
              <w:t>ossible outcomes</w:t>
            </w:r>
            <w:r w:rsidRPr="00301744" w:rsidDel="00B01D9C">
              <w:rPr>
                <w:rFonts w:asciiTheme="minorHAnsi" w:hAnsiTheme="minorHAnsi" w:cstheme="minorHAnsi"/>
                <w:b/>
              </w:rPr>
              <w:t xml:space="preserve"> </w:t>
            </w:r>
            <w:r>
              <w:rPr>
                <w:rFonts w:asciiTheme="minorHAnsi" w:hAnsiTheme="minorHAnsi" w:cstheme="minorHAnsi"/>
                <w:b/>
              </w:rPr>
              <w:t xml:space="preserve">for some products </w:t>
            </w:r>
            <w:r w:rsidRPr="00301744" w:rsidDel="00C63EAD">
              <w:rPr>
                <w:rFonts w:asciiTheme="minorHAnsi" w:hAnsiTheme="minorHAnsi" w:cstheme="minorHAnsi"/>
                <w:b/>
              </w:rPr>
              <w:t>include:</w:t>
            </w:r>
          </w:p>
          <w:p w:rsidR="00546B9F" w:rsidRPr="00D96950" w:rsidDel="00C63EAD" w:rsidRDefault="00546B9F" w:rsidP="00546B9F">
            <w:pPr>
              <w:pStyle w:val="ListParagraph"/>
              <w:keepNext/>
              <w:keepLines/>
              <w:numPr>
                <w:ilvl w:val="0"/>
                <w:numId w:val="23"/>
              </w:numPr>
              <w:tabs>
                <w:tab w:val="left" w:pos="962"/>
              </w:tabs>
              <w:spacing w:before="120" w:after="120"/>
              <w:rPr>
                <w:rFonts w:asciiTheme="minorHAnsi" w:hAnsiTheme="minorHAnsi" w:cstheme="minorHAnsi"/>
                <w:b/>
              </w:rPr>
            </w:pPr>
            <w:r w:rsidRPr="00D96950" w:rsidDel="00C63EAD">
              <w:rPr>
                <w:rFonts w:asciiTheme="minorHAnsi" w:hAnsiTheme="minorHAnsi" w:cstheme="minorHAnsi"/>
                <w:b/>
              </w:rPr>
              <w:t>the replacement and transition of a current brand of a product with another brand</w:t>
            </w:r>
          </w:p>
          <w:p w:rsidR="00546B9F" w:rsidRPr="00D96950" w:rsidRDefault="00546B9F" w:rsidP="00546B9F">
            <w:pPr>
              <w:pStyle w:val="ListParagraph"/>
              <w:keepNext/>
              <w:keepLines/>
              <w:numPr>
                <w:ilvl w:val="0"/>
                <w:numId w:val="23"/>
              </w:numPr>
              <w:tabs>
                <w:tab w:val="left" w:pos="962"/>
              </w:tabs>
              <w:spacing w:before="120" w:after="120"/>
              <w:rPr>
                <w:rFonts w:asciiTheme="minorHAnsi" w:hAnsiTheme="minorHAnsi" w:cstheme="minorHAnsi"/>
                <w:b/>
              </w:rPr>
            </w:pPr>
            <w:r w:rsidRPr="00D96950" w:rsidDel="00C63EAD">
              <w:rPr>
                <w:rFonts w:asciiTheme="minorHAnsi" w:hAnsiTheme="minorHAnsi" w:cstheme="minorHAnsi"/>
                <w:b/>
              </w:rPr>
              <w:t>a decrease in the number of available brands</w:t>
            </w:r>
          </w:p>
          <w:p w:rsidR="00546B9F" w:rsidRPr="00D96950" w:rsidDel="00C63EAD" w:rsidRDefault="00546B9F" w:rsidP="00546B9F">
            <w:pPr>
              <w:pStyle w:val="ListParagraph"/>
              <w:keepNext/>
              <w:keepLines/>
              <w:numPr>
                <w:ilvl w:val="0"/>
                <w:numId w:val="23"/>
              </w:numPr>
              <w:tabs>
                <w:tab w:val="left" w:pos="962"/>
              </w:tabs>
              <w:spacing w:before="120" w:after="120"/>
              <w:rPr>
                <w:rFonts w:asciiTheme="minorHAnsi" w:hAnsiTheme="minorHAnsi" w:cstheme="minorHAnsi"/>
                <w:b/>
              </w:rPr>
            </w:pPr>
            <w:r w:rsidRPr="00D96950">
              <w:rPr>
                <w:rFonts w:asciiTheme="minorHAnsi" w:hAnsiTheme="minorHAnsi" w:cstheme="minorHAnsi"/>
                <w:b/>
              </w:rPr>
              <w:t>an</w:t>
            </w:r>
            <w:r w:rsidRPr="00D96950" w:rsidDel="00B01D9C">
              <w:rPr>
                <w:rFonts w:asciiTheme="minorHAnsi" w:hAnsiTheme="minorHAnsi" w:cstheme="minorHAnsi"/>
                <w:b/>
              </w:rPr>
              <w:t xml:space="preserve"> increase</w:t>
            </w:r>
            <w:r w:rsidRPr="00D96950">
              <w:rPr>
                <w:rFonts w:asciiTheme="minorHAnsi" w:hAnsiTheme="minorHAnsi" w:cstheme="minorHAnsi"/>
                <w:b/>
              </w:rPr>
              <w:t xml:space="preserve"> </w:t>
            </w:r>
            <w:r w:rsidRPr="00D96950" w:rsidDel="00C63EAD">
              <w:rPr>
                <w:rFonts w:asciiTheme="minorHAnsi" w:hAnsiTheme="minorHAnsi" w:cstheme="minorHAnsi"/>
                <w:b/>
              </w:rPr>
              <w:t>in the number of available brands</w:t>
            </w:r>
          </w:p>
          <w:p w:rsidR="00546B9F" w:rsidRPr="00301744" w:rsidRDefault="00546B9F" w:rsidP="000A3D4C">
            <w:pPr>
              <w:keepNext/>
              <w:keepLines/>
              <w:spacing w:before="120" w:after="120"/>
              <w:jc w:val="both"/>
              <w:rPr>
                <w:rFonts w:asciiTheme="minorHAnsi" w:hAnsiTheme="minorHAnsi" w:cstheme="minorHAnsi"/>
                <w:b/>
              </w:rPr>
            </w:pPr>
            <w:r>
              <w:rPr>
                <w:rFonts w:asciiTheme="minorHAnsi" w:hAnsiTheme="minorHAnsi" w:cstheme="minorHAnsi"/>
                <w:b/>
              </w:rPr>
              <w:t xml:space="preserve">a)  </w:t>
            </w:r>
            <w:r w:rsidRPr="00301744" w:rsidDel="00C63EAD">
              <w:rPr>
                <w:rFonts w:asciiTheme="minorHAnsi" w:hAnsiTheme="minorHAnsi" w:cstheme="minorHAnsi"/>
                <w:b/>
              </w:rPr>
              <w:t>Noting that any new brands of products would be required to meet the safety and efficacy standards set out by the Therapeutic Goods Administration</w:t>
            </w:r>
            <w:r>
              <w:rPr>
                <w:rFonts w:asciiTheme="minorHAnsi" w:hAnsiTheme="minorHAnsi" w:cstheme="minorHAnsi"/>
                <w:b/>
              </w:rPr>
              <w:t>, please</w:t>
            </w:r>
            <w:r w:rsidRPr="00301744" w:rsidDel="00B01D9C">
              <w:rPr>
                <w:rFonts w:asciiTheme="minorHAnsi" w:hAnsiTheme="minorHAnsi" w:cstheme="minorHAnsi"/>
                <w:b/>
              </w:rPr>
              <w:t xml:space="preserve"> </w:t>
            </w:r>
            <w:r w:rsidRPr="00301744" w:rsidDel="00C63EAD">
              <w:rPr>
                <w:rFonts w:asciiTheme="minorHAnsi" w:hAnsiTheme="minorHAnsi" w:cstheme="minorHAnsi"/>
                <w:b/>
              </w:rPr>
              <w:t xml:space="preserve">explain in detail any clinical </w:t>
            </w:r>
            <w:r w:rsidRPr="00301744" w:rsidDel="00B01D9C">
              <w:rPr>
                <w:rFonts w:asciiTheme="minorHAnsi" w:hAnsiTheme="minorHAnsi" w:cstheme="minorHAnsi"/>
                <w:b/>
              </w:rPr>
              <w:t xml:space="preserve">and </w:t>
            </w:r>
            <w:r w:rsidRPr="00301744" w:rsidDel="00C63EAD">
              <w:rPr>
                <w:rFonts w:asciiTheme="minorHAnsi" w:hAnsiTheme="minorHAnsi" w:cstheme="minorHAnsi"/>
                <w:b/>
              </w:rPr>
              <w:t xml:space="preserve">practical benefits or disadvantages associated with </w:t>
            </w:r>
            <w:r>
              <w:rPr>
                <w:rFonts w:asciiTheme="minorHAnsi" w:hAnsiTheme="minorHAnsi" w:cstheme="minorHAnsi"/>
                <w:b/>
              </w:rPr>
              <w:t>a change in brands.</w:t>
            </w:r>
            <w:r w:rsidRPr="00301744" w:rsidDel="00C63EAD">
              <w:rPr>
                <w:rFonts w:asciiTheme="minorHAnsi" w:hAnsiTheme="minorHAnsi" w:cstheme="minorHAnsi"/>
                <w:b/>
              </w:rPr>
              <w:t xml:space="preserve"> </w:t>
            </w:r>
          </w:p>
        </w:tc>
      </w:tr>
      <w:tr w:rsidR="00546B9F" w:rsidRPr="00301744" w:rsidTr="00C44516">
        <w:trPr>
          <w:trHeight w:val="2474"/>
        </w:trPr>
        <w:tc>
          <w:tcPr>
            <w:tcW w:w="5000" w:type="pct"/>
          </w:tcPr>
          <w:p w:rsidR="00546B9F" w:rsidRPr="00301744" w:rsidRDefault="00546B9F" w:rsidP="00C44516">
            <w:pPr>
              <w:spacing w:before="120" w:after="120"/>
              <w:jc w:val="both"/>
              <w:rPr>
                <w:rFonts w:asciiTheme="minorHAnsi" w:hAnsiTheme="minorHAnsi" w:cstheme="minorHAnsi"/>
                <w:b/>
              </w:rPr>
            </w:pPr>
          </w:p>
        </w:tc>
      </w:tr>
      <w:tr w:rsidR="00546B9F" w:rsidRPr="00301744" w:rsidTr="00C44516">
        <w:tc>
          <w:tcPr>
            <w:tcW w:w="5000" w:type="pct"/>
            <w:shd w:val="clear" w:color="auto" w:fill="DCF0C6"/>
          </w:tcPr>
          <w:p w:rsidR="00546B9F" w:rsidRDefault="00546B9F" w:rsidP="000A3D4C">
            <w:pPr>
              <w:keepNext/>
              <w:spacing w:before="120" w:after="120"/>
              <w:rPr>
                <w:rFonts w:asciiTheme="minorHAnsi" w:hAnsiTheme="minorHAnsi" w:cstheme="minorHAnsi"/>
                <w:b/>
              </w:rPr>
            </w:pPr>
            <w:r>
              <w:rPr>
                <w:rFonts w:asciiTheme="minorHAnsi" w:hAnsiTheme="minorHAnsi" w:cstheme="minorHAnsi"/>
                <w:b/>
              </w:rPr>
              <w:t xml:space="preserve">b)  What were the implications for you of the transition of a number of patients receiving ongoing rFVIII treatment as a result of the </w:t>
            </w:r>
            <w:r w:rsidR="000377F4">
              <w:rPr>
                <w:rFonts w:asciiTheme="minorHAnsi" w:hAnsiTheme="minorHAnsi" w:cstheme="minorHAnsi"/>
                <w:b/>
              </w:rPr>
              <w:t>IPRP tender outcomes in 201</w:t>
            </w:r>
            <w:r w:rsidR="00D0734F">
              <w:rPr>
                <w:rFonts w:asciiTheme="minorHAnsi" w:hAnsiTheme="minorHAnsi" w:cstheme="minorHAnsi"/>
                <w:b/>
              </w:rPr>
              <w:t>4</w:t>
            </w:r>
            <w:r>
              <w:rPr>
                <w:rFonts w:asciiTheme="minorHAnsi" w:hAnsiTheme="minorHAnsi" w:cstheme="minorHAnsi"/>
                <w:b/>
              </w:rPr>
              <w:t>?  Did you encounter any substantial difficulties?</w:t>
            </w:r>
          </w:p>
          <w:p w:rsidR="00546B9F" w:rsidRPr="003A5A6F" w:rsidRDefault="00546B9F" w:rsidP="000A3D4C">
            <w:pPr>
              <w:keepNext/>
              <w:spacing w:before="120" w:after="120"/>
              <w:rPr>
                <w:rFonts w:asciiTheme="minorHAnsi" w:hAnsiTheme="minorHAnsi" w:cstheme="minorHAnsi"/>
                <w:b/>
              </w:rPr>
            </w:pPr>
            <w:r>
              <w:rPr>
                <w:rFonts w:asciiTheme="minorHAnsi" w:hAnsiTheme="minorHAnsi" w:cstheme="minorHAnsi"/>
                <w:b/>
              </w:rPr>
              <w:t>How satisfied were you with the planning and communications concerning that transition period?</w:t>
            </w:r>
            <w:r w:rsidRPr="00D96950">
              <w:rPr>
                <w:rFonts w:asciiTheme="minorHAnsi" w:hAnsiTheme="minorHAnsi" w:cstheme="minorHAnsi"/>
                <w:b/>
              </w:rPr>
              <w:t xml:space="preserve"> </w:t>
            </w:r>
            <w:r>
              <w:rPr>
                <w:rFonts w:asciiTheme="minorHAnsi" w:hAnsiTheme="minorHAnsi" w:cstheme="minorHAnsi"/>
                <w:b/>
              </w:rPr>
              <w:t xml:space="preserve"> Do you have any suggestions for how any product brand transition could be managed better in future?</w:t>
            </w:r>
          </w:p>
        </w:tc>
      </w:tr>
      <w:tr w:rsidR="00546B9F" w:rsidRPr="00301744" w:rsidTr="00C44516">
        <w:trPr>
          <w:trHeight w:val="1891"/>
        </w:trPr>
        <w:tc>
          <w:tcPr>
            <w:tcW w:w="5000" w:type="pct"/>
          </w:tcPr>
          <w:p w:rsidR="00546B9F" w:rsidRPr="00301744" w:rsidRDefault="00546B9F" w:rsidP="00C44516">
            <w:pPr>
              <w:spacing w:before="120" w:after="120"/>
              <w:jc w:val="both"/>
              <w:rPr>
                <w:rFonts w:asciiTheme="minorHAnsi" w:hAnsiTheme="minorHAnsi" w:cstheme="minorHAnsi"/>
                <w:b/>
              </w:rPr>
            </w:pPr>
          </w:p>
        </w:tc>
      </w:tr>
      <w:tr w:rsidR="00C44516" w:rsidRPr="00301744" w:rsidTr="00C44516">
        <w:tc>
          <w:tcPr>
            <w:tcW w:w="5000" w:type="pct"/>
            <w:shd w:val="clear" w:color="auto" w:fill="93D050"/>
            <w:vAlign w:val="center"/>
          </w:tcPr>
          <w:p w:rsidR="00C44516" w:rsidRDefault="00C44516" w:rsidP="00C44516">
            <w:pPr>
              <w:spacing w:after="0"/>
              <w:rPr>
                <w:rFonts w:asciiTheme="minorHAnsi" w:hAnsiTheme="minorHAnsi" w:cstheme="minorHAnsi"/>
                <w:b/>
              </w:rPr>
            </w:pPr>
            <w:r w:rsidRPr="00C44516">
              <w:rPr>
                <w:rFonts w:asciiTheme="minorHAnsi" w:hAnsiTheme="minorHAnsi" w:cstheme="minorHAnsi"/>
                <w:b/>
              </w:rPr>
              <w:t>5. ORDERING AND DELIVERY OF PRODUCTS</w:t>
            </w:r>
          </w:p>
        </w:tc>
      </w:tr>
      <w:tr w:rsidR="00546B9F" w:rsidRPr="00301744" w:rsidTr="00C44516">
        <w:tc>
          <w:tcPr>
            <w:tcW w:w="5000" w:type="pct"/>
            <w:tcBorders>
              <w:bottom w:val="single" w:sz="4" w:space="0" w:color="auto"/>
            </w:tcBorders>
            <w:shd w:val="clear" w:color="auto" w:fill="DCF0C6"/>
          </w:tcPr>
          <w:p w:rsidR="00546B9F" w:rsidRPr="00301744" w:rsidRDefault="00546B9F" w:rsidP="000A3D4C">
            <w:pPr>
              <w:spacing w:before="120" w:after="120"/>
              <w:rPr>
                <w:rFonts w:asciiTheme="minorHAnsi" w:hAnsiTheme="minorHAnsi" w:cstheme="minorHAnsi"/>
                <w:b/>
              </w:rPr>
            </w:pPr>
            <w:r w:rsidRPr="00301744" w:rsidDel="00C63EAD">
              <w:rPr>
                <w:rFonts w:asciiTheme="minorHAnsi" w:hAnsiTheme="minorHAnsi" w:cstheme="minorHAnsi"/>
                <w:b/>
              </w:rPr>
              <w:t xml:space="preserve">a)  From </w:t>
            </w:r>
            <w:r>
              <w:rPr>
                <w:rFonts w:asciiTheme="minorHAnsi" w:hAnsiTheme="minorHAnsi" w:cstheme="minorHAnsi"/>
                <w:b/>
              </w:rPr>
              <w:t>where</w:t>
            </w:r>
            <w:r w:rsidRPr="00301744" w:rsidDel="00C63EAD">
              <w:rPr>
                <w:rFonts w:asciiTheme="minorHAnsi" w:hAnsiTheme="minorHAnsi" w:cstheme="minorHAnsi"/>
                <w:b/>
              </w:rPr>
              <w:t xml:space="preserve"> do you order your products e.g. do you order direct from </w:t>
            </w:r>
            <w:r>
              <w:rPr>
                <w:rFonts w:asciiTheme="minorHAnsi" w:hAnsiTheme="minorHAnsi" w:cstheme="minorHAnsi"/>
                <w:b/>
              </w:rPr>
              <w:t>the commercial supplier</w:t>
            </w:r>
            <w:r w:rsidRPr="00301744" w:rsidDel="00C63EAD">
              <w:rPr>
                <w:rFonts w:asciiTheme="minorHAnsi" w:hAnsiTheme="minorHAnsi" w:cstheme="minorHAnsi"/>
                <w:b/>
              </w:rPr>
              <w:t>, through the Blood Service or through another arrangement?</w:t>
            </w:r>
          </w:p>
        </w:tc>
      </w:tr>
      <w:tr w:rsidR="00546B9F" w:rsidRPr="00301744" w:rsidTr="00C44516">
        <w:trPr>
          <w:trHeight w:val="1878"/>
        </w:trPr>
        <w:tc>
          <w:tcPr>
            <w:tcW w:w="5000" w:type="pct"/>
          </w:tcPr>
          <w:p w:rsidR="00546B9F" w:rsidRPr="00301744" w:rsidRDefault="00546B9F" w:rsidP="00C44516">
            <w:pPr>
              <w:spacing w:before="120" w:after="120"/>
              <w:jc w:val="both"/>
              <w:rPr>
                <w:rFonts w:asciiTheme="minorHAnsi" w:hAnsiTheme="minorHAnsi" w:cstheme="minorHAnsi"/>
                <w:b/>
              </w:rPr>
            </w:pPr>
          </w:p>
        </w:tc>
      </w:tr>
      <w:tr w:rsidR="00546B9F" w:rsidRPr="00301744" w:rsidTr="00C44516">
        <w:tc>
          <w:tcPr>
            <w:tcW w:w="5000" w:type="pct"/>
            <w:shd w:val="clear" w:color="auto" w:fill="DCF0C6"/>
            <w:vAlign w:val="center"/>
          </w:tcPr>
          <w:p w:rsidR="00546B9F" w:rsidRPr="00A70C0C" w:rsidRDefault="00546B9F" w:rsidP="000F221B">
            <w:pPr>
              <w:keepNext/>
              <w:spacing w:after="0"/>
              <w:rPr>
                <w:rFonts w:asciiTheme="minorHAnsi" w:hAnsiTheme="minorHAnsi" w:cstheme="minorHAnsi"/>
                <w:b/>
              </w:rPr>
            </w:pPr>
            <w:r w:rsidRPr="00A70C0C" w:rsidDel="00C63EAD">
              <w:rPr>
                <w:rFonts w:asciiTheme="minorHAnsi" w:hAnsiTheme="minorHAnsi" w:cstheme="minorHAnsi"/>
                <w:b/>
              </w:rPr>
              <w:t xml:space="preserve">b)  </w:t>
            </w:r>
            <w:r w:rsidRPr="00A70C0C">
              <w:rPr>
                <w:rFonts w:asciiTheme="minorHAnsi" w:hAnsiTheme="minorHAnsi" w:cstheme="minorHAnsi"/>
                <w:b/>
              </w:rPr>
              <w:t>Are you</w:t>
            </w:r>
            <w:r w:rsidRPr="00A70C0C" w:rsidDel="00C63EAD">
              <w:rPr>
                <w:rFonts w:asciiTheme="minorHAnsi" w:hAnsiTheme="minorHAnsi" w:cstheme="minorHAnsi"/>
                <w:b/>
              </w:rPr>
              <w:t xml:space="preserve"> satisfied with order</w:t>
            </w:r>
            <w:r>
              <w:rPr>
                <w:rFonts w:asciiTheme="minorHAnsi" w:hAnsiTheme="minorHAnsi" w:cstheme="minorHAnsi"/>
                <w:b/>
              </w:rPr>
              <w:t>ing</w:t>
            </w:r>
            <w:r w:rsidRPr="00A70C0C" w:rsidDel="00C63EAD">
              <w:rPr>
                <w:rFonts w:asciiTheme="minorHAnsi" w:hAnsiTheme="minorHAnsi" w:cstheme="minorHAnsi"/>
                <w:b/>
              </w:rPr>
              <w:t xml:space="preserve"> and delivery arrangements?  If no</w:t>
            </w:r>
            <w:r>
              <w:rPr>
                <w:rFonts w:asciiTheme="minorHAnsi" w:hAnsiTheme="minorHAnsi" w:cstheme="minorHAnsi"/>
                <w:b/>
              </w:rPr>
              <w:t>t</w:t>
            </w:r>
            <w:r w:rsidRPr="00A70C0C" w:rsidDel="00C63EAD">
              <w:rPr>
                <w:rFonts w:asciiTheme="minorHAnsi" w:hAnsiTheme="minorHAnsi" w:cstheme="minorHAnsi"/>
                <w:b/>
              </w:rPr>
              <w:t xml:space="preserve"> please provide details</w:t>
            </w:r>
            <w:r w:rsidRPr="00A70C0C">
              <w:rPr>
                <w:rFonts w:asciiTheme="minorHAnsi" w:hAnsiTheme="minorHAnsi" w:cstheme="minorHAnsi"/>
                <w:b/>
              </w:rPr>
              <w:t xml:space="preserve">.  </w:t>
            </w:r>
            <w:r w:rsidRPr="00A70C0C" w:rsidDel="00C63EAD">
              <w:rPr>
                <w:rFonts w:asciiTheme="minorHAnsi" w:hAnsiTheme="minorHAnsi" w:cstheme="minorHAnsi"/>
                <w:b/>
              </w:rPr>
              <w:t xml:space="preserve"> </w:t>
            </w:r>
            <w:r w:rsidRPr="00A70C0C">
              <w:rPr>
                <w:rFonts w:asciiTheme="minorHAnsi" w:hAnsiTheme="minorHAnsi" w:cstheme="minorHAnsi"/>
                <w:b/>
              </w:rPr>
              <w:t xml:space="preserve"> </w:t>
            </w:r>
            <w:r w:rsidRPr="00A70C0C" w:rsidDel="00C63EAD">
              <w:rPr>
                <w:rFonts w:asciiTheme="minorHAnsi" w:hAnsiTheme="minorHAnsi" w:cstheme="minorHAnsi"/>
                <w:b/>
              </w:rPr>
              <w:t xml:space="preserve">Are there any improvements you would like to see </w:t>
            </w:r>
            <w:r w:rsidRPr="00A70C0C">
              <w:rPr>
                <w:rFonts w:asciiTheme="minorHAnsi" w:hAnsiTheme="minorHAnsi" w:cstheme="minorHAnsi"/>
                <w:b/>
              </w:rPr>
              <w:t>made?</w:t>
            </w:r>
          </w:p>
        </w:tc>
      </w:tr>
      <w:tr w:rsidR="00546B9F" w:rsidRPr="00301744" w:rsidTr="00C44516">
        <w:trPr>
          <w:trHeight w:val="1784"/>
        </w:trPr>
        <w:tc>
          <w:tcPr>
            <w:tcW w:w="5000" w:type="pct"/>
          </w:tcPr>
          <w:p w:rsidR="00546B9F" w:rsidRPr="00301744" w:rsidRDefault="00546B9F" w:rsidP="00C44516">
            <w:pPr>
              <w:spacing w:before="120" w:after="120"/>
              <w:jc w:val="both"/>
              <w:rPr>
                <w:rFonts w:asciiTheme="minorHAnsi" w:hAnsiTheme="minorHAnsi" w:cstheme="minorHAnsi"/>
                <w:b/>
              </w:rPr>
            </w:pPr>
          </w:p>
        </w:tc>
      </w:tr>
      <w:tr w:rsidR="00C44516" w:rsidRPr="00301744" w:rsidTr="00C44516">
        <w:tc>
          <w:tcPr>
            <w:tcW w:w="5000" w:type="pct"/>
            <w:shd w:val="clear" w:color="auto" w:fill="93D050"/>
            <w:vAlign w:val="center"/>
          </w:tcPr>
          <w:p w:rsidR="00C44516" w:rsidRDefault="00C44516" w:rsidP="00C44516">
            <w:pPr>
              <w:spacing w:after="0"/>
              <w:rPr>
                <w:rFonts w:asciiTheme="minorHAnsi" w:hAnsiTheme="minorHAnsi" w:cstheme="minorHAnsi"/>
                <w:b/>
              </w:rPr>
            </w:pPr>
            <w:r>
              <w:rPr>
                <w:rFonts w:asciiTheme="minorHAnsi" w:hAnsiTheme="minorHAnsi" w:cstheme="minorHAnsi"/>
                <w:b/>
              </w:rPr>
              <w:t>6</w:t>
            </w:r>
            <w:r w:rsidRPr="00C44516">
              <w:rPr>
                <w:rFonts w:asciiTheme="minorHAnsi" w:hAnsiTheme="minorHAnsi" w:cstheme="minorHAnsi"/>
                <w:b/>
              </w:rPr>
              <w:t xml:space="preserve">. </w:t>
            </w:r>
            <w:r>
              <w:rPr>
                <w:rFonts w:asciiTheme="minorHAnsi" w:hAnsiTheme="minorHAnsi" w:cstheme="minorHAnsi"/>
                <w:b/>
              </w:rPr>
              <w:t>PRODUCT SUPPLY</w:t>
            </w:r>
          </w:p>
        </w:tc>
      </w:tr>
      <w:tr w:rsidR="00546B9F" w:rsidRPr="00301744" w:rsidTr="00C44516">
        <w:trPr>
          <w:trHeight w:val="529"/>
        </w:trPr>
        <w:tc>
          <w:tcPr>
            <w:tcW w:w="5000" w:type="pct"/>
            <w:shd w:val="clear" w:color="auto" w:fill="DCF0C6"/>
            <w:vAlign w:val="center"/>
          </w:tcPr>
          <w:p w:rsidR="00546B9F" w:rsidRPr="00301744" w:rsidRDefault="00546B9F" w:rsidP="000A3D4C">
            <w:pPr>
              <w:spacing w:before="120" w:after="120"/>
              <w:rPr>
                <w:rFonts w:asciiTheme="minorHAnsi" w:hAnsiTheme="minorHAnsi" w:cstheme="minorHAnsi"/>
                <w:b/>
                <w:i/>
              </w:rPr>
            </w:pPr>
            <w:r>
              <w:rPr>
                <w:rFonts w:asciiTheme="minorHAnsi" w:hAnsiTheme="minorHAnsi" w:cstheme="minorHAnsi"/>
                <w:b/>
              </w:rPr>
              <w:t>S</w:t>
            </w:r>
            <w:r w:rsidRPr="00301744">
              <w:rPr>
                <w:rFonts w:asciiTheme="minorHAnsi" w:hAnsiTheme="minorHAnsi" w:cstheme="minorHAnsi"/>
                <w:b/>
              </w:rPr>
              <w:t>uppliers may provide support such as training and education programs (both initially and ongoing), demonstration kits, information materials, dosing guides and on-call advice.</w:t>
            </w:r>
          </w:p>
          <w:p w:rsidR="00546B9F" w:rsidRPr="00301744" w:rsidRDefault="00546B9F" w:rsidP="000A3D4C">
            <w:pPr>
              <w:spacing w:before="120" w:after="120"/>
              <w:jc w:val="both"/>
              <w:rPr>
                <w:rFonts w:asciiTheme="minorHAnsi" w:hAnsiTheme="minorHAnsi" w:cstheme="minorHAnsi"/>
                <w:b/>
              </w:rPr>
            </w:pPr>
            <w:r w:rsidRPr="00301744">
              <w:rPr>
                <w:rFonts w:asciiTheme="minorHAnsi" w:hAnsiTheme="minorHAnsi" w:cstheme="minorHAnsi"/>
                <w:b/>
              </w:rPr>
              <w:t xml:space="preserve">a)  What services currently provided by suppliers (particularly for patients, treatment centres and clinicians) do you find useful, and why?  </w:t>
            </w:r>
          </w:p>
        </w:tc>
      </w:tr>
      <w:tr w:rsidR="00546B9F" w:rsidRPr="00301744" w:rsidTr="00C44516">
        <w:trPr>
          <w:trHeight w:val="2069"/>
        </w:trPr>
        <w:tc>
          <w:tcPr>
            <w:tcW w:w="5000" w:type="pct"/>
          </w:tcPr>
          <w:p w:rsidR="00546B9F" w:rsidRPr="00301744" w:rsidRDefault="00546B9F" w:rsidP="00C44516">
            <w:pPr>
              <w:spacing w:before="120" w:after="120"/>
              <w:rPr>
                <w:rFonts w:asciiTheme="minorHAnsi" w:hAnsiTheme="minorHAnsi" w:cstheme="minorHAnsi"/>
                <w:b/>
              </w:rPr>
            </w:pPr>
          </w:p>
        </w:tc>
      </w:tr>
      <w:tr w:rsidR="00C44516" w:rsidRPr="00301744" w:rsidTr="00C44516">
        <w:tblPrEx>
          <w:tblCellMar>
            <w:top w:w="0" w:type="dxa"/>
            <w:bottom w:w="0" w:type="dxa"/>
          </w:tblCellMar>
        </w:tblPrEx>
        <w:tc>
          <w:tcPr>
            <w:tcW w:w="5000" w:type="pct"/>
            <w:tcBorders>
              <w:bottom w:val="single" w:sz="4" w:space="0" w:color="auto"/>
            </w:tcBorders>
            <w:shd w:val="clear" w:color="auto" w:fill="DCF0C6"/>
            <w:vAlign w:val="center"/>
          </w:tcPr>
          <w:p w:rsidR="00C44516" w:rsidRPr="00301744" w:rsidRDefault="00C44516" w:rsidP="000F221B">
            <w:pPr>
              <w:keepNext/>
              <w:spacing w:before="120" w:after="120"/>
              <w:rPr>
                <w:rFonts w:asciiTheme="minorHAnsi" w:hAnsiTheme="minorHAnsi" w:cstheme="minorHAnsi"/>
                <w:b/>
              </w:rPr>
            </w:pPr>
            <w:r w:rsidRPr="00301744">
              <w:rPr>
                <w:rFonts w:asciiTheme="minorHAnsi" w:hAnsiTheme="minorHAnsi" w:cstheme="minorHAnsi"/>
                <w:b/>
              </w:rPr>
              <w:t>b)  Are there any support services that are currently provided that are not useful to you, and why?</w:t>
            </w:r>
          </w:p>
        </w:tc>
      </w:tr>
      <w:tr w:rsidR="00C44516" w:rsidRPr="00301744" w:rsidTr="00C44516">
        <w:tblPrEx>
          <w:tblCellMar>
            <w:top w:w="0" w:type="dxa"/>
            <w:bottom w:w="0" w:type="dxa"/>
          </w:tblCellMar>
        </w:tblPrEx>
        <w:trPr>
          <w:trHeight w:val="1869"/>
        </w:trPr>
        <w:tc>
          <w:tcPr>
            <w:tcW w:w="5000" w:type="pct"/>
            <w:tcBorders>
              <w:bottom w:val="single" w:sz="4" w:space="0" w:color="auto"/>
            </w:tcBorders>
            <w:shd w:val="clear" w:color="auto" w:fill="auto"/>
          </w:tcPr>
          <w:p w:rsidR="00C44516" w:rsidRPr="00301744" w:rsidRDefault="00C44516" w:rsidP="00C44516">
            <w:pPr>
              <w:spacing w:before="120" w:after="120"/>
              <w:jc w:val="both"/>
              <w:rPr>
                <w:rFonts w:asciiTheme="minorHAnsi" w:hAnsiTheme="minorHAnsi" w:cstheme="minorHAnsi"/>
                <w:b/>
              </w:rPr>
            </w:pPr>
          </w:p>
        </w:tc>
      </w:tr>
      <w:tr w:rsidR="00C44516" w:rsidRPr="00301744" w:rsidTr="00C44516">
        <w:tblPrEx>
          <w:tblCellMar>
            <w:top w:w="0" w:type="dxa"/>
            <w:bottom w:w="0" w:type="dxa"/>
          </w:tblCellMar>
        </w:tblPrEx>
        <w:tc>
          <w:tcPr>
            <w:tcW w:w="5000" w:type="pct"/>
            <w:tcBorders>
              <w:bottom w:val="single" w:sz="4" w:space="0" w:color="auto"/>
            </w:tcBorders>
            <w:shd w:val="clear" w:color="auto" w:fill="DCF0C6"/>
            <w:vAlign w:val="center"/>
          </w:tcPr>
          <w:p w:rsidR="00C44516" w:rsidRPr="00301744" w:rsidRDefault="00C44516" w:rsidP="000A3D4C">
            <w:pPr>
              <w:keepNext/>
              <w:spacing w:before="120" w:after="120"/>
              <w:rPr>
                <w:rFonts w:asciiTheme="minorHAnsi" w:hAnsiTheme="minorHAnsi" w:cstheme="minorHAnsi"/>
                <w:b/>
              </w:rPr>
            </w:pPr>
            <w:r w:rsidRPr="00301744">
              <w:rPr>
                <w:rFonts w:asciiTheme="minorHAnsi" w:hAnsiTheme="minorHAnsi" w:cstheme="minorHAnsi"/>
                <w:b/>
              </w:rPr>
              <w:t>c)  What product support services that are not currently provided would be useful, particularly with the introduction of a new product?</w:t>
            </w:r>
          </w:p>
        </w:tc>
      </w:tr>
      <w:tr w:rsidR="00C44516" w:rsidRPr="00301744" w:rsidTr="00C44516">
        <w:tblPrEx>
          <w:tblCellMar>
            <w:top w:w="0" w:type="dxa"/>
            <w:bottom w:w="0" w:type="dxa"/>
          </w:tblCellMar>
        </w:tblPrEx>
        <w:trPr>
          <w:trHeight w:val="1907"/>
        </w:trPr>
        <w:tc>
          <w:tcPr>
            <w:tcW w:w="5000" w:type="pct"/>
          </w:tcPr>
          <w:p w:rsidR="00C44516" w:rsidRPr="00301744" w:rsidRDefault="00C44516" w:rsidP="00C44516">
            <w:pPr>
              <w:spacing w:before="120" w:after="120"/>
              <w:jc w:val="both"/>
              <w:rPr>
                <w:rFonts w:asciiTheme="minorHAnsi" w:hAnsiTheme="minorHAnsi" w:cstheme="minorHAnsi"/>
                <w:b/>
              </w:rPr>
            </w:pPr>
          </w:p>
        </w:tc>
      </w:tr>
      <w:tr w:rsidR="00C44516" w:rsidRPr="00301744" w:rsidTr="00C44516">
        <w:tblPrEx>
          <w:tblCellMar>
            <w:top w:w="0" w:type="dxa"/>
            <w:bottom w:w="0" w:type="dxa"/>
          </w:tblCellMar>
        </w:tblPrEx>
        <w:tc>
          <w:tcPr>
            <w:tcW w:w="5000" w:type="pct"/>
            <w:shd w:val="clear" w:color="auto" w:fill="DCF0C6"/>
          </w:tcPr>
          <w:p w:rsidR="00C44516" w:rsidRPr="00301744" w:rsidRDefault="00C44516" w:rsidP="000A3D4C">
            <w:pPr>
              <w:spacing w:before="120" w:after="120"/>
              <w:jc w:val="both"/>
              <w:rPr>
                <w:rFonts w:asciiTheme="minorHAnsi" w:hAnsiTheme="minorHAnsi" w:cstheme="minorHAnsi"/>
                <w:b/>
              </w:rPr>
            </w:pPr>
            <w:r>
              <w:rPr>
                <w:rFonts w:asciiTheme="minorHAnsi" w:hAnsiTheme="minorHAnsi" w:cstheme="minorHAnsi"/>
                <w:b/>
              </w:rPr>
              <w:t>d)  What is the quality and useability of the administration kits currently provided by suppliers?</w:t>
            </w:r>
          </w:p>
        </w:tc>
      </w:tr>
      <w:tr w:rsidR="00C44516" w:rsidRPr="00301744" w:rsidTr="00C44516">
        <w:tblPrEx>
          <w:tblCellMar>
            <w:top w:w="0" w:type="dxa"/>
            <w:bottom w:w="0" w:type="dxa"/>
          </w:tblCellMar>
        </w:tblPrEx>
        <w:trPr>
          <w:trHeight w:val="1742"/>
        </w:trPr>
        <w:tc>
          <w:tcPr>
            <w:tcW w:w="5000" w:type="pct"/>
          </w:tcPr>
          <w:p w:rsidR="00C44516" w:rsidRPr="00301744" w:rsidRDefault="00C44516" w:rsidP="00C44516">
            <w:pPr>
              <w:spacing w:before="120" w:after="120"/>
              <w:jc w:val="both"/>
              <w:rPr>
                <w:rFonts w:asciiTheme="minorHAnsi" w:hAnsiTheme="minorHAnsi" w:cstheme="minorHAnsi"/>
                <w:b/>
              </w:rPr>
            </w:pPr>
          </w:p>
        </w:tc>
      </w:tr>
      <w:tr w:rsidR="00C44516" w:rsidRPr="00301744" w:rsidTr="000F221B">
        <w:trPr>
          <w:cantSplit/>
        </w:trPr>
        <w:tc>
          <w:tcPr>
            <w:tcW w:w="5000" w:type="pct"/>
            <w:tcBorders>
              <w:bottom w:val="single" w:sz="4" w:space="0" w:color="auto"/>
            </w:tcBorders>
            <w:shd w:val="clear" w:color="auto" w:fill="DCF0C6"/>
            <w:vAlign w:val="center"/>
          </w:tcPr>
          <w:p w:rsidR="00C44516" w:rsidRPr="00301744" w:rsidRDefault="00C44516" w:rsidP="000A3D4C">
            <w:pPr>
              <w:spacing w:before="120" w:after="120"/>
              <w:jc w:val="both"/>
              <w:rPr>
                <w:rFonts w:asciiTheme="minorHAnsi" w:hAnsiTheme="minorHAnsi" w:cstheme="minorHAnsi"/>
                <w:b/>
              </w:rPr>
            </w:pPr>
            <w:r>
              <w:rPr>
                <w:rFonts w:asciiTheme="minorHAnsi" w:hAnsiTheme="minorHAnsi" w:cstheme="minorHAnsi"/>
                <w:b/>
              </w:rPr>
              <w:t>e)  Is there a facility for you to provide feedback to current suppliers e.g. positive comments, complaints, follow up training, education, product support services?  How adequate is this facility?</w:t>
            </w:r>
          </w:p>
        </w:tc>
      </w:tr>
      <w:tr w:rsidR="00C44516" w:rsidRPr="00301744" w:rsidTr="00C44516">
        <w:tblPrEx>
          <w:tblCellMar>
            <w:top w:w="0" w:type="dxa"/>
            <w:bottom w:w="0" w:type="dxa"/>
          </w:tblCellMar>
        </w:tblPrEx>
        <w:trPr>
          <w:trHeight w:val="1750"/>
        </w:trPr>
        <w:tc>
          <w:tcPr>
            <w:tcW w:w="5000" w:type="pct"/>
          </w:tcPr>
          <w:p w:rsidR="00C44516" w:rsidRPr="00301744" w:rsidRDefault="00C44516" w:rsidP="00C44516">
            <w:pPr>
              <w:spacing w:before="120" w:after="120"/>
              <w:jc w:val="both"/>
              <w:rPr>
                <w:rFonts w:asciiTheme="minorHAnsi" w:hAnsiTheme="minorHAnsi" w:cstheme="minorHAnsi"/>
                <w:b/>
              </w:rPr>
            </w:pPr>
          </w:p>
        </w:tc>
      </w:tr>
      <w:tr w:rsidR="00691448" w:rsidRPr="00301744" w:rsidTr="002C115F">
        <w:tc>
          <w:tcPr>
            <w:tcW w:w="5000" w:type="pct"/>
            <w:shd w:val="clear" w:color="auto" w:fill="93D050"/>
            <w:vAlign w:val="center"/>
          </w:tcPr>
          <w:p w:rsidR="00691448" w:rsidRDefault="00691448" w:rsidP="000F221B">
            <w:pPr>
              <w:keepNext/>
              <w:spacing w:before="120" w:after="120"/>
              <w:rPr>
                <w:rFonts w:asciiTheme="minorHAnsi" w:hAnsiTheme="minorHAnsi" w:cstheme="minorHAnsi"/>
                <w:b/>
              </w:rPr>
            </w:pPr>
            <w:r>
              <w:rPr>
                <w:rFonts w:asciiTheme="minorHAnsi" w:hAnsiTheme="minorHAnsi" w:cstheme="minorHAnsi"/>
                <w:b/>
              </w:rPr>
              <w:t>7</w:t>
            </w:r>
            <w:r w:rsidRPr="00C44516">
              <w:rPr>
                <w:rFonts w:asciiTheme="minorHAnsi" w:hAnsiTheme="minorHAnsi" w:cstheme="minorHAnsi"/>
                <w:b/>
              </w:rPr>
              <w:t xml:space="preserve">. </w:t>
            </w:r>
            <w:r>
              <w:rPr>
                <w:rFonts w:asciiTheme="minorHAnsi" w:hAnsiTheme="minorHAnsi" w:cstheme="minorHAnsi"/>
                <w:b/>
              </w:rPr>
              <w:t>NEW PRODUCTS</w:t>
            </w:r>
          </w:p>
        </w:tc>
      </w:tr>
      <w:tr w:rsidR="00691448" w:rsidRPr="00301744" w:rsidTr="002C115F">
        <w:trPr>
          <w:trHeight w:val="529"/>
        </w:trPr>
        <w:tc>
          <w:tcPr>
            <w:tcW w:w="5000" w:type="pct"/>
            <w:shd w:val="clear" w:color="auto" w:fill="DCF0C6"/>
            <w:vAlign w:val="center"/>
          </w:tcPr>
          <w:p w:rsidR="002C115F" w:rsidRDefault="002C115F" w:rsidP="000F221B">
            <w:pPr>
              <w:keepNext/>
              <w:spacing w:before="120" w:after="120"/>
              <w:rPr>
                <w:rFonts w:asciiTheme="minorHAnsi" w:hAnsiTheme="minorHAnsi" w:cstheme="minorHAnsi"/>
                <w:b/>
              </w:rPr>
            </w:pPr>
            <w:r>
              <w:rPr>
                <w:rFonts w:asciiTheme="minorHAnsi" w:hAnsiTheme="minorHAnsi" w:cstheme="minorHAnsi"/>
                <w:b/>
              </w:rPr>
              <w:t>To assist with forward planning this section asks about new variants of products covered by this consultation, or new products which may be alternatives products covered by this consultation.  (Please note that this consultation process is not directly a process for deciding that new variants or alternatives can be added to the arrangements managed by the NBA).</w:t>
            </w:r>
          </w:p>
          <w:p w:rsidR="00502368" w:rsidRPr="000F221B" w:rsidRDefault="00502368" w:rsidP="000F221B">
            <w:pPr>
              <w:keepNext/>
              <w:spacing w:before="120" w:after="120"/>
              <w:rPr>
                <w:rFonts w:asciiTheme="minorHAnsi" w:hAnsiTheme="minorHAnsi" w:cstheme="minorHAnsi"/>
                <w:b/>
              </w:rPr>
            </w:pPr>
            <w:r>
              <w:rPr>
                <w:rFonts w:asciiTheme="minorHAnsi" w:hAnsiTheme="minorHAnsi" w:cstheme="minorHAnsi"/>
                <w:b/>
              </w:rPr>
              <w:t>Please explain the basis for your answers.</w:t>
            </w:r>
          </w:p>
          <w:p w:rsidR="00691448" w:rsidRPr="00301744" w:rsidRDefault="00691448" w:rsidP="000F221B">
            <w:pPr>
              <w:keepNext/>
              <w:spacing w:before="120" w:after="120"/>
              <w:rPr>
                <w:rFonts w:asciiTheme="minorHAnsi" w:hAnsiTheme="minorHAnsi" w:cstheme="minorHAnsi"/>
                <w:b/>
              </w:rPr>
            </w:pPr>
            <w:r w:rsidRPr="00301744">
              <w:rPr>
                <w:rFonts w:asciiTheme="minorHAnsi" w:hAnsiTheme="minorHAnsi" w:cstheme="minorHAnsi"/>
                <w:b/>
              </w:rPr>
              <w:t xml:space="preserve">a)  </w:t>
            </w:r>
            <w:r w:rsidR="002C115F">
              <w:rPr>
                <w:rFonts w:asciiTheme="minorHAnsi" w:hAnsiTheme="minorHAnsi" w:cstheme="minorHAnsi"/>
                <w:b/>
              </w:rPr>
              <w:t xml:space="preserve">Are you aware of </w:t>
            </w:r>
            <w:r w:rsidR="00502368">
              <w:rPr>
                <w:rFonts w:asciiTheme="minorHAnsi" w:hAnsiTheme="minorHAnsi" w:cstheme="minorHAnsi"/>
                <w:b/>
              </w:rPr>
              <w:t xml:space="preserve">new types of or </w:t>
            </w:r>
            <w:r w:rsidR="002C115F">
              <w:rPr>
                <w:rFonts w:asciiTheme="minorHAnsi" w:hAnsiTheme="minorHAnsi" w:cstheme="minorHAnsi"/>
                <w:b/>
              </w:rPr>
              <w:t>variants for, or alternatives for, products that are covered by this consultation</w:t>
            </w:r>
            <w:r w:rsidRPr="00301744">
              <w:rPr>
                <w:rFonts w:asciiTheme="minorHAnsi" w:hAnsiTheme="minorHAnsi" w:cstheme="minorHAnsi"/>
                <w:b/>
              </w:rPr>
              <w:t>?</w:t>
            </w:r>
            <w:r w:rsidR="002C115F">
              <w:rPr>
                <w:rFonts w:asciiTheme="minorHAnsi" w:hAnsiTheme="minorHAnsi" w:cstheme="minorHAnsi"/>
                <w:b/>
              </w:rPr>
              <w:t xml:space="preserve">  What are those new variants or products?  What is the basis for your awareness of these products (</w:t>
            </w:r>
            <w:proofErr w:type="spellStart"/>
            <w:r w:rsidR="002C115F">
              <w:rPr>
                <w:rFonts w:asciiTheme="minorHAnsi" w:hAnsiTheme="minorHAnsi" w:cstheme="minorHAnsi"/>
                <w:b/>
              </w:rPr>
              <w:t>eg</w:t>
            </w:r>
            <w:proofErr w:type="spellEnd"/>
            <w:r w:rsidR="002C115F">
              <w:rPr>
                <w:rFonts w:asciiTheme="minorHAnsi" w:hAnsiTheme="minorHAnsi" w:cstheme="minorHAnsi"/>
                <w:b/>
              </w:rPr>
              <w:t xml:space="preserve"> trial participation, published information, conference information, </w:t>
            </w:r>
            <w:proofErr w:type="spellStart"/>
            <w:r w:rsidR="002C115F">
              <w:rPr>
                <w:rFonts w:asciiTheme="minorHAnsi" w:hAnsiTheme="minorHAnsi" w:cstheme="minorHAnsi"/>
                <w:b/>
              </w:rPr>
              <w:t>etc</w:t>
            </w:r>
            <w:proofErr w:type="spellEnd"/>
            <w:r w:rsidR="002C115F">
              <w:rPr>
                <w:rFonts w:asciiTheme="minorHAnsi" w:hAnsiTheme="minorHAnsi" w:cstheme="minorHAnsi"/>
                <w:b/>
              </w:rPr>
              <w:t>)?</w:t>
            </w:r>
          </w:p>
        </w:tc>
      </w:tr>
      <w:tr w:rsidR="00691448" w:rsidRPr="00301744" w:rsidTr="002C115F">
        <w:trPr>
          <w:trHeight w:val="2069"/>
        </w:trPr>
        <w:tc>
          <w:tcPr>
            <w:tcW w:w="5000" w:type="pct"/>
          </w:tcPr>
          <w:p w:rsidR="00691448" w:rsidRPr="00301744" w:rsidRDefault="00691448" w:rsidP="002C115F">
            <w:pPr>
              <w:spacing w:before="120" w:after="120"/>
              <w:rPr>
                <w:rFonts w:asciiTheme="minorHAnsi" w:hAnsiTheme="minorHAnsi" w:cstheme="minorHAnsi"/>
                <w:b/>
              </w:rPr>
            </w:pPr>
          </w:p>
        </w:tc>
      </w:tr>
      <w:tr w:rsidR="00691448" w:rsidRPr="00301744" w:rsidTr="002C115F">
        <w:tblPrEx>
          <w:tblCellMar>
            <w:top w:w="0" w:type="dxa"/>
            <w:bottom w:w="0" w:type="dxa"/>
          </w:tblCellMar>
        </w:tblPrEx>
        <w:tc>
          <w:tcPr>
            <w:tcW w:w="5000" w:type="pct"/>
            <w:tcBorders>
              <w:bottom w:val="single" w:sz="4" w:space="0" w:color="auto"/>
            </w:tcBorders>
            <w:shd w:val="clear" w:color="auto" w:fill="DCF0C6"/>
            <w:vAlign w:val="center"/>
          </w:tcPr>
          <w:p w:rsidR="00691448" w:rsidRPr="00301744" w:rsidRDefault="00691448" w:rsidP="00502368">
            <w:pPr>
              <w:spacing w:before="120" w:after="120"/>
              <w:rPr>
                <w:rFonts w:asciiTheme="minorHAnsi" w:hAnsiTheme="minorHAnsi" w:cstheme="minorHAnsi"/>
                <w:b/>
              </w:rPr>
            </w:pPr>
            <w:r w:rsidRPr="00301744">
              <w:rPr>
                <w:rFonts w:asciiTheme="minorHAnsi" w:hAnsiTheme="minorHAnsi" w:cstheme="minorHAnsi"/>
                <w:b/>
              </w:rPr>
              <w:t xml:space="preserve">b)  </w:t>
            </w:r>
            <w:r w:rsidR="00502368">
              <w:rPr>
                <w:rFonts w:asciiTheme="minorHAnsi" w:hAnsiTheme="minorHAnsi" w:cstheme="minorHAnsi"/>
                <w:b/>
              </w:rPr>
              <w:t>How might the new products be used</w:t>
            </w:r>
            <w:r w:rsidRPr="00301744">
              <w:rPr>
                <w:rFonts w:asciiTheme="minorHAnsi" w:hAnsiTheme="minorHAnsi" w:cstheme="minorHAnsi"/>
                <w:b/>
              </w:rPr>
              <w:t>?</w:t>
            </w:r>
            <w:r w:rsidR="00502368">
              <w:rPr>
                <w:rFonts w:asciiTheme="minorHAnsi" w:hAnsiTheme="minorHAnsi" w:cstheme="minorHAnsi"/>
                <w:b/>
              </w:rPr>
              <w:t xml:space="preserve">  What might be the variations in how the products might be used?</w:t>
            </w:r>
          </w:p>
        </w:tc>
      </w:tr>
      <w:tr w:rsidR="00691448" w:rsidRPr="00301744" w:rsidTr="002C115F">
        <w:tblPrEx>
          <w:tblCellMar>
            <w:top w:w="0" w:type="dxa"/>
            <w:bottom w:w="0" w:type="dxa"/>
          </w:tblCellMar>
        </w:tblPrEx>
        <w:trPr>
          <w:trHeight w:val="1869"/>
        </w:trPr>
        <w:tc>
          <w:tcPr>
            <w:tcW w:w="5000" w:type="pct"/>
            <w:tcBorders>
              <w:bottom w:val="single" w:sz="4" w:space="0" w:color="auto"/>
            </w:tcBorders>
            <w:shd w:val="clear" w:color="auto" w:fill="auto"/>
          </w:tcPr>
          <w:p w:rsidR="00691448" w:rsidRPr="00301744" w:rsidRDefault="00691448" w:rsidP="002C115F">
            <w:pPr>
              <w:spacing w:before="120" w:after="120"/>
              <w:jc w:val="both"/>
              <w:rPr>
                <w:rFonts w:asciiTheme="minorHAnsi" w:hAnsiTheme="minorHAnsi" w:cstheme="minorHAnsi"/>
                <w:b/>
              </w:rPr>
            </w:pPr>
          </w:p>
        </w:tc>
      </w:tr>
      <w:tr w:rsidR="00691448" w:rsidRPr="00301744" w:rsidTr="002C115F">
        <w:tblPrEx>
          <w:tblCellMar>
            <w:top w:w="0" w:type="dxa"/>
            <w:bottom w:w="0" w:type="dxa"/>
          </w:tblCellMar>
        </w:tblPrEx>
        <w:tc>
          <w:tcPr>
            <w:tcW w:w="5000" w:type="pct"/>
            <w:tcBorders>
              <w:bottom w:val="single" w:sz="4" w:space="0" w:color="auto"/>
            </w:tcBorders>
            <w:shd w:val="clear" w:color="auto" w:fill="DCF0C6"/>
            <w:vAlign w:val="center"/>
          </w:tcPr>
          <w:p w:rsidR="00691448" w:rsidRPr="00301744" w:rsidRDefault="00691448" w:rsidP="00502368">
            <w:pPr>
              <w:keepNext/>
              <w:spacing w:before="120" w:after="120"/>
              <w:rPr>
                <w:rFonts w:asciiTheme="minorHAnsi" w:hAnsiTheme="minorHAnsi" w:cstheme="minorHAnsi"/>
                <w:b/>
              </w:rPr>
            </w:pPr>
            <w:r w:rsidRPr="00301744">
              <w:rPr>
                <w:rFonts w:asciiTheme="minorHAnsi" w:hAnsiTheme="minorHAnsi" w:cstheme="minorHAnsi"/>
                <w:b/>
              </w:rPr>
              <w:t xml:space="preserve">c)  </w:t>
            </w:r>
            <w:r w:rsidR="00502368">
              <w:rPr>
                <w:rFonts w:asciiTheme="minorHAnsi" w:hAnsiTheme="minorHAnsi" w:cstheme="minorHAnsi"/>
                <w:b/>
              </w:rPr>
              <w:t xml:space="preserve">What may be the </w:t>
            </w:r>
            <w:r w:rsidR="00117198">
              <w:rPr>
                <w:rFonts w:asciiTheme="minorHAnsi" w:hAnsiTheme="minorHAnsi" w:cstheme="minorHAnsi"/>
                <w:b/>
              </w:rPr>
              <w:t xml:space="preserve">potential </w:t>
            </w:r>
            <w:r w:rsidR="00502368">
              <w:rPr>
                <w:rFonts w:asciiTheme="minorHAnsi" w:hAnsiTheme="minorHAnsi" w:cstheme="minorHAnsi"/>
                <w:b/>
              </w:rPr>
              <w:t>advantages of the new products</w:t>
            </w:r>
            <w:r w:rsidR="00502368" w:rsidRPr="00301744">
              <w:rPr>
                <w:rFonts w:asciiTheme="minorHAnsi" w:hAnsiTheme="minorHAnsi" w:cstheme="minorHAnsi"/>
                <w:b/>
              </w:rPr>
              <w:t>?</w:t>
            </w:r>
          </w:p>
        </w:tc>
      </w:tr>
      <w:tr w:rsidR="00691448" w:rsidRPr="00301744" w:rsidTr="002C115F">
        <w:tblPrEx>
          <w:tblCellMar>
            <w:top w:w="0" w:type="dxa"/>
            <w:bottom w:w="0" w:type="dxa"/>
          </w:tblCellMar>
        </w:tblPrEx>
        <w:trPr>
          <w:trHeight w:val="1907"/>
        </w:trPr>
        <w:tc>
          <w:tcPr>
            <w:tcW w:w="5000" w:type="pct"/>
          </w:tcPr>
          <w:p w:rsidR="00691448" w:rsidRPr="00301744" w:rsidRDefault="00691448" w:rsidP="002C115F">
            <w:pPr>
              <w:spacing w:before="120" w:after="120"/>
              <w:jc w:val="both"/>
              <w:rPr>
                <w:rFonts w:asciiTheme="minorHAnsi" w:hAnsiTheme="minorHAnsi" w:cstheme="minorHAnsi"/>
                <w:b/>
              </w:rPr>
            </w:pPr>
          </w:p>
        </w:tc>
      </w:tr>
      <w:tr w:rsidR="00691448" w:rsidRPr="00301744" w:rsidTr="002C115F">
        <w:tblPrEx>
          <w:tblCellMar>
            <w:top w:w="0" w:type="dxa"/>
            <w:bottom w:w="0" w:type="dxa"/>
          </w:tblCellMar>
        </w:tblPrEx>
        <w:tc>
          <w:tcPr>
            <w:tcW w:w="5000" w:type="pct"/>
            <w:shd w:val="clear" w:color="auto" w:fill="DCF0C6"/>
          </w:tcPr>
          <w:p w:rsidR="00691448" w:rsidRPr="00301744" w:rsidRDefault="00691448" w:rsidP="000F221B">
            <w:pPr>
              <w:keepNext/>
              <w:spacing w:before="120" w:after="120"/>
              <w:jc w:val="both"/>
              <w:rPr>
                <w:rFonts w:asciiTheme="minorHAnsi" w:hAnsiTheme="minorHAnsi" w:cstheme="minorHAnsi"/>
                <w:b/>
              </w:rPr>
            </w:pPr>
            <w:r>
              <w:rPr>
                <w:rFonts w:asciiTheme="minorHAnsi" w:hAnsiTheme="minorHAnsi" w:cstheme="minorHAnsi"/>
                <w:b/>
              </w:rPr>
              <w:t xml:space="preserve">d)  </w:t>
            </w:r>
            <w:r w:rsidR="00502368">
              <w:rPr>
                <w:rFonts w:asciiTheme="minorHAnsi" w:hAnsiTheme="minorHAnsi" w:cstheme="minorHAnsi"/>
                <w:b/>
              </w:rPr>
              <w:t xml:space="preserve">Are there </w:t>
            </w:r>
            <w:r w:rsidR="00F56E81">
              <w:rPr>
                <w:rFonts w:asciiTheme="minorHAnsi" w:hAnsiTheme="minorHAnsi" w:cstheme="minorHAnsi"/>
                <w:b/>
              </w:rPr>
              <w:t>potential</w:t>
            </w:r>
            <w:r w:rsidR="00502368">
              <w:rPr>
                <w:rFonts w:asciiTheme="minorHAnsi" w:hAnsiTheme="minorHAnsi" w:cstheme="minorHAnsi"/>
                <w:b/>
              </w:rPr>
              <w:t xml:space="preserve"> disadvantages or limitations of the new products</w:t>
            </w:r>
            <w:r>
              <w:rPr>
                <w:rFonts w:asciiTheme="minorHAnsi" w:hAnsiTheme="minorHAnsi" w:cstheme="minorHAnsi"/>
                <w:b/>
              </w:rPr>
              <w:t>?</w:t>
            </w:r>
          </w:p>
        </w:tc>
      </w:tr>
      <w:tr w:rsidR="00691448" w:rsidRPr="00301744" w:rsidTr="002C115F">
        <w:tblPrEx>
          <w:tblCellMar>
            <w:top w:w="0" w:type="dxa"/>
            <w:bottom w:w="0" w:type="dxa"/>
          </w:tblCellMar>
        </w:tblPrEx>
        <w:trPr>
          <w:trHeight w:val="1742"/>
        </w:trPr>
        <w:tc>
          <w:tcPr>
            <w:tcW w:w="5000" w:type="pct"/>
          </w:tcPr>
          <w:p w:rsidR="00691448" w:rsidRPr="00301744" w:rsidRDefault="00691448" w:rsidP="002C115F">
            <w:pPr>
              <w:spacing w:before="120" w:after="120"/>
              <w:jc w:val="both"/>
              <w:rPr>
                <w:rFonts w:asciiTheme="minorHAnsi" w:hAnsiTheme="minorHAnsi" w:cstheme="minorHAnsi"/>
                <w:b/>
              </w:rPr>
            </w:pPr>
          </w:p>
        </w:tc>
      </w:tr>
      <w:tr w:rsidR="00691448" w:rsidRPr="00301744" w:rsidTr="002C115F">
        <w:tblPrEx>
          <w:tblCellMar>
            <w:top w:w="0" w:type="dxa"/>
            <w:bottom w:w="0" w:type="dxa"/>
          </w:tblCellMar>
        </w:tblPrEx>
        <w:trPr>
          <w:cantSplit/>
        </w:trPr>
        <w:tc>
          <w:tcPr>
            <w:tcW w:w="5000" w:type="pct"/>
            <w:tcBorders>
              <w:bottom w:val="single" w:sz="4" w:space="0" w:color="auto"/>
            </w:tcBorders>
            <w:shd w:val="clear" w:color="auto" w:fill="DCF0C6"/>
            <w:vAlign w:val="center"/>
          </w:tcPr>
          <w:p w:rsidR="00691448" w:rsidRPr="00301744" w:rsidRDefault="00691448" w:rsidP="00502368">
            <w:pPr>
              <w:spacing w:before="120" w:after="120"/>
              <w:jc w:val="both"/>
              <w:rPr>
                <w:rFonts w:asciiTheme="minorHAnsi" w:hAnsiTheme="minorHAnsi" w:cstheme="minorHAnsi"/>
                <w:b/>
              </w:rPr>
            </w:pPr>
            <w:r>
              <w:rPr>
                <w:rFonts w:asciiTheme="minorHAnsi" w:hAnsiTheme="minorHAnsi" w:cstheme="minorHAnsi"/>
                <w:b/>
              </w:rPr>
              <w:t xml:space="preserve">e)  </w:t>
            </w:r>
            <w:r w:rsidR="00502368">
              <w:rPr>
                <w:rFonts w:asciiTheme="minorHAnsi" w:hAnsiTheme="minorHAnsi" w:cstheme="minorHAnsi"/>
                <w:b/>
              </w:rPr>
              <w:t>Please provide any additional information or views about the new products that may be useful for NBA forward planning.</w:t>
            </w:r>
          </w:p>
        </w:tc>
      </w:tr>
      <w:tr w:rsidR="00691448" w:rsidRPr="00301744" w:rsidTr="002C115F">
        <w:tblPrEx>
          <w:tblCellMar>
            <w:top w:w="0" w:type="dxa"/>
            <w:bottom w:w="0" w:type="dxa"/>
          </w:tblCellMar>
        </w:tblPrEx>
        <w:trPr>
          <w:trHeight w:val="1750"/>
        </w:trPr>
        <w:tc>
          <w:tcPr>
            <w:tcW w:w="5000" w:type="pct"/>
          </w:tcPr>
          <w:p w:rsidR="00691448" w:rsidRPr="00301744" w:rsidRDefault="00691448" w:rsidP="002C115F">
            <w:pPr>
              <w:spacing w:before="120" w:after="120"/>
              <w:jc w:val="both"/>
              <w:rPr>
                <w:rFonts w:asciiTheme="minorHAnsi" w:hAnsiTheme="minorHAnsi" w:cstheme="minorHAnsi"/>
                <w:b/>
              </w:rPr>
            </w:pPr>
          </w:p>
        </w:tc>
      </w:tr>
    </w:tbl>
    <w:p w:rsidR="000F221B" w:rsidRDefault="000F221B">
      <w:r>
        <w:br w:type="page"/>
      </w:r>
    </w:p>
    <w:tbl>
      <w:tblPr>
        <w:tblW w:w="4943"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440"/>
      </w:tblGrid>
      <w:tr w:rsidR="00C44516" w:rsidRPr="00301744" w:rsidTr="00C44516">
        <w:tc>
          <w:tcPr>
            <w:tcW w:w="5000" w:type="pct"/>
            <w:shd w:val="clear" w:color="auto" w:fill="93D050"/>
            <w:vAlign w:val="center"/>
          </w:tcPr>
          <w:p w:rsidR="00C44516" w:rsidRDefault="00502368" w:rsidP="000F221B">
            <w:pPr>
              <w:keepNext/>
              <w:spacing w:before="120" w:after="120"/>
              <w:rPr>
                <w:rFonts w:asciiTheme="minorHAnsi" w:hAnsiTheme="minorHAnsi" w:cstheme="minorHAnsi"/>
                <w:b/>
              </w:rPr>
            </w:pPr>
            <w:r>
              <w:rPr>
                <w:rFonts w:asciiTheme="minorHAnsi" w:hAnsiTheme="minorHAnsi" w:cstheme="minorHAnsi"/>
                <w:b/>
              </w:rPr>
              <w:t>8</w:t>
            </w:r>
            <w:r w:rsidR="00C44516" w:rsidRPr="00C44516">
              <w:rPr>
                <w:rFonts w:asciiTheme="minorHAnsi" w:hAnsiTheme="minorHAnsi" w:cstheme="minorHAnsi"/>
                <w:b/>
              </w:rPr>
              <w:t>. OTHER FEEDBACK OR INFORMATION</w:t>
            </w:r>
          </w:p>
        </w:tc>
      </w:tr>
      <w:tr w:rsidR="00C44516" w:rsidRPr="00301744" w:rsidTr="00C44516">
        <w:tblPrEx>
          <w:tblCellMar>
            <w:top w:w="0" w:type="dxa"/>
            <w:bottom w:w="0" w:type="dxa"/>
          </w:tblCellMar>
        </w:tblPrEx>
        <w:tc>
          <w:tcPr>
            <w:tcW w:w="5000" w:type="pct"/>
            <w:shd w:val="clear" w:color="auto" w:fill="DCF0C6"/>
            <w:vAlign w:val="center"/>
          </w:tcPr>
          <w:p w:rsidR="00C44516" w:rsidRPr="00301744" w:rsidRDefault="00C44516" w:rsidP="000F221B">
            <w:pPr>
              <w:keepNext/>
              <w:spacing w:before="120" w:after="120"/>
              <w:rPr>
                <w:rFonts w:asciiTheme="minorHAnsi" w:hAnsiTheme="minorHAnsi" w:cstheme="minorHAnsi"/>
                <w:b/>
              </w:rPr>
            </w:pPr>
            <w:r w:rsidRPr="00301744">
              <w:rPr>
                <w:rFonts w:asciiTheme="minorHAnsi" w:hAnsiTheme="minorHAnsi" w:cstheme="minorHAnsi"/>
                <w:b/>
              </w:rPr>
              <w:t>Do you have any further suggestions or advice that could assist the NBA in improving the supply of these imported plasma and recombinant products</w:t>
            </w:r>
            <w:r w:rsidR="00D351CC">
              <w:rPr>
                <w:rFonts w:asciiTheme="minorHAnsi" w:hAnsiTheme="minorHAnsi" w:cstheme="minorHAnsi"/>
                <w:b/>
              </w:rPr>
              <w:t xml:space="preserve">, including </w:t>
            </w:r>
            <w:r w:rsidR="00675C9C">
              <w:rPr>
                <w:rFonts w:asciiTheme="minorHAnsi" w:hAnsiTheme="minorHAnsi" w:cstheme="minorHAnsi"/>
                <w:b/>
              </w:rPr>
              <w:t xml:space="preserve">feedback on or </w:t>
            </w:r>
            <w:r w:rsidR="00D351CC">
              <w:rPr>
                <w:rFonts w:asciiTheme="minorHAnsi" w:hAnsiTheme="minorHAnsi" w:cstheme="minorHAnsi"/>
                <w:b/>
              </w:rPr>
              <w:t>possible improvements to the NBA tender or consultation process</w:t>
            </w:r>
            <w:r w:rsidRPr="00301744">
              <w:rPr>
                <w:rFonts w:asciiTheme="minorHAnsi" w:hAnsiTheme="minorHAnsi" w:cstheme="minorHAnsi"/>
                <w:b/>
              </w:rPr>
              <w:t>?</w:t>
            </w:r>
          </w:p>
        </w:tc>
      </w:tr>
      <w:tr w:rsidR="00C44516" w:rsidRPr="00301744" w:rsidTr="008D2AFB">
        <w:tblPrEx>
          <w:tblCellMar>
            <w:top w:w="0" w:type="dxa"/>
            <w:bottom w:w="0" w:type="dxa"/>
          </w:tblCellMar>
        </w:tblPrEx>
        <w:trPr>
          <w:trHeight w:val="2575"/>
        </w:trPr>
        <w:tc>
          <w:tcPr>
            <w:tcW w:w="5000" w:type="pct"/>
            <w:tcBorders>
              <w:bottom w:val="single" w:sz="4" w:space="0" w:color="auto"/>
            </w:tcBorders>
            <w:shd w:val="clear" w:color="auto" w:fill="auto"/>
          </w:tcPr>
          <w:p w:rsidR="008D2AFB" w:rsidRDefault="008D2AFB" w:rsidP="00C44516">
            <w:pPr>
              <w:spacing w:before="120" w:after="120"/>
              <w:rPr>
                <w:rFonts w:asciiTheme="minorHAnsi" w:hAnsiTheme="minorHAnsi" w:cstheme="minorHAnsi"/>
                <w:b/>
              </w:rPr>
            </w:pPr>
          </w:p>
          <w:p w:rsidR="008D2AFB" w:rsidRPr="008D2AFB" w:rsidRDefault="008D2AFB" w:rsidP="008D2AFB">
            <w:pPr>
              <w:rPr>
                <w:rFonts w:asciiTheme="minorHAnsi" w:hAnsiTheme="minorHAnsi" w:cstheme="minorHAnsi"/>
              </w:rPr>
            </w:pPr>
          </w:p>
          <w:p w:rsidR="008D2AFB" w:rsidRPr="008D2AFB" w:rsidRDefault="008D2AFB" w:rsidP="008D2AFB">
            <w:pPr>
              <w:rPr>
                <w:rFonts w:asciiTheme="minorHAnsi" w:hAnsiTheme="minorHAnsi" w:cstheme="minorHAnsi"/>
              </w:rPr>
            </w:pPr>
          </w:p>
          <w:p w:rsidR="00C44516" w:rsidRPr="008D2AFB" w:rsidRDefault="00C44516" w:rsidP="008D2AFB">
            <w:pPr>
              <w:rPr>
                <w:rFonts w:asciiTheme="minorHAnsi" w:hAnsiTheme="minorHAnsi" w:cstheme="minorHAnsi"/>
              </w:rPr>
            </w:pPr>
          </w:p>
        </w:tc>
      </w:tr>
    </w:tbl>
    <w:p w:rsidR="002B2CD6" w:rsidRDefault="002B2CD6" w:rsidP="008D2AFB">
      <w:pPr>
        <w:pStyle w:val="NoSpacing"/>
      </w:pPr>
    </w:p>
    <w:sectPr w:rsidR="002B2CD6" w:rsidSect="003A2A58">
      <w:footerReference w:type="default" r:id="rId15"/>
      <w:pgSz w:w="11906" w:h="16838"/>
      <w:pgMar w:top="1440" w:right="1133"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5F" w:rsidRDefault="002C115F" w:rsidP="00856708">
      <w:pPr>
        <w:spacing w:after="0"/>
      </w:pPr>
      <w:r>
        <w:separator/>
      </w:r>
    </w:p>
  </w:endnote>
  <w:endnote w:type="continuationSeparator" w:id="0">
    <w:p w:rsidR="002C115F" w:rsidRDefault="002C115F"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5F" w:rsidRPr="002B2CD6" w:rsidRDefault="002C115F" w:rsidP="002B2CD6">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F536CF">
      <w:rPr>
        <w:noProof/>
        <w:sz w:val="20"/>
        <w:szCs w:val="20"/>
      </w:rPr>
      <w:t>12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5F" w:rsidRDefault="002C115F" w:rsidP="00856708">
      <w:pPr>
        <w:spacing w:after="0"/>
      </w:pPr>
      <w:r>
        <w:separator/>
      </w:r>
    </w:p>
  </w:footnote>
  <w:footnote w:type="continuationSeparator" w:id="0">
    <w:p w:rsidR="002C115F" w:rsidRDefault="002C115F"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BC5"/>
    <w:multiLevelType w:val="hybridMultilevel"/>
    <w:tmpl w:val="2EFA835C"/>
    <w:lvl w:ilvl="0" w:tplc="0C090019">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1D26B1"/>
    <w:multiLevelType w:val="hybridMultilevel"/>
    <w:tmpl w:val="41164E26"/>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66C01"/>
    <w:multiLevelType w:val="hybridMultilevel"/>
    <w:tmpl w:val="873462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836CE4"/>
    <w:multiLevelType w:val="hybridMultilevel"/>
    <w:tmpl w:val="7792C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AC7632"/>
    <w:multiLevelType w:val="hybridMultilevel"/>
    <w:tmpl w:val="727C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792FB7"/>
    <w:multiLevelType w:val="hybridMultilevel"/>
    <w:tmpl w:val="98DEF7BC"/>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2A052F"/>
    <w:multiLevelType w:val="hybridMultilevel"/>
    <w:tmpl w:val="F894E824"/>
    <w:lvl w:ilvl="0" w:tplc="DA3E38AC">
      <w:start w:val="1"/>
      <w:numFmt w:val="bullet"/>
      <w:lvlText w:val="&gt;"/>
      <w:lvlJc w:val="left"/>
      <w:pPr>
        <w:ind w:left="720" w:hanging="360"/>
      </w:pPr>
      <w:rPr>
        <w:rFonts w:ascii="Calibri" w:hAnsi="Calibri" w:hint="default"/>
        <w:b/>
        <w:i w:val="0"/>
        <w:color w:val="BCBDBC"/>
        <w:sz w:val="22"/>
      </w:rPr>
    </w:lvl>
    <w:lvl w:ilvl="1" w:tplc="DA3E38AC">
      <w:start w:val="1"/>
      <w:numFmt w:val="bullet"/>
      <w:lvlText w:val="&gt;"/>
      <w:lvlJc w:val="left"/>
      <w:pPr>
        <w:ind w:left="1800" w:hanging="720"/>
      </w:pPr>
      <w:rPr>
        <w:rFonts w:ascii="Calibri" w:hAnsi="Calibri" w:hint="default"/>
        <w:b/>
        <w:i w:val="0"/>
        <w:color w:val="BCBDBC"/>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5A4EE4"/>
    <w:multiLevelType w:val="hybridMultilevel"/>
    <w:tmpl w:val="86A84FB6"/>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D006DD"/>
    <w:multiLevelType w:val="hybridMultilevel"/>
    <w:tmpl w:val="5EA079C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1284339"/>
    <w:multiLevelType w:val="hybridMultilevel"/>
    <w:tmpl w:val="643E2D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9E15CBA"/>
    <w:multiLevelType w:val="hybridMultilevel"/>
    <w:tmpl w:val="270A03BA"/>
    <w:lvl w:ilvl="0" w:tplc="DA3E38AC">
      <w:start w:val="1"/>
      <w:numFmt w:val="bullet"/>
      <w:lvlText w:val="&gt;"/>
      <w:lvlJc w:val="left"/>
      <w:pPr>
        <w:ind w:left="720" w:hanging="360"/>
      </w:pPr>
      <w:rPr>
        <w:rFonts w:ascii="Calibri" w:hAnsi="Calibri" w:hint="default"/>
        <w:b/>
        <w:i w:val="0"/>
        <w:color w:val="BCBDBC"/>
        <w:sz w:val="22"/>
      </w:rPr>
    </w:lvl>
    <w:lvl w:ilvl="1" w:tplc="C426918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E611DC"/>
    <w:multiLevelType w:val="hybridMultilevel"/>
    <w:tmpl w:val="99BC4396"/>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C6C7704"/>
    <w:multiLevelType w:val="hybridMultilevel"/>
    <w:tmpl w:val="5E0695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9C16B1"/>
    <w:multiLevelType w:val="hybridMultilevel"/>
    <w:tmpl w:val="8A264A82"/>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2330A2D"/>
    <w:multiLevelType w:val="hybridMultilevel"/>
    <w:tmpl w:val="FD846612"/>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3C3358"/>
    <w:multiLevelType w:val="hybridMultilevel"/>
    <w:tmpl w:val="DB46AF78"/>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7">
    <w:nsid w:val="38166A63"/>
    <w:multiLevelType w:val="hybridMultilevel"/>
    <w:tmpl w:val="E80EE8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B755CC"/>
    <w:multiLevelType w:val="hybridMultilevel"/>
    <w:tmpl w:val="88FE1C1E"/>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A7737CE"/>
    <w:multiLevelType w:val="hybridMultilevel"/>
    <w:tmpl w:val="1D42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FB6B60"/>
    <w:multiLevelType w:val="hybridMultilevel"/>
    <w:tmpl w:val="177A0C3E"/>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9F07DE"/>
    <w:multiLevelType w:val="hybridMultilevel"/>
    <w:tmpl w:val="E3E6B246"/>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CCC663A"/>
    <w:multiLevelType w:val="hybridMultilevel"/>
    <w:tmpl w:val="C42A0AEE"/>
    <w:lvl w:ilvl="0" w:tplc="DA3E38AC">
      <w:start w:val="1"/>
      <w:numFmt w:val="bullet"/>
      <w:lvlText w:val="&gt;"/>
      <w:lvlJc w:val="left"/>
      <w:pPr>
        <w:ind w:left="720" w:hanging="360"/>
      </w:pPr>
      <w:rPr>
        <w:rFonts w:ascii="Calibri" w:hAnsi="Calibri" w:hint="default"/>
        <w:b/>
        <w:i w:val="0"/>
        <w:color w:val="BCBDBC"/>
        <w:sz w:val="22"/>
      </w:rPr>
    </w:lvl>
    <w:lvl w:ilvl="1" w:tplc="AAD8A3AA">
      <w:start w:val="11"/>
      <w:numFmt w:val="bullet"/>
      <w:lvlText w:val="•"/>
      <w:lvlJc w:val="left"/>
      <w:pPr>
        <w:ind w:left="1800" w:hanging="720"/>
      </w:pPr>
      <w:rPr>
        <w:rFonts w:ascii="Calibri" w:eastAsia="Dotum"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713CA3"/>
    <w:multiLevelType w:val="hybridMultilevel"/>
    <w:tmpl w:val="07E4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B875ED"/>
    <w:multiLevelType w:val="hybridMultilevel"/>
    <w:tmpl w:val="96FCA714"/>
    <w:lvl w:ilvl="0" w:tplc="0C09000F">
      <w:start w:val="1"/>
      <w:numFmt w:val="decimal"/>
      <w:lvlText w:val="%1."/>
      <w:lvlJc w:val="left"/>
      <w:pPr>
        <w:ind w:left="360" w:hanging="360"/>
      </w:pPr>
    </w:lvl>
    <w:lvl w:ilvl="1" w:tplc="04045306">
      <w:start w:val="5"/>
      <w:numFmt w:val="bullet"/>
      <w:lvlText w:val="•"/>
      <w:lvlJc w:val="left"/>
      <w:pPr>
        <w:ind w:left="1440" w:hanging="720"/>
      </w:pPr>
      <w:rPr>
        <w:rFonts w:ascii="Calibri" w:eastAsia="Dotum" w:hAnsi="Calibri" w:cs="Calibri" w:hint="default"/>
      </w:rPr>
    </w:lvl>
    <w:lvl w:ilvl="2" w:tplc="43044D00">
      <w:start w:val="5"/>
      <w:numFmt w:val="bullet"/>
      <w:lvlText w:val=""/>
      <w:lvlJc w:val="left"/>
      <w:pPr>
        <w:ind w:left="2340" w:hanging="720"/>
      </w:pPr>
      <w:rPr>
        <w:rFonts w:ascii="Symbol" w:eastAsia="Dotum" w:hAnsi="Symbol"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F6176DA"/>
    <w:multiLevelType w:val="hybridMultilevel"/>
    <w:tmpl w:val="D5CCACCE"/>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2"/>
  </w:num>
  <w:num w:numId="4">
    <w:abstractNumId w:val="24"/>
  </w:num>
  <w:num w:numId="5">
    <w:abstractNumId w:val="25"/>
  </w:num>
  <w:num w:numId="6">
    <w:abstractNumId w:val="11"/>
  </w:num>
  <w:num w:numId="7">
    <w:abstractNumId w:val="15"/>
  </w:num>
  <w:num w:numId="8">
    <w:abstractNumId w:val="21"/>
  </w:num>
  <w:num w:numId="9">
    <w:abstractNumId w:val="13"/>
  </w:num>
  <w:num w:numId="10">
    <w:abstractNumId w:val="0"/>
  </w:num>
  <w:num w:numId="11">
    <w:abstractNumId w:val="7"/>
  </w:num>
  <w:num w:numId="12">
    <w:abstractNumId w:val="2"/>
  </w:num>
  <w:num w:numId="13">
    <w:abstractNumId w:val="19"/>
  </w:num>
  <w:num w:numId="14">
    <w:abstractNumId w:val="20"/>
  </w:num>
  <w:num w:numId="15">
    <w:abstractNumId w:val="6"/>
  </w:num>
  <w:num w:numId="16">
    <w:abstractNumId w:val="5"/>
  </w:num>
  <w:num w:numId="17">
    <w:abstractNumId w:val="10"/>
  </w:num>
  <w:num w:numId="18">
    <w:abstractNumId w:val="18"/>
  </w:num>
  <w:num w:numId="19">
    <w:abstractNumId w:val="9"/>
  </w:num>
  <w:num w:numId="20">
    <w:abstractNumId w:val="12"/>
  </w:num>
  <w:num w:numId="21">
    <w:abstractNumId w:val="8"/>
  </w:num>
  <w:num w:numId="22">
    <w:abstractNumId w:val="17"/>
  </w:num>
  <w:num w:numId="23">
    <w:abstractNumId w:val="16"/>
  </w:num>
  <w:num w:numId="24">
    <w:abstractNumId w:val="23"/>
  </w:num>
  <w:num w:numId="25">
    <w:abstractNumId w:val="3"/>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4A"/>
    <w:rsid w:val="00036EDC"/>
    <w:rsid w:val="000377F4"/>
    <w:rsid w:val="0009487E"/>
    <w:rsid w:val="000A3D4C"/>
    <w:rsid w:val="000F1558"/>
    <w:rsid w:val="000F221B"/>
    <w:rsid w:val="001156FE"/>
    <w:rsid w:val="00117198"/>
    <w:rsid w:val="001737E1"/>
    <w:rsid w:val="001D4FE1"/>
    <w:rsid w:val="001F375C"/>
    <w:rsid w:val="001F6B24"/>
    <w:rsid w:val="002413C3"/>
    <w:rsid w:val="00241CA6"/>
    <w:rsid w:val="002537F2"/>
    <w:rsid w:val="002802C2"/>
    <w:rsid w:val="00295CD3"/>
    <w:rsid w:val="002B2CD6"/>
    <w:rsid w:val="002C115F"/>
    <w:rsid w:val="00357C33"/>
    <w:rsid w:val="003A2A58"/>
    <w:rsid w:val="003D383C"/>
    <w:rsid w:val="003F0EDF"/>
    <w:rsid w:val="00414083"/>
    <w:rsid w:val="00416F70"/>
    <w:rsid w:val="00486D77"/>
    <w:rsid w:val="004D4636"/>
    <w:rsid w:val="00502368"/>
    <w:rsid w:val="0053637F"/>
    <w:rsid w:val="005413F5"/>
    <w:rsid w:val="00546B9F"/>
    <w:rsid w:val="00570E68"/>
    <w:rsid w:val="005D6D89"/>
    <w:rsid w:val="006036CA"/>
    <w:rsid w:val="00614FEB"/>
    <w:rsid w:val="006314FD"/>
    <w:rsid w:val="0067275B"/>
    <w:rsid w:val="00675C9C"/>
    <w:rsid w:val="00691448"/>
    <w:rsid w:val="006A30B8"/>
    <w:rsid w:val="006B2E60"/>
    <w:rsid w:val="006C0AEC"/>
    <w:rsid w:val="006C271D"/>
    <w:rsid w:val="006C4528"/>
    <w:rsid w:val="00731A65"/>
    <w:rsid w:val="00750F0E"/>
    <w:rsid w:val="007803C1"/>
    <w:rsid w:val="00780D02"/>
    <w:rsid w:val="007E3D88"/>
    <w:rsid w:val="00816CFB"/>
    <w:rsid w:val="00856708"/>
    <w:rsid w:val="008570DC"/>
    <w:rsid w:val="00866B4A"/>
    <w:rsid w:val="00875F37"/>
    <w:rsid w:val="00893E0A"/>
    <w:rsid w:val="008D2AFB"/>
    <w:rsid w:val="008D683E"/>
    <w:rsid w:val="008E6409"/>
    <w:rsid w:val="008F0A1B"/>
    <w:rsid w:val="008F44DA"/>
    <w:rsid w:val="00951B85"/>
    <w:rsid w:val="009B24C3"/>
    <w:rsid w:val="009E38CC"/>
    <w:rsid w:val="00A14E70"/>
    <w:rsid w:val="00A65FB8"/>
    <w:rsid w:val="00A77E8A"/>
    <w:rsid w:val="00A91C6A"/>
    <w:rsid w:val="00B004F2"/>
    <w:rsid w:val="00B32A36"/>
    <w:rsid w:val="00B3726E"/>
    <w:rsid w:val="00B557F3"/>
    <w:rsid w:val="00B8533F"/>
    <w:rsid w:val="00B87ADE"/>
    <w:rsid w:val="00C36077"/>
    <w:rsid w:val="00C44516"/>
    <w:rsid w:val="00CB2CA1"/>
    <w:rsid w:val="00CE2701"/>
    <w:rsid w:val="00CF1DB6"/>
    <w:rsid w:val="00D0734F"/>
    <w:rsid w:val="00D351CC"/>
    <w:rsid w:val="00E07086"/>
    <w:rsid w:val="00E16750"/>
    <w:rsid w:val="00EA5F4A"/>
    <w:rsid w:val="00F27C41"/>
    <w:rsid w:val="00F42E21"/>
    <w:rsid w:val="00F536CF"/>
    <w:rsid w:val="00F56E81"/>
    <w:rsid w:val="00F679ED"/>
    <w:rsid w:val="00F83275"/>
    <w:rsid w:val="00F9065F"/>
    <w:rsid w:val="00FD1A08"/>
    <w:rsid w:val="00FE5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8A"/>
    <w:pPr>
      <w:spacing w:line="240" w:lineRule="auto"/>
    </w:pPr>
    <w:rPr>
      <w:rFonts w:ascii="Calibri" w:eastAsia="Dotum" w:hAnsi="Calibri" w:cs="Calibri"/>
    </w:rPr>
  </w:style>
  <w:style w:type="paragraph" w:styleId="Heading1">
    <w:name w:val="heading 1"/>
    <w:next w:val="Normal"/>
    <w:link w:val="Heading1Char"/>
    <w:uiPriority w:val="9"/>
    <w:qFormat/>
    <w:rsid w:val="00816CFB"/>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816CFB"/>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next w:val="Normal"/>
    <w:rsid w:val="002537F2"/>
    <w:pPr>
      <w:ind w:left="1276" w:right="416"/>
    </w:pPr>
    <w:rPr>
      <w:rFonts w:ascii="Arial" w:hAnsi="Arial" w:cs="Arial"/>
      <w:color w:val="FFFFFF" w:themeColor="background1"/>
      <w:sz w:val="72"/>
      <w:szCs w:val="72"/>
    </w:rPr>
  </w:style>
  <w:style w:type="character" w:customStyle="1" w:styleId="Heading1Char">
    <w:name w:val="Heading 1 Char"/>
    <w:basedOn w:val="DefaultParagraphFont"/>
    <w:link w:val="Heading1"/>
    <w:uiPriority w:val="9"/>
    <w:rsid w:val="00816CFB"/>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816CFB"/>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09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60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CA"/>
    <w:rPr>
      <w:rFonts w:ascii="Tahoma" w:eastAsia="Dotum" w:hAnsi="Tahoma" w:cs="Tahoma"/>
      <w:sz w:val="16"/>
      <w:szCs w:val="16"/>
    </w:rPr>
  </w:style>
  <w:style w:type="paragraph" w:styleId="NoSpacing">
    <w:name w:val="No Spacing"/>
    <w:uiPriority w:val="1"/>
    <w:qFormat/>
    <w:rsid w:val="006036CA"/>
    <w:pPr>
      <w:spacing w:after="0" w:line="240" w:lineRule="auto"/>
    </w:pPr>
    <w:rPr>
      <w:rFonts w:ascii="Calibri" w:eastAsia="Dotum" w:hAnsi="Calibri" w:cs="Calibri"/>
    </w:rPr>
  </w:style>
  <w:style w:type="paragraph" w:styleId="Caption">
    <w:name w:val="caption"/>
    <w:basedOn w:val="Normal"/>
    <w:next w:val="Normal"/>
    <w:uiPriority w:val="35"/>
    <w:unhideWhenUsed/>
    <w:qFormat/>
    <w:rsid w:val="00780D02"/>
    <w:rPr>
      <w:b/>
      <w:bCs/>
      <w:color w:val="404040" w:themeColor="text1" w:themeTint="BF"/>
      <w:sz w:val="20"/>
      <w:szCs w:val="18"/>
    </w:rPr>
  </w:style>
  <w:style w:type="character" w:styleId="Hyperlink">
    <w:name w:val="Hyperlink"/>
    <w:basedOn w:val="DefaultParagraphFont"/>
    <w:uiPriority w:val="99"/>
    <w:unhideWhenUsed/>
    <w:rsid w:val="00B004F2"/>
    <w:rPr>
      <w:color w:val="0000FF" w:themeColor="hyperlink"/>
      <w:u w:val="single"/>
    </w:rPr>
  </w:style>
  <w:style w:type="table" w:customStyle="1" w:styleId="TableGrid1">
    <w:name w:val="Table Grid1"/>
    <w:basedOn w:val="TableNormal"/>
    <w:next w:val="TableGrid"/>
    <w:uiPriority w:val="59"/>
    <w:rsid w:val="00A7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OC1">
    <w:name w:val="toc 1"/>
    <w:basedOn w:val="Normal"/>
    <w:next w:val="Normal"/>
    <w:autoRedefine/>
    <w:uiPriority w:val="39"/>
    <w:unhideWhenUsed/>
    <w:rsid w:val="002B2CD6"/>
    <w:pPr>
      <w:spacing w:after="100"/>
    </w:pPr>
  </w:style>
  <w:style w:type="paragraph" w:styleId="TOC2">
    <w:name w:val="toc 2"/>
    <w:basedOn w:val="Normal"/>
    <w:next w:val="Normal"/>
    <w:autoRedefine/>
    <w:uiPriority w:val="39"/>
    <w:unhideWhenUsed/>
    <w:rsid w:val="002B2CD6"/>
    <w:pPr>
      <w:spacing w:after="100"/>
      <w:ind w:left="220"/>
    </w:pPr>
  </w:style>
  <w:style w:type="paragraph" w:styleId="TOC3">
    <w:name w:val="toc 3"/>
    <w:basedOn w:val="Normal"/>
    <w:next w:val="Normal"/>
    <w:autoRedefine/>
    <w:uiPriority w:val="39"/>
    <w:unhideWhenUsed/>
    <w:rsid w:val="002B2CD6"/>
    <w:pPr>
      <w:spacing w:after="100"/>
      <w:ind w:left="440"/>
    </w:pPr>
  </w:style>
  <w:style w:type="table" w:customStyle="1" w:styleId="TableGrid2">
    <w:name w:val="Table Grid2"/>
    <w:basedOn w:val="TableNormal"/>
    <w:next w:val="TableGrid"/>
    <w:uiPriority w:val="59"/>
    <w:rsid w:val="00F4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AEC"/>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8A"/>
    <w:pPr>
      <w:spacing w:line="240" w:lineRule="auto"/>
    </w:pPr>
    <w:rPr>
      <w:rFonts w:ascii="Calibri" w:eastAsia="Dotum" w:hAnsi="Calibri" w:cs="Calibri"/>
    </w:rPr>
  </w:style>
  <w:style w:type="paragraph" w:styleId="Heading1">
    <w:name w:val="heading 1"/>
    <w:next w:val="Normal"/>
    <w:link w:val="Heading1Char"/>
    <w:uiPriority w:val="9"/>
    <w:qFormat/>
    <w:rsid w:val="00816CFB"/>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816CFB"/>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next w:val="Normal"/>
    <w:rsid w:val="002537F2"/>
    <w:pPr>
      <w:ind w:left="1276" w:right="416"/>
    </w:pPr>
    <w:rPr>
      <w:rFonts w:ascii="Arial" w:hAnsi="Arial" w:cs="Arial"/>
      <w:color w:val="FFFFFF" w:themeColor="background1"/>
      <w:sz w:val="72"/>
      <w:szCs w:val="72"/>
    </w:rPr>
  </w:style>
  <w:style w:type="character" w:customStyle="1" w:styleId="Heading1Char">
    <w:name w:val="Heading 1 Char"/>
    <w:basedOn w:val="DefaultParagraphFont"/>
    <w:link w:val="Heading1"/>
    <w:uiPriority w:val="9"/>
    <w:rsid w:val="00816CFB"/>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816CFB"/>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09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60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CA"/>
    <w:rPr>
      <w:rFonts w:ascii="Tahoma" w:eastAsia="Dotum" w:hAnsi="Tahoma" w:cs="Tahoma"/>
      <w:sz w:val="16"/>
      <w:szCs w:val="16"/>
    </w:rPr>
  </w:style>
  <w:style w:type="paragraph" w:styleId="NoSpacing">
    <w:name w:val="No Spacing"/>
    <w:uiPriority w:val="1"/>
    <w:qFormat/>
    <w:rsid w:val="006036CA"/>
    <w:pPr>
      <w:spacing w:after="0" w:line="240" w:lineRule="auto"/>
    </w:pPr>
    <w:rPr>
      <w:rFonts w:ascii="Calibri" w:eastAsia="Dotum" w:hAnsi="Calibri" w:cs="Calibri"/>
    </w:rPr>
  </w:style>
  <w:style w:type="paragraph" w:styleId="Caption">
    <w:name w:val="caption"/>
    <w:basedOn w:val="Normal"/>
    <w:next w:val="Normal"/>
    <w:uiPriority w:val="35"/>
    <w:unhideWhenUsed/>
    <w:qFormat/>
    <w:rsid w:val="00780D02"/>
    <w:rPr>
      <w:b/>
      <w:bCs/>
      <w:color w:val="404040" w:themeColor="text1" w:themeTint="BF"/>
      <w:sz w:val="20"/>
      <w:szCs w:val="18"/>
    </w:rPr>
  </w:style>
  <w:style w:type="character" w:styleId="Hyperlink">
    <w:name w:val="Hyperlink"/>
    <w:basedOn w:val="DefaultParagraphFont"/>
    <w:uiPriority w:val="99"/>
    <w:unhideWhenUsed/>
    <w:rsid w:val="00B004F2"/>
    <w:rPr>
      <w:color w:val="0000FF" w:themeColor="hyperlink"/>
      <w:u w:val="single"/>
    </w:rPr>
  </w:style>
  <w:style w:type="table" w:customStyle="1" w:styleId="TableGrid1">
    <w:name w:val="Table Grid1"/>
    <w:basedOn w:val="TableNormal"/>
    <w:next w:val="TableGrid"/>
    <w:uiPriority w:val="59"/>
    <w:rsid w:val="00A7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OC1">
    <w:name w:val="toc 1"/>
    <w:basedOn w:val="Normal"/>
    <w:next w:val="Normal"/>
    <w:autoRedefine/>
    <w:uiPriority w:val="39"/>
    <w:unhideWhenUsed/>
    <w:rsid w:val="002B2CD6"/>
    <w:pPr>
      <w:spacing w:after="100"/>
    </w:pPr>
  </w:style>
  <w:style w:type="paragraph" w:styleId="TOC2">
    <w:name w:val="toc 2"/>
    <w:basedOn w:val="Normal"/>
    <w:next w:val="Normal"/>
    <w:autoRedefine/>
    <w:uiPriority w:val="39"/>
    <w:unhideWhenUsed/>
    <w:rsid w:val="002B2CD6"/>
    <w:pPr>
      <w:spacing w:after="100"/>
      <w:ind w:left="220"/>
    </w:pPr>
  </w:style>
  <w:style w:type="paragraph" w:styleId="TOC3">
    <w:name w:val="toc 3"/>
    <w:basedOn w:val="Normal"/>
    <w:next w:val="Normal"/>
    <w:autoRedefine/>
    <w:uiPriority w:val="39"/>
    <w:unhideWhenUsed/>
    <w:rsid w:val="002B2CD6"/>
    <w:pPr>
      <w:spacing w:after="100"/>
      <w:ind w:left="440"/>
    </w:pPr>
  </w:style>
  <w:style w:type="table" w:customStyle="1" w:styleId="TableGrid2">
    <w:name w:val="Table Grid2"/>
    <w:basedOn w:val="TableNormal"/>
    <w:next w:val="TableGrid"/>
    <w:uiPriority w:val="59"/>
    <w:rsid w:val="00F4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AEC"/>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rptender@blood.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ood.gov.au/sites/default/files/nba-annualreport-2014-15-as-at-20151013sm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ood.gov.au/changes-national-product-li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ood.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prptender@bloo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893E-8B37-41A2-8326-C74BB1BD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Stone, Michael</cp:lastModifiedBy>
  <cp:revision>5</cp:revision>
  <dcterms:created xsi:type="dcterms:W3CDTF">2016-12-19T00:00:00Z</dcterms:created>
  <dcterms:modified xsi:type="dcterms:W3CDTF">2016-12-20T02:21:00Z</dcterms:modified>
</cp:coreProperties>
</file>