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D" w:rsidRDefault="006221FD" w:rsidP="006221FD"/>
    <w:p w:rsidR="00FA5701" w:rsidRDefault="00FA5701" w:rsidP="009B5D44">
      <w:pPr>
        <w:ind w:hanging="709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369"/>
        <w:gridCol w:w="8930"/>
      </w:tblGrid>
      <w:tr w:rsidR="00DF6665" w:rsidTr="009B5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548DD4" w:themeColor="text2" w:themeTint="99"/>
            </w:tcBorders>
          </w:tcPr>
          <w:p w:rsidR="00DF6665" w:rsidRPr="00496AAD" w:rsidRDefault="00DF6665" w:rsidP="005760E6">
            <w:pPr>
              <w:rPr>
                <w:b w:val="0"/>
              </w:rPr>
            </w:pPr>
            <w:r w:rsidRPr="00496AAD">
              <w:rPr>
                <w:b w:val="0"/>
              </w:rPr>
              <w:t>Condition Name</w:t>
            </w:r>
          </w:p>
        </w:tc>
        <w:tc>
          <w:tcPr>
            <w:tcW w:w="8930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</w:tcPr>
          <w:p w:rsidR="00DF6665" w:rsidRDefault="00DF6665" w:rsidP="0057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Proposed Changes</w:t>
            </w:r>
          </w:p>
        </w:tc>
      </w:tr>
      <w:tr w:rsidR="00DF6665" w:rsidTr="009B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DF6665" w:rsidRPr="00496AAD" w:rsidRDefault="00DF6665" w:rsidP="005760E6">
            <w:r>
              <w:t>Haematology</w:t>
            </w:r>
          </w:p>
        </w:tc>
      </w:tr>
      <w:tr w:rsidR="00DF6665" w:rsidTr="009B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3458A7">
            <w:pPr>
              <w:rPr>
                <w:b w:val="0"/>
              </w:rPr>
            </w:pPr>
            <w:r>
              <w:rPr>
                <w:b w:val="0"/>
              </w:rPr>
              <w:t xml:space="preserve">Acquired </w:t>
            </w:r>
            <w:proofErr w:type="spellStart"/>
            <w:r>
              <w:rPr>
                <w:b w:val="0"/>
              </w:rPr>
              <w:t>haemophilias</w:t>
            </w:r>
            <w:proofErr w:type="spellEnd"/>
            <w:r>
              <w:rPr>
                <w:b w:val="0"/>
              </w:rPr>
              <w:t xml:space="preserve"> and congenital haemophilia with inhibitors</w:t>
            </w:r>
            <w:r w:rsidR="00EF1533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DF6665" w:rsidRDefault="00DF6665" w:rsidP="003458A7">
            <w:r>
              <w:rPr>
                <w:b w:val="0"/>
              </w:rPr>
              <w:t xml:space="preserve">(formerly Coagulation Factor Inhibitors (alloantibodies and autoantibodies), including acquired haemophilia, acquired von </w:t>
            </w:r>
            <w:proofErr w:type="spellStart"/>
            <w:r>
              <w:rPr>
                <w:b w:val="0"/>
              </w:rPr>
              <w:t>Willebrand</w:t>
            </w:r>
            <w:proofErr w:type="spellEnd"/>
            <w:r>
              <w:rPr>
                <w:b w:val="0"/>
              </w:rPr>
              <w:t xml:space="preserve"> syndrome, inhibitors to factor VIII in haemophilia A, and inhibitors to factor IX in haemophilia B)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3458A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New shorted name to more concisely reflect the two main groups of specific conditions</w:t>
            </w:r>
          </w:p>
          <w:p w:rsidR="00DF6665" w:rsidRDefault="00DF6665" w:rsidP="003458A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Three indications have been developed to support the different qualifying criteria and dosing regimens </w:t>
            </w:r>
          </w:p>
          <w:p w:rsidR="00DF6665" w:rsidRDefault="00DF6665" w:rsidP="003458A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Immunosuppressant therapy must have been trialled and failed or contraindicated</w:t>
            </w:r>
          </w:p>
          <w:p w:rsidR="00DF6665" w:rsidRDefault="00DF6665" w:rsidP="003458A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 haematologist is required for diagnosis and review which is required each six months</w:t>
            </w:r>
          </w:p>
          <w:p w:rsidR="00DF6665" w:rsidRPr="00497123" w:rsidRDefault="00DF6665" w:rsidP="003458A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  <w:p w:rsidR="00DF6665" w:rsidRDefault="00DF6665" w:rsidP="003458A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DF6665" w:rsidRDefault="00DF6665" w:rsidP="003458A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F6665" w:rsidTr="009B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A96867">
            <w:pPr>
              <w:rPr>
                <w:b w:val="0"/>
              </w:rPr>
            </w:pPr>
            <w:r>
              <w:rPr>
                <w:b w:val="0"/>
              </w:rPr>
              <w:t>Acute leukaemia in children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EF1533">
            <w:pPr>
              <w:pStyle w:val="ListParagraph"/>
              <w:numPr>
                <w:ilvl w:val="0"/>
                <w:numId w:val="11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condition will no longer be listed separately as patients can qualify where they have a low IgG level  under  (AMAE) ‘</w:t>
            </w:r>
            <w:r w:rsidRPr="00EF1533">
              <w:rPr>
                <w:rFonts w:asciiTheme="minorHAnsi" w:hAnsiTheme="minorHAnsi"/>
                <w:szCs w:val="20"/>
              </w:rPr>
              <w:t xml:space="preserve">Secondary </w:t>
            </w:r>
            <w:proofErr w:type="spellStart"/>
            <w:r w:rsidRPr="00EF1533">
              <w:rPr>
                <w:rFonts w:asciiTheme="minorHAnsi" w:hAnsiTheme="minorHAnsi"/>
                <w:szCs w:val="20"/>
              </w:rPr>
              <w:t>hypogammaglobulinaemia</w:t>
            </w:r>
            <w:proofErr w:type="spellEnd"/>
            <w:r w:rsidRPr="00EF1533">
              <w:rPr>
                <w:rFonts w:asciiTheme="minorHAnsi" w:hAnsiTheme="minorHAnsi"/>
                <w:szCs w:val="20"/>
              </w:rPr>
              <w:t xml:space="preserve"> related to haematological malignancies and post </w:t>
            </w:r>
            <w:proofErr w:type="spellStart"/>
            <w:r w:rsidRPr="00EF1533">
              <w:rPr>
                <w:rFonts w:asciiTheme="minorHAnsi" w:hAnsiTheme="minorHAnsi"/>
                <w:szCs w:val="20"/>
              </w:rPr>
              <w:t>haemopoetic</w:t>
            </w:r>
            <w:proofErr w:type="spellEnd"/>
            <w:r w:rsidRPr="00EF1533">
              <w:rPr>
                <w:rFonts w:asciiTheme="minorHAnsi" w:hAnsiTheme="minorHAnsi"/>
                <w:szCs w:val="20"/>
              </w:rPr>
              <w:t xml:space="preserve"> stem c</w:t>
            </w:r>
            <w:bookmarkStart w:id="0" w:name="_GoBack"/>
            <w:bookmarkEnd w:id="0"/>
            <w:r w:rsidRPr="00EF1533">
              <w:rPr>
                <w:rFonts w:asciiTheme="minorHAnsi" w:hAnsiTheme="minorHAnsi"/>
                <w:szCs w:val="20"/>
              </w:rPr>
              <w:t xml:space="preserve">ell transplant’ </w:t>
            </w:r>
            <w:r>
              <w:t xml:space="preserve"> </w:t>
            </w:r>
          </w:p>
          <w:p w:rsidR="00DF6665" w:rsidRDefault="00DF6665" w:rsidP="00DF666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DF6665" w:rsidTr="009B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5F31DC">
            <w:pPr>
              <w:rPr>
                <w:b w:val="0"/>
              </w:rPr>
            </w:pPr>
            <w:r>
              <w:rPr>
                <w:b w:val="0"/>
              </w:rPr>
              <w:t>Autoimmune neutropenia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Pr="000A79D3" w:rsidRDefault="00DF6665" w:rsidP="005F31D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Cs w:val="20"/>
              </w:rPr>
              <w:t>Two indications have been defined to allow initial therapy and relapse of disease</w:t>
            </w:r>
          </w:p>
          <w:p w:rsidR="00DF6665" w:rsidRDefault="00DF6665" w:rsidP="00E8341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Cs w:val="20"/>
              </w:rPr>
              <w:t>I</w:t>
            </w:r>
            <w:r>
              <w:t>mmunosuppressant therapy must have been trialled and failed, or contraindicated</w:t>
            </w:r>
          </w:p>
          <w:p w:rsidR="00DF6665" w:rsidRDefault="00DF6665" w:rsidP="00E8341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3410">
              <w:rPr>
                <w:rFonts w:asciiTheme="minorHAnsi" w:hAnsiTheme="minorHAnsi"/>
                <w:szCs w:val="20"/>
              </w:rPr>
              <w:t>A haematologist is required for diagnosis due to the rarity of the condition and requirement for bone marrow biopsy</w:t>
            </w:r>
          </w:p>
          <w:p w:rsidR="00DF6665" w:rsidRDefault="00DF6665" w:rsidP="00DF66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DF6665" w:rsidTr="009B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551F0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Fetal</w:t>
            </w:r>
            <w:proofErr w:type="spellEnd"/>
            <w:r>
              <w:rPr>
                <w:b w:val="0"/>
              </w:rPr>
              <w:t xml:space="preserve"> and neonatal alloimmune thrombocytopenia (FNAIT) (formerly </w:t>
            </w:r>
            <w:proofErr w:type="spellStart"/>
            <w:r>
              <w:rPr>
                <w:b w:val="0"/>
              </w:rPr>
              <w:t>Feto</w:t>
            </w:r>
            <w:proofErr w:type="spellEnd"/>
            <w:r>
              <w:rPr>
                <w:b w:val="0"/>
              </w:rPr>
              <w:t>-maternal/neonatal alloimmune thrombocytopenia (FMAIT/NAIT))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551F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This condition will move from the </w:t>
            </w:r>
            <w:r w:rsidRPr="0011629F">
              <w:rPr>
                <w:rFonts w:asciiTheme="minorHAnsi" w:hAnsiTheme="minorHAnsi"/>
                <w:i/>
                <w:szCs w:val="20"/>
              </w:rPr>
              <w:t xml:space="preserve">Emerging </w:t>
            </w:r>
            <w:r w:rsidRPr="00A1478F">
              <w:rPr>
                <w:rFonts w:asciiTheme="minorHAnsi" w:hAnsiTheme="minorHAnsi"/>
                <w:szCs w:val="20"/>
              </w:rPr>
              <w:t>to the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11629F">
              <w:rPr>
                <w:rFonts w:asciiTheme="minorHAnsi" w:hAnsiTheme="minorHAnsi"/>
                <w:i/>
                <w:szCs w:val="20"/>
              </w:rPr>
              <w:t>Established therapeutic</w:t>
            </w:r>
            <w:r>
              <w:rPr>
                <w:rFonts w:asciiTheme="minorHAnsi" w:hAnsiTheme="minorHAnsi"/>
                <w:szCs w:val="20"/>
              </w:rPr>
              <w:t xml:space="preserve"> role category </w:t>
            </w:r>
          </w:p>
          <w:p w:rsidR="00DF6665" w:rsidRDefault="00DF6665" w:rsidP="00551F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Access to a higher dose in the latter stages of very high risk pregnancies has been supported through a stratified treatment approach </w:t>
            </w:r>
          </w:p>
          <w:p w:rsidR="00DF6665" w:rsidRDefault="00DF6665" w:rsidP="00DF666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DF6665" w:rsidTr="009B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Pr="002D5B2A" w:rsidRDefault="00DF6665" w:rsidP="00E47A60">
            <w:pPr>
              <w:rPr>
                <w:b w:val="0"/>
              </w:rPr>
            </w:pPr>
            <w:r>
              <w:rPr>
                <w:b w:val="0"/>
              </w:rPr>
              <w:t xml:space="preserve">Haemolytic disease of the </w:t>
            </w:r>
            <w:proofErr w:type="spellStart"/>
            <w:r>
              <w:rPr>
                <w:b w:val="0"/>
              </w:rPr>
              <w:t>Fetus</w:t>
            </w:r>
            <w:proofErr w:type="spellEnd"/>
            <w:r>
              <w:rPr>
                <w:b w:val="0"/>
              </w:rPr>
              <w:t xml:space="preserve"> (HDF) (formerly Haemolytic disease of the </w:t>
            </w:r>
            <w:proofErr w:type="spellStart"/>
            <w:r>
              <w:rPr>
                <w:b w:val="0"/>
              </w:rPr>
              <w:t>fetus</w:t>
            </w:r>
            <w:proofErr w:type="spellEnd"/>
            <w:r>
              <w:rPr>
                <w:b w:val="0"/>
              </w:rPr>
              <w:t xml:space="preserve"> and newborn </w:t>
            </w:r>
            <w:r>
              <w:rPr>
                <w:b w:val="0"/>
              </w:rPr>
              <w:lastRenderedPageBreak/>
              <w:t>(HDN)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E47A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The name has been changed as treatment of this condition with Ig is now limited to the </w:t>
            </w:r>
            <w:proofErr w:type="spellStart"/>
            <w:r>
              <w:t>fetus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 Ig therapy given to the pregnant mother) and not to the neonate Intensive phototherapy (light therapy) is now regarded as the most effective therapy to reduce the </w:t>
            </w:r>
            <w:r>
              <w:lastRenderedPageBreak/>
              <w:t>need for exchange transfusion in neonates  This revision accords with the recently published Patient Blood Management Guidelines Module 6 –Paediatric and Neonatal (2016)</w:t>
            </w:r>
          </w:p>
          <w:p w:rsidR="00DF6665" w:rsidRDefault="00DF6665" w:rsidP="00E47A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indication has been devised to accord with these guidelines </w:t>
            </w:r>
            <w:proofErr w:type="spellStart"/>
            <w:r>
              <w:t>ie</w:t>
            </w:r>
            <w:proofErr w:type="spellEnd"/>
            <w:r>
              <w:t xml:space="preserve"> “Haemolytic disease of the </w:t>
            </w:r>
            <w:proofErr w:type="spellStart"/>
            <w:r>
              <w:t>fetus</w:t>
            </w:r>
            <w:proofErr w:type="spellEnd"/>
            <w:r>
              <w:t xml:space="preserve"> with high risk of early </w:t>
            </w:r>
            <w:proofErr w:type="spellStart"/>
            <w:r>
              <w:t>fetal</w:t>
            </w:r>
            <w:proofErr w:type="spellEnd"/>
            <w:r>
              <w:t xml:space="preserve"> hydrops or death”</w:t>
            </w:r>
          </w:p>
          <w:p w:rsidR="00DF6665" w:rsidRDefault="00DF6665" w:rsidP="00E47A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diagnosis must be made by a haematologist, general physician, paediatrician or obstetrician </w:t>
            </w:r>
          </w:p>
          <w:p w:rsidR="00DF6665" w:rsidRDefault="00DF6665" w:rsidP="00E47A6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DF6665" w:rsidTr="009B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AF5E8C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Haemolytic transfusion reaction (HTR) not associated with identifiable red cell antibodies </w:t>
            </w:r>
          </w:p>
          <w:p w:rsidR="00DF6665" w:rsidRDefault="00DF6665" w:rsidP="00AF5E8C">
            <w:pPr>
              <w:rPr>
                <w:b w:val="0"/>
              </w:rPr>
            </w:pPr>
            <w:r>
              <w:rPr>
                <w:b w:val="0"/>
              </w:rPr>
              <w:t xml:space="preserve">(formerly Haemolytic transfusion reaction) 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AF5E8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The name has changed as Ig therapy is now limited to haemolytic transfusion reaction </w:t>
            </w:r>
            <w:r w:rsidRPr="002F317A">
              <w:rPr>
                <w:rFonts w:asciiTheme="minorHAnsi" w:hAnsiTheme="minorHAnsi"/>
                <w:i/>
                <w:szCs w:val="20"/>
              </w:rPr>
              <w:t>not associated with identifiable red cell antibodies</w:t>
            </w:r>
            <w:r>
              <w:rPr>
                <w:rFonts w:asciiTheme="minorHAnsi" w:hAnsiTheme="minorHAnsi"/>
                <w:szCs w:val="20"/>
              </w:rPr>
              <w:t xml:space="preserve"> as benefit is derived from Ig therapy for this subset of patients</w:t>
            </w:r>
          </w:p>
          <w:p w:rsidR="00DF6665" w:rsidRPr="00CB376A" w:rsidRDefault="00DF6665" w:rsidP="00AF5E8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Two exclusion criteria have been added </w:t>
            </w:r>
          </w:p>
          <w:p w:rsidR="00DF6665" w:rsidRDefault="00DF6665" w:rsidP="00AF5E8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CB376A">
              <w:rPr>
                <w:rFonts w:asciiTheme="minorHAnsi" w:hAnsiTheme="minorHAnsi"/>
                <w:szCs w:val="20"/>
              </w:rPr>
              <w:t>Sickle cell disease has been removed from ‘Not supported’</w:t>
            </w:r>
            <w:r>
              <w:rPr>
                <w:rFonts w:asciiTheme="minorHAnsi" w:hAnsiTheme="minorHAnsi"/>
                <w:szCs w:val="20"/>
              </w:rPr>
              <w:t xml:space="preserve"> as these patients are more likely to present with HTR not associated with red cell antibodies</w:t>
            </w:r>
            <w:r w:rsidRPr="00CB376A">
              <w:rPr>
                <w:rFonts w:asciiTheme="minorHAnsi" w:hAnsiTheme="minorHAnsi"/>
                <w:szCs w:val="20"/>
              </w:rPr>
              <w:t xml:space="preserve">  Note however that Sickle Cell Disease does not qualify for Ig therapy in the absence of HTR</w:t>
            </w:r>
            <w:r>
              <w:rPr>
                <w:rFonts w:asciiTheme="minorHAnsi" w:hAnsiTheme="minorHAnsi"/>
                <w:szCs w:val="20"/>
              </w:rPr>
              <w:t xml:space="preserve"> not associated with identifiable red cell antibodies</w:t>
            </w:r>
          </w:p>
          <w:p w:rsidR="00DF6665" w:rsidRPr="00E83410" w:rsidRDefault="00DF6665" w:rsidP="00E8341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DF6665" w:rsidTr="009B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1D5BFB">
            <w:pPr>
              <w:rPr>
                <w:b w:val="0"/>
              </w:rPr>
            </w:pPr>
            <w:r>
              <w:rPr>
                <w:b w:val="0"/>
              </w:rPr>
              <w:t>Pure Red Cell Aplasia (PRCA)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1D5BF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 new indication has been developed based on recent publications</w:t>
            </w:r>
          </w:p>
          <w:p w:rsidR="00DF6665" w:rsidRDefault="00DF6665" w:rsidP="001D5BF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This rare condition must be now be diagnosed and managed by a haematologist</w:t>
            </w:r>
          </w:p>
          <w:p w:rsidR="00DF6665" w:rsidRPr="00497123" w:rsidRDefault="00DF6665" w:rsidP="001D5BF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  <w:p w:rsidR="00DF6665" w:rsidRDefault="00DF6665" w:rsidP="001D5B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F6665" w:rsidTr="009B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Pr="00496AAD" w:rsidRDefault="00DF6665" w:rsidP="009E5CDA">
            <w:pPr>
              <w:rPr>
                <w:b w:val="0"/>
              </w:rPr>
            </w:pPr>
            <w:r>
              <w:rPr>
                <w:b w:val="0"/>
              </w:rPr>
              <w:t>Pure white cell aplasia (PWCA)</w:t>
            </w:r>
          </w:p>
        </w:tc>
        <w:tc>
          <w:tcPr>
            <w:tcW w:w="89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F6665" w:rsidRDefault="00DF6665" w:rsidP="00EF153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proposed that this condition will no longer be supported for funded access to immunoglobulin treatment as there are more effective treatments for this condition</w:t>
            </w:r>
          </w:p>
          <w:p w:rsidR="00DF6665" w:rsidRPr="00497123" w:rsidRDefault="00DF6665" w:rsidP="00EF153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  <w:p w:rsidR="00DF6665" w:rsidRDefault="00DF6665" w:rsidP="00F4546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5701" w:rsidRPr="006221FD" w:rsidRDefault="00FA5701" w:rsidP="006221FD"/>
    <w:sectPr w:rsidR="00FA5701" w:rsidRPr="006221FD" w:rsidSect="009B5D44">
      <w:footerReference w:type="default" r:id="rId9"/>
      <w:pgSz w:w="16838" w:h="11906" w:orient="landscape"/>
      <w:pgMar w:top="1440" w:right="678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D" w:rsidRDefault="006221FD" w:rsidP="00856708">
      <w:pPr>
        <w:spacing w:after="0"/>
      </w:pPr>
      <w:r>
        <w:separator/>
      </w:r>
    </w:p>
  </w:endnote>
  <w:endnote w:type="continuationSeparator" w:id="0">
    <w:p w:rsidR="006221FD" w:rsidRDefault="006221F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proofErr w:type="spellStart"/>
    <w:r w:rsidRPr="00856708">
      <w:rPr>
        <w:sz w:val="20"/>
        <w:szCs w:val="20"/>
      </w:rPr>
      <w:t>pg</w:t>
    </w:r>
    <w:proofErr w:type="spellEnd"/>
    <w:r w:rsidRPr="00856708">
      <w:rPr>
        <w:sz w:val="20"/>
        <w:szCs w:val="20"/>
      </w:rPr>
      <w:t xml:space="preserve">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EF1533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D" w:rsidRDefault="006221FD" w:rsidP="00856708">
      <w:pPr>
        <w:spacing w:after="0"/>
      </w:pPr>
      <w:r>
        <w:separator/>
      </w:r>
    </w:p>
  </w:footnote>
  <w:footnote w:type="continuationSeparator" w:id="0">
    <w:p w:rsidR="006221FD" w:rsidRDefault="006221FD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73"/>
    <w:multiLevelType w:val="hybridMultilevel"/>
    <w:tmpl w:val="C7F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1173"/>
    <w:multiLevelType w:val="hybridMultilevel"/>
    <w:tmpl w:val="22EAC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4044D21"/>
    <w:multiLevelType w:val="hybridMultilevel"/>
    <w:tmpl w:val="4544A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2B2B"/>
    <w:multiLevelType w:val="hybridMultilevel"/>
    <w:tmpl w:val="C7EAE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32688"/>
    <w:multiLevelType w:val="hybridMultilevel"/>
    <w:tmpl w:val="CA220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410BF"/>
    <w:multiLevelType w:val="hybridMultilevel"/>
    <w:tmpl w:val="63201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D"/>
    <w:rsid w:val="00016BB3"/>
    <w:rsid w:val="00036EDC"/>
    <w:rsid w:val="00073894"/>
    <w:rsid w:val="000759BC"/>
    <w:rsid w:val="000A79D3"/>
    <w:rsid w:val="000F5BDD"/>
    <w:rsid w:val="000F6F1A"/>
    <w:rsid w:val="00111639"/>
    <w:rsid w:val="0011629F"/>
    <w:rsid w:val="0012288B"/>
    <w:rsid w:val="0012295C"/>
    <w:rsid w:val="001A1D4B"/>
    <w:rsid w:val="001E718F"/>
    <w:rsid w:val="001F1FC1"/>
    <w:rsid w:val="002537F2"/>
    <w:rsid w:val="00270CAF"/>
    <w:rsid w:val="00295CD3"/>
    <w:rsid w:val="00297219"/>
    <w:rsid w:val="002A6E10"/>
    <w:rsid w:val="002D5B2A"/>
    <w:rsid w:val="002F1CE0"/>
    <w:rsid w:val="002F317A"/>
    <w:rsid w:val="00303690"/>
    <w:rsid w:val="00367154"/>
    <w:rsid w:val="003705FE"/>
    <w:rsid w:val="003D27F1"/>
    <w:rsid w:val="00496AAD"/>
    <w:rsid w:val="004B340D"/>
    <w:rsid w:val="004D4636"/>
    <w:rsid w:val="00540020"/>
    <w:rsid w:val="005D1DF6"/>
    <w:rsid w:val="006221FD"/>
    <w:rsid w:val="00632630"/>
    <w:rsid w:val="006530DA"/>
    <w:rsid w:val="00664F89"/>
    <w:rsid w:val="00673058"/>
    <w:rsid w:val="00673C59"/>
    <w:rsid w:val="00685FC7"/>
    <w:rsid w:val="006A3BB3"/>
    <w:rsid w:val="006B0EFA"/>
    <w:rsid w:val="006C0CDD"/>
    <w:rsid w:val="006F4698"/>
    <w:rsid w:val="00720159"/>
    <w:rsid w:val="0074502F"/>
    <w:rsid w:val="00784E50"/>
    <w:rsid w:val="008037E5"/>
    <w:rsid w:val="008109AC"/>
    <w:rsid w:val="008321F2"/>
    <w:rsid w:val="00856708"/>
    <w:rsid w:val="00893E0A"/>
    <w:rsid w:val="00951B85"/>
    <w:rsid w:val="00990D1F"/>
    <w:rsid w:val="009A7374"/>
    <w:rsid w:val="009B5D44"/>
    <w:rsid w:val="009C7E20"/>
    <w:rsid w:val="009D13B4"/>
    <w:rsid w:val="009E38CC"/>
    <w:rsid w:val="00A13E78"/>
    <w:rsid w:val="00A1478F"/>
    <w:rsid w:val="00A409EC"/>
    <w:rsid w:val="00A84A57"/>
    <w:rsid w:val="00AA69C8"/>
    <w:rsid w:val="00B3726E"/>
    <w:rsid w:val="00B42278"/>
    <w:rsid w:val="00B6218D"/>
    <w:rsid w:val="00C82185"/>
    <w:rsid w:val="00C828AF"/>
    <w:rsid w:val="00CB376A"/>
    <w:rsid w:val="00CD5218"/>
    <w:rsid w:val="00CF2CA0"/>
    <w:rsid w:val="00D0206B"/>
    <w:rsid w:val="00D53222"/>
    <w:rsid w:val="00D972A0"/>
    <w:rsid w:val="00DE018E"/>
    <w:rsid w:val="00DF6665"/>
    <w:rsid w:val="00E83410"/>
    <w:rsid w:val="00E9086B"/>
    <w:rsid w:val="00EF1533"/>
    <w:rsid w:val="00F30149"/>
    <w:rsid w:val="00F3572F"/>
    <w:rsid w:val="00F35B05"/>
    <w:rsid w:val="00F45468"/>
    <w:rsid w:val="00F4592C"/>
    <w:rsid w:val="00F602A6"/>
    <w:rsid w:val="00F67776"/>
    <w:rsid w:val="00F67B14"/>
    <w:rsid w:val="00F75F2E"/>
    <w:rsid w:val="00F84A03"/>
    <w:rsid w:val="00F85547"/>
    <w:rsid w:val="00FA5701"/>
    <w:rsid w:val="00FD0E00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30149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1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10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10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30149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1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10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10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C97D-EBC6-4342-A670-25CB86A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Cameron</dc:creator>
  <cp:keywords/>
  <dc:description/>
  <cp:lastModifiedBy>J Roberts</cp:lastModifiedBy>
  <cp:revision>12</cp:revision>
  <dcterms:created xsi:type="dcterms:W3CDTF">2017-03-21T02:57:00Z</dcterms:created>
  <dcterms:modified xsi:type="dcterms:W3CDTF">2017-04-28T01:36:00Z</dcterms:modified>
</cp:coreProperties>
</file>