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B9" w:rsidRDefault="006E22B9" w:rsidP="006E22B9"/>
    <w:p w:rsidR="00942F3D" w:rsidRDefault="00942F3D" w:rsidP="00942F3D">
      <w:pPr>
        <w:pStyle w:val="Heading2"/>
        <w:spacing w:before="120"/>
        <w:jc w:val="center"/>
        <w:rPr>
          <w:noProof/>
          <w:lang w:eastAsia="en-AU"/>
        </w:rPr>
      </w:pPr>
      <w:bookmarkStart w:id="0" w:name="_Toc275414998"/>
      <w:bookmarkEnd w:id="0"/>
    </w:p>
    <w:p w:rsidR="001328E5" w:rsidRDefault="001328E5" w:rsidP="00942F3D">
      <w:pPr>
        <w:pStyle w:val="Heading2"/>
        <w:spacing w:before="120"/>
        <w:jc w:val="center"/>
        <w:rPr>
          <w:noProof/>
          <w:lang w:eastAsia="en-AU"/>
        </w:rPr>
      </w:pPr>
    </w:p>
    <w:p w:rsidR="008F0D24" w:rsidRDefault="00942F3D" w:rsidP="000F3C87">
      <w:pPr>
        <w:pStyle w:val="Heading3"/>
        <w:jc w:val="center"/>
        <w:rPr>
          <w:noProof/>
          <w:lang w:eastAsia="en-AU"/>
        </w:rPr>
      </w:pPr>
      <w:r>
        <w:rPr>
          <w:noProof/>
          <w:lang w:eastAsia="en-AU"/>
        </w:rPr>
        <w:t>BloodSTAR</w:t>
      </w:r>
      <w:r w:rsidR="000F3C87">
        <w:rPr>
          <w:noProof/>
          <w:lang w:eastAsia="en-AU"/>
        </w:rPr>
        <w:t xml:space="preserve"> - </w:t>
      </w:r>
      <w:r>
        <w:rPr>
          <w:noProof/>
          <w:lang w:eastAsia="en-AU"/>
        </w:rPr>
        <w:t xml:space="preserve">Management of Patients </w:t>
      </w:r>
      <w:r w:rsidR="00F14B81">
        <w:rPr>
          <w:noProof/>
          <w:lang w:eastAsia="en-AU"/>
        </w:rPr>
        <w:t xml:space="preserve">Moving or Travelling Interstate </w:t>
      </w:r>
      <w:r>
        <w:rPr>
          <w:noProof/>
          <w:lang w:eastAsia="en-AU"/>
        </w:rPr>
        <w:t>During</w:t>
      </w:r>
      <w:r w:rsidR="00823A64">
        <w:rPr>
          <w:noProof/>
          <w:lang w:eastAsia="en-AU"/>
        </w:rPr>
        <w:t xml:space="preserve"> BloodSTAR</w:t>
      </w:r>
      <w:r>
        <w:rPr>
          <w:noProof/>
          <w:lang w:eastAsia="en-AU"/>
        </w:rPr>
        <w:t xml:space="preserve"> Transition</w:t>
      </w:r>
    </w:p>
    <w:p w:rsidR="000F3C87" w:rsidRDefault="000F3C87" w:rsidP="000F3C87">
      <w:pPr>
        <w:rPr>
          <w:lang w:eastAsia="en-AU"/>
        </w:rPr>
      </w:pPr>
    </w:p>
    <w:p w:rsidR="001117C0" w:rsidRDefault="001117C0" w:rsidP="000F3C87">
      <w:pPr>
        <w:rPr>
          <w:lang w:eastAsia="en-AU"/>
        </w:rPr>
      </w:pPr>
      <w:r>
        <w:rPr>
          <w:lang w:eastAsia="en-AU"/>
        </w:rPr>
        <w:t xml:space="preserve">BloodSTAR will be rolled out </w:t>
      </w:r>
      <w:r w:rsidR="00B0397A">
        <w:rPr>
          <w:lang w:eastAsia="en-AU"/>
        </w:rPr>
        <w:t xml:space="preserve">progressively </w:t>
      </w:r>
      <w:r>
        <w:rPr>
          <w:lang w:eastAsia="en-AU"/>
        </w:rPr>
        <w:t>across the country between 14 July 2016 and 5 December 2016</w:t>
      </w:r>
      <w:r w:rsidR="00B0397A">
        <w:rPr>
          <w:lang w:eastAsia="en-AU"/>
        </w:rPr>
        <w:t xml:space="preserve">. </w:t>
      </w:r>
    </w:p>
    <w:p w:rsidR="00B0397A" w:rsidRDefault="00B0397A" w:rsidP="00B0397A">
      <w:pPr>
        <w:rPr>
          <w:lang w:eastAsia="en-AU"/>
        </w:rPr>
      </w:pPr>
      <w:r>
        <w:rPr>
          <w:lang w:eastAsia="en-AU"/>
        </w:rPr>
        <w:t xml:space="preserve">This document provides advice regarding what to do and/or who to contact </w:t>
      </w:r>
      <w:r w:rsidR="00D115BE">
        <w:rPr>
          <w:lang w:eastAsia="en-AU"/>
        </w:rPr>
        <w:t>when patients who have continuing auth</w:t>
      </w:r>
      <w:r w:rsidR="00032015">
        <w:rPr>
          <w:lang w:eastAsia="en-AU"/>
        </w:rPr>
        <w:t xml:space="preserve">orisation to receive government </w:t>
      </w:r>
      <w:r w:rsidR="00D115BE">
        <w:rPr>
          <w:lang w:eastAsia="en-AU"/>
        </w:rPr>
        <w:t>funded immunoglobulin products travel</w:t>
      </w:r>
      <w:r w:rsidR="00032015">
        <w:rPr>
          <w:lang w:eastAsia="en-AU"/>
        </w:rPr>
        <w:t xml:space="preserve"> or move between States and/or T</w:t>
      </w:r>
      <w:r w:rsidR="00D115BE">
        <w:rPr>
          <w:lang w:eastAsia="en-AU"/>
        </w:rPr>
        <w:t>erritories where BloodSTAR may or may not have been implemented.</w:t>
      </w:r>
    </w:p>
    <w:p w:rsidR="00CD67E5" w:rsidRDefault="00CD67E5" w:rsidP="00B0397A">
      <w:pPr>
        <w:rPr>
          <w:lang w:eastAsia="en-AU"/>
        </w:rPr>
      </w:pPr>
    </w:p>
    <w:p w:rsidR="00483451" w:rsidRDefault="00B93F3C" w:rsidP="000C0C23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129C419" wp14:editId="177FAE25">
            <wp:extent cx="5943600" cy="2018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E5" w:rsidRDefault="00CD67E5" w:rsidP="000C0C23">
      <w:pPr>
        <w:jc w:val="center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651"/>
      </w:tblGrid>
      <w:tr w:rsidR="00FC0C3A" w:rsidRPr="00FC0C3A" w:rsidTr="0091510C">
        <w:tc>
          <w:tcPr>
            <w:tcW w:w="2660" w:type="dxa"/>
          </w:tcPr>
          <w:p w:rsidR="001C1EA6" w:rsidRPr="0091510C" w:rsidRDefault="001C1EA6" w:rsidP="00CA0CB7">
            <w:pPr>
              <w:rPr>
                <w:color w:val="FF0000"/>
                <w:lang w:eastAsia="en-AU"/>
              </w:rPr>
            </w:pPr>
          </w:p>
        </w:tc>
        <w:tc>
          <w:tcPr>
            <w:tcW w:w="3685" w:type="dxa"/>
          </w:tcPr>
          <w:p w:rsidR="00FC0C3A" w:rsidRPr="0091510C" w:rsidRDefault="00FC0C3A" w:rsidP="001C1EA6">
            <w:pPr>
              <w:rPr>
                <w:b/>
                <w:color w:val="FF0000"/>
                <w:lang w:eastAsia="en-AU"/>
              </w:rPr>
            </w:pPr>
          </w:p>
          <w:p w:rsidR="001C1EA6" w:rsidRPr="0091510C" w:rsidRDefault="001C1EA6" w:rsidP="001C1EA6">
            <w:pPr>
              <w:rPr>
                <w:b/>
                <w:color w:val="FF0000"/>
                <w:lang w:eastAsia="en-AU"/>
              </w:rPr>
            </w:pPr>
            <w:r w:rsidRPr="0091510C">
              <w:rPr>
                <w:b/>
                <w:color w:val="FF0000"/>
                <w:lang w:eastAsia="en-AU"/>
              </w:rPr>
              <w:t>BloodSTAR</w:t>
            </w:r>
            <w:r w:rsidR="00FC0C3A" w:rsidRPr="0091510C">
              <w:rPr>
                <w:b/>
                <w:color w:val="FF0000"/>
                <w:lang w:eastAsia="en-AU"/>
              </w:rPr>
              <w:t xml:space="preserve"> </w:t>
            </w:r>
            <w:r w:rsidR="00FC0C3A" w:rsidRPr="0091510C">
              <w:rPr>
                <w:b/>
                <w:color w:val="FF0000"/>
                <w:u w:val="single"/>
                <w:lang w:eastAsia="en-AU"/>
              </w:rPr>
              <w:t>LIVE</w:t>
            </w:r>
            <w:r w:rsidR="00FC0C3A" w:rsidRPr="0091510C">
              <w:rPr>
                <w:b/>
                <w:color w:val="FF0000"/>
                <w:lang w:eastAsia="en-AU"/>
              </w:rPr>
              <w:t xml:space="preserve"> </w:t>
            </w:r>
            <w:r w:rsidRPr="0091510C">
              <w:rPr>
                <w:b/>
                <w:color w:val="FF0000"/>
                <w:lang w:eastAsia="en-AU"/>
              </w:rPr>
              <w:t>State/Territory</w:t>
            </w:r>
          </w:p>
        </w:tc>
        <w:tc>
          <w:tcPr>
            <w:tcW w:w="3651" w:type="dxa"/>
          </w:tcPr>
          <w:p w:rsidR="00FC0C3A" w:rsidRPr="0091510C" w:rsidRDefault="00FC0C3A" w:rsidP="001C1EA6">
            <w:pPr>
              <w:rPr>
                <w:b/>
                <w:color w:val="FF0000"/>
                <w:lang w:eastAsia="en-AU"/>
              </w:rPr>
            </w:pPr>
          </w:p>
          <w:p w:rsidR="001C1EA6" w:rsidRPr="0091510C" w:rsidRDefault="001C1EA6" w:rsidP="001C1EA6">
            <w:pPr>
              <w:rPr>
                <w:b/>
                <w:color w:val="FF0000"/>
                <w:lang w:eastAsia="en-AU"/>
              </w:rPr>
            </w:pPr>
            <w:r w:rsidRPr="0091510C">
              <w:rPr>
                <w:b/>
                <w:color w:val="FF0000"/>
                <w:lang w:eastAsia="en-AU"/>
              </w:rPr>
              <w:t xml:space="preserve">BloodSTAR </w:t>
            </w:r>
            <w:r w:rsidR="00FC0C3A" w:rsidRPr="0091510C">
              <w:rPr>
                <w:b/>
                <w:color w:val="FF0000"/>
                <w:u w:val="single"/>
                <w:lang w:eastAsia="en-AU"/>
              </w:rPr>
              <w:t>NON-LIVE</w:t>
            </w:r>
            <w:r w:rsidR="00FC0C3A" w:rsidRPr="0091510C">
              <w:rPr>
                <w:b/>
                <w:color w:val="FF0000"/>
                <w:lang w:eastAsia="en-AU"/>
              </w:rPr>
              <w:t xml:space="preserve"> </w:t>
            </w:r>
            <w:r w:rsidRPr="0091510C">
              <w:rPr>
                <w:b/>
                <w:color w:val="FF0000"/>
                <w:lang w:eastAsia="en-AU"/>
              </w:rPr>
              <w:t>State/Territory</w:t>
            </w:r>
          </w:p>
          <w:p w:rsidR="00FC0C3A" w:rsidRPr="0091510C" w:rsidRDefault="00FC0C3A" w:rsidP="001C1EA6">
            <w:pPr>
              <w:rPr>
                <w:b/>
                <w:color w:val="FF0000"/>
                <w:lang w:eastAsia="en-AU"/>
              </w:rPr>
            </w:pPr>
          </w:p>
        </w:tc>
      </w:tr>
      <w:tr w:rsidR="001C1EA6" w:rsidTr="0091510C">
        <w:tc>
          <w:tcPr>
            <w:tcW w:w="2660" w:type="dxa"/>
          </w:tcPr>
          <w:p w:rsidR="001C1EA6" w:rsidRPr="0091510C" w:rsidRDefault="001C1EA6" w:rsidP="00826234">
            <w:pPr>
              <w:rPr>
                <w:b/>
                <w:lang w:eastAsia="en-AU"/>
              </w:rPr>
            </w:pPr>
            <w:r w:rsidRPr="0091510C">
              <w:rPr>
                <w:b/>
                <w:lang w:eastAsia="en-AU"/>
              </w:rPr>
              <w:t>Patient is currently in  BloodSTAR State/Territory and travels to:</w:t>
            </w:r>
          </w:p>
        </w:tc>
        <w:tc>
          <w:tcPr>
            <w:tcW w:w="3685" w:type="dxa"/>
          </w:tcPr>
          <w:p w:rsidR="001C1EA6" w:rsidRDefault="001C1EA6" w:rsidP="00355C17">
            <w:pPr>
              <w:rPr>
                <w:lang w:eastAsia="en-AU"/>
              </w:rPr>
            </w:pPr>
            <w:r>
              <w:rPr>
                <w:lang w:eastAsia="en-AU"/>
              </w:rPr>
              <w:t>This patient</w:t>
            </w:r>
            <w:r w:rsidR="009D4857">
              <w:rPr>
                <w:lang w:eastAsia="en-AU"/>
              </w:rPr>
              <w:t>’</w:t>
            </w:r>
            <w:r>
              <w:rPr>
                <w:lang w:eastAsia="en-AU"/>
              </w:rPr>
              <w:t xml:space="preserve">s Ig is easily managed in BloodSTAR and dispense recorded in </w:t>
            </w:r>
            <w:proofErr w:type="spellStart"/>
            <w:r>
              <w:rPr>
                <w:lang w:eastAsia="en-AU"/>
              </w:rPr>
              <w:t>BloodNET</w:t>
            </w:r>
            <w:proofErr w:type="spellEnd"/>
            <w:r>
              <w:rPr>
                <w:lang w:eastAsia="en-AU"/>
              </w:rPr>
              <w:t xml:space="preserve">. </w:t>
            </w:r>
            <w:r w:rsidR="00355C17">
              <w:rPr>
                <w:lang w:eastAsia="en-AU"/>
              </w:rPr>
              <w:t xml:space="preserve">Information available at www.blood.gov.au/bloodstar. </w:t>
            </w:r>
          </w:p>
        </w:tc>
        <w:tc>
          <w:tcPr>
            <w:tcW w:w="3651" w:type="dxa"/>
          </w:tcPr>
          <w:p w:rsidR="001C1EA6" w:rsidRDefault="001C1EA6" w:rsidP="001C1EA6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See </w:t>
            </w:r>
            <w:r w:rsidRPr="0091510C">
              <w:rPr>
                <w:b/>
                <w:lang w:eastAsia="en-AU"/>
              </w:rPr>
              <w:t>process</w:t>
            </w:r>
            <w:r>
              <w:rPr>
                <w:lang w:eastAsia="en-AU"/>
              </w:rPr>
              <w:t xml:space="preserve"> </w:t>
            </w:r>
            <w:r w:rsidRPr="0091510C">
              <w:rPr>
                <w:b/>
                <w:lang w:eastAsia="en-AU"/>
              </w:rPr>
              <w:t>1</w:t>
            </w:r>
            <w:r>
              <w:rPr>
                <w:lang w:eastAsia="en-AU"/>
              </w:rPr>
              <w:t xml:space="preserve"> of this tip sheet for how to manage this patient</w:t>
            </w:r>
            <w:r w:rsidR="009D4857">
              <w:rPr>
                <w:lang w:eastAsia="en-AU"/>
              </w:rPr>
              <w:t>’</w:t>
            </w:r>
            <w:r>
              <w:rPr>
                <w:lang w:eastAsia="en-AU"/>
              </w:rPr>
              <w:t xml:space="preserve">s Ig treatment. </w:t>
            </w:r>
          </w:p>
        </w:tc>
      </w:tr>
      <w:tr w:rsidR="001C1EA6" w:rsidTr="0091510C">
        <w:tc>
          <w:tcPr>
            <w:tcW w:w="2660" w:type="dxa"/>
          </w:tcPr>
          <w:p w:rsidR="001C1EA6" w:rsidRPr="0091510C" w:rsidRDefault="001C1EA6" w:rsidP="00826234">
            <w:pPr>
              <w:rPr>
                <w:b/>
                <w:lang w:eastAsia="en-AU"/>
              </w:rPr>
            </w:pPr>
            <w:r w:rsidRPr="0091510C">
              <w:rPr>
                <w:b/>
                <w:lang w:eastAsia="en-AU"/>
              </w:rPr>
              <w:t xml:space="preserve">Patient is currently in a State/Territory </w:t>
            </w:r>
            <w:r w:rsidR="00826234">
              <w:rPr>
                <w:b/>
                <w:lang w:eastAsia="en-AU"/>
              </w:rPr>
              <w:t xml:space="preserve">not yet on BloodSTAR </w:t>
            </w:r>
            <w:r w:rsidRPr="0091510C">
              <w:rPr>
                <w:b/>
                <w:lang w:eastAsia="en-AU"/>
              </w:rPr>
              <w:t>and travel to:</w:t>
            </w:r>
          </w:p>
        </w:tc>
        <w:tc>
          <w:tcPr>
            <w:tcW w:w="3685" w:type="dxa"/>
          </w:tcPr>
          <w:p w:rsidR="001C1EA6" w:rsidRDefault="001C1EA6" w:rsidP="00CA0CB7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See </w:t>
            </w:r>
            <w:r w:rsidRPr="0091510C">
              <w:rPr>
                <w:b/>
                <w:lang w:eastAsia="en-AU"/>
              </w:rPr>
              <w:t>process 2</w:t>
            </w:r>
            <w:r>
              <w:rPr>
                <w:lang w:eastAsia="en-AU"/>
              </w:rPr>
              <w:t xml:space="preserve"> of this tip sheet for how to manage this patient</w:t>
            </w:r>
            <w:r w:rsidR="009D4857">
              <w:rPr>
                <w:lang w:eastAsia="en-AU"/>
              </w:rPr>
              <w:t>’</w:t>
            </w:r>
            <w:r>
              <w:rPr>
                <w:lang w:eastAsia="en-AU"/>
              </w:rPr>
              <w:t>s Ig treatment.</w:t>
            </w:r>
          </w:p>
        </w:tc>
        <w:tc>
          <w:tcPr>
            <w:tcW w:w="3651" w:type="dxa"/>
          </w:tcPr>
          <w:p w:rsidR="001C1EA6" w:rsidRDefault="001C1EA6" w:rsidP="00CA0CB7">
            <w:pPr>
              <w:rPr>
                <w:lang w:eastAsia="en-AU"/>
              </w:rPr>
            </w:pPr>
            <w:r>
              <w:rPr>
                <w:lang w:eastAsia="en-AU"/>
              </w:rPr>
              <w:t>Existing processes for patient</w:t>
            </w:r>
            <w:r w:rsidR="009D4857">
              <w:rPr>
                <w:lang w:eastAsia="en-AU"/>
              </w:rPr>
              <w:t>’</w:t>
            </w:r>
            <w:r>
              <w:rPr>
                <w:lang w:eastAsia="en-AU"/>
              </w:rPr>
              <w:t>s Ig treatment are followed.</w:t>
            </w:r>
          </w:p>
        </w:tc>
      </w:tr>
    </w:tbl>
    <w:p w:rsidR="00FC0C3A" w:rsidRDefault="00FC0C3A" w:rsidP="001C1EA6">
      <w:pPr>
        <w:rPr>
          <w:lang w:eastAsia="en-AU"/>
        </w:rPr>
      </w:pPr>
    </w:p>
    <w:p w:rsidR="00355C17" w:rsidRPr="0091510C" w:rsidRDefault="00355C17" w:rsidP="0091510C">
      <w:pPr>
        <w:rPr>
          <w:b/>
          <w:sz w:val="26"/>
          <w:szCs w:val="26"/>
          <w:u w:val="single"/>
          <w:lang w:eastAsia="en-AU"/>
        </w:rPr>
      </w:pPr>
      <w:r w:rsidRPr="0091510C">
        <w:rPr>
          <w:b/>
          <w:sz w:val="26"/>
          <w:szCs w:val="26"/>
          <w:u w:val="single"/>
          <w:lang w:eastAsia="en-AU"/>
        </w:rPr>
        <w:t>Process 1:</w:t>
      </w:r>
    </w:p>
    <w:p w:rsidR="001834A0" w:rsidRPr="00CD67E5" w:rsidRDefault="00001180" w:rsidP="00CD67E5">
      <w:pPr>
        <w:rPr>
          <w:sz w:val="26"/>
          <w:szCs w:val="26"/>
          <w:lang w:eastAsia="en-AU"/>
        </w:rPr>
      </w:pPr>
      <w:r w:rsidRPr="00CD67E5">
        <w:rPr>
          <w:b/>
          <w:sz w:val="26"/>
          <w:szCs w:val="26"/>
          <w:lang w:eastAsia="en-AU"/>
        </w:rPr>
        <w:t>P</w:t>
      </w:r>
      <w:r w:rsidR="00D115BE" w:rsidRPr="00CD67E5">
        <w:rPr>
          <w:b/>
          <w:sz w:val="26"/>
          <w:szCs w:val="26"/>
          <w:lang w:eastAsia="en-AU"/>
        </w:rPr>
        <w:t xml:space="preserve">atient </w:t>
      </w:r>
      <w:r w:rsidR="00137D0D" w:rsidRPr="00CD67E5">
        <w:rPr>
          <w:b/>
          <w:sz w:val="26"/>
          <w:szCs w:val="26"/>
          <w:lang w:eastAsia="en-AU"/>
        </w:rPr>
        <w:t xml:space="preserve">has </w:t>
      </w:r>
      <w:r w:rsidR="00D115BE" w:rsidRPr="00CD67E5">
        <w:rPr>
          <w:b/>
          <w:sz w:val="26"/>
          <w:szCs w:val="26"/>
          <w:lang w:eastAsia="en-AU"/>
        </w:rPr>
        <w:t>travel</w:t>
      </w:r>
      <w:r w:rsidR="00D21B9B" w:rsidRPr="00CD67E5">
        <w:rPr>
          <w:b/>
          <w:sz w:val="26"/>
          <w:szCs w:val="26"/>
          <w:lang w:eastAsia="en-AU"/>
        </w:rPr>
        <w:t>led</w:t>
      </w:r>
      <w:r w:rsidR="00D115BE" w:rsidRPr="00CD67E5">
        <w:rPr>
          <w:b/>
          <w:sz w:val="26"/>
          <w:szCs w:val="26"/>
          <w:lang w:eastAsia="en-AU"/>
        </w:rPr>
        <w:t xml:space="preserve"> from a State/Territory</w:t>
      </w:r>
      <w:r w:rsidR="00E4792F" w:rsidRPr="00CD67E5">
        <w:rPr>
          <w:b/>
          <w:sz w:val="26"/>
          <w:szCs w:val="26"/>
          <w:lang w:eastAsia="en-AU"/>
        </w:rPr>
        <w:t xml:space="preserve"> </w:t>
      </w:r>
      <w:r w:rsidR="001A5A3A" w:rsidRPr="00CD67E5">
        <w:rPr>
          <w:b/>
          <w:sz w:val="26"/>
          <w:szCs w:val="26"/>
          <w:lang w:eastAsia="en-AU"/>
        </w:rPr>
        <w:t xml:space="preserve">which is already using </w:t>
      </w:r>
      <w:r w:rsidR="00E4792F" w:rsidRPr="00CD67E5">
        <w:rPr>
          <w:b/>
          <w:sz w:val="26"/>
          <w:szCs w:val="26"/>
          <w:lang w:eastAsia="en-AU"/>
        </w:rPr>
        <w:t>BloodSTAR</w:t>
      </w:r>
      <w:r w:rsidR="001A5A3A" w:rsidRPr="00CD67E5">
        <w:rPr>
          <w:b/>
          <w:sz w:val="26"/>
          <w:szCs w:val="26"/>
          <w:lang w:eastAsia="en-AU"/>
        </w:rPr>
        <w:t>.</w:t>
      </w:r>
      <w:r w:rsidR="00D115BE" w:rsidRPr="00CD67E5">
        <w:rPr>
          <w:b/>
          <w:sz w:val="26"/>
          <w:szCs w:val="26"/>
          <w:lang w:eastAsia="en-AU"/>
        </w:rPr>
        <w:t xml:space="preserve"> </w:t>
      </w:r>
    </w:p>
    <w:p w:rsidR="000250F8" w:rsidRDefault="007E35A7" w:rsidP="007E35A7">
      <w:pPr>
        <w:pStyle w:val="ListParagraph"/>
        <w:ind w:left="0"/>
        <w:rPr>
          <w:lang w:eastAsia="en-AU"/>
        </w:rPr>
      </w:pPr>
      <w:r w:rsidRPr="007E35A7">
        <w:rPr>
          <w:b/>
          <w:u w:val="single"/>
          <w:lang w:eastAsia="en-AU"/>
        </w:rPr>
        <w:t>Step 1</w:t>
      </w:r>
      <w:r w:rsidRPr="007E35A7">
        <w:rPr>
          <w:b/>
          <w:lang w:eastAsia="en-AU"/>
        </w:rPr>
        <w:t>:</w:t>
      </w:r>
      <w:r w:rsidR="000250F8">
        <w:rPr>
          <w:b/>
          <w:lang w:eastAsia="en-AU"/>
        </w:rPr>
        <w:t xml:space="preserve"> </w:t>
      </w:r>
      <w:r w:rsidR="000250F8">
        <w:rPr>
          <w:lang w:eastAsia="en-AU"/>
        </w:rPr>
        <w:t>C</w:t>
      </w:r>
      <w:r w:rsidR="000250F8" w:rsidRPr="00E924A7">
        <w:rPr>
          <w:lang w:eastAsia="en-AU"/>
        </w:rPr>
        <w:t>onfirm that the patient has an active authorisation</w:t>
      </w:r>
      <w:r>
        <w:rPr>
          <w:lang w:eastAsia="en-AU"/>
        </w:rPr>
        <w:t xml:space="preserve"> </w:t>
      </w:r>
      <w:r w:rsidR="000250F8">
        <w:rPr>
          <w:lang w:eastAsia="en-AU"/>
        </w:rPr>
        <w:t>in BloodSTAR</w:t>
      </w:r>
      <w:r w:rsidR="00145F01">
        <w:rPr>
          <w:lang w:eastAsia="en-AU"/>
        </w:rPr>
        <w:t>.</w:t>
      </w:r>
      <w:r w:rsidR="000250F8">
        <w:rPr>
          <w:lang w:eastAsia="en-AU"/>
        </w:rPr>
        <w:br/>
        <w:t xml:space="preserve"> </w:t>
      </w:r>
    </w:p>
    <w:p w:rsidR="00137D0D" w:rsidRDefault="00137D0D" w:rsidP="000250F8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If you are a Nurse or Medical Officer</w:t>
      </w:r>
      <w:r w:rsidR="00001180">
        <w:rPr>
          <w:lang w:eastAsia="en-AU"/>
        </w:rPr>
        <w:t xml:space="preserve">, </w:t>
      </w:r>
      <w:r>
        <w:rPr>
          <w:lang w:eastAsia="en-AU"/>
        </w:rPr>
        <w:t xml:space="preserve"> contact:</w:t>
      </w:r>
    </w:p>
    <w:p w:rsidR="00137D0D" w:rsidRDefault="00137D0D" w:rsidP="0091510C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 xml:space="preserve"> your facility’s dispenser and ask them to search for the patient: </w:t>
      </w:r>
      <w:r>
        <w:rPr>
          <w:b/>
          <w:lang w:eastAsia="en-AU"/>
        </w:rPr>
        <w:t>OR</w:t>
      </w:r>
    </w:p>
    <w:p w:rsidR="00137D0D" w:rsidRDefault="00137D0D" w:rsidP="0091510C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 xml:space="preserve">Dispensers in all State and Territories (regardless of the State/Territory BloodSTAR implementation status) can search for patients in BloodNet under </w:t>
      </w:r>
      <w:r w:rsidRPr="00145F01">
        <w:rPr>
          <w:i/>
          <w:lang w:eastAsia="en-AU"/>
        </w:rPr>
        <w:t>Authorisation &gt; Check Authorisation</w:t>
      </w:r>
      <w:r>
        <w:rPr>
          <w:lang w:eastAsia="en-AU"/>
        </w:rPr>
        <w:t xml:space="preserve">. </w:t>
      </w:r>
    </w:p>
    <w:p w:rsidR="00137D0D" w:rsidRDefault="00137D0D" w:rsidP="0091510C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lastRenderedPageBreak/>
        <w:t>your local Australian Red Cross Blood Service (Blood Service) on the contact details listed below</w:t>
      </w:r>
    </w:p>
    <w:p w:rsidR="007F3AA0" w:rsidRDefault="007F3AA0" w:rsidP="007F3AA0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 xml:space="preserve">If you are a dispenser, search for the patient in BloodNet under </w:t>
      </w:r>
      <w:r w:rsidRPr="00145F01">
        <w:rPr>
          <w:i/>
          <w:lang w:eastAsia="en-AU"/>
        </w:rPr>
        <w:t>Authorisation &gt; Check Authorisation</w:t>
      </w:r>
      <w:r>
        <w:rPr>
          <w:lang w:eastAsia="en-AU"/>
        </w:rPr>
        <w:t>; this functionality is available even if your state or territory has not yet implemented BloodSTAR.</w:t>
      </w:r>
    </w:p>
    <w:p w:rsidR="007F3AA0" w:rsidRDefault="007F3AA0" w:rsidP="0091510C">
      <w:pPr>
        <w:pStyle w:val="ListParagraph"/>
        <w:rPr>
          <w:lang w:eastAsia="en-AU"/>
        </w:rPr>
      </w:pPr>
    </w:p>
    <w:p w:rsidR="001117C0" w:rsidRDefault="007E35A7" w:rsidP="000F3C87">
      <w:pPr>
        <w:rPr>
          <w:lang w:eastAsia="en-AU"/>
        </w:rPr>
      </w:pPr>
      <w:r w:rsidRPr="00E924A7">
        <w:rPr>
          <w:b/>
          <w:u w:val="single"/>
          <w:lang w:eastAsia="en-AU"/>
        </w:rPr>
        <w:t>Step 2:</w:t>
      </w:r>
      <w:r>
        <w:rPr>
          <w:lang w:eastAsia="en-AU"/>
        </w:rPr>
        <w:t xml:space="preserve"> </w:t>
      </w:r>
      <w:r w:rsidR="00B1514C">
        <w:rPr>
          <w:lang w:eastAsia="en-AU"/>
        </w:rPr>
        <w:t>Action the patient</w:t>
      </w:r>
      <w:r w:rsidR="00001180">
        <w:rPr>
          <w:lang w:eastAsia="en-AU"/>
        </w:rPr>
        <w:t>’</w:t>
      </w:r>
      <w:r w:rsidR="00B1514C">
        <w:rPr>
          <w:lang w:eastAsia="en-AU"/>
        </w:rPr>
        <w:t xml:space="preserve">s Ig request according to the </w:t>
      </w:r>
      <w:r w:rsidR="00476192">
        <w:rPr>
          <w:lang w:eastAsia="en-AU"/>
        </w:rPr>
        <w:t>following</w:t>
      </w:r>
      <w:r>
        <w:rPr>
          <w:lang w:eastAsia="en-AU"/>
        </w:rPr>
        <w:t xml:space="preserve"> </w:t>
      </w:r>
      <w:r w:rsidR="00B0397A">
        <w:rPr>
          <w:lang w:eastAsia="en-AU"/>
        </w:rPr>
        <w:t>guidance</w:t>
      </w:r>
      <w:r>
        <w:rPr>
          <w:lang w:eastAsia="en-AU"/>
        </w:rPr>
        <w:t xml:space="preserve"> </w:t>
      </w:r>
      <w:r w:rsidR="00E924A7">
        <w:rPr>
          <w:lang w:eastAsia="en-AU"/>
        </w:rPr>
        <w:t xml:space="preserve">in the table </w:t>
      </w:r>
      <w:r>
        <w:rPr>
          <w:lang w:eastAsia="en-AU"/>
        </w:rPr>
        <w:t>below</w:t>
      </w:r>
      <w:r w:rsidR="00E924A7">
        <w:rPr>
          <w:lang w:eastAsia="en-AU"/>
        </w:rPr>
        <w:t>.</w:t>
      </w:r>
      <w:r w:rsidR="00D17971">
        <w:rPr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785"/>
      </w:tblGrid>
      <w:tr w:rsidR="00E924A7" w:rsidRPr="00E924A7" w:rsidTr="00CD67E5">
        <w:tc>
          <w:tcPr>
            <w:tcW w:w="2235" w:type="dxa"/>
          </w:tcPr>
          <w:p w:rsidR="00E924A7" w:rsidRPr="00FD4F9C" w:rsidRDefault="00FD4F9C" w:rsidP="00FD4F9C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>P</w:t>
            </w:r>
            <w:r w:rsidR="00E924A7" w:rsidRPr="00FD4F9C">
              <w:rPr>
                <w:b/>
                <w:color w:val="FF0000"/>
                <w:lang w:eastAsia="en-AU"/>
              </w:rPr>
              <w:t xml:space="preserve">atient authorisation </w:t>
            </w:r>
            <w:r w:rsidRPr="00FD4F9C">
              <w:rPr>
                <w:b/>
                <w:color w:val="FF0000"/>
                <w:lang w:eastAsia="en-AU"/>
              </w:rPr>
              <w:t>status</w:t>
            </w:r>
          </w:p>
        </w:tc>
        <w:tc>
          <w:tcPr>
            <w:tcW w:w="2976" w:type="dxa"/>
          </w:tcPr>
          <w:p w:rsidR="00E924A7" w:rsidRPr="00FD4F9C" w:rsidRDefault="00E924A7" w:rsidP="00CC457B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 xml:space="preserve">Patient is temporarily </w:t>
            </w:r>
            <w:r w:rsidR="00C1455B">
              <w:rPr>
                <w:b/>
                <w:color w:val="FF0000"/>
                <w:lang w:eastAsia="en-AU"/>
              </w:rPr>
              <w:t>visiting</w:t>
            </w:r>
            <w:r w:rsidR="00476192">
              <w:rPr>
                <w:b/>
                <w:color w:val="FF0000"/>
                <w:lang w:eastAsia="en-AU"/>
              </w:rPr>
              <w:t xml:space="preserve"> </w:t>
            </w:r>
          </w:p>
        </w:tc>
        <w:tc>
          <w:tcPr>
            <w:tcW w:w="4785" w:type="dxa"/>
          </w:tcPr>
          <w:p w:rsidR="00E924A7" w:rsidRPr="00FD4F9C" w:rsidRDefault="00E924A7" w:rsidP="00934AB8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>Patient is permanently moving</w:t>
            </w:r>
            <w:r w:rsidR="00476192">
              <w:rPr>
                <w:b/>
                <w:color w:val="FF0000"/>
                <w:lang w:eastAsia="en-AU"/>
              </w:rPr>
              <w:t xml:space="preserve"> </w:t>
            </w:r>
          </w:p>
        </w:tc>
      </w:tr>
      <w:tr w:rsidR="00E924A7" w:rsidTr="00CD67E5">
        <w:tc>
          <w:tcPr>
            <w:tcW w:w="2235" w:type="dxa"/>
          </w:tcPr>
          <w:p w:rsidR="00E924A7" w:rsidRPr="00E924A7" w:rsidRDefault="00FD4F9C" w:rsidP="000F3C87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</w:t>
            </w:r>
            <w:r w:rsidRPr="00E924A7">
              <w:rPr>
                <w:b/>
                <w:lang w:eastAsia="en-AU"/>
              </w:rPr>
              <w:t>c</w:t>
            </w:r>
            <w:r>
              <w:rPr>
                <w:b/>
                <w:lang w:eastAsia="en-AU"/>
              </w:rPr>
              <w:t xml:space="preserve">tive authorisation </w:t>
            </w:r>
            <w:r w:rsidR="00476192">
              <w:rPr>
                <w:b/>
                <w:lang w:eastAsia="en-AU"/>
              </w:rPr>
              <w:t xml:space="preserve">confirmed </w:t>
            </w:r>
            <w:r>
              <w:rPr>
                <w:b/>
                <w:lang w:eastAsia="en-AU"/>
              </w:rPr>
              <w:t>in BloodSTAR</w:t>
            </w:r>
          </w:p>
        </w:tc>
        <w:tc>
          <w:tcPr>
            <w:tcW w:w="2976" w:type="dxa"/>
          </w:tcPr>
          <w:p w:rsidR="00B06FC6" w:rsidRDefault="00B06FC6" w:rsidP="00BD67D4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>Nurses/Medical Officers</w:t>
            </w:r>
            <w:r>
              <w:rPr>
                <w:lang w:eastAsia="en-AU"/>
              </w:rPr>
              <w:t xml:space="preserve"> can find out required dosing information from the Dispenser or the Blood Service. </w:t>
            </w:r>
          </w:p>
          <w:p w:rsidR="00B06FC6" w:rsidRDefault="00B06FC6" w:rsidP="00BD67D4">
            <w:pPr>
              <w:rPr>
                <w:lang w:eastAsia="en-AU"/>
              </w:rPr>
            </w:pPr>
          </w:p>
          <w:p w:rsidR="00476192" w:rsidRPr="00476192" w:rsidRDefault="00E924A7" w:rsidP="00B06FC6">
            <w:pPr>
              <w:rPr>
                <w:lang w:eastAsia="en-AU"/>
              </w:rPr>
            </w:pPr>
            <w:r w:rsidRPr="0091510C">
              <w:rPr>
                <w:b/>
                <w:lang w:eastAsia="en-AU"/>
              </w:rPr>
              <w:t>Dispenser</w:t>
            </w:r>
            <w:r>
              <w:rPr>
                <w:lang w:eastAsia="en-AU"/>
              </w:rPr>
              <w:t xml:space="preserve"> </w:t>
            </w:r>
            <w:r w:rsidR="00B06FC6">
              <w:rPr>
                <w:lang w:eastAsia="en-AU"/>
              </w:rPr>
              <w:t>will need to dispense the product using the Authorisation tab in BloodNet.</w:t>
            </w:r>
            <w:r w:rsidR="00816023">
              <w:rPr>
                <w:lang w:eastAsia="en-AU"/>
              </w:rPr>
              <w:t xml:space="preserve"> </w:t>
            </w:r>
            <w:r w:rsidR="00B06FC6">
              <w:rPr>
                <w:lang w:eastAsia="en-AU"/>
              </w:rPr>
              <w:t xml:space="preserve"> </w:t>
            </w:r>
            <w:r w:rsidR="00816023">
              <w:rPr>
                <w:lang w:eastAsia="en-AU"/>
              </w:rPr>
              <w:t xml:space="preserve">A form outlining actions to take in BloodNet is available from the Blood Service. </w:t>
            </w:r>
          </w:p>
        </w:tc>
        <w:tc>
          <w:tcPr>
            <w:tcW w:w="4785" w:type="dxa"/>
          </w:tcPr>
          <w:p w:rsidR="00476192" w:rsidRDefault="00BB25CA" w:rsidP="00476192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>Nurses/</w:t>
            </w:r>
            <w:r w:rsidR="00E924A7" w:rsidRPr="0091510C">
              <w:rPr>
                <w:b/>
                <w:lang w:eastAsia="en-AU"/>
              </w:rPr>
              <w:t>Medical officer</w:t>
            </w:r>
            <w:r>
              <w:rPr>
                <w:b/>
                <w:lang w:eastAsia="en-AU"/>
              </w:rPr>
              <w:t>s</w:t>
            </w:r>
            <w:r w:rsidR="00E924A7">
              <w:rPr>
                <w:lang w:eastAsia="en-AU"/>
              </w:rPr>
              <w:t xml:space="preserve"> should </w:t>
            </w:r>
            <w:r w:rsidR="00F06DAD">
              <w:rPr>
                <w:lang w:eastAsia="en-AU"/>
              </w:rPr>
              <w:t xml:space="preserve">in the short term find out required dosing information from their Dispenser or the Blood Service. For long term planning for the patient they should </w:t>
            </w:r>
            <w:r w:rsidR="00E924A7">
              <w:rPr>
                <w:lang w:eastAsia="en-AU"/>
              </w:rPr>
              <w:t xml:space="preserve">contact </w:t>
            </w:r>
            <w:r w:rsidR="008C1A4C">
              <w:rPr>
                <w:lang w:eastAsia="en-AU"/>
              </w:rPr>
              <w:t xml:space="preserve">the </w:t>
            </w:r>
            <w:r w:rsidR="00E924A7">
              <w:rPr>
                <w:lang w:eastAsia="en-AU"/>
              </w:rPr>
              <w:t>Blood Service for</w:t>
            </w:r>
            <w:r w:rsidR="000250F8">
              <w:rPr>
                <w:lang w:eastAsia="en-AU"/>
              </w:rPr>
              <w:t xml:space="preserve"> further</w:t>
            </w:r>
            <w:r w:rsidR="00E924A7">
              <w:rPr>
                <w:lang w:eastAsia="en-AU"/>
              </w:rPr>
              <w:t xml:space="preserve"> </w:t>
            </w:r>
            <w:r w:rsidR="00B0397A">
              <w:rPr>
                <w:lang w:eastAsia="en-AU"/>
              </w:rPr>
              <w:t>advice</w:t>
            </w:r>
            <w:r w:rsidR="00F06DAD">
              <w:rPr>
                <w:lang w:eastAsia="en-AU"/>
              </w:rPr>
              <w:t xml:space="preserve"> on how to manage the patient’s authorisation for all future dispenses</w:t>
            </w:r>
            <w:r w:rsidR="00D115BE">
              <w:rPr>
                <w:lang w:eastAsia="en-AU"/>
              </w:rPr>
              <w:t xml:space="preserve">. </w:t>
            </w:r>
            <w:r w:rsidR="000C0C23">
              <w:rPr>
                <w:lang w:eastAsia="en-AU"/>
              </w:rPr>
              <w:t xml:space="preserve">Management of the patient’s authorisation record will depend on the scheduled </w:t>
            </w:r>
            <w:r w:rsidR="008C1A4C">
              <w:rPr>
                <w:lang w:eastAsia="en-AU"/>
              </w:rPr>
              <w:t xml:space="preserve">BloodSTAR </w:t>
            </w:r>
            <w:r w:rsidR="000C0C23">
              <w:rPr>
                <w:lang w:eastAsia="en-AU"/>
              </w:rPr>
              <w:t xml:space="preserve">go-live date for </w:t>
            </w:r>
            <w:r w:rsidR="00D115BE">
              <w:rPr>
                <w:lang w:eastAsia="en-AU"/>
              </w:rPr>
              <w:t>your</w:t>
            </w:r>
            <w:r w:rsidR="000C0C23">
              <w:rPr>
                <w:lang w:eastAsia="en-AU"/>
              </w:rPr>
              <w:t xml:space="preserve"> state or territory</w:t>
            </w:r>
            <w:r w:rsidR="00D115BE">
              <w:rPr>
                <w:lang w:eastAsia="en-AU"/>
              </w:rPr>
              <w:t>.</w:t>
            </w:r>
          </w:p>
          <w:p w:rsidR="00476192" w:rsidRDefault="00476192" w:rsidP="00476192">
            <w:pPr>
              <w:rPr>
                <w:lang w:eastAsia="en-AU"/>
              </w:rPr>
            </w:pPr>
            <w:r w:rsidRPr="00B154E2">
              <w:rPr>
                <w:b/>
                <w:lang w:eastAsia="en-AU"/>
              </w:rPr>
              <w:t xml:space="preserve"> </w:t>
            </w:r>
          </w:p>
          <w:p w:rsidR="00491BF1" w:rsidRDefault="00BB25CA" w:rsidP="000C0C23">
            <w:pPr>
              <w:rPr>
                <w:b/>
                <w:lang w:eastAsia="en-AU"/>
              </w:rPr>
            </w:pPr>
            <w:r>
              <w:rPr>
                <w:lang w:eastAsia="en-AU"/>
              </w:rPr>
              <w:t xml:space="preserve">The outcome of if the patient will continue to be managed in BloodSTAR or not will need to be communicated to the </w:t>
            </w:r>
            <w:r w:rsidRPr="0091510C">
              <w:rPr>
                <w:b/>
                <w:lang w:eastAsia="en-AU"/>
              </w:rPr>
              <w:t>Dispenser</w:t>
            </w:r>
            <w:r w:rsidR="00F06DAD">
              <w:rPr>
                <w:b/>
                <w:lang w:eastAsia="en-AU"/>
              </w:rPr>
              <w:t xml:space="preserve"> </w:t>
            </w:r>
            <w:r w:rsidR="00F06DAD">
              <w:rPr>
                <w:lang w:eastAsia="en-AU"/>
              </w:rPr>
              <w:t>by the Blood Service</w:t>
            </w:r>
            <w:r w:rsidRPr="0091510C">
              <w:rPr>
                <w:b/>
                <w:lang w:eastAsia="en-AU"/>
              </w:rPr>
              <w:t>.</w:t>
            </w:r>
          </w:p>
          <w:p w:rsidR="00CD67E5" w:rsidRDefault="00CD67E5" w:rsidP="000C0C23">
            <w:pPr>
              <w:rPr>
                <w:b/>
                <w:lang w:eastAsia="en-AU"/>
              </w:rPr>
            </w:pPr>
          </w:p>
          <w:p w:rsidR="008C1A4C" w:rsidRDefault="008C1A4C" w:rsidP="000C0C23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Dispenser</w:t>
            </w:r>
          </w:p>
          <w:p w:rsidR="00CC457B" w:rsidRPr="0091510C" w:rsidRDefault="004E1FBB" w:rsidP="000C0C23">
            <w:pPr>
              <w:rPr>
                <w:lang w:eastAsia="en-AU"/>
              </w:rPr>
            </w:pPr>
            <w:r w:rsidRPr="0091510C">
              <w:rPr>
                <w:lang w:eastAsia="en-AU"/>
              </w:rPr>
              <w:t xml:space="preserve">1. </w:t>
            </w:r>
            <w:r w:rsidR="00CC457B" w:rsidRPr="0091510C">
              <w:rPr>
                <w:lang w:eastAsia="en-AU"/>
              </w:rPr>
              <w:t>If the patient is not going to be managed in Blood</w:t>
            </w:r>
            <w:r w:rsidR="00F06DAD">
              <w:rPr>
                <w:lang w:eastAsia="en-AU"/>
              </w:rPr>
              <w:t>STAR</w:t>
            </w:r>
            <w:r w:rsidR="00CC457B" w:rsidRPr="0091510C">
              <w:rPr>
                <w:lang w:eastAsia="en-AU"/>
              </w:rPr>
              <w:t>, follow your current process to d</w:t>
            </w:r>
            <w:r w:rsidRPr="0091510C">
              <w:rPr>
                <w:lang w:eastAsia="en-AU"/>
              </w:rPr>
              <w:t>is</w:t>
            </w:r>
            <w:r w:rsidR="00CC457B" w:rsidRPr="0091510C">
              <w:rPr>
                <w:lang w:eastAsia="en-AU"/>
              </w:rPr>
              <w:t>pense product</w:t>
            </w:r>
            <w:r w:rsidR="00F06DAD">
              <w:rPr>
                <w:lang w:eastAsia="en-AU"/>
              </w:rPr>
              <w:t>.</w:t>
            </w:r>
          </w:p>
          <w:p w:rsidR="008C1A4C" w:rsidRDefault="004E1FBB" w:rsidP="000C0C23">
            <w:pPr>
              <w:rPr>
                <w:b/>
                <w:lang w:eastAsia="en-AU"/>
              </w:rPr>
            </w:pPr>
            <w:r w:rsidRPr="0091510C">
              <w:rPr>
                <w:lang w:eastAsia="en-AU"/>
              </w:rPr>
              <w:t xml:space="preserve">2. </w:t>
            </w:r>
            <w:r w:rsidR="00CC457B" w:rsidRPr="0091510C">
              <w:rPr>
                <w:lang w:eastAsia="en-AU"/>
              </w:rPr>
              <w:t>If the patient is to be managed in BloodSTAR, you will need to d</w:t>
            </w:r>
            <w:r w:rsidRPr="0091510C">
              <w:rPr>
                <w:lang w:eastAsia="en-AU"/>
              </w:rPr>
              <w:t xml:space="preserve">ispense </w:t>
            </w:r>
            <w:r w:rsidR="00CC457B" w:rsidRPr="0091510C">
              <w:rPr>
                <w:lang w:eastAsia="en-AU"/>
              </w:rPr>
              <w:t xml:space="preserve">the product using the authorisation tab in BloodNet. </w:t>
            </w:r>
            <w:r w:rsidR="00CC457B" w:rsidRPr="00F06DAD">
              <w:rPr>
                <w:lang w:eastAsia="en-AU"/>
              </w:rPr>
              <w:t>A form outlining actions to take in BloodNet is available</w:t>
            </w:r>
            <w:r w:rsidR="00CC457B">
              <w:rPr>
                <w:lang w:eastAsia="en-AU"/>
              </w:rPr>
              <w:t xml:space="preserve"> from the Blood Service.</w:t>
            </w:r>
          </w:p>
          <w:p w:rsidR="00CD67E5" w:rsidRPr="00CD67E5" w:rsidRDefault="00CD67E5" w:rsidP="000C0C23">
            <w:pPr>
              <w:rPr>
                <w:b/>
                <w:lang w:eastAsia="en-AU"/>
              </w:rPr>
            </w:pPr>
          </w:p>
        </w:tc>
      </w:tr>
      <w:tr w:rsidR="00E924A7" w:rsidTr="00CD67E5">
        <w:tc>
          <w:tcPr>
            <w:tcW w:w="2235" w:type="dxa"/>
          </w:tcPr>
          <w:p w:rsidR="00E924A7" w:rsidRPr="00E924A7" w:rsidRDefault="00FD4F9C" w:rsidP="001C1531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No active authorisation</w:t>
            </w:r>
            <w:r w:rsidR="00E614B4">
              <w:rPr>
                <w:b/>
                <w:lang w:eastAsia="en-AU"/>
              </w:rPr>
              <w:t xml:space="preserve"> </w:t>
            </w:r>
            <w:r w:rsidR="001C1531">
              <w:rPr>
                <w:b/>
                <w:lang w:eastAsia="en-AU"/>
              </w:rPr>
              <w:t>in BloodSTAR</w:t>
            </w:r>
          </w:p>
        </w:tc>
        <w:tc>
          <w:tcPr>
            <w:tcW w:w="7761" w:type="dxa"/>
            <w:gridSpan w:val="2"/>
          </w:tcPr>
          <w:p w:rsidR="00E924A7" w:rsidRDefault="00E614B4" w:rsidP="00E614B4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Medical Officer </w:t>
            </w:r>
            <w:r>
              <w:rPr>
                <w:lang w:eastAsia="en-AU"/>
              </w:rPr>
              <w:t>s</w:t>
            </w:r>
            <w:r w:rsidR="00E924A7">
              <w:rPr>
                <w:lang w:eastAsia="en-AU"/>
              </w:rPr>
              <w:t>ubmit</w:t>
            </w:r>
            <w:r>
              <w:rPr>
                <w:lang w:eastAsia="en-AU"/>
              </w:rPr>
              <w:t>s</w:t>
            </w:r>
            <w:r w:rsidR="00E924A7">
              <w:rPr>
                <w:lang w:eastAsia="en-AU"/>
              </w:rPr>
              <w:t xml:space="preserve"> a new authorisation request </w:t>
            </w:r>
            <w:r>
              <w:rPr>
                <w:lang w:eastAsia="en-AU"/>
              </w:rPr>
              <w:t xml:space="preserve">as per the current process (for non-Live BloodSTAR Authorisation requests) </w:t>
            </w:r>
            <w:r w:rsidR="00E924A7">
              <w:rPr>
                <w:lang w:eastAsia="en-AU"/>
              </w:rPr>
              <w:t>using a paper-based form. Available at the National Blood Authority website (</w:t>
            </w:r>
            <w:hyperlink r:id="rId10" w:history="1">
              <w:r w:rsidR="00E924A7" w:rsidRPr="0035506B">
                <w:rPr>
                  <w:rStyle w:val="Hyperlink"/>
                  <w:lang w:eastAsia="en-AU"/>
                </w:rPr>
                <w:t>https://www.blood.gov.au/Ig-forms</w:t>
              </w:r>
            </w:hyperlink>
            <w:r w:rsidR="00E924A7">
              <w:rPr>
                <w:lang w:eastAsia="en-AU"/>
              </w:rPr>
              <w:t xml:space="preserve">) </w:t>
            </w:r>
          </w:p>
        </w:tc>
      </w:tr>
    </w:tbl>
    <w:p w:rsidR="00032015" w:rsidRDefault="00032015" w:rsidP="000F3C87">
      <w:pPr>
        <w:rPr>
          <w:lang w:eastAsia="en-AU"/>
        </w:rPr>
      </w:pPr>
    </w:p>
    <w:p w:rsidR="00355C17" w:rsidRPr="0091510C" w:rsidRDefault="00355C17" w:rsidP="0091510C">
      <w:pPr>
        <w:rPr>
          <w:b/>
          <w:sz w:val="26"/>
          <w:szCs w:val="26"/>
          <w:u w:val="single"/>
          <w:lang w:eastAsia="en-AU"/>
        </w:rPr>
      </w:pPr>
      <w:r w:rsidRPr="0091510C">
        <w:rPr>
          <w:b/>
          <w:sz w:val="26"/>
          <w:szCs w:val="26"/>
          <w:u w:val="single"/>
          <w:lang w:eastAsia="en-AU"/>
        </w:rPr>
        <w:t>Process 2:</w:t>
      </w:r>
    </w:p>
    <w:p w:rsidR="001834A0" w:rsidRPr="0091510C" w:rsidRDefault="00CC457B" w:rsidP="0091510C">
      <w:pPr>
        <w:rPr>
          <w:b/>
          <w:sz w:val="26"/>
          <w:szCs w:val="26"/>
          <w:lang w:eastAsia="en-AU"/>
        </w:rPr>
      </w:pPr>
      <w:r>
        <w:rPr>
          <w:b/>
          <w:sz w:val="26"/>
          <w:szCs w:val="26"/>
          <w:lang w:eastAsia="en-AU"/>
        </w:rPr>
        <w:t>P</w:t>
      </w:r>
      <w:r w:rsidR="00D21B9B" w:rsidRPr="0091510C">
        <w:rPr>
          <w:b/>
          <w:sz w:val="26"/>
          <w:szCs w:val="26"/>
          <w:lang w:eastAsia="en-AU"/>
        </w:rPr>
        <w:t xml:space="preserve">atient </w:t>
      </w:r>
      <w:r w:rsidR="00E614B4" w:rsidRPr="0091510C">
        <w:rPr>
          <w:b/>
          <w:sz w:val="26"/>
          <w:szCs w:val="26"/>
          <w:lang w:eastAsia="en-AU"/>
        </w:rPr>
        <w:t xml:space="preserve">has </w:t>
      </w:r>
      <w:r w:rsidR="00D21B9B" w:rsidRPr="0091510C">
        <w:rPr>
          <w:b/>
          <w:sz w:val="26"/>
          <w:szCs w:val="26"/>
          <w:lang w:eastAsia="en-AU"/>
        </w:rPr>
        <w:t>travel</w:t>
      </w:r>
      <w:r w:rsidR="007511FC" w:rsidRPr="0091510C">
        <w:rPr>
          <w:b/>
          <w:sz w:val="26"/>
          <w:szCs w:val="26"/>
          <w:lang w:eastAsia="en-AU"/>
        </w:rPr>
        <w:t>led</w:t>
      </w:r>
      <w:r w:rsidR="00D21B9B" w:rsidRPr="0091510C">
        <w:rPr>
          <w:b/>
          <w:sz w:val="26"/>
          <w:szCs w:val="26"/>
          <w:lang w:eastAsia="en-AU"/>
        </w:rPr>
        <w:t xml:space="preserve"> from a State/Territory</w:t>
      </w:r>
      <w:r w:rsidR="00BD67D4" w:rsidRPr="0091510C">
        <w:rPr>
          <w:b/>
          <w:sz w:val="26"/>
          <w:szCs w:val="26"/>
          <w:lang w:eastAsia="en-AU"/>
        </w:rPr>
        <w:t xml:space="preserve"> </w:t>
      </w:r>
      <w:r w:rsidR="001A5A3A">
        <w:rPr>
          <w:b/>
          <w:sz w:val="26"/>
          <w:szCs w:val="26"/>
          <w:lang w:eastAsia="en-AU"/>
        </w:rPr>
        <w:t xml:space="preserve">which is not yet </w:t>
      </w:r>
      <w:proofErr w:type="spellStart"/>
      <w:r w:rsidR="001A5A3A">
        <w:rPr>
          <w:b/>
          <w:sz w:val="26"/>
          <w:szCs w:val="26"/>
          <w:lang w:eastAsia="en-AU"/>
        </w:rPr>
        <w:t>using</w:t>
      </w:r>
      <w:r w:rsidR="00BD67D4" w:rsidRPr="0091510C">
        <w:rPr>
          <w:b/>
          <w:sz w:val="26"/>
          <w:szCs w:val="26"/>
          <w:lang w:eastAsia="en-AU"/>
        </w:rPr>
        <w:t>BloodSTAR</w:t>
      </w:r>
      <w:proofErr w:type="spellEnd"/>
      <w:r w:rsidR="001A5A3A">
        <w:rPr>
          <w:b/>
          <w:sz w:val="26"/>
          <w:szCs w:val="26"/>
          <w:lang w:eastAsia="en-AU"/>
        </w:rPr>
        <w:t>.</w:t>
      </w:r>
      <w:r w:rsidR="00444DA3" w:rsidRPr="0091510C">
        <w:rPr>
          <w:b/>
          <w:sz w:val="26"/>
          <w:szCs w:val="26"/>
          <w:lang w:eastAsia="en-AU"/>
        </w:rPr>
        <w:t xml:space="preserve"> </w:t>
      </w:r>
      <w:r w:rsidR="00C62C79" w:rsidRPr="0091510C">
        <w:rPr>
          <w:b/>
          <w:sz w:val="26"/>
          <w:szCs w:val="26"/>
          <w:lang w:eastAsia="en-AU"/>
        </w:rPr>
        <w:t xml:space="preserve"> </w:t>
      </w:r>
    </w:p>
    <w:p w:rsidR="00474AA6" w:rsidRPr="00E614B4" w:rsidRDefault="00E614B4" w:rsidP="00C62C79">
      <w:pPr>
        <w:pStyle w:val="ListParagraph"/>
        <w:ind w:left="0"/>
        <w:rPr>
          <w:b/>
          <w:u w:val="single"/>
          <w:lang w:eastAsia="en-AU"/>
        </w:rPr>
      </w:pPr>
      <w:r w:rsidRPr="00E614B4">
        <w:rPr>
          <w:b/>
          <w:u w:val="single"/>
          <w:lang w:eastAsia="en-AU"/>
        </w:rPr>
        <w:t>Note</w:t>
      </w:r>
      <w:r>
        <w:rPr>
          <w:u w:val="single"/>
          <w:lang w:eastAsia="en-AU"/>
        </w:rPr>
        <w:t xml:space="preserve">: </w:t>
      </w:r>
      <w:r w:rsidR="00474AA6" w:rsidRPr="0091510C">
        <w:rPr>
          <w:lang w:eastAsia="en-AU"/>
        </w:rPr>
        <w:t xml:space="preserve">A patient may have travelled in and out of </w:t>
      </w:r>
      <w:r w:rsidR="00E965D4">
        <w:rPr>
          <w:lang w:eastAsia="en-AU"/>
        </w:rPr>
        <w:t xml:space="preserve">a </w:t>
      </w:r>
      <w:r w:rsidR="00474AA6" w:rsidRPr="0091510C">
        <w:rPr>
          <w:lang w:eastAsia="en-AU"/>
        </w:rPr>
        <w:t xml:space="preserve">State/Territory </w:t>
      </w:r>
      <w:r w:rsidR="00E965D4">
        <w:rPr>
          <w:lang w:eastAsia="en-AU"/>
        </w:rPr>
        <w:t xml:space="preserve">currently using BloodSTAR </w:t>
      </w:r>
      <w:r w:rsidR="00474AA6" w:rsidRPr="0091510C">
        <w:rPr>
          <w:lang w:eastAsia="en-AU"/>
        </w:rPr>
        <w:t xml:space="preserve">during the staged roll out of the system. </w:t>
      </w:r>
      <w:r w:rsidR="00474AA6" w:rsidRPr="0091510C">
        <w:rPr>
          <w:b/>
          <w:lang w:eastAsia="en-AU"/>
        </w:rPr>
        <w:t>Medical Officers/Nurses</w:t>
      </w:r>
      <w:r w:rsidR="00474AA6" w:rsidRPr="0091510C">
        <w:rPr>
          <w:lang w:eastAsia="en-AU"/>
        </w:rPr>
        <w:t xml:space="preserve"> should first check BloodSTAR to see whether the patient has an active authorisation. </w:t>
      </w:r>
      <w:r w:rsidR="00474AA6" w:rsidRPr="0091510C">
        <w:rPr>
          <w:b/>
          <w:lang w:eastAsia="en-AU"/>
        </w:rPr>
        <w:t>Dispensers</w:t>
      </w:r>
      <w:r w:rsidR="00474AA6" w:rsidRPr="0091510C">
        <w:rPr>
          <w:lang w:eastAsia="en-AU"/>
        </w:rPr>
        <w:t xml:space="preserve"> </w:t>
      </w:r>
      <w:r w:rsidR="00E965D4" w:rsidRPr="00250960">
        <w:rPr>
          <w:lang w:eastAsia="en-AU"/>
        </w:rPr>
        <w:t>(regardless of the</w:t>
      </w:r>
      <w:r w:rsidR="002E64FA">
        <w:rPr>
          <w:lang w:eastAsia="en-AU"/>
        </w:rPr>
        <w:t>ir</w:t>
      </w:r>
      <w:r w:rsidR="00E965D4" w:rsidRPr="00250960">
        <w:rPr>
          <w:lang w:eastAsia="en-AU"/>
        </w:rPr>
        <w:t xml:space="preserve"> State/Territory BloodSTAR implementation status) </w:t>
      </w:r>
      <w:r w:rsidR="00474AA6" w:rsidRPr="0091510C">
        <w:rPr>
          <w:lang w:eastAsia="en-AU"/>
        </w:rPr>
        <w:t xml:space="preserve">can search for </w:t>
      </w:r>
      <w:r w:rsidR="00E965D4">
        <w:rPr>
          <w:lang w:eastAsia="en-AU"/>
        </w:rPr>
        <w:t xml:space="preserve">authorised </w:t>
      </w:r>
      <w:r w:rsidR="00474AA6" w:rsidRPr="0091510C">
        <w:rPr>
          <w:lang w:eastAsia="en-AU"/>
        </w:rPr>
        <w:t xml:space="preserve">patients in BloodNet under </w:t>
      </w:r>
      <w:r w:rsidR="00474AA6" w:rsidRPr="0091510C">
        <w:rPr>
          <w:i/>
          <w:lang w:eastAsia="en-AU"/>
        </w:rPr>
        <w:t>Authorisation &gt; Check Authorisation</w:t>
      </w:r>
    </w:p>
    <w:p w:rsidR="00CC502F" w:rsidRDefault="00CC502F" w:rsidP="00C62C79">
      <w:pPr>
        <w:pStyle w:val="ListParagraph"/>
        <w:ind w:left="0"/>
        <w:rPr>
          <w:lang w:eastAsia="en-AU"/>
        </w:rPr>
      </w:pPr>
    </w:p>
    <w:p w:rsidR="00145F01" w:rsidRDefault="00CC502F" w:rsidP="00032015">
      <w:pPr>
        <w:pStyle w:val="ListParagraph"/>
        <w:ind w:left="0"/>
        <w:rPr>
          <w:lang w:eastAsia="en-AU"/>
        </w:rPr>
      </w:pPr>
      <w:r w:rsidRPr="00032015">
        <w:rPr>
          <w:b/>
          <w:u w:val="single"/>
          <w:lang w:eastAsia="en-AU"/>
        </w:rPr>
        <w:t xml:space="preserve">Step </w:t>
      </w:r>
      <w:r w:rsidR="00474AA6">
        <w:rPr>
          <w:b/>
          <w:u w:val="single"/>
          <w:lang w:eastAsia="en-AU"/>
        </w:rPr>
        <w:t>1</w:t>
      </w:r>
      <w:r>
        <w:rPr>
          <w:lang w:eastAsia="en-AU"/>
        </w:rPr>
        <w:t xml:space="preserve">: </w:t>
      </w:r>
      <w:r w:rsidR="00D17971">
        <w:rPr>
          <w:lang w:eastAsia="en-AU"/>
        </w:rPr>
        <w:t>If the patient does</w:t>
      </w:r>
      <w:r w:rsidR="002E64FA">
        <w:rPr>
          <w:lang w:eastAsia="en-AU"/>
        </w:rPr>
        <w:t xml:space="preserve"> not appear in BloodSTAR, contact your local Blood Service as patient may still have an active authorisation recorded in the Blood Service system (STARS).</w:t>
      </w:r>
    </w:p>
    <w:p w:rsidR="00CD67E5" w:rsidRDefault="00CD67E5" w:rsidP="00032015">
      <w:pPr>
        <w:pStyle w:val="ListParagraph"/>
        <w:ind w:left="0"/>
        <w:rPr>
          <w:lang w:eastAsia="en-AU"/>
        </w:rPr>
      </w:pPr>
    </w:p>
    <w:p w:rsidR="00CD67E5" w:rsidRDefault="00CD67E5" w:rsidP="00032015">
      <w:pPr>
        <w:pStyle w:val="ListParagraph"/>
        <w:ind w:left="0"/>
        <w:rPr>
          <w:lang w:eastAsia="en-AU"/>
        </w:rPr>
      </w:pPr>
    </w:p>
    <w:p w:rsidR="00CD67E5" w:rsidRDefault="00CD67E5" w:rsidP="00032015">
      <w:pPr>
        <w:pStyle w:val="ListParagraph"/>
        <w:ind w:left="0"/>
        <w:rPr>
          <w:lang w:eastAsia="en-AU"/>
        </w:rPr>
      </w:pPr>
    </w:p>
    <w:p w:rsidR="00CD67E5" w:rsidRDefault="00CD67E5" w:rsidP="00032015">
      <w:pPr>
        <w:pStyle w:val="ListParagraph"/>
        <w:ind w:left="0"/>
        <w:rPr>
          <w:lang w:eastAsia="en-AU"/>
        </w:rPr>
      </w:pPr>
    </w:p>
    <w:p w:rsidR="00C62C79" w:rsidRDefault="00774842" w:rsidP="00C62C79">
      <w:pPr>
        <w:rPr>
          <w:lang w:eastAsia="en-AU"/>
        </w:rPr>
      </w:pPr>
      <w:r>
        <w:rPr>
          <w:b/>
          <w:u w:val="single"/>
          <w:lang w:eastAsia="en-AU"/>
        </w:rPr>
        <w:t xml:space="preserve">Step </w:t>
      </w:r>
      <w:r w:rsidR="00041618">
        <w:rPr>
          <w:b/>
          <w:u w:val="single"/>
          <w:lang w:eastAsia="en-AU"/>
        </w:rPr>
        <w:t>2</w:t>
      </w:r>
      <w:r w:rsidR="00C62C79" w:rsidRPr="00E924A7">
        <w:rPr>
          <w:b/>
          <w:u w:val="single"/>
          <w:lang w:eastAsia="en-AU"/>
        </w:rPr>
        <w:t>:</w:t>
      </w:r>
      <w:r w:rsidR="00C62C79">
        <w:rPr>
          <w:lang w:eastAsia="en-AU"/>
        </w:rPr>
        <w:t xml:space="preserve"> </w:t>
      </w:r>
      <w:r w:rsidR="00041618">
        <w:rPr>
          <w:lang w:eastAsia="en-AU"/>
        </w:rPr>
        <w:t>Action the patients Ig request according to the following guidance in the table below</w:t>
      </w:r>
      <w:r w:rsidR="00C62C79"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62C79" w:rsidRPr="00E924A7" w:rsidTr="007511FC">
        <w:tc>
          <w:tcPr>
            <w:tcW w:w="3332" w:type="dxa"/>
          </w:tcPr>
          <w:p w:rsidR="00C62C79" w:rsidRPr="00FD4F9C" w:rsidRDefault="00FD4F9C" w:rsidP="007511FC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>Patient authorisation status</w:t>
            </w:r>
          </w:p>
        </w:tc>
        <w:tc>
          <w:tcPr>
            <w:tcW w:w="3332" w:type="dxa"/>
          </w:tcPr>
          <w:p w:rsidR="00C62C79" w:rsidRPr="00FD4F9C" w:rsidRDefault="00C62C79" w:rsidP="002E64FA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 xml:space="preserve">Patient is temporarily </w:t>
            </w:r>
            <w:r w:rsidR="00C1455B">
              <w:rPr>
                <w:b/>
                <w:color w:val="FF0000"/>
                <w:lang w:eastAsia="en-AU"/>
              </w:rPr>
              <w:t>visiting</w:t>
            </w:r>
            <w:r w:rsidR="00474AA6">
              <w:rPr>
                <w:b/>
                <w:color w:val="FF0000"/>
                <w:lang w:eastAsia="en-AU"/>
              </w:rPr>
              <w:t xml:space="preserve"> </w:t>
            </w:r>
          </w:p>
        </w:tc>
        <w:tc>
          <w:tcPr>
            <w:tcW w:w="3332" w:type="dxa"/>
          </w:tcPr>
          <w:p w:rsidR="00C62C79" w:rsidRPr="00FD4F9C" w:rsidRDefault="00C62C79" w:rsidP="002E64FA">
            <w:pPr>
              <w:rPr>
                <w:b/>
                <w:color w:val="FF0000"/>
                <w:lang w:eastAsia="en-AU"/>
              </w:rPr>
            </w:pPr>
            <w:r w:rsidRPr="00FD4F9C">
              <w:rPr>
                <w:b/>
                <w:color w:val="FF0000"/>
                <w:lang w:eastAsia="en-AU"/>
              </w:rPr>
              <w:t>Patient is permanently moving</w:t>
            </w:r>
            <w:r w:rsidR="00041618">
              <w:rPr>
                <w:b/>
                <w:color w:val="FF0000"/>
                <w:lang w:eastAsia="en-AU"/>
              </w:rPr>
              <w:t xml:space="preserve"> </w:t>
            </w:r>
          </w:p>
        </w:tc>
      </w:tr>
      <w:tr w:rsidR="00D17971" w:rsidTr="001C1EA6">
        <w:tc>
          <w:tcPr>
            <w:tcW w:w="3332" w:type="dxa"/>
          </w:tcPr>
          <w:p w:rsidR="00D17971" w:rsidRDefault="00D17971" w:rsidP="00692572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Active authorisation </w:t>
            </w:r>
            <w:r w:rsidR="00692572">
              <w:rPr>
                <w:b/>
                <w:lang w:eastAsia="en-AU"/>
              </w:rPr>
              <w:t xml:space="preserve">confirmed </w:t>
            </w:r>
            <w:r>
              <w:rPr>
                <w:b/>
                <w:lang w:eastAsia="en-AU"/>
              </w:rPr>
              <w:t>in BloodSTAR</w:t>
            </w:r>
            <w:r w:rsidR="00041618">
              <w:rPr>
                <w:b/>
                <w:lang w:eastAsia="en-AU"/>
              </w:rPr>
              <w:t xml:space="preserve"> </w:t>
            </w:r>
          </w:p>
        </w:tc>
        <w:tc>
          <w:tcPr>
            <w:tcW w:w="6664" w:type="dxa"/>
            <w:gridSpan w:val="2"/>
          </w:tcPr>
          <w:p w:rsidR="00D17971" w:rsidRDefault="00D17971" w:rsidP="00FD4F9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Use the patient’s existing BloodSTAR </w:t>
            </w:r>
            <w:r w:rsidR="00BB25CA">
              <w:rPr>
                <w:lang w:eastAsia="en-AU"/>
              </w:rPr>
              <w:t>author</w:t>
            </w:r>
            <w:r w:rsidR="00692572">
              <w:rPr>
                <w:lang w:eastAsia="en-AU"/>
              </w:rPr>
              <w:t>i</w:t>
            </w:r>
            <w:r w:rsidR="00BB25CA">
              <w:rPr>
                <w:lang w:eastAsia="en-AU"/>
              </w:rPr>
              <w:t>sations</w:t>
            </w:r>
            <w:r>
              <w:rPr>
                <w:lang w:eastAsia="en-AU"/>
              </w:rPr>
              <w:t>.</w:t>
            </w:r>
          </w:p>
          <w:p w:rsidR="00CD67E5" w:rsidRDefault="00BB25CA" w:rsidP="00FD4F9C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Medical Officers </w:t>
            </w:r>
            <w:r>
              <w:rPr>
                <w:lang w:eastAsia="en-AU"/>
              </w:rPr>
              <w:t>to</w:t>
            </w:r>
            <w:r w:rsidR="00FC0C3A">
              <w:rPr>
                <w:lang w:eastAsia="en-AU"/>
              </w:rPr>
              <w:t xml:space="preserve"> submit any dose change requests and/or review outcomes. </w:t>
            </w:r>
          </w:p>
          <w:p w:rsidR="00CD67E5" w:rsidRDefault="00FC0C3A" w:rsidP="00FD4F9C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Nurses </w:t>
            </w:r>
            <w:r>
              <w:rPr>
                <w:lang w:eastAsia="en-AU"/>
              </w:rPr>
              <w:t xml:space="preserve">to manage the patient’s infusion schedule and submit dispense requests. </w:t>
            </w:r>
          </w:p>
          <w:p w:rsidR="00FC0C3A" w:rsidRPr="00FC0C3A" w:rsidRDefault="00FC0C3A" w:rsidP="00FD4F9C">
            <w:pPr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Dispensers </w:t>
            </w:r>
            <w:r>
              <w:rPr>
                <w:lang w:eastAsia="en-AU"/>
              </w:rPr>
              <w:t>to dispenser product against the patient’s authorisation in BloodNet.</w:t>
            </w:r>
          </w:p>
        </w:tc>
      </w:tr>
      <w:tr w:rsidR="00FD4F9C" w:rsidTr="007511FC">
        <w:tc>
          <w:tcPr>
            <w:tcW w:w="3332" w:type="dxa"/>
          </w:tcPr>
          <w:p w:rsidR="00FD4F9C" w:rsidRDefault="00FD4F9C" w:rsidP="00692572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</w:t>
            </w:r>
            <w:r w:rsidRPr="00E924A7">
              <w:rPr>
                <w:b/>
                <w:lang w:eastAsia="en-AU"/>
              </w:rPr>
              <w:t>c</w:t>
            </w:r>
            <w:r>
              <w:rPr>
                <w:b/>
                <w:lang w:eastAsia="en-AU"/>
              </w:rPr>
              <w:t>tive authorisation</w:t>
            </w:r>
            <w:r w:rsidR="00692572">
              <w:rPr>
                <w:b/>
                <w:lang w:eastAsia="en-AU"/>
              </w:rPr>
              <w:t xml:space="preserve"> confirmed</w:t>
            </w:r>
            <w:r>
              <w:rPr>
                <w:b/>
                <w:lang w:eastAsia="en-AU"/>
              </w:rPr>
              <w:t xml:space="preserve"> in STARS</w:t>
            </w:r>
            <w:r w:rsidR="00041618">
              <w:rPr>
                <w:b/>
                <w:lang w:eastAsia="en-AU"/>
              </w:rPr>
              <w:t xml:space="preserve"> </w:t>
            </w:r>
          </w:p>
        </w:tc>
        <w:tc>
          <w:tcPr>
            <w:tcW w:w="3332" w:type="dxa"/>
          </w:tcPr>
          <w:p w:rsidR="00FD4F9C" w:rsidRDefault="00FD4F9C" w:rsidP="00CD67E5">
            <w:pPr>
              <w:rPr>
                <w:lang w:eastAsia="en-AU"/>
              </w:rPr>
            </w:pPr>
            <w:r w:rsidRPr="0091510C">
              <w:rPr>
                <w:b/>
                <w:lang w:eastAsia="en-AU"/>
              </w:rPr>
              <w:t>Dispenser</w:t>
            </w:r>
            <w:r>
              <w:rPr>
                <w:lang w:eastAsia="en-AU"/>
              </w:rPr>
              <w:t xml:space="preserve"> should contact their local Blood Service </w:t>
            </w:r>
            <w:r w:rsidR="009A0A4E">
              <w:rPr>
                <w:lang w:eastAsia="en-AU"/>
              </w:rPr>
              <w:t xml:space="preserve">to obtain authorisation details </w:t>
            </w:r>
            <w:r w:rsidR="00041618" w:rsidRPr="00041618">
              <w:rPr>
                <w:lang w:eastAsia="en-AU"/>
              </w:rPr>
              <w:t>for this patient</w:t>
            </w:r>
            <w:r w:rsidR="00662762">
              <w:rPr>
                <w:lang w:eastAsia="en-AU"/>
              </w:rPr>
              <w:t xml:space="preserve">. </w:t>
            </w:r>
            <w:r w:rsidR="00FE0252">
              <w:rPr>
                <w:lang w:eastAsia="en-AU"/>
              </w:rPr>
              <w:t xml:space="preserve">The dispenser </w:t>
            </w:r>
            <w:r w:rsidR="00491BF1">
              <w:rPr>
                <w:lang w:eastAsia="en-AU"/>
              </w:rPr>
              <w:t>will need to dispense</w:t>
            </w:r>
            <w:r w:rsidR="00FE0252">
              <w:rPr>
                <w:lang w:eastAsia="en-AU"/>
              </w:rPr>
              <w:t xml:space="preserve"> product to the patient </w:t>
            </w:r>
            <w:r w:rsidR="00491BF1">
              <w:rPr>
                <w:lang w:eastAsia="en-AU"/>
              </w:rPr>
              <w:t>using the</w:t>
            </w:r>
            <w:r w:rsidR="00FE0252">
              <w:rPr>
                <w:lang w:eastAsia="en-AU"/>
              </w:rPr>
              <w:t>ir</w:t>
            </w:r>
            <w:r w:rsidR="00491BF1">
              <w:rPr>
                <w:lang w:eastAsia="en-AU"/>
              </w:rPr>
              <w:t xml:space="preserve"> laboratory information system (LIS)</w:t>
            </w:r>
            <w:r w:rsidR="00CD67E5">
              <w:rPr>
                <w:lang w:eastAsia="en-AU"/>
              </w:rPr>
              <w:t xml:space="preserve"> only,</w:t>
            </w:r>
            <w:r w:rsidR="00491BF1">
              <w:rPr>
                <w:lang w:eastAsia="en-AU"/>
              </w:rPr>
              <w:t xml:space="preserve"> not in BloodNet</w:t>
            </w:r>
            <w:r w:rsidR="00662762">
              <w:rPr>
                <w:lang w:eastAsia="en-AU"/>
              </w:rPr>
              <w:t>.</w:t>
            </w:r>
            <w:r w:rsidR="00041618">
              <w:rPr>
                <w:lang w:eastAsia="en-AU"/>
              </w:rPr>
              <w:t xml:space="preserve"> </w:t>
            </w:r>
          </w:p>
        </w:tc>
        <w:tc>
          <w:tcPr>
            <w:tcW w:w="3332" w:type="dxa"/>
          </w:tcPr>
          <w:p w:rsidR="00FD4F9C" w:rsidRDefault="00FD4F9C" w:rsidP="00FD4F9C">
            <w:pPr>
              <w:rPr>
                <w:lang w:eastAsia="en-AU"/>
              </w:rPr>
            </w:pPr>
            <w:r w:rsidRPr="0091510C">
              <w:rPr>
                <w:b/>
                <w:lang w:eastAsia="en-AU"/>
              </w:rPr>
              <w:t>Medical Officer</w:t>
            </w:r>
            <w:r>
              <w:rPr>
                <w:lang w:eastAsia="en-AU"/>
              </w:rPr>
              <w:t xml:space="preserve"> should contact their local Blood Service for further advice</w:t>
            </w:r>
            <w:r w:rsidR="00662762">
              <w:rPr>
                <w:lang w:eastAsia="en-AU"/>
              </w:rPr>
              <w:t xml:space="preserve">. </w:t>
            </w:r>
            <w:r w:rsidR="00491BF1">
              <w:rPr>
                <w:lang w:eastAsia="en-AU"/>
              </w:rPr>
              <w:t>The patient’s existing authorisation record will need to be entered into BloodSTAR by the Blood Service</w:t>
            </w:r>
            <w:r w:rsidR="00662762">
              <w:rPr>
                <w:lang w:eastAsia="en-AU"/>
              </w:rPr>
              <w:t>.</w:t>
            </w:r>
          </w:p>
        </w:tc>
      </w:tr>
      <w:tr w:rsidR="00C62C79" w:rsidTr="007511FC">
        <w:tc>
          <w:tcPr>
            <w:tcW w:w="3332" w:type="dxa"/>
          </w:tcPr>
          <w:p w:rsidR="00C62C79" w:rsidRPr="00E924A7" w:rsidRDefault="00FD4F9C" w:rsidP="00CD67E5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No active authorisation</w:t>
            </w:r>
            <w:r w:rsidR="00041618">
              <w:rPr>
                <w:b/>
                <w:lang w:eastAsia="en-AU"/>
              </w:rPr>
              <w:t xml:space="preserve"> for the </w:t>
            </w:r>
            <w:r w:rsidR="00CD67E5">
              <w:rPr>
                <w:b/>
                <w:lang w:eastAsia="en-AU"/>
              </w:rPr>
              <w:t>p</w:t>
            </w:r>
            <w:r w:rsidR="00041618">
              <w:rPr>
                <w:b/>
                <w:lang w:eastAsia="en-AU"/>
              </w:rPr>
              <w:t>atient</w:t>
            </w:r>
          </w:p>
        </w:tc>
        <w:tc>
          <w:tcPr>
            <w:tcW w:w="6664" w:type="dxa"/>
            <w:gridSpan w:val="2"/>
          </w:tcPr>
          <w:p w:rsidR="00C62C79" w:rsidRDefault="00C62C79" w:rsidP="009A0A4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Submit a new authorisation request using BloodSTAR. </w:t>
            </w:r>
          </w:p>
        </w:tc>
      </w:tr>
    </w:tbl>
    <w:p w:rsidR="00483451" w:rsidRDefault="00483451" w:rsidP="000F3C87">
      <w:pPr>
        <w:rPr>
          <w:lang w:eastAsia="en-AU"/>
        </w:rPr>
      </w:pPr>
    </w:p>
    <w:p w:rsidR="00FD4F9C" w:rsidRPr="0091510C" w:rsidRDefault="00FD4F9C" w:rsidP="00FD4F9C">
      <w:pPr>
        <w:pStyle w:val="Heading2"/>
        <w:spacing w:before="40" w:after="20"/>
        <w:jc w:val="center"/>
        <w:rPr>
          <w:rFonts w:ascii="Calibri" w:hAnsi="Calibri" w:cs="Calibri"/>
          <w:b/>
          <w:sz w:val="28"/>
          <w:szCs w:val="22"/>
          <w:lang w:eastAsia="en-AU"/>
        </w:rPr>
      </w:pPr>
      <w:r w:rsidRPr="0091510C">
        <w:rPr>
          <w:rFonts w:ascii="Calibri" w:hAnsi="Calibri" w:cs="Calibri"/>
          <w:b/>
          <w:sz w:val="28"/>
          <w:szCs w:val="22"/>
          <w:lang w:eastAsia="en-AU"/>
        </w:rPr>
        <w:t>AUSTRALIAN RED CROSS BLOOD SERVICE CONTACT DETAILS</w:t>
      </w:r>
      <w:r w:rsidR="009A0A4E">
        <w:rPr>
          <w:rFonts w:ascii="Calibri" w:hAnsi="Calibri" w:cs="Calibri"/>
          <w:b/>
          <w:sz w:val="28"/>
          <w:szCs w:val="22"/>
          <w:lang w:eastAsia="en-AU"/>
        </w:rPr>
        <w:t xml:space="preserve">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2"/>
        <w:gridCol w:w="4248"/>
        <w:gridCol w:w="4629"/>
      </w:tblGrid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D9D9D9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STATE</w:t>
            </w:r>
          </w:p>
        </w:tc>
        <w:tc>
          <w:tcPr>
            <w:tcW w:w="4248" w:type="dxa"/>
            <w:shd w:val="clear" w:color="auto" w:fill="D9D9D9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FOR ENQUIRIES</w:t>
            </w:r>
          </w:p>
        </w:tc>
        <w:tc>
          <w:tcPr>
            <w:tcW w:w="4629" w:type="dxa"/>
            <w:shd w:val="clear" w:color="auto" w:fill="D9D9D9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FAX TO: 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NSW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1300 478 348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>(After Hours: 1300 478 348)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02 9234 2050</w:t>
            </w:r>
          </w:p>
        </w:tc>
      </w:tr>
      <w:tr w:rsidR="008E6B52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8E6B52" w:rsidRPr="00032015" w:rsidRDefault="008E6B52" w:rsidP="007511FC">
            <w:pPr>
              <w:tabs>
                <w:tab w:val="left" w:pos="6804"/>
              </w:tabs>
              <w:rPr>
                <w:lang w:eastAsia="en-AU"/>
              </w:rPr>
            </w:pPr>
            <w:r>
              <w:rPr>
                <w:lang w:eastAsia="en-AU"/>
              </w:rPr>
              <w:t>ACT</w:t>
            </w:r>
          </w:p>
        </w:tc>
        <w:tc>
          <w:tcPr>
            <w:tcW w:w="4248" w:type="dxa"/>
            <w:shd w:val="clear" w:color="auto" w:fill="auto"/>
          </w:tcPr>
          <w:p w:rsidR="008E6B52" w:rsidRPr="00032015" w:rsidRDefault="008E6B52" w:rsidP="007511FC">
            <w:pPr>
              <w:tabs>
                <w:tab w:val="left" w:pos="6804"/>
              </w:tabs>
              <w:rPr>
                <w:lang w:eastAsia="en-AU"/>
              </w:rPr>
            </w:pPr>
            <w:r>
              <w:rPr>
                <w:lang w:eastAsia="en-AU"/>
              </w:rPr>
              <w:t>1300 478 348   (After Hours: 0411 095 344)</w:t>
            </w:r>
          </w:p>
        </w:tc>
        <w:tc>
          <w:tcPr>
            <w:tcW w:w="4629" w:type="dxa"/>
          </w:tcPr>
          <w:p w:rsidR="008E6B52" w:rsidRPr="00032015" w:rsidRDefault="008E6B52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02 9234 2050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NT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8E6B52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08 8928 5116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 xml:space="preserve">(After Hours: </w:t>
            </w:r>
            <w:r w:rsidR="008E6B52">
              <w:rPr>
                <w:lang w:eastAsia="en-AU"/>
              </w:rPr>
              <w:t>08 8223 6090</w:t>
            </w:r>
            <w:r w:rsidRPr="00032015">
              <w:rPr>
                <w:lang w:eastAsia="en-AU"/>
              </w:rPr>
              <w:t>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08 8927 5461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QLD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07 3838 9223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>(After Hours: 07 3838 9010)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07 3838 9421 (8:30am-4:30pm) or  07 3838 9400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SA 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08 8112 1341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>(After Hours: 08 8223 6090)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08 8223 5833 (After Hours: 08 8232 5741)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TAS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52323B" w:rsidP="007511FC">
            <w:pPr>
              <w:tabs>
                <w:tab w:val="left" w:pos="6804"/>
              </w:tabs>
              <w:rPr>
                <w:lang w:eastAsia="en-AU"/>
              </w:rPr>
            </w:pPr>
            <w:r>
              <w:rPr>
                <w:lang w:eastAsia="en-AU"/>
              </w:rPr>
              <w:t xml:space="preserve">03 6215 4122 </w:t>
            </w:r>
            <w:r w:rsidR="00032015">
              <w:rPr>
                <w:lang w:eastAsia="en-AU"/>
              </w:rPr>
              <w:t xml:space="preserve">  </w:t>
            </w:r>
            <w:r w:rsidR="00032015" w:rsidRPr="00032015">
              <w:rPr>
                <w:lang w:eastAsia="en-AU"/>
              </w:rPr>
              <w:t xml:space="preserve">(After Hours: </w:t>
            </w:r>
            <w:r w:rsidR="008E6B52">
              <w:rPr>
                <w:lang w:eastAsia="en-AU"/>
              </w:rPr>
              <w:t>08 8223 6090</w:t>
            </w:r>
            <w:r w:rsidR="00032015" w:rsidRPr="00032015">
              <w:rPr>
                <w:lang w:eastAsia="en-AU"/>
              </w:rPr>
              <w:t>)</w:t>
            </w:r>
          </w:p>
        </w:tc>
        <w:tc>
          <w:tcPr>
            <w:tcW w:w="4629" w:type="dxa"/>
          </w:tcPr>
          <w:p w:rsidR="00032015" w:rsidRPr="00032015" w:rsidRDefault="00032015" w:rsidP="0052323B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03 </w:t>
            </w:r>
            <w:r w:rsidR="0052323B">
              <w:rPr>
                <w:lang w:eastAsia="en-AU"/>
              </w:rPr>
              <w:t>6215 4197</w:t>
            </w:r>
            <w:bookmarkStart w:id="1" w:name="_GoBack"/>
            <w:bookmarkEnd w:id="1"/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VIC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03 9694 0200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>(After Hours: 03 9694 0200)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03 9694 0245</w:t>
            </w:r>
          </w:p>
        </w:tc>
      </w:tr>
      <w:tr w:rsidR="00032015" w:rsidRPr="008F73ED" w:rsidTr="00070367">
        <w:trPr>
          <w:trHeight w:hRule="exact" w:val="255"/>
          <w:jc w:val="center"/>
        </w:trPr>
        <w:tc>
          <w:tcPr>
            <w:tcW w:w="1092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WA</w:t>
            </w:r>
          </w:p>
        </w:tc>
        <w:tc>
          <w:tcPr>
            <w:tcW w:w="4248" w:type="dxa"/>
            <w:shd w:val="clear" w:color="auto" w:fill="auto"/>
          </w:tcPr>
          <w:p w:rsidR="00032015" w:rsidRPr="00032015" w:rsidRDefault="00032015" w:rsidP="007511FC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 xml:space="preserve">08 9421 2377 </w:t>
            </w:r>
            <w:r>
              <w:rPr>
                <w:lang w:eastAsia="en-AU"/>
              </w:rPr>
              <w:t xml:space="preserve">  </w:t>
            </w:r>
            <w:r w:rsidRPr="00032015">
              <w:rPr>
                <w:lang w:eastAsia="en-AU"/>
              </w:rPr>
              <w:t>(After Hours: 08 9325 3030)</w:t>
            </w:r>
          </w:p>
        </w:tc>
        <w:tc>
          <w:tcPr>
            <w:tcW w:w="4629" w:type="dxa"/>
          </w:tcPr>
          <w:p w:rsidR="00032015" w:rsidRPr="00032015" w:rsidRDefault="00032015" w:rsidP="001C1EA6">
            <w:pPr>
              <w:tabs>
                <w:tab w:val="left" w:pos="6804"/>
              </w:tabs>
              <w:rPr>
                <w:lang w:eastAsia="en-AU"/>
              </w:rPr>
            </w:pPr>
            <w:r w:rsidRPr="00032015">
              <w:rPr>
                <w:lang w:eastAsia="en-AU"/>
              </w:rPr>
              <w:t>08 9221 1215</w:t>
            </w:r>
          </w:p>
        </w:tc>
      </w:tr>
    </w:tbl>
    <w:p w:rsidR="00FD4F9C" w:rsidRDefault="00FD4F9C" w:rsidP="000F3C87">
      <w:pPr>
        <w:rPr>
          <w:lang w:eastAsia="en-AU"/>
        </w:rPr>
      </w:pPr>
    </w:p>
    <w:p w:rsidR="00476192" w:rsidRDefault="00476192" w:rsidP="000F3C87">
      <w:pPr>
        <w:rPr>
          <w:b/>
          <w:sz w:val="28"/>
          <w:lang w:eastAsia="en-AU"/>
        </w:rPr>
      </w:pPr>
      <w:r w:rsidRPr="0091510C">
        <w:rPr>
          <w:b/>
          <w:sz w:val="28"/>
          <w:lang w:eastAsia="en-AU"/>
        </w:rPr>
        <w:t>National Blood Authority contact details:</w:t>
      </w:r>
    </w:p>
    <w:p w:rsidR="00476192" w:rsidRDefault="00476192" w:rsidP="0091510C">
      <w:pPr>
        <w:spacing w:after="0"/>
        <w:rPr>
          <w:lang w:eastAsia="en-AU"/>
        </w:rPr>
      </w:pPr>
      <w:r w:rsidRPr="00476192">
        <w:rPr>
          <w:b/>
          <w:lang w:eastAsia="en-AU"/>
        </w:rPr>
        <w:t>Phone</w:t>
      </w:r>
      <w:r>
        <w:rPr>
          <w:lang w:eastAsia="en-AU"/>
        </w:rPr>
        <w:t>: 13000 BLOOD (13000 25663)</w:t>
      </w:r>
    </w:p>
    <w:p w:rsidR="00476192" w:rsidRPr="00476192" w:rsidRDefault="00476192" w:rsidP="0091510C">
      <w:pPr>
        <w:spacing w:after="0"/>
        <w:rPr>
          <w:lang w:eastAsia="en-AU"/>
        </w:rPr>
      </w:pPr>
      <w:r w:rsidRPr="00476192">
        <w:rPr>
          <w:b/>
          <w:lang w:eastAsia="en-AU"/>
        </w:rPr>
        <w:t>Email</w:t>
      </w:r>
      <w:r>
        <w:rPr>
          <w:lang w:eastAsia="en-AU"/>
        </w:rPr>
        <w:t>: support@blood.gov.au</w:t>
      </w:r>
    </w:p>
    <w:sectPr w:rsidR="00476192" w:rsidRPr="00476192" w:rsidSect="00C639BE">
      <w:footerReference w:type="default" r:id="rId11"/>
      <w:headerReference w:type="first" r:id="rId12"/>
      <w:pgSz w:w="11906" w:h="16838"/>
      <w:pgMar w:top="993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A6" w:rsidRDefault="00474AA6" w:rsidP="00856708">
      <w:pPr>
        <w:spacing w:after="0"/>
      </w:pPr>
      <w:r>
        <w:separator/>
      </w:r>
    </w:p>
  </w:endnote>
  <w:endnote w:type="continuationSeparator" w:id="0">
    <w:p w:rsidR="00474AA6" w:rsidRDefault="00474AA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A6" w:rsidRPr="00856708" w:rsidRDefault="00474AA6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52323B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A6" w:rsidRDefault="00474AA6" w:rsidP="00856708">
      <w:pPr>
        <w:spacing w:after="0"/>
      </w:pPr>
      <w:r>
        <w:separator/>
      </w:r>
    </w:p>
  </w:footnote>
  <w:footnote w:type="continuationSeparator" w:id="0">
    <w:p w:rsidR="00474AA6" w:rsidRDefault="00474AA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A6" w:rsidRDefault="00474AA6" w:rsidP="00823A64">
    <w:pPr>
      <w:pStyle w:val="Header"/>
      <w:tabs>
        <w:tab w:val="clear" w:pos="4513"/>
        <w:tab w:val="clear" w:pos="9026"/>
        <w:tab w:val="left" w:pos="783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ADD3E6" wp14:editId="0DA6DB40">
          <wp:simplePos x="0" y="0"/>
          <wp:positionH relativeFrom="column">
            <wp:posOffset>-666750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4" name="Picture 1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2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0D5"/>
    <w:multiLevelType w:val="hybridMultilevel"/>
    <w:tmpl w:val="886624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45368BA"/>
    <w:multiLevelType w:val="hybridMultilevel"/>
    <w:tmpl w:val="0F5ECF10"/>
    <w:lvl w:ilvl="0" w:tplc="02C6BE18">
      <w:start w:val="2"/>
      <w:numFmt w:val="bullet"/>
      <w:lvlText w:val=""/>
      <w:lvlJc w:val="left"/>
      <w:pPr>
        <w:ind w:left="720" w:hanging="360"/>
      </w:pPr>
      <w:rPr>
        <w:rFonts w:ascii="Symbol" w:eastAsia="Dotum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2A5D"/>
    <w:multiLevelType w:val="hybridMultilevel"/>
    <w:tmpl w:val="8C2E259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363FA"/>
    <w:multiLevelType w:val="hybridMultilevel"/>
    <w:tmpl w:val="87845A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373E1"/>
    <w:multiLevelType w:val="hybridMultilevel"/>
    <w:tmpl w:val="C5AAB156"/>
    <w:lvl w:ilvl="0" w:tplc="D23C01F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4"/>
    <w:rsid w:val="00001180"/>
    <w:rsid w:val="000250F8"/>
    <w:rsid w:val="00032015"/>
    <w:rsid w:val="00036EDC"/>
    <w:rsid w:val="00041618"/>
    <w:rsid w:val="0006629D"/>
    <w:rsid w:val="00070367"/>
    <w:rsid w:val="00081904"/>
    <w:rsid w:val="000B4A8E"/>
    <w:rsid w:val="000B59C4"/>
    <w:rsid w:val="000B7976"/>
    <w:rsid w:val="000C0C23"/>
    <w:rsid w:val="000F3C87"/>
    <w:rsid w:val="000F4052"/>
    <w:rsid w:val="00102025"/>
    <w:rsid w:val="001117C0"/>
    <w:rsid w:val="00114DEF"/>
    <w:rsid w:val="00115848"/>
    <w:rsid w:val="001328E5"/>
    <w:rsid w:val="00137D0D"/>
    <w:rsid w:val="00145F01"/>
    <w:rsid w:val="00162973"/>
    <w:rsid w:val="00175AB9"/>
    <w:rsid w:val="001834A0"/>
    <w:rsid w:val="001A5A3A"/>
    <w:rsid w:val="001C1531"/>
    <w:rsid w:val="001C1EA6"/>
    <w:rsid w:val="001C2DF0"/>
    <w:rsid w:val="001C42A5"/>
    <w:rsid w:val="00233033"/>
    <w:rsid w:val="002537F2"/>
    <w:rsid w:val="00293EE6"/>
    <w:rsid w:val="002A6600"/>
    <w:rsid w:val="002A7760"/>
    <w:rsid w:val="002B1ADB"/>
    <w:rsid w:val="002B4597"/>
    <w:rsid w:val="002C59D3"/>
    <w:rsid w:val="002E2DFC"/>
    <w:rsid w:val="002E64FA"/>
    <w:rsid w:val="002F079E"/>
    <w:rsid w:val="0031770B"/>
    <w:rsid w:val="003332A0"/>
    <w:rsid w:val="00335BE1"/>
    <w:rsid w:val="00355C17"/>
    <w:rsid w:val="003570A7"/>
    <w:rsid w:val="00360A33"/>
    <w:rsid w:val="003668A5"/>
    <w:rsid w:val="0036727C"/>
    <w:rsid w:val="0039529F"/>
    <w:rsid w:val="003D29FE"/>
    <w:rsid w:val="004018AA"/>
    <w:rsid w:val="004056FA"/>
    <w:rsid w:val="004124EC"/>
    <w:rsid w:val="00431DD2"/>
    <w:rsid w:val="00444DA3"/>
    <w:rsid w:val="00474AA6"/>
    <w:rsid w:val="00476192"/>
    <w:rsid w:val="00483451"/>
    <w:rsid w:val="00490CCE"/>
    <w:rsid w:val="00491BF1"/>
    <w:rsid w:val="004B1FD2"/>
    <w:rsid w:val="004D3BF8"/>
    <w:rsid w:val="004D4636"/>
    <w:rsid w:val="004E1FBB"/>
    <w:rsid w:val="004F3CD8"/>
    <w:rsid w:val="00520118"/>
    <w:rsid w:val="0052323B"/>
    <w:rsid w:val="005946A9"/>
    <w:rsid w:val="005946F9"/>
    <w:rsid w:val="00594E5B"/>
    <w:rsid w:val="005B3E12"/>
    <w:rsid w:val="005C0ACB"/>
    <w:rsid w:val="005C6740"/>
    <w:rsid w:val="005D229A"/>
    <w:rsid w:val="00613158"/>
    <w:rsid w:val="006323B8"/>
    <w:rsid w:val="00662762"/>
    <w:rsid w:val="00692572"/>
    <w:rsid w:val="006A59D7"/>
    <w:rsid w:val="006E22B9"/>
    <w:rsid w:val="00735379"/>
    <w:rsid w:val="007443A0"/>
    <w:rsid w:val="007511FC"/>
    <w:rsid w:val="00765A53"/>
    <w:rsid w:val="00774842"/>
    <w:rsid w:val="00784E35"/>
    <w:rsid w:val="007B53E2"/>
    <w:rsid w:val="007C2D28"/>
    <w:rsid w:val="007E35A7"/>
    <w:rsid w:val="007E3BF8"/>
    <w:rsid w:val="007E4918"/>
    <w:rsid w:val="007F3AA0"/>
    <w:rsid w:val="00810662"/>
    <w:rsid w:val="00816023"/>
    <w:rsid w:val="0082196E"/>
    <w:rsid w:val="00823A64"/>
    <w:rsid w:val="00826234"/>
    <w:rsid w:val="0084667B"/>
    <w:rsid w:val="00847176"/>
    <w:rsid w:val="00856708"/>
    <w:rsid w:val="00893E0A"/>
    <w:rsid w:val="008A3EE2"/>
    <w:rsid w:val="008C1A4C"/>
    <w:rsid w:val="008D2C0E"/>
    <w:rsid w:val="008D3EB3"/>
    <w:rsid w:val="008D4C8C"/>
    <w:rsid w:val="008E3B4D"/>
    <w:rsid w:val="008E6B52"/>
    <w:rsid w:val="008F0D24"/>
    <w:rsid w:val="008F49EE"/>
    <w:rsid w:val="0091510C"/>
    <w:rsid w:val="00934AB8"/>
    <w:rsid w:val="00942F3D"/>
    <w:rsid w:val="009437FF"/>
    <w:rsid w:val="009469E4"/>
    <w:rsid w:val="00951B85"/>
    <w:rsid w:val="00955C25"/>
    <w:rsid w:val="00986D43"/>
    <w:rsid w:val="009A0A4E"/>
    <w:rsid w:val="009C18F9"/>
    <w:rsid w:val="009D4857"/>
    <w:rsid w:val="009E38CC"/>
    <w:rsid w:val="00A05F18"/>
    <w:rsid w:val="00A77370"/>
    <w:rsid w:val="00AD02D0"/>
    <w:rsid w:val="00AF643E"/>
    <w:rsid w:val="00B0397A"/>
    <w:rsid w:val="00B06FC6"/>
    <w:rsid w:val="00B1514C"/>
    <w:rsid w:val="00B161B2"/>
    <w:rsid w:val="00B3726E"/>
    <w:rsid w:val="00B65E73"/>
    <w:rsid w:val="00B86083"/>
    <w:rsid w:val="00B93F3C"/>
    <w:rsid w:val="00B945AB"/>
    <w:rsid w:val="00BA6922"/>
    <w:rsid w:val="00BA6ADF"/>
    <w:rsid w:val="00BB25CA"/>
    <w:rsid w:val="00BB6A43"/>
    <w:rsid w:val="00BD59D4"/>
    <w:rsid w:val="00BD67D4"/>
    <w:rsid w:val="00BE487C"/>
    <w:rsid w:val="00C04EC9"/>
    <w:rsid w:val="00C06C8F"/>
    <w:rsid w:val="00C1455B"/>
    <w:rsid w:val="00C15EDB"/>
    <w:rsid w:val="00C22D0F"/>
    <w:rsid w:val="00C56E8E"/>
    <w:rsid w:val="00C57343"/>
    <w:rsid w:val="00C62C79"/>
    <w:rsid w:val="00C639BE"/>
    <w:rsid w:val="00C7337B"/>
    <w:rsid w:val="00C8792A"/>
    <w:rsid w:val="00C87D35"/>
    <w:rsid w:val="00CA0CB7"/>
    <w:rsid w:val="00CC457B"/>
    <w:rsid w:val="00CC502F"/>
    <w:rsid w:val="00CD2466"/>
    <w:rsid w:val="00CD67E5"/>
    <w:rsid w:val="00D115BE"/>
    <w:rsid w:val="00D17971"/>
    <w:rsid w:val="00D21B9B"/>
    <w:rsid w:val="00D278A7"/>
    <w:rsid w:val="00D73302"/>
    <w:rsid w:val="00D73894"/>
    <w:rsid w:val="00D95999"/>
    <w:rsid w:val="00DB2589"/>
    <w:rsid w:val="00E022E6"/>
    <w:rsid w:val="00E3226F"/>
    <w:rsid w:val="00E36B3A"/>
    <w:rsid w:val="00E36CD8"/>
    <w:rsid w:val="00E4792F"/>
    <w:rsid w:val="00E614B4"/>
    <w:rsid w:val="00E7294B"/>
    <w:rsid w:val="00E924A7"/>
    <w:rsid w:val="00E965D4"/>
    <w:rsid w:val="00ED76DF"/>
    <w:rsid w:val="00EF2C2E"/>
    <w:rsid w:val="00F06DAD"/>
    <w:rsid w:val="00F14B81"/>
    <w:rsid w:val="00F4667A"/>
    <w:rsid w:val="00F53E00"/>
    <w:rsid w:val="00F60773"/>
    <w:rsid w:val="00FA1A41"/>
    <w:rsid w:val="00FA4835"/>
    <w:rsid w:val="00FB2396"/>
    <w:rsid w:val="00FC0C3A"/>
    <w:rsid w:val="00FD4F9C"/>
    <w:rsid w:val="00FE0252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5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58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A53"/>
    <w:pPr>
      <w:spacing w:after="0" w:line="240" w:lineRule="auto"/>
    </w:pPr>
    <w:rPr>
      <w:rFonts w:ascii="Calibri" w:eastAsia="Dotum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C1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5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58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A53"/>
    <w:pPr>
      <w:spacing w:after="0" w:line="240" w:lineRule="auto"/>
    </w:pPr>
    <w:rPr>
      <w:rFonts w:ascii="Calibri" w:eastAsia="Dotum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C1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lood.gov.au/Ig-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181561\AppData\Local\Temp\74992\READ%20ONLY%20-%20TEMPLATE%20-%20A4%20Factsheet%20Portrai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A21-68A5-4119-9044-5EA0DDB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 ONLY - TEMPLATE - A4 Factsheet Portrait 2.DOTX</Template>
  <TotalTime>3</TotalTime>
  <Pages>3</Pages>
  <Words>928</Words>
  <Characters>5156</Characters>
  <Application>Microsoft Office Word</Application>
  <DocSecurity>0</DocSecurity>
  <Lines>190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Heland</dc:creator>
  <cp:lastModifiedBy>Rebecca Heland</cp:lastModifiedBy>
  <cp:revision>4</cp:revision>
  <cp:lastPrinted>2016-08-17T22:33:00Z</cp:lastPrinted>
  <dcterms:created xsi:type="dcterms:W3CDTF">2016-08-23T06:05:00Z</dcterms:created>
  <dcterms:modified xsi:type="dcterms:W3CDTF">2016-09-01T02:04:00Z</dcterms:modified>
</cp:coreProperties>
</file>