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7D2E" w:rsidRDefault="000C542A" w:rsidP="004D23A4">
      <w:pPr>
        <w:pStyle w:val="Heading1"/>
        <w:rPr>
          <w:bCs w:val="0"/>
        </w:rPr>
      </w:pPr>
      <w:bookmarkStart w:id="0" w:name="_Toc445976841"/>
      <w:r>
        <w:rPr>
          <w:noProof/>
          <w:lang w:eastAsia="en-AU"/>
        </w:rPr>
        <mc:AlternateContent>
          <mc:Choice Requires="wps">
            <w:drawing>
              <wp:anchor distT="0" distB="0" distL="114300" distR="114300" simplePos="0" relativeHeight="251676672" behindDoc="0" locked="0" layoutInCell="1" allowOverlap="1" wp14:anchorId="57FA2FB3" wp14:editId="16A20B01">
                <wp:simplePos x="0" y="0"/>
                <wp:positionH relativeFrom="column">
                  <wp:posOffset>539750</wp:posOffset>
                </wp:positionH>
                <wp:positionV relativeFrom="paragraph">
                  <wp:posOffset>-6712476</wp:posOffset>
                </wp:positionV>
                <wp:extent cx="4181475" cy="2781300"/>
                <wp:effectExtent l="0" t="0" r="0"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1475" cy="2781300"/>
                        </a:xfrm>
                        <a:prstGeom prst="rect">
                          <a:avLst/>
                        </a:prstGeom>
                        <a:noFill/>
                        <a:ln w="9525">
                          <a:noFill/>
                          <a:miter lim="800000"/>
                          <a:headEnd/>
                          <a:tailEnd/>
                        </a:ln>
                      </wps:spPr>
                      <wps:txbx>
                        <w:txbxContent>
                          <w:p w:rsidR="00B44BF4" w:rsidRPr="002F760D" w:rsidRDefault="00B44BF4" w:rsidP="002F760D">
                            <w:pPr>
                              <w:pStyle w:val="Heading1"/>
                              <w:spacing w:line="240" w:lineRule="auto"/>
                              <w:rPr>
                                <w:rFonts w:ascii="TitilliumText25L" w:hAnsi="TitilliumText25L"/>
                                <w:color w:val="FFFFFF" w:themeColor="background1"/>
                                <w:spacing w:val="0"/>
                              </w:rPr>
                            </w:pPr>
                            <w:bookmarkStart w:id="1" w:name="_Toc445976842"/>
                            <w:r w:rsidRPr="002F760D">
                              <w:rPr>
                                <w:rFonts w:ascii="TitilliumText25L" w:hAnsi="TitilliumText25L"/>
                                <w:color w:val="FFFFFF" w:themeColor="background1"/>
                                <w:spacing w:val="0"/>
                              </w:rPr>
                              <w:t>MODULE 2:</w:t>
                            </w:r>
                            <w:r w:rsidRPr="002F760D">
                              <w:rPr>
                                <w:rFonts w:ascii="TitilliumText25L" w:hAnsi="TitilliumText25L"/>
                                <w:color w:val="FFFFFF" w:themeColor="background1"/>
                                <w:spacing w:val="0"/>
                              </w:rPr>
                              <w:br/>
                            </w:r>
                            <w:r w:rsidR="002F760D" w:rsidRPr="002F760D">
                              <w:rPr>
                                <w:rFonts w:ascii="TitilliumText25L" w:hAnsi="TitilliumText25L"/>
                                <w:color w:val="FFFFFF" w:themeColor="background1"/>
                                <w:spacing w:val="0"/>
                              </w:rPr>
                              <w:t xml:space="preserve">MANAGING </w:t>
                            </w:r>
                            <w:r w:rsidRPr="002F760D">
                              <w:rPr>
                                <w:rFonts w:ascii="TitilliumText25L" w:hAnsi="TitilliumText25L"/>
                                <w:color w:val="FFFFFF" w:themeColor="background1"/>
                                <w:spacing w:val="0"/>
                              </w:rPr>
                              <w:t>INTRAVENOUS AND SUBCUTANEOUS IMMUNOGLOBULIN INVENTORY</w:t>
                            </w:r>
                            <w:bookmarkEnd w:id="1"/>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2.5pt;margin-top:-528.55pt;width:329.25pt;height:219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L86DQIAAPoDAAAOAAAAZHJzL2Uyb0RvYy54bWysU9uO2yAQfa/Uf0C8N740abJWnNV2t1tV&#10;2l6k3X4AxjhGBYYCiZ1+fQeczVrtW1Ue0MDMHOacGbbXo1bkKJyXYGpaLHJKhOHQSrOv6fen+zcb&#10;SnxgpmUKjKjpSXh6vXv9ajvYSpTQg2qFIwhifDXYmvYh2CrLPO+FZn4BVhh0duA0C3h0+6x1bEB0&#10;rbIyz99lA7jWOuDCe7y9m5x0l/C7TvDwteu8CETVFGsLaXdpb+Ke7bas2jtme8nPZbB/qEIzafDR&#10;C9QdC4wcnPwLSkvuwEMXFhx0Bl0nuUgckE2R/8HmsWdWJC4ojrcXmfz/g+Vfjt8ckW1NrygxTGOL&#10;nsQYyHsYSRnVGayvMOjRYlgY8Rq7nJh6+wD8hycGbntm9uLGORh6wVqsroiZ2Sx1wvERpBk+Q4vP&#10;sEOABDR2TkfpUAyC6Nil06UzsRSOl8tiUyzXK0o4+sr1pnibp95lrHpOt86HjwI0iUZNHbY+wbPj&#10;gw+xHFY9h8TXDNxLpVL7lSED8l+Vq5Qw82gZcDqV1DXd5HFN8xJZfjBtSg5MqsnGB5Q5045MJ85h&#10;bMakb9IkStJAe0IdHEzDiJ8HjR7cL0oGHMSa+p8H5gQl6pNBLa+K5TJObjosV+sSD27uaeYeZjhC&#10;1TRQMpm3IU37RPkGNe9kUuOlknPJOGBJpPNniBM8P6eoly+7+w0AAP//AwBQSwMEFAAGAAgAAAAh&#10;ANSwubrhAAAADQEAAA8AAABkcnMvZG93bnJldi54bWxMj0tPwzAQhO9I/Adrkbi1tqHpI8SpEIgr&#10;qOUhcXPjbRIRr6PYbcK/ZznBcXZGs98U28l34oxDbAMZ0HMFAqkKrqXawNvr02wNIiZLznaB0MA3&#10;RtiWlxeFzV0YaYfnfaoFl1DMrYEmpT6XMlYNehvnoUdi7xgGbxPLoZZusCOX+07eKLWU3rbEHxrb&#10;40OD1df+5A28Px8/PxbqpX70WT+GSUnyG2nM9dV0fwci4ZT+wvCLz+hQMtMhnMhF0RlYZzwlGZhp&#10;la00CI6sFrcZiAPflnqjQZaF/L+i/AEAAP//AwBQSwECLQAUAAYACAAAACEAtoM4kv4AAADhAQAA&#10;EwAAAAAAAAAAAAAAAAAAAAAAW0NvbnRlbnRfVHlwZXNdLnhtbFBLAQItABQABgAIAAAAIQA4/SH/&#10;1gAAAJQBAAALAAAAAAAAAAAAAAAAAC8BAABfcmVscy8ucmVsc1BLAQItABQABgAIAAAAIQCCIL86&#10;DQIAAPoDAAAOAAAAAAAAAAAAAAAAAC4CAABkcnMvZTJvRG9jLnhtbFBLAQItABQABgAIAAAAIQDU&#10;sLm64QAAAA0BAAAPAAAAAAAAAAAAAAAAAGcEAABkcnMvZG93bnJldi54bWxQSwUGAAAAAAQABADz&#10;AAAAdQUAAAAA&#10;" filled="f" stroked="f">
                <v:textbox>
                  <w:txbxContent>
                    <w:p w:rsidR="00B44BF4" w:rsidRPr="002F760D" w:rsidRDefault="00B44BF4" w:rsidP="002F760D">
                      <w:pPr>
                        <w:pStyle w:val="Heading1"/>
                        <w:spacing w:line="240" w:lineRule="auto"/>
                        <w:rPr>
                          <w:rFonts w:ascii="TitilliumText25L" w:hAnsi="TitilliumText25L"/>
                          <w:color w:val="FFFFFF" w:themeColor="background1"/>
                          <w:spacing w:val="0"/>
                        </w:rPr>
                      </w:pPr>
                      <w:bookmarkStart w:id="2" w:name="_Toc445976842"/>
                      <w:r w:rsidRPr="002F760D">
                        <w:rPr>
                          <w:rFonts w:ascii="TitilliumText25L" w:hAnsi="TitilliumText25L"/>
                          <w:color w:val="FFFFFF" w:themeColor="background1"/>
                          <w:spacing w:val="0"/>
                        </w:rPr>
                        <w:t>MODULE 2:</w:t>
                      </w:r>
                      <w:r w:rsidRPr="002F760D">
                        <w:rPr>
                          <w:rFonts w:ascii="TitilliumText25L" w:hAnsi="TitilliumText25L"/>
                          <w:color w:val="FFFFFF" w:themeColor="background1"/>
                          <w:spacing w:val="0"/>
                        </w:rPr>
                        <w:br/>
                      </w:r>
                      <w:r w:rsidR="002F760D" w:rsidRPr="002F760D">
                        <w:rPr>
                          <w:rFonts w:ascii="TitilliumText25L" w:hAnsi="TitilliumText25L"/>
                          <w:color w:val="FFFFFF" w:themeColor="background1"/>
                          <w:spacing w:val="0"/>
                        </w:rPr>
                        <w:t xml:space="preserve">MANAGING </w:t>
                      </w:r>
                      <w:r w:rsidRPr="002F760D">
                        <w:rPr>
                          <w:rFonts w:ascii="TitilliumText25L" w:hAnsi="TitilliumText25L"/>
                          <w:color w:val="FFFFFF" w:themeColor="background1"/>
                          <w:spacing w:val="0"/>
                        </w:rPr>
                        <w:t>INTRAVENOUS AND SUBCUTANEOUS IMMUNOGLOBULIN INVENTORY</w:t>
                      </w:r>
                      <w:bookmarkEnd w:id="2"/>
                    </w:p>
                  </w:txbxContent>
                </v:textbox>
              </v:shape>
            </w:pict>
          </mc:Fallback>
        </mc:AlternateContent>
      </w:r>
      <w:bookmarkEnd w:id="0"/>
      <w:r>
        <w:rPr>
          <w:noProof/>
          <w:lang w:eastAsia="en-AU"/>
        </w:rPr>
        <w:drawing>
          <wp:anchor distT="0" distB="0" distL="114300" distR="114300" simplePos="0" relativeHeight="251683840" behindDoc="1" locked="0" layoutInCell="1" allowOverlap="1" wp14:anchorId="54DCD5D1" wp14:editId="21162C07">
            <wp:simplePos x="0" y="0"/>
            <wp:positionH relativeFrom="column">
              <wp:posOffset>0</wp:posOffset>
            </wp:positionH>
            <wp:positionV relativeFrom="paragraph">
              <wp:posOffset>-10395585</wp:posOffset>
            </wp:positionV>
            <wp:extent cx="7560310" cy="10680700"/>
            <wp:effectExtent l="0" t="0" r="2540" b="6350"/>
            <wp:wrapTight wrapText="bothSides">
              <wp:wrapPolygon edited="0">
                <wp:start x="0" y="0"/>
                <wp:lineTo x="0" y="21574"/>
                <wp:lineTo x="21553" y="21574"/>
                <wp:lineTo x="21553"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_page.png"/>
                    <pic:cNvPicPr/>
                  </pic:nvPicPr>
                  <pic:blipFill>
                    <a:blip r:embed="rId9">
                      <a:extLst>
                        <a:ext uri="{28A0092B-C50C-407E-A947-70E740481C1C}">
                          <a14:useLocalDpi xmlns:a14="http://schemas.microsoft.com/office/drawing/2010/main" val="0"/>
                        </a:ext>
                      </a:extLst>
                    </a:blip>
                    <a:stretch>
                      <a:fillRect/>
                    </a:stretch>
                  </pic:blipFill>
                  <pic:spPr>
                    <a:xfrm>
                      <a:off x="0" y="0"/>
                      <a:ext cx="7560310" cy="10680700"/>
                    </a:xfrm>
                    <a:prstGeom prst="rect">
                      <a:avLst/>
                    </a:prstGeom>
                  </pic:spPr>
                </pic:pic>
              </a:graphicData>
            </a:graphic>
            <wp14:sizeRelH relativeFrom="page">
              <wp14:pctWidth>0</wp14:pctWidth>
            </wp14:sizeRelH>
            <wp14:sizeRelV relativeFrom="page">
              <wp14:pctHeight>0</wp14:pctHeight>
            </wp14:sizeRelV>
          </wp:anchor>
        </w:drawing>
      </w:r>
      <w:r w:rsidR="00057D2E">
        <w:br w:type="page"/>
      </w:r>
    </w:p>
    <w:p w:rsidR="004D23A4" w:rsidRDefault="004D23A4">
      <w:pPr>
        <w:spacing w:line="276" w:lineRule="auto"/>
        <w:sectPr w:rsidR="004D23A4" w:rsidSect="004D23A4">
          <w:headerReference w:type="even" r:id="rId10"/>
          <w:headerReference w:type="default" r:id="rId11"/>
          <w:footerReference w:type="default" r:id="rId12"/>
          <w:headerReference w:type="first" r:id="rId13"/>
          <w:pgSz w:w="11906" w:h="16838"/>
          <w:pgMar w:top="0" w:right="0" w:bottom="0" w:left="0" w:header="709" w:footer="709" w:gutter="0"/>
          <w:cols w:space="708"/>
          <w:titlePg/>
          <w:docGrid w:linePitch="360"/>
        </w:sectPr>
      </w:pPr>
    </w:p>
    <w:p w:rsidR="003106B3" w:rsidRDefault="008D2382">
      <w:pPr>
        <w:spacing w:line="276" w:lineRule="auto"/>
        <w:rPr>
          <w:rFonts w:eastAsia="HYGothic-Extra"/>
          <w:bCs/>
          <w:color w:val="1E1E1E"/>
          <w:spacing w:val="-20"/>
          <w:sz w:val="56"/>
          <w:szCs w:val="72"/>
        </w:rPr>
      </w:pPr>
      <w:r>
        <w:rPr>
          <w:rFonts w:eastAsia="HYGothic-Extra"/>
          <w:bCs/>
          <w:noProof/>
          <w:color w:val="1E1E1E"/>
          <w:spacing w:val="-20"/>
          <w:sz w:val="56"/>
          <w:szCs w:val="72"/>
          <w:lang w:eastAsia="en-AU"/>
        </w:rPr>
        <w:lastRenderedPageBreak/>
        <mc:AlternateContent>
          <mc:Choice Requires="wps">
            <w:drawing>
              <wp:anchor distT="0" distB="0" distL="114300" distR="114300" simplePos="0" relativeHeight="251682816" behindDoc="0" locked="0" layoutInCell="1" allowOverlap="1" wp14:anchorId="5E1A0F9D" wp14:editId="2581C508">
                <wp:simplePos x="0" y="0"/>
                <wp:positionH relativeFrom="column">
                  <wp:posOffset>-919318</wp:posOffset>
                </wp:positionH>
                <wp:positionV relativeFrom="paragraph">
                  <wp:posOffset>4167505</wp:posOffset>
                </wp:positionV>
                <wp:extent cx="3048000" cy="242887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3048000" cy="2428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777B3" w:rsidRDefault="008D2382">
                            <w:r>
                              <w:rPr>
                                <w:noProof/>
                                <w:lang w:eastAsia="en-AU"/>
                              </w:rPr>
                              <w:drawing>
                                <wp:inline distT="0" distB="0" distL="0" distR="0" wp14:anchorId="76013802" wp14:editId="2BA6932B">
                                  <wp:extent cx="3043529" cy="2251887"/>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VIg.png"/>
                                          <pic:cNvPicPr/>
                                        </pic:nvPicPr>
                                        <pic:blipFill>
                                          <a:blip r:embed="rId14">
                                            <a:extLst>
                                              <a:ext uri="{28A0092B-C50C-407E-A947-70E740481C1C}">
                                                <a14:useLocalDpi xmlns:a14="http://schemas.microsoft.com/office/drawing/2010/main" val="0"/>
                                              </a:ext>
                                            </a:extLst>
                                          </a:blip>
                                          <a:stretch>
                                            <a:fillRect/>
                                          </a:stretch>
                                        </pic:blipFill>
                                        <pic:spPr>
                                          <a:xfrm>
                                            <a:off x="0" y="0"/>
                                            <a:ext cx="3042531" cy="225114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2" o:spid="_x0000_s1027" type="#_x0000_t202" style="position:absolute;margin-left:-72.4pt;margin-top:328.15pt;width:240pt;height:191.25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wzggIAAGwFAAAOAAAAZHJzL2Uyb0RvYy54bWysVN9v2jAQfp+0/8Hy+5pAoWWIULFWnSah&#10;thpMfTaOXaLZPs82JOyv79lJKGJ76bSX5Hz3+Xw/vrvZTaMV2QvnKzAFHVzklAjDoazMS0F/rO8/&#10;TSjxgZmSKTCioAfh6c3844dZbadiCFtQpXAEnRg/rW1BtyHYaZZ5vhWa+QuwwqBRgtMs4NG9ZKVj&#10;NXrXKhvm+VVWgyutAy68R+1da6Tz5F9KwcOjlF4EogqKsYX0dem7id9sPmPTF8fstuJdGOwfotCs&#10;Mvjo0dUdC4zsXPWHK11xBx5kuOCgM5Cy4iLlgNkM8rNsVltmRcoFi+PtsUz+/7nlD/snR6oSezek&#10;xDCNPVqLJpAv0BBUYX1q66cIW1kEhgb1iO31HpUx7UY6Hf+YEEE7VvpwrG70xlF5mY8meY4mjrbh&#10;aDiZXI+jn+ztunU+fBWgSRQK6rB9qapsv/ShhfaQ+JqB+0qp1EJlSF3Qq8txni4cLehcmYgViQyd&#10;m5hSG3qSwkGJiFHmu5BYjJRBVCQailvlyJ4hgRjnwoSUfPKL6IiSGMR7Lnb4t6jec7nNo38ZTDhe&#10;1pUBl7I/C7v82YcsWzzW/CTvKIZm0yQWXPad3UB5wIY7aEfGW35fYVOWzIcn5nBGsJE49+ERP1IB&#10;Fh86iZItuN9/00c8UhetlNQ4cwX1v3bMCUrUN4Ok/jwYjeKQpsNofD3Egzu1bE4tZqdvAbsywA1j&#10;eRIjPqhelA70M66HRXwVTcxwfLugoRdvQ7sJcL1wsVgkEI6lZWFpVpZH17FJkXLr5pk52/EyIKUf&#10;oJ9ONj2jZ4uNNw0sdgFklbgb69xWtas/jnRif7d+4s44PSfU25KcvwIAAP//AwBQSwMEFAAGAAgA&#10;AAAhAGxRF/zkAAAADQEAAA8AAABkcnMvZG93bnJldi54bWxMj01Lw0AURfeC/2F4grt20qQJIWZS&#10;SqAIoovWbty9ZF6T4HzEzLSN/nrHlV0+7uHe88rNrBW70OQGawSslhEwMq2Vg+kEHN93ixyY82gk&#10;KmtIwDc52FT3dyUW0l7Nni4H37FQYlyBAnrvx4Jz1/ak0S3tSCZkJztp9OGcOi4nvIZyrXgcRRnX&#10;OJiw0ONIdU/t5+GsBbzUuzfcN7HOf1T9/Hrajl/Hj1SIx4d5+wTM0+z/YfjTD+pQBafGno10TAlY&#10;rNbr4O4FZGmWAAtIkqQxsCawUZLnwKuS335R/QIAAP//AwBQSwECLQAUAAYACAAAACEAtoM4kv4A&#10;AADhAQAAEwAAAAAAAAAAAAAAAAAAAAAAW0NvbnRlbnRfVHlwZXNdLnhtbFBLAQItABQABgAIAAAA&#10;IQA4/SH/1gAAAJQBAAALAAAAAAAAAAAAAAAAAC8BAABfcmVscy8ucmVsc1BLAQItABQABgAIAAAA&#10;IQD/HtwzggIAAGwFAAAOAAAAAAAAAAAAAAAAAC4CAABkcnMvZTJvRG9jLnhtbFBLAQItABQABgAI&#10;AAAAIQBsURf85AAAAA0BAAAPAAAAAAAAAAAAAAAAANwEAABkcnMvZG93bnJldi54bWxQSwUGAAAA&#10;AAQABADzAAAA7QUAAAAA&#10;" filled="f" stroked="f" strokeweight=".5pt">
                <v:textbox>
                  <w:txbxContent>
                    <w:p w:rsidR="00C777B3" w:rsidRDefault="008D2382">
                      <w:r>
                        <w:rPr>
                          <w:noProof/>
                          <w:lang w:eastAsia="en-AU"/>
                        </w:rPr>
                        <w:drawing>
                          <wp:inline distT="0" distB="0" distL="0" distR="0" wp14:anchorId="76013802" wp14:editId="2BA6932B">
                            <wp:extent cx="3043529" cy="2251887"/>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VIg.png"/>
                                    <pic:cNvPicPr/>
                                  </pic:nvPicPr>
                                  <pic:blipFill>
                                    <a:blip r:embed="rId14">
                                      <a:extLst>
                                        <a:ext uri="{28A0092B-C50C-407E-A947-70E740481C1C}">
                                          <a14:useLocalDpi xmlns:a14="http://schemas.microsoft.com/office/drawing/2010/main" val="0"/>
                                        </a:ext>
                                      </a:extLst>
                                    </a:blip>
                                    <a:stretch>
                                      <a:fillRect/>
                                    </a:stretch>
                                  </pic:blipFill>
                                  <pic:spPr>
                                    <a:xfrm>
                                      <a:off x="0" y="0"/>
                                      <a:ext cx="3042531" cy="2251148"/>
                                    </a:xfrm>
                                    <a:prstGeom prst="rect">
                                      <a:avLst/>
                                    </a:prstGeom>
                                  </pic:spPr>
                                </pic:pic>
                              </a:graphicData>
                            </a:graphic>
                          </wp:inline>
                        </w:drawing>
                      </w:r>
                    </w:p>
                  </w:txbxContent>
                </v:textbox>
              </v:shape>
            </w:pict>
          </mc:Fallback>
        </mc:AlternateContent>
      </w:r>
      <w:r w:rsidR="002F760D">
        <w:rPr>
          <w:rFonts w:eastAsia="HYGothic-Extra"/>
          <w:bCs/>
          <w:noProof/>
          <w:color w:val="1E1E1E"/>
          <w:spacing w:val="-20"/>
          <w:sz w:val="56"/>
          <w:szCs w:val="72"/>
          <w:lang w:eastAsia="en-AU"/>
        </w:rPr>
        <mc:AlternateContent>
          <mc:Choice Requires="wps">
            <w:drawing>
              <wp:anchor distT="0" distB="0" distL="114300" distR="114300" simplePos="0" relativeHeight="251680768" behindDoc="0" locked="0" layoutInCell="1" allowOverlap="1" wp14:anchorId="798E260E" wp14:editId="130AE2BD">
                <wp:simplePos x="0" y="0"/>
                <wp:positionH relativeFrom="column">
                  <wp:posOffset>582930</wp:posOffset>
                </wp:positionH>
                <wp:positionV relativeFrom="paragraph">
                  <wp:posOffset>345331</wp:posOffset>
                </wp:positionV>
                <wp:extent cx="5736590" cy="260985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5736590" cy="2609850"/>
                        </a:xfrm>
                        <a:prstGeom prst="rect">
                          <a:avLst/>
                        </a:prstGeom>
                        <a:solidFill>
                          <a:srgbClr val="00A9E0">
                            <a:alpha val="5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82DBA" w:rsidRDefault="001227DB" w:rsidP="002F760D">
                            <w:pPr>
                              <w:pStyle w:val="TOCHeading"/>
                              <w:spacing w:line="240" w:lineRule="auto"/>
                              <w:jc w:val="right"/>
                              <w:rPr>
                                <w:rStyle w:val="Hyperlink"/>
                                <w:rFonts w:ascii="TitilliumText25L" w:hAnsi="TitilliumText25L"/>
                                <w:b w:val="0"/>
                                <w:noProof/>
                                <w:color w:val="FFFFFF" w:themeColor="background1"/>
                                <w:sz w:val="52"/>
                                <w:u w:val="none"/>
                              </w:rPr>
                            </w:pPr>
                            <w:hyperlink r:id="rId15" w:anchor="_Toc445976842" w:history="1">
                              <w:r w:rsidR="00D82DBA" w:rsidRPr="002F760D">
                                <w:rPr>
                                  <w:rStyle w:val="Hyperlink"/>
                                  <w:rFonts w:ascii="TitilliumText25L" w:hAnsi="TitilliumText25L"/>
                                  <w:b w:val="0"/>
                                  <w:noProof/>
                                  <w:color w:val="FFFFFF" w:themeColor="background1"/>
                                  <w:sz w:val="52"/>
                                  <w:u w:val="none"/>
                                </w:rPr>
                                <w:t xml:space="preserve">MODULE 2: </w:t>
                              </w:r>
                              <w:r w:rsidR="003279D1" w:rsidRPr="002F760D">
                                <w:rPr>
                                  <w:rStyle w:val="Hyperlink"/>
                                  <w:rFonts w:ascii="TitilliumText25L" w:hAnsi="TitilliumText25L"/>
                                  <w:b w:val="0"/>
                                  <w:noProof/>
                                  <w:color w:val="FFFFFF" w:themeColor="background1"/>
                                  <w:sz w:val="52"/>
                                  <w:u w:val="none"/>
                                </w:rPr>
                                <w:br/>
                              </w:r>
                              <w:r w:rsidR="002F760D" w:rsidRPr="002F760D">
                                <w:rPr>
                                  <w:rStyle w:val="Hyperlink"/>
                                  <w:rFonts w:ascii="TitilliumText25L" w:hAnsi="TitilliumText25L"/>
                                  <w:b w:val="0"/>
                                  <w:noProof/>
                                  <w:color w:val="FFFFFF" w:themeColor="background1"/>
                                  <w:sz w:val="52"/>
                                  <w:u w:val="none"/>
                                </w:rPr>
                                <w:t xml:space="preserve">MANAGING </w:t>
                              </w:r>
                              <w:r w:rsidR="00D82DBA" w:rsidRPr="002F760D">
                                <w:rPr>
                                  <w:rStyle w:val="Hyperlink"/>
                                  <w:rFonts w:ascii="TitilliumText25L" w:hAnsi="TitilliumText25L"/>
                                  <w:b w:val="0"/>
                                  <w:noProof/>
                                  <w:color w:val="FFFFFF" w:themeColor="background1"/>
                                  <w:sz w:val="52"/>
                                  <w:u w:val="none"/>
                                </w:rPr>
                                <w:t xml:space="preserve">INTRAVENOUS AND SUBCUTANEOUS IMMUNOGLOBULIN INVENTORY </w:t>
                              </w:r>
                            </w:hyperlink>
                            <w:r w:rsidR="00D82DBA" w:rsidRPr="002F760D">
                              <w:rPr>
                                <w:rStyle w:val="Hyperlink"/>
                                <w:rFonts w:ascii="TitilliumText25L" w:hAnsi="TitilliumText25L"/>
                                <w:b w:val="0"/>
                                <w:noProof/>
                                <w:color w:val="FFFFFF" w:themeColor="background1"/>
                                <w:sz w:val="52"/>
                                <w:u w:val="none"/>
                              </w:rPr>
                              <w:t>CONTENTS</w:t>
                            </w:r>
                          </w:p>
                          <w:p w:rsidR="006F2FC1" w:rsidRDefault="006F2FC1" w:rsidP="006F2FC1">
                            <w:pPr>
                              <w:rPr>
                                <w:lang w:val="en-US" w:eastAsia="ja-JP"/>
                              </w:rPr>
                            </w:pPr>
                          </w:p>
                          <w:p w:rsidR="006F2FC1" w:rsidRPr="001227DB" w:rsidRDefault="006F2FC1" w:rsidP="006F2FC1">
                            <w:pPr>
                              <w:jc w:val="right"/>
                              <w:rPr>
                                <w:color w:val="FFFFFF" w:themeColor="background1"/>
                                <w:lang w:val="en-US" w:eastAsia="ja-JP"/>
                              </w:rPr>
                            </w:pPr>
                            <w:r w:rsidRPr="001227DB">
                              <w:rPr>
                                <w:color w:val="FFFFFF" w:themeColor="background1"/>
                                <w:lang w:val="en-US" w:eastAsia="ja-JP"/>
                              </w:rPr>
                              <w:t>Version 2 : September 2018</w:t>
                            </w:r>
                          </w:p>
                          <w:p w:rsidR="00D82DBA" w:rsidRPr="002F760D" w:rsidRDefault="00D82DBA" w:rsidP="003279D1">
                            <w:pPr>
                              <w:jc w:val="right"/>
                              <w:rPr>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28" type="#_x0000_t202" style="position:absolute;margin-left:45.9pt;margin-top:27.2pt;width:451.7pt;height:20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WdwpAIAALUFAAAOAAAAZHJzL2Uyb0RvYy54bWysVN9v2jAQfp+0/8Hy+5pAgRbUUDG6TpOq&#10;thpMfTaOTaI5Ps82JOyv39lJgHV76bSXxL777tfnu7u5bSpF9sK6EnRGBxcpJUJzyEu9zei39f2H&#10;a0qcZzpnCrTI6EE4ejt//+6mNjMxhAJULixBJ9rNapPRwnszSxLHC1ExdwFGaFRKsBXzeLXbJLes&#10;Ru+VSoZpOklqsLmxwIVzKL1rlXQe/UspuH+S0glPVEYxNx+/Nn434ZvMb9hsa5kpSt6lwf4hi4qV&#10;GoMeXd0xz8jOln+4qkpuwYH0FxyqBKQsuYg1YDWD9FU1q4IZEWtBcpw50uT+n1v+uH+2pMzx7fCl&#10;NKvwjdai8eQjNARFyE9t3AxhK4NA36Acsb3coTCU3UhbhT8WRFCPTB+O7AZvHIXjq8vJeIoqjrrh&#10;JJ1ejyP/ycncWOc/C6hIOGTU4vNFVtn+wXlMBaE9JERzoMr8vlQqXux2s1SW7Fl46nQx/ZS2tsoU&#10;rJWO07SP6Fp0dPmbG6VJndHJJeYWvGoI/tvQSgeJiF3V5RO4aTmIJ39QImCU/iokshqpiMmFfhbH&#10;9BjnQvvIIpYU0QElMdRbDDv8Kau3GLd1oEWMDNofjatSg43VxzE8pZ1/71OWLR7pO6s7HH2zaWI7&#10;jfoW2UB+wM6x0M6eM/y+xNd9YM4/M4vDhh2BC8Q/4UcqQPKhO1FSgP35N3nA4wyglpIahzej7seO&#10;WUGJ+qJxOqaD0ShMe7yMxldDvNhzzeZco3fVErBpBriqDI/HgPeqP0oL1QvumUWIiiqmOcbOqO+P&#10;S9+uFNxTXCwWEYTzbZh/0CvDg+vAcujddfPCrOka3ONsPEI/5mz2qs9bbLDUsNh5kGUcgsBzy2rH&#10;P+6G2MjdHgvL5/weUadtO/8FAAD//wMAUEsDBBQABgAIAAAAIQB+5YUj4wAAAAkBAAAPAAAAZHJz&#10;L2Rvd25yZXYueG1sTI9PS8NAFMTvgt9heYIXaTctSTExL8XWP6DEQluL123yTILZtyG7aeO3dz3p&#10;cZhh5jfpctStOFFvG8MIs2kAgrgwZcMVwvv+aXILwjrFpWoNE8I3WVhmlxepSkpz5i2ddq4SvoRt&#10;ohBq57pESlvUpJWdmo7Ye5+m18p52Vey7NXZl+tWzoNgIbVq2C/UqqN1TcXXbtAI64cVVYfNKn97&#10;/Tg8v9xs88fNkCNeX433dyAcje4vDL/4Hh0yz3Q0A5dWtAjxzJM7hCgMQXg/jqM5iCNCuIhCkFkq&#10;/z/IfgAAAP//AwBQSwECLQAUAAYACAAAACEAtoM4kv4AAADhAQAAEwAAAAAAAAAAAAAAAAAAAAAA&#10;W0NvbnRlbnRfVHlwZXNdLnhtbFBLAQItABQABgAIAAAAIQA4/SH/1gAAAJQBAAALAAAAAAAAAAAA&#10;AAAAAC8BAABfcmVscy8ucmVsc1BLAQItABQABgAIAAAAIQBefWdwpAIAALUFAAAOAAAAAAAAAAAA&#10;AAAAAC4CAABkcnMvZTJvRG9jLnhtbFBLAQItABQABgAIAAAAIQB+5YUj4wAAAAkBAAAPAAAAAAAA&#10;AAAAAAAAAP4EAABkcnMvZG93bnJldi54bWxQSwUGAAAAAAQABADzAAAADgYAAAAA&#10;" fillcolor="#00a9e0" stroked="f" strokeweight=".5pt">
                <v:fill opacity="3341f"/>
                <v:textbox>
                  <w:txbxContent>
                    <w:p w:rsidR="00D82DBA" w:rsidRDefault="001227DB" w:rsidP="002F760D">
                      <w:pPr>
                        <w:pStyle w:val="TOCHeading"/>
                        <w:spacing w:line="240" w:lineRule="auto"/>
                        <w:jc w:val="right"/>
                        <w:rPr>
                          <w:rStyle w:val="Hyperlink"/>
                          <w:rFonts w:ascii="TitilliumText25L" w:hAnsi="TitilliumText25L"/>
                          <w:b w:val="0"/>
                          <w:noProof/>
                          <w:color w:val="FFFFFF" w:themeColor="background1"/>
                          <w:sz w:val="52"/>
                          <w:u w:val="none"/>
                        </w:rPr>
                      </w:pPr>
                      <w:hyperlink r:id="rId16" w:anchor="_Toc445976842" w:history="1">
                        <w:r w:rsidR="00D82DBA" w:rsidRPr="002F760D">
                          <w:rPr>
                            <w:rStyle w:val="Hyperlink"/>
                            <w:rFonts w:ascii="TitilliumText25L" w:hAnsi="TitilliumText25L"/>
                            <w:b w:val="0"/>
                            <w:noProof/>
                            <w:color w:val="FFFFFF" w:themeColor="background1"/>
                            <w:sz w:val="52"/>
                            <w:u w:val="none"/>
                          </w:rPr>
                          <w:t xml:space="preserve">MODULE 2: </w:t>
                        </w:r>
                        <w:r w:rsidR="003279D1" w:rsidRPr="002F760D">
                          <w:rPr>
                            <w:rStyle w:val="Hyperlink"/>
                            <w:rFonts w:ascii="TitilliumText25L" w:hAnsi="TitilliumText25L"/>
                            <w:b w:val="0"/>
                            <w:noProof/>
                            <w:color w:val="FFFFFF" w:themeColor="background1"/>
                            <w:sz w:val="52"/>
                            <w:u w:val="none"/>
                          </w:rPr>
                          <w:br/>
                        </w:r>
                        <w:r w:rsidR="002F760D" w:rsidRPr="002F760D">
                          <w:rPr>
                            <w:rStyle w:val="Hyperlink"/>
                            <w:rFonts w:ascii="TitilliumText25L" w:hAnsi="TitilliumText25L"/>
                            <w:b w:val="0"/>
                            <w:noProof/>
                            <w:color w:val="FFFFFF" w:themeColor="background1"/>
                            <w:sz w:val="52"/>
                            <w:u w:val="none"/>
                          </w:rPr>
                          <w:t xml:space="preserve">MANAGING </w:t>
                        </w:r>
                        <w:r w:rsidR="00D82DBA" w:rsidRPr="002F760D">
                          <w:rPr>
                            <w:rStyle w:val="Hyperlink"/>
                            <w:rFonts w:ascii="TitilliumText25L" w:hAnsi="TitilliumText25L"/>
                            <w:b w:val="0"/>
                            <w:noProof/>
                            <w:color w:val="FFFFFF" w:themeColor="background1"/>
                            <w:sz w:val="52"/>
                            <w:u w:val="none"/>
                          </w:rPr>
                          <w:t xml:space="preserve">INTRAVENOUS AND SUBCUTANEOUS IMMUNOGLOBULIN INVENTORY </w:t>
                        </w:r>
                      </w:hyperlink>
                      <w:r w:rsidR="00D82DBA" w:rsidRPr="002F760D">
                        <w:rPr>
                          <w:rStyle w:val="Hyperlink"/>
                          <w:rFonts w:ascii="TitilliumText25L" w:hAnsi="TitilliumText25L"/>
                          <w:b w:val="0"/>
                          <w:noProof/>
                          <w:color w:val="FFFFFF" w:themeColor="background1"/>
                          <w:sz w:val="52"/>
                          <w:u w:val="none"/>
                        </w:rPr>
                        <w:t>CONTENTS</w:t>
                      </w:r>
                    </w:p>
                    <w:p w:rsidR="006F2FC1" w:rsidRDefault="006F2FC1" w:rsidP="006F2FC1">
                      <w:pPr>
                        <w:rPr>
                          <w:lang w:val="en-US" w:eastAsia="ja-JP"/>
                        </w:rPr>
                      </w:pPr>
                    </w:p>
                    <w:p w:rsidR="006F2FC1" w:rsidRPr="001227DB" w:rsidRDefault="006F2FC1" w:rsidP="006F2FC1">
                      <w:pPr>
                        <w:jc w:val="right"/>
                        <w:rPr>
                          <w:color w:val="FFFFFF" w:themeColor="background1"/>
                          <w:lang w:val="en-US" w:eastAsia="ja-JP"/>
                        </w:rPr>
                      </w:pPr>
                      <w:r w:rsidRPr="001227DB">
                        <w:rPr>
                          <w:color w:val="FFFFFF" w:themeColor="background1"/>
                          <w:lang w:val="en-US" w:eastAsia="ja-JP"/>
                        </w:rPr>
                        <w:t>Version 2 : September 2018</w:t>
                      </w:r>
                    </w:p>
                    <w:p w:rsidR="00D82DBA" w:rsidRPr="002F760D" w:rsidRDefault="00D82DBA" w:rsidP="003279D1">
                      <w:pPr>
                        <w:jc w:val="right"/>
                        <w:rPr>
                          <w:sz w:val="28"/>
                        </w:rPr>
                      </w:pPr>
                    </w:p>
                  </w:txbxContent>
                </v:textbox>
              </v:shape>
            </w:pict>
          </mc:Fallback>
        </mc:AlternateContent>
      </w:r>
      <w:r w:rsidR="003365A0" w:rsidRPr="00D82DBA">
        <w:rPr>
          <w:rFonts w:eastAsia="HYGothic-Extra"/>
          <w:bCs/>
          <w:noProof/>
          <w:color w:val="1E1E1E"/>
          <w:spacing w:val="-20"/>
          <w:sz w:val="56"/>
          <w:szCs w:val="72"/>
          <w:lang w:eastAsia="en-AU"/>
        </w:rPr>
        <mc:AlternateContent>
          <mc:Choice Requires="wps">
            <w:drawing>
              <wp:anchor distT="0" distB="0" distL="114300" distR="114300" simplePos="0" relativeHeight="251679744" behindDoc="0" locked="0" layoutInCell="1" allowOverlap="1" wp14:anchorId="66E4D5C9" wp14:editId="463433AD">
                <wp:simplePos x="0" y="0"/>
                <wp:positionH relativeFrom="column">
                  <wp:posOffset>2133600</wp:posOffset>
                </wp:positionH>
                <wp:positionV relativeFrom="paragraph">
                  <wp:posOffset>3255645</wp:posOffset>
                </wp:positionV>
                <wp:extent cx="4552950" cy="3219450"/>
                <wp:effectExtent l="0" t="0" r="0" b="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2950" cy="3219450"/>
                        </a:xfrm>
                        <a:prstGeom prst="rect">
                          <a:avLst/>
                        </a:prstGeom>
                        <a:solidFill>
                          <a:srgbClr val="00A9E0">
                            <a:alpha val="85000"/>
                          </a:srgbClr>
                        </a:solidFill>
                        <a:ln w="9525">
                          <a:noFill/>
                          <a:miter lim="800000"/>
                          <a:headEnd/>
                          <a:tailEnd/>
                        </a:ln>
                      </wps:spPr>
                      <wps:txbx>
                        <w:txbxContent>
                          <w:sdt>
                            <w:sdtPr>
                              <w:rPr>
                                <w:rFonts w:ascii="Calibri" w:eastAsia="Dotum" w:hAnsi="Calibri" w:cs="Calibri"/>
                                <w:b w:val="0"/>
                                <w:bCs w:val="0"/>
                                <w:color w:val="auto"/>
                                <w:sz w:val="22"/>
                                <w:szCs w:val="22"/>
                                <w:lang w:val="en-AU" w:eastAsia="en-US"/>
                              </w:rPr>
                              <w:id w:val="126824676"/>
                              <w:docPartObj>
                                <w:docPartGallery w:val="Table of Contents"/>
                                <w:docPartUnique/>
                              </w:docPartObj>
                            </w:sdtPr>
                            <w:sdtEndPr>
                              <w:rPr>
                                <w:rFonts w:ascii="TitilliumText25L" w:hAnsi="TitilliumText25L"/>
                                <w:noProof/>
                                <w:color w:val="FFFFFF" w:themeColor="background1"/>
                                <w:sz w:val="24"/>
                              </w:rPr>
                            </w:sdtEndPr>
                            <w:sdtContent>
                              <w:p w:rsidR="00D82DBA" w:rsidRPr="00C72E1F" w:rsidRDefault="00D82DBA" w:rsidP="00C1280E">
                                <w:pPr>
                                  <w:pStyle w:val="TOCHeading"/>
                                  <w:tabs>
                                    <w:tab w:val="right" w:leader="dot" w:pos="6237"/>
                                  </w:tabs>
                                  <w:rPr>
                                    <w:rFonts w:ascii="TitilliumText25L" w:hAnsi="TitilliumText25L"/>
                                    <w:b w:val="0"/>
                                    <w:noProof/>
                                    <w:color w:val="FFFFFF" w:themeColor="background1"/>
                                    <w:sz w:val="24"/>
                                    <w:szCs w:val="24"/>
                                  </w:rPr>
                                </w:pPr>
                                <w:r w:rsidRPr="00C72E1F">
                                  <w:rPr>
                                    <w:rFonts w:ascii="TitilliumText25L" w:hAnsi="TitilliumText25L"/>
                                    <w:color w:val="FFFFFF" w:themeColor="background1"/>
                                    <w:sz w:val="24"/>
                                    <w:szCs w:val="24"/>
                                  </w:rPr>
                                  <w:fldChar w:fldCharType="begin"/>
                                </w:r>
                                <w:r w:rsidRPr="00C72E1F">
                                  <w:rPr>
                                    <w:rFonts w:ascii="TitilliumText25L" w:hAnsi="TitilliumText25L"/>
                                    <w:color w:val="FFFFFF" w:themeColor="background1"/>
                                    <w:sz w:val="24"/>
                                    <w:szCs w:val="24"/>
                                  </w:rPr>
                                  <w:instrText xml:space="preserve"> TOC \o "1-3" \h \z \u </w:instrText>
                                </w:r>
                                <w:r w:rsidRPr="00C72E1F">
                                  <w:rPr>
                                    <w:rFonts w:ascii="TitilliumText25L" w:hAnsi="TitilliumText25L"/>
                                    <w:color w:val="FFFFFF" w:themeColor="background1"/>
                                    <w:sz w:val="24"/>
                                    <w:szCs w:val="24"/>
                                  </w:rPr>
                                  <w:fldChar w:fldCharType="separate"/>
                                </w:r>
                              </w:p>
                              <w:p w:rsidR="00D82DBA" w:rsidRPr="00C72E1F" w:rsidRDefault="001227DB" w:rsidP="00C1280E">
                                <w:pPr>
                                  <w:pStyle w:val="TOC2"/>
                                  <w:rPr>
                                    <w:noProof/>
                                    <w:color w:val="FFFFFF" w:themeColor="background1"/>
                                    <w:sz w:val="24"/>
                                    <w:szCs w:val="24"/>
                                  </w:rPr>
                                </w:pPr>
                                <w:hyperlink w:anchor="_Toc445976844" w:history="1">
                                  <w:r w:rsidR="00D82DBA" w:rsidRPr="00C72E1F">
                                    <w:rPr>
                                      <w:rStyle w:val="Hyperlink"/>
                                      <w:noProof/>
                                      <w:color w:val="FFFFFF" w:themeColor="background1"/>
                                      <w:sz w:val="24"/>
                                      <w:szCs w:val="24"/>
                                    </w:rPr>
                                    <w:t>Introduction</w:t>
                                  </w:r>
                                  <w:r w:rsidR="00D82DBA" w:rsidRPr="00C72E1F">
                                    <w:rPr>
                                      <w:noProof/>
                                      <w:webHidden/>
                                      <w:color w:val="FFFFFF" w:themeColor="background1"/>
                                      <w:sz w:val="24"/>
                                      <w:szCs w:val="24"/>
                                    </w:rPr>
                                    <w:tab/>
                                  </w:r>
                                  <w:r w:rsidR="00D82DBA" w:rsidRPr="00C72E1F">
                                    <w:rPr>
                                      <w:noProof/>
                                      <w:webHidden/>
                                      <w:color w:val="FFFFFF" w:themeColor="background1"/>
                                      <w:sz w:val="24"/>
                                      <w:szCs w:val="24"/>
                                    </w:rPr>
                                    <w:fldChar w:fldCharType="begin"/>
                                  </w:r>
                                  <w:r w:rsidR="00D82DBA" w:rsidRPr="00C72E1F">
                                    <w:rPr>
                                      <w:noProof/>
                                      <w:webHidden/>
                                      <w:color w:val="FFFFFF" w:themeColor="background1"/>
                                      <w:sz w:val="24"/>
                                      <w:szCs w:val="24"/>
                                    </w:rPr>
                                    <w:instrText xml:space="preserve"> PAGEREF _Toc445976844 \h </w:instrText>
                                  </w:r>
                                  <w:r w:rsidR="00D82DBA" w:rsidRPr="00C72E1F">
                                    <w:rPr>
                                      <w:noProof/>
                                      <w:webHidden/>
                                      <w:color w:val="FFFFFF" w:themeColor="background1"/>
                                      <w:sz w:val="24"/>
                                      <w:szCs w:val="24"/>
                                    </w:rPr>
                                  </w:r>
                                  <w:r w:rsidR="00D82DBA" w:rsidRPr="00C72E1F">
                                    <w:rPr>
                                      <w:noProof/>
                                      <w:webHidden/>
                                      <w:color w:val="FFFFFF" w:themeColor="background1"/>
                                      <w:sz w:val="24"/>
                                      <w:szCs w:val="24"/>
                                    </w:rPr>
                                    <w:fldChar w:fldCharType="separate"/>
                                  </w:r>
                                  <w:r>
                                    <w:rPr>
                                      <w:noProof/>
                                      <w:webHidden/>
                                      <w:color w:val="FFFFFF" w:themeColor="background1"/>
                                      <w:sz w:val="24"/>
                                      <w:szCs w:val="24"/>
                                    </w:rPr>
                                    <w:t>3</w:t>
                                  </w:r>
                                  <w:r w:rsidR="00D82DBA" w:rsidRPr="00C72E1F">
                                    <w:rPr>
                                      <w:noProof/>
                                      <w:webHidden/>
                                      <w:color w:val="FFFFFF" w:themeColor="background1"/>
                                      <w:sz w:val="24"/>
                                      <w:szCs w:val="24"/>
                                    </w:rPr>
                                    <w:fldChar w:fldCharType="end"/>
                                  </w:r>
                                </w:hyperlink>
                              </w:p>
                              <w:p w:rsidR="00D82DBA" w:rsidRPr="00C72E1F" w:rsidRDefault="001227DB" w:rsidP="00C1280E">
                                <w:pPr>
                                  <w:pStyle w:val="TOC2"/>
                                  <w:rPr>
                                    <w:noProof/>
                                    <w:color w:val="FFFFFF" w:themeColor="background1"/>
                                    <w:sz w:val="24"/>
                                    <w:szCs w:val="24"/>
                                  </w:rPr>
                                </w:pPr>
                                <w:hyperlink w:anchor="_Toc445976845" w:history="1">
                                  <w:r w:rsidR="00D82DBA" w:rsidRPr="00C72E1F">
                                    <w:rPr>
                                      <w:rStyle w:val="Hyperlink"/>
                                      <w:noProof/>
                                      <w:color w:val="FFFFFF" w:themeColor="background1"/>
                                      <w:sz w:val="24"/>
                                      <w:szCs w:val="24"/>
                                    </w:rPr>
                                    <w:t>Role of the dispenser</w:t>
                                  </w:r>
                                  <w:r w:rsidR="00D82DBA" w:rsidRPr="00C72E1F">
                                    <w:rPr>
                                      <w:noProof/>
                                      <w:webHidden/>
                                      <w:color w:val="FFFFFF" w:themeColor="background1"/>
                                      <w:sz w:val="24"/>
                                      <w:szCs w:val="24"/>
                                    </w:rPr>
                                    <w:tab/>
                                  </w:r>
                                  <w:r w:rsidR="00D82DBA" w:rsidRPr="00C72E1F">
                                    <w:rPr>
                                      <w:noProof/>
                                      <w:webHidden/>
                                      <w:color w:val="FFFFFF" w:themeColor="background1"/>
                                      <w:sz w:val="24"/>
                                      <w:szCs w:val="24"/>
                                    </w:rPr>
                                    <w:fldChar w:fldCharType="begin"/>
                                  </w:r>
                                  <w:r w:rsidR="00D82DBA" w:rsidRPr="00C72E1F">
                                    <w:rPr>
                                      <w:noProof/>
                                      <w:webHidden/>
                                      <w:color w:val="FFFFFF" w:themeColor="background1"/>
                                      <w:sz w:val="24"/>
                                      <w:szCs w:val="24"/>
                                    </w:rPr>
                                    <w:instrText xml:space="preserve"> PAGEREF _Toc445976845 \h </w:instrText>
                                  </w:r>
                                  <w:r w:rsidR="00D82DBA" w:rsidRPr="00C72E1F">
                                    <w:rPr>
                                      <w:noProof/>
                                      <w:webHidden/>
                                      <w:color w:val="FFFFFF" w:themeColor="background1"/>
                                      <w:sz w:val="24"/>
                                      <w:szCs w:val="24"/>
                                    </w:rPr>
                                  </w:r>
                                  <w:r w:rsidR="00D82DBA" w:rsidRPr="00C72E1F">
                                    <w:rPr>
                                      <w:noProof/>
                                      <w:webHidden/>
                                      <w:color w:val="FFFFFF" w:themeColor="background1"/>
                                      <w:sz w:val="24"/>
                                      <w:szCs w:val="24"/>
                                    </w:rPr>
                                    <w:fldChar w:fldCharType="separate"/>
                                  </w:r>
                                  <w:r>
                                    <w:rPr>
                                      <w:noProof/>
                                      <w:webHidden/>
                                      <w:color w:val="FFFFFF" w:themeColor="background1"/>
                                      <w:sz w:val="24"/>
                                      <w:szCs w:val="24"/>
                                    </w:rPr>
                                    <w:t>3</w:t>
                                  </w:r>
                                  <w:r w:rsidR="00D82DBA" w:rsidRPr="00C72E1F">
                                    <w:rPr>
                                      <w:noProof/>
                                      <w:webHidden/>
                                      <w:color w:val="FFFFFF" w:themeColor="background1"/>
                                      <w:sz w:val="24"/>
                                      <w:szCs w:val="24"/>
                                    </w:rPr>
                                    <w:fldChar w:fldCharType="end"/>
                                  </w:r>
                                </w:hyperlink>
                              </w:p>
                              <w:p w:rsidR="00D82DBA" w:rsidRPr="00C72E1F" w:rsidRDefault="001227DB" w:rsidP="00C1280E">
                                <w:pPr>
                                  <w:pStyle w:val="TOC2"/>
                                  <w:rPr>
                                    <w:noProof/>
                                    <w:color w:val="FFFFFF" w:themeColor="background1"/>
                                    <w:sz w:val="24"/>
                                    <w:szCs w:val="24"/>
                                  </w:rPr>
                                </w:pPr>
                                <w:hyperlink w:anchor="_Toc445976846" w:history="1">
                                  <w:r w:rsidR="00D82DBA" w:rsidRPr="00C72E1F">
                                    <w:rPr>
                                      <w:rStyle w:val="Hyperlink"/>
                                      <w:noProof/>
                                      <w:color w:val="FFFFFF" w:themeColor="background1"/>
                                      <w:sz w:val="24"/>
                                      <w:szCs w:val="24"/>
                                    </w:rPr>
                                    <w:t>Keeping appropriate inventory levels</w:t>
                                  </w:r>
                                  <w:r w:rsidR="00D82DBA" w:rsidRPr="00C72E1F">
                                    <w:rPr>
                                      <w:noProof/>
                                      <w:webHidden/>
                                      <w:color w:val="FFFFFF" w:themeColor="background1"/>
                                      <w:sz w:val="24"/>
                                      <w:szCs w:val="24"/>
                                    </w:rPr>
                                    <w:tab/>
                                  </w:r>
                                  <w:r w:rsidR="00D82DBA" w:rsidRPr="00C72E1F">
                                    <w:rPr>
                                      <w:noProof/>
                                      <w:webHidden/>
                                      <w:color w:val="FFFFFF" w:themeColor="background1"/>
                                      <w:sz w:val="24"/>
                                      <w:szCs w:val="24"/>
                                    </w:rPr>
                                    <w:fldChar w:fldCharType="begin"/>
                                  </w:r>
                                  <w:r w:rsidR="00D82DBA" w:rsidRPr="00C72E1F">
                                    <w:rPr>
                                      <w:noProof/>
                                      <w:webHidden/>
                                      <w:color w:val="FFFFFF" w:themeColor="background1"/>
                                      <w:sz w:val="24"/>
                                      <w:szCs w:val="24"/>
                                    </w:rPr>
                                    <w:instrText xml:space="preserve"> PAGEREF _Toc445976846 \h </w:instrText>
                                  </w:r>
                                  <w:r w:rsidR="00D82DBA" w:rsidRPr="00C72E1F">
                                    <w:rPr>
                                      <w:noProof/>
                                      <w:webHidden/>
                                      <w:color w:val="FFFFFF" w:themeColor="background1"/>
                                      <w:sz w:val="24"/>
                                      <w:szCs w:val="24"/>
                                    </w:rPr>
                                  </w:r>
                                  <w:r w:rsidR="00D82DBA" w:rsidRPr="00C72E1F">
                                    <w:rPr>
                                      <w:noProof/>
                                      <w:webHidden/>
                                      <w:color w:val="FFFFFF" w:themeColor="background1"/>
                                      <w:sz w:val="24"/>
                                      <w:szCs w:val="24"/>
                                    </w:rPr>
                                    <w:fldChar w:fldCharType="separate"/>
                                  </w:r>
                                  <w:r>
                                    <w:rPr>
                                      <w:noProof/>
                                      <w:webHidden/>
                                      <w:color w:val="FFFFFF" w:themeColor="background1"/>
                                      <w:sz w:val="24"/>
                                      <w:szCs w:val="24"/>
                                    </w:rPr>
                                    <w:t>4</w:t>
                                  </w:r>
                                  <w:r w:rsidR="00D82DBA" w:rsidRPr="00C72E1F">
                                    <w:rPr>
                                      <w:noProof/>
                                      <w:webHidden/>
                                      <w:color w:val="FFFFFF" w:themeColor="background1"/>
                                      <w:sz w:val="24"/>
                                      <w:szCs w:val="24"/>
                                    </w:rPr>
                                    <w:fldChar w:fldCharType="end"/>
                                  </w:r>
                                </w:hyperlink>
                              </w:p>
                              <w:p w:rsidR="00D82DBA" w:rsidRPr="00C72E1F" w:rsidRDefault="001227DB" w:rsidP="00C1280E">
                                <w:pPr>
                                  <w:pStyle w:val="TOC2"/>
                                  <w:rPr>
                                    <w:noProof/>
                                    <w:color w:val="FFFFFF" w:themeColor="background1"/>
                                    <w:sz w:val="24"/>
                                    <w:szCs w:val="24"/>
                                  </w:rPr>
                                </w:pPr>
                                <w:hyperlink w:anchor="_Toc445976847" w:history="1">
                                  <w:r w:rsidR="00D82DBA" w:rsidRPr="00C72E1F">
                                    <w:rPr>
                                      <w:rStyle w:val="Hyperlink"/>
                                      <w:noProof/>
                                      <w:color w:val="FFFFFF" w:themeColor="background1"/>
                                      <w:sz w:val="24"/>
                                      <w:szCs w:val="24"/>
                                    </w:rPr>
                                    <w:t>Ordering</w:t>
                                  </w:r>
                                  <w:r w:rsidR="00D82DBA" w:rsidRPr="00C72E1F">
                                    <w:rPr>
                                      <w:noProof/>
                                      <w:webHidden/>
                                      <w:color w:val="FFFFFF" w:themeColor="background1"/>
                                      <w:sz w:val="24"/>
                                      <w:szCs w:val="24"/>
                                    </w:rPr>
                                    <w:tab/>
                                  </w:r>
                                  <w:r w:rsidR="002328AD">
                                    <w:rPr>
                                      <w:noProof/>
                                      <w:webHidden/>
                                      <w:color w:val="FFFFFF" w:themeColor="background1"/>
                                      <w:sz w:val="24"/>
                                      <w:szCs w:val="24"/>
                                    </w:rPr>
                                    <w:t>5</w:t>
                                  </w:r>
                                </w:hyperlink>
                              </w:p>
                              <w:p w:rsidR="00D82DBA" w:rsidRPr="00C72E1F" w:rsidRDefault="001227DB" w:rsidP="00C1280E">
                                <w:pPr>
                                  <w:pStyle w:val="TOC2"/>
                                  <w:rPr>
                                    <w:noProof/>
                                    <w:color w:val="FFFFFF" w:themeColor="background1"/>
                                    <w:sz w:val="24"/>
                                    <w:szCs w:val="24"/>
                                  </w:rPr>
                                </w:pPr>
                                <w:hyperlink w:anchor="_Toc445976848" w:history="1">
                                  <w:r w:rsidR="00D82DBA" w:rsidRPr="00C72E1F">
                                    <w:rPr>
                                      <w:rStyle w:val="Hyperlink"/>
                                      <w:noProof/>
                                      <w:color w:val="FFFFFF" w:themeColor="background1"/>
                                      <w:sz w:val="24"/>
                                      <w:szCs w:val="24"/>
                                    </w:rPr>
                                    <w:t>Dispensing</w:t>
                                  </w:r>
                                  <w:r w:rsidR="00D82DBA" w:rsidRPr="00C72E1F">
                                    <w:rPr>
                                      <w:noProof/>
                                      <w:webHidden/>
                                      <w:color w:val="FFFFFF" w:themeColor="background1"/>
                                      <w:sz w:val="24"/>
                                      <w:szCs w:val="24"/>
                                    </w:rPr>
                                    <w:tab/>
                                  </w:r>
                                  <w:r w:rsidR="00E24118">
                                    <w:rPr>
                                      <w:noProof/>
                                      <w:webHidden/>
                                      <w:color w:val="FFFFFF" w:themeColor="background1"/>
                                      <w:sz w:val="24"/>
                                      <w:szCs w:val="24"/>
                                    </w:rPr>
                                    <w:t>8</w:t>
                                  </w:r>
                                </w:hyperlink>
                              </w:p>
                              <w:p w:rsidR="00D82DBA" w:rsidRPr="00C72E1F" w:rsidRDefault="00A535F3" w:rsidP="00D82DBA">
                                <w:pPr>
                                  <w:pStyle w:val="TOC1"/>
                                  <w:tabs>
                                    <w:tab w:val="clear" w:pos="8647"/>
                                    <w:tab w:val="right" w:leader="dot" w:pos="6237"/>
                                  </w:tabs>
                                  <w:rPr>
                                    <w:noProof/>
                                    <w:color w:val="FFFFFF" w:themeColor="background1"/>
                                    <w:sz w:val="24"/>
                                    <w:szCs w:val="24"/>
                                  </w:rPr>
                                </w:pPr>
                                <w:r>
                                  <w:t xml:space="preserve">     </w:t>
                                </w:r>
                                <w:hyperlink w:anchor="_Toc445976850" w:history="1">
                                  <w:r w:rsidR="00D82DBA" w:rsidRPr="00C72E1F">
                                    <w:rPr>
                                      <w:rStyle w:val="Hyperlink"/>
                                      <w:rFonts w:cs="Arial"/>
                                      <w:noProof/>
                                      <w:color w:val="FFFFFF" w:themeColor="background1"/>
                                      <w:sz w:val="24"/>
                                      <w:szCs w:val="24"/>
                                    </w:rPr>
                                    <w:t>References</w:t>
                                  </w:r>
                                  <w:r w:rsidR="00D82DBA" w:rsidRPr="00C72E1F">
                                    <w:rPr>
                                      <w:noProof/>
                                      <w:webHidden/>
                                      <w:color w:val="FFFFFF" w:themeColor="background1"/>
                                      <w:sz w:val="24"/>
                                      <w:szCs w:val="24"/>
                                    </w:rPr>
                                    <w:tab/>
                                  </w:r>
                                  <w:r w:rsidR="001227DB">
                                    <w:rPr>
                                      <w:noProof/>
                                      <w:webHidden/>
                                      <w:color w:val="FFFFFF" w:themeColor="background1"/>
                                      <w:sz w:val="24"/>
                                      <w:szCs w:val="24"/>
                                    </w:rPr>
                                    <w:t>10</w:t>
                                  </w:r>
                                  <w:bookmarkStart w:id="3" w:name="_GoBack"/>
                                  <w:bookmarkEnd w:id="3"/>
                                </w:hyperlink>
                              </w:p>
                              <w:p w:rsidR="00D82DBA" w:rsidRPr="003279D1" w:rsidRDefault="00D82DBA">
                                <w:pPr>
                                  <w:rPr>
                                    <w:color w:val="FFFFFF" w:themeColor="background1"/>
                                    <w:sz w:val="24"/>
                                  </w:rPr>
                                </w:pPr>
                                <w:r w:rsidRPr="00C72E1F">
                                  <w:rPr>
                                    <w:b/>
                                    <w:bCs/>
                                    <w:noProof/>
                                    <w:color w:val="FFFFFF" w:themeColor="background1"/>
                                    <w:sz w:val="24"/>
                                    <w:szCs w:val="24"/>
                                  </w:rPr>
                                  <w:fldChar w:fldCharType="end"/>
                                </w:r>
                              </w:p>
                            </w:sdtContent>
                          </w:sdt>
                          <w:p w:rsidR="00D82DBA" w:rsidRPr="003279D1" w:rsidRDefault="00D82DBA">
                            <w:pPr>
                              <w:rPr>
                                <w:color w:val="FFFFFF" w:themeColor="background1"/>
                                <w:sz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168pt;margin-top:256.35pt;width:358.5pt;height:253.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59dMgIAAEUEAAAOAAAAZHJzL2Uyb0RvYy54bWysU9tu2zAMfR+wfxD0vtrx4jUx6hRdL8OA&#10;7gK0+wBGlmNhsqhJSuzs60vJSZZtb8NeBFGkDslzyKvrsddsJ51XaGo+u8g5k0Zgo8ym5t+eH94s&#10;OPMBTAMajaz5Xnp+vXr96mqwlSywQ91IxwjE+GqwNe9CsFWWedHJHvwFWmnI2aLrIZDpNlnjYCD0&#10;XmdFnr/LBnSNdSik9/R6Nzn5KuG3rRThS9t6GZiuOdUW0unSuY5ntrqCauPAdkocyoB/qKIHZSjp&#10;CeoOArCtU39B9Uo49NiGC4F9hm2rhEw9UDez/I9unjqwMvVC5Hh7osn/P1jxeffVMdWQdpecGehJ&#10;o2c5BvYeR1ZEegbrK4p6shQXRnqm0NSqt48ovntm8LYDs5E3zuHQSWiovFn8mZ19nXB8BFkPn7Ch&#10;NLANmIDG1vWRO2KDETrJtD9JE0sR9Dgvy2JZkkuQ720xW87JiDmgOn63zocPEnsWLzV3pH2Ch92j&#10;D1PoMSRm86hV86C0TobbrG+1YzuIc5LfLO/z6a+2HUyvizLPjyn9FJ7S/4ajDRtqviyLMn03GBNQ&#10;bqh6FWjQteprviCgCQqqyNe9aVJIAKWnO3WlzYHAyNnEXhjXY5KqPOqyxmZPjDqc5pr2kC4dup+c&#10;DTTTNfc/tuAkZ/qjIVWWs/k8LkEy5uVlQYY796zPPWAEQdU8cDZdb0NanNiNwRtSr1WJ1yjzVMmh&#10;ZJrVRM1hr+IynNsp6tf2r14AAAD//wMAUEsDBBQABgAIAAAAIQC+aMd74gAAAA0BAAAPAAAAZHJz&#10;L2Rvd25yZXYueG1sTI/BTsMwEETvlfoP1iJxa500agohTlVVQkiVOBDg7sbbODRep7HTBr4e5wS3&#10;3Z3R7Jt8O5qWXbF3jSUB8TIChlRZ1VAt4OP9efEAzHlJSraWUMA3OtgW81kuM2Vv9IbX0tcshJDL&#10;pADtfZdx7iqNRrql7ZCCdrK9kT6sfc1VL28h3LR8FUUpN7Kh8EHLDvcaq3M5GAE/+rNUl/Tr5dAN&#10;r5wO5/1FnUoh7u/G3RMwj6P/M8OEH9ChCExHO5ByrBWQJGno4gWs49UG2OSI1kk4HacpftwAL3L+&#10;v0XxCwAA//8DAFBLAQItABQABgAIAAAAIQC2gziS/gAAAOEBAAATAAAAAAAAAAAAAAAAAAAAAABb&#10;Q29udGVudF9UeXBlc10ueG1sUEsBAi0AFAAGAAgAAAAhADj9If/WAAAAlAEAAAsAAAAAAAAAAAAA&#10;AAAALwEAAF9yZWxzLy5yZWxzUEsBAi0AFAAGAAgAAAAhACUDn10yAgAARQQAAA4AAAAAAAAAAAAA&#10;AAAALgIAAGRycy9lMm9Eb2MueG1sUEsBAi0AFAAGAAgAAAAhAL5ox3viAAAADQEAAA8AAAAAAAAA&#10;AAAAAAAAjAQAAGRycy9kb3ducmV2LnhtbFBLBQYAAAAABAAEAPMAAACbBQAAAAA=&#10;" fillcolor="#00a9e0" stroked="f">
                <v:fill opacity="55769f"/>
                <v:textbox>
                  <w:txbxContent>
                    <w:sdt>
                      <w:sdtPr>
                        <w:rPr>
                          <w:rFonts w:ascii="Calibri" w:eastAsia="Dotum" w:hAnsi="Calibri" w:cs="Calibri"/>
                          <w:b w:val="0"/>
                          <w:bCs w:val="0"/>
                          <w:color w:val="auto"/>
                          <w:sz w:val="22"/>
                          <w:szCs w:val="22"/>
                          <w:lang w:val="en-AU" w:eastAsia="en-US"/>
                        </w:rPr>
                        <w:id w:val="126824676"/>
                        <w:docPartObj>
                          <w:docPartGallery w:val="Table of Contents"/>
                          <w:docPartUnique/>
                        </w:docPartObj>
                      </w:sdtPr>
                      <w:sdtEndPr>
                        <w:rPr>
                          <w:rFonts w:ascii="TitilliumText25L" w:hAnsi="TitilliumText25L"/>
                          <w:noProof/>
                          <w:color w:val="FFFFFF" w:themeColor="background1"/>
                          <w:sz w:val="24"/>
                        </w:rPr>
                      </w:sdtEndPr>
                      <w:sdtContent>
                        <w:p w:rsidR="00D82DBA" w:rsidRPr="00C72E1F" w:rsidRDefault="00D82DBA" w:rsidP="00C1280E">
                          <w:pPr>
                            <w:pStyle w:val="TOCHeading"/>
                            <w:tabs>
                              <w:tab w:val="right" w:leader="dot" w:pos="6237"/>
                            </w:tabs>
                            <w:rPr>
                              <w:rFonts w:ascii="TitilliumText25L" w:hAnsi="TitilliumText25L"/>
                              <w:b w:val="0"/>
                              <w:noProof/>
                              <w:color w:val="FFFFFF" w:themeColor="background1"/>
                              <w:sz w:val="24"/>
                              <w:szCs w:val="24"/>
                            </w:rPr>
                          </w:pPr>
                          <w:r w:rsidRPr="00C72E1F">
                            <w:rPr>
                              <w:rFonts w:ascii="TitilliumText25L" w:hAnsi="TitilliumText25L"/>
                              <w:color w:val="FFFFFF" w:themeColor="background1"/>
                              <w:sz w:val="24"/>
                              <w:szCs w:val="24"/>
                            </w:rPr>
                            <w:fldChar w:fldCharType="begin"/>
                          </w:r>
                          <w:r w:rsidRPr="00C72E1F">
                            <w:rPr>
                              <w:rFonts w:ascii="TitilliumText25L" w:hAnsi="TitilliumText25L"/>
                              <w:color w:val="FFFFFF" w:themeColor="background1"/>
                              <w:sz w:val="24"/>
                              <w:szCs w:val="24"/>
                            </w:rPr>
                            <w:instrText xml:space="preserve"> TOC \o "1-3" \h \z \u </w:instrText>
                          </w:r>
                          <w:r w:rsidRPr="00C72E1F">
                            <w:rPr>
                              <w:rFonts w:ascii="TitilliumText25L" w:hAnsi="TitilliumText25L"/>
                              <w:color w:val="FFFFFF" w:themeColor="background1"/>
                              <w:sz w:val="24"/>
                              <w:szCs w:val="24"/>
                            </w:rPr>
                            <w:fldChar w:fldCharType="separate"/>
                          </w:r>
                        </w:p>
                        <w:p w:rsidR="00D82DBA" w:rsidRPr="00C72E1F" w:rsidRDefault="001227DB" w:rsidP="00C1280E">
                          <w:pPr>
                            <w:pStyle w:val="TOC2"/>
                            <w:rPr>
                              <w:noProof/>
                              <w:color w:val="FFFFFF" w:themeColor="background1"/>
                              <w:sz w:val="24"/>
                              <w:szCs w:val="24"/>
                            </w:rPr>
                          </w:pPr>
                          <w:hyperlink w:anchor="_Toc445976844" w:history="1">
                            <w:r w:rsidR="00D82DBA" w:rsidRPr="00C72E1F">
                              <w:rPr>
                                <w:rStyle w:val="Hyperlink"/>
                                <w:noProof/>
                                <w:color w:val="FFFFFF" w:themeColor="background1"/>
                                <w:sz w:val="24"/>
                                <w:szCs w:val="24"/>
                              </w:rPr>
                              <w:t>Introduction</w:t>
                            </w:r>
                            <w:r w:rsidR="00D82DBA" w:rsidRPr="00C72E1F">
                              <w:rPr>
                                <w:noProof/>
                                <w:webHidden/>
                                <w:color w:val="FFFFFF" w:themeColor="background1"/>
                                <w:sz w:val="24"/>
                                <w:szCs w:val="24"/>
                              </w:rPr>
                              <w:tab/>
                            </w:r>
                            <w:r w:rsidR="00D82DBA" w:rsidRPr="00C72E1F">
                              <w:rPr>
                                <w:noProof/>
                                <w:webHidden/>
                                <w:color w:val="FFFFFF" w:themeColor="background1"/>
                                <w:sz w:val="24"/>
                                <w:szCs w:val="24"/>
                              </w:rPr>
                              <w:fldChar w:fldCharType="begin"/>
                            </w:r>
                            <w:r w:rsidR="00D82DBA" w:rsidRPr="00C72E1F">
                              <w:rPr>
                                <w:noProof/>
                                <w:webHidden/>
                                <w:color w:val="FFFFFF" w:themeColor="background1"/>
                                <w:sz w:val="24"/>
                                <w:szCs w:val="24"/>
                              </w:rPr>
                              <w:instrText xml:space="preserve"> PAGEREF _Toc445976844 \h </w:instrText>
                            </w:r>
                            <w:r w:rsidR="00D82DBA" w:rsidRPr="00C72E1F">
                              <w:rPr>
                                <w:noProof/>
                                <w:webHidden/>
                                <w:color w:val="FFFFFF" w:themeColor="background1"/>
                                <w:sz w:val="24"/>
                                <w:szCs w:val="24"/>
                              </w:rPr>
                            </w:r>
                            <w:r w:rsidR="00D82DBA" w:rsidRPr="00C72E1F">
                              <w:rPr>
                                <w:noProof/>
                                <w:webHidden/>
                                <w:color w:val="FFFFFF" w:themeColor="background1"/>
                                <w:sz w:val="24"/>
                                <w:szCs w:val="24"/>
                              </w:rPr>
                              <w:fldChar w:fldCharType="separate"/>
                            </w:r>
                            <w:r>
                              <w:rPr>
                                <w:noProof/>
                                <w:webHidden/>
                                <w:color w:val="FFFFFF" w:themeColor="background1"/>
                                <w:sz w:val="24"/>
                                <w:szCs w:val="24"/>
                              </w:rPr>
                              <w:t>3</w:t>
                            </w:r>
                            <w:r w:rsidR="00D82DBA" w:rsidRPr="00C72E1F">
                              <w:rPr>
                                <w:noProof/>
                                <w:webHidden/>
                                <w:color w:val="FFFFFF" w:themeColor="background1"/>
                                <w:sz w:val="24"/>
                                <w:szCs w:val="24"/>
                              </w:rPr>
                              <w:fldChar w:fldCharType="end"/>
                            </w:r>
                          </w:hyperlink>
                        </w:p>
                        <w:p w:rsidR="00D82DBA" w:rsidRPr="00C72E1F" w:rsidRDefault="001227DB" w:rsidP="00C1280E">
                          <w:pPr>
                            <w:pStyle w:val="TOC2"/>
                            <w:rPr>
                              <w:noProof/>
                              <w:color w:val="FFFFFF" w:themeColor="background1"/>
                              <w:sz w:val="24"/>
                              <w:szCs w:val="24"/>
                            </w:rPr>
                          </w:pPr>
                          <w:hyperlink w:anchor="_Toc445976845" w:history="1">
                            <w:r w:rsidR="00D82DBA" w:rsidRPr="00C72E1F">
                              <w:rPr>
                                <w:rStyle w:val="Hyperlink"/>
                                <w:noProof/>
                                <w:color w:val="FFFFFF" w:themeColor="background1"/>
                                <w:sz w:val="24"/>
                                <w:szCs w:val="24"/>
                              </w:rPr>
                              <w:t>Role of the dispenser</w:t>
                            </w:r>
                            <w:r w:rsidR="00D82DBA" w:rsidRPr="00C72E1F">
                              <w:rPr>
                                <w:noProof/>
                                <w:webHidden/>
                                <w:color w:val="FFFFFF" w:themeColor="background1"/>
                                <w:sz w:val="24"/>
                                <w:szCs w:val="24"/>
                              </w:rPr>
                              <w:tab/>
                            </w:r>
                            <w:r w:rsidR="00D82DBA" w:rsidRPr="00C72E1F">
                              <w:rPr>
                                <w:noProof/>
                                <w:webHidden/>
                                <w:color w:val="FFFFFF" w:themeColor="background1"/>
                                <w:sz w:val="24"/>
                                <w:szCs w:val="24"/>
                              </w:rPr>
                              <w:fldChar w:fldCharType="begin"/>
                            </w:r>
                            <w:r w:rsidR="00D82DBA" w:rsidRPr="00C72E1F">
                              <w:rPr>
                                <w:noProof/>
                                <w:webHidden/>
                                <w:color w:val="FFFFFF" w:themeColor="background1"/>
                                <w:sz w:val="24"/>
                                <w:szCs w:val="24"/>
                              </w:rPr>
                              <w:instrText xml:space="preserve"> PAGEREF _Toc445976845 \h </w:instrText>
                            </w:r>
                            <w:r w:rsidR="00D82DBA" w:rsidRPr="00C72E1F">
                              <w:rPr>
                                <w:noProof/>
                                <w:webHidden/>
                                <w:color w:val="FFFFFF" w:themeColor="background1"/>
                                <w:sz w:val="24"/>
                                <w:szCs w:val="24"/>
                              </w:rPr>
                            </w:r>
                            <w:r w:rsidR="00D82DBA" w:rsidRPr="00C72E1F">
                              <w:rPr>
                                <w:noProof/>
                                <w:webHidden/>
                                <w:color w:val="FFFFFF" w:themeColor="background1"/>
                                <w:sz w:val="24"/>
                                <w:szCs w:val="24"/>
                              </w:rPr>
                              <w:fldChar w:fldCharType="separate"/>
                            </w:r>
                            <w:r>
                              <w:rPr>
                                <w:noProof/>
                                <w:webHidden/>
                                <w:color w:val="FFFFFF" w:themeColor="background1"/>
                                <w:sz w:val="24"/>
                                <w:szCs w:val="24"/>
                              </w:rPr>
                              <w:t>3</w:t>
                            </w:r>
                            <w:r w:rsidR="00D82DBA" w:rsidRPr="00C72E1F">
                              <w:rPr>
                                <w:noProof/>
                                <w:webHidden/>
                                <w:color w:val="FFFFFF" w:themeColor="background1"/>
                                <w:sz w:val="24"/>
                                <w:szCs w:val="24"/>
                              </w:rPr>
                              <w:fldChar w:fldCharType="end"/>
                            </w:r>
                          </w:hyperlink>
                        </w:p>
                        <w:p w:rsidR="00D82DBA" w:rsidRPr="00C72E1F" w:rsidRDefault="001227DB" w:rsidP="00C1280E">
                          <w:pPr>
                            <w:pStyle w:val="TOC2"/>
                            <w:rPr>
                              <w:noProof/>
                              <w:color w:val="FFFFFF" w:themeColor="background1"/>
                              <w:sz w:val="24"/>
                              <w:szCs w:val="24"/>
                            </w:rPr>
                          </w:pPr>
                          <w:hyperlink w:anchor="_Toc445976846" w:history="1">
                            <w:r w:rsidR="00D82DBA" w:rsidRPr="00C72E1F">
                              <w:rPr>
                                <w:rStyle w:val="Hyperlink"/>
                                <w:noProof/>
                                <w:color w:val="FFFFFF" w:themeColor="background1"/>
                                <w:sz w:val="24"/>
                                <w:szCs w:val="24"/>
                              </w:rPr>
                              <w:t>Keeping appropriate inventory levels</w:t>
                            </w:r>
                            <w:r w:rsidR="00D82DBA" w:rsidRPr="00C72E1F">
                              <w:rPr>
                                <w:noProof/>
                                <w:webHidden/>
                                <w:color w:val="FFFFFF" w:themeColor="background1"/>
                                <w:sz w:val="24"/>
                                <w:szCs w:val="24"/>
                              </w:rPr>
                              <w:tab/>
                            </w:r>
                            <w:r w:rsidR="00D82DBA" w:rsidRPr="00C72E1F">
                              <w:rPr>
                                <w:noProof/>
                                <w:webHidden/>
                                <w:color w:val="FFFFFF" w:themeColor="background1"/>
                                <w:sz w:val="24"/>
                                <w:szCs w:val="24"/>
                              </w:rPr>
                              <w:fldChar w:fldCharType="begin"/>
                            </w:r>
                            <w:r w:rsidR="00D82DBA" w:rsidRPr="00C72E1F">
                              <w:rPr>
                                <w:noProof/>
                                <w:webHidden/>
                                <w:color w:val="FFFFFF" w:themeColor="background1"/>
                                <w:sz w:val="24"/>
                                <w:szCs w:val="24"/>
                              </w:rPr>
                              <w:instrText xml:space="preserve"> PAGEREF _Toc445976846 \h </w:instrText>
                            </w:r>
                            <w:r w:rsidR="00D82DBA" w:rsidRPr="00C72E1F">
                              <w:rPr>
                                <w:noProof/>
                                <w:webHidden/>
                                <w:color w:val="FFFFFF" w:themeColor="background1"/>
                                <w:sz w:val="24"/>
                                <w:szCs w:val="24"/>
                              </w:rPr>
                            </w:r>
                            <w:r w:rsidR="00D82DBA" w:rsidRPr="00C72E1F">
                              <w:rPr>
                                <w:noProof/>
                                <w:webHidden/>
                                <w:color w:val="FFFFFF" w:themeColor="background1"/>
                                <w:sz w:val="24"/>
                                <w:szCs w:val="24"/>
                              </w:rPr>
                              <w:fldChar w:fldCharType="separate"/>
                            </w:r>
                            <w:r>
                              <w:rPr>
                                <w:noProof/>
                                <w:webHidden/>
                                <w:color w:val="FFFFFF" w:themeColor="background1"/>
                                <w:sz w:val="24"/>
                                <w:szCs w:val="24"/>
                              </w:rPr>
                              <w:t>4</w:t>
                            </w:r>
                            <w:r w:rsidR="00D82DBA" w:rsidRPr="00C72E1F">
                              <w:rPr>
                                <w:noProof/>
                                <w:webHidden/>
                                <w:color w:val="FFFFFF" w:themeColor="background1"/>
                                <w:sz w:val="24"/>
                                <w:szCs w:val="24"/>
                              </w:rPr>
                              <w:fldChar w:fldCharType="end"/>
                            </w:r>
                          </w:hyperlink>
                        </w:p>
                        <w:p w:rsidR="00D82DBA" w:rsidRPr="00C72E1F" w:rsidRDefault="001227DB" w:rsidP="00C1280E">
                          <w:pPr>
                            <w:pStyle w:val="TOC2"/>
                            <w:rPr>
                              <w:noProof/>
                              <w:color w:val="FFFFFF" w:themeColor="background1"/>
                              <w:sz w:val="24"/>
                              <w:szCs w:val="24"/>
                            </w:rPr>
                          </w:pPr>
                          <w:hyperlink w:anchor="_Toc445976847" w:history="1">
                            <w:r w:rsidR="00D82DBA" w:rsidRPr="00C72E1F">
                              <w:rPr>
                                <w:rStyle w:val="Hyperlink"/>
                                <w:noProof/>
                                <w:color w:val="FFFFFF" w:themeColor="background1"/>
                                <w:sz w:val="24"/>
                                <w:szCs w:val="24"/>
                              </w:rPr>
                              <w:t>Ordering</w:t>
                            </w:r>
                            <w:r w:rsidR="00D82DBA" w:rsidRPr="00C72E1F">
                              <w:rPr>
                                <w:noProof/>
                                <w:webHidden/>
                                <w:color w:val="FFFFFF" w:themeColor="background1"/>
                                <w:sz w:val="24"/>
                                <w:szCs w:val="24"/>
                              </w:rPr>
                              <w:tab/>
                            </w:r>
                            <w:r w:rsidR="002328AD">
                              <w:rPr>
                                <w:noProof/>
                                <w:webHidden/>
                                <w:color w:val="FFFFFF" w:themeColor="background1"/>
                                <w:sz w:val="24"/>
                                <w:szCs w:val="24"/>
                              </w:rPr>
                              <w:t>5</w:t>
                            </w:r>
                          </w:hyperlink>
                        </w:p>
                        <w:p w:rsidR="00D82DBA" w:rsidRPr="00C72E1F" w:rsidRDefault="001227DB" w:rsidP="00C1280E">
                          <w:pPr>
                            <w:pStyle w:val="TOC2"/>
                            <w:rPr>
                              <w:noProof/>
                              <w:color w:val="FFFFFF" w:themeColor="background1"/>
                              <w:sz w:val="24"/>
                              <w:szCs w:val="24"/>
                            </w:rPr>
                          </w:pPr>
                          <w:hyperlink w:anchor="_Toc445976848" w:history="1">
                            <w:r w:rsidR="00D82DBA" w:rsidRPr="00C72E1F">
                              <w:rPr>
                                <w:rStyle w:val="Hyperlink"/>
                                <w:noProof/>
                                <w:color w:val="FFFFFF" w:themeColor="background1"/>
                                <w:sz w:val="24"/>
                                <w:szCs w:val="24"/>
                              </w:rPr>
                              <w:t>Dispensing</w:t>
                            </w:r>
                            <w:r w:rsidR="00D82DBA" w:rsidRPr="00C72E1F">
                              <w:rPr>
                                <w:noProof/>
                                <w:webHidden/>
                                <w:color w:val="FFFFFF" w:themeColor="background1"/>
                                <w:sz w:val="24"/>
                                <w:szCs w:val="24"/>
                              </w:rPr>
                              <w:tab/>
                            </w:r>
                            <w:r w:rsidR="00E24118">
                              <w:rPr>
                                <w:noProof/>
                                <w:webHidden/>
                                <w:color w:val="FFFFFF" w:themeColor="background1"/>
                                <w:sz w:val="24"/>
                                <w:szCs w:val="24"/>
                              </w:rPr>
                              <w:t>8</w:t>
                            </w:r>
                          </w:hyperlink>
                        </w:p>
                        <w:p w:rsidR="00D82DBA" w:rsidRPr="00C72E1F" w:rsidRDefault="00A535F3" w:rsidP="00D82DBA">
                          <w:pPr>
                            <w:pStyle w:val="TOC1"/>
                            <w:tabs>
                              <w:tab w:val="clear" w:pos="8647"/>
                              <w:tab w:val="right" w:leader="dot" w:pos="6237"/>
                            </w:tabs>
                            <w:rPr>
                              <w:noProof/>
                              <w:color w:val="FFFFFF" w:themeColor="background1"/>
                              <w:sz w:val="24"/>
                              <w:szCs w:val="24"/>
                            </w:rPr>
                          </w:pPr>
                          <w:r>
                            <w:t xml:space="preserve">     </w:t>
                          </w:r>
                          <w:hyperlink w:anchor="_Toc445976850" w:history="1">
                            <w:r w:rsidR="00D82DBA" w:rsidRPr="00C72E1F">
                              <w:rPr>
                                <w:rStyle w:val="Hyperlink"/>
                                <w:rFonts w:cs="Arial"/>
                                <w:noProof/>
                                <w:color w:val="FFFFFF" w:themeColor="background1"/>
                                <w:sz w:val="24"/>
                                <w:szCs w:val="24"/>
                              </w:rPr>
                              <w:t>References</w:t>
                            </w:r>
                            <w:r w:rsidR="00D82DBA" w:rsidRPr="00C72E1F">
                              <w:rPr>
                                <w:noProof/>
                                <w:webHidden/>
                                <w:color w:val="FFFFFF" w:themeColor="background1"/>
                                <w:sz w:val="24"/>
                                <w:szCs w:val="24"/>
                              </w:rPr>
                              <w:tab/>
                            </w:r>
                            <w:r w:rsidR="001227DB">
                              <w:rPr>
                                <w:noProof/>
                                <w:webHidden/>
                                <w:color w:val="FFFFFF" w:themeColor="background1"/>
                                <w:sz w:val="24"/>
                                <w:szCs w:val="24"/>
                              </w:rPr>
                              <w:t>10</w:t>
                            </w:r>
                            <w:bookmarkStart w:id="4" w:name="_GoBack"/>
                            <w:bookmarkEnd w:id="4"/>
                          </w:hyperlink>
                        </w:p>
                        <w:p w:rsidR="00D82DBA" w:rsidRPr="003279D1" w:rsidRDefault="00D82DBA">
                          <w:pPr>
                            <w:rPr>
                              <w:color w:val="FFFFFF" w:themeColor="background1"/>
                              <w:sz w:val="24"/>
                            </w:rPr>
                          </w:pPr>
                          <w:r w:rsidRPr="00C72E1F">
                            <w:rPr>
                              <w:b/>
                              <w:bCs/>
                              <w:noProof/>
                              <w:color w:val="FFFFFF" w:themeColor="background1"/>
                              <w:sz w:val="24"/>
                              <w:szCs w:val="24"/>
                            </w:rPr>
                            <w:fldChar w:fldCharType="end"/>
                          </w:r>
                        </w:p>
                      </w:sdtContent>
                    </w:sdt>
                    <w:p w:rsidR="00D82DBA" w:rsidRPr="003279D1" w:rsidRDefault="00D82DBA">
                      <w:pPr>
                        <w:rPr>
                          <w:color w:val="FFFFFF" w:themeColor="background1"/>
                          <w:sz w:val="24"/>
                        </w:rPr>
                      </w:pPr>
                    </w:p>
                  </w:txbxContent>
                </v:textbox>
              </v:shape>
            </w:pict>
          </mc:Fallback>
        </mc:AlternateContent>
      </w:r>
      <w:r w:rsidR="003365A0">
        <w:rPr>
          <w:rFonts w:eastAsia="HYGothic-Extra"/>
          <w:bCs/>
          <w:noProof/>
          <w:color w:val="1E1E1E"/>
          <w:spacing w:val="-20"/>
          <w:sz w:val="56"/>
          <w:szCs w:val="72"/>
          <w:lang w:eastAsia="en-AU"/>
        </w:rPr>
        <w:drawing>
          <wp:anchor distT="0" distB="0" distL="114300" distR="114300" simplePos="0" relativeHeight="251681792" behindDoc="1" locked="0" layoutInCell="1" allowOverlap="1" wp14:anchorId="32E63B1B" wp14:editId="1DEF643D">
            <wp:simplePos x="0" y="0"/>
            <wp:positionH relativeFrom="column">
              <wp:posOffset>-914400</wp:posOffset>
            </wp:positionH>
            <wp:positionV relativeFrom="paragraph">
              <wp:posOffset>-611505</wp:posOffset>
            </wp:positionV>
            <wp:extent cx="7600950" cy="10738485"/>
            <wp:effectExtent l="0" t="0" r="0" b="5715"/>
            <wp:wrapTight wrapText="bothSides">
              <wp:wrapPolygon edited="0">
                <wp:start x="0" y="0"/>
                <wp:lineTo x="0" y="21573"/>
                <wp:lineTo x="21546" y="21573"/>
                <wp:lineTo x="21546"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s_page artwork.png"/>
                    <pic:cNvPicPr/>
                  </pic:nvPicPr>
                  <pic:blipFill>
                    <a:blip r:embed="rId17">
                      <a:extLst>
                        <a:ext uri="{28A0092B-C50C-407E-A947-70E740481C1C}">
                          <a14:useLocalDpi xmlns:a14="http://schemas.microsoft.com/office/drawing/2010/main" val="0"/>
                        </a:ext>
                      </a:extLst>
                    </a:blip>
                    <a:stretch>
                      <a:fillRect/>
                    </a:stretch>
                  </pic:blipFill>
                  <pic:spPr>
                    <a:xfrm>
                      <a:off x="0" y="0"/>
                      <a:ext cx="7600950" cy="10738485"/>
                    </a:xfrm>
                    <a:prstGeom prst="rect">
                      <a:avLst/>
                    </a:prstGeom>
                  </pic:spPr>
                </pic:pic>
              </a:graphicData>
            </a:graphic>
            <wp14:sizeRelH relativeFrom="page">
              <wp14:pctWidth>0</wp14:pctWidth>
            </wp14:sizeRelH>
            <wp14:sizeRelV relativeFrom="page">
              <wp14:pctHeight>0</wp14:pctHeight>
            </wp14:sizeRelV>
          </wp:anchor>
        </w:drawing>
      </w:r>
      <w:r w:rsidR="003106B3">
        <w:rPr>
          <w:rFonts w:eastAsia="HYGothic-Extra"/>
          <w:bCs/>
          <w:color w:val="1E1E1E"/>
          <w:spacing w:val="-20"/>
          <w:sz w:val="56"/>
          <w:szCs w:val="72"/>
        </w:rPr>
        <w:br w:type="page"/>
      </w:r>
    </w:p>
    <w:p w:rsidR="009417FD" w:rsidRPr="007F7B08" w:rsidRDefault="009417FD" w:rsidP="004044E6">
      <w:pPr>
        <w:pStyle w:val="Heading2"/>
      </w:pPr>
      <w:bookmarkStart w:id="5" w:name="_Toc445976844"/>
      <w:r w:rsidRPr="007F7B08">
        <w:lastRenderedPageBreak/>
        <w:t>Introduction</w:t>
      </w:r>
      <w:bookmarkEnd w:id="5"/>
    </w:p>
    <w:p w:rsidR="00A62974" w:rsidRPr="0037712B" w:rsidRDefault="00A62974" w:rsidP="003A6CFE">
      <w:pPr>
        <w:spacing w:before="120" w:after="120"/>
        <w:rPr>
          <w:rFonts w:ascii="TitilliumText22L Lt" w:hAnsi="TitilliumText22L Lt"/>
          <w:sz w:val="24"/>
          <w:szCs w:val="24"/>
        </w:rPr>
      </w:pPr>
      <w:r w:rsidRPr="0037712B">
        <w:rPr>
          <w:rFonts w:ascii="TitilliumText22L Lt" w:hAnsi="TitilliumText22L Lt"/>
          <w:sz w:val="24"/>
          <w:szCs w:val="24"/>
        </w:rPr>
        <w:t xml:space="preserve">Immunoglobulin </w:t>
      </w:r>
      <w:r w:rsidR="009D53F6" w:rsidRPr="0037712B">
        <w:rPr>
          <w:rFonts w:ascii="TitilliumText22L Lt" w:hAnsi="TitilliumText22L Lt"/>
          <w:sz w:val="24"/>
          <w:szCs w:val="24"/>
        </w:rPr>
        <w:t xml:space="preserve">(Ig) </w:t>
      </w:r>
      <w:r w:rsidRPr="0037712B">
        <w:rPr>
          <w:rFonts w:ascii="TitilliumText22L Lt" w:hAnsi="TitilliumText22L Lt"/>
          <w:sz w:val="24"/>
          <w:szCs w:val="24"/>
        </w:rPr>
        <w:t>product is a precious and high cost resource requiring careful management</w:t>
      </w:r>
      <w:r w:rsidR="006E3696" w:rsidRPr="0037712B">
        <w:rPr>
          <w:rFonts w:ascii="TitilliumText22L Lt" w:hAnsi="TitilliumText22L Lt"/>
          <w:sz w:val="24"/>
          <w:szCs w:val="24"/>
        </w:rPr>
        <w:t xml:space="preserve">. </w:t>
      </w:r>
      <w:r w:rsidR="00F103FB" w:rsidRPr="0037712B">
        <w:rPr>
          <w:rFonts w:ascii="TitilliumText22L Lt" w:hAnsi="TitilliumText22L Lt"/>
          <w:sz w:val="24"/>
          <w:szCs w:val="24"/>
          <w:vertAlign w:val="superscript"/>
        </w:rPr>
        <w:t xml:space="preserve"> </w:t>
      </w:r>
      <w:r w:rsidR="00F103FB" w:rsidRPr="0037712B">
        <w:rPr>
          <w:rFonts w:ascii="TitilliumText22L Lt" w:hAnsi="TitilliumText22L Lt"/>
          <w:sz w:val="24"/>
          <w:szCs w:val="24"/>
        </w:rPr>
        <w:t>Ig</w:t>
      </w:r>
      <w:r w:rsidR="00652B93" w:rsidRPr="0037712B">
        <w:rPr>
          <w:rFonts w:ascii="TitilliumText22L Lt" w:hAnsi="TitilliumText22L Lt"/>
          <w:sz w:val="24"/>
          <w:szCs w:val="24"/>
        </w:rPr>
        <w:t xml:space="preserve"> may only be supplied to eligible patients authorised under the </w:t>
      </w:r>
      <w:r w:rsidR="00652B93" w:rsidRPr="0037712B">
        <w:rPr>
          <w:rFonts w:ascii="TitilliumText22L Lt" w:hAnsi="TitilliumText22L Lt"/>
          <w:i/>
          <w:sz w:val="24"/>
          <w:szCs w:val="24"/>
        </w:rPr>
        <w:t>Criteria for the clinical use of immunoglobulin</w:t>
      </w:r>
      <w:r w:rsidR="00A12232" w:rsidRPr="0037712B">
        <w:rPr>
          <w:rFonts w:ascii="TitilliumText22L Lt" w:hAnsi="TitilliumText22L Lt"/>
          <w:i/>
          <w:sz w:val="24"/>
          <w:szCs w:val="24"/>
        </w:rPr>
        <w:t xml:space="preserve"> in Australia</w:t>
      </w:r>
      <w:r w:rsidR="006E3696" w:rsidRPr="0037712B">
        <w:rPr>
          <w:rFonts w:ascii="TitilliumText22L Lt" w:hAnsi="TitilliumText22L Lt"/>
          <w:sz w:val="24"/>
          <w:szCs w:val="24"/>
          <w:vertAlign w:val="superscript"/>
        </w:rPr>
        <w:t>1</w:t>
      </w:r>
      <w:r w:rsidR="00F95755" w:rsidRPr="0037712B">
        <w:rPr>
          <w:rFonts w:ascii="TitilliumText22L Lt" w:hAnsi="TitilliumText22L Lt"/>
          <w:sz w:val="24"/>
          <w:szCs w:val="24"/>
        </w:rPr>
        <w:t xml:space="preserve"> (Criteria)</w:t>
      </w:r>
      <w:r w:rsidR="00652B93" w:rsidRPr="0037712B">
        <w:rPr>
          <w:rFonts w:ascii="TitilliumText22L Lt" w:hAnsi="TitilliumText22L Lt"/>
          <w:sz w:val="24"/>
          <w:szCs w:val="24"/>
        </w:rPr>
        <w:t>.</w:t>
      </w:r>
    </w:p>
    <w:p w:rsidR="00FE1B46" w:rsidRPr="0037712B" w:rsidRDefault="001055C5" w:rsidP="00FE1B46">
      <w:pPr>
        <w:spacing w:before="120" w:after="120"/>
        <w:rPr>
          <w:rFonts w:ascii="TitilliumText22L Lt" w:hAnsi="TitilliumText22L Lt"/>
          <w:sz w:val="24"/>
          <w:szCs w:val="24"/>
        </w:rPr>
      </w:pPr>
      <w:r w:rsidRPr="0037712B">
        <w:rPr>
          <w:rFonts w:ascii="TitilliumText22L Lt" w:hAnsi="TitilliumText22L Lt"/>
          <w:sz w:val="24"/>
          <w:szCs w:val="24"/>
        </w:rPr>
        <w:t xml:space="preserve">The </w:t>
      </w:r>
      <w:r w:rsidR="00F103FB" w:rsidRPr="0037712B">
        <w:rPr>
          <w:rFonts w:ascii="TitilliumText22L Lt" w:hAnsi="TitilliumText22L Lt"/>
          <w:sz w:val="24"/>
          <w:szCs w:val="24"/>
        </w:rPr>
        <w:t xml:space="preserve">purpose </w:t>
      </w:r>
      <w:r w:rsidRPr="0037712B">
        <w:rPr>
          <w:rFonts w:ascii="TitilliumText22L Lt" w:hAnsi="TitilliumText22L Lt"/>
          <w:sz w:val="24"/>
          <w:szCs w:val="24"/>
        </w:rPr>
        <w:t xml:space="preserve">of this </w:t>
      </w:r>
      <w:r w:rsidR="006E4915" w:rsidRPr="0037712B">
        <w:rPr>
          <w:rFonts w:ascii="TitilliumText22L Lt" w:hAnsi="TitilliumText22L Lt"/>
          <w:sz w:val="24"/>
          <w:szCs w:val="24"/>
        </w:rPr>
        <w:t xml:space="preserve">Module </w:t>
      </w:r>
      <w:r w:rsidRPr="0037712B">
        <w:rPr>
          <w:rFonts w:ascii="TitilliumText22L Lt" w:hAnsi="TitilliumText22L Lt"/>
          <w:sz w:val="24"/>
          <w:szCs w:val="24"/>
        </w:rPr>
        <w:t xml:space="preserve">is to </w:t>
      </w:r>
      <w:r w:rsidR="00FE1B46" w:rsidRPr="0037712B">
        <w:rPr>
          <w:rFonts w:ascii="TitilliumText22L Lt" w:hAnsi="TitilliumText22L Lt"/>
          <w:sz w:val="24"/>
          <w:szCs w:val="24"/>
        </w:rPr>
        <w:t>assist health providers in meeting the requireme</w:t>
      </w:r>
      <w:r w:rsidR="00B646DF" w:rsidRPr="0037712B">
        <w:rPr>
          <w:rFonts w:ascii="TitilliumText22L Lt" w:hAnsi="TitilliumText22L Lt"/>
          <w:sz w:val="24"/>
          <w:szCs w:val="24"/>
        </w:rPr>
        <w:t xml:space="preserve">nts of the </w:t>
      </w:r>
      <w:r w:rsidR="00B646DF" w:rsidRPr="0037712B">
        <w:rPr>
          <w:rFonts w:ascii="TitilliumText22L Lt" w:hAnsi="TitilliumText22L Lt"/>
          <w:i/>
          <w:sz w:val="24"/>
          <w:szCs w:val="24"/>
        </w:rPr>
        <w:t xml:space="preserve">Ig </w:t>
      </w:r>
      <w:r w:rsidR="00652B93" w:rsidRPr="0037712B">
        <w:rPr>
          <w:rFonts w:ascii="TitilliumText22L Lt" w:hAnsi="TitilliumText22L Lt"/>
          <w:i/>
          <w:sz w:val="24"/>
          <w:szCs w:val="24"/>
        </w:rPr>
        <w:t>G</w:t>
      </w:r>
      <w:r w:rsidR="00B646DF" w:rsidRPr="0037712B">
        <w:rPr>
          <w:rFonts w:ascii="TitilliumText22L Lt" w:hAnsi="TitilliumText22L Lt"/>
          <w:i/>
          <w:sz w:val="24"/>
          <w:szCs w:val="24"/>
        </w:rPr>
        <w:t xml:space="preserve">overnance </w:t>
      </w:r>
      <w:r w:rsidR="00652B93" w:rsidRPr="0037712B">
        <w:rPr>
          <w:rFonts w:ascii="TitilliumText22L Lt" w:hAnsi="TitilliumText22L Lt"/>
          <w:i/>
          <w:sz w:val="24"/>
          <w:szCs w:val="24"/>
        </w:rPr>
        <w:t>National P</w:t>
      </w:r>
      <w:r w:rsidR="00B646DF" w:rsidRPr="0037712B">
        <w:rPr>
          <w:rFonts w:ascii="TitilliumText22L Lt" w:hAnsi="TitilliumText22L Lt"/>
          <w:i/>
          <w:sz w:val="24"/>
          <w:szCs w:val="24"/>
        </w:rPr>
        <w:t>olicy</w:t>
      </w:r>
      <w:r w:rsidR="00C53FE4" w:rsidRPr="0037712B">
        <w:rPr>
          <w:rFonts w:ascii="TitilliumText22L Lt" w:hAnsi="TitilliumText22L Lt"/>
          <w:sz w:val="24"/>
          <w:szCs w:val="24"/>
          <w:vertAlign w:val="superscript"/>
        </w:rPr>
        <w:t>2</w:t>
      </w:r>
      <w:r w:rsidR="00B646DF" w:rsidRPr="0037712B">
        <w:rPr>
          <w:rFonts w:ascii="TitilliumText22L Lt" w:hAnsi="TitilliumText22L Lt"/>
          <w:sz w:val="24"/>
          <w:szCs w:val="24"/>
        </w:rPr>
        <w:t xml:space="preserve"> </w:t>
      </w:r>
      <w:r w:rsidR="00E24118">
        <w:rPr>
          <w:rFonts w:ascii="TitilliumText22L Lt" w:hAnsi="TitilliumText22L Lt"/>
          <w:sz w:val="24"/>
          <w:szCs w:val="24"/>
        </w:rPr>
        <w:t xml:space="preserve">(National Policy) </w:t>
      </w:r>
      <w:r w:rsidR="00B646DF" w:rsidRPr="0037712B">
        <w:rPr>
          <w:rFonts w:ascii="TitilliumText22L Lt" w:hAnsi="TitilliumText22L Lt"/>
          <w:sz w:val="24"/>
          <w:szCs w:val="24"/>
        </w:rPr>
        <w:t>by:</w:t>
      </w:r>
    </w:p>
    <w:p w:rsidR="00920E4D" w:rsidRPr="0037712B" w:rsidRDefault="00EA28B8" w:rsidP="00920E4D">
      <w:pPr>
        <w:pStyle w:val="ListParagraph"/>
        <w:numPr>
          <w:ilvl w:val="0"/>
          <w:numId w:val="8"/>
        </w:numPr>
        <w:spacing w:before="120" w:after="120"/>
        <w:ind w:left="714" w:hanging="357"/>
        <w:rPr>
          <w:rFonts w:ascii="TitilliumText22L Lt" w:hAnsi="TitilliumText22L Lt"/>
          <w:sz w:val="24"/>
          <w:szCs w:val="24"/>
        </w:rPr>
      </w:pPr>
      <w:r w:rsidRPr="0037712B">
        <w:rPr>
          <w:rFonts w:ascii="TitilliumText22L Lt" w:hAnsi="TitilliumText22L Lt"/>
          <w:sz w:val="24"/>
          <w:szCs w:val="24"/>
        </w:rPr>
        <w:t>d</w:t>
      </w:r>
      <w:r w:rsidR="00920E4D" w:rsidRPr="0037712B">
        <w:rPr>
          <w:rFonts w:ascii="TitilliumText22L Lt" w:hAnsi="TitilliumText22L Lt"/>
          <w:sz w:val="24"/>
          <w:szCs w:val="24"/>
        </w:rPr>
        <w:t>escribing how to establish and manage stock levels</w:t>
      </w:r>
    </w:p>
    <w:p w:rsidR="00920E4D" w:rsidRPr="0037712B" w:rsidRDefault="00EA28B8" w:rsidP="00920E4D">
      <w:pPr>
        <w:pStyle w:val="ListParagraph"/>
        <w:numPr>
          <w:ilvl w:val="0"/>
          <w:numId w:val="8"/>
        </w:numPr>
        <w:spacing w:before="120" w:after="120"/>
        <w:ind w:left="714" w:hanging="357"/>
        <w:rPr>
          <w:rFonts w:ascii="TitilliumText22L Lt" w:hAnsi="TitilliumText22L Lt"/>
          <w:sz w:val="24"/>
          <w:szCs w:val="24"/>
        </w:rPr>
      </w:pPr>
      <w:r w:rsidRPr="0037712B">
        <w:rPr>
          <w:rFonts w:ascii="TitilliumText22L Lt" w:hAnsi="TitilliumText22L Lt"/>
          <w:sz w:val="24"/>
          <w:szCs w:val="24"/>
        </w:rPr>
        <w:t>o</w:t>
      </w:r>
      <w:r w:rsidR="00920E4D" w:rsidRPr="0037712B">
        <w:rPr>
          <w:rFonts w:ascii="TitilliumText22L Lt" w:hAnsi="TitilliumText22L Lt"/>
          <w:sz w:val="24"/>
          <w:szCs w:val="24"/>
        </w:rPr>
        <w:t xml:space="preserve">utlining the </w:t>
      </w:r>
      <w:r w:rsidR="00AB0BAB" w:rsidRPr="0037712B">
        <w:rPr>
          <w:rFonts w:ascii="TitilliumText22L Lt" w:hAnsi="TitilliumText22L Lt"/>
          <w:sz w:val="24"/>
          <w:szCs w:val="24"/>
        </w:rPr>
        <w:t>Ig</w:t>
      </w:r>
      <w:r w:rsidR="00605D57" w:rsidRPr="0037712B">
        <w:rPr>
          <w:rFonts w:ascii="TitilliumText22L Lt" w:hAnsi="TitilliumText22L Lt"/>
          <w:sz w:val="24"/>
          <w:szCs w:val="24"/>
        </w:rPr>
        <w:t xml:space="preserve"> </w:t>
      </w:r>
      <w:r w:rsidR="00920E4D" w:rsidRPr="0037712B">
        <w:rPr>
          <w:rFonts w:ascii="TitilliumText22L Lt" w:hAnsi="TitilliumText22L Lt"/>
          <w:sz w:val="24"/>
          <w:szCs w:val="24"/>
        </w:rPr>
        <w:t>product ordering model</w:t>
      </w:r>
      <w:r w:rsidR="00C53FE4" w:rsidRPr="0037712B">
        <w:rPr>
          <w:rFonts w:ascii="TitilliumText22L Lt" w:hAnsi="TitilliumText22L Lt"/>
          <w:sz w:val="24"/>
          <w:szCs w:val="24"/>
        </w:rPr>
        <w:t>s</w:t>
      </w:r>
    </w:p>
    <w:p w:rsidR="00920E4D" w:rsidRPr="0037712B" w:rsidRDefault="00EA28B8" w:rsidP="00920E4D">
      <w:pPr>
        <w:pStyle w:val="ListParagraph"/>
        <w:numPr>
          <w:ilvl w:val="0"/>
          <w:numId w:val="8"/>
        </w:numPr>
        <w:spacing w:before="120" w:after="120"/>
        <w:ind w:left="714" w:hanging="357"/>
        <w:rPr>
          <w:rFonts w:ascii="TitilliumText22L Lt" w:hAnsi="TitilliumText22L Lt"/>
          <w:sz w:val="24"/>
          <w:szCs w:val="24"/>
        </w:rPr>
      </w:pPr>
      <w:r w:rsidRPr="0037712B">
        <w:rPr>
          <w:rFonts w:ascii="TitilliumText22L Lt" w:hAnsi="TitilliumText22L Lt"/>
          <w:sz w:val="24"/>
          <w:szCs w:val="24"/>
        </w:rPr>
        <w:t>i</w:t>
      </w:r>
      <w:r w:rsidR="00920E4D" w:rsidRPr="0037712B">
        <w:rPr>
          <w:rFonts w:ascii="TitilliumText22L Lt" w:hAnsi="TitilliumText22L Lt"/>
          <w:sz w:val="24"/>
          <w:szCs w:val="24"/>
        </w:rPr>
        <w:t>dentifying different methods to determine ordering requirements/trigger</w:t>
      </w:r>
    </w:p>
    <w:p w:rsidR="00920E4D" w:rsidRPr="0037712B" w:rsidRDefault="00EA28B8" w:rsidP="00920E4D">
      <w:pPr>
        <w:pStyle w:val="ListParagraph"/>
        <w:numPr>
          <w:ilvl w:val="0"/>
          <w:numId w:val="8"/>
        </w:numPr>
        <w:spacing w:before="120" w:after="120"/>
        <w:ind w:left="714" w:hanging="357"/>
        <w:rPr>
          <w:rFonts w:ascii="TitilliumText22L Lt" w:hAnsi="TitilliumText22L Lt"/>
          <w:sz w:val="24"/>
          <w:szCs w:val="24"/>
        </w:rPr>
      </w:pPr>
      <w:r w:rsidRPr="0037712B">
        <w:rPr>
          <w:rFonts w:ascii="TitilliumText22L Lt" w:hAnsi="TitilliumText22L Lt"/>
          <w:sz w:val="24"/>
          <w:szCs w:val="24"/>
        </w:rPr>
        <w:t>p</w:t>
      </w:r>
      <w:r w:rsidR="00920E4D" w:rsidRPr="0037712B">
        <w:rPr>
          <w:rFonts w:ascii="TitilliumText22L Lt" w:hAnsi="TitilliumText22L Lt"/>
          <w:sz w:val="24"/>
          <w:szCs w:val="24"/>
        </w:rPr>
        <w:t xml:space="preserve">roviding recommendations for good practice </w:t>
      </w:r>
    </w:p>
    <w:p w:rsidR="005C1B21" w:rsidRPr="0037712B" w:rsidRDefault="005C1B21" w:rsidP="004044E6">
      <w:pPr>
        <w:spacing w:before="120" w:after="120"/>
        <w:rPr>
          <w:rFonts w:ascii="TitilliumText22L Lt" w:hAnsi="TitilliumText22L Lt"/>
          <w:sz w:val="24"/>
          <w:szCs w:val="24"/>
          <w:vertAlign w:val="superscript"/>
        </w:rPr>
      </w:pPr>
      <w:r w:rsidRPr="0037712B">
        <w:rPr>
          <w:rFonts w:ascii="TitilliumText22L Lt" w:hAnsi="TitilliumText22L Lt"/>
          <w:sz w:val="24"/>
          <w:szCs w:val="24"/>
        </w:rPr>
        <w:t xml:space="preserve">This guidance should be read in conjunction with the basic overarching inventory management principles provided in </w:t>
      </w:r>
      <w:r w:rsidRPr="0037712B">
        <w:rPr>
          <w:rFonts w:ascii="TitilliumText22L Lt" w:hAnsi="TitilliumText22L Lt"/>
          <w:i/>
          <w:sz w:val="24"/>
          <w:szCs w:val="24"/>
        </w:rPr>
        <w:t>Managing Blood and Blood Product Inventory: Guidelines for Australian Health Providers</w:t>
      </w:r>
      <w:r w:rsidRPr="0037712B">
        <w:rPr>
          <w:rFonts w:ascii="TitilliumText22L Lt" w:hAnsi="TitilliumText22L Lt"/>
          <w:sz w:val="24"/>
          <w:szCs w:val="24"/>
        </w:rPr>
        <w:t>.</w:t>
      </w:r>
      <w:r w:rsidRPr="0037712B">
        <w:rPr>
          <w:rFonts w:ascii="TitilliumText22L Lt" w:hAnsi="TitilliumText22L Lt"/>
          <w:sz w:val="24"/>
          <w:szCs w:val="24"/>
          <w:vertAlign w:val="superscript"/>
        </w:rPr>
        <w:t>3</w:t>
      </w:r>
    </w:p>
    <w:p w:rsidR="00942F2E" w:rsidRPr="00942F2E" w:rsidRDefault="00942F2E" w:rsidP="004044E6">
      <w:pPr>
        <w:spacing w:before="120" w:after="120"/>
        <w:rPr>
          <w:sz w:val="24"/>
          <w:szCs w:val="24"/>
        </w:rPr>
      </w:pPr>
      <w:r>
        <w:rPr>
          <w:noProof/>
          <w:lang w:eastAsia="en-AU"/>
        </w:rPr>
        <w:drawing>
          <wp:inline distT="0" distB="0" distL="0" distR="0" wp14:anchorId="55A3768D" wp14:editId="7B07EE0A">
            <wp:extent cx="5476875" cy="3018155"/>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476875" cy="3018155"/>
                    </a:xfrm>
                    <a:prstGeom prst="rect">
                      <a:avLst/>
                    </a:prstGeom>
                  </pic:spPr>
                </pic:pic>
              </a:graphicData>
            </a:graphic>
          </wp:inline>
        </w:drawing>
      </w:r>
    </w:p>
    <w:p w:rsidR="0020498A" w:rsidRPr="007F7B08" w:rsidRDefault="009D1B5C" w:rsidP="004044E6">
      <w:pPr>
        <w:pStyle w:val="Heading2"/>
      </w:pPr>
      <w:bookmarkStart w:id="6" w:name="_Toc445976845"/>
      <w:r>
        <w:t xml:space="preserve">Role of the </w:t>
      </w:r>
      <w:r w:rsidR="00EA28B8">
        <w:t>d</w:t>
      </w:r>
      <w:r w:rsidR="00942F2E">
        <w:t>ispenser</w:t>
      </w:r>
      <w:bookmarkEnd w:id="6"/>
    </w:p>
    <w:p w:rsidR="002F760D" w:rsidRPr="0037712B" w:rsidRDefault="00E24118" w:rsidP="00BC2689">
      <w:pPr>
        <w:rPr>
          <w:rFonts w:ascii="TitilliumText22L Lt" w:hAnsi="TitilliumText22L Lt"/>
          <w:sz w:val="24"/>
          <w:szCs w:val="24"/>
        </w:rPr>
      </w:pPr>
      <w:r>
        <w:rPr>
          <w:rFonts w:ascii="TitilliumText22L Lt" w:hAnsi="TitilliumText22L Lt"/>
          <w:sz w:val="24"/>
          <w:szCs w:val="24"/>
        </w:rPr>
        <w:t>The terms dispenser and dispensing facility are used to describe the area (pathology, pharmacy etc.) that has the primary responsibility for product ordering according to clinical demand, ensuring cold chain integrity, inventory management and dispensing of Ig products to authorised patients only. The activities of the dispenser may be assisted by a coordinating nurse or ward role but the responsibility should be centralised at the dispensing facility.</w:t>
      </w:r>
      <w:r w:rsidR="00922D55" w:rsidRPr="0037712B">
        <w:rPr>
          <w:rFonts w:ascii="TitilliumText22L Lt" w:hAnsi="TitilliumText22L Lt"/>
          <w:sz w:val="24"/>
          <w:szCs w:val="24"/>
        </w:rPr>
        <w:t xml:space="preserve"> </w:t>
      </w:r>
    </w:p>
    <w:p w:rsidR="002F760D" w:rsidRDefault="002F760D">
      <w:pPr>
        <w:spacing w:line="276" w:lineRule="auto"/>
        <w:rPr>
          <w:sz w:val="24"/>
          <w:szCs w:val="24"/>
        </w:rPr>
      </w:pPr>
      <w:r>
        <w:rPr>
          <w:sz w:val="24"/>
          <w:szCs w:val="24"/>
        </w:rPr>
        <w:br w:type="page"/>
      </w:r>
    </w:p>
    <w:p w:rsidR="000055C9" w:rsidRDefault="000055C9" w:rsidP="00BC2689">
      <w:pPr>
        <w:rPr>
          <w:sz w:val="24"/>
          <w:szCs w:val="24"/>
        </w:rPr>
      </w:pPr>
    </w:p>
    <w:p w:rsidR="006015E0" w:rsidRPr="0037712B" w:rsidRDefault="002F760D" w:rsidP="006015E0">
      <w:pPr>
        <w:spacing w:before="120" w:after="120"/>
        <w:rPr>
          <w:rFonts w:ascii="TitilliumText22L Lt" w:hAnsi="TitilliumText22L Lt"/>
          <w:sz w:val="24"/>
          <w:szCs w:val="24"/>
        </w:rPr>
      </w:pPr>
      <w:r w:rsidRPr="0037712B">
        <w:rPr>
          <w:rFonts w:ascii="TitilliumText22L Lt" w:hAnsi="TitilliumText22L Lt"/>
          <w:noProof/>
          <w:lang w:eastAsia="en-AU"/>
        </w:rPr>
        <mc:AlternateContent>
          <mc:Choice Requires="wps">
            <w:drawing>
              <wp:anchor distT="0" distB="0" distL="114300" distR="114300" simplePos="0" relativeHeight="251659264" behindDoc="0" locked="0" layoutInCell="1" allowOverlap="1" wp14:anchorId="3797E3F7" wp14:editId="6599F1FE">
                <wp:simplePos x="0" y="0"/>
                <wp:positionH relativeFrom="column">
                  <wp:posOffset>3692525</wp:posOffset>
                </wp:positionH>
                <wp:positionV relativeFrom="paragraph">
                  <wp:posOffset>19685</wp:posOffset>
                </wp:positionV>
                <wp:extent cx="2374265" cy="1403985"/>
                <wp:effectExtent l="0" t="0" r="10795" b="13335"/>
                <wp:wrapSquare wrapText="bothSides"/>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9D53F6" w:rsidRPr="007F7B08" w:rsidRDefault="009D53F6" w:rsidP="004044E6">
                            <w:pPr>
                              <w:pStyle w:val="Subtitle"/>
                            </w:pPr>
                            <w:r w:rsidRPr="007F7B08">
                              <w:t xml:space="preserve">Why is </w:t>
                            </w:r>
                            <w:r>
                              <w:t>good Ig Inventory Management</w:t>
                            </w:r>
                            <w:r w:rsidRPr="007F7B08">
                              <w:t xml:space="preserve"> important?</w:t>
                            </w:r>
                          </w:p>
                          <w:p w:rsidR="009D53F6" w:rsidRPr="0037712B" w:rsidRDefault="009D53F6" w:rsidP="004044E6">
                            <w:pPr>
                              <w:pStyle w:val="ListParagraph"/>
                              <w:numPr>
                                <w:ilvl w:val="0"/>
                                <w:numId w:val="23"/>
                              </w:numPr>
                              <w:spacing w:before="120" w:after="120"/>
                              <w:ind w:left="426" w:hanging="284"/>
                              <w:rPr>
                                <w:rFonts w:ascii="TitilliumText22L Lt" w:hAnsi="TitilliumText22L Lt"/>
                                <w:szCs w:val="24"/>
                              </w:rPr>
                            </w:pPr>
                            <w:r w:rsidRPr="0037712B">
                              <w:rPr>
                                <w:rFonts w:ascii="TitilliumText22L Lt" w:hAnsi="TitilliumText22L Lt"/>
                                <w:szCs w:val="24"/>
                              </w:rPr>
                              <w:t xml:space="preserve">Promotes safe, high quality management and use of immunoglobulin products </w:t>
                            </w:r>
                          </w:p>
                          <w:p w:rsidR="009D53F6" w:rsidRPr="0037712B" w:rsidRDefault="009D53F6" w:rsidP="001B4568">
                            <w:pPr>
                              <w:pStyle w:val="ListParagraph"/>
                              <w:numPr>
                                <w:ilvl w:val="0"/>
                                <w:numId w:val="23"/>
                              </w:numPr>
                              <w:spacing w:before="120" w:after="120"/>
                              <w:ind w:left="426" w:hanging="284"/>
                              <w:rPr>
                                <w:rFonts w:ascii="TitilliumText22L Lt" w:hAnsi="TitilliumText22L Lt"/>
                                <w:szCs w:val="24"/>
                              </w:rPr>
                            </w:pPr>
                            <w:r w:rsidRPr="0037712B">
                              <w:rPr>
                                <w:rFonts w:ascii="TitilliumText22L Lt" w:hAnsi="TitilliumText22L Lt"/>
                                <w:szCs w:val="24"/>
                              </w:rPr>
                              <w:t xml:space="preserve">Ensures that the right immunoglobulin products are available for your patients at the right time </w:t>
                            </w:r>
                          </w:p>
                          <w:p w:rsidR="00FB2782" w:rsidRPr="0037712B" w:rsidRDefault="00FB2782" w:rsidP="001B4568">
                            <w:pPr>
                              <w:pStyle w:val="ListParagraph"/>
                              <w:numPr>
                                <w:ilvl w:val="0"/>
                                <w:numId w:val="23"/>
                              </w:numPr>
                              <w:spacing w:before="120" w:after="120"/>
                              <w:ind w:left="426" w:hanging="284"/>
                              <w:rPr>
                                <w:rFonts w:ascii="TitilliumText22L Lt" w:hAnsi="TitilliumText22L Lt"/>
                                <w:szCs w:val="24"/>
                              </w:rPr>
                            </w:pPr>
                            <w:r w:rsidRPr="0037712B">
                              <w:rPr>
                                <w:rFonts w:ascii="TitilliumText22L Lt" w:hAnsi="TitilliumText22L Lt"/>
                                <w:szCs w:val="24"/>
                              </w:rPr>
                              <w:t xml:space="preserve">Good inventory management is required as outlined by the  expectations set out in the </w:t>
                            </w:r>
                            <w:hyperlink r:id="rId19" w:history="1">
                              <w:r w:rsidR="00414A33" w:rsidRPr="0037712B">
                                <w:rPr>
                                  <w:rStyle w:val="Hyperlink"/>
                                  <w:rFonts w:ascii="TitilliumText22L Lt" w:hAnsi="TitilliumText22L Lt"/>
                                  <w:szCs w:val="24"/>
                                </w:rPr>
                                <w:t>Australian Health Ministers’ Statement on National Stewardship Expectations on the Supply of Blood and Blood Products (the Stewardship Statement), issued on 12 November 2010</w:t>
                              </w:r>
                            </w:hyperlink>
                            <w:r w:rsidR="00414A33" w:rsidRPr="0037712B">
                              <w:rPr>
                                <w:rStyle w:val="Hyperlink"/>
                                <w:rFonts w:ascii="TitilliumText22L Lt" w:hAnsi="TitilliumText22L Lt"/>
                                <w:szCs w:val="24"/>
                                <w:vertAlign w:val="superscript"/>
                              </w:rPr>
                              <w:t>4</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2" type="#_x0000_t202" style="position:absolute;margin-left:290.75pt;margin-top:1.55pt;width:186.95pt;height:110.55pt;z-index:25165926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329KAIAAE4EAAAOAAAAZHJzL2Uyb0RvYy54bWysVNtu2zAMfR+wfxD0vthx7kacokuXYUB3&#10;Adp9AC3LsTBZ0iQldvb1peQ0zW4vw/wgkCJ1SB6SXt/0rSRHbp3QqqDjUUoJV0xXQu0L+vVx92ZJ&#10;ifOgKpBa8YKeuKM3m9ev1p3JeaYbLStuCYIol3emoI33Jk8SxxreghtpwxUaa21b8KjafVJZ6BC9&#10;lUmWpvOk07YyVjPuHN7eDUa6ifh1zZn/XNeOeyILirn5eNp4luFMNmvI9xZMI9g5DfiHLFoQCoNe&#10;oO7AAzlY8RtUK5jVTtd+xHSb6LoWjMcasJpx+ks1Dw0YHmtBcpy50OT+Hyz7dPxiiagKOkkXlCho&#10;sUmPvPfkre5JFvjpjMvR7cGgo+/xGvsca3XmXrNvjii9bUDt+a21ums4VJjfOLxMrp4OOC6AlN1H&#10;XWEYOHgdgfratoE8pIMgOvbpdOlNSIXhZTZZTLP5jBKGtvE0nayWsxgD8ufnxjr/nuuWBKGgFpsf&#10;4eF473xIB/JnlxDNaSmqnZAyKnZfbqUlR8BB2cXvjP6Tm1SkK+hqls0GBv4KkcbvTxCt8DjxUrQF&#10;XV6cIA+8vVNVnEcPQg4ypizVmcjA3cCi78s+9mweAgSSS12dkFmrhwHHhUSh0fYHJR0Od0Hd9wNY&#10;Ton8oLA7q/F0GrYhKtPZIkPFXlvKawsohlAF9ZQM4tbHDYq8mVvs4k5Efl8yOaeMQxtpPy9Y2Ipr&#10;PXq9/AY2TwAAAP//AwBQSwMEFAAGAAgAAAAhAC8a40PdAAAACQEAAA8AAABkcnMvZG93bnJldi54&#10;bWxMj09Pg0AUxO8mfofNM/FmF1ZoKrI0DdFrk7YmXl/ZJ6D7B9mF4rd3PdnjZCYzvym3i9FsptH3&#10;zkpIVwkwso1TvW0lvJ1eHzbAfECrUDtLEn7Iw7a6vSmxUO5iDzQfQ8tiifUFSuhCGArOfdORQb9y&#10;A9nofbjRYIhybLka8RLLjeYiSdbcYG/jQocD1R01X8fJSJhO9W4+1OLzfd6rbL9+QYP6W8r7u2X3&#10;DCzQEv7D8Icf0aGKTGc3WeWZlpBv0jxGJTymwKL/lOcZsLMEITIBvCr59YPqFwAA//8DAFBLAQIt&#10;ABQABgAIAAAAIQC2gziS/gAAAOEBAAATAAAAAAAAAAAAAAAAAAAAAABbQ29udGVudF9UeXBlc10u&#10;eG1sUEsBAi0AFAAGAAgAAAAhADj9If/WAAAAlAEAAAsAAAAAAAAAAAAAAAAALwEAAF9yZWxzLy5y&#10;ZWxzUEsBAi0AFAAGAAgAAAAhAKwXfb0oAgAATgQAAA4AAAAAAAAAAAAAAAAALgIAAGRycy9lMm9E&#10;b2MueG1sUEsBAi0AFAAGAAgAAAAhAC8a40PdAAAACQEAAA8AAAAAAAAAAAAAAAAAggQAAGRycy9k&#10;b3ducmV2LnhtbFBLBQYAAAAABAAEAPMAAACMBQAAAAA=&#10;">
                <v:textbox style="mso-fit-shape-to-text:t">
                  <w:txbxContent>
                    <w:p w:rsidR="009D53F6" w:rsidRPr="007F7B08" w:rsidRDefault="009D53F6" w:rsidP="004044E6">
                      <w:pPr>
                        <w:pStyle w:val="Subtitle"/>
                      </w:pPr>
                      <w:r w:rsidRPr="007F7B08">
                        <w:t xml:space="preserve">Why is </w:t>
                      </w:r>
                      <w:r>
                        <w:t>good Ig Inventory Management</w:t>
                      </w:r>
                      <w:r w:rsidRPr="007F7B08">
                        <w:t xml:space="preserve"> important?</w:t>
                      </w:r>
                    </w:p>
                    <w:p w:rsidR="009D53F6" w:rsidRPr="0037712B" w:rsidRDefault="009D53F6" w:rsidP="004044E6">
                      <w:pPr>
                        <w:pStyle w:val="ListParagraph"/>
                        <w:numPr>
                          <w:ilvl w:val="0"/>
                          <w:numId w:val="23"/>
                        </w:numPr>
                        <w:spacing w:before="120" w:after="120"/>
                        <w:ind w:left="426" w:hanging="284"/>
                        <w:rPr>
                          <w:rFonts w:ascii="TitilliumText22L Lt" w:hAnsi="TitilliumText22L Lt"/>
                          <w:szCs w:val="24"/>
                        </w:rPr>
                      </w:pPr>
                      <w:r w:rsidRPr="0037712B">
                        <w:rPr>
                          <w:rFonts w:ascii="TitilliumText22L Lt" w:hAnsi="TitilliumText22L Lt"/>
                          <w:szCs w:val="24"/>
                        </w:rPr>
                        <w:t xml:space="preserve">Promotes safe, high quality management and use of immunoglobulin products </w:t>
                      </w:r>
                    </w:p>
                    <w:p w:rsidR="009D53F6" w:rsidRPr="0037712B" w:rsidRDefault="009D53F6" w:rsidP="001B4568">
                      <w:pPr>
                        <w:pStyle w:val="ListParagraph"/>
                        <w:numPr>
                          <w:ilvl w:val="0"/>
                          <w:numId w:val="23"/>
                        </w:numPr>
                        <w:spacing w:before="120" w:after="120"/>
                        <w:ind w:left="426" w:hanging="284"/>
                        <w:rPr>
                          <w:rFonts w:ascii="TitilliumText22L Lt" w:hAnsi="TitilliumText22L Lt"/>
                          <w:szCs w:val="24"/>
                        </w:rPr>
                      </w:pPr>
                      <w:r w:rsidRPr="0037712B">
                        <w:rPr>
                          <w:rFonts w:ascii="TitilliumText22L Lt" w:hAnsi="TitilliumText22L Lt"/>
                          <w:szCs w:val="24"/>
                        </w:rPr>
                        <w:t xml:space="preserve">Ensures that the right immunoglobulin products are available for your patients at the right time </w:t>
                      </w:r>
                    </w:p>
                    <w:p w:rsidR="00FB2782" w:rsidRPr="0037712B" w:rsidRDefault="00FB2782" w:rsidP="001B4568">
                      <w:pPr>
                        <w:pStyle w:val="ListParagraph"/>
                        <w:numPr>
                          <w:ilvl w:val="0"/>
                          <w:numId w:val="23"/>
                        </w:numPr>
                        <w:spacing w:before="120" w:after="120"/>
                        <w:ind w:left="426" w:hanging="284"/>
                        <w:rPr>
                          <w:rFonts w:ascii="TitilliumText22L Lt" w:hAnsi="TitilliumText22L Lt"/>
                          <w:szCs w:val="24"/>
                        </w:rPr>
                      </w:pPr>
                      <w:r w:rsidRPr="0037712B">
                        <w:rPr>
                          <w:rFonts w:ascii="TitilliumText22L Lt" w:hAnsi="TitilliumText22L Lt"/>
                          <w:szCs w:val="24"/>
                        </w:rPr>
                        <w:t xml:space="preserve">Good inventory management is required as outlined by the  expectations set out in the </w:t>
                      </w:r>
                      <w:hyperlink r:id="rId20" w:history="1">
                        <w:r w:rsidR="00414A33" w:rsidRPr="0037712B">
                          <w:rPr>
                            <w:rStyle w:val="Hyperlink"/>
                            <w:rFonts w:ascii="TitilliumText22L Lt" w:hAnsi="TitilliumText22L Lt"/>
                            <w:szCs w:val="24"/>
                          </w:rPr>
                          <w:t>Australian Health Ministers’ Statement on National Stewardship Expectations on the Supply of Blood and Blood Products (the Stewardship Statement), issued on 12 November 2010</w:t>
                        </w:r>
                      </w:hyperlink>
                      <w:r w:rsidR="00414A33" w:rsidRPr="0037712B">
                        <w:rPr>
                          <w:rStyle w:val="Hyperlink"/>
                          <w:rFonts w:ascii="TitilliumText22L Lt" w:hAnsi="TitilliumText22L Lt"/>
                          <w:szCs w:val="24"/>
                          <w:vertAlign w:val="superscript"/>
                        </w:rPr>
                        <w:t>4</w:t>
                      </w:r>
                    </w:p>
                  </w:txbxContent>
                </v:textbox>
                <w10:wrap type="square"/>
              </v:shape>
            </w:pict>
          </mc:Fallback>
        </mc:AlternateContent>
      </w:r>
      <w:r w:rsidR="006015E0" w:rsidRPr="0037712B">
        <w:rPr>
          <w:rFonts w:ascii="TitilliumText22L Lt" w:hAnsi="TitilliumText22L Lt"/>
          <w:sz w:val="24"/>
          <w:szCs w:val="24"/>
        </w:rPr>
        <w:t xml:space="preserve">The </w:t>
      </w:r>
      <w:r w:rsidR="00EA28B8" w:rsidRPr="0037712B">
        <w:rPr>
          <w:rFonts w:ascii="TitilliumText22L Lt" w:hAnsi="TitilliumText22L Lt"/>
          <w:sz w:val="24"/>
          <w:szCs w:val="24"/>
        </w:rPr>
        <w:t>d</w:t>
      </w:r>
      <w:r w:rsidR="00942F2E" w:rsidRPr="0037712B">
        <w:rPr>
          <w:rFonts w:ascii="TitilliumText22L Lt" w:hAnsi="TitilliumText22L Lt"/>
          <w:sz w:val="24"/>
          <w:szCs w:val="24"/>
        </w:rPr>
        <w:t>ispenser</w:t>
      </w:r>
      <w:r w:rsidR="006015E0" w:rsidRPr="0037712B">
        <w:rPr>
          <w:rFonts w:ascii="TitilliumText22L Lt" w:hAnsi="TitilliumText22L Lt"/>
          <w:sz w:val="24"/>
          <w:szCs w:val="24"/>
        </w:rPr>
        <w:t xml:space="preserve"> is responsible for:  </w:t>
      </w:r>
    </w:p>
    <w:p w:rsidR="006015E0" w:rsidRPr="0037712B" w:rsidRDefault="00EA28B8" w:rsidP="006015E0">
      <w:pPr>
        <w:pStyle w:val="ListParagraph"/>
        <w:numPr>
          <w:ilvl w:val="0"/>
          <w:numId w:val="13"/>
        </w:numPr>
        <w:spacing w:before="120" w:after="120"/>
        <w:rPr>
          <w:rFonts w:ascii="TitilliumText22L Lt" w:hAnsi="TitilliumText22L Lt"/>
          <w:sz w:val="24"/>
          <w:szCs w:val="24"/>
        </w:rPr>
      </w:pPr>
      <w:r w:rsidRPr="0037712B">
        <w:rPr>
          <w:rFonts w:ascii="TitilliumText22L Lt" w:hAnsi="TitilliumText22L Lt"/>
          <w:sz w:val="24"/>
          <w:szCs w:val="24"/>
        </w:rPr>
        <w:t>p</w:t>
      </w:r>
      <w:r w:rsidR="006015E0" w:rsidRPr="0037712B">
        <w:rPr>
          <w:rFonts w:ascii="TitilliumText22L Lt" w:hAnsi="TitilliumText22L Lt"/>
          <w:sz w:val="24"/>
          <w:szCs w:val="24"/>
        </w:rPr>
        <w:t xml:space="preserve">roduct ordering  from the </w:t>
      </w:r>
      <w:r w:rsidRPr="0037712B">
        <w:rPr>
          <w:rFonts w:ascii="TitilliumText22L Lt" w:hAnsi="TitilliumText22L Lt"/>
          <w:sz w:val="24"/>
          <w:szCs w:val="24"/>
        </w:rPr>
        <w:t>d</w:t>
      </w:r>
      <w:r w:rsidR="006015E0" w:rsidRPr="0037712B">
        <w:rPr>
          <w:rFonts w:ascii="TitilliumText22L Lt" w:hAnsi="TitilliumText22L Lt"/>
          <w:sz w:val="24"/>
          <w:szCs w:val="24"/>
        </w:rPr>
        <w:t xml:space="preserve">istributor (the Australian Red Cross Blood Service [Blood Service]), in BloodNet </w:t>
      </w:r>
    </w:p>
    <w:p w:rsidR="006015E0" w:rsidRPr="0037712B" w:rsidRDefault="00EA28B8" w:rsidP="006015E0">
      <w:pPr>
        <w:pStyle w:val="ListParagraph"/>
        <w:numPr>
          <w:ilvl w:val="0"/>
          <w:numId w:val="13"/>
        </w:numPr>
        <w:spacing w:before="120" w:after="120"/>
        <w:rPr>
          <w:rFonts w:ascii="TitilliumText22L Lt" w:hAnsi="TitilliumText22L Lt"/>
          <w:sz w:val="24"/>
          <w:szCs w:val="24"/>
        </w:rPr>
      </w:pPr>
      <w:r w:rsidRPr="0037712B">
        <w:rPr>
          <w:rFonts w:ascii="TitilliumText22L Lt" w:hAnsi="TitilliumText22L Lt"/>
          <w:sz w:val="24"/>
          <w:szCs w:val="24"/>
        </w:rPr>
        <w:t>i</w:t>
      </w:r>
      <w:r w:rsidR="006015E0" w:rsidRPr="0037712B">
        <w:rPr>
          <w:rFonts w:ascii="TitilliumText22L Lt" w:hAnsi="TitilliumText22L Lt"/>
          <w:sz w:val="24"/>
          <w:szCs w:val="24"/>
        </w:rPr>
        <w:t xml:space="preserve">nventory management within the </w:t>
      </w:r>
      <w:r w:rsidR="007537BC" w:rsidRPr="0037712B">
        <w:rPr>
          <w:rFonts w:ascii="TitilliumText22L Lt" w:hAnsi="TitilliumText22L Lt"/>
          <w:sz w:val="24"/>
          <w:szCs w:val="24"/>
        </w:rPr>
        <w:t xml:space="preserve">dispensing </w:t>
      </w:r>
      <w:r w:rsidR="006015E0" w:rsidRPr="0037712B">
        <w:rPr>
          <w:rFonts w:ascii="TitilliumText22L Lt" w:hAnsi="TitilliumText22L Lt"/>
          <w:sz w:val="24"/>
          <w:szCs w:val="24"/>
        </w:rPr>
        <w:t xml:space="preserve">facility and; </w:t>
      </w:r>
    </w:p>
    <w:p w:rsidR="006015E0" w:rsidRDefault="00EA28B8" w:rsidP="006015E0">
      <w:pPr>
        <w:pStyle w:val="ListParagraph"/>
        <w:numPr>
          <w:ilvl w:val="0"/>
          <w:numId w:val="13"/>
        </w:numPr>
        <w:spacing w:before="120" w:after="120"/>
        <w:rPr>
          <w:sz w:val="24"/>
          <w:szCs w:val="24"/>
        </w:rPr>
      </w:pPr>
      <w:r w:rsidRPr="0037712B">
        <w:rPr>
          <w:rFonts w:ascii="TitilliumText22L Lt" w:hAnsi="TitilliumText22L Lt"/>
          <w:sz w:val="24"/>
          <w:szCs w:val="24"/>
        </w:rPr>
        <w:t>d</w:t>
      </w:r>
      <w:r w:rsidR="006015E0" w:rsidRPr="0037712B">
        <w:rPr>
          <w:rFonts w:ascii="TitilliumText22L Lt" w:hAnsi="TitilliumText22L Lt"/>
          <w:sz w:val="24"/>
          <w:szCs w:val="24"/>
        </w:rPr>
        <w:t xml:space="preserve">ispensing product </w:t>
      </w:r>
      <w:r w:rsidR="007537BC" w:rsidRPr="0037712B">
        <w:rPr>
          <w:rFonts w:ascii="TitilliumText22L Lt" w:hAnsi="TitilliumText22L Lt"/>
          <w:sz w:val="24"/>
          <w:szCs w:val="24"/>
        </w:rPr>
        <w:t xml:space="preserve">to the treating facility </w:t>
      </w:r>
      <w:r w:rsidR="006015E0" w:rsidRPr="0037712B">
        <w:rPr>
          <w:rFonts w:ascii="TitilliumText22L Lt" w:hAnsi="TitilliumText22L Lt"/>
          <w:sz w:val="24"/>
          <w:szCs w:val="24"/>
        </w:rPr>
        <w:t>for use</w:t>
      </w:r>
      <w:r w:rsidR="006015E0" w:rsidRPr="0037712B">
        <w:rPr>
          <w:rFonts w:ascii="TitilliumText22L Lt" w:hAnsi="TitilliumText22L Lt"/>
        </w:rPr>
        <w:t xml:space="preserve"> </w:t>
      </w:r>
      <w:r w:rsidR="006015E0" w:rsidRPr="0037712B">
        <w:rPr>
          <w:rFonts w:ascii="TitilliumText22L Lt" w:hAnsi="TitilliumText22L Lt"/>
          <w:sz w:val="24"/>
          <w:szCs w:val="24"/>
        </w:rPr>
        <w:t>by authorised patients only, in accordance with the Ig access arrangements.</w:t>
      </w:r>
      <w:r w:rsidR="006015E0" w:rsidRPr="00B623A5">
        <w:rPr>
          <w:sz w:val="24"/>
          <w:szCs w:val="24"/>
        </w:rPr>
        <w:t xml:space="preserve">  </w:t>
      </w:r>
    </w:p>
    <w:p w:rsidR="00920E4D" w:rsidRPr="00E24118" w:rsidRDefault="00F13AB5" w:rsidP="00E24118">
      <w:pPr>
        <w:spacing w:before="120" w:after="120"/>
        <w:ind w:left="360"/>
        <w:rPr>
          <w:b/>
          <w:sz w:val="24"/>
          <w:szCs w:val="24"/>
        </w:rPr>
      </w:pPr>
      <w:r w:rsidRPr="00E24118">
        <w:rPr>
          <w:b/>
          <w:noProof/>
          <w:sz w:val="24"/>
          <w:szCs w:val="24"/>
          <w:lang w:eastAsia="en-AU"/>
        </w:rPr>
        <mc:AlternateContent>
          <mc:Choice Requires="wps">
            <w:drawing>
              <wp:anchor distT="0" distB="0" distL="114300" distR="114300" simplePos="0" relativeHeight="251665408" behindDoc="0" locked="0" layoutInCell="1" allowOverlap="1" wp14:anchorId="614288BA" wp14:editId="60B77C60">
                <wp:simplePos x="0" y="0"/>
                <wp:positionH relativeFrom="column">
                  <wp:posOffset>-247015</wp:posOffset>
                </wp:positionH>
                <wp:positionV relativeFrom="paragraph">
                  <wp:posOffset>5080</wp:posOffset>
                </wp:positionV>
                <wp:extent cx="390525" cy="383540"/>
                <wp:effectExtent l="76200" t="76200" r="104775" b="9271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83540"/>
                        </a:xfrm>
                        <a:prstGeom prst="rect">
                          <a:avLst/>
                        </a:prstGeom>
                        <a:solidFill>
                          <a:srgbClr val="FFFFFF"/>
                        </a:solidFill>
                        <a:ln w="9525">
                          <a:solidFill>
                            <a:srgbClr val="000000"/>
                          </a:solidFill>
                          <a:miter lim="800000"/>
                          <a:headEnd/>
                          <a:tailEnd/>
                        </a:ln>
                        <a:effectLst>
                          <a:glow rad="63500">
                            <a:schemeClr val="accent2">
                              <a:satMod val="175000"/>
                              <a:alpha val="40000"/>
                            </a:schemeClr>
                          </a:glow>
                        </a:effectLst>
                      </wps:spPr>
                      <wps:txbx>
                        <w:txbxContent>
                          <w:p w:rsidR="00F13AB5" w:rsidRPr="00F13AB5" w:rsidRDefault="00F13AB5" w:rsidP="00F13AB5">
                            <w:pPr>
                              <w:jc w:val="center"/>
                              <w:rPr>
                                <w:rFonts w:ascii="Britannic Bold" w:hAnsi="Britannic Bold"/>
                                <w:b/>
                                <w:color w:val="FF0000"/>
                                <w:sz w:val="36"/>
                              </w:rPr>
                            </w:pPr>
                            <w:r w:rsidRPr="00F13AB5">
                              <w:rPr>
                                <w:rFonts w:ascii="Britannic Bold" w:hAnsi="Britannic Bold"/>
                                <w:b/>
                                <w:color w:val="FF0000"/>
                                <w:sz w:val="36"/>
                              </w:rPr>
                              <w:t>!</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19.45pt;margin-top:.4pt;width:30.75pt;height:30.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vSYYgIAANsEAAAOAAAAZHJzL2Uyb0RvYy54bWysVNtu2zAMfR+wfxD0vti5tY0Rp+jSZRjQ&#10;XYB2H8DIcixMFjVJid19fSm5SYNu2MMwPwiiSB0d8pBeXvetZgfpvEJT8vEo50wagZUyu5J/f9i8&#10;u+LMBzAVaDSy5I/S8+vV2zfLzhZygg3qSjpGIMYXnS15E4ItssyLRrbgR2ilIWeNroVApttllYOO&#10;0FudTfL8IuvQVdahkN7T6e3g5KuEX9dShK917WVguuTELaTVpXUb12y1hGLnwDZKPNOAf2DRgjL0&#10;6AnqFgKwvVO/QbVKOPRYh5HANsO6VkKmHCibcf4qm/sGrEy5UHG8PZXJ/z9Y8eXwzTFVlXzKmYGW&#10;JHqQfWDvsWeTWJ3O+oKC7i2FhZ6OSeWUqbd3KH54ZnDdgNnJG+ewayRUxG4cb2ZnVwccH0G23Wes&#10;6BnYB0xAfe3aWDoqBiN0UunxpEykIuhwusjnkzlnglzTq+l8lpTLoDhets6HjxJbFjcldyR8AofD&#10;nQ+RDBTHkPiWR62qjdI6GW63XWvHDkBNsklf4v8qTBvWlXwRefwdIk/fnyBaFajbtWpLfnUKgiJW&#10;7YOpUi8GUHrYE2Vt4ksy9THlEY2dxo45IMEupvM8H6jEaZGnFEAIacJkcEGgcg+pjS/pwnPLg7YN&#10;DMezyOTI9oiUKhbfSpszBknVKOQgaei3fWqfy4gQFd9i9UgyOxxmjf4NtGnQ/eKsozkruf+5Byc5&#10;058MtcpiPCMxWUjGbH45IcOde7bnHjCCoEouguNsMNYhjXOsjcEbaqpaJcFfuDy3Ik3QkNUw7XFE&#10;z+0U9fJPWj0BAAD//wMAUEsDBBQABgAIAAAAIQDjAhig2gAAAAYBAAAPAAAAZHJzL2Rvd25yZXYu&#10;eG1sTI/NTsMwEITvSLyDtZW4tU6DFJWQTRUVcSwSpeK8td0k1H+y3TS8PeYEx9GMZr5ptrPRbFIh&#10;js4irFcFMGWFk6PtEY4fr8sNsJjIStLOKoRvFWHb3t81VEt3s+9qOqSe5RIba0IYUvI151EMylBc&#10;Oa9s9s4uGEpZhp7LQLdcbjQvi6LihkabFwbyajcocTlcDcK+2++KtzCZzn+evzR5IV58RHxYzN0z&#10;sKTm9BeGX/yMDm1mOrmrlZFphOXj5ilHEfKBbJdlBeyEUK1L4G3D/+O3PwAAAP//AwBQSwECLQAU&#10;AAYACAAAACEAtoM4kv4AAADhAQAAEwAAAAAAAAAAAAAAAAAAAAAAW0NvbnRlbnRfVHlwZXNdLnht&#10;bFBLAQItABQABgAIAAAAIQA4/SH/1gAAAJQBAAALAAAAAAAAAAAAAAAAAC8BAABfcmVscy8ucmVs&#10;c1BLAQItABQABgAIAAAAIQBvGvSYYgIAANsEAAAOAAAAAAAAAAAAAAAAAC4CAABkcnMvZTJvRG9j&#10;LnhtbFBLAQItABQABgAIAAAAIQDjAhig2gAAAAYBAAAPAAAAAAAAAAAAAAAAALwEAABkcnMvZG93&#10;bnJldi54bWxQSwUGAAAAAAQABADzAAAAwwUAAAAA&#10;">
                <v:textbox>
                  <w:txbxContent>
                    <w:p w:rsidR="00F13AB5" w:rsidRPr="00F13AB5" w:rsidRDefault="00F13AB5" w:rsidP="00F13AB5">
                      <w:pPr>
                        <w:jc w:val="center"/>
                        <w:rPr>
                          <w:rFonts w:ascii="Britannic Bold" w:hAnsi="Britannic Bold"/>
                          <w:b/>
                          <w:color w:val="FF0000"/>
                          <w:sz w:val="36"/>
                        </w:rPr>
                      </w:pPr>
                      <w:r w:rsidRPr="00F13AB5">
                        <w:rPr>
                          <w:rFonts w:ascii="Britannic Bold" w:hAnsi="Britannic Bold"/>
                          <w:b/>
                          <w:color w:val="FF0000"/>
                          <w:sz w:val="36"/>
                        </w:rPr>
                        <w:t>!</w:t>
                      </w:r>
                    </w:p>
                  </w:txbxContent>
                </v:textbox>
              </v:shape>
            </w:pict>
          </mc:Fallback>
        </mc:AlternateContent>
      </w:r>
      <w:r w:rsidR="006015E0" w:rsidRPr="00E24118">
        <w:rPr>
          <w:b/>
          <w:sz w:val="24"/>
          <w:szCs w:val="24"/>
        </w:rPr>
        <w:t xml:space="preserve">The </w:t>
      </w:r>
      <w:r w:rsidR="00E24118" w:rsidRPr="00E24118">
        <w:rPr>
          <w:b/>
          <w:sz w:val="24"/>
          <w:szCs w:val="24"/>
        </w:rPr>
        <w:t>dispenser is responsible for ensuring every vial of Ig product ordered, held and dispensed goes to a patient with a current authorisation, unless otherwise arranged in accordance with the National Policy.</w:t>
      </w:r>
    </w:p>
    <w:p w:rsidR="006A0F39" w:rsidRPr="0037712B" w:rsidRDefault="006A0F39" w:rsidP="006015E0">
      <w:pPr>
        <w:spacing w:before="120" w:after="120"/>
        <w:rPr>
          <w:rFonts w:ascii="TitilliumText22L Lt" w:hAnsi="TitilliumText22L Lt"/>
          <w:b/>
          <w:sz w:val="24"/>
          <w:szCs w:val="24"/>
        </w:rPr>
      </w:pPr>
    </w:p>
    <w:p w:rsidR="006A0F39" w:rsidRPr="007537BC" w:rsidRDefault="006A0F39" w:rsidP="006015E0">
      <w:pPr>
        <w:spacing w:before="120" w:after="120"/>
        <w:rPr>
          <w:rFonts w:ascii="Arial Rounded MT Bold" w:hAnsi="Arial Rounded MT Bold"/>
          <w:sz w:val="24"/>
          <w:szCs w:val="24"/>
        </w:rPr>
      </w:pPr>
    </w:p>
    <w:p w:rsidR="0020498A" w:rsidRPr="004044E6" w:rsidRDefault="00870B9C" w:rsidP="004044E6">
      <w:pPr>
        <w:pStyle w:val="Heading2"/>
      </w:pPr>
      <w:bookmarkStart w:id="7" w:name="_Toc445976846"/>
      <w:r w:rsidRPr="004044E6">
        <w:t>Keeping appropriate</w:t>
      </w:r>
      <w:r w:rsidR="006C2A19" w:rsidRPr="004044E6">
        <w:t xml:space="preserve"> inventory levels</w:t>
      </w:r>
      <w:bookmarkEnd w:id="7"/>
    </w:p>
    <w:p w:rsidR="00B65C4B" w:rsidRPr="0037712B" w:rsidRDefault="0037712B" w:rsidP="005E269D">
      <w:pPr>
        <w:rPr>
          <w:rFonts w:ascii="TitilliumText22L Lt" w:hAnsi="TitilliumText22L Lt"/>
          <w:sz w:val="24"/>
          <w:szCs w:val="24"/>
        </w:rPr>
      </w:pPr>
      <w:r w:rsidRPr="0037712B">
        <w:rPr>
          <w:rFonts w:ascii="TitilliumText22L Lt" w:hAnsi="TitilliumText22L Lt"/>
          <w:sz w:val="24"/>
          <w:szCs w:val="24"/>
        </w:rPr>
        <w:t>Holding more products relative to your use can often contribute to higher wastage rates. The key to good inventory management is balancing sufficient inventory to meet clinical need while keeping wastage rates, and therefore costs, at a minimum. Stock levels should be set based on what you are going to require over a certain period of time for your authorised patients. You can use your Ig Stock Requirements Forecast Report* in BloodNet to understand the amount of product  you have planned to dispense or requested</w:t>
      </w:r>
      <w:r w:rsidR="00AE23B7">
        <w:rPr>
          <w:rFonts w:ascii="TitilliumText22L Lt" w:hAnsi="TitilliumText22L Lt"/>
          <w:sz w:val="24"/>
          <w:szCs w:val="24"/>
        </w:rPr>
        <w:t>,</w:t>
      </w:r>
      <w:r w:rsidRPr="0037712B">
        <w:rPr>
          <w:rFonts w:ascii="TitilliumText22L Lt" w:hAnsi="TitilliumText22L Lt"/>
          <w:sz w:val="24"/>
          <w:szCs w:val="24"/>
        </w:rPr>
        <w:t xml:space="preserve"> or</w:t>
      </w:r>
      <w:r w:rsidR="00AE23B7">
        <w:rPr>
          <w:rFonts w:ascii="TitilliumText22L Lt" w:hAnsi="TitilliumText22L Lt"/>
          <w:sz w:val="24"/>
          <w:szCs w:val="24"/>
        </w:rPr>
        <w:t xml:space="preserve"> the</w:t>
      </w:r>
      <w:r w:rsidRPr="0037712B">
        <w:rPr>
          <w:rFonts w:ascii="TitilliumText22L Lt" w:hAnsi="TitilliumText22L Lt"/>
          <w:sz w:val="24"/>
          <w:szCs w:val="24"/>
        </w:rPr>
        <w:t xml:space="preserve"> Issues Report (INV002) to review how much product has previously been issued to you over a given period of time, to help you decide how much stock to hold for the period of time that you define. You should also take into account your storage space, supplier delivery schedule and staff rosters for those that process and manage the inventory. Consideration can also be given to holding small quantity of additional stock for contingency use (for any new or existing patients who require urgent product), for example in smaller remote sites where deliveries may be infrequent.</w:t>
      </w:r>
      <w:r w:rsidR="002162A4" w:rsidRPr="0037712B">
        <w:rPr>
          <w:rFonts w:ascii="TitilliumText22L Lt" w:hAnsi="TitilliumText22L Lt"/>
          <w:sz w:val="24"/>
          <w:szCs w:val="24"/>
        </w:rPr>
        <w:t xml:space="preserve"> </w:t>
      </w:r>
    </w:p>
    <w:p w:rsidR="00870B9C" w:rsidRPr="00E24118" w:rsidRDefault="00F13AB5" w:rsidP="00BA0A0E">
      <w:pPr>
        <w:ind w:left="720"/>
        <w:rPr>
          <w:b/>
          <w:sz w:val="24"/>
          <w:szCs w:val="24"/>
        </w:rPr>
      </w:pPr>
      <w:r w:rsidRPr="00E24118">
        <w:rPr>
          <w:b/>
          <w:noProof/>
          <w:sz w:val="24"/>
          <w:szCs w:val="24"/>
          <w:lang w:eastAsia="en-AU"/>
        </w:rPr>
        <mc:AlternateContent>
          <mc:Choice Requires="wps">
            <w:drawing>
              <wp:anchor distT="0" distB="0" distL="114300" distR="114300" simplePos="0" relativeHeight="251667456" behindDoc="0" locked="0" layoutInCell="1" allowOverlap="1" wp14:anchorId="3DB21D40" wp14:editId="7688C384">
                <wp:simplePos x="0" y="0"/>
                <wp:positionH relativeFrom="column">
                  <wp:posOffset>10160</wp:posOffset>
                </wp:positionH>
                <wp:positionV relativeFrom="paragraph">
                  <wp:posOffset>0</wp:posOffset>
                </wp:positionV>
                <wp:extent cx="390525" cy="383540"/>
                <wp:effectExtent l="76200" t="76200" r="104775" b="9271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83540"/>
                        </a:xfrm>
                        <a:prstGeom prst="rect">
                          <a:avLst/>
                        </a:prstGeom>
                        <a:solidFill>
                          <a:srgbClr val="FFFFFF"/>
                        </a:solidFill>
                        <a:ln w="9525">
                          <a:solidFill>
                            <a:srgbClr val="000000"/>
                          </a:solidFill>
                          <a:miter lim="800000"/>
                          <a:headEnd/>
                          <a:tailEnd/>
                        </a:ln>
                        <a:effectLst>
                          <a:glow rad="63500">
                            <a:schemeClr val="accent2">
                              <a:satMod val="175000"/>
                              <a:alpha val="40000"/>
                            </a:schemeClr>
                          </a:glow>
                        </a:effectLst>
                      </wps:spPr>
                      <wps:txbx>
                        <w:txbxContent>
                          <w:p w:rsidR="00F13AB5" w:rsidRPr="00F13AB5" w:rsidRDefault="00F13AB5" w:rsidP="00F13AB5">
                            <w:pPr>
                              <w:jc w:val="center"/>
                              <w:rPr>
                                <w:rFonts w:ascii="Britannic Bold" w:hAnsi="Britannic Bold"/>
                                <w:b/>
                                <w:color w:val="FF0000"/>
                                <w:sz w:val="36"/>
                              </w:rPr>
                            </w:pPr>
                            <w:r w:rsidRPr="00F13AB5">
                              <w:rPr>
                                <w:rFonts w:ascii="Britannic Bold" w:hAnsi="Britannic Bold"/>
                                <w:b/>
                                <w:color w:val="FF0000"/>
                                <w:sz w:val="36"/>
                              </w:rPr>
                              <w:t>!</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8pt;margin-top:0;width:30.75pt;height:30.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sLxYQIAANsEAAAOAAAAZHJzL2Uyb0RvYy54bWysVNtu2zAMfR+wfxD0vtq5talRp+jaZRjQ&#10;XYB2H0DLcixMFjVJid19fSk5SYNu2MMwPwiiSB0d8pC+uh46zXbSeYWm5JOznDNpBNbKbEr+/XH9&#10;bsmZD2Bq0GhkyZ+k59ert2+uelvIKbaoa+kYgRhf9LbkbQi2yDIvWtmBP0MrDTkbdB0EMt0mqx30&#10;hN7pbJrn51mPrrYOhfSeTu9GJ18l/KaRInxtGi8D0yUnbiGtLq1VXLPVFRQbB7ZVYk8D/oFFB8rQ&#10;o0eoOwjAtk79BtUp4dBjE84Edhk2jRIy5UDZTPJX2Ty0YGXKhYrj7bFM/v/Bii+7b46puuQLzgx0&#10;JNGjHAJ7jwObxur01hcU9GApLAx0TCqnTL29R/HDM4O3LZiNvHEO+1ZCTewm8WZ2cnXE8RGk6j9j&#10;Tc/ANmACGhrXxdJRMRihk0pPR2UiFUGHs8t8MSWGglyz5WwxT8plUBwuW+fDR4kdi5uSOxI+gcPu&#10;3odIBopDSHzLo1b1WmmdDLepbrVjO6AmWacv8X8Vpg3rS34ZefwdIk/fnyA6FajbtepKvjwGQRGr&#10;9sHUqRcDKD3uibI28SWZ+pjyiMZGY88ckGDns0Wej1TitMhjCiCENGE6uiBQucfUJhd0Yd/yoG0L&#10;4/E8MjmwPSClisW30uaEQVI1CjlKGoZqSO2zjAhR8QrrJ5LZ4Thr9G+gTYvuF2c9zVnJ/c8tOMmZ&#10;/mSoVS4ncxKThWTMFxdTMtyppzr1gBEEVXIRHGejcRvSOMfaGLyhpmpUEvyFy74VaYLGrMZpjyN6&#10;aqeol3/S6hkAAP//AwBQSwMEFAAGAAgAAAAhABiaQ+zXAAAABAEAAA8AAABkcnMvZG93bnJldi54&#10;bWxMj8FOwzAQRO9I/IO1SNyoXUARCnGqqIhjkSiIs2tvk4C9tmI3DX/PcoLTajSj2TfNZglezDjl&#10;MZKG9UqBQLLRjdRreH97vnkAkYshZ3wk1PCNGTbt5UVjahfP9IrzvvSCSyjXRsNQSqqlzHbAYPIq&#10;JiT2jnEKprCceukmc+by4OWtUpUMZiT+MJiE2wHt1/4UNOy63Va9THPo0sfx05tk7VPKWl9fLd0j&#10;iIJL+QvDLz6jQ8tMh3gil4VnXXFQA+9hs7pbgzjwVfcg20b+h29/AAAA//8DAFBLAQItABQABgAI&#10;AAAAIQC2gziS/gAAAOEBAAATAAAAAAAAAAAAAAAAAAAAAABbQ29udGVudF9UeXBlc10ueG1sUEsB&#10;Ai0AFAAGAAgAAAAhADj9If/WAAAAlAEAAAsAAAAAAAAAAAAAAAAALwEAAF9yZWxzLy5yZWxzUEsB&#10;Ai0AFAAGAAgAAAAhALMuwvFhAgAA2wQAAA4AAAAAAAAAAAAAAAAALgIAAGRycy9lMm9Eb2MueG1s&#10;UEsBAi0AFAAGAAgAAAAhABiaQ+zXAAAABAEAAA8AAAAAAAAAAAAAAAAAuwQAAGRycy9kb3ducmV2&#10;LnhtbFBLBQYAAAAABAAEAPMAAAC/BQAAAAA=&#10;">
                <v:textbox>
                  <w:txbxContent>
                    <w:p w:rsidR="00F13AB5" w:rsidRPr="00F13AB5" w:rsidRDefault="00F13AB5" w:rsidP="00F13AB5">
                      <w:pPr>
                        <w:jc w:val="center"/>
                        <w:rPr>
                          <w:rFonts w:ascii="Britannic Bold" w:hAnsi="Britannic Bold"/>
                          <w:b/>
                          <w:color w:val="FF0000"/>
                          <w:sz w:val="36"/>
                        </w:rPr>
                      </w:pPr>
                      <w:r w:rsidRPr="00F13AB5">
                        <w:rPr>
                          <w:rFonts w:ascii="Britannic Bold" w:hAnsi="Britannic Bold"/>
                          <w:b/>
                          <w:color w:val="FF0000"/>
                          <w:sz w:val="36"/>
                        </w:rPr>
                        <w:t>!</w:t>
                      </w:r>
                    </w:p>
                  </w:txbxContent>
                </v:textbox>
              </v:shape>
            </w:pict>
          </mc:Fallback>
        </mc:AlternateContent>
      </w:r>
      <w:r w:rsidR="00942F2E" w:rsidRPr="00E24118">
        <w:rPr>
          <w:b/>
          <w:sz w:val="24"/>
          <w:szCs w:val="24"/>
        </w:rPr>
        <w:t>Dispenser</w:t>
      </w:r>
      <w:r w:rsidR="00482E7D" w:rsidRPr="00E24118">
        <w:rPr>
          <w:b/>
          <w:sz w:val="24"/>
          <w:szCs w:val="24"/>
        </w:rPr>
        <w:t xml:space="preserve">s </w:t>
      </w:r>
      <w:r w:rsidR="00F103FB" w:rsidRPr="00E24118">
        <w:rPr>
          <w:b/>
          <w:sz w:val="24"/>
          <w:szCs w:val="24"/>
        </w:rPr>
        <w:t xml:space="preserve">should </w:t>
      </w:r>
      <w:r w:rsidR="00482E7D" w:rsidRPr="00E24118">
        <w:rPr>
          <w:b/>
          <w:sz w:val="24"/>
          <w:szCs w:val="24"/>
        </w:rPr>
        <w:t xml:space="preserve">not hold in excess of </w:t>
      </w:r>
      <w:r w:rsidR="006E4915" w:rsidRPr="00E24118">
        <w:rPr>
          <w:b/>
          <w:sz w:val="24"/>
          <w:szCs w:val="24"/>
        </w:rPr>
        <w:t xml:space="preserve">one </w:t>
      </w:r>
      <w:r w:rsidR="00482E7D" w:rsidRPr="00E24118">
        <w:rPr>
          <w:b/>
          <w:sz w:val="24"/>
          <w:szCs w:val="24"/>
        </w:rPr>
        <w:t xml:space="preserve">month supply of IVIg or two months’ supply of SCIg. </w:t>
      </w:r>
    </w:p>
    <w:p w:rsidR="0037712B" w:rsidRPr="0037712B" w:rsidRDefault="0037712B" w:rsidP="0037712B">
      <w:pPr>
        <w:rPr>
          <w:rFonts w:ascii="TitilliumText22L Lt" w:hAnsi="TitilliumText22L Lt"/>
          <w:sz w:val="24"/>
          <w:szCs w:val="24"/>
        </w:rPr>
      </w:pPr>
      <w:r w:rsidRPr="0037712B">
        <w:rPr>
          <w:rFonts w:ascii="TitilliumText22L Lt" w:hAnsi="TitilliumText22L Lt"/>
          <w:sz w:val="24"/>
          <w:szCs w:val="24"/>
        </w:rPr>
        <w:t>As stewards of this expensive and precious resource, dispensers need to regularly review and minimise their inventory holdings to prevent expiry related waste and stock hoarding. If you are a dispenser who only manages authorisations infrequently you should consider not ordering a stock and only ordering on demand.</w:t>
      </w:r>
    </w:p>
    <w:p w:rsidR="0037712B" w:rsidRPr="0037712B" w:rsidRDefault="0037712B" w:rsidP="0037712B">
      <w:pPr>
        <w:rPr>
          <w:rFonts w:ascii="TitilliumText22L Lt" w:hAnsi="TitilliumText22L Lt"/>
          <w:sz w:val="20"/>
          <w:szCs w:val="24"/>
        </w:rPr>
      </w:pPr>
      <w:r w:rsidRPr="0037712B">
        <w:rPr>
          <w:rFonts w:ascii="TitilliumText22L Lt" w:hAnsi="TitilliumText22L Lt"/>
          <w:sz w:val="20"/>
          <w:szCs w:val="24"/>
        </w:rPr>
        <w:t>*Note: As at September 2018, the Ig Stock Requirements Forecast Report is under redevelopment.</w:t>
      </w:r>
    </w:p>
    <w:p w:rsidR="00C777B3" w:rsidRDefault="00AA395B" w:rsidP="00C777B3">
      <w:pPr>
        <w:spacing w:line="276" w:lineRule="auto"/>
        <w:jc w:val="center"/>
        <w:rPr>
          <w:sz w:val="24"/>
          <w:szCs w:val="24"/>
        </w:rPr>
      </w:pPr>
      <w:r>
        <w:rPr>
          <w:noProof/>
          <w:sz w:val="24"/>
          <w:szCs w:val="24"/>
          <w:lang w:eastAsia="en-AU"/>
        </w:rPr>
        <w:lastRenderedPageBreak/>
        <w:drawing>
          <wp:inline distT="0" distB="0" distL="0" distR="0" wp14:anchorId="4E144103" wp14:editId="3F5F091A">
            <wp:extent cx="2828260" cy="1883621"/>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utterstock_345783815.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41167" cy="1892217"/>
                    </a:xfrm>
                    <a:prstGeom prst="rect">
                      <a:avLst/>
                    </a:prstGeom>
                  </pic:spPr>
                </pic:pic>
              </a:graphicData>
            </a:graphic>
          </wp:inline>
        </w:drawing>
      </w:r>
    </w:p>
    <w:p w:rsidR="006C2A19" w:rsidRPr="007F7B08" w:rsidRDefault="006C2A19" w:rsidP="004044E6">
      <w:pPr>
        <w:pStyle w:val="Heading2"/>
      </w:pPr>
      <w:bookmarkStart w:id="8" w:name="_Toc445976847"/>
      <w:r w:rsidRPr="007F7B08">
        <w:t>Ordering</w:t>
      </w:r>
      <w:bookmarkEnd w:id="8"/>
    </w:p>
    <w:p w:rsidR="0037712B" w:rsidRPr="0037712B" w:rsidRDefault="0037712B" w:rsidP="0037712B">
      <w:pPr>
        <w:rPr>
          <w:rFonts w:ascii="TitilliumText22L Lt" w:hAnsi="TitilliumText22L Lt"/>
          <w:b/>
          <w:sz w:val="24"/>
          <w:szCs w:val="24"/>
        </w:rPr>
      </w:pPr>
      <w:r w:rsidRPr="0037712B">
        <w:rPr>
          <w:rFonts w:ascii="TitilliumText22L Lt" w:hAnsi="TitilliumText22L Lt"/>
          <w:sz w:val="24"/>
          <w:szCs w:val="24"/>
        </w:rPr>
        <w:t xml:space="preserve">Product ordering by the dispenser must be done through BloodNet to track and close the information loop for Ig product management and should be </w:t>
      </w:r>
      <w:r w:rsidRPr="00E24118">
        <w:rPr>
          <w:b/>
          <w:sz w:val="24"/>
          <w:szCs w:val="24"/>
        </w:rPr>
        <w:t>based on clinical demand</w:t>
      </w:r>
      <w:r w:rsidRPr="00E24118">
        <w:rPr>
          <w:sz w:val="24"/>
          <w:szCs w:val="24"/>
        </w:rPr>
        <w:t xml:space="preserve"> </w:t>
      </w:r>
      <w:r w:rsidRPr="00E24118">
        <w:rPr>
          <w:b/>
          <w:sz w:val="24"/>
          <w:szCs w:val="24"/>
        </w:rPr>
        <w:t>for authorised patients.</w:t>
      </w:r>
      <w:r w:rsidRPr="0037712B">
        <w:rPr>
          <w:rFonts w:ascii="TitilliumText22L Lt" w:hAnsi="TitilliumText22L Lt"/>
          <w:b/>
          <w:sz w:val="24"/>
          <w:szCs w:val="24"/>
        </w:rPr>
        <w:t xml:space="preserve"> </w:t>
      </w:r>
      <w:r w:rsidRPr="0037712B">
        <w:rPr>
          <w:rFonts w:ascii="TitilliumText22L Lt" w:hAnsi="TitilliumText22L Lt"/>
          <w:sz w:val="24"/>
          <w:szCs w:val="24"/>
        </w:rPr>
        <w:t xml:space="preserve">Orders should be coordinated with information from planned patients or dispense requests for authorised patients. Before placing an order for more Ig product, the dispenser should always consider their current stock on hand and only order enough product to cover authorised clinical demand </w:t>
      </w:r>
      <w:r w:rsidRPr="00E24118">
        <w:rPr>
          <w:b/>
          <w:sz w:val="24"/>
          <w:szCs w:val="24"/>
        </w:rPr>
        <w:t>up until their next order</w:t>
      </w:r>
      <w:r w:rsidRPr="0037712B">
        <w:rPr>
          <w:rFonts w:ascii="TitilliumText22L Lt" w:hAnsi="TitilliumText22L Lt"/>
          <w:b/>
          <w:sz w:val="24"/>
          <w:szCs w:val="24"/>
        </w:rPr>
        <w:t>.</w:t>
      </w:r>
    </w:p>
    <w:p w:rsidR="0037712B" w:rsidRPr="0037712B" w:rsidRDefault="0037712B" w:rsidP="0037712B">
      <w:pPr>
        <w:rPr>
          <w:rFonts w:ascii="TitilliumText22L Lt" w:hAnsi="TitilliumText22L Lt"/>
          <w:sz w:val="24"/>
          <w:szCs w:val="24"/>
        </w:rPr>
      </w:pPr>
      <w:r w:rsidRPr="0037712B">
        <w:rPr>
          <w:rFonts w:ascii="TitilliumText22L Lt" w:hAnsi="TitilliumText22L Lt"/>
          <w:sz w:val="24"/>
          <w:szCs w:val="24"/>
        </w:rPr>
        <w:t xml:space="preserve">Dispensers, Prescribers and Nurses may need to establish protocols to communicate with one another about when product is required, in order to establish ordering patterns to ensure adequate stock to meet clinical demand. </w:t>
      </w:r>
      <w:r w:rsidRPr="0037712B">
        <w:rPr>
          <w:rFonts w:ascii="TitilliumText22L Lt" w:hAnsi="TitilliumText22L Lt"/>
          <w:noProof/>
          <w:lang w:eastAsia="en-AU"/>
        </w:rPr>
        <mc:AlternateContent>
          <mc:Choice Requires="wps">
            <w:drawing>
              <wp:anchor distT="0" distB="0" distL="114300" distR="114300" simplePos="0" relativeHeight="251689984" behindDoc="1" locked="0" layoutInCell="1" allowOverlap="1" wp14:anchorId="6532D4AF" wp14:editId="7151F64B">
                <wp:simplePos x="0" y="0"/>
                <wp:positionH relativeFrom="column">
                  <wp:posOffset>3463925</wp:posOffset>
                </wp:positionH>
                <wp:positionV relativeFrom="paragraph">
                  <wp:posOffset>125730</wp:posOffset>
                </wp:positionV>
                <wp:extent cx="2909570" cy="2777490"/>
                <wp:effectExtent l="0" t="0" r="10795" b="24130"/>
                <wp:wrapTight wrapText="bothSides">
                  <wp:wrapPolygon edited="0">
                    <wp:start x="0" y="0"/>
                    <wp:lineTo x="0" y="21631"/>
                    <wp:lineTo x="21525" y="21631"/>
                    <wp:lineTo x="21525" y="0"/>
                    <wp:lineTo x="0" y="0"/>
                  </wp:wrapPolygon>
                </wp:wrapTight>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3387090"/>
                        </a:xfrm>
                        <a:prstGeom prst="rect">
                          <a:avLst/>
                        </a:prstGeom>
                        <a:solidFill>
                          <a:srgbClr val="FFFFFF"/>
                        </a:solidFill>
                        <a:ln w="9525">
                          <a:solidFill>
                            <a:srgbClr val="000000"/>
                          </a:solidFill>
                          <a:miter lim="800000"/>
                          <a:headEnd/>
                          <a:tailEnd/>
                        </a:ln>
                      </wps:spPr>
                      <wps:txbx>
                        <w:txbxContent>
                          <w:p w:rsidR="0037712B" w:rsidRDefault="0037712B" w:rsidP="0037712B">
                            <w:pPr>
                              <w:pStyle w:val="Subtitle"/>
                            </w:pPr>
                            <w:r>
                              <w:t>Things to consider when ordering</w:t>
                            </w:r>
                          </w:p>
                          <w:p w:rsidR="0037712B" w:rsidRPr="00891D6F" w:rsidRDefault="00891D6F" w:rsidP="00891D6F">
                            <w:pPr>
                              <w:pStyle w:val="ListParagraph"/>
                              <w:numPr>
                                <w:ilvl w:val="0"/>
                                <w:numId w:val="31"/>
                              </w:numPr>
                              <w:spacing w:before="120" w:after="120"/>
                              <w:ind w:left="426" w:hanging="284"/>
                              <w:rPr>
                                <w:szCs w:val="24"/>
                              </w:rPr>
                            </w:pPr>
                            <w:r w:rsidRPr="00891D6F">
                              <w:rPr>
                                <w:rFonts w:ascii="TitilliumText22L Lt" w:hAnsi="TitilliumText22L Lt"/>
                                <w:szCs w:val="24"/>
                              </w:rPr>
                              <w:t>Product authorisation – what is the amount of product required and when is it required (planned or requested dispenses)</w:t>
                            </w:r>
                            <w:r w:rsidR="0037712B" w:rsidRPr="00891D6F">
                              <w:rPr>
                                <w:rFonts w:ascii="TitilliumText22L Lt" w:hAnsi="TitilliumText22L Lt"/>
                                <w:szCs w:val="24"/>
                              </w:rPr>
                              <w:t>)</w:t>
                            </w:r>
                          </w:p>
                          <w:p w:rsidR="0037712B" w:rsidRPr="00891D6F" w:rsidRDefault="0037712B" w:rsidP="0037712B">
                            <w:pPr>
                              <w:pStyle w:val="ListParagraph"/>
                              <w:numPr>
                                <w:ilvl w:val="0"/>
                                <w:numId w:val="31"/>
                              </w:numPr>
                              <w:spacing w:before="120" w:after="120"/>
                              <w:ind w:left="426" w:hanging="284"/>
                              <w:rPr>
                                <w:rFonts w:ascii="TitilliumText22L Lt" w:hAnsi="TitilliumText22L Lt"/>
                                <w:szCs w:val="24"/>
                              </w:rPr>
                            </w:pPr>
                            <w:r w:rsidRPr="00891D6F">
                              <w:rPr>
                                <w:rFonts w:ascii="TitilliumText22L Lt" w:hAnsi="TitilliumText22L Lt"/>
                                <w:szCs w:val="24"/>
                              </w:rPr>
                              <w:t>Ig product usage rates (history)</w:t>
                            </w:r>
                          </w:p>
                          <w:p w:rsidR="0037712B" w:rsidRPr="00891D6F" w:rsidRDefault="0037712B" w:rsidP="0037712B">
                            <w:pPr>
                              <w:pStyle w:val="ListParagraph"/>
                              <w:numPr>
                                <w:ilvl w:val="0"/>
                                <w:numId w:val="31"/>
                              </w:numPr>
                              <w:spacing w:before="120" w:after="120"/>
                              <w:ind w:left="426" w:hanging="284"/>
                              <w:rPr>
                                <w:rFonts w:ascii="TitilliumText22L Lt" w:hAnsi="TitilliumText22L Lt"/>
                                <w:szCs w:val="24"/>
                              </w:rPr>
                            </w:pPr>
                            <w:r w:rsidRPr="00891D6F">
                              <w:rPr>
                                <w:rFonts w:ascii="TitilliumText22L Lt" w:hAnsi="TitilliumText22L Lt"/>
                                <w:szCs w:val="24"/>
                              </w:rPr>
                              <w:t xml:space="preserve">Geographic location (distance from supplier and time to deliver) </w:t>
                            </w:r>
                          </w:p>
                          <w:p w:rsidR="0037712B" w:rsidRPr="00891D6F" w:rsidRDefault="0037712B" w:rsidP="0037712B">
                            <w:pPr>
                              <w:pStyle w:val="ListParagraph"/>
                              <w:numPr>
                                <w:ilvl w:val="0"/>
                                <w:numId w:val="31"/>
                              </w:numPr>
                              <w:spacing w:before="120" w:after="120"/>
                              <w:ind w:left="426" w:hanging="284"/>
                              <w:rPr>
                                <w:rFonts w:ascii="TitilliumText22L Lt" w:hAnsi="TitilliumText22L Lt"/>
                                <w:szCs w:val="24"/>
                              </w:rPr>
                            </w:pPr>
                            <w:r w:rsidRPr="00891D6F">
                              <w:rPr>
                                <w:rFonts w:ascii="TitilliumText22L Lt" w:hAnsi="TitilliumText22L Lt"/>
                                <w:szCs w:val="24"/>
                              </w:rPr>
                              <w:t xml:space="preserve">Frequency of deliveries </w:t>
                            </w:r>
                          </w:p>
                          <w:p w:rsidR="0037712B" w:rsidRPr="00891D6F" w:rsidRDefault="0037712B" w:rsidP="0037712B">
                            <w:pPr>
                              <w:pStyle w:val="ListParagraph"/>
                              <w:numPr>
                                <w:ilvl w:val="0"/>
                                <w:numId w:val="31"/>
                              </w:numPr>
                              <w:spacing w:before="120" w:after="120"/>
                              <w:ind w:left="426" w:hanging="284"/>
                              <w:rPr>
                                <w:rFonts w:ascii="TitilliumText22L Lt" w:hAnsi="TitilliumText22L Lt"/>
                                <w:szCs w:val="24"/>
                              </w:rPr>
                            </w:pPr>
                            <w:r w:rsidRPr="00891D6F">
                              <w:rPr>
                                <w:rFonts w:ascii="TitilliumText22L Lt" w:hAnsi="TitilliumText22L Lt"/>
                                <w:szCs w:val="24"/>
                              </w:rPr>
                              <w:t>On-site storage arrangements</w:t>
                            </w:r>
                          </w:p>
                          <w:p w:rsidR="0037712B" w:rsidRPr="00891D6F" w:rsidRDefault="0037712B" w:rsidP="0037712B">
                            <w:pPr>
                              <w:pStyle w:val="ListParagraph"/>
                              <w:numPr>
                                <w:ilvl w:val="0"/>
                                <w:numId w:val="31"/>
                              </w:numPr>
                              <w:spacing w:before="120" w:after="120"/>
                              <w:ind w:left="426" w:hanging="284"/>
                              <w:rPr>
                                <w:rFonts w:ascii="TitilliumText22L Lt" w:hAnsi="TitilliumText22L Lt"/>
                                <w:szCs w:val="24"/>
                              </w:rPr>
                            </w:pPr>
                            <w:r w:rsidRPr="00891D6F">
                              <w:rPr>
                                <w:rFonts w:ascii="TitilliumText22L Lt" w:hAnsi="TitilliumText22L Lt"/>
                                <w:szCs w:val="24"/>
                              </w:rPr>
                              <w:t>Supply to other health providers  (e.g. hub and spoke arrangements)</w:t>
                            </w:r>
                          </w:p>
                          <w:p w:rsidR="0037712B" w:rsidRPr="00891D6F" w:rsidRDefault="0037712B" w:rsidP="0037712B">
                            <w:pPr>
                              <w:pStyle w:val="ListParagraph"/>
                              <w:numPr>
                                <w:ilvl w:val="0"/>
                                <w:numId w:val="31"/>
                              </w:numPr>
                              <w:spacing w:before="120" w:after="120"/>
                              <w:ind w:left="426" w:hanging="284"/>
                              <w:rPr>
                                <w:rFonts w:ascii="TitilliumText22L Lt" w:hAnsi="TitilliumText22L Lt"/>
                                <w:szCs w:val="24"/>
                              </w:rPr>
                            </w:pPr>
                            <w:r w:rsidRPr="00891D6F">
                              <w:rPr>
                                <w:rFonts w:ascii="TitilliumText22L Lt" w:hAnsi="TitilliumText22L Lt"/>
                                <w:szCs w:val="24"/>
                              </w:rPr>
                              <w:t>Local protocols on how dispense requests are triggered</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Text Box 13" o:spid="_x0000_s1035" type="#_x0000_t202" style="position:absolute;margin-left:272.75pt;margin-top:9.9pt;width:229.1pt;height:218.7pt;z-index:-251626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AroJQIAAE4EAAAOAAAAZHJzL2Uyb0RvYy54bWysVNuO0zAQfUfiHyy/06Q32kZNV0uXIqTl&#10;Iu3yARPHaSx8w3abLF+/Y6ct1QIviDxYtmd8fOaccdY3vZLkyJ0XRpd0PMop4ZqZWuh9Sb897t4s&#10;KfEBdA3SaF7SJ+7pzeb1q3VnCz4xrZE1dwRBtC86W9I2BFtkmWctV+BHxnKNwcY4BQGXbp/VDjpE&#10;VzKb5PnbrDOuts4w7j3u3g1Bukn4TcNZ+NI0ngciS4rcQhpdGqs4Zps1FHsHthXsRAP+gYUCofHS&#10;C9QdBCAHJ36DUoI5400TRsyozDSNYDzVgNWM8xfVPLRgeaoFxfH2IpP/f7Ds8/GrI6JG76aUaFDo&#10;0SPvA3lneoJbqE9nfYFpDxYTQ4/7mJtq9fbesO+eaLNtQe/5rXOmaznUyG8cT2ZXRwccH0Gq7pOp&#10;8R44BJOA+sapKB7KQRAdfXq6eBO5MNycTBeL2QxDDGPT6XKRr5J7GRTn49b58IEbReKkpA7NT/Bw&#10;vPch0oHinBJv80aKeiekTAu3r7bSkSNgo+zSlyp4kSY16Uq6mk/mgwJ/hcjT9ycIJQJ2vBSqpMtL&#10;EhRRt/e6Tv0YQMhhjpSlPgkZtRtUDH3VJ89WZ38qUz+hss4MDY4PEietcT8p6bC5S+p/HMBxSuRH&#10;je6sxknKkBaz+WKCurrrSHUdAc0QqqSBkmG6DekFJd3sLbq4E0nfaPfA5EQZmzbJfnpg8VVcr1PW&#10;r9/A5hkAAP//AwBQSwMEFAAGAAgAAAAhAJJrB3HeAAAACwEAAA8AAABkcnMvZG93bnJldi54bWxM&#10;j8tOwzAQRfdI/IM1SOyoTUj6CHGqKoJtpbZIbKexSQL2OMROGv4edwXL0T26c26xna1hkx5850jC&#10;40IA01Q71VEj4e30+rAG5gOSQuNIS/jRHrbl7U2BuXIXOujpGBoWS8jnKKENoc8593WrLfqF6zXF&#10;7MMNFkM8h4arAS+x3BqeCLHkFjuKH1rsddXq+us4WgnjqdpNhyr5fJ/2Kt0vX9Ci+Zby/m7ePQML&#10;eg5/MFz1ozqU0ensRlKeGQlZmmURjcEmTrgCQjytgJ0lpNkqAV4W/P+G8hcAAP//AwBQSwECLQAU&#10;AAYACAAAACEAtoM4kv4AAADhAQAAEwAAAAAAAAAAAAAAAAAAAAAAW0NvbnRlbnRfVHlwZXNdLnht&#10;bFBLAQItABQABgAIAAAAIQA4/SH/1gAAAJQBAAALAAAAAAAAAAAAAAAAAC8BAABfcmVscy8ucmVs&#10;c1BLAQItABQABgAIAAAAIQDlPAroJQIAAE4EAAAOAAAAAAAAAAAAAAAAAC4CAABkcnMvZTJvRG9j&#10;LnhtbFBLAQItABQABgAIAAAAIQCSawdx3gAAAAsBAAAPAAAAAAAAAAAAAAAAAH8EAABkcnMvZG93&#10;bnJldi54bWxQSwUGAAAAAAQABADzAAAAigUAAAAA&#10;">
                <v:textbox style="mso-fit-shape-to-text:t">
                  <w:txbxContent>
                    <w:p w:rsidR="0037712B" w:rsidRDefault="0037712B" w:rsidP="0037712B">
                      <w:pPr>
                        <w:pStyle w:val="Subtitle"/>
                      </w:pPr>
                      <w:r>
                        <w:t>Things to consider when ordering</w:t>
                      </w:r>
                    </w:p>
                    <w:p w:rsidR="0037712B" w:rsidRPr="00891D6F" w:rsidRDefault="00891D6F" w:rsidP="00891D6F">
                      <w:pPr>
                        <w:pStyle w:val="ListParagraph"/>
                        <w:numPr>
                          <w:ilvl w:val="0"/>
                          <w:numId w:val="31"/>
                        </w:numPr>
                        <w:spacing w:before="120" w:after="120"/>
                        <w:ind w:left="426" w:hanging="284"/>
                        <w:rPr>
                          <w:szCs w:val="24"/>
                        </w:rPr>
                      </w:pPr>
                      <w:r w:rsidRPr="00891D6F">
                        <w:rPr>
                          <w:rFonts w:ascii="TitilliumText22L Lt" w:hAnsi="TitilliumText22L Lt"/>
                          <w:szCs w:val="24"/>
                        </w:rPr>
                        <w:t>Product authorisation – what is the amount of product required and when is it required (planned or requested dispenses)</w:t>
                      </w:r>
                      <w:r w:rsidR="0037712B" w:rsidRPr="00891D6F">
                        <w:rPr>
                          <w:rFonts w:ascii="TitilliumText22L Lt" w:hAnsi="TitilliumText22L Lt"/>
                          <w:szCs w:val="24"/>
                        </w:rPr>
                        <w:t>)</w:t>
                      </w:r>
                    </w:p>
                    <w:p w:rsidR="0037712B" w:rsidRPr="00891D6F" w:rsidRDefault="0037712B" w:rsidP="0037712B">
                      <w:pPr>
                        <w:pStyle w:val="ListParagraph"/>
                        <w:numPr>
                          <w:ilvl w:val="0"/>
                          <w:numId w:val="31"/>
                        </w:numPr>
                        <w:spacing w:before="120" w:after="120"/>
                        <w:ind w:left="426" w:hanging="284"/>
                        <w:rPr>
                          <w:rFonts w:ascii="TitilliumText22L Lt" w:hAnsi="TitilliumText22L Lt"/>
                          <w:szCs w:val="24"/>
                        </w:rPr>
                      </w:pPr>
                      <w:r w:rsidRPr="00891D6F">
                        <w:rPr>
                          <w:rFonts w:ascii="TitilliumText22L Lt" w:hAnsi="TitilliumText22L Lt"/>
                          <w:szCs w:val="24"/>
                        </w:rPr>
                        <w:t>Ig product usage rates (history)</w:t>
                      </w:r>
                    </w:p>
                    <w:p w:rsidR="0037712B" w:rsidRPr="00891D6F" w:rsidRDefault="0037712B" w:rsidP="0037712B">
                      <w:pPr>
                        <w:pStyle w:val="ListParagraph"/>
                        <w:numPr>
                          <w:ilvl w:val="0"/>
                          <w:numId w:val="31"/>
                        </w:numPr>
                        <w:spacing w:before="120" w:after="120"/>
                        <w:ind w:left="426" w:hanging="284"/>
                        <w:rPr>
                          <w:rFonts w:ascii="TitilliumText22L Lt" w:hAnsi="TitilliumText22L Lt"/>
                          <w:szCs w:val="24"/>
                        </w:rPr>
                      </w:pPr>
                      <w:r w:rsidRPr="00891D6F">
                        <w:rPr>
                          <w:rFonts w:ascii="TitilliumText22L Lt" w:hAnsi="TitilliumText22L Lt"/>
                          <w:szCs w:val="24"/>
                        </w:rPr>
                        <w:t xml:space="preserve">Geographic location (distance from supplier and time to deliver) </w:t>
                      </w:r>
                    </w:p>
                    <w:p w:rsidR="0037712B" w:rsidRPr="00891D6F" w:rsidRDefault="0037712B" w:rsidP="0037712B">
                      <w:pPr>
                        <w:pStyle w:val="ListParagraph"/>
                        <w:numPr>
                          <w:ilvl w:val="0"/>
                          <w:numId w:val="31"/>
                        </w:numPr>
                        <w:spacing w:before="120" w:after="120"/>
                        <w:ind w:left="426" w:hanging="284"/>
                        <w:rPr>
                          <w:rFonts w:ascii="TitilliumText22L Lt" w:hAnsi="TitilliumText22L Lt"/>
                          <w:szCs w:val="24"/>
                        </w:rPr>
                      </w:pPr>
                      <w:r w:rsidRPr="00891D6F">
                        <w:rPr>
                          <w:rFonts w:ascii="TitilliumText22L Lt" w:hAnsi="TitilliumText22L Lt"/>
                          <w:szCs w:val="24"/>
                        </w:rPr>
                        <w:t xml:space="preserve">Frequency of deliveries </w:t>
                      </w:r>
                    </w:p>
                    <w:p w:rsidR="0037712B" w:rsidRPr="00891D6F" w:rsidRDefault="0037712B" w:rsidP="0037712B">
                      <w:pPr>
                        <w:pStyle w:val="ListParagraph"/>
                        <w:numPr>
                          <w:ilvl w:val="0"/>
                          <w:numId w:val="31"/>
                        </w:numPr>
                        <w:spacing w:before="120" w:after="120"/>
                        <w:ind w:left="426" w:hanging="284"/>
                        <w:rPr>
                          <w:rFonts w:ascii="TitilliumText22L Lt" w:hAnsi="TitilliumText22L Lt"/>
                          <w:szCs w:val="24"/>
                        </w:rPr>
                      </w:pPr>
                      <w:r w:rsidRPr="00891D6F">
                        <w:rPr>
                          <w:rFonts w:ascii="TitilliumText22L Lt" w:hAnsi="TitilliumText22L Lt"/>
                          <w:szCs w:val="24"/>
                        </w:rPr>
                        <w:t>On-site storage arrangements</w:t>
                      </w:r>
                    </w:p>
                    <w:p w:rsidR="0037712B" w:rsidRPr="00891D6F" w:rsidRDefault="0037712B" w:rsidP="0037712B">
                      <w:pPr>
                        <w:pStyle w:val="ListParagraph"/>
                        <w:numPr>
                          <w:ilvl w:val="0"/>
                          <w:numId w:val="31"/>
                        </w:numPr>
                        <w:spacing w:before="120" w:after="120"/>
                        <w:ind w:left="426" w:hanging="284"/>
                        <w:rPr>
                          <w:rFonts w:ascii="TitilliumText22L Lt" w:hAnsi="TitilliumText22L Lt"/>
                          <w:szCs w:val="24"/>
                        </w:rPr>
                      </w:pPr>
                      <w:r w:rsidRPr="00891D6F">
                        <w:rPr>
                          <w:rFonts w:ascii="TitilliumText22L Lt" w:hAnsi="TitilliumText22L Lt"/>
                          <w:szCs w:val="24"/>
                        </w:rPr>
                        <w:t>Supply to other health providers  (e.g. hub and spoke arrangements)</w:t>
                      </w:r>
                    </w:p>
                    <w:p w:rsidR="0037712B" w:rsidRPr="00891D6F" w:rsidRDefault="0037712B" w:rsidP="0037712B">
                      <w:pPr>
                        <w:pStyle w:val="ListParagraph"/>
                        <w:numPr>
                          <w:ilvl w:val="0"/>
                          <w:numId w:val="31"/>
                        </w:numPr>
                        <w:spacing w:before="120" w:after="120"/>
                        <w:ind w:left="426" w:hanging="284"/>
                        <w:rPr>
                          <w:rFonts w:ascii="TitilliumText22L Lt" w:hAnsi="TitilliumText22L Lt"/>
                          <w:szCs w:val="24"/>
                        </w:rPr>
                      </w:pPr>
                      <w:r w:rsidRPr="00891D6F">
                        <w:rPr>
                          <w:rFonts w:ascii="TitilliumText22L Lt" w:hAnsi="TitilliumText22L Lt"/>
                          <w:szCs w:val="24"/>
                        </w:rPr>
                        <w:t>Local protocols on how dispense requests are triggered</w:t>
                      </w:r>
                    </w:p>
                  </w:txbxContent>
                </v:textbox>
                <w10:wrap type="tight"/>
              </v:shape>
            </w:pict>
          </mc:Fallback>
        </mc:AlternateContent>
      </w:r>
    </w:p>
    <w:p w:rsidR="0037712B" w:rsidRPr="0037712B" w:rsidRDefault="0037712B" w:rsidP="0037712B">
      <w:pPr>
        <w:rPr>
          <w:rFonts w:ascii="TitilliumText22L Lt" w:hAnsi="TitilliumText22L Lt"/>
          <w:sz w:val="24"/>
          <w:szCs w:val="24"/>
        </w:rPr>
      </w:pPr>
      <w:r w:rsidRPr="0037712B">
        <w:rPr>
          <w:rFonts w:ascii="TitilliumText22L Lt" w:hAnsi="TitilliumText22L Lt"/>
          <w:sz w:val="24"/>
          <w:szCs w:val="24"/>
        </w:rPr>
        <w:t>The Ig Stock Requirements Forecast Report in BloodNet allows users to enter a date in the future to calculate the required quantities of product to cover the dispenser for authorised clinical demand up until the entered date.</w:t>
      </w:r>
    </w:p>
    <w:p w:rsidR="0037712B" w:rsidRPr="0037712B" w:rsidRDefault="0037712B" w:rsidP="0037712B">
      <w:pPr>
        <w:rPr>
          <w:rFonts w:ascii="TitilliumText22L Lt" w:hAnsi="TitilliumText22L Lt"/>
          <w:sz w:val="24"/>
          <w:szCs w:val="24"/>
        </w:rPr>
      </w:pPr>
      <w:r w:rsidRPr="0037712B">
        <w:rPr>
          <w:rFonts w:ascii="TitilliumText22L Lt" w:hAnsi="TitilliumText22L Lt"/>
          <w:sz w:val="24"/>
          <w:szCs w:val="24"/>
        </w:rPr>
        <w:t xml:space="preserve">To ensure compliance with the </w:t>
      </w:r>
      <w:r w:rsidRPr="0037712B">
        <w:rPr>
          <w:rFonts w:ascii="TitilliumText22L Lt" w:hAnsi="TitilliumText22L Lt"/>
          <w:i/>
          <w:sz w:val="24"/>
          <w:szCs w:val="24"/>
        </w:rPr>
        <w:t>Privacy Act</w:t>
      </w:r>
      <w:r w:rsidRPr="0037712B">
        <w:rPr>
          <w:rFonts w:ascii="TitilliumText22L Lt" w:hAnsi="TitilliumText22L Lt"/>
          <w:sz w:val="24"/>
          <w:szCs w:val="24"/>
        </w:rPr>
        <w:t xml:space="preserve"> (Cwlth), all orders for Ig products placed in BloodNet </w:t>
      </w:r>
      <w:r w:rsidRPr="00E24118">
        <w:rPr>
          <w:b/>
          <w:sz w:val="24"/>
          <w:szCs w:val="24"/>
        </w:rPr>
        <w:t>must</w:t>
      </w:r>
      <w:r w:rsidRPr="0037712B">
        <w:rPr>
          <w:rFonts w:ascii="TitilliumText22L Lt" w:hAnsi="TitilliumText22L Lt"/>
          <w:sz w:val="24"/>
          <w:szCs w:val="24"/>
        </w:rPr>
        <w:t xml:space="preserve"> be placed as Stock Orders (i.e. no patient details supplied). </w:t>
      </w:r>
    </w:p>
    <w:p w:rsidR="0037712B" w:rsidRPr="0037712B" w:rsidRDefault="0037712B" w:rsidP="0037712B">
      <w:pPr>
        <w:rPr>
          <w:rFonts w:ascii="TitilliumText22L Lt" w:hAnsi="TitilliumText22L Lt"/>
          <w:sz w:val="24"/>
          <w:szCs w:val="24"/>
        </w:rPr>
      </w:pPr>
      <w:r w:rsidRPr="0037712B">
        <w:rPr>
          <w:rFonts w:ascii="TitilliumText22L Lt" w:hAnsi="TitilliumText22L Lt"/>
          <w:sz w:val="24"/>
          <w:szCs w:val="24"/>
        </w:rPr>
        <w:t>Reconciliation of dispensed product against patient authorisations is undertaken periodically at the health service level by the dispenser, not by the Authoriser (Australian Red Cross Blood Service).</w:t>
      </w:r>
    </w:p>
    <w:p w:rsidR="00BF0042" w:rsidRPr="00891D6F" w:rsidRDefault="0037712B" w:rsidP="00891D6F">
      <w:pPr>
        <w:spacing w:after="0"/>
        <w:rPr>
          <w:rFonts w:ascii="TitilliumText22L Lt" w:hAnsi="TitilliumText22L Lt"/>
          <w:sz w:val="24"/>
          <w:szCs w:val="24"/>
        </w:rPr>
      </w:pPr>
      <w:r w:rsidRPr="0037712B">
        <w:rPr>
          <w:rFonts w:ascii="TitilliumText22L Lt" w:hAnsi="TitilliumText22L Lt"/>
          <w:sz w:val="24"/>
          <w:szCs w:val="24"/>
        </w:rPr>
        <w:t>There are two different models the dispenser can use when placing product orders.</w:t>
      </w:r>
    </w:p>
    <w:p w:rsidR="00BE2476" w:rsidRPr="00E24118" w:rsidRDefault="00BE2476" w:rsidP="00875D1A">
      <w:pPr>
        <w:rPr>
          <w:b/>
          <w:sz w:val="24"/>
          <w:szCs w:val="24"/>
        </w:rPr>
      </w:pPr>
      <w:r w:rsidRPr="00E24118">
        <w:rPr>
          <w:b/>
          <w:sz w:val="24"/>
          <w:szCs w:val="24"/>
        </w:rPr>
        <w:t xml:space="preserve">a) Stock replenishment </w:t>
      </w:r>
    </w:p>
    <w:p w:rsidR="00BE2476" w:rsidRPr="0037712B" w:rsidRDefault="00BE2476" w:rsidP="00875D1A">
      <w:pPr>
        <w:rPr>
          <w:rFonts w:ascii="TitilliumText22L Lt" w:hAnsi="TitilliumText22L Lt"/>
          <w:sz w:val="24"/>
          <w:szCs w:val="24"/>
        </w:rPr>
      </w:pPr>
      <w:r w:rsidRPr="0037712B">
        <w:rPr>
          <w:rFonts w:ascii="TitilliumText22L Lt" w:hAnsi="TitilliumText22L Lt"/>
          <w:sz w:val="24"/>
          <w:szCs w:val="24"/>
        </w:rPr>
        <w:t>This model</w:t>
      </w:r>
      <w:r w:rsidR="00D96E09" w:rsidRPr="0037712B">
        <w:rPr>
          <w:rFonts w:ascii="TitilliumText22L Lt" w:hAnsi="TitilliumText22L Lt"/>
          <w:sz w:val="24"/>
          <w:szCs w:val="24"/>
        </w:rPr>
        <w:t xml:space="preserve"> uses a set target for inventory level and</w:t>
      </w:r>
      <w:r w:rsidRPr="0037712B">
        <w:rPr>
          <w:rFonts w:ascii="TitilliumText22L Lt" w:hAnsi="TitilliumText22L Lt"/>
          <w:sz w:val="24"/>
          <w:szCs w:val="24"/>
        </w:rPr>
        <w:t xml:space="preserve"> is best suited for</w:t>
      </w:r>
      <w:r w:rsidR="008D29E7" w:rsidRPr="0037712B">
        <w:rPr>
          <w:rFonts w:ascii="TitilliumText22L Lt" w:hAnsi="TitilliumText22L Lt"/>
          <w:sz w:val="24"/>
          <w:szCs w:val="24"/>
        </w:rPr>
        <w:t xml:space="preserve"> </w:t>
      </w:r>
      <w:r w:rsidR="00EA28B8" w:rsidRPr="0037712B">
        <w:rPr>
          <w:rFonts w:ascii="TitilliumText22L Lt" w:hAnsi="TitilliumText22L Lt"/>
          <w:sz w:val="24"/>
          <w:szCs w:val="24"/>
        </w:rPr>
        <w:t>d</w:t>
      </w:r>
      <w:r w:rsidR="00942F2E" w:rsidRPr="0037712B">
        <w:rPr>
          <w:rFonts w:ascii="TitilliumText22L Lt" w:hAnsi="TitilliumText22L Lt"/>
          <w:sz w:val="24"/>
          <w:szCs w:val="24"/>
        </w:rPr>
        <w:t>ispenser</w:t>
      </w:r>
      <w:r w:rsidR="008D29E7" w:rsidRPr="0037712B">
        <w:rPr>
          <w:rFonts w:ascii="TitilliumText22L Lt" w:hAnsi="TitilliumText22L Lt"/>
          <w:sz w:val="24"/>
          <w:szCs w:val="24"/>
        </w:rPr>
        <w:t>s</w:t>
      </w:r>
      <w:r w:rsidRPr="0037712B">
        <w:rPr>
          <w:rFonts w:ascii="TitilliumText22L Lt" w:hAnsi="TitilliumText22L Lt"/>
          <w:sz w:val="24"/>
          <w:szCs w:val="24"/>
        </w:rPr>
        <w:t xml:space="preserve"> tha</w:t>
      </w:r>
      <w:r w:rsidR="00914CAF" w:rsidRPr="0037712B">
        <w:rPr>
          <w:rFonts w:ascii="TitilliumText22L Lt" w:hAnsi="TitilliumText22L Lt"/>
          <w:sz w:val="24"/>
          <w:szCs w:val="24"/>
        </w:rPr>
        <w:t>t use a large amount of product, place orders at regular intervals and the forecast stock requirement is steady from one ordering cycle to the next.</w:t>
      </w:r>
      <w:r w:rsidR="00D460CE" w:rsidRPr="0037712B">
        <w:rPr>
          <w:rFonts w:ascii="TitilliumText22L Lt" w:hAnsi="TitilliumText22L Lt"/>
          <w:sz w:val="24"/>
          <w:szCs w:val="24"/>
        </w:rPr>
        <w:t xml:space="preserve"> </w:t>
      </w:r>
      <w:r w:rsidR="00A22A81" w:rsidRPr="0037712B">
        <w:rPr>
          <w:rFonts w:ascii="TitilliumText22L Lt" w:hAnsi="TitilliumText22L Lt"/>
          <w:sz w:val="24"/>
          <w:szCs w:val="24"/>
        </w:rPr>
        <w:t xml:space="preserve">The stock replenishment model </w:t>
      </w:r>
      <w:r w:rsidR="00D96E09" w:rsidRPr="0037712B">
        <w:rPr>
          <w:rFonts w:ascii="TitilliumText22L Lt" w:hAnsi="TitilliumText22L Lt"/>
          <w:sz w:val="24"/>
          <w:szCs w:val="24"/>
        </w:rPr>
        <w:t xml:space="preserve">is based on a regular pattern of planned infusions, and </w:t>
      </w:r>
      <w:r w:rsidR="00A22A81" w:rsidRPr="0037712B">
        <w:rPr>
          <w:rFonts w:ascii="TitilliumText22L Lt" w:hAnsi="TitilliumText22L Lt"/>
          <w:sz w:val="24"/>
          <w:szCs w:val="24"/>
        </w:rPr>
        <w:t xml:space="preserve">allows the </w:t>
      </w:r>
      <w:r w:rsidR="00EA28B8" w:rsidRPr="0037712B">
        <w:rPr>
          <w:rFonts w:ascii="TitilliumText22L Lt" w:hAnsi="TitilliumText22L Lt"/>
          <w:sz w:val="24"/>
          <w:szCs w:val="24"/>
        </w:rPr>
        <w:t>d</w:t>
      </w:r>
      <w:r w:rsidR="00942F2E" w:rsidRPr="0037712B">
        <w:rPr>
          <w:rFonts w:ascii="TitilliumText22L Lt" w:hAnsi="TitilliumText22L Lt"/>
          <w:sz w:val="24"/>
          <w:szCs w:val="24"/>
        </w:rPr>
        <w:t>ispenser</w:t>
      </w:r>
      <w:r w:rsidR="00A22A81" w:rsidRPr="0037712B">
        <w:rPr>
          <w:rFonts w:ascii="TitilliumText22L Lt" w:hAnsi="TitilliumText22L Lt"/>
          <w:sz w:val="24"/>
          <w:szCs w:val="24"/>
        </w:rPr>
        <w:t xml:space="preserve"> to hold a consistent level of inventory between cycles. </w:t>
      </w:r>
      <w:r w:rsidR="00D460CE" w:rsidRPr="0037712B">
        <w:rPr>
          <w:rFonts w:ascii="TitilliumText22L Lt" w:hAnsi="TitilliumText22L Lt"/>
          <w:sz w:val="24"/>
          <w:szCs w:val="24"/>
        </w:rPr>
        <w:t xml:space="preserve">The </w:t>
      </w:r>
      <w:r w:rsidR="00EA28B8" w:rsidRPr="0037712B">
        <w:rPr>
          <w:rFonts w:ascii="TitilliumText22L Lt" w:hAnsi="TitilliumText22L Lt"/>
          <w:sz w:val="24"/>
          <w:szCs w:val="24"/>
        </w:rPr>
        <w:t>d</w:t>
      </w:r>
      <w:r w:rsidR="00942F2E" w:rsidRPr="0037712B">
        <w:rPr>
          <w:rFonts w:ascii="TitilliumText22L Lt" w:hAnsi="TitilliumText22L Lt"/>
          <w:sz w:val="24"/>
          <w:szCs w:val="24"/>
        </w:rPr>
        <w:t>ispenser</w:t>
      </w:r>
      <w:r w:rsidR="00EF603D" w:rsidRPr="0037712B">
        <w:rPr>
          <w:rFonts w:ascii="TitilliumText22L Lt" w:hAnsi="TitilliumText22L Lt"/>
          <w:sz w:val="24"/>
          <w:szCs w:val="24"/>
        </w:rPr>
        <w:t xml:space="preserve"> </w:t>
      </w:r>
      <w:r w:rsidR="00D460CE" w:rsidRPr="0037712B">
        <w:rPr>
          <w:rFonts w:ascii="TitilliumText22L Lt" w:hAnsi="TitilliumText22L Lt"/>
          <w:sz w:val="24"/>
          <w:szCs w:val="24"/>
        </w:rPr>
        <w:t xml:space="preserve">should have a good </w:t>
      </w:r>
      <w:r w:rsidR="00D460CE" w:rsidRPr="0037712B">
        <w:rPr>
          <w:rFonts w:ascii="TitilliumText22L Lt" w:hAnsi="TitilliumText22L Lt"/>
          <w:sz w:val="24"/>
          <w:szCs w:val="24"/>
        </w:rPr>
        <w:lastRenderedPageBreak/>
        <w:t xml:space="preserve">understanding of their regular average use for the order cycle frequency, and set an appropriate inventory </w:t>
      </w:r>
      <w:r w:rsidR="00A22A81" w:rsidRPr="0037712B">
        <w:rPr>
          <w:rFonts w:ascii="TitilliumText22L Lt" w:hAnsi="TitilliumText22L Lt"/>
          <w:sz w:val="24"/>
          <w:szCs w:val="24"/>
        </w:rPr>
        <w:t xml:space="preserve">maximum </w:t>
      </w:r>
      <w:r w:rsidR="00D460CE" w:rsidRPr="0037712B">
        <w:rPr>
          <w:rFonts w:ascii="TitilliumText22L Lt" w:hAnsi="TitilliumText22L Lt"/>
          <w:sz w:val="24"/>
          <w:szCs w:val="24"/>
        </w:rPr>
        <w:t>target level</w:t>
      </w:r>
      <w:r w:rsidR="00A22A81" w:rsidRPr="0037712B">
        <w:rPr>
          <w:rFonts w:ascii="TitilliumText22L Lt" w:hAnsi="TitilliumText22L Lt"/>
          <w:sz w:val="24"/>
          <w:szCs w:val="24"/>
        </w:rPr>
        <w:t xml:space="preserve"> in BloodNet</w:t>
      </w:r>
      <w:r w:rsidR="00D460CE" w:rsidRPr="0037712B">
        <w:rPr>
          <w:rFonts w:ascii="TitilliumText22L Lt" w:hAnsi="TitilliumText22L Lt"/>
          <w:sz w:val="24"/>
          <w:szCs w:val="24"/>
        </w:rPr>
        <w:t>.</w:t>
      </w:r>
      <w:r w:rsidR="008D29E7" w:rsidRPr="0037712B">
        <w:rPr>
          <w:rFonts w:ascii="TitilliumText22L Lt" w:hAnsi="TitilliumText22L Lt"/>
          <w:sz w:val="24"/>
          <w:szCs w:val="24"/>
        </w:rPr>
        <w:t xml:space="preserve"> </w:t>
      </w:r>
      <w:r w:rsidR="00D96E09" w:rsidRPr="0037712B">
        <w:rPr>
          <w:rFonts w:ascii="TitilliumText22L Lt" w:hAnsi="TitilliumText22L Lt"/>
          <w:sz w:val="24"/>
          <w:szCs w:val="24"/>
        </w:rPr>
        <w:t xml:space="preserve">It is important for </w:t>
      </w:r>
      <w:r w:rsidR="00EA28B8" w:rsidRPr="0037712B">
        <w:rPr>
          <w:rFonts w:ascii="TitilliumText22L Lt" w:hAnsi="TitilliumText22L Lt"/>
          <w:sz w:val="24"/>
          <w:szCs w:val="24"/>
        </w:rPr>
        <w:t>d</w:t>
      </w:r>
      <w:r w:rsidR="00942F2E" w:rsidRPr="0037712B">
        <w:rPr>
          <w:rFonts w:ascii="TitilliumText22L Lt" w:hAnsi="TitilliumText22L Lt"/>
          <w:sz w:val="24"/>
          <w:szCs w:val="24"/>
        </w:rPr>
        <w:t>ispenser</w:t>
      </w:r>
      <w:r w:rsidR="00D96E09" w:rsidRPr="0037712B">
        <w:rPr>
          <w:rFonts w:ascii="TitilliumText22L Lt" w:hAnsi="TitilliumText22L Lt"/>
          <w:sz w:val="24"/>
          <w:szCs w:val="24"/>
        </w:rPr>
        <w:t>s using this model to regularly review their inventory targets against actual infusion plans and dispense requests to account for any changes to requirements, including any changes to domestic/imported product allocation.</w:t>
      </w:r>
    </w:p>
    <w:p w:rsidR="008D29E7" w:rsidRPr="00AA7149" w:rsidRDefault="00605D57" w:rsidP="008D29E7">
      <w:pPr>
        <w:pBdr>
          <w:top w:val="single" w:sz="4" w:space="1" w:color="auto"/>
          <w:left w:val="single" w:sz="4" w:space="4" w:color="auto"/>
          <w:bottom w:val="single" w:sz="4" w:space="1" w:color="auto"/>
          <w:right w:val="single" w:sz="4" w:space="4" w:color="auto"/>
        </w:pBdr>
        <w:rPr>
          <w:b/>
          <w:color w:val="0070C0"/>
          <w:szCs w:val="24"/>
          <w:u w:val="single"/>
        </w:rPr>
      </w:pPr>
      <w:r w:rsidRPr="00AA7149">
        <w:rPr>
          <w:b/>
          <w:color w:val="0070C0"/>
          <w:szCs w:val="24"/>
          <w:u w:val="single"/>
        </w:rPr>
        <w:t>Method</w:t>
      </w:r>
      <w:r w:rsidR="008D29E7" w:rsidRPr="00AA7149">
        <w:rPr>
          <w:b/>
          <w:color w:val="0070C0"/>
          <w:szCs w:val="24"/>
          <w:u w:val="single"/>
        </w:rPr>
        <w:t>:</w:t>
      </w:r>
    </w:p>
    <w:p w:rsidR="00795C0A" w:rsidRPr="0037712B" w:rsidRDefault="00795C0A" w:rsidP="008D29E7">
      <w:pPr>
        <w:pBdr>
          <w:top w:val="single" w:sz="4" w:space="1" w:color="auto"/>
          <w:left w:val="single" w:sz="4" w:space="4" w:color="auto"/>
          <w:bottom w:val="single" w:sz="4" w:space="1" w:color="auto"/>
          <w:right w:val="single" w:sz="4" w:space="4" w:color="auto"/>
        </w:pBdr>
        <w:rPr>
          <w:rFonts w:ascii="TitilliumText22L Lt" w:hAnsi="TitilliumText22L Lt"/>
          <w:sz w:val="24"/>
          <w:szCs w:val="24"/>
        </w:rPr>
      </w:pPr>
      <w:r w:rsidRPr="0037712B">
        <w:rPr>
          <w:rFonts w:ascii="TitilliumText22L Lt" w:hAnsi="TitilliumText22L Lt"/>
          <w:sz w:val="24"/>
          <w:szCs w:val="24"/>
        </w:rPr>
        <w:t xml:space="preserve">Stock required = </w:t>
      </w:r>
      <w:r w:rsidR="00D460CE" w:rsidRPr="0037712B">
        <w:rPr>
          <w:rFonts w:ascii="TitilliumText22L Lt" w:hAnsi="TitilliumText22L Lt"/>
          <w:sz w:val="24"/>
          <w:szCs w:val="24"/>
        </w:rPr>
        <w:t xml:space="preserve">Inventory target level </w:t>
      </w:r>
      <w:r w:rsidR="008D29E7" w:rsidRPr="0037712B">
        <w:rPr>
          <w:rFonts w:ascii="TitilliumText22L Lt" w:hAnsi="TitilliumText22L Lt"/>
          <w:sz w:val="24"/>
          <w:szCs w:val="24"/>
        </w:rPr>
        <w:t>minus current</w:t>
      </w:r>
      <w:r w:rsidRPr="0037712B">
        <w:rPr>
          <w:rFonts w:ascii="TitilliumText22L Lt" w:hAnsi="TitilliumText22L Lt"/>
          <w:sz w:val="24"/>
          <w:szCs w:val="24"/>
        </w:rPr>
        <w:t xml:space="preserve"> stock on hand</w:t>
      </w:r>
    </w:p>
    <w:p w:rsidR="00795C0A" w:rsidRPr="00C53BA9" w:rsidRDefault="00BC5A06" w:rsidP="00832E55">
      <w:pPr>
        <w:jc w:val="center"/>
        <w:rPr>
          <w:sz w:val="24"/>
          <w:szCs w:val="24"/>
        </w:rPr>
      </w:pPr>
      <w:r>
        <w:rPr>
          <w:bCs/>
          <w:noProof/>
          <w:lang w:eastAsia="en-AU"/>
        </w:rPr>
        <w:drawing>
          <wp:inline distT="0" distB="0" distL="0" distR="0" wp14:anchorId="15D7D258" wp14:editId="57A4BC70">
            <wp:extent cx="4359348" cy="2795365"/>
            <wp:effectExtent l="0" t="0" r="3175"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702_ig ordering_IMG_4493.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368408" cy="2801175"/>
                    </a:xfrm>
                    <a:prstGeom prst="rect">
                      <a:avLst/>
                    </a:prstGeom>
                  </pic:spPr>
                </pic:pic>
              </a:graphicData>
            </a:graphic>
          </wp:inline>
        </w:drawing>
      </w:r>
    </w:p>
    <w:p w:rsidR="00BE2476" w:rsidRPr="00E24118" w:rsidRDefault="00BE2476" w:rsidP="00875D1A">
      <w:pPr>
        <w:rPr>
          <w:b/>
          <w:sz w:val="24"/>
          <w:szCs w:val="24"/>
        </w:rPr>
      </w:pPr>
      <w:r w:rsidRPr="00E24118">
        <w:rPr>
          <w:b/>
          <w:sz w:val="24"/>
          <w:szCs w:val="24"/>
        </w:rPr>
        <w:t xml:space="preserve">b) </w:t>
      </w:r>
      <w:r w:rsidR="00F8007C" w:rsidRPr="00E24118">
        <w:rPr>
          <w:b/>
          <w:sz w:val="24"/>
          <w:szCs w:val="24"/>
        </w:rPr>
        <w:t>Scheduled infusions</w:t>
      </w:r>
    </w:p>
    <w:p w:rsidR="00891D6F" w:rsidRDefault="00891D6F" w:rsidP="00891D6F">
      <w:pPr>
        <w:rPr>
          <w:rFonts w:ascii="TitilliumText22L Lt" w:hAnsi="TitilliumText22L Lt"/>
          <w:sz w:val="24"/>
          <w:szCs w:val="24"/>
          <w:u w:val="single"/>
        </w:rPr>
      </w:pPr>
      <w:r w:rsidRPr="00891D6F">
        <w:rPr>
          <w:rFonts w:ascii="TitilliumText22L Lt" w:hAnsi="TitilliumText22L Lt"/>
          <w:sz w:val="24"/>
          <w:szCs w:val="24"/>
        </w:rPr>
        <w:t>This model is best suited for dispensers that use a small irregular amount of product. There is no standard target level of inventory maintained by the dispensers using this model.</w:t>
      </w:r>
      <w:r w:rsidRPr="00891D6F">
        <w:rPr>
          <w:rFonts w:ascii="TitilliumText22L Lt" w:hAnsi="TitilliumText22L Lt"/>
          <w:sz w:val="24"/>
          <w:szCs w:val="24"/>
          <w:u w:val="single"/>
        </w:rPr>
        <w:t xml:space="preserve"> </w:t>
      </w:r>
    </w:p>
    <w:p w:rsidR="00AA7149" w:rsidRPr="00891D6F" w:rsidRDefault="00891D6F" w:rsidP="00891D6F">
      <w:pPr>
        <w:rPr>
          <w:rFonts w:ascii="TitilliumText22L Lt" w:hAnsi="TitilliumText22L Lt"/>
          <w:sz w:val="24"/>
          <w:szCs w:val="24"/>
        </w:rPr>
      </w:pPr>
      <w:r w:rsidRPr="00891D6F">
        <w:rPr>
          <w:rFonts w:ascii="TitilliumText22L Lt" w:hAnsi="TitilliumText22L Lt"/>
          <w:sz w:val="24"/>
          <w:szCs w:val="24"/>
        </w:rPr>
        <w:t xml:space="preserve">Before ordering, the dispenser should review the BloodNet authorisations tab for planned or requested dispense requirements for authorised patients for that ordering period. The Ig Stock Requirements Forecast Report* may also be used. The dispenser assesses the stock required for that period against how much stock they have on hand and subtracts this from the required stock to get </w:t>
      </w:r>
      <w:r w:rsidR="00E24118">
        <w:rPr>
          <w:rFonts w:ascii="TitilliumText22L Lt" w:hAnsi="TitilliumText22L Lt"/>
          <w:sz w:val="24"/>
          <w:szCs w:val="24"/>
        </w:rPr>
        <w:t xml:space="preserve">the quantity to enter into the </w:t>
      </w:r>
      <w:r w:rsidRPr="00891D6F">
        <w:rPr>
          <w:rFonts w:ascii="TitilliumText22L Lt" w:hAnsi="TitilliumText22L Lt"/>
          <w:sz w:val="24"/>
          <w:szCs w:val="24"/>
        </w:rPr>
        <w:t>Stock Order template in BloodNet.</w:t>
      </w:r>
    </w:p>
    <w:p w:rsidR="00AB0BAB" w:rsidRPr="0037712B" w:rsidRDefault="00AB0BAB" w:rsidP="00AA7149">
      <w:pPr>
        <w:pBdr>
          <w:top w:val="single" w:sz="4" w:space="1" w:color="auto"/>
          <w:left w:val="single" w:sz="4" w:space="4" w:color="auto"/>
          <w:bottom w:val="single" w:sz="4" w:space="1" w:color="auto"/>
          <w:right w:val="single" w:sz="4" w:space="4" w:color="auto"/>
        </w:pBdr>
        <w:rPr>
          <w:rFonts w:ascii="TitilliumText22L Lt" w:hAnsi="TitilliumText22L Lt"/>
          <w:b/>
          <w:color w:val="0070C0"/>
          <w:szCs w:val="24"/>
          <w:u w:val="single"/>
        </w:rPr>
      </w:pPr>
      <w:r w:rsidRPr="0037712B">
        <w:rPr>
          <w:rFonts w:ascii="TitilliumText22L Lt" w:hAnsi="TitilliumText22L Lt"/>
          <w:b/>
          <w:color w:val="0070C0"/>
          <w:szCs w:val="24"/>
          <w:u w:val="single"/>
        </w:rPr>
        <w:t>Method:</w:t>
      </w:r>
    </w:p>
    <w:p w:rsidR="00AB0BAB" w:rsidRPr="0037712B" w:rsidRDefault="00AB0BAB" w:rsidP="00891D6F">
      <w:pPr>
        <w:pBdr>
          <w:top w:val="single" w:sz="4" w:space="1" w:color="auto"/>
          <w:left w:val="single" w:sz="4" w:space="4" w:color="auto"/>
          <w:bottom w:val="single" w:sz="4" w:space="1" w:color="auto"/>
          <w:right w:val="single" w:sz="4" w:space="4" w:color="auto"/>
        </w:pBdr>
        <w:rPr>
          <w:rFonts w:ascii="TitilliumText22L Lt" w:hAnsi="TitilliumText22L Lt"/>
          <w:sz w:val="24"/>
          <w:szCs w:val="24"/>
        </w:rPr>
      </w:pPr>
      <w:r w:rsidRPr="0037712B">
        <w:rPr>
          <w:rFonts w:ascii="TitilliumText22L Lt" w:hAnsi="TitilliumText22L Lt"/>
          <w:sz w:val="24"/>
          <w:szCs w:val="24"/>
        </w:rPr>
        <w:t>Stock required = Forecasted stock requirements for desired period minus current stock on hand</w:t>
      </w:r>
    </w:p>
    <w:p w:rsidR="00AA7149" w:rsidRDefault="00B2234A" w:rsidP="009A77BD">
      <w:pPr>
        <w:ind w:left="-142"/>
        <w:rPr>
          <w:sz w:val="24"/>
          <w:szCs w:val="24"/>
        </w:rPr>
      </w:pPr>
      <w:r>
        <w:object w:dxaOrig="9268" w:dyaOrig="782" w14:anchorId="7A145A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4pt;height:39.1pt" o:ole="">
            <v:imagedata r:id="rId23" o:title=""/>
          </v:shape>
          <o:OLEObject Type="Embed" ProgID="Visio.Drawing.11" ShapeID="_x0000_i1025" DrawAspect="Content" ObjectID="_1598333206" r:id="rId24"/>
        </w:object>
      </w:r>
    </w:p>
    <w:p w:rsidR="00891D6F" w:rsidRPr="00E24118" w:rsidRDefault="00F13AB5" w:rsidP="00891D6F">
      <w:pPr>
        <w:ind w:left="720"/>
        <w:rPr>
          <w:b/>
          <w:sz w:val="24"/>
          <w:szCs w:val="24"/>
        </w:rPr>
      </w:pPr>
      <w:r w:rsidRPr="00E24118">
        <w:rPr>
          <w:b/>
          <w:noProof/>
          <w:sz w:val="24"/>
          <w:szCs w:val="24"/>
          <w:lang w:eastAsia="en-AU"/>
        </w:rPr>
        <mc:AlternateContent>
          <mc:Choice Requires="wps">
            <w:drawing>
              <wp:anchor distT="0" distB="0" distL="114300" distR="114300" simplePos="0" relativeHeight="251669504" behindDoc="0" locked="0" layoutInCell="1" allowOverlap="1" wp14:anchorId="393A5C0D" wp14:editId="3D08FBCE">
                <wp:simplePos x="0" y="0"/>
                <wp:positionH relativeFrom="column">
                  <wp:posOffset>-62230</wp:posOffset>
                </wp:positionH>
                <wp:positionV relativeFrom="paragraph">
                  <wp:posOffset>90125</wp:posOffset>
                </wp:positionV>
                <wp:extent cx="390525" cy="383540"/>
                <wp:effectExtent l="76200" t="76200" r="104775" b="9271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83540"/>
                        </a:xfrm>
                        <a:prstGeom prst="rect">
                          <a:avLst/>
                        </a:prstGeom>
                        <a:solidFill>
                          <a:srgbClr val="FFFFFF"/>
                        </a:solidFill>
                        <a:ln w="9525">
                          <a:solidFill>
                            <a:srgbClr val="000000"/>
                          </a:solidFill>
                          <a:miter lim="800000"/>
                          <a:headEnd/>
                          <a:tailEnd/>
                        </a:ln>
                        <a:effectLst>
                          <a:glow rad="63500">
                            <a:schemeClr val="accent2">
                              <a:satMod val="175000"/>
                              <a:alpha val="40000"/>
                            </a:schemeClr>
                          </a:glow>
                        </a:effectLst>
                      </wps:spPr>
                      <wps:txbx>
                        <w:txbxContent>
                          <w:p w:rsidR="00F13AB5" w:rsidRPr="00F13AB5" w:rsidRDefault="00F13AB5" w:rsidP="00F13AB5">
                            <w:pPr>
                              <w:jc w:val="center"/>
                              <w:rPr>
                                <w:rFonts w:ascii="Britannic Bold" w:hAnsi="Britannic Bold"/>
                                <w:b/>
                                <w:color w:val="FF0000"/>
                                <w:sz w:val="36"/>
                              </w:rPr>
                            </w:pPr>
                            <w:r w:rsidRPr="00F13AB5">
                              <w:rPr>
                                <w:rFonts w:ascii="Britannic Bold" w:hAnsi="Britannic Bold"/>
                                <w:b/>
                                <w:color w:val="FF0000"/>
                                <w:sz w:val="36"/>
                              </w:rPr>
                              <w:t>!</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4.9pt;margin-top:7.1pt;width:30.75pt;height:30.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RF7YQIAANwEAAAOAAAAZHJzL2Uyb0RvYy54bWysVNtu2zAMfR+wfxD0vti5tY0Rp+jSZRjQ&#10;XYB2H8DIcixMFjVJid19fSm5SYNu2MMwPwiiSB0d8pBeXvetZgfpvEJT8vEo50wagZUyu5J/f9i8&#10;u+LMBzAVaDSy5I/S8+vV2zfLzhZygg3qSjpGIMYXnS15E4ItssyLRrbgR2ilIWeNroVApttllYOO&#10;0FudTfL8IuvQVdahkN7T6e3g5KuEX9dShK917WVguuTELaTVpXUb12y1hGLnwDZKPNOAf2DRgjL0&#10;6AnqFgKwvVO/QbVKOPRYh5HANsO6VkKmHCibcf4qm/sGrEy5UHG8PZXJ/z9Y8eXwzTFVlfyCMwMt&#10;SfQg+8DeY88msTqd9QUF3VsKCz0dk8opU2/vUPzwzOC6AbOTN85h10ioiN043szOrg44PoJsu89Y&#10;0TOwD5iA+tq1sXRUDEbopNLjSZlIRdDhdJHPJ3POBLmmV9P5LCmXQXG8bJ0PHyW2LG5K7kj4BA6H&#10;Ox8iGSiOIfEtj1pVG6V1Mtxuu9aOHYCaZJO+xP9VmDasK/ki8vg7RJ6+P0G0KlC3a9WW/OoUBEWs&#10;2gdTpV4MoPSwJ8raxJdk6mPKIxo7jR1zEAWbzvN8oBKnRZ5SACGkCZPBBYHKPaQ2vqQLzy0P2jYw&#10;HM8ikyPbI1KqWHwrbc4YJFWjkIOkod/2qX3GCSJKvsXqkXR2OAwb/Rxo06D7xVlHg1Zy/3MPTnKm&#10;PxnqlcV4RmqykIzZ/HJChjv3bM89YARBlVwEx9lgrEOa51gcgzfUVbVKir9wee5FGqEhrWHc44ye&#10;2ynq5ae0egIAAP//AwBQSwMEFAAGAAgAAAAhAK24kajbAAAABwEAAA8AAABkcnMvZG93bnJldi54&#10;bWxMzsFOwzAMBuA7Eu8QGYnblm4aG5SmUzXEcUgMxNlLvLaQOFGTdeXtCSc42r/1+6u2k7NipCH2&#10;nhUs5gUIYu1Nz62C97fn2T2ImJANWs+k4JsibOvrqwpL4y/8SuMhtSKXcCxRQZdSKKWMuiOHce4D&#10;cc5OfnCY8ji00gx4yeXOymVRrKXDnvOHDgPtOtJfh7NTsG/2u+JlGF0TPk6fFoPWTyEqdXszNY8g&#10;Ek3p7xh++ZkOdTYd/ZlNFFbB7CHLU96vliByfrfYgDgq2KzWIOtK/vfXPwAAAP//AwBQSwECLQAU&#10;AAYACAAAACEAtoM4kv4AAADhAQAAEwAAAAAAAAAAAAAAAAAAAAAAW0NvbnRlbnRfVHlwZXNdLnht&#10;bFBLAQItABQABgAIAAAAIQA4/SH/1gAAAJQBAAALAAAAAAAAAAAAAAAAAC8BAABfcmVscy8ucmVs&#10;c1BLAQItABQABgAIAAAAIQAd6RF7YQIAANwEAAAOAAAAAAAAAAAAAAAAAC4CAABkcnMvZTJvRG9j&#10;LnhtbFBLAQItABQABgAIAAAAIQCtuJGo2wAAAAcBAAAPAAAAAAAAAAAAAAAAALsEAABkcnMvZG93&#10;bnJldi54bWxQSwUGAAAAAAQABADzAAAAwwUAAAAA&#10;">
                <v:textbox>
                  <w:txbxContent>
                    <w:p w:rsidR="00F13AB5" w:rsidRPr="00F13AB5" w:rsidRDefault="00F13AB5" w:rsidP="00F13AB5">
                      <w:pPr>
                        <w:jc w:val="center"/>
                        <w:rPr>
                          <w:rFonts w:ascii="Britannic Bold" w:hAnsi="Britannic Bold"/>
                          <w:b/>
                          <w:color w:val="FF0000"/>
                          <w:sz w:val="36"/>
                        </w:rPr>
                      </w:pPr>
                      <w:r w:rsidRPr="00F13AB5">
                        <w:rPr>
                          <w:rFonts w:ascii="Britannic Bold" w:hAnsi="Britannic Bold"/>
                          <w:b/>
                          <w:color w:val="FF0000"/>
                          <w:sz w:val="36"/>
                        </w:rPr>
                        <w:t>!</w:t>
                      </w:r>
                    </w:p>
                  </w:txbxContent>
                </v:textbox>
              </v:shape>
            </w:pict>
          </mc:Fallback>
        </mc:AlternateContent>
      </w:r>
      <w:r w:rsidR="00891D6F" w:rsidRPr="00E24118">
        <w:rPr>
          <w:b/>
          <w:sz w:val="24"/>
          <w:szCs w:val="24"/>
        </w:rPr>
        <w:t>Regardless of model used, the dispenser is responsible for ensuring that every vial of product ordered and dispensed only goes to an authorised patient, unless otherwise arranged in accordance with the National Policy.</w:t>
      </w:r>
      <w:r w:rsidR="00891D6F" w:rsidRPr="00E24118">
        <w:rPr>
          <w:b/>
          <w:sz w:val="24"/>
          <w:szCs w:val="24"/>
        </w:rPr>
        <w:br/>
      </w:r>
    </w:p>
    <w:p w:rsidR="00891D6F" w:rsidRDefault="00891D6F" w:rsidP="00891D6F">
      <w:pPr>
        <w:rPr>
          <w:rFonts w:ascii="TitilliumText22L Lt" w:hAnsi="TitilliumText22L Lt"/>
          <w:b/>
          <w:sz w:val="24"/>
          <w:szCs w:val="24"/>
        </w:rPr>
      </w:pPr>
      <w:r w:rsidRPr="00E24118">
        <w:rPr>
          <w:b/>
          <w:sz w:val="24"/>
          <w:szCs w:val="24"/>
        </w:rPr>
        <w:lastRenderedPageBreak/>
        <w:t>If a dispenser anticipates that there may be a significant increase in demand they are advised to contact and inform the Blood Service so that the monthly stock ordering the Blood Service manage with the NBA can be closely monitored.</w:t>
      </w:r>
    </w:p>
    <w:p w:rsidR="00891D6F" w:rsidRDefault="00891D6F">
      <w:pPr>
        <w:spacing w:line="276" w:lineRule="auto"/>
        <w:rPr>
          <w:rFonts w:ascii="TitilliumText22L Lt" w:hAnsi="TitilliumText22L Lt"/>
          <w:b/>
          <w:sz w:val="24"/>
          <w:szCs w:val="24"/>
        </w:rPr>
      </w:pPr>
      <w:r>
        <w:rPr>
          <w:rFonts w:ascii="TitilliumText22L Lt" w:hAnsi="TitilliumText22L Lt"/>
          <w:b/>
          <w:sz w:val="24"/>
          <w:szCs w:val="24"/>
        </w:rPr>
        <w:br w:type="page"/>
      </w:r>
    </w:p>
    <w:p w:rsidR="00891D6F" w:rsidRPr="00E24118" w:rsidRDefault="00891D6F" w:rsidP="00AA7149">
      <w:pPr>
        <w:pBdr>
          <w:top w:val="single" w:sz="4" w:space="1" w:color="auto"/>
          <w:left w:val="single" w:sz="4" w:space="4" w:color="auto"/>
          <w:bottom w:val="single" w:sz="4" w:space="1" w:color="auto"/>
          <w:right w:val="single" w:sz="4" w:space="4" w:color="auto"/>
        </w:pBdr>
        <w:rPr>
          <w:b/>
          <w:color w:val="0070C0"/>
          <w:szCs w:val="24"/>
          <w:u w:val="single"/>
        </w:rPr>
      </w:pPr>
      <w:r w:rsidRPr="00E24118">
        <w:rPr>
          <w:b/>
          <w:color w:val="0070C0"/>
          <w:szCs w:val="24"/>
          <w:u w:val="single"/>
        </w:rPr>
        <w:lastRenderedPageBreak/>
        <w:t>Examples</w:t>
      </w:r>
    </w:p>
    <w:p w:rsidR="00957444" w:rsidRPr="00E24118" w:rsidRDefault="00942F2E" w:rsidP="00AA7149">
      <w:pPr>
        <w:pBdr>
          <w:top w:val="single" w:sz="4" w:space="1" w:color="auto"/>
          <w:left w:val="single" w:sz="4" w:space="4" w:color="auto"/>
          <w:bottom w:val="single" w:sz="4" w:space="1" w:color="auto"/>
          <w:right w:val="single" w:sz="4" w:space="4" w:color="auto"/>
        </w:pBdr>
        <w:rPr>
          <w:b/>
          <w:color w:val="0070C0"/>
          <w:szCs w:val="24"/>
        </w:rPr>
      </w:pPr>
      <w:r w:rsidRPr="00E24118">
        <w:rPr>
          <w:b/>
          <w:color w:val="0070C0"/>
          <w:szCs w:val="24"/>
        </w:rPr>
        <w:t>Dispenser</w:t>
      </w:r>
      <w:r w:rsidR="00EF603D" w:rsidRPr="00E24118">
        <w:rPr>
          <w:b/>
          <w:color w:val="0070C0"/>
          <w:szCs w:val="24"/>
        </w:rPr>
        <w:t xml:space="preserve"> </w:t>
      </w:r>
      <w:r w:rsidR="00957444" w:rsidRPr="00E24118">
        <w:rPr>
          <w:b/>
          <w:color w:val="0070C0"/>
          <w:szCs w:val="24"/>
        </w:rPr>
        <w:t>A (Stock Replenishment)</w:t>
      </w:r>
    </w:p>
    <w:p w:rsidR="007A1957" w:rsidRPr="0037712B" w:rsidRDefault="00942F2E" w:rsidP="00AA7149">
      <w:pPr>
        <w:pBdr>
          <w:top w:val="single" w:sz="4" w:space="1" w:color="auto"/>
          <w:left w:val="single" w:sz="4" w:space="4" w:color="auto"/>
          <w:bottom w:val="single" w:sz="4" w:space="1" w:color="auto"/>
          <w:right w:val="single" w:sz="4" w:space="4" w:color="auto"/>
        </w:pBdr>
        <w:rPr>
          <w:rFonts w:ascii="TitilliumText22L Lt" w:hAnsi="TitilliumText22L Lt"/>
          <w:color w:val="0070C0"/>
          <w:szCs w:val="24"/>
        </w:rPr>
      </w:pPr>
      <w:r w:rsidRPr="00E24118">
        <w:rPr>
          <w:b/>
          <w:color w:val="0070C0"/>
          <w:szCs w:val="24"/>
        </w:rPr>
        <w:t>Dispenser</w:t>
      </w:r>
      <w:r w:rsidR="00EF603D" w:rsidRPr="00E24118">
        <w:rPr>
          <w:b/>
          <w:color w:val="0070C0"/>
          <w:szCs w:val="24"/>
        </w:rPr>
        <w:t xml:space="preserve"> </w:t>
      </w:r>
      <w:r w:rsidR="00957444" w:rsidRPr="00E24118">
        <w:rPr>
          <w:b/>
          <w:color w:val="0070C0"/>
          <w:szCs w:val="24"/>
        </w:rPr>
        <w:t>A</w:t>
      </w:r>
      <w:r w:rsidR="00957444" w:rsidRPr="0037712B">
        <w:rPr>
          <w:rFonts w:ascii="TitilliumText22L Lt" w:hAnsi="TitilliumText22L Lt"/>
          <w:b/>
          <w:color w:val="0070C0"/>
          <w:szCs w:val="24"/>
        </w:rPr>
        <w:t xml:space="preserve"> </w:t>
      </w:r>
      <w:r w:rsidR="00957444" w:rsidRPr="0037712B">
        <w:rPr>
          <w:rFonts w:ascii="TitilliumText22L Lt" w:hAnsi="TitilliumText22L Lt"/>
          <w:color w:val="0070C0"/>
          <w:szCs w:val="24"/>
        </w:rPr>
        <w:t xml:space="preserve">gets their Ig replenished </w:t>
      </w:r>
      <w:r w:rsidR="007A1957" w:rsidRPr="0037712B">
        <w:rPr>
          <w:rFonts w:ascii="TitilliumText22L Lt" w:hAnsi="TitilliumText22L Lt"/>
          <w:color w:val="0070C0"/>
          <w:szCs w:val="24"/>
        </w:rPr>
        <w:t>every second day</w:t>
      </w:r>
      <w:r w:rsidR="00FB2782" w:rsidRPr="0037712B">
        <w:rPr>
          <w:rFonts w:ascii="TitilliumText22L Lt" w:hAnsi="TitilliumText22L Lt"/>
          <w:color w:val="0070C0"/>
          <w:szCs w:val="24"/>
        </w:rPr>
        <w:t xml:space="preserve"> during the week</w:t>
      </w:r>
      <w:r w:rsidR="00957444" w:rsidRPr="0037712B">
        <w:rPr>
          <w:rFonts w:ascii="TitilliumText22L Lt" w:hAnsi="TitilliumText22L Lt"/>
          <w:color w:val="0070C0"/>
          <w:szCs w:val="24"/>
        </w:rPr>
        <w:t xml:space="preserve">. They </w:t>
      </w:r>
      <w:r w:rsidR="00A22A81" w:rsidRPr="0037712B">
        <w:rPr>
          <w:rFonts w:ascii="TitilliumText22L Lt" w:hAnsi="TitilliumText22L Lt"/>
          <w:color w:val="0070C0"/>
          <w:szCs w:val="24"/>
        </w:rPr>
        <w:t>examine their weekly</w:t>
      </w:r>
      <w:r w:rsidR="00957444" w:rsidRPr="0037712B">
        <w:rPr>
          <w:rFonts w:ascii="TitilliumText22L Lt" w:hAnsi="TitilliumText22L Lt"/>
          <w:color w:val="0070C0"/>
          <w:szCs w:val="24"/>
        </w:rPr>
        <w:t xml:space="preserve"> dispense requests from the nurses via BloodSTAR</w:t>
      </w:r>
      <w:r w:rsidR="00A22A81" w:rsidRPr="0037712B">
        <w:rPr>
          <w:rFonts w:ascii="TitilliumText22L Lt" w:hAnsi="TitilliumText22L Lt"/>
          <w:color w:val="0070C0"/>
          <w:szCs w:val="24"/>
        </w:rPr>
        <w:t xml:space="preserve"> which are usually submitted</w:t>
      </w:r>
      <w:r w:rsidR="00957444" w:rsidRPr="0037712B">
        <w:rPr>
          <w:rFonts w:ascii="TitilliumText22L Lt" w:hAnsi="TitilliumText22L Lt"/>
          <w:color w:val="0070C0"/>
          <w:szCs w:val="24"/>
        </w:rPr>
        <w:t xml:space="preserve"> a week in advance of scheduled infusions</w:t>
      </w:r>
      <w:r w:rsidR="00A22A81" w:rsidRPr="0037712B">
        <w:rPr>
          <w:rFonts w:ascii="TitilliumText22L Lt" w:hAnsi="TitilliumText22L Lt"/>
          <w:color w:val="0070C0"/>
          <w:szCs w:val="24"/>
        </w:rPr>
        <w:t>. T</w:t>
      </w:r>
      <w:r w:rsidR="00D460CE" w:rsidRPr="0037712B">
        <w:rPr>
          <w:rFonts w:ascii="TitilliumText22L Lt" w:hAnsi="TitilliumText22L Lt"/>
          <w:color w:val="0070C0"/>
          <w:szCs w:val="24"/>
        </w:rPr>
        <w:t>he average require</w:t>
      </w:r>
      <w:r w:rsidR="007A1957" w:rsidRPr="0037712B">
        <w:rPr>
          <w:rFonts w:ascii="TitilliumText22L Lt" w:hAnsi="TitilliumText22L Lt"/>
          <w:color w:val="0070C0"/>
          <w:szCs w:val="24"/>
        </w:rPr>
        <w:t>ment remains fairly consistent</w:t>
      </w:r>
      <w:r w:rsidR="00A22A81" w:rsidRPr="0037712B">
        <w:rPr>
          <w:rFonts w:ascii="TitilliumText22L Lt" w:hAnsi="TitilliumText22L Lt"/>
          <w:color w:val="0070C0"/>
          <w:szCs w:val="24"/>
        </w:rPr>
        <w:t xml:space="preserve"> from week to week</w:t>
      </w:r>
      <w:r w:rsidR="007A1957" w:rsidRPr="0037712B">
        <w:rPr>
          <w:rFonts w:ascii="TitilliumText22L Lt" w:hAnsi="TitilliumText22L Lt"/>
          <w:color w:val="0070C0"/>
          <w:szCs w:val="24"/>
        </w:rPr>
        <w:t xml:space="preserve"> meaning that they are happy to have a regular </w:t>
      </w:r>
      <w:r w:rsidR="00A22A81" w:rsidRPr="0037712B">
        <w:rPr>
          <w:rFonts w:ascii="TitilliumText22L Lt" w:hAnsi="TitilliumText22L Lt"/>
          <w:color w:val="0070C0"/>
          <w:szCs w:val="24"/>
        </w:rPr>
        <w:t xml:space="preserve">set </w:t>
      </w:r>
      <w:r w:rsidR="007A1957" w:rsidRPr="0037712B">
        <w:rPr>
          <w:rFonts w:ascii="TitilliumText22L Lt" w:hAnsi="TitilliumText22L Lt"/>
          <w:color w:val="0070C0"/>
          <w:szCs w:val="24"/>
        </w:rPr>
        <w:t>target for stock holdings.</w:t>
      </w:r>
      <w:r w:rsidR="00A22A81" w:rsidRPr="0037712B">
        <w:rPr>
          <w:rFonts w:ascii="TitilliumText22L Lt" w:hAnsi="TitilliumText22L Lt"/>
          <w:color w:val="0070C0"/>
          <w:szCs w:val="24"/>
        </w:rPr>
        <w:t xml:space="preserve"> This target has been set as a maximum stock level in BloodNet.</w:t>
      </w:r>
    </w:p>
    <w:p w:rsidR="00957444" w:rsidRPr="0037712B" w:rsidRDefault="007A1957" w:rsidP="00AA7149">
      <w:pPr>
        <w:pBdr>
          <w:top w:val="single" w:sz="4" w:space="1" w:color="auto"/>
          <w:left w:val="single" w:sz="4" w:space="4" w:color="auto"/>
          <w:bottom w:val="single" w:sz="4" w:space="1" w:color="auto"/>
          <w:right w:val="single" w:sz="4" w:space="4" w:color="auto"/>
        </w:pBdr>
        <w:rPr>
          <w:rFonts w:ascii="TitilliumText22L Lt" w:hAnsi="TitilliumText22L Lt"/>
          <w:color w:val="0070C0"/>
          <w:szCs w:val="24"/>
        </w:rPr>
      </w:pPr>
      <w:r w:rsidRPr="0037712B">
        <w:rPr>
          <w:rFonts w:ascii="TitilliumText22L Lt" w:hAnsi="TitilliumText22L Lt"/>
          <w:color w:val="0070C0"/>
          <w:szCs w:val="24"/>
        </w:rPr>
        <w:t xml:space="preserve">Every second day the </w:t>
      </w:r>
      <w:r w:rsidR="00EA28B8" w:rsidRPr="0037712B">
        <w:rPr>
          <w:rFonts w:ascii="TitilliumText22L Lt" w:hAnsi="TitilliumText22L Lt"/>
          <w:color w:val="0070C0"/>
          <w:szCs w:val="24"/>
        </w:rPr>
        <w:t>d</w:t>
      </w:r>
      <w:r w:rsidR="00942F2E" w:rsidRPr="0037712B">
        <w:rPr>
          <w:rFonts w:ascii="TitilliumText22L Lt" w:hAnsi="TitilliumText22L Lt"/>
          <w:color w:val="0070C0"/>
          <w:szCs w:val="24"/>
        </w:rPr>
        <w:t>ispenser</w:t>
      </w:r>
      <w:r w:rsidR="00EF603D" w:rsidRPr="0037712B">
        <w:rPr>
          <w:rFonts w:ascii="TitilliumText22L Lt" w:hAnsi="TitilliumText22L Lt"/>
          <w:color w:val="0070C0"/>
          <w:szCs w:val="24"/>
        </w:rPr>
        <w:t xml:space="preserve"> </w:t>
      </w:r>
      <w:r w:rsidRPr="0037712B">
        <w:rPr>
          <w:rFonts w:ascii="TitilliumText22L Lt" w:hAnsi="TitilliumText22L Lt"/>
          <w:color w:val="0070C0"/>
          <w:szCs w:val="24"/>
        </w:rPr>
        <w:t>would place an order based on their required target minus their current stock on hand.</w:t>
      </w:r>
    </w:p>
    <w:p w:rsidR="00C74E12" w:rsidRPr="0037712B" w:rsidRDefault="00C74E12" w:rsidP="00AA7149">
      <w:pPr>
        <w:pBdr>
          <w:top w:val="single" w:sz="4" w:space="1" w:color="auto"/>
          <w:left w:val="single" w:sz="4" w:space="4" w:color="auto"/>
          <w:bottom w:val="single" w:sz="4" w:space="1" w:color="auto"/>
          <w:right w:val="single" w:sz="4" w:space="4" w:color="auto"/>
        </w:pBdr>
        <w:rPr>
          <w:rFonts w:ascii="TitilliumText22L Lt" w:hAnsi="TitilliumText22L Lt"/>
          <w:color w:val="0070C0"/>
          <w:szCs w:val="24"/>
        </w:rPr>
      </w:pPr>
    </w:p>
    <w:p w:rsidR="007A1957" w:rsidRPr="00E24118" w:rsidRDefault="00942F2E" w:rsidP="00AA7149">
      <w:pPr>
        <w:pBdr>
          <w:top w:val="single" w:sz="4" w:space="1" w:color="auto"/>
          <w:left w:val="single" w:sz="4" w:space="4" w:color="auto"/>
          <w:bottom w:val="single" w:sz="4" w:space="1" w:color="auto"/>
          <w:right w:val="single" w:sz="4" w:space="4" w:color="auto"/>
        </w:pBdr>
        <w:rPr>
          <w:color w:val="0070C0"/>
          <w:szCs w:val="24"/>
        </w:rPr>
      </w:pPr>
      <w:r w:rsidRPr="00E24118">
        <w:rPr>
          <w:b/>
          <w:color w:val="0070C0"/>
          <w:szCs w:val="24"/>
        </w:rPr>
        <w:t>Dispenser</w:t>
      </w:r>
      <w:r w:rsidR="00EF603D" w:rsidRPr="00E24118">
        <w:rPr>
          <w:b/>
          <w:color w:val="0070C0"/>
          <w:szCs w:val="24"/>
        </w:rPr>
        <w:t xml:space="preserve"> </w:t>
      </w:r>
      <w:r w:rsidR="00875296" w:rsidRPr="00E24118">
        <w:rPr>
          <w:b/>
          <w:color w:val="0070C0"/>
          <w:szCs w:val="24"/>
        </w:rPr>
        <w:t>B</w:t>
      </w:r>
      <w:r w:rsidR="00875296" w:rsidRPr="00E24118">
        <w:rPr>
          <w:color w:val="0070C0"/>
          <w:szCs w:val="24"/>
        </w:rPr>
        <w:t xml:space="preserve"> </w:t>
      </w:r>
      <w:r w:rsidR="007A1957" w:rsidRPr="00E24118">
        <w:rPr>
          <w:b/>
          <w:color w:val="0070C0"/>
          <w:szCs w:val="24"/>
        </w:rPr>
        <w:t>(</w:t>
      </w:r>
      <w:r w:rsidR="00C77373" w:rsidRPr="00E24118">
        <w:rPr>
          <w:b/>
          <w:color w:val="0070C0"/>
          <w:szCs w:val="24"/>
        </w:rPr>
        <w:t>Scheduled Infusions</w:t>
      </w:r>
      <w:r w:rsidR="007A1957" w:rsidRPr="00E24118">
        <w:rPr>
          <w:b/>
          <w:color w:val="0070C0"/>
          <w:szCs w:val="24"/>
        </w:rPr>
        <w:t>)</w:t>
      </w:r>
    </w:p>
    <w:p w:rsidR="00891D6F" w:rsidRPr="00891D6F" w:rsidRDefault="00891D6F" w:rsidP="00891D6F">
      <w:pPr>
        <w:pBdr>
          <w:top w:val="single" w:sz="4" w:space="1" w:color="auto"/>
          <w:left w:val="single" w:sz="4" w:space="4" w:color="auto"/>
          <w:bottom w:val="single" w:sz="4" w:space="1" w:color="auto"/>
          <w:right w:val="single" w:sz="4" w:space="4" w:color="auto"/>
        </w:pBdr>
        <w:rPr>
          <w:rFonts w:ascii="TitilliumText22L Lt" w:hAnsi="TitilliumText22L Lt"/>
          <w:color w:val="0070C0"/>
          <w:szCs w:val="24"/>
        </w:rPr>
      </w:pPr>
      <w:r w:rsidRPr="00E24118">
        <w:rPr>
          <w:b/>
          <w:color w:val="0070C0"/>
          <w:szCs w:val="24"/>
        </w:rPr>
        <w:t>Dispenser B</w:t>
      </w:r>
      <w:r w:rsidRPr="00891D6F">
        <w:rPr>
          <w:rFonts w:ascii="TitilliumText22L Lt" w:hAnsi="TitilliumText22L Lt"/>
          <w:color w:val="0070C0"/>
          <w:szCs w:val="24"/>
        </w:rPr>
        <w:t xml:space="preserve"> places their orders once a week and they receive dispense requests from the nurses via BloodSTAR a week in advance of scheduled infusions. The amount of product required based on these dispense requests can vary significantly from week to week. Before ordering, the dispenser would check the dispense requests in BloodNet</w:t>
      </w:r>
      <w:r w:rsidRPr="00891D6F">
        <w:rPr>
          <w:rFonts w:ascii="TitilliumText22L Lt" w:hAnsi="TitilliumText22L Lt"/>
          <w:sz w:val="24"/>
          <w:szCs w:val="24"/>
        </w:rPr>
        <w:t xml:space="preserve"> </w:t>
      </w:r>
      <w:r w:rsidRPr="00891D6F">
        <w:rPr>
          <w:rFonts w:ascii="TitilliumText22L Lt" w:hAnsi="TitilliumText22L Lt"/>
          <w:color w:val="0070C0"/>
          <w:szCs w:val="24"/>
        </w:rPr>
        <w:t>to determine the quantity of Ig required for that week. If the required product quantity is already available in inventory, there is no need for an order. However if inventory stock is less than the required quantity, the dispenser would then calculate the difference and place a BloodNet stock order.</w:t>
      </w:r>
    </w:p>
    <w:p w:rsidR="00891D6F" w:rsidRPr="00891D6F" w:rsidRDefault="00891D6F" w:rsidP="00891D6F">
      <w:pPr>
        <w:pBdr>
          <w:top w:val="single" w:sz="4" w:space="1" w:color="auto"/>
          <w:left w:val="single" w:sz="4" w:space="4" w:color="auto"/>
          <w:bottom w:val="single" w:sz="4" w:space="1" w:color="auto"/>
          <w:right w:val="single" w:sz="4" w:space="4" w:color="auto"/>
        </w:pBdr>
        <w:rPr>
          <w:rFonts w:ascii="TitilliumText22L Lt" w:hAnsi="TitilliumText22L Lt"/>
          <w:color w:val="0070C0"/>
          <w:szCs w:val="24"/>
        </w:rPr>
      </w:pPr>
      <w:r w:rsidRPr="00891D6F">
        <w:rPr>
          <w:rFonts w:ascii="TitilliumText22L Lt" w:hAnsi="TitilliumText22L Lt"/>
          <w:color w:val="0070C0"/>
          <w:szCs w:val="24"/>
        </w:rPr>
        <w:t>Note: Instead of using dispense requests, the dispenser can choose to use the planned authorised patient list for the facility for a certain period to place an order.</w:t>
      </w:r>
    </w:p>
    <w:p w:rsidR="00A56653" w:rsidRDefault="00553212" w:rsidP="00BC5A06">
      <w:pPr>
        <w:pStyle w:val="Heading2"/>
        <w:jc w:val="center"/>
      </w:pPr>
      <w:r>
        <w:rPr>
          <w:noProof/>
          <w:lang w:eastAsia="en-AU"/>
        </w:rPr>
        <w:drawing>
          <wp:inline distT="0" distB="0" distL="0" distR="0" wp14:anchorId="61001873" wp14:editId="15A83A11">
            <wp:extent cx="4146698" cy="2761651"/>
            <wp:effectExtent l="0" t="0" r="635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tock_000024051259.jpg"/>
                    <pic:cNvPicPr/>
                  </pic:nvPicPr>
                  <pic:blipFill>
                    <a:blip r:embed="rId25">
                      <a:extLst>
                        <a:ext uri="{28A0092B-C50C-407E-A947-70E740481C1C}">
                          <a14:useLocalDpi xmlns:a14="http://schemas.microsoft.com/office/drawing/2010/main" val="0"/>
                        </a:ext>
                      </a:extLst>
                    </a:blip>
                    <a:stretch>
                      <a:fillRect/>
                    </a:stretch>
                  </pic:blipFill>
                  <pic:spPr>
                    <a:xfrm>
                      <a:off x="0" y="0"/>
                      <a:ext cx="4149138" cy="2763276"/>
                    </a:xfrm>
                    <a:prstGeom prst="rect">
                      <a:avLst/>
                    </a:prstGeom>
                  </pic:spPr>
                </pic:pic>
              </a:graphicData>
            </a:graphic>
          </wp:inline>
        </w:drawing>
      </w:r>
    </w:p>
    <w:p w:rsidR="00AA7149" w:rsidRPr="0077334A" w:rsidRDefault="00AA7149" w:rsidP="00AA7149">
      <w:pPr>
        <w:pStyle w:val="Heading2"/>
      </w:pPr>
      <w:bookmarkStart w:id="9" w:name="_Toc445976848"/>
      <w:r w:rsidRPr="0077334A">
        <w:t>Dispensing</w:t>
      </w:r>
      <w:bookmarkEnd w:id="9"/>
      <w:r w:rsidRPr="0077334A">
        <w:t xml:space="preserve"> </w:t>
      </w:r>
    </w:p>
    <w:p w:rsidR="006015E0" w:rsidRPr="00E24118" w:rsidRDefault="00AA7149" w:rsidP="006B1482">
      <w:pPr>
        <w:ind w:left="709"/>
        <w:rPr>
          <w:b/>
          <w:sz w:val="24"/>
          <w:szCs w:val="24"/>
        </w:rPr>
      </w:pPr>
      <w:r w:rsidRPr="00E24118">
        <w:rPr>
          <w:b/>
          <w:noProof/>
          <w:sz w:val="24"/>
          <w:szCs w:val="24"/>
          <w:lang w:eastAsia="en-AU"/>
        </w:rPr>
        <mc:AlternateContent>
          <mc:Choice Requires="wps">
            <w:drawing>
              <wp:anchor distT="0" distB="0" distL="114300" distR="114300" simplePos="0" relativeHeight="251671552" behindDoc="0" locked="0" layoutInCell="1" allowOverlap="1" wp14:anchorId="10B2FD51" wp14:editId="58D4C773">
                <wp:simplePos x="0" y="0"/>
                <wp:positionH relativeFrom="column">
                  <wp:posOffset>-27940</wp:posOffset>
                </wp:positionH>
                <wp:positionV relativeFrom="paragraph">
                  <wp:posOffset>21590</wp:posOffset>
                </wp:positionV>
                <wp:extent cx="390525" cy="383540"/>
                <wp:effectExtent l="76200" t="76200" r="104775" b="9271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83540"/>
                        </a:xfrm>
                        <a:prstGeom prst="rect">
                          <a:avLst/>
                        </a:prstGeom>
                        <a:solidFill>
                          <a:srgbClr val="FFFFFF"/>
                        </a:solidFill>
                        <a:ln w="9525">
                          <a:solidFill>
                            <a:srgbClr val="000000"/>
                          </a:solidFill>
                          <a:miter lim="800000"/>
                          <a:headEnd/>
                          <a:tailEnd/>
                        </a:ln>
                        <a:effectLst>
                          <a:glow rad="63500">
                            <a:schemeClr val="accent2">
                              <a:satMod val="175000"/>
                              <a:alpha val="40000"/>
                            </a:schemeClr>
                          </a:glow>
                        </a:effectLst>
                      </wps:spPr>
                      <wps:txbx>
                        <w:txbxContent>
                          <w:p w:rsidR="00F13AB5" w:rsidRPr="00F13AB5" w:rsidRDefault="00F13AB5" w:rsidP="00F13AB5">
                            <w:pPr>
                              <w:jc w:val="center"/>
                              <w:rPr>
                                <w:rFonts w:ascii="Britannic Bold" w:hAnsi="Britannic Bold"/>
                                <w:b/>
                                <w:color w:val="FF0000"/>
                                <w:sz w:val="36"/>
                              </w:rPr>
                            </w:pPr>
                            <w:r w:rsidRPr="00F13AB5">
                              <w:rPr>
                                <w:rFonts w:ascii="Britannic Bold" w:hAnsi="Britannic Bold"/>
                                <w:b/>
                                <w:color w:val="FF0000"/>
                                <w:sz w:val="36"/>
                              </w:rPr>
                              <w:t>!</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left:0;text-align:left;margin-left:-2.2pt;margin-top:1.7pt;width:30.75pt;height:30.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7h4YgIAANwEAAAOAAAAZHJzL2Uyb0RvYy54bWysVNtu2zAMfR+wfxD0vti5tY0Rp+jSZRjQ&#10;XYB2H8DIcixMFjVJid19fSm5SYNu2MMwPwiiSB0d8pBeXvetZgfpvEJT8vEo50wagZUyu5J/f9i8&#10;u+LMBzAVaDSy5I/S8+vV2zfLzhZygg3qSjpGIMYXnS15E4ItssyLRrbgR2ilIWeNroVApttllYOO&#10;0FudTfL8IuvQVdahkN7T6e3g5KuEX9dShK917WVguuTELaTVpXUb12y1hGLnwDZKPNOAf2DRgjL0&#10;6AnqFgKwvVO/QbVKOPRYh5HANsO6VkKmHCibcf4qm/sGrEy5UHG8PZXJ/z9Y8eXwzTFVlfySMwMt&#10;SfQg+8DeY88msTqd9QUF3VsKCz0dk8opU2/vUPzwzOC6AbOTN85h10ioiN043szOrg44PoJsu89Y&#10;0TOwD5iA+tq1sXRUDEbopNLjSZlIRdDhdJHPJ3POBLmmV9P5LCmXQXG8bJ0PHyW2LG5K7kj4BA6H&#10;Ox8iGSiOIfEtj1pVG6V1Mtxuu9aOHYCaZJO+xP9VmDasK/ki8vg7RJ6+P0G0KlC3a9WW/OoUBEWs&#10;2gdTpV4MoPSwJ8raxJdk6mPKIxo7jR1zQIJdTOd5PlCJ0yJPKYAQ0oTJ4IJA5R5SG1/SheeWB20b&#10;GI5nkcmR7REpVSy+lTZnDJKqUchB0tBv+9Q+46R5lHyL1SPp7HAYNvo50KZB94uzjgat5P7nHpzk&#10;TH8y1CuL8YzUZCEZs/nlhAx37tmee8AIgiq5CI6zwViHNM+xOAZvqKtqlRR/4fLcizRCQ1rDuMcZ&#10;PbdT1MtPafUEAAD//wMAUEsDBBQABgAIAAAAIQCG1ADu2gAAAAYBAAAPAAAAZHJzL2Rvd25yZXYu&#10;eG1sTI7BTsMwEETvSPyDtUjcWqe0lCpkU0VFHItEQZy3tpsE7LUVu2n4e8wJTqPRjGZetZ2cFaMZ&#10;Yu8ZYTEvQBhWXvfcIry/Pc82IGIi1mQ9G4RvE2FbX19VVGp/4VczHlIr8gjHkhC6lEIpZVSdcRTn&#10;PhjO2ckPjlK2Qyv1QJc87qy8K4q1dNRzfugomF1n1Nfh7BD2zX5XvAyja8LH6dNSUOopRMTbm6l5&#10;BJHMlP7K8Iuf0aHOTEd/Zh2FRZitVrmJsMyS4/uHBYgjwnq5AVlX8j9+/QMAAP//AwBQSwECLQAU&#10;AAYACAAAACEAtoM4kv4AAADhAQAAEwAAAAAAAAAAAAAAAAAAAAAAW0NvbnRlbnRfVHlwZXNdLnht&#10;bFBLAQItABQABgAIAAAAIQA4/SH/1gAAAJQBAAALAAAAAAAAAAAAAAAAAC8BAABfcmVscy8ucmVs&#10;c1BLAQItABQABgAIAAAAIQCXy7h4YgIAANwEAAAOAAAAAAAAAAAAAAAAAC4CAABkcnMvZTJvRG9j&#10;LnhtbFBLAQItABQABgAIAAAAIQCG1ADu2gAAAAYBAAAPAAAAAAAAAAAAAAAAALwEAABkcnMvZG93&#10;bnJldi54bWxQSwUGAAAAAAQABADzAAAAwwUAAAAA&#10;">
                <v:textbox>
                  <w:txbxContent>
                    <w:p w:rsidR="00F13AB5" w:rsidRPr="00F13AB5" w:rsidRDefault="00F13AB5" w:rsidP="00F13AB5">
                      <w:pPr>
                        <w:jc w:val="center"/>
                        <w:rPr>
                          <w:rFonts w:ascii="Britannic Bold" w:hAnsi="Britannic Bold"/>
                          <w:b/>
                          <w:color w:val="FF0000"/>
                          <w:sz w:val="36"/>
                        </w:rPr>
                      </w:pPr>
                      <w:r w:rsidRPr="00F13AB5">
                        <w:rPr>
                          <w:rFonts w:ascii="Britannic Bold" w:hAnsi="Britannic Bold"/>
                          <w:b/>
                          <w:color w:val="FF0000"/>
                          <w:sz w:val="36"/>
                        </w:rPr>
                        <w:t>!</w:t>
                      </w:r>
                    </w:p>
                  </w:txbxContent>
                </v:textbox>
              </v:shape>
            </w:pict>
          </mc:Fallback>
        </mc:AlternateContent>
      </w:r>
      <w:r w:rsidR="00C74E12" w:rsidRPr="00E24118">
        <w:rPr>
          <w:b/>
          <w:sz w:val="24"/>
          <w:szCs w:val="24"/>
        </w:rPr>
        <w:t xml:space="preserve">To ensure accurate dispense reconciliation in BloodSTAR, product should be allocated to patients at the time of dispense, and </w:t>
      </w:r>
      <w:r w:rsidR="006015E0" w:rsidRPr="00E24118">
        <w:rPr>
          <w:b/>
          <w:sz w:val="24"/>
          <w:szCs w:val="24"/>
        </w:rPr>
        <w:t xml:space="preserve">not </w:t>
      </w:r>
      <w:r w:rsidR="00C74E12" w:rsidRPr="00E24118">
        <w:rPr>
          <w:b/>
          <w:sz w:val="24"/>
          <w:szCs w:val="24"/>
        </w:rPr>
        <w:t>up</w:t>
      </w:r>
      <w:r w:rsidR="006015E0" w:rsidRPr="00E24118">
        <w:rPr>
          <w:b/>
          <w:sz w:val="24"/>
          <w:szCs w:val="24"/>
        </w:rPr>
        <w:t>on receipt into inventory</w:t>
      </w:r>
      <w:r w:rsidR="00C74E12" w:rsidRPr="00E24118">
        <w:rPr>
          <w:b/>
          <w:sz w:val="24"/>
          <w:szCs w:val="24"/>
        </w:rPr>
        <w:t>.</w:t>
      </w:r>
    </w:p>
    <w:p w:rsidR="00891D6F" w:rsidRPr="00891D6F" w:rsidRDefault="00891D6F" w:rsidP="00891D6F">
      <w:pPr>
        <w:rPr>
          <w:rFonts w:ascii="TitilliumText22L Lt" w:hAnsi="TitilliumText22L Lt"/>
          <w:sz w:val="24"/>
          <w:szCs w:val="24"/>
        </w:rPr>
      </w:pPr>
      <w:r w:rsidRPr="00891D6F">
        <w:rPr>
          <w:rFonts w:ascii="TitilliumText22L Lt" w:hAnsi="TitilliumText22L Lt"/>
          <w:sz w:val="24"/>
          <w:szCs w:val="24"/>
        </w:rPr>
        <w:t xml:space="preserve">Ig must only be dispensed against planned infusions or dispense requests for authorised patients, except in exceptional circumstances as outlined in the national policy. The dispenser should review the dispense request for accuracy and take into account any past </w:t>
      </w:r>
      <w:r w:rsidRPr="00891D6F">
        <w:rPr>
          <w:rFonts w:ascii="TitilliumText22L Lt" w:hAnsi="TitilliumText22L Lt"/>
          <w:sz w:val="24"/>
          <w:szCs w:val="24"/>
        </w:rPr>
        <w:lastRenderedPageBreak/>
        <w:t>or current variations noted in the planning sheet/infusion plan. Product should only be dispensed where:</w:t>
      </w:r>
    </w:p>
    <w:p w:rsidR="00891D6F" w:rsidRPr="00891D6F" w:rsidRDefault="00891D6F" w:rsidP="00891D6F">
      <w:pPr>
        <w:pStyle w:val="ListParagraph"/>
        <w:numPr>
          <w:ilvl w:val="0"/>
          <w:numId w:val="32"/>
        </w:numPr>
        <w:rPr>
          <w:rFonts w:ascii="TitilliumText22L Lt" w:hAnsi="TitilliumText22L Lt"/>
          <w:sz w:val="24"/>
          <w:szCs w:val="24"/>
        </w:rPr>
      </w:pPr>
      <w:r w:rsidRPr="00891D6F">
        <w:rPr>
          <w:rFonts w:ascii="TitilliumText22L Lt" w:hAnsi="TitilliumText22L Lt"/>
          <w:sz w:val="24"/>
          <w:szCs w:val="24"/>
        </w:rPr>
        <w:t>it is for a patient with a current authorisation</w:t>
      </w:r>
    </w:p>
    <w:p w:rsidR="00891D6F" w:rsidRPr="00891D6F" w:rsidRDefault="00891D6F" w:rsidP="00891D6F">
      <w:pPr>
        <w:pStyle w:val="ListParagraph"/>
        <w:numPr>
          <w:ilvl w:val="0"/>
          <w:numId w:val="32"/>
        </w:numPr>
        <w:rPr>
          <w:rFonts w:ascii="TitilliumText22L Lt" w:hAnsi="TitilliumText22L Lt"/>
          <w:sz w:val="24"/>
          <w:szCs w:val="24"/>
        </w:rPr>
      </w:pPr>
      <w:r w:rsidRPr="00891D6F">
        <w:rPr>
          <w:rFonts w:ascii="TitilliumText22L Lt" w:hAnsi="TitilliumText22L Lt"/>
          <w:sz w:val="24"/>
          <w:szCs w:val="24"/>
        </w:rPr>
        <w:t>the requested product type is the authorised product type</w:t>
      </w:r>
    </w:p>
    <w:p w:rsidR="00891D6F" w:rsidRPr="00891D6F" w:rsidRDefault="00891D6F" w:rsidP="00891D6F">
      <w:pPr>
        <w:pStyle w:val="ListParagraph"/>
        <w:numPr>
          <w:ilvl w:val="0"/>
          <w:numId w:val="32"/>
        </w:numPr>
        <w:rPr>
          <w:rFonts w:ascii="TitilliumText22L Lt" w:hAnsi="TitilliumText22L Lt"/>
          <w:sz w:val="24"/>
          <w:szCs w:val="24"/>
        </w:rPr>
      </w:pPr>
      <w:r w:rsidRPr="00891D6F">
        <w:rPr>
          <w:rFonts w:ascii="TitilliumText22L Lt" w:hAnsi="TitilliumText22L Lt"/>
          <w:sz w:val="24"/>
          <w:szCs w:val="24"/>
        </w:rPr>
        <w:t>the quantity matches or is less than the authorised quantity</w:t>
      </w:r>
    </w:p>
    <w:p w:rsidR="00891D6F" w:rsidRPr="00891D6F" w:rsidRDefault="00891D6F" w:rsidP="00891D6F">
      <w:pPr>
        <w:pStyle w:val="ListParagraph"/>
        <w:numPr>
          <w:ilvl w:val="0"/>
          <w:numId w:val="32"/>
        </w:numPr>
        <w:rPr>
          <w:rFonts w:ascii="TitilliumText22L Lt" w:hAnsi="TitilliumText22L Lt"/>
          <w:sz w:val="24"/>
          <w:szCs w:val="24"/>
        </w:rPr>
      </w:pPr>
      <w:r w:rsidRPr="00891D6F">
        <w:rPr>
          <w:rFonts w:ascii="TitilliumText22L Lt" w:hAnsi="TitilliumText22L Lt"/>
          <w:sz w:val="24"/>
          <w:szCs w:val="24"/>
        </w:rPr>
        <w:t>the interval since the last infusion matches the authorised interval</w:t>
      </w:r>
    </w:p>
    <w:p w:rsidR="00891D6F" w:rsidRPr="00891D6F" w:rsidRDefault="00891D6F" w:rsidP="00891D6F">
      <w:pPr>
        <w:pStyle w:val="ListParagraph"/>
        <w:rPr>
          <w:rFonts w:ascii="TitilliumText22L Lt" w:hAnsi="TitilliumText22L Lt"/>
          <w:sz w:val="24"/>
          <w:szCs w:val="24"/>
        </w:rPr>
      </w:pPr>
      <w:r w:rsidRPr="00891D6F">
        <w:rPr>
          <w:rFonts w:ascii="TitilliumText22L Lt" w:hAnsi="TitilliumText22L Lt"/>
          <w:sz w:val="24"/>
          <w:szCs w:val="24"/>
        </w:rPr>
        <w:t>OR</w:t>
      </w:r>
    </w:p>
    <w:p w:rsidR="00891D6F" w:rsidRPr="00891D6F" w:rsidRDefault="00891D6F" w:rsidP="00891D6F">
      <w:pPr>
        <w:pStyle w:val="ListParagraph"/>
        <w:numPr>
          <w:ilvl w:val="0"/>
          <w:numId w:val="32"/>
        </w:numPr>
        <w:rPr>
          <w:rFonts w:ascii="TitilliumText22L Lt" w:hAnsi="TitilliumText22L Lt"/>
          <w:sz w:val="24"/>
          <w:szCs w:val="24"/>
        </w:rPr>
      </w:pPr>
      <w:r w:rsidRPr="00891D6F">
        <w:rPr>
          <w:rFonts w:ascii="TitilliumText22L Lt" w:hAnsi="TitilliumText22L Lt"/>
          <w:sz w:val="24"/>
          <w:szCs w:val="24"/>
        </w:rPr>
        <w:t xml:space="preserve">there is a justifiable reason to which a dispense request is outside of the infusion plan. i.e. the patient fails to turn up on time (Note: this will require action in BloodNet as it will result in a dispense discrepancy). </w:t>
      </w:r>
    </w:p>
    <w:p w:rsidR="00891D6F" w:rsidRPr="00891D6F" w:rsidRDefault="00891D6F" w:rsidP="00891D6F">
      <w:pPr>
        <w:rPr>
          <w:rFonts w:ascii="TitilliumText22L Lt" w:hAnsi="TitilliumText22L Lt"/>
          <w:sz w:val="24"/>
          <w:szCs w:val="24"/>
        </w:rPr>
      </w:pPr>
      <w:r w:rsidRPr="00891D6F">
        <w:rPr>
          <w:rFonts w:ascii="TitilliumText22L Lt" w:hAnsi="TitilliumText22L Lt"/>
          <w:sz w:val="24"/>
          <w:szCs w:val="24"/>
        </w:rPr>
        <w:t xml:space="preserve">When dispensing Ig product, Dispensers should issue product in accordance with the </w:t>
      </w:r>
      <w:r w:rsidRPr="00891D6F">
        <w:rPr>
          <w:rFonts w:ascii="TitilliumText22L Lt" w:hAnsi="TitilliumText22L Lt"/>
          <w:i/>
          <w:sz w:val="24"/>
          <w:szCs w:val="24"/>
        </w:rPr>
        <w:t>Immunoglobulin Governance National Policy</w:t>
      </w:r>
      <w:r w:rsidRPr="00891D6F">
        <w:rPr>
          <w:rFonts w:ascii="TitilliumText22L Lt" w:hAnsi="TitilliumText22L Lt"/>
          <w:sz w:val="24"/>
          <w:szCs w:val="24"/>
        </w:rPr>
        <w:t xml:space="preserve">. </w:t>
      </w:r>
    </w:p>
    <w:p w:rsidR="00891D6F" w:rsidRPr="00891D6F" w:rsidRDefault="00891D6F" w:rsidP="00891D6F">
      <w:pPr>
        <w:rPr>
          <w:rFonts w:ascii="TitilliumText22L Lt" w:hAnsi="TitilliumText22L Lt"/>
          <w:sz w:val="24"/>
          <w:szCs w:val="24"/>
        </w:rPr>
      </w:pPr>
      <w:r w:rsidRPr="00891D6F">
        <w:rPr>
          <w:rFonts w:ascii="TitilliumText22L Lt" w:hAnsi="TitilliumText22L Lt"/>
          <w:sz w:val="24"/>
          <w:szCs w:val="24"/>
        </w:rPr>
        <w:t xml:space="preserve">It is important to record dispensing information in BloodNet via the Authorisation tab to ensure the patients’ treatment plan in BloodSTAR is updated and there is traceability of product dispensed to patients in case of product recall and to reconcile dispense records with authorisations to identify, investigate and correct anomalies. Dispensers will need to perform reconciliation of dispense records where that dispense episode does not match details of an authorisation in BloodSTAR, because the timing, dose or product is not as expected. This will involve the dispenser regularly checking both the Dispense Discrepancies and Unmatched Fate Episodes (for LIS facilities only) on a regular basis and ensuring that any pending items under both menu items are actioned. </w:t>
      </w:r>
    </w:p>
    <w:p w:rsidR="0090210D" w:rsidRPr="00E24118" w:rsidRDefault="00F13AB5" w:rsidP="00DB0F65">
      <w:pPr>
        <w:ind w:left="720"/>
        <w:rPr>
          <w:b/>
          <w:sz w:val="24"/>
          <w:szCs w:val="24"/>
        </w:rPr>
      </w:pPr>
      <w:r w:rsidRPr="00E24118">
        <w:rPr>
          <w:b/>
          <w:noProof/>
          <w:sz w:val="24"/>
          <w:szCs w:val="24"/>
          <w:lang w:eastAsia="en-AU"/>
        </w:rPr>
        <mc:AlternateContent>
          <mc:Choice Requires="wps">
            <w:drawing>
              <wp:anchor distT="0" distB="0" distL="114300" distR="114300" simplePos="0" relativeHeight="251673600" behindDoc="0" locked="0" layoutInCell="1" allowOverlap="1" wp14:anchorId="7FC2392C" wp14:editId="59DE8881">
                <wp:simplePos x="0" y="0"/>
                <wp:positionH relativeFrom="column">
                  <wp:posOffset>-27940</wp:posOffset>
                </wp:positionH>
                <wp:positionV relativeFrom="paragraph">
                  <wp:posOffset>37465</wp:posOffset>
                </wp:positionV>
                <wp:extent cx="390525" cy="383540"/>
                <wp:effectExtent l="76200" t="76200" r="104775" b="9271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83540"/>
                        </a:xfrm>
                        <a:prstGeom prst="rect">
                          <a:avLst/>
                        </a:prstGeom>
                        <a:solidFill>
                          <a:srgbClr val="FFFFFF"/>
                        </a:solidFill>
                        <a:ln w="9525">
                          <a:solidFill>
                            <a:srgbClr val="000000"/>
                          </a:solidFill>
                          <a:miter lim="800000"/>
                          <a:headEnd/>
                          <a:tailEnd/>
                        </a:ln>
                        <a:effectLst>
                          <a:glow rad="63500">
                            <a:schemeClr val="accent2">
                              <a:satMod val="175000"/>
                              <a:alpha val="40000"/>
                            </a:schemeClr>
                          </a:glow>
                        </a:effectLst>
                      </wps:spPr>
                      <wps:txbx>
                        <w:txbxContent>
                          <w:p w:rsidR="00F13AB5" w:rsidRPr="00F13AB5" w:rsidRDefault="00F13AB5" w:rsidP="00F13AB5">
                            <w:pPr>
                              <w:jc w:val="center"/>
                              <w:rPr>
                                <w:rFonts w:ascii="Britannic Bold" w:hAnsi="Britannic Bold"/>
                                <w:b/>
                                <w:color w:val="FF0000"/>
                                <w:sz w:val="36"/>
                              </w:rPr>
                            </w:pPr>
                            <w:r w:rsidRPr="00F13AB5">
                              <w:rPr>
                                <w:rFonts w:ascii="Britannic Bold" w:hAnsi="Britannic Bold"/>
                                <w:b/>
                                <w:color w:val="FF0000"/>
                                <w:sz w:val="36"/>
                              </w:rPr>
                              <w:t>!</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2.2pt;margin-top:2.95pt;width:30.75pt;height:30.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v4cYQIAANwEAAAOAAAAZHJzL2Uyb0RvYy54bWysVNtu2zAMfR+wfxD0vti59WLUKbp0HQZ0&#10;F6DdBzCyHAuTRU1SY3dfP0pKsqAb9jDMD4IoUkeHPKSvrsdes510XqGp+XRSciaNwEaZbc2/Pt69&#10;ueDMBzANaDSy5s/S8+vV61dXg63kDDvUjXSMQIyvBlvzLgRbFYUXnezBT9BKQ84WXQ+BTLctGgcD&#10;ofe6mJXlWTGga6xDIb2n09vs5KuE37ZShM9t62VguubELaTVpXUT12J1BdXWge2U2NOAf2DRgzL0&#10;6BHqFgKwJ6d+g+qVcOixDROBfYFtq4RMOVA20/JFNg8dWJlyoeJ4eyyT/3+w4tPui2OqqTkJZaAn&#10;iR7lGNhbHNksVmewvqKgB0thYaRjUjll6u09im+eGVx3YLbyxjkcOgkNsZvGm8XJ1YzjI8hm+IgN&#10;PQNPARPQ2Lo+lo6KwQidVHo+KhOpCDqcX5bL2ZIzQa75xXy5SMoVUB0uW+fDe4k9i5uaOxI+gcPu&#10;3odIBqpDSHzLo1bNndI6GW67WWvHdkBNcpe+xP9FmDZsqPll5PF3iDJ9f4LoVaBu16qnch+DoIpV&#10;e2ea1IsBlM57oqxNfEmmPqY8orHVODAHJNjZfFmWmUqcFnlMAYSQJsyyCwKVO6c2PacL+5YHbTvI&#10;x4vI5MD2gJQqFt9KmxMGSdUoZJY0jJsxtc/02C0bbJ5JZ4d52OjnQJsO3Q/OBhq0mvvvT+AkZ/qD&#10;oV65nC5ITRaSsViez8hwp57NqQeMIKiai+A4y8Y6pHmOxTF4Q13VqqR4bL/MZd+LNEI5rTzucUZP&#10;7RT166e0+gkAAP//AwBQSwMEFAAGAAgAAAAhACaN/CvaAAAABgEAAA8AAABkcnMvZG93bnJldi54&#10;bWxMjsFOwzAQRO9I/IO1SNxap9AGCHGqqIhjkSiI89Z2k4C9tmw3DX+PeyrH0YzevHo9WcNGHeLg&#10;SMBiXgDTJJ0aqBPw+fE6ewQWE5JC40gL+NUR1s31VY2Vcid61+MudSxDKFYooE/JV5xH2WuLce68&#10;ptwdXLCYcgwdVwFPGW4NvyuKklscKD/06PWm1/Jnd7QCtu12U7yF0bb+6/Bt0Ev54qMQtzdT+wws&#10;6SldxnDWz+rQZKe9O5KKzAiYLZd5KWD1BCzXq4cFsL2AsrwH3tT8v37zBwAA//8DAFBLAQItABQA&#10;BgAIAAAAIQC2gziS/gAAAOEBAAATAAAAAAAAAAAAAAAAAAAAAABbQ29udGVudF9UeXBlc10ueG1s&#10;UEsBAi0AFAAGAAgAAAAhADj9If/WAAAAlAEAAAsAAAAAAAAAAAAAAAAALwEAAF9yZWxzLy5yZWxz&#10;UEsBAi0AFAAGAAgAAAAhAGdG/hxhAgAA3AQAAA4AAAAAAAAAAAAAAAAALgIAAGRycy9lMm9Eb2Mu&#10;eG1sUEsBAi0AFAAGAAgAAAAhACaN/CvaAAAABgEAAA8AAAAAAAAAAAAAAAAAuwQAAGRycy9kb3du&#10;cmV2LnhtbFBLBQYAAAAABAAEAPMAAADCBQAAAAA=&#10;">
                <v:textbox>
                  <w:txbxContent>
                    <w:p w:rsidR="00F13AB5" w:rsidRPr="00F13AB5" w:rsidRDefault="00F13AB5" w:rsidP="00F13AB5">
                      <w:pPr>
                        <w:jc w:val="center"/>
                        <w:rPr>
                          <w:rFonts w:ascii="Britannic Bold" w:hAnsi="Britannic Bold"/>
                          <w:b/>
                          <w:color w:val="FF0000"/>
                          <w:sz w:val="36"/>
                        </w:rPr>
                      </w:pPr>
                      <w:r w:rsidRPr="00F13AB5">
                        <w:rPr>
                          <w:rFonts w:ascii="Britannic Bold" w:hAnsi="Britannic Bold"/>
                          <w:b/>
                          <w:color w:val="FF0000"/>
                          <w:sz w:val="36"/>
                        </w:rPr>
                        <w:t>!</w:t>
                      </w:r>
                    </w:p>
                  </w:txbxContent>
                </v:textbox>
              </v:shape>
            </w:pict>
          </mc:Fallback>
        </mc:AlternateContent>
      </w:r>
      <w:r w:rsidR="0090210D" w:rsidRPr="00E24118">
        <w:rPr>
          <w:b/>
          <w:sz w:val="24"/>
          <w:szCs w:val="24"/>
        </w:rPr>
        <w:t>Reconciliation of dispense records should be done</w:t>
      </w:r>
      <w:r w:rsidR="008A7CCD" w:rsidRPr="00E24118">
        <w:rPr>
          <w:b/>
          <w:sz w:val="24"/>
          <w:szCs w:val="24"/>
        </w:rPr>
        <w:t xml:space="preserve"> as </w:t>
      </w:r>
      <w:r w:rsidR="00A26A66" w:rsidRPr="00E24118">
        <w:rPr>
          <w:b/>
          <w:sz w:val="24"/>
          <w:szCs w:val="24"/>
        </w:rPr>
        <w:t xml:space="preserve">frequently </w:t>
      </w:r>
      <w:r w:rsidR="008A7CCD" w:rsidRPr="00E24118">
        <w:rPr>
          <w:b/>
          <w:sz w:val="24"/>
          <w:szCs w:val="24"/>
        </w:rPr>
        <w:t>as possible</w:t>
      </w:r>
      <w:r w:rsidR="00A26A66" w:rsidRPr="00E24118">
        <w:rPr>
          <w:b/>
          <w:sz w:val="24"/>
          <w:szCs w:val="24"/>
        </w:rPr>
        <w:t xml:space="preserve"> to ensure appropriate follow-up of dispense</w:t>
      </w:r>
      <w:r w:rsidR="001A59E4" w:rsidRPr="00E24118">
        <w:rPr>
          <w:b/>
          <w:sz w:val="24"/>
          <w:szCs w:val="24"/>
        </w:rPr>
        <w:t xml:space="preserve"> episodes</w:t>
      </w:r>
      <w:r w:rsidR="00A26A66" w:rsidRPr="00E24118">
        <w:rPr>
          <w:b/>
          <w:sz w:val="24"/>
          <w:szCs w:val="24"/>
        </w:rPr>
        <w:t xml:space="preserve"> that cannot be matched to authorised dispense requests.</w:t>
      </w:r>
    </w:p>
    <w:p w:rsidR="00922D55" w:rsidRPr="00891D6F" w:rsidRDefault="00431594" w:rsidP="004044E6">
      <w:pPr>
        <w:rPr>
          <w:rFonts w:ascii="TitilliumText22L Lt" w:hAnsi="TitilliumText22L Lt"/>
          <w:sz w:val="24"/>
          <w:szCs w:val="24"/>
        </w:rPr>
      </w:pPr>
      <w:r w:rsidRPr="0037712B">
        <w:rPr>
          <w:rFonts w:ascii="TitilliumText22L Lt" w:hAnsi="TitilliumText22L Lt"/>
          <w:noProof/>
          <w:sz w:val="24"/>
          <w:szCs w:val="24"/>
          <w:u w:val="single"/>
          <w:lang w:eastAsia="en-AU"/>
        </w:rPr>
        <mc:AlternateContent>
          <mc:Choice Requires="wps">
            <w:drawing>
              <wp:anchor distT="0" distB="0" distL="114300" distR="114300" simplePos="0" relativeHeight="251663360" behindDoc="0" locked="0" layoutInCell="1" allowOverlap="1" wp14:anchorId="3D847CD0" wp14:editId="57A21B2F">
                <wp:simplePos x="0" y="0"/>
                <wp:positionH relativeFrom="column">
                  <wp:posOffset>-10633</wp:posOffset>
                </wp:positionH>
                <wp:positionV relativeFrom="paragraph">
                  <wp:posOffset>949251</wp:posOffset>
                </wp:positionV>
                <wp:extent cx="5915025" cy="3370521"/>
                <wp:effectExtent l="38100" t="38100" r="123825" b="11620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5025" cy="3370521"/>
                        </a:xfrm>
                        <a:prstGeom prst="rect">
                          <a:avLst/>
                        </a:prstGeom>
                        <a:solidFill>
                          <a:srgbClr val="FFFFFF"/>
                        </a:solidFill>
                        <a:ln w="9525">
                          <a:solidFill>
                            <a:srgbClr val="FF0000"/>
                          </a:solidFill>
                          <a:miter lim="800000"/>
                          <a:headEnd/>
                          <a:tailEnd/>
                        </a:ln>
                        <a:effectLst>
                          <a:outerShdw blurRad="50800" dist="38100" dir="2700000" algn="tl" rotWithShape="0">
                            <a:prstClr val="black">
                              <a:alpha val="40000"/>
                            </a:prstClr>
                          </a:outerShdw>
                        </a:effectLst>
                      </wps:spPr>
                      <wps:txbx>
                        <w:txbxContent>
                          <w:p w:rsidR="00552182" w:rsidRPr="00891D6F" w:rsidRDefault="008F2B1C" w:rsidP="008346A9">
                            <w:pPr>
                              <w:pStyle w:val="Heading3"/>
                              <w:spacing w:before="0" w:after="0"/>
                              <w:rPr>
                                <w:rFonts w:ascii="TitilliumText22L Lt" w:hAnsi="TitilliumText22L Lt"/>
                              </w:rPr>
                            </w:pPr>
                            <w:bookmarkStart w:id="10" w:name="_Toc445976849"/>
                            <w:r w:rsidRPr="00891D6F">
                              <w:rPr>
                                <w:rFonts w:ascii="TitilliumText22L Lt" w:hAnsi="TitilliumText22L Lt"/>
                              </w:rPr>
                              <w:t xml:space="preserve">Dispensing product where patient authorisation has not been obtained </w:t>
                            </w:r>
                            <w:bookmarkEnd w:id="10"/>
                          </w:p>
                          <w:p w:rsidR="008F2B1C" w:rsidRPr="00891D6F" w:rsidRDefault="00552182" w:rsidP="008F2B1C">
                            <w:pPr>
                              <w:rPr>
                                <w:rFonts w:ascii="TitilliumText22L Lt" w:hAnsi="TitilliumText22L Lt" w:cs="Arial"/>
                                <w:color w:val="C60C30"/>
                                <w:sz w:val="28"/>
                                <w:szCs w:val="28"/>
                              </w:rPr>
                            </w:pPr>
                            <w:r w:rsidRPr="00891D6F">
                              <w:rPr>
                                <w:rFonts w:ascii="TitilliumText22L Lt" w:hAnsi="TitilliumText22L Lt" w:cs="Arial"/>
                                <w:color w:val="C60C30"/>
                                <w:sz w:val="24"/>
                                <w:szCs w:val="28"/>
                              </w:rPr>
                              <w:t>R</w:t>
                            </w:r>
                            <w:r w:rsidR="008F2B1C" w:rsidRPr="00891D6F">
                              <w:rPr>
                                <w:rFonts w:ascii="TitilliumText22L Lt" w:hAnsi="TitilliumText22L Lt" w:cs="Arial"/>
                                <w:color w:val="C60C30"/>
                                <w:sz w:val="24"/>
                                <w:szCs w:val="28"/>
                              </w:rPr>
                              <w:t>efer to the Ig Governance National Policy</w:t>
                            </w:r>
                          </w:p>
                          <w:p w:rsidR="00891D6F" w:rsidRPr="00891D6F" w:rsidRDefault="00891D6F" w:rsidP="00431594">
                            <w:pPr>
                              <w:spacing w:after="120"/>
                              <w:ind w:left="360"/>
                              <w:rPr>
                                <w:rFonts w:ascii="TitilliumText22L Lt" w:hAnsi="TitilliumText22L Lt"/>
                                <w:sz w:val="24"/>
                                <w:szCs w:val="24"/>
                              </w:rPr>
                            </w:pPr>
                            <w:r w:rsidRPr="00891D6F">
                              <w:rPr>
                                <w:rFonts w:ascii="TitilliumText22L Lt" w:hAnsi="TitilliumText22L Lt"/>
                                <w:sz w:val="24"/>
                                <w:szCs w:val="24"/>
                              </w:rPr>
                              <w:t>Where Ig product is dispensed and patient authorisation has not been obtained for the approved supply of funded immunoglobulin product under the national blood arrangements:</w:t>
                            </w:r>
                          </w:p>
                          <w:p w:rsidR="00891D6F" w:rsidRPr="00431594" w:rsidRDefault="00891D6F" w:rsidP="00431594">
                            <w:pPr>
                              <w:pStyle w:val="ListParagraph"/>
                              <w:numPr>
                                <w:ilvl w:val="0"/>
                                <w:numId w:val="33"/>
                              </w:numPr>
                              <w:spacing w:after="0"/>
                              <w:rPr>
                                <w:rFonts w:ascii="TitilliumText22L Lt" w:hAnsi="TitilliumText22L Lt"/>
                                <w:sz w:val="24"/>
                                <w:szCs w:val="24"/>
                              </w:rPr>
                            </w:pPr>
                            <w:r w:rsidRPr="00891D6F">
                              <w:rPr>
                                <w:rFonts w:ascii="TitilliumText22L Lt" w:hAnsi="TitilliumText22L Lt"/>
                                <w:sz w:val="24"/>
                                <w:szCs w:val="24"/>
                              </w:rPr>
                              <w:t>where the dispenser holds imported product, imported product only should be dispensed.</w:t>
                            </w:r>
                          </w:p>
                          <w:p w:rsidR="00891D6F" w:rsidRPr="00891D6F" w:rsidRDefault="00891D6F" w:rsidP="00431594">
                            <w:pPr>
                              <w:pStyle w:val="ListParagraph"/>
                              <w:numPr>
                                <w:ilvl w:val="0"/>
                                <w:numId w:val="33"/>
                              </w:numPr>
                              <w:spacing w:after="120"/>
                              <w:rPr>
                                <w:rFonts w:ascii="TitilliumText22L Lt" w:hAnsi="TitilliumText22L Lt"/>
                                <w:sz w:val="24"/>
                                <w:szCs w:val="24"/>
                              </w:rPr>
                            </w:pPr>
                            <w:r w:rsidRPr="00891D6F">
                              <w:rPr>
                                <w:rFonts w:ascii="TitilliumText22L Lt" w:hAnsi="TitilliumText22L Lt"/>
                                <w:sz w:val="24"/>
                                <w:szCs w:val="24"/>
                              </w:rPr>
                              <w:t xml:space="preserve">an authorisation request must be submitted within seven business days through BloodSTAR and supply approved under the national blood arrangements otherwise the hospital/ health facility may be invoiced directly for the full cost of the product in accordance with the jurisdictional direct order (JDO). </w:t>
                            </w:r>
                          </w:p>
                          <w:p w:rsidR="008F2B1C" w:rsidRPr="00891D6F" w:rsidRDefault="00891D6F" w:rsidP="00891D6F">
                            <w:pPr>
                              <w:ind w:left="360"/>
                              <w:rPr>
                                <w:rFonts w:ascii="TitilliumText22L Lt" w:hAnsi="TitilliumText22L Lt"/>
                              </w:rPr>
                            </w:pPr>
                            <w:r w:rsidRPr="00891D6F">
                              <w:rPr>
                                <w:rFonts w:ascii="TitilliumText22L Lt" w:hAnsi="TitilliumText22L Lt"/>
                                <w:sz w:val="24"/>
                                <w:szCs w:val="24"/>
                              </w:rPr>
                              <w:t>For more information about JDO and</w:t>
                            </w:r>
                            <w:r w:rsidRPr="00891D6F">
                              <w:rPr>
                                <w:rFonts w:ascii="TitilliumText22L Lt" w:eastAsia="TitilliumText25L" w:hAnsi="TitilliumText22L Lt" w:cs="TitilliumText25L"/>
                                <w:color w:val="231F20"/>
                              </w:rPr>
                              <w:t xml:space="preserve"> </w:t>
                            </w:r>
                            <w:r w:rsidRPr="00891D6F">
                              <w:rPr>
                                <w:rFonts w:ascii="TitilliumText22L Lt" w:hAnsi="TitilliumText22L Lt"/>
                                <w:sz w:val="24"/>
                                <w:szCs w:val="24"/>
                              </w:rPr>
                              <w:t xml:space="preserve">other supply arrangements, please refer to the NBA website </w:t>
                            </w:r>
                            <w:r w:rsidRPr="00891D6F">
                              <w:rPr>
                                <w:rFonts w:ascii="TitilliumText22L Lt" w:eastAsia="TitilliumText25L" w:hAnsi="TitilliumText22L Lt" w:cs="TitilliumText25L"/>
                                <w:color w:val="231F20"/>
                              </w:rPr>
                              <w:t xml:space="preserve">at </w:t>
                            </w:r>
                            <w:hyperlink r:id="rId26" w:history="1">
                              <w:r w:rsidRPr="00891D6F">
                                <w:rPr>
                                  <w:rStyle w:val="Hyperlink"/>
                                  <w:rFonts w:ascii="TitilliumText22L Lt" w:eastAsia="TitilliumText25L" w:hAnsi="TitilliumText22L Lt" w:cs="TitilliumText25L"/>
                                  <w:color w:val="3851A3"/>
                                </w:rPr>
                                <w:t>http://www.blood.gov.au/Intravenous-Ig</w:t>
                              </w:r>
                            </w:hyperlink>
                            <w:r w:rsidRPr="00891D6F">
                              <w:rPr>
                                <w:rFonts w:ascii="TitilliumText22L Lt" w:eastAsia="TitilliumText25L" w:hAnsi="TitilliumText22L Lt" w:cs="TitilliumText25L"/>
                                <w:color w:val="231F20"/>
                              </w:rPr>
                              <w:t xml:space="preserve">. </w:t>
                            </w:r>
                            <w:r w:rsidRPr="00891D6F">
                              <w:rPr>
                                <w:rFonts w:ascii="TitilliumText22L Lt" w:hAnsi="TitilliumText22L Lt"/>
                                <w:sz w:val="24"/>
                                <w:szCs w:val="24"/>
                              </w:rPr>
                              <w:t>Please ensure you refer to local state/territory policies, where these exist.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85pt;margin-top:74.75pt;width:465.75pt;height:265.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moIfQIAAAIFAAAOAAAAZHJzL2Uyb0RvYy54bWysVNtu1DAQfUfiHyy/01x2Q9uo2aq0FCGV&#10;i2gRzxPb2Vh1bGN7Nylfz9jZXVYFCQmRh8hjj8+cmTnji8tpUGQrnJdGN7Q4ySkRmhku9bqhXx9u&#10;X51R4gNoDspo0dAn4enl6uWLi9HWojS9UVw4giDa16NtaB+CrbPMs14M4E+MFRoPO+MGCGi6dcYd&#10;jIg+qKzM89fZaBy3zjDhPe7ezId0lfC7TrDwqeu8CEQ1FLmF9Hfp38Z/trqAeu3A9pLtaMA/sBhA&#10;agx6gLqBAGTj5G9Qg2TOeNOFE2aGzHSdZCLlgNkU+bNs7nuwIuWCxfH2UCb//2DZx+1nRyRvaEmJ&#10;hgFb9CCmQN6YiZSxOqP1NTrdW3QLE25jl1Om3t4Z9uiJNtc96LW4cs6MvQCO7Ip4Mzu6OuP4CNKO&#10;HwzHMLAJJgFNnRti6bAYBNGxS0+HzkQqDDer86LKy4oShmeLxWlelXMMqPfXrfPhnTADiYuGOmx9&#10;goftnQ+RDtR7lxjNGyX5rVQqGW7dXitHtoAyuU1fyuCZm9JkbOh5hUT+BpHj9yeIQQbUu5JDQ8+i&#10;z06BsW5vNU9qDCDVvEbKSsdIIikZ84iG2SDEfc9H0qqN+wLYuypHMEq4jJkvzorZQJmXp3MQAmqN&#10;8xkUJc6EbzL0SVuxzhEyFuaQf6uAPc6lU7aHuSjLPdddGdE7lfRAJllHPFP3Y8Pn1oepnZLMisVe&#10;Va3hT6gH5JOajo8ILnrjflAy4kA21H/fgBOUqPcaNXVeLJdxgpOxrE5LNNzxSXt8ApohFGZMyby8&#10;DmnqY7baXKH2OplUEUU6M9kpFgct5bJ7FOIkH9vJ69fTtfoJAAD//wMAUEsDBBQABgAIAAAAIQAy&#10;B3cP4AAAAAoBAAAPAAAAZHJzL2Rvd25yZXYueG1sTI9NT8MwDIbvSPyHyEhc0JZu7Kul6YQm7YY2&#10;KENcs8a01RKnarKt/HvMCY62H71+3nw9OCsu2IfWk4LJOAGBVHnTUq3g8L4drUCEqMlo6wkVfGOA&#10;dXF7k+vM+Cu94aWMteAQCplW0MTYZVKGqkGnw9h3SHz78r3Tkce+lqbXVw53Vk6TZCGdbok/NLrD&#10;TYPVqTw7BZ8P27K0r90e5/iRVqfNbvcyQ6Xu74bnJxARh/gHw68+q0PBTkd/JhOEVTCaLJnk/Syd&#10;g2Agnabc5ahgsUoeQRa5/F+h+AEAAP//AwBQSwECLQAUAAYACAAAACEAtoM4kv4AAADhAQAAEwAA&#10;AAAAAAAAAAAAAAAAAAAAW0NvbnRlbnRfVHlwZXNdLnhtbFBLAQItABQABgAIAAAAIQA4/SH/1gAA&#10;AJQBAAALAAAAAAAAAAAAAAAAAC8BAABfcmVscy8ucmVsc1BLAQItABQABgAIAAAAIQBVrmoIfQIA&#10;AAIFAAAOAAAAAAAAAAAAAAAAAC4CAABkcnMvZTJvRG9jLnhtbFBLAQItABQABgAIAAAAIQAyB3cP&#10;4AAAAAoBAAAPAAAAAAAAAAAAAAAAANcEAABkcnMvZG93bnJldi54bWxQSwUGAAAAAAQABADzAAAA&#10;5AUAAAAA&#10;" strokecolor="red">
                <v:shadow on="t" color="black" opacity="26214f" origin="-.5,-.5" offset=".74836mm,.74836mm"/>
                <v:textbox>
                  <w:txbxContent>
                    <w:p w:rsidR="00552182" w:rsidRPr="00891D6F" w:rsidRDefault="008F2B1C" w:rsidP="008346A9">
                      <w:pPr>
                        <w:pStyle w:val="Heading3"/>
                        <w:spacing w:before="0" w:after="0"/>
                        <w:rPr>
                          <w:rFonts w:ascii="TitilliumText22L Lt" w:hAnsi="TitilliumText22L Lt"/>
                        </w:rPr>
                      </w:pPr>
                      <w:bookmarkStart w:id="9" w:name="_Toc445976849"/>
                      <w:r w:rsidRPr="00891D6F">
                        <w:rPr>
                          <w:rFonts w:ascii="TitilliumText22L Lt" w:hAnsi="TitilliumText22L Lt"/>
                        </w:rPr>
                        <w:t xml:space="preserve">Dispensing product where patient authorisation has not been obtained </w:t>
                      </w:r>
                      <w:bookmarkEnd w:id="9"/>
                    </w:p>
                    <w:p w:rsidR="008F2B1C" w:rsidRPr="00891D6F" w:rsidRDefault="00552182" w:rsidP="008F2B1C">
                      <w:pPr>
                        <w:rPr>
                          <w:rFonts w:ascii="TitilliumText22L Lt" w:hAnsi="TitilliumText22L Lt" w:cs="Arial"/>
                          <w:color w:val="C60C30"/>
                          <w:sz w:val="28"/>
                          <w:szCs w:val="28"/>
                        </w:rPr>
                      </w:pPr>
                      <w:r w:rsidRPr="00891D6F">
                        <w:rPr>
                          <w:rFonts w:ascii="TitilliumText22L Lt" w:hAnsi="TitilliumText22L Lt" w:cs="Arial"/>
                          <w:color w:val="C60C30"/>
                          <w:sz w:val="24"/>
                          <w:szCs w:val="28"/>
                        </w:rPr>
                        <w:t>R</w:t>
                      </w:r>
                      <w:r w:rsidR="008F2B1C" w:rsidRPr="00891D6F">
                        <w:rPr>
                          <w:rFonts w:ascii="TitilliumText22L Lt" w:hAnsi="TitilliumText22L Lt" w:cs="Arial"/>
                          <w:color w:val="C60C30"/>
                          <w:sz w:val="24"/>
                          <w:szCs w:val="28"/>
                        </w:rPr>
                        <w:t>efer to the Ig Governance National Policy</w:t>
                      </w:r>
                    </w:p>
                    <w:p w:rsidR="00891D6F" w:rsidRPr="00891D6F" w:rsidRDefault="00891D6F" w:rsidP="00431594">
                      <w:pPr>
                        <w:spacing w:after="120"/>
                        <w:ind w:left="360"/>
                        <w:rPr>
                          <w:rFonts w:ascii="TitilliumText22L Lt" w:hAnsi="TitilliumText22L Lt"/>
                          <w:sz w:val="24"/>
                          <w:szCs w:val="24"/>
                        </w:rPr>
                      </w:pPr>
                      <w:r w:rsidRPr="00891D6F">
                        <w:rPr>
                          <w:rFonts w:ascii="TitilliumText22L Lt" w:hAnsi="TitilliumText22L Lt"/>
                          <w:sz w:val="24"/>
                          <w:szCs w:val="24"/>
                        </w:rPr>
                        <w:t>Where Ig product is dispensed and patient authorisation has not been obtained for the approved supply of funded immunoglobulin product under the national blood arrangements:</w:t>
                      </w:r>
                    </w:p>
                    <w:p w:rsidR="00891D6F" w:rsidRPr="00431594" w:rsidRDefault="00891D6F" w:rsidP="00431594">
                      <w:pPr>
                        <w:pStyle w:val="ListParagraph"/>
                        <w:numPr>
                          <w:ilvl w:val="0"/>
                          <w:numId w:val="33"/>
                        </w:numPr>
                        <w:spacing w:after="0"/>
                        <w:rPr>
                          <w:rFonts w:ascii="TitilliumText22L Lt" w:hAnsi="TitilliumText22L Lt"/>
                          <w:sz w:val="24"/>
                          <w:szCs w:val="24"/>
                        </w:rPr>
                      </w:pPr>
                      <w:proofErr w:type="gramStart"/>
                      <w:r w:rsidRPr="00891D6F">
                        <w:rPr>
                          <w:rFonts w:ascii="TitilliumText22L Lt" w:hAnsi="TitilliumText22L Lt"/>
                          <w:sz w:val="24"/>
                          <w:szCs w:val="24"/>
                        </w:rPr>
                        <w:t>where</w:t>
                      </w:r>
                      <w:proofErr w:type="gramEnd"/>
                      <w:r w:rsidRPr="00891D6F">
                        <w:rPr>
                          <w:rFonts w:ascii="TitilliumText22L Lt" w:hAnsi="TitilliumText22L Lt"/>
                          <w:sz w:val="24"/>
                          <w:szCs w:val="24"/>
                        </w:rPr>
                        <w:t xml:space="preserve"> the dispenser holds imported product, imported product only should be dispensed.</w:t>
                      </w:r>
                    </w:p>
                    <w:p w:rsidR="00891D6F" w:rsidRPr="00891D6F" w:rsidRDefault="00891D6F" w:rsidP="00431594">
                      <w:pPr>
                        <w:pStyle w:val="ListParagraph"/>
                        <w:numPr>
                          <w:ilvl w:val="0"/>
                          <w:numId w:val="33"/>
                        </w:numPr>
                        <w:spacing w:after="120"/>
                        <w:rPr>
                          <w:rFonts w:ascii="TitilliumText22L Lt" w:hAnsi="TitilliumText22L Lt"/>
                          <w:sz w:val="24"/>
                          <w:szCs w:val="24"/>
                        </w:rPr>
                      </w:pPr>
                      <w:proofErr w:type="gramStart"/>
                      <w:r w:rsidRPr="00891D6F">
                        <w:rPr>
                          <w:rFonts w:ascii="TitilliumText22L Lt" w:hAnsi="TitilliumText22L Lt"/>
                          <w:sz w:val="24"/>
                          <w:szCs w:val="24"/>
                        </w:rPr>
                        <w:t>an</w:t>
                      </w:r>
                      <w:proofErr w:type="gramEnd"/>
                      <w:r w:rsidRPr="00891D6F">
                        <w:rPr>
                          <w:rFonts w:ascii="TitilliumText22L Lt" w:hAnsi="TitilliumText22L Lt"/>
                          <w:sz w:val="24"/>
                          <w:szCs w:val="24"/>
                        </w:rPr>
                        <w:t xml:space="preserve"> authorisation request must be submitted within seven business days through BloodSTAR and supply approved under the national blood arrangements otherwise the hospital/ health facility may be invoiced directly for the full cost of the product in accordance with the jurisdictional direct order (JDO). </w:t>
                      </w:r>
                    </w:p>
                    <w:p w:rsidR="008F2B1C" w:rsidRPr="00891D6F" w:rsidRDefault="00891D6F" w:rsidP="00891D6F">
                      <w:pPr>
                        <w:ind w:left="360"/>
                        <w:rPr>
                          <w:rFonts w:ascii="TitilliumText22L Lt" w:hAnsi="TitilliumText22L Lt"/>
                        </w:rPr>
                      </w:pPr>
                      <w:r w:rsidRPr="00891D6F">
                        <w:rPr>
                          <w:rFonts w:ascii="TitilliumText22L Lt" w:hAnsi="TitilliumText22L Lt"/>
                          <w:sz w:val="24"/>
                          <w:szCs w:val="24"/>
                        </w:rPr>
                        <w:t>For more information about JDO and</w:t>
                      </w:r>
                      <w:r w:rsidRPr="00891D6F">
                        <w:rPr>
                          <w:rFonts w:ascii="TitilliumText22L Lt" w:eastAsia="TitilliumText25L" w:hAnsi="TitilliumText22L Lt" w:cs="TitilliumText25L"/>
                          <w:color w:val="231F20"/>
                        </w:rPr>
                        <w:t xml:space="preserve"> </w:t>
                      </w:r>
                      <w:r w:rsidRPr="00891D6F">
                        <w:rPr>
                          <w:rFonts w:ascii="TitilliumText22L Lt" w:hAnsi="TitilliumText22L Lt"/>
                          <w:sz w:val="24"/>
                          <w:szCs w:val="24"/>
                        </w:rPr>
                        <w:t xml:space="preserve">other supply arrangements, please refer to the NBA website </w:t>
                      </w:r>
                      <w:r w:rsidRPr="00891D6F">
                        <w:rPr>
                          <w:rFonts w:ascii="TitilliumText22L Lt" w:eastAsia="TitilliumText25L" w:hAnsi="TitilliumText22L Lt" w:cs="TitilliumText25L"/>
                          <w:color w:val="231F20"/>
                        </w:rPr>
                        <w:t xml:space="preserve">at </w:t>
                      </w:r>
                      <w:hyperlink r:id="rId27" w:history="1">
                        <w:r w:rsidRPr="00891D6F">
                          <w:rPr>
                            <w:rStyle w:val="Hyperlink"/>
                            <w:rFonts w:ascii="TitilliumText22L Lt" w:eastAsia="TitilliumText25L" w:hAnsi="TitilliumText22L Lt" w:cs="TitilliumText25L"/>
                            <w:color w:val="3851A3"/>
                          </w:rPr>
                          <w:t>http://www.blood.gov.au/Intravenous-Ig</w:t>
                        </w:r>
                      </w:hyperlink>
                      <w:r w:rsidRPr="00891D6F">
                        <w:rPr>
                          <w:rFonts w:ascii="TitilliumText22L Lt" w:eastAsia="TitilliumText25L" w:hAnsi="TitilliumText22L Lt" w:cs="TitilliumText25L"/>
                          <w:color w:val="231F20"/>
                        </w:rPr>
                        <w:t xml:space="preserve">. </w:t>
                      </w:r>
                      <w:r w:rsidRPr="00891D6F">
                        <w:rPr>
                          <w:rFonts w:ascii="TitilliumText22L Lt" w:hAnsi="TitilliumText22L Lt"/>
                          <w:sz w:val="24"/>
                          <w:szCs w:val="24"/>
                        </w:rPr>
                        <w:t>Please ensure you refer to local state/territory policies, where these exist.</w:t>
                      </w:r>
                    </w:p>
                  </w:txbxContent>
                </v:textbox>
              </v:shape>
            </w:pict>
          </mc:Fallback>
        </mc:AlternateContent>
      </w:r>
      <w:r w:rsidR="00891D6F" w:rsidRPr="00891D6F">
        <w:rPr>
          <w:rFonts w:ascii="TitilliumText22L Lt" w:hAnsi="TitilliumText22L Lt"/>
          <w:sz w:val="24"/>
          <w:szCs w:val="24"/>
        </w:rPr>
        <w:t>Any Ig product that has been dispensed but not used should be returned to the Dispenser, deallocated and returned to stock against that patient via the BloodNet Authorisation module. Clinical areas, other than the Dispenser, should not hold an inventory of Ig product. Dispensers should consider regular audits of clinical areas to ensure all unused Ig product has been returned.</w:t>
      </w:r>
    </w:p>
    <w:p w:rsidR="008F2B1C" w:rsidRPr="0037712B" w:rsidRDefault="008F2B1C" w:rsidP="004044E6">
      <w:pPr>
        <w:rPr>
          <w:rFonts w:ascii="TitilliumText22L Lt" w:hAnsi="TitilliumText22L Lt"/>
          <w:sz w:val="24"/>
          <w:szCs w:val="24"/>
        </w:rPr>
      </w:pPr>
    </w:p>
    <w:p w:rsidR="00BC5A06" w:rsidRPr="0037712B" w:rsidRDefault="00BC5A06" w:rsidP="004044E6">
      <w:pPr>
        <w:rPr>
          <w:rFonts w:ascii="TitilliumText22L Lt" w:hAnsi="TitilliumText22L Lt"/>
          <w:sz w:val="24"/>
          <w:szCs w:val="24"/>
        </w:rPr>
      </w:pPr>
    </w:p>
    <w:p w:rsidR="008F2B1C" w:rsidRPr="0037712B" w:rsidRDefault="008F2B1C" w:rsidP="004044E6">
      <w:pPr>
        <w:rPr>
          <w:rFonts w:ascii="TitilliumText22L Lt" w:hAnsi="TitilliumText22L Lt"/>
          <w:sz w:val="24"/>
          <w:szCs w:val="24"/>
        </w:rPr>
      </w:pPr>
    </w:p>
    <w:p w:rsidR="008F2B1C" w:rsidRPr="0037712B" w:rsidRDefault="008F2B1C" w:rsidP="004044E6">
      <w:pPr>
        <w:rPr>
          <w:rFonts w:ascii="TitilliumText22L Lt" w:hAnsi="TitilliumText22L Lt"/>
          <w:sz w:val="24"/>
          <w:szCs w:val="24"/>
        </w:rPr>
      </w:pPr>
    </w:p>
    <w:p w:rsidR="008F2B1C" w:rsidRPr="0037712B" w:rsidRDefault="008F2B1C" w:rsidP="004044E6">
      <w:pPr>
        <w:rPr>
          <w:rFonts w:ascii="TitilliumText22L Lt" w:hAnsi="TitilliumText22L Lt"/>
          <w:sz w:val="24"/>
          <w:szCs w:val="24"/>
        </w:rPr>
      </w:pPr>
    </w:p>
    <w:p w:rsidR="008F2B1C" w:rsidRPr="0037712B" w:rsidRDefault="008F2B1C" w:rsidP="004044E6">
      <w:pPr>
        <w:rPr>
          <w:rFonts w:ascii="TitilliumText22L Lt" w:hAnsi="TitilliumText22L Lt"/>
          <w:sz w:val="24"/>
          <w:szCs w:val="24"/>
        </w:rPr>
      </w:pPr>
    </w:p>
    <w:p w:rsidR="00BC5A06" w:rsidRPr="0037712B" w:rsidRDefault="00BC5A06">
      <w:pPr>
        <w:spacing w:line="276" w:lineRule="auto"/>
        <w:rPr>
          <w:rFonts w:ascii="TitilliumText22L Lt" w:hAnsi="TitilliumText22L Lt"/>
          <w:sz w:val="24"/>
          <w:szCs w:val="24"/>
        </w:rPr>
      </w:pPr>
      <w:r w:rsidRPr="0037712B">
        <w:rPr>
          <w:rFonts w:ascii="TitilliumText22L Lt" w:hAnsi="TitilliumText22L Lt"/>
          <w:sz w:val="24"/>
          <w:szCs w:val="24"/>
        </w:rPr>
        <w:br w:type="page"/>
      </w:r>
    </w:p>
    <w:bookmarkStart w:id="11" w:name="_Toc445976850" w:displacedByCustomXml="next"/>
    <w:sdt>
      <w:sdtPr>
        <w:rPr>
          <w:rFonts w:ascii="TitilliumText22L Lt" w:eastAsia="Dotum" w:hAnsi="TitilliumText22L Lt"/>
          <w:bCs w:val="0"/>
          <w:color w:val="auto"/>
          <w:spacing w:val="0"/>
          <w:sz w:val="22"/>
          <w:szCs w:val="22"/>
        </w:rPr>
        <w:id w:val="-694070439"/>
        <w:docPartObj>
          <w:docPartGallery w:val="Bibliographies"/>
          <w:docPartUnique/>
        </w:docPartObj>
      </w:sdtPr>
      <w:sdtEndPr/>
      <w:sdtContent>
        <w:p w:rsidR="005C1B21" w:rsidRPr="0037712B" w:rsidRDefault="005C1B21" w:rsidP="005C1B21">
          <w:pPr>
            <w:pStyle w:val="Heading1"/>
            <w:rPr>
              <w:rStyle w:val="Heading2Char"/>
              <w:rFonts w:ascii="TitilliumText22L Lt" w:hAnsi="TitilliumText22L Lt"/>
            </w:rPr>
          </w:pPr>
          <w:r w:rsidRPr="00E24118">
            <w:rPr>
              <w:rStyle w:val="Heading2Char"/>
            </w:rPr>
            <w:t>References</w:t>
          </w:r>
          <w:bookmarkEnd w:id="11"/>
        </w:p>
        <w:sdt>
          <w:sdtPr>
            <w:rPr>
              <w:rFonts w:ascii="TitilliumText22L Lt" w:hAnsi="TitilliumText22L Lt"/>
            </w:rPr>
            <w:id w:val="111145805"/>
            <w:bibliography/>
          </w:sdtPr>
          <w:sdtEndPr/>
          <w:sdtContent>
            <w:p w:rsidR="00C53FE4" w:rsidRPr="0037712B" w:rsidRDefault="00C53FE4" w:rsidP="00C53FE4">
              <w:pPr>
                <w:pStyle w:val="ListParagraph"/>
                <w:numPr>
                  <w:ilvl w:val="0"/>
                  <w:numId w:val="28"/>
                </w:numPr>
                <w:rPr>
                  <w:rFonts w:ascii="TitilliumText22L Lt" w:hAnsi="TitilliumText22L Lt"/>
                </w:rPr>
              </w:pPr>
              <w:r w:rsidRPr="0037712B">
                <w:rPr>
                  <w:rFonts w:ascii="TitilliumText22L Lt" w:hAnsi="TitilliumText22L Lt"/>
                </w:rPr>
                <w:t xml:space="preserve">Criteria for the clinical use of immunoglobulin in Australia  at </w:t>
              </w:r>
              <w:hyperlink r:id="rId28" w:history="1">
                <w:r w:rsidRPr="0037712B">
                  <w:rPr>
                    <w:rStyle w:val="Hyperlink"/>
                    <w:rFonts w:ascii="TitilliumText22L Lt" w:hAnsi="TitilliumText22L Lt"/>
                  </w:rPr>
                  <w:t>https://www.criteria.blood.gov.au</w:t>
                </w:r>
              </w:hyperlink>
            </w:p>
            <w:p w:rsidR="004044E6" w:rsidRPr="0037712B" w:rsidRDefault="005C1B21" w:rsidP="00C53FE4">
              <w:pPr>
                <w:pStyle w:val="ListParagraph"/>
                <w:numPr>
                  <w:ilvl w:val="0"/>
                  <w:numId w:val="28"/>
                </w:numPr>
                <w:rPr>
                  <w:rFonts w:ascii="TitilliumText22L Lt" w:hAnsi="TitilliumText22L Lt"/>
                </w:rPr>
              </w:pPr>
              <w:r w:rsidRPr="0037712B">
                <w:rPr>
                  <w:rFonts w:ascii="TitilliumText22L Lt" w:hAnsi="TitilliumText22L Lt"/>
                </w:rPr>
                <w:t>Ig Governance National Policy: Access to Government Funded Immunoglobulin Products in Australia</w:t>
              </w:r>
              <w:r w:rsidR="004044E6" w:rsidRPr="0037712B">
                <w:rPr>
                  <w:rFonts w:ascii="TitilliumText22L Lt" w:hAnsi="TitilliumText22L Lt"/>
                </w:rPr>
                <w:t xml:space="preserve"> at </w:t>
              </w:r>
              <w:hyperlink r:id="rId29" w:history="1">
                <w:r w:rsidR="004044E6" w:rsidRPr="0037712B">
                  <w:rPr>
                    <w:rStyle w:val="Hyperlink"/>
                    <w:rFonts w:ascii="TitilliumText22L Lt" w:hAnsi="TitilliumText22L Lt"/>
                  </w:rPr>
                  <w:t>http://www.blood.gov.au/Ig-program</w:t>
                </w:r>
              </w:hyperlink>
              <w:r w:rsidR="004044E6" w:rsidRPr="0037712B">
                <w:rPr>
                  <w:rFonts w:ascii="TitilliumText22L Lt" w:hAnsi="TitilliumText22L Lt"/>
                </w:rPr>
                <w:t xml:space="preserve"> </w:t>
              </w:r>
            </w:p>
            <w:p w:rsidR="00891D6F" w:rsidRDefault="005C1B21" w:rsidP="004044E6">
              <w:pPr>
                <w:pStyle w:val="ListParagraph"/>
                <w:numPr>
                  <w:ilvl w:val="0"/>
                  <w:numId w:val="28"/>
                </w:numPr>
                <w:rPr>
                  <w:rFonts w:ascii="TitilliumText22L Lt" w:hAnsi="TitilliumText22L Lt"/>
                </w:rPr>
              </w:pPr>
              <w:r w:rsidRPr="0037712B">
                <w:rPr>
                  <w:rFonts w:ascii="TitilliumText22L Lt" w:hAnsi="TitilliumText22L Lt"/>
                </w:rPr>
                <w:t>Managing Blood and Blood Product Inventory: Guidelines for Australian Health Providers</w:t>
              </w:r>
              <w:r w:rsidR="004044E6" w:rsidRPr="0037712B">
                <w:rPr>
                  <w:rFonts w:ascii="TitilliumText22L Lt" w:hAnsi="TitilliumText22L Lt"/>
                </w:rPr>
                <w:t xml:space="preserve"> at </w:t>
              </w:r>
              <w:hyperlink r:id="rId30" w:history="1">
                <w:r w:rsidR="004044E6" w:rsidRPr="0037712B">
                  <w:rPr>
                    <w:rStyle w:val="Hyperlink"/>
                    <w:rFonts w:ascii="TitilliumText22L Lt" w:hAnsi="TitilliumText22L Lt"/>
                  </w:rPr>
                  <w:t>http://www.blood.gov.au/inv-mgt-guideline</w:t>
                </w:r>
              </w:hyperlink>
              <w:r w:rsidR="004044E6" w:rsidRPr="0037712B">
                <w:rPr>
                  <w:rFonts w:ascii="TitilliumText22L Lt" w:hAnsi="TitilliumText22L Lt"/>
                </w:rPr>
                <w:t xml:space="preserve"> </w:t>
              </w:r>
            </w:p>
            <w:p w:rsidR="005C1B21" w:rsidRPr="0037712B" w:rsidRDefault="00891D6F" w:rsidP="004044E6">
              <w:pPr>
                <w:pStyle w:val="ListParagraph"/>
                <w:numPr>
                  <w:ilvl w:val="0"/>
                  <w:numId w:val="28"/>
                </w:numPr>
                <w:rPr>
                  <w:rFonts w:ascii="TitilliumText22L Lt" w:hAnsi="TitilliumText22L Lt"/>
                </w:rPr>
              </w:pPr>
              <w:r w:rsidRPr="00891D6F">
                <w:rPr>
                  <w:rFonts w:ascii="TitilliumText22L Lt" w:hAnsi="TitilliumText22L Lt"/>
                  <w:i/>
                  <w:iCs/>
                </w:rPr>
                <w:t>Australian Health Ministers’ Statement on National Stewardship Expectations on the Supply of Blood and Blood Products</w:t>
              </w:r>
              <w:r w:rsidRPr="00891D6F">
                <w:rPr>
                  <w:rFonts w:ascii="TitilliumText22L Lt" w:hAnsi="TitilliumText22L Lt"/>
                </w:rPr>
                <w:t xml:space="preserve"> (the Stewardship Statement), issued on</w:t>
              </w:r>
              <w:r w:rsidRPr="00891D6F">
                <w:rPr>
                  <w:rFonts w:ascii="Times New Roman" w:hAnsi="Times New Roman" w:cs="Times New Roman"/>
                </w:rPr>
                <w:t> </w:t>
              </w:r>
              <w:r w:rsidRPr="00891D6F">
                <w:rPr>
                  <w:rFonts w:ascii="TitilliumText22L Lt" w:hAnsi="TitilliumText22L Lt"/>
                </w:rPr>
                <w:t>12 November 2010  at</w:t>
              </w:r>
              <w:r w:rsidRPr="00891D6F">
                <w:rPr>
                  <w:rFonts w:ascii="TitilliumText22L Lt" w:hAnsi="TitilliumText22L Lt"/>
                  <w:sz w:val="20"/>
                  <w:szCs w:val="20"/>
                  <w:lang w:val="en"/>
                </w:rPr>
                <w:t xml:space="preserve"> </w:t>
              </w:r>
              <w:hyperlink r:id="rId31" w:history="1">
                <w:r w:rsidRPr="00891D6F">
                  <w:rPr>
                    <w:rStyle w:val="Hyperlink"/>
                    <w:rFonts w:ascii="TitilliumText22L Lt" w:hAnsi="TitilliumText22L Lt"/>
                    <w:szCs w:val="20"/>
                    <w:lang w:val="en"/>
                  </w:rPr>
                  <w:t>https://www.blood.gov.au/stewardship</w:t>
                </w:r>
              </w:hyperlink>
            </w:p>
          </w:sdtContent>
        </w:sdt>
      </w:sdtContent>
    </w:sdt>
    <w:p w:rsidR="004044E6" w:rsidRPr="0037712B" w:rsidRDefault="00233E0B" w:rsidP="00057D2E">
      <w:pPr>
        <w:rPr>
          <w:rFonts w:ascii="TitilliumText22L Lt" w:hAnsi="TitilliumText22L Lt"/>
          <w:sz w:val="24"/>
          <w:szCs w:val="24"/>
        </w:rPr>
      </w:pPr>
      <w:r>
        <w:rPr>
          <w:rFonts w:ascii="TitilliumText22L Lt" w:hAnsi="TitilliumText22L Lt"/>
          <w:noProof/>
          <w:sz w:val="24"/>
          <w:szCs w:val="24"/>
          <w:lang w:eastAsia="en-AU"/>
        </w:rPr>
        <mc:AlternateContent>
          <mc:Choice Requires="wps">
            <w:drawing>
              <wp:anchor distT="0" distB="0" distL="114300" distR="114300" simplePos="0" relativeHeight="251691008" behindDoc="0" locked="0" layoutInCell="1" allowOverlap="1" wp14:anchorId="3E6A8671" wp14:editId="78B2B567">
                <wp:simplePos x="0" y="0"/>
                <wp:positionH relativeFrom="column">
                  <wp:posOffset>5996497</wp:posOffset>
                </wp:positionH>
                <wp:positionV relativeFrom="paragraph">
                  <wp:posOffset>7683603</wp:posOffset>
                </wp:positionV>
                <wp:extent cx="648586" cy="233917"/>
                <wp:effectExtent l="0" t="0" r="0" b="0"/>
                <wp:wrapNone/>
                <wp:docPr id="20" name="Text Box 20"/>
                <wp:cNvGraphicFramePr/>
                <a:graphic xmlns:a="http://schemas.openxmlformats.org/drawingml/2006/main">
                  <a:graphicData uri="http://schemas.microsoft.com/office/word/2010/wordprocessingShape">
                    <wps:wsp>
                      <wps:cNvSpPr txBox="1"/>
                      <wps:spPr>
                        <a:xfrm>
                          <a:off x="0" y="0"/>
                          <a:ext cx="648586" cy="2339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33E0B" w:rsidRPr="00233E0B" w:rsidRDefault="00233E0B">
                            <w:pPr>
                              <w:rPr>
                                <w:rFonts w:ascii="TitilliumText22L Lt" w:hAnsi="TitilliumText22L Lt"/>
                                <w:sz w:val="14"/>
                              </w:rPr>
                            </w:pPr>
                            <w:r w:rsidRPr="00233E0B">
                              <w:rPr>
                                <w:rFonts w:ascii="TitilliumText22L Lt" w:hAnsi="TitilliumText22L Lt"/>
                                <w:sz w:val="14"/>
                              </w:rPr>
                              <w:t>12092018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40" type="#_x0000_t202" style="position:absolute;margin-left:472.15pt;margin-top:605pt;width:51.05pt;height:18.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6tGggIAAGsFAAAOAAAAZHJzL2Uyb0RvYy54bWysVN9P2zAQfp+0/8Hy+0hbCpSKFHUgpkkI&#10;0GDi2XVsGs32efa1SffX7+wkpWJ7YdqLc7n7fL4f393FZWsN26oQa3AlHx+NOFNOQlW7l5J/f7r5&#10;NOMsonCVMOBUyXcq8svFxw8XjZ+rCazBVCowcuLivPElXyP6eVFEuVZWxCPwypFRQ7AC6Te8FFUQ&#10;DXm3ppiMRqdFA6HyAaSKkbTXnZEvsn+tlcR7raNCZkpOsWE+Qz5X6SwWF2L+EoRf17IPQ/xDFFbU&#10;jh7du7oWKNgm1H+4srUMEEHjkQRbgNa1VDkHymY8epPN41p4lXOh4kS/L1P8f27l3fYhsLoq+YTK&#10;44SlHj2pFtlnaBmpqD6Nj3OCPXoCYkt66vOgj6RMabc62PSlhBjZydVuX93kTZLydDo7mZ1yJsk0&#10;OT4+H58lL8XrZR8iflFgWRJKHqh5uaZiexuxgw6Q9JaDm9qY3EDjWEMPHJ+M8oW9hZwbl7AqU6F3&#10;kxLqAs8S7oxKGOO+KU2lyPEnRSahujKBbQXRR0ipHObUs19CJ5SmIN5zsce/RvWey10ew8vgcH/Z&#10;1g5Czv5N2NWPIWTd4anmB3knEdtVmzkwng6NXUG1o34H6CYmenlTU1duRcQHEWhEqMU09nhPhzZA&#10;1Yde4mwN4dff9AlPzCUrZw2NXMnjz40IijPz1RGnz8fTaZrR/DM9OUuMDIeW1aHFbewVUFvGtGC8&#10;zGLCoxlEHcA+03ZYplfJJJykt0uOg3iF3SKg7SLVcplBNJVe4K179DK5Tl1KnHtqn0XwPTGRGH0H&#10;w3CK+Rt+dth008Fyg6DrTN5U6K6qfQNoojP9++2TVsbhf0a97sjFbwAAAP//AwBQSwMEFAAGAAgA&#10;AAAhALg0px/jAAAADgEAAA8AAABkcnMvZG93bnJldi54bWxMj81OwzAQhO9IvIO1SNyo3WCiNI1T&#10;VZEqJASHll64ObGbRPgnxG4beHo2JzjuzKfZmWIzWUMuegy9dwKWCwZEu8ar3rUCju+7hwxIiNIp&#10;abzTAr51gE15e1PIXPmr2+vLIbYEQ1zIpYAuxiGnNDSdtjIs/KAdeic/WhnxHFuqRnnFcGtowlhK&#10;rewdfujkoKtON5+HsxXwUu3e5L5ObPZjqufX03b4On48CXF/N23XQKKe4h8Mc32sDiV2qv3ZqUCM&#10;gBXnj4iikSwZrpoRxlMOpJ41nmZAy4L+n1H+AgAA//8DAFBLAQItABQABgAIAAAAIQC2gziS/gAA&#10;AOEBAAATAAAAAAAAAAAAAAAAAAAAAABbQ29udGVudF9UeXBlc10ueG1sUEsBAi0AFAAGAAgAAAAh&#10;ADj9If/WAAAAlAEAAAsAAAAAAAAAAAAAAAAALwEAAF9yZWxzLy5yZWxzUEsBAi0AFAAGAAgAAAAh&#10;AMDDq0aCAgAAawUAAA4AAAAAAAAAAAAAAAAALgIAAGRycy9lMm9Eb2MueG1sUEsBAi0AFAAGAAgA&#10;AAAhALg0px/jAAAADgEAAA8AAAAAAAAAAAAAAAAA3AQAAGRycy9kb3ducmV2LnhtbFBLBQYAAAAA&#10;BAAEAPMAAADsBQAAAAA=&#10;" filled="f" stroked="f" strokeweight=".5pt">
                <v:textbox>
                  <w:txbxContent>
                    <w:p w:rsidR="00233E0B" w:rsidRPr="00233E0B" w:rsidRDefault="00233E0B">
                      <w:pPr>
                        <w:rPr>
                          <w:rFonts w:ascii="TitilliumText22L Lt" w:hAnsi="TitilliumText22L Lt"/>
                          <w:sz w:val="14"/>
                        </w:rPr>
                      </w:pPr>
                      <w:r w:rsidRPr="00233E0B">
                        <w:rPr>
                          <w:rFonts w:ascii="TitilliumText22L Lt" w:hAnsi="TitilliumText22L Lt"/>
                          <w:sz w:val="14"/>
                        </w:rPr>
                        <w:t>12092018</w:t>
                      </w:r>
                    </w:p>
                  </w:txbxContent>
                </v:textbox>
              </v:shape>
            </w:pict>
          </mc:Fallback>
        </mc:AlternateContent>
      </w:r>
    </w:p>
    <w:sectPr w:rsidR="004044E6" w:rsidRPr="0037712B" w:rsidSect="004D23A4">
      <w:pgSz w:w="11906" w:h="16838"/>
      <w:pgMar w:top="567" w:right="1134" w:bottom="1440" w:left="1440"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0AFF" w:rsidRDefault="00CC0AFF" w:rsidP="00856708">
      <w:pPr>
        <w:spacing w:after="0"/>
      </w:pPr>
      <w:r>
        <w:separator/>
      </w:r>
    </w:p>
  </w:endnote>
  <w:endnote w:type="continuationSeparator" w:id="0">
    <w:p w:rsidR="00CC0AFF" w:rsidRDefault="00CC0AFF" w:rsidP="00856708">
      <w:pPr>
        <w:spacing w:after="0"/>
      </w:pPr>
      <w:r>
        <w:continuationSeparator/>
      </w:r>
    </w:p>
  </w:endnote>
  <w:endnote w:type="continuationNotice" w:id="1">
    <w:p w:rsidR="00CC0AFF" w:rsidRDefault="00CC0AF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Dotum">
    <w:altName w:val="돋움"/>
    <w:panose1 w:val="020B0600000101010101"/>
    <w:charset w:val="81"/>
    <w:family w:val="swiss"/>
    <w:pitch w:val="variable"/>
    <w:sig w:usb0="B00002AF" w:usb1="69D77CFB" w:usb2="00000030" w:usb3="00000000" w:csb0="0008009F" w:csb1="00000000"/>
  </w:font>
  <w:font w:name="TitilliumText25L">
    <w:altName w:val="TitilliumText25L"/>
    <w:panose1 w:val="02000000000000000000"/>
    <w:charset w:val="00"/>
    <w:family w:val="modern"/>
    <w:notTrueType/>
    <w:pitch w:val="variable"/>
    <w:sig w:usb0="A00000EF" w:usb1="0000004B" w:usb2="00000000" w:usb3="00000000" w:csb0="00000193" w:csb1="00000000"/>
  </w:font>
  <w:font w:name="HYGothic-Extra">
    <w:panose1 w:val="00000000000000000000"/>
    <w:charset w:val="81"/>
    <w:family w:val="roman"/>
    <w:notTrueType/>
    <w:pitch w:val="default"/>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itilliumText22L Lt">
    <w:panose1 w:val="00000000000000000000"/>
    <w:charset w:val="00"/>
    <w:family w:val="modern"/>
    <w:notTrueType/>
    <w:pitch w:val="variable"/>
    <w:sig w:usb0="A00000EF" w:usb1="0000004B" w:usb2="00000000" w:usb3="00000000" w:csb0="00000193" w:csb1="00000000"/>
  </w:font>
  <w:font w:name="Britannic Bold">
    <w:panose1 w:val="020B0903060703020204"/>
    <w:charset w:val="00"/>
    <w:family w:val="swiss"/>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53F6" w:rsidRPr="00856708" w:rsidRDefault="009D53F6" w:rsidP="00856708">
    <w:pPr>
      <w:pStyle w:val="Footer"/>
      <w:tabs>
        <w:tab w:val="clear" w:pos="9026"/>
        <w:tab w:val="right" w:pos="9356"/>
      </w:tabs>
      <w:rPr>
        <w:sz w:val="20"/>
        <w:szCs w:val="20"/>
      </w:rPr>
    </w:pPr>
    <w:r w:rsidRPr="00856708">
      <w:rPr>
        <w:sz w:val="20"/>
        <w:szCs w:val="20"/>
      </w:rPr>
      <w:t>National Blood Authority</w:t>
    </w:r>
    <w:r w:rsidRPr="00856708">
      <w:rPr>
        <w:sz w:val="20"/>
        <w:szCs w:val="20"/>
      </w:rPr>
      <w:tab/>
    </w:r>
    <w:r w:rsidRPr="00856708">
      <w:rPr>
        <w:sz w:val="20"/>
        <w:szCs w:val="20"/>
      </w:rPr>
      <w:tab/>
      <w:t xml:space="preserve">pg. </w:t>
    </w:r>
    <w:r w:rsidRPr="00856708">
      <w:rPr>
        <w:sz w:val="20"/>
        <w:szCs w:val="20"/>
      </w:rPr>
      <w:fldChar w:fldCharType="begin"/>
    </w:r>
    <w:r w:rsidRPr="00856708">
      <w:rPr>
        <w:sz w:val="20"/>
        <w:szCs w:val="20"/>
      </w:rPr>
      <w:instrText xml:space="preserve"> PAGE    \* MERGEFORMAT </w:instrText>
    </w:r>
    <w:r w:rsidRPr="00856708">
      <w:rPr>
        <w:sz w:val="20"/>
        <w:szCs w:val="20"/>
      </w:rPr>
      <w:fldChar w:fldCharType="separate"/>
    </w:r>
    <w:r w:rsidR="001227DB">
      <w:rPr>
        <w:noProof/>
        <w:sz w:val="20"/>
        <w:szCs w:val="20"/>
      </w:rPr>
      <w:t>4</w:t>
    </w:r>
    <w:r w:rsidRPr="00856708">
      <w:rPr>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0AFF" w:rsidRDefault="00CC0AFF" w:rsidP="00856708">
      <w:pPr>
        <w:spacing w:after="0"/>
      </w:pPr>
      <w:r>
        <w:separator/>
      </w:r>
    </w:p>
  </w:footnote>
  <w:footnote w:type="continuationSeparator" w:id="0">
    <w:p w:rsidR="00CC0AFF" w:rsidRDefault="00CC0AFF" w:rsidP="00856708">
      <w:pPr>
        <w:spacing w:after="0"/>
      </w:pPr>
      <w:r>
        <w:continuationSeparator/>
      </w:r>
    </w:p>
  </w:footnote>
  <w:footnote w:type="continuationNotice" w:id="1">
    <w:p w:rsidR="00CC0AFF" w:rsidRDefault="00CC0AFF">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6653" w:rsidRDefault="00A5665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2691" w:rsidRDefault="00D3269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6653" w:rsidRDefault="00A5665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60F56"/>
    <w:multiLevelType w:val="hybridMultilevel"/>
    <w:tmpl w:val="2B941A5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4B67828"/>
    <w:multiLevelType w:val="hybridMultilevel"/>
    <w:tmpl w:val="C1929D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E034BB0"/>
    <w:multiLevelType w:val="hybridMultilevel"/>
    <w:tmpl w:val="AFE8E8A4"/>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103B6BAB"/>
    <w:multiLevelType w:val="hybridMultilevel"/>
    <w:tmpl w:val="13145C9A"/>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46C37C1"/>
    <w:multiLevelType w:val="hybridMultilevel"/>
    <w:tmpl w:val="39164B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15301A03"/>
    <w:multiLevelType w:val="hybridMultilevel"/>
    <w:tmpl w:val="5808C074"/>
    <w:lvl w:ilvl="0" w:tplc="0C090001">
      <w:start w:val="1"/>
      <w:numFmt w:val="bullet"/>
      <w:lvlText w:val=""/>
      <w:lvlJc w:val="left"/>
      <w:pPr>
        <w:ind w:left="1077" w:hanging="360"/>
      </w:pPr>
      <w:rPr>
        <w:rFonts w:ascii="Symbol" w:hAnsi="Symbo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6">
    <w:nsid w:val="19D956DD"/>
    <w:multiLevelType w:val="hybridMultilevel"/>
    <w:tmpl w:val="2766DC48"/>
    <w:lvl w:ilvl="0" w:tplc="D7EC0C46">
      <w:numFmt w:val="bullet"/>
      <w:lvlText w:val="•"/>
      <w:lvlJc w:val="left"/>
      <w:pPr>
        <w:ind w:left="1080" w:hanging="720"/>
      </w:pPr>
      <w:rPr>
        <w:rFonts w:ascii="Calibri" w:eastAsia="Dotum"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1A5B40BC"/>
    <w:multiLevelType w:val="hybridMultilevel"/>
    <w:tmpl w:val="49500B4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1D4400AF"/>
    <w:multiLevelType w:val="hybridMultilevel"/>
    <w:tmpl w:val="D39E0680"/>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23407A16"/>
    <w:multiLevelType w:val="hybridMultilevel"/>
    <w:tmpl w:val="BDD2CEDA"/>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2A3C7386"/>
    <w:multiLevelType w:val="hybridMultilevel"/>
    <w:tmpl w:val="5C16155C"/>
    <w:lvl w:ilvl="0" w:tplc="D49AB12C">
      <w:start w:val="1"/>
      <w:numFmt w:val="bullet"/>
      <w:lvlText w:val="&gt;"/>
      <w:lvlJc w:val="left"/>
      <w:pPr>
        <w:ind w:left="720" w:hanging="360"/>
      </w:pPr>
      <w:rPr>
        <w:rFonts w:ascii="Calibri" w:hAnsi="Calibri" w:hint="default"/>
        <w:b/>
        <w:i w:val="0"/>
        <w:color w:val="000000" w:themeColor="text1"/>
        <w:sz w:val="22"/>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2D152972"/>
    <w:multiLevelType w:val="hybridMultilevel"/>
    <w:tmpl w:val="5F8E3EF8"/>
    <w:lvl w:ilvl="0" w:tplc="0C09000B">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2">
    <w:nsid w:val="31DF7BF4"/>
    <w:multiLevelType w:val="multilevel"/>
    <w:tmpl w:val="E25EB8C8"/>
    <w:lvl w:ilvl="0">
      <w:start w:val="1"/>
      <w:numFmt w:val="decimal"/>
      <w:lvlText w:val="%1. "/>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3">
    <w:nsid w:val="31FB2F51"/>
    <w:multiLevelType w:val="hybridMultilevel"/>
    <w:tmpl w:val="DAB4E4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37434B42"/>
    <w:multiLevelType w:val="hybridMultilevel"/>
    <w:tmpl w:val="E28CBCD8"/>
    <w:lvl w:ilvl="0" w:tplc="DA3E38AC">
      <w:start w:val="1"/>
      <w:numFmt w:val="bullet"/>
      <w:lvlText w:val="&gt;"/>
      <w:lvlJc w:val="left"/>
      <w:pPr>
        <w:ind w:left="720" w:hanging="360"/>
      </w:pPr>
      <w:rPr>
        <w:rFonts w:ascii="Calibri" w:hAnsi="Calibri" w:hint="default"/>
        <w:b/>
        <w:i w:val="0"/>
        <w:color w:val="BCBDBC"/>
        <w:sz w:val="22"/>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3C0414FF"/>
    <w:multiLevelType w:val="hybridMultilevel"/>
    <w:tmpl w:val="5E2652E4"/>
    <w:lvl w:ilvl="0" w:tplc="0C090001">
      <w:start w:val="1"/>
      <w:numFmt w:val="bullet"/>
      <w:lvlText w:val=""/>
      <w:lvlJc w:val="left"/>
      <w:pPr>
        <w:ind w:left="785" w:hanging="360"/>
      </w:pPr>
      <w:rPr>
        <w:rFonts w:ascii="Symbol" w:hAnsi="Symbol" w:hint="default"/>
      </w:rPr>
    </w:lvl>
    <w:lvl w:ilvl="1" w:tplc="0C090003" w:tentative="1">
      <w:start w:val="1"/>
      <w:numFmt w:val="bullet"/>
      <w:lvlText w:val="o"/>
      <w:lvlJc w:val="left"/>
      <w:pPr>
        <w:ind w:left="1505" w:hanging="360"/>
      </w:pPr>
      <w:rPr>
        <w:rFonts w:ascii="Courier New" w:hAnsi="Courier New" w:cs="Courier New" w:hint="default"/>
      </w:rPr>
    </w:lvl>
    <w:lvl w:ilvl="2" w:tplc="0C090005" w:tentative="1">
      <w:start w:val="1"/>
      <w:numFmt w:val="bullet"/>
      <w:lvlText w:val=""/>
      <w:lvlJc w:val="left"/>
      <w:pPr>
        <w:ind w:left="2225" w:hanging="360"/>
      </w:pPr>
      <w:rPr>
        <w:rFonts w:ascii="Wingdings" w:hAnsi="Wingdings" w:hint="default"/>
      </w:rPr>
    </w:lvl>
    <w:lvl w:ilvl="3" w:tplc="0C090001" w:tentative="1">
      <w:start w:val="1"/>
      <w:numFmt w:val="bullet"/>
      <w:lvlText w:val=""/>
      <w:lvlJc w:val="left"/>
      <w:pPr>
        <w:ind w:left="2945" w:hanging="360"/>
      </w:pPr>
      <w:rPr>
        <w:rFonts w:ascii="Symbol" w:hAnsi="Symbol" w:hint="default"/>
      </w:rPr>
    </w:lvl>
    <w:lvl w:ilvl="4" w:tplc="0C090003" w:tentative="1">
      <w:start w:val="1"/>
      <w:numFmt w:val="bullet"/>
      <w:lvlText w:val="o"/>
      <w:lvlJc w:val="left"/>
      <w:pPr>
        <w:ind w:left="3665" w:hanging="360"/>
      </w:pPr>
      <w:rPr>
        <w:rFonts w:ascii="Courier New" w:hAnsi="Courier New" w:cs="Courier New" w:hint="default"/>
      </w:rPr>
    </w:lvl>
    <w:lvl w:ilvl="5" w:tplc="0C090005" w:tentative="1">
      <w:start w:val="1"/>
      <w:numFmt w:val="bullet"/>
      <w:lvlText w:val=""/>
      <w:lvlJc w:val="left"/>
      <w:pPr>
        <w:ind w:left="4385" w:hanging="360"/>
      </w:pPr>
      <w:rPr>
        <w:rFonts w:ascii="Wingdings" w:hAnsi="Wingdings" w:hint="default"/>
      </w:rPr>
    </w:lvl>
    <w:lvl w:ilvl="6" w:tplc="0C090001" w:tentative="1">
      <w:start w:val="1"/>
      <w:numFmt w:val="bullet"/>
      <w:lvlText w:val=""/>
      <w:lvlJc w:val="left"/>
      <w:pPr>
        <w:ind w:left="5105" w:hanging="360"/>
      </w:pPr>
      <w:rPr>
        <w:rFonts w:ascii="Symbol" w:hAnsi="Symbol" w:hint="default"/>
      </w:rPr>
    </w:lvl>
    <w:lvl w:ilvl="7" w:tplc="0C090003" w:tentative="1">
      <w:start w:val="1"/>
      <w:numFmt w:val="bullet"/>
      <w:lvlText w:val="o"/>
      <w:lvlJc w:val="left"/>
      <w:pPr>
        <w:ind w:left="5825" w:hanging="360"/>
      </w:pPr>
      <w:rPr>
        <w:rFonts w:ascii="Courier New" w:hAnsi="Courier New" w:cs="Courier New" w:hint="default"/>
      </w:rPr>
    </w:lvl>
    <w:lvl w:ilvl="8" w:tplc="0C090005" w:tentative="1">
      <w:start w:val="1"/>
      <w:numFmt w:val="bullet"/>
      <w:lvlText w:val=""/>
      <w:lvlJc w:val="left"/>
      <w:pPr>
        <w:ind w:left="6545" w:hanging="360"/>
      </w:pPr>
      <w:rPr>
        <w:rFonts w:ascii="Wingdings" w:hAnsi="Wingdings" w:hint="default"/>
      </w:rPr>
    </w:lvl>
  </w:abstractNum>
  <w:abstractNum w:abstractNumId="16">
    <w:nsid w:val="3EA341AC"/>
    <w:multiLevelType w:val="hybridMultilevel"/>
    <w:tmpl w:val="6EF07DB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nsid w:val="3EFF033C"/>
    <w:multiLevelType w:val="hybridMultilevel"/>
    <w:tmpl w:val="94DE79E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448F75A6"/>
    <w:multiLevelType w:val="hybridMultilevel"/>
    <w:tmpl w:val="5E788302"/>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4D1C6748"/>
    <w:multiLevelType w:val="hybridMultilevel"/>
    <w:tmpl w:val="0042226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4E683A17"/>
    <w:multiLevelType w:val="hybridMultilevel"/>
    <w:tmpl w:val="861A2954"/>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53C861B1"/>
    <w:multiLevelType w:val="hybridMultilevel"/>
    <w:tmpl w:val="41888FEA"/>
    <w:lvl w:ilvl="0" w:tplc="D7EC0C46">
      <w:numFmt w:val="bullet"/>
      <w:lvlText w:val="•"/>
      <w:lvlJc w:val="left"/>
      <w:pPr>
        <w:ind w:left="1080" w:hanging="720"/>
      </w:pPr>
      <w:rPr>
        <w:rFonts w:ascii="Calibri" w:eastAsia="Dotum"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54FB71C4"/>
    <w:multiLevelType w:val="hybridMultilevel"/>
    <w:tmpl w:val="F1E6CF9E"/>
    <w:lvl w:ilvl="0" w:tplc="0C090001">
      <w:start w:val="1"/>
      <w:numFmt w:val="bullet"/>
      <w:lvlText w:val=""/>
      <w:lvlJc w:val="left"/>
      <w:pPr>
        <w:ind w:left="363" w:hanging="360"/>
      </w:pPr>
      <w:rPr>
        <w:rFonts w:ascii="Symbol" w:hAnsi="Symbol" w:hint="default"/>
      </w:rPr>
    </w:lvl>
    <w:lvl w:ilvl="1" w:tplc="0C090003" w:tentative="1">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23">
    <w:nsid w:val="5CDE0176"/>
    <w:multiLevelType w:val="hybridMultilevel"/>
    <w:tmpl w:val="6D04B64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5EA4749F"/>
    <w:multiLevelType w:val="hybridMultilevel"/>
    <w:tmpl w:val="8D686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1F25874"/>
    <w:multiLevelType w:val="hybridMultilevel"/>
    <w:tmpl w:val="F2A2E6DE"/>
    <w:lvl w:ilvl="0" w:tplc="3482A994">
      <w:numFmt w:val="bullet"/>
      <w:lvlText w:val="-"/>
      <w:lvlJc w:val="left"/>
      <w:pPr>
        <w:ind w:left="720" w:hanging="360"/>
      </w:pPr>
      <w:rPr>
        <w:rFonts w:ascii="Calibri" w:eastAsia="Calibri" w:hAnsi="Calibri" w:cs="Times New Roman"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6">
    <w:nsid w:val="675626BE"/>
    <w:multiLevelType w:val="hybridMultilevel"/>
    <w:tmpl w:val="6D16493A"/>
    <w:lvl w:ilvl="0" w:tplc="72FC968E">
      <w:numFmt w:val="bullet"/>
      <w:lvlText w:val=""/>
      <w:lvlJc w:val="left"/>
      <w:pPr>
        <w:ind w:left="1080" w:hanging="360"/>
      </w:pPr>
      <w:rPr>
        <w:rFonts w:ascii="Symbol" w:eastAsia="Dotum" w:hAnsi="Symbol" w:cs="Calibri" w:hint="default"/>
      </w:rPr>
    </w:lvl>
    <w:lvl w:ilvl="1" w:tplc="0C090003">
      <w:start w:val="1"/>
      <w:numFmt w:val="bullet"/>
      <w:lvlText w:val="o"/>
      <w:lvlJc w:val="left"/>
      <w:pPr>
        <w:ind w:left="1800" w:hanging="360"/>
      </w:pPr>
      <w:rPr>
        <w:rFonts w:ascii="Courier New" w:hAnsi="Courier New" w:cs="Courier New" w:hint="default"/>
      </w:rPr>
    </w:lvl>
    <w:lvl w:ilvl="2" w:tplc="0C090005">
      <w:start w:val="1"/>
      <w:numFmt w:val="bullet"/>
      <w:lvlText w:val=""/>
      <w:lvlJc w:val="left"/>
      <w:pPr>
        <w:ind w:left="2520" w:hanging="360"/>
      </w:pPr>
      <w:rPr>
        <w:rFonts w:ascii="Wingdings" w:hAnsi="Wingdings" w:hint="default"/>
      </w:rPr>
    </w:lvl>
    <w:lvl w:ilvl="3" w:tplc="0C090001">
      <w:start w:val="1"/>
      <w:numFmt w:val="bullet"/>
      <w:lvlText w:val=""/>
      <w:lvlJc w:val="left"/>
      <w:pPr>
        <w:ind w:left="3240" w:hanging="360"/>
      </w:pPr>
      <w:rPr>
        <w:rFonts w:ascii="Symbol" w:hAnsi="Symbol" w:hint="default"/>
      </w:rPr>
    </w:lvl>
    <w:lvl w:ilvl="4" w:tplc="0C090003">
      <w:start w:val="1"/>
      <w:numFmt w:val="bullet"/>
      <w:lvlText w:val="o"/>
      <w:lvlJc w:val="left"/>
      <w:pPr>
        <w:ind w:left="3960" w:hanging="360"/>
      </w:pPr>
      <w:rPr>
        <w:rFonts w:ascii="Courier New" w:hAnsi="Courier New" w:cs="Courier New" w:hint="default"/>
      </w:rPr>
    </w:lvl>
    <w:lvl w:ilvl="5" w:tplc="0C090005">
      <w:start w:val="1"/>
      <w:numFmt w:val="bullet"/>
      <w:lvlText w:val=""/>
      <w:lvlJc w:val="left"/>
      <w:pPr>
        <w:ind w:left="4680" w:hanging="360"/>
      </w:pPr>
      <w:rPr>
        <w:rFonts w:ascii="Wingdings" w:hAnsi="Wingdings" w:hint="default"/>
      </w:rPr>
    </w:lvl>
    <w:lvl w:ilvl="6" w:tplc="0C090001">
      <w:start w:val="1"/>
      <w:numFmt w:val="bullet"/>
      <w:lvlText w:val=""/>
      <w:lvlJc w:val="left"/>
      <w:pPr>
        <w:ind w:left="5400" w:hanging="360"/>
      </w:pPr>
      <w:rPr>
        <w:rFonts w:ascii="Symbol" w:hAnsi="Symbol" w:hint="default"/>
      </w:rPr>
    </w:lvl>
    <w:lvl w:ilvl="7" w:tplc="0C090003">
      <w:start w:val="1"/>
      <w:numFmt w:val="bullet"/>
      <w:lvlText w:val="o"/>
      <w:lvlJc w:val="left"/>
      <w:pPr>
        <w:ind w:left="6120" w:hanging="360"/>
      </w:pPr>
      <w:rPr>
        <w:rFonts w:ascii="Courier New" w:hAnsi="Courier New" w:cs="Courier New" w:hint="default"/>
      </w:rPr>
    </w:lvl>
    <w:lvl w:ilvl="8" w:tplc="0C090005">
      <w:start w:val="1"/>
      <w:numFmt w:val="bullet"/>
      <w:lvlText w:val=""/>
      <w:lvlJc w:val="left"/>
      <w:pPr>
        <w:ind w:left="6840" w:hanging="360"/>
      </w:pPr>
      <w:rPr>
        <w:rFonts w:ascii="Wingdings" w:hAnsi="Wingdings" w:hint="default"/>
      </w:rPr>
    </w:lvl>
  </w:abstractNum>
  <w:abstractNum w:abstractNumId="27">
    <w:nsid w:val="6ADC44D4"/>
    <w:multiLevelType w:val="hybridMultilevel"/>
    <w:tmpl w:val="996432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6EA216AE"/>
    <w:multiLevelType w:val="hybridMultilevel"/>
    <w:tmpl w:val="79BEDF2C"/>
    <w:lvl w:ilvl="0" w:tplc="DA3E38AC">
      <w:start w:val="1"/>
      <w:numFmt w:val="bullet"/>
      <w:lvlText w:val="&gt;"/>
      <w:lvlJc w:val="left"/>
      <w:pPr>
        <w:ind w:left="720" w:hanging="360"/>
      </w:pPr>
      <w:rPr>
        <w:rFonts w:ascii="Calibri" w:hAnsi="Calibri" w:hint="default"/>
        <w:b/>
        <w:i w:val="0"/>
        <w:color w:val="BCBDBC"/>
        <w:sz w:val="22"/>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7A04311E"/>
    <w:multiLevelType w:val="hybridMultilevel"/>
    <w:tmpl w:val="28D86A64"/>
    <w:lvl w:ilvl="0" w:tplc="D7EC0C46">
      <w:numFmt w:val="bullet"/>
      <w:lvlText w:val="•"/>
      <w:lvlJc w:val="left"/>
      <w:pPr>
        <w:ind w:left="1080" w:hanging="720"/>
      </w:pPr>
      <w:rPr>
        <w:rFonts w:ascii="Calibri" w:eastAsia="Dotum"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2"/>
  </w:num>
  <w:num w:numId="2">
    <w:abstractNumId w:val="12"/>
    <w:lvlOverride w:ilvl="0">
      <w:lvl w:ilvl="0">
        <w:start w:val="1"/>
        <w:numFmt w:val="decimal"/>
        <w:lvlText w:val="%1."/>
        <w:lvlJc w:val="left"/>
        <w:pPr>
          <w:ind w:left="432" w:hanging="432"/>
        </w:pPr>
        <w:rPr>
          <w:rFonts w:hint="default"/>
        </w:rPr>
      </w:lvl>
    </w:lvlOverride>
    <w:lvlOverride w:ilvl="1">
      <w:lvl w:ilvl="1">
        <w:start w:val="1"/>
        <w:numFmt w:val="decimal"/>
        <w:lvlText w:val="%1.%2"/>
        <w:lvlJc w:val="left"/>
        <w:pPr>
          <w:ind w:left="576" w:hanging="576"/>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pStyle w:val="Heading6"/>
        <w:lvlText w:val="%1.%2.%3.%4.%5.%6"/>
        <w:lvlJc w:val="left"/>
        <w:pPr>
          <w:ind w:left="1152" w:hanging="1152"/>
        </w:pPr>
        <w:rPr>
          <w:rFonts w:hint="default"/>
        </w:rPr>
      </w:lvl>
    </w:lvlOverride>
    <w:lvlOverride w:ilvl="6">
      <w:lvl w:ilvl="6">
        <w:start w:val="1"/>
        <w:numFmt w:val="decimal"/>
        <w:pStyle w:val="Heading7"/>
        <w:lvlText w:val="%1.%2.%3.%4.%5.%6.%7"/>
        <w:lvlJc w:val="left"/>
        <w:pPr>
          <w:ind w:left="1296" w:hanging="1296"/>
        </w:pPr>
        <w:rPr>
          <w:rFonts w:hint="default"/>
        </w:rPr>
      </w:lvl>
    </w:lvlOverride>
    <w:lvlOverride w:ilvl="7">
      <w:lvl w:ilvl="7">
        <w:start w:val="1"/>
        <w:numFmt w:val="decimal"/>
        <w:pStyle w:val="Heading8"/>
        <w:lvlText w:val="%1.%2.%3.%4.%5.%6.%7.%8"/>
        <w:lvlJc w:val="left"/>
        <w:pPr>
          <w:ind w:left="1440" w:hanging="1440"/>
        </w:pPr>
        <w:rPr>
          <w:rFonts w:hint="default"/>
        </w:rPr>
      </w:lvl>
    </w:lvlOverride>
    <w:lvlOverride w:ilvl="8">
      <w:lvl w:ilvl="8">
        <w:start w:val="1"/>
        <w:numFmt w:val="decimal"/>
        <w:pStyle w:val="Heading9"/>
        <w:lvlText w:val="%1.%2.%3.%4.%5.%6.%7.%8.%9"/>
        <w:lvlJc w:val="left"/>
        <w:pPr>
          <w:ind w:left="1584" w:hanging="1584"/>
        </w:pPr>
        <w:rPr>
          <w:rFonts w:hint="default"/>
        </w:rPr>
      </w:lvl>
    </w:lvlOverride>
  </w:num>
  <w:num w:numId="3">
    <w:abstractNumId w:val="14"/>
  </w:num>
  <w:num w:numId="4">
    <w:abstractNumId w:val="28"/>
  </w:num>
  <w:num w:numId="5">
    <w:abstractNumId w:val="10"/>
  </w:num>
  <w:num w:numId="6">
    <w:abstractNumId w:val="8"/>
  </w:num>
  <w:num w:numId="7">
    <w:abstractNumId w:val="13"/>
  </w:num>
  <w:num w:numId="8">
    <w:abstractNumId w:val="23"/>
  </w:num>
  <w:num w:numId="9">
    <w:abstractNumId w:val="5"/>
  </w:num>
  <w:num w:numId="10">
    <w:abstractNumId w:val="17"/>
  </w:num>
  <w:num w:numId="11">
    <w:abstractNumId w:val="1"/>
  </w:num>
  <w:num w:numId="12">
    <w:abstractNumId w:val="29"/>
  </w:num>
  <w:num w:numId="13">
    <w:abstractNumId w:val="21"/>
  </w:num>
  <w:num w:numId="14">
    <w:abstractNumId w:val="22"/>
  </w:num>
  <w:num w:numId="15">
    <w:abstractNumId w:val="3"/>
  </w:num>
  <w:num w:numId="16">
    <w:abstractNumId w:val="20"/>
  </w:num>
  <w:num w:numId="17">
    <w:abstractNumId w:val="18"/>
  </w:num>
  <w:num w:numId="18">
    <w:abstractNumId w:val="9"/>
  </w:num>
  <w:num w:numId="19">
    <w:abstractNumId w:val="2"/>
  </w:num>
  <w:num w:numId="20">
    <w:abstractNumId w:val="25"/>
  </w:num>
  <w:num w:numId="21">
    <w:abstractNumId w:val="0"/>
  </w:num>
  <w:num w:numId="22">
    <w:abstractNumId w:val="19"/>
  </w:num>
  <w:num w:numId="23">
    <w:abstractNumId w:val="15"/>
  </w:num>
  <w:num w:numId="24">
    <w:abstractNumId w:val="7"/>
  </w:num>
  <w:num w:numId="25">
    <w:abstractNumId w:val="4"/>
  </w:num>
  <w:num w:numId="26">
    <w:abstractNumId w:val="27"/>
  </w:num>
  <w:num w:numId="27">
    <w:abstractNumId w:val="6"/>
  </w:num>
  <w:num w:numId="28">
    <w:abstractNumId w:val="16"/>
  </w:num>
  <w:num w:numId="29">
    <w:abstractNumId w:val="24"/>
  </w:num>
  <w:num w:numId="30">
    <w:abstractNumId w:val="11"/>
  </w:num>
  <w:num w:numId="31">
    <w:abstractNumId w:val="15"/>
  </w:num>
  <w:num w:numId="32">
    <w:abstractNumId w:val="4"/>
  </w:num>
  <w:num w:numId="33">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characterSpacingControl w:val="doNotCompress"/>
  <w:hdrShapeDefaults>
    <o:shapedefaults v:ext="edit" spidmax="2053"/>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269D"/>
    <w:rsid w:val="000055C9"/>
    <w:rsid w:val="000237C1"/>
    <w:rsid w:val="00036EDC"/>
    <w:rsid w:val="00057D2E"/>
    <w:rsid w:val="00096CF7"/>
    <w:rsid w:val="000A47EF"/>
    <w:rsid w:val="000C542A"/>
    <w:rsid w:val="000D41A4"/>
    <w:rsid w:val="000E135F"/>
    <w:rsid w:val="000F4290"/>
    <w:rsid w:val="001008AF"/>
    <w:rsid w:val="00105044"/>
    <w:rsid w:val="001055C5"/>
    <w:rsid w:val="00112F7E"/>
    <w:rsid w:val="001227DB"/>
    <w:rsid w:val="00122884"/>
    <w:rsid w:val="0014583E"/>
    <w:rsid w:val="001534D0"/>
    <w:rsid w:val="00190951"/>
    <w:rsid w:val="001950A5"/>
    <w:rsid w:val="001A4121"/>
    <w:rsid w:val="001A59E4"/>
    <w:rsid w:val="001B4568"/>
    <w:rsid w:val="001E569C"/>
    <w:rsid w:val="001E6119"/>
    <w:rsid w:val="002015CB"/>
    <w:rsid w:val="0020498A"/>
    <w:rsid w:val="00207C71"/>
    <w:rsid w:val="002162A4"/>
    <w:rsid w:val="002328AD"/>
    <w:rsid w:val="00233E0B"/>
    <w:rsid w:val="002537F2"/>
    <w:rsid w:val="00284F3B"/>
    <w:rsid w:val="00295CD3"/>
    <w:rsid w:val="002A760A"/>
    <w:rsid w:val="002D2D35"/>
    <w:rsid w:val="002F760D"/>
    <w:rsid w:val="003106B3"/>
    <w:rsid w:val="003279D1"/>
    <w:rsid w:val="003362FF"/>
    <w:rsid w:val="003365A0"/>
    <w:rsid w:val="0034702C"/>
    <w:rsid w:val="00356171"/>
    <w:rsid w:val="003621CC"/>
    <w:rsid w:val="00365ADC"/>
    <w:rsid w:val="00371807"/>
    <w:rsid w:val="0037712B"/>
    <w:rsid w:val="0038208D"/>
    <w:rsid w:val="00383BC8"/>
    <w:rsid w:val="003A6CFE"/>
    <w:rsid w:val="003D27F1"/>
    <w:rsid w:val="003F689E"/>
    <w:rsid w:val="004044E6"/>
    <w:rsid w:val="00414A33"/>
    <w:rsid w:val="00416343"/>
    <w:rsid w:val="00431594"/>
    <w:rsid w:val="00456D04"/>
    <w:rsid w:val="00462091"/>
    <w:rsid w:val="00477370"/>
    <w:rsid w:val="00482E7D"/>
    <w:rsid w:val="004854D4"/>
    <w:rsid w:val="00485FB0"/>
    <w:rsid w:val="004970CD"/>
    <w:rsid w:val="004D0E3A"/>
    <w:rsid w:val="004D23A4"/>
    <w:rsid w:val="004D4636"/>
    <w:rsid w:val="004E6C74"/>
    <w:rsid w:val="00500D94"/>
    <w:rsid w:val="00527B0E"/>
    <w:rsid w:val="00540020"/>
    <w:rsid w:val="0054586C"/>
    <w:rsid w:val="00551DC2"/>
    <w:rsid w:val="00552182"/>
    <w:rsid w:val="00553212"/>
    <w:rsid w:val="005721F4"/>
    <w:rsid w:val="0059575E"/>
    <w:rsid w:val="005B7A54"/>
    <w:rsid w:val="005C1B21"/>
    <w:rsid w:val="005E269D"/>
    <w:rsid w:val="006015E0"/>
    <w:rsid w:val="0060302D"/>
    <w:rsid w:val="00605D57"/>
    <w:rsid w:val="006132BC"/>
    <w:rsid w:val="00621B8A"/>
    <w:rsid w:val="00624331"/>
    <w:rsid w:val="00652B93"/>
    <w:rsid w:val="00654ED7"/>
    <w:rsid w:val="00667799"/>
    <w:rsid w:val="00671AFB"/>
    <w:rsid w:val="006868A5"/>
    <w:rsid w:val="006A0F39"/>
    <w:rsid w:val="006B1482"/>
    <w:rsid w:val="006C2A19"/>
    <w:rsid w:val="006D6EA9"/>
    <w:rsid w:val="006E3696"/>
    <w:rsid w:val="006E4915"/>
    <w:rsid w:val="006F2FC1"/>
    <w:rsid w:val="006F3FA1"/>
    <w:rsid w:val="007404B8"/>
    <w:rsid w:val="007537BC"/>
    <w:rsid w:val="0076214B"/>
    <w:rsid w:val="0077334A"/>
    <w:rsid w:val="00790C01"/>
    <w:rsid w:val="00795C0A"/>
    <w:rsid w:val="007975BE"/>
    <w:rsid w:val="007A0660"/>
    <w:rsid w:val="007A1957"/>
    <w:rsid w:val="007A5FB6"/>
    <w:rsid w:val="007A6494"/>
    <w:rsid w:val="007B1A08"/>
    <w:rsid w:val="007F6ADD"/>
    <w:rsid w:val="007F7B08"/>
    <w:rsid w:val="008030F3"/>
    <w:rsid w:val="008125A3"/>
    <w:rsid w:val="00813330"/>
    <w:rsid w:val="00814C1C"/>
    <w:rsid w:val="008171F4"/>
    <w:rsid w:val="00832E55"/>
    <w:rsid w:val="008346A9"/>
    <w:rsid w:val="00852F2C"/>
    <w:rsid w:val="00856708"/>
    <w:rsid w:val="008603A4"/>
    <w:rsid w:val="0086057B"/>
    <w:rsid w:val="00863C02"/>
    <w:rsid w:val="00866157"/>
    <w:rsid w:val="00870B9C"/>
    <w:rsid w:val="00872B57"/>
    <w:rsid w:val="00875296"/>
    <w:rsid w:val="00875D1A"/>
    <w:rsid w:val="00880C4D"/>
    <w:rsid w:val="00891D6F"/>
    <w:rsid w:val="00893E0A"/>
    <w:rsid w:val="008A2F29"/>
    <w:rsid w:val="008A7CCD"/>
    <w:rsid w:val="008C7C93"/>
    <w:rsid w:val="008D2382"/>
    <w:rsid w:val="008D29E7"/>
    <w:rsid w:val="008F2B1C"/>
    <w:rsid w:val="0090210D"/>
    <w:rsid w:val="00903D1B"/>
    <w:rsid w:val="00912F40"/>
    <w:rsid w:val="00914CAF"/>
    <w:rsid w:val="00920E4D"/>
    <w:rsid w:val="00922D55"/>
    <w:rsid w:val="009417FD"/>
    <w:rsid w:val="00942F2E"/>
    <w:rsid w:val="00951B85"/>
    <w:rsid w:val="00953838"/>
    <w:rsid w:val="00957444"/>
    <w:rsid w:val="00962C73"/>
    <w:rsid w:val="00974A15"/>
    <w:rsid w:val="009834DE"/>
    <w:rsid w:val="00993B0D"/>
    <w:rsid w:val="009968EA"/>
    <w:rsid w:val="009A77BD"/>
    <w:rsid w:val="009D000B"/>
    <w:rsid w:val="009D1B5C"/>
    <w:rsid w:val="009D53F6"/>
    <w:rsid w:val="009E2D92"/>
    <w:rsid w:val="009E38CC"/>
    <w:rsid w:val="009E74E1"/>
    <w:rsid w:val="009F6B01"/>
    <w:rsid w:val="00A12232"/>
    <w:rsid w:val="00A21D0C"/>
    <w:rsid w:val="00A22A81"/>
    <w:rsid w:val="00A26A66"/>
    <w:rsid w:val="00A27FAA"/>
    <w:rsid w:val="00A30DC7"/>
    <w:rsid w:val="00A4257B"/>
    <w:rsid w:val="00A47D4B"/>
    <w:rsid w:val="00A52712"/>
    <w:rsid w:val="00A535F3"/>
    <w:rsid w:val="00A54F10"/>
    <w:rsid w:val="00A56653"/>
    <w:rsid w:val="00A62974"/>
    <w:rsid w:val="00A84986"/>
    <w:rsid w:val="00A91EC2"/>
    <w:rsid w:val="00A95255"/>
    <w:rsid w:val="00AA395B"/>
    <w:rsid w:val="00AA7149"/>
    <w:rsid w:val="00AB0BAB"/>
    <w:rsid w:val="00AE23B7"/>
    <w:rsid w:val="00AF6B62"/>
    <w:rsid w:val="00B012C0"/>
    <w:rsid w:val="00B031F8"/>
    <w:rsid w:val="00B2234A"/>
    <w:rsid w:val="00B23863"/>
    <w:rsid w:val="00B3444D"/>
    <w:rsid w:val="00B35EAD"/>
    <w:rsid w:val="00B3726E"/>
    <w:rsid w:val="00B420B9"/>
    <w:rsid w:val="00B44BF4"/>
    <w:rsid w:val="00B4504C"/>
    <w:rsid w:val="00B45CED"/>
    <w:rsid w:val="00B60A78"/>
    <w:rsid w:val="00B646DF"/>
    <w:rsid w:val="00B65C4B"/>
    <w:rsid w:val="00B724D0"/>
    <w:rsid w:val="00B75E96"/>
    <w:rsid w:val="00BA0A0E"/>
    <w:rsid w:val="00BC133A"/>
    <w:rsid w:val="00BC2486"/>
    <w:rsid w:val="00BC2689"/>
    <w:rsid w:val="00BC5A06"/>
    <w:rsid w:val="00BE2476"/>
    <w:rsid w:val="00BF0042"/>
    <w:rsid w:val="00C1280E"/>
    <w:rsid w:val="00C15BB5"/>
    <w:rsid w:val="00C209A8"/>
    <w:rsid w:val="00C359D3"/>
    <w:rsid w:val="00C437BD"/>
    <w:rsid w:val="00C53BA9"/>
    <w:rsid w:val="00C53FE4"/>
    <w:rsid w:val="00C54916"/>
    <w:rsid w:val="00C70A55"/>
    <w:rsid w:val="00C72E1F"/>
    <w:rsid w:val="00C74E12"/>
    <w:rsid w:val="00C77373"/>
    <w:rsid w:val="00C777B3"/>
    <w:rsid w:val="00C94821"/>
    <w:rsid w:val="00CA62D6"/>
    <w:rsid w:val="00CC0AFF"/>
    <w:rsid w:val="00CD4C6C"/>
    <w:rsid w:val="00CF13F2"/>
    <w:rsid w:val="00D24D85"/>
    <w:rsid w:val="00D32691"/>
    <w:rsid w:val="00D331DD"/>
    <w:rsid w:val="00D42E20"/>
    <w:rsid w:val="00D460CE"/>
    <w:rsid w:val="00D76218"/>
    <w:rsid w:val="00D82DBA"/>
    <w:rsid w:val="00D96E09"/>
    <w:rsid w:val="00DA540C"/>
    <w:rsid w:val="00DB0F65"/>
    <w:rsid w:val="00DD3B61"/>
    <w:rsid w:val="00DE263E"/>
    <w:rsid w:val="00DF0D79"/>
    <w:rsid w:val="00E1634F"/>
    <w:rsid w:val="00E16CD9"/>
    <w:rsid w:val="00E24118"/>
    <w:rsid w:val="00E44207"/>
    <w:rsid w:val="00E7003F"/>
    <w:rsid w:val="00E72A10"/>
    <w:rsid w:val="00E7672D"/>
    <w:rsid w:val="00E91E6C"/>
    <w:rsid w:val="00E942A8"/>
    <w:rsid w:val="00EA28B8"/>
    <w:rsid w:val="00EC1746"/>
    <w:rsid w:val="00EE639D"/>
    <w:rsid w:val="00EF603D"/>
    <w:rsid w:val="00F103FB"/>
    <w:rsid w:val="00F13AA2"/>
    <w:rsid w:val="00F13AB5"/>
    <w:rsid w:val="00F8007C"/>
    <w:rsid w:val="00F95755"/>
    <w:rsid w:val="00F97274"/>
    <w:rsid w:val="00FA399D"/>
    <w:rsid w:val="00FB2782"/>
    <w:rsid w:val="00FB73EA"/>
    <w:rsid w:val="00FC491B"/>
    <w:rsid w:val="00FC7841"/>
    <w:rsid w:val="00FD47E8"/>
    <w:rsid w:val="00FE1B46"/>
    <w:rsid w:val="00FE6EAF"/>
    <w:rsid w:val="00FF2C3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760D"/>
    <w:pPr>
      <w:spacing w:line="240" w:lineRule="auto"/>
    </w:pPr>
    <w:rPr>
      <w:rFonts w:ascii="TitilliumText25L" w:eastAsia="Dotum" w:hAnsi="TitilliumText25L" w:cs="Calibri"/>
    </w:rPr>
  </w:style>
  <w:style w:type="paragraph" w:styleId="Heading1">
    <w:name w:val="heading 1"/>
    <w:next w:val="Normal"/>
    <w:link w:val="Heading1Char"/>
    <w:uiPriority w:val="9"/>
    <w:qFormat/>
    <w:rsid w:val="003D27F1"/>
    <w:pPr>
      <w:widowControl w:val="0"/>
      <w:spacing w:after="240" w:line="580" w:lineRule="exact"/>
      <w:ind w:right="6"/>
      <w:outlineLvl w:val="0"/>
    </w:pPr>
    <w:rPr>
      <w:rFonts w:ascii="Calibri" w:eastAsia="HYGothic-Extra" w:hAnsi="Calibri" w:cs="Calibri"/>
      <w:bCs/>
      <w:color w:val="1E1E1E"/>
      <w:spacing w:val="-20"/>
      <w:sz w:val="56"/>
      <w:szCs w:val="72"/>
    </w:rPr>
  </w:style>
  <w:style w:type="paragraph" w:styleId="Heading2">
    <w:name w:val="heading 2"/>
    <w:next w:val="Normal"/>
    <w:link w:val="Heading2Char"/>
    <w:autoRedefine/>
    <w:uiPriority w:val="9"/>
    <w:unhideWhenUsed/>
    <w:qFormat/>
    <w:rsid w:val="007975BE"/>
    <w:pPr>
      <w:spacing w:before="360" w:after="120" w:line="240" w:lineRule="auto"/>
      <w:outlineLvl w:val="1"/>
    </w:pPr>
    <w:rPr>
      <w:rFonts w:ascii="TitilliumText25L" w:eastAsia="Dotum" w:hAnsi="TitilliumText25L" w:cs="Arial"/>
      <w:b/>
      <w:sz w:val="40"/>
      <w:szCs w:val="36"/>
    </w:rPr>
  </w:style>
  <w:style w:type="paragraph" w:styleId="Heading3">
    <w:name w:val="heading 3"/>
    <w:basedOn w:val="Normal"/>
    <w:next w:val="Normal"/>
    <w:link w:val="Heading3Char"/>
    <w:uiPriority w:val="9"/>
    <w:unhideWhenUsed/>
    <w:qFormat/>
    <w:rsid w:val="003D27F1"/>
    <w:pPr>
      <w:spacing w:before="120" w:after="120"/>
      <w:outlineLvl w:val="2"/>
    </w:pPr>
    <w:rPr>
      <w:rFonts w:ascii="Arial" w:hAnsi="Arial" w:cs="Arial"/>
      <w:color w:val="C60C30"/>
      <w:sz w:val="28"/>
      <w:szCs w:val="28"/>
    </w:rPr>
  </w:style>
  <w:style w:type="paragraph" w:styleId="Heading4">
    <w:name w:val="heading 4"/>
    <w:basedOn w:val="Normal"/>
    <w:next w:val="Normal"/>
    <w:link w:val="Heading4Char"/>
    <w:uiPriority w:val="9"/>
    <w:unhideWhenUsed/>
    <w:qFormat/>
    <w:rsid w:val="00B3726E"/>
    <w:pPr>
      <w:spacing w:after="0"/>
      <w:outlineLvl w:val="3"/>
    </w:pPr>
    <w:rPr>
      <w:rFonts w:ascii="Arial" w:hAnsi="Arial" w:cs="Arial"/>
      <w:b/>
    </w:rPr>
  </w:style>
  <w:style w:type="paragraph" w:styleId="Heading5">
    <w:name w:val="heading 5"/>
    <w:basedOn w:val="Normal"/>
    <w:next w:val="Normal"/>
    <w:link w:val="Heading5Char"/>
    <w:uiPriority w:val="9"/>
    <w:unhideWhenUsed/>
    <w:rsid w:val="00B3726E"/>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rsid w:val="00B3726E"/>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B3726E"/>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B3726E"/>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B3726E"/>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D27F1"/>
    <w:rPr>
      <w:rFonts w:ascii="Calibri" w:eastAsia="HYGothic-Extra" w:hAnsi="Calibri" w:cs="Calibri"/>
      <w:bCs/>
      <w:color w:val="1E1E1E"/>
      <w:spacing w:val="-20"/>
      <w:sz w:val="56"/>
      <w:szCs w:val="72"/>
    </w:rPr>
  </w:style>
  <w:style w:type="character" w:customStyle="1" w:styleId="Heading2Char">
    <w:name w:val="Heading 2 Char"/>
    <w:basedOn w:val="DefaultParagraphFont"/>
    <w:link w:val="Heading2"/>
    <w:uiPriority w:val="9"/>
    <w:rsid w:val="007975BE"/>
    <w:rPr>
      <w:rFonts w:ascii="TitilliumText25L" w:eastAsia="Dotum" w:hAnsi="TitilliumText25L" w:cs="Arial"/>
      <w:b/>
      <w:sz w:val="40"/>
      <w:szCs w:val="36"/>
    </w:rPr>
  </w:style>
  <w:style w:type="character" w:customStyle="1" w:styleId="Heading3Char">
    <w:name w:val="Heading 3 Char"/>
    <w:basedOn w:val="DefaultParagraphFont"/>
    <w:link w:val="Heading3"/>
    <w:uiPriority w:val="9"/>
    <w:rsid w:val="003D27F1"/>
    <w:rPr>
      <w:rFonts w:ascii="Arial" w:eastAsia="Dotum" w:hAnsi="Arial" w:cs="Arial"/>
      <w:color w:val="C60C30"/>
      <w:sz w:val="28"/>
      <w:szCs w:val="28"/>
    </w:rPr>
  </w:style>
  <w:style w:type="character" w:customStyle="1" w:styleId="Heading4Char">
    <w:name w:val="Heading 4 Char"/>
    <w:basedOn w:val="DefaultParagraphFont"/>
    <w:link w:val="Heading4"/>
    <w:uiPriority w:val="9"/>
    <w:rsid w:val="00B3726E"/>
    <w:rPr>
      <w:rFonts w:ascii="Arial" w:eastAsia="Dotum" w:hAnsi="Arial" w:cs="Arial"/>
      <w:b/>
    </w:rPr>
  </w:style>
  <w:style w:type="character" w:customStyle="1" w:styleId="Heading5Char">
    <w:name w:val="Heading 5 Char"/>
    <w:basedOn w:val="DefaultParagraphFont"/>
    <w:link w:val="Heading5"/>
    <w:uiPriority w:val="9"/>
    <w:rsid w:val="00B3726E"/>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B3726E"/>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B3726E"/>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B3726E"/>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B3726E"/>
    <w:rPr>
      <w:rFonts w:asciiTheme="majorHAnsi" w:eastAsiaTheme="majorEastAsia" w:hAnsiTheme="majorHAnsi" w:cstheme="majorBidi"/>
      <w:i/>
      <w:iCs/>
      <w:color w:val="404040" w:themeColor="text1" w:themeTint="BF"/>
      <w:sz w:val="20"/>
      <w:szCs w:val="20"/>
    </w:rPr>
  </w:style>
  <w:style w:type="paragraph" w:styleId="ListParagraph">
    <w:name w:val="List Paragraph"/>
    <w:basedOn w:val="Normal"/>
    <w:uiPriority w:val="34"/>
    <w:qFormat/>
    <w:rsid w:val="00B3726E"/>
    <w:pPr>
      <w:ind w:left="720"/>
      <w:contextualSpacing/>
    </w:pPr>
  </w:style>
  <w:style w:type="table" w:styleId="TableGrid">
    <w:name w:val="Table Grid"/>
    <w:basedOn w:val="TableNormal"/>
    <w:uiPriority w:val="59"/>
    <w:rsid w:val="00B372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036EDC"/>
    <w:pPr>
      <w:spacing w:before="3000" w:after="300"/>
      <w:contextualSpacing/>
    </w:pPr>
    <w:rPr>
      <w:rFonts w:ascii="Arial" w:eastAsiaTheme="majorEastAsia" w:hAnsi="Arial" w:cstheme="majorBidi"/>
      <w:caps/>
      <w:color w:val="1E1E1E"/>
      <w:spacing w:val="-22"/>
      <w:w w:val="105"/>
      <w:kern w:val="28"/>
      <w:sz w:val="80"/>
      <w:szCs w:val="80"/>
    </w:rPr>
  </w:style>
  <w:style w:type="character" w:customStyle="1" w:styleId="TitleChar">
    <w:name w:val="Title Char"/>
    <w:basedOn w:val="DefaultParagraphFont"/>
    <w:link w:val="Title"/>
    <w:uiPriority w:val="10"/>
    <w:rsid w:val="00036EDC"/>
    <w:rPr>
      <w:rFonts w:ascii="Arial" w:eastAsiaTheme="majorEastAsia" w:hAnsi="Arial" w:cstheme="majorBidi"/>
      <w:caps/>
      <w:color w:val="1E1E1E"/>
      <w:spacing w:val="-22"/>
      <w:w w:val="105"/>
      <w:kern w:val="28"/>
      <w:sz w:val="80"/>
      <w:szCs w:val="80"/>
    </w:rPr>
  </w:style>
  <w:style w:type="paragraph" w:styleId="Subtitle">
    <w:name w:val="Subtitle"/>
    <w:basedOn w:val="Normal"/>
    <w:next w:val="Normal"/>
    <w:link w:val="SubtitleChar"/>
    <w:uiPriority w:val="11"/>
    <w:qFormat/>
    <w:rsid w:val="004D4636"/>
    <w:rPr>
      <w:rFonts w:asciiTheme="majorHAnsi" w:eastAsiaTheme="majorEastAsia" w:hAnsiTheme="majorHAnsi" w:cstheme="majorBidi"/>
      <w:i/>
      <w:iCs/>
      <w:color w:val="C60C30"/>
      <w:spacing w:val="15"/>
      <w:sz w:val="24"/>
      <w:szCs w:val="24"/>
    </w:rPr>
  </w:style>
  <w:style w:type="character" w:customStyle="1" w:styleId="SubtitleChar">
    <w:name w:val="Subtitle Char"/>
    <w:basedOn w:val="DefaultParagraphFont"/>
    <w:link w:val="Subtitle"/>
    <w:uiPriority w:val="11"/>
    <w:rsid w:val="004D4636"/>
    <w:rPr>
      <w:rFonts w:asciiTheme="majorHAnsi" w:eastAsiaTheme="majorEastAsia" w:hAnsiTheme="majorHAnsi" w:cstheme="majorBidi"/>
      <w:i/>
      <w:iCs/>
      <w:color w:val="C60C30"/>
      <w:spacing w:val="15"/>
      <w:sz w:val="24"/>
      <w:szCs w:val="24"/>
    </w:rPr>
  </w:style>
  <w:style w:type="paragraph" w:styleId="Header">
    <w:name w:val="header"/>
    <w:basedOn w:val="Normal"/>
    <w:link w:val="HeaderChar"/>
    <w:uiPriority w:val="99"/>
    <w:unhideWhenUsed/>
    <w:rsid w:val="00856708"/>
    <w:pPr>
      <w:tabs>
        <w:tab w:val="center" w:pos="4513"/>
        <w:tab w:val="right" w:pos="9026"/>
      </w:tabs>
      <w:spacing w:after="0"/>
    </w:pPr>
  </w:style>
  <w:style w:type="character" w:customStyle="1" w:styleId="HeaderChar">
    <w:name w:val="Header Char"/>
    <w:basedOn w:val="DefaultParagraphFont"/>
    <w:link w:val="Header"/>
    <w:uiPriority w:val="99"/>
    <w:rsid w:val="00856708"/>
    <w:rPr>
      <w:rFonts w:ascii="Calibri" w:eastAsia="Dotum" w:hAnsi="Calibri" w:cs="Calibri"/>
    </w:rPr>
  </w:style>
  <w:style w:type="paragraph" w:styleId="Footer">
    <w:name w:val="footer"/>
    <w:basedOn w:val="Normal"/>
    <w:link w:val="FooterChar"/>
    <w:uiPriority w:val="99"/>
    <w:unhideWhenUsed/>
    <w:rsid w:val="00856708"/>
    <w:pPr>
      <w:tabs>
        <w:tab w:val="center" w:pos="4513"/>
        <w:tab w:val="right" w:pos="9026"/>
      </w:tabs>
      <w:spacing w:after="0"/>
    </w:pPr>
  </w:style>
  <w:style w:type="character" w:customStyle="1" w:styleId="FooterChar">
    <w:name w:val="Footer Char"/>
    <w:basedOn w:val="DefaultParagraphFont"/>
    <w:link w:val="Footer"/>
    <w:uiPriority w:val="99"/>
    <w:rsid w:val="00856708"/>
    <w:rPr>
      <w:rFonts w:ascii="Calibri" w:eastAsia="Dotum" w:hAnsi="Calibri" w:cs="Calibri"/>
    </w:rPr>
  </w:style>
  <w:style w:type="paragraph" w:styleId="BalloonText">
    <w:name w:val="Balloon Text"/>
    <w:basedOn w:val="Normal"/>
    <w:link w:val="BalloonTextChar"/>
    <w:uiPriority w:val="99"/>
    <w:semiHidden/>
    <w:unhideWhenUsed/>
    <w:rsid w:val="00FA399D"/>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FA399D"/>
    <w:rPr>
      <w:rFonts w:ascii="Tahoma" w:eastAsia="Dotum" w:hAnsi="Tahoma" w:cs="Tahoma"/>
      <w:sz w:val="16"/>
      <w:szCs w:val="16"/>
    </w:rPr>
  </w:style>
  <w:style w:type="paragraph" w:styleId="EndnoteText">
    <w:name w:val="endnote text"/>
    <w:basedOn w:val="Normal"/>
    <w:link w:val="EndnoteTextChar"/>
    <w:uiPriority w:val="99"/>
    <w:semiHidden/>
    <w:unhideWhenUsed/>
    <w:rsid w:val="00A62974"/>
    <w:pPr>
      <w:spacing w:after="0"/>
    </w:pPr>
    <w:rPr>
      <w:sz w:val="20"/>
      <w:szCs w:val="20"/>
    </w:rPr>
  </w:style>
  <w:style w:type="character" w:customStyle="1" w:styleId="EndnoteTextChar">
    <w:name w:val="Endnote Text Char"/>
    <w:basedOn w:val="DefaultParagraphFont"/>
    <w:link w:val="EndnoteText"/>
    <w:uiPriority w:val="99"/>
    <w:semiHidden/>
    <w:rsid w:val="00A62974"/>
    <w:rPr>
      <w:rFonts w:ascii="Calibri" w:eastAsia="Dotum" w:hAnsi="Calibri" w:cs="Calibri"/>
      <w:sz w:val="20"/>
      <w:szCs w:val="20"/>
    </w:rPr>
  </w:style>
  <w:style w:type="character" w:styleId="EndnoteReference">
    <w:name w:val="endnote reference"/>
    <w:basedOn w:val="DefaultParagraphFont"/>
    <w:uiPriority w:val="99"/>
    <w:semiHidden/>
    <w:unhideWhenUsed/>
    <w:rsid w:val="00A62974"/>
    <w:rPr>
      <w:vertAlign w:val="superscript"/>
    </w:rPr>
  </w:style>
  <w:style w:type="character" w:styleId="Hyperlink">
    <w:name w:val="Hyperlink"/>
    <w:basedOn w:val="DefaultParagraphFont"/>
    <w:uiPriority w:val="99"/>
    <w:unhideWhenUsed/>
    <w:rsid w:val="00652B93"/>
    <w:rPr>
      <w:color w:val="0000FF" w:themeColor="hyperlink"/>
      <w:u w:val="single"/>
    </w:rPr>
  </w:style>
  <w:style w:type="character" w:styleId="CommentReference">
    <w:name w:val="annotation reference"/>
    <w:basedOn w:val="DefaultParagraphFont"/>
    <w:uiPriority w:val="99"/>
    <w:semiHidden/>
    <w:unhideWhenUsed/>
    <w:rsid w:val="00A12232"/>
    <w:rPr>
      <w:sz w:val="16"/>
      <w:szCs w:val="16"/>
    </w:rPr>
  </w:style>
  <w:style w:type="paragraph" w:styleId="CommentText">
    <w:name w:val="annotation text"/>
    <w:basedOn w:val="Normal"/>
    <w:link w:val="CommentTextChar"/>
    <w:uiPriority w:val="99"/>
    <w:semiHidden/>
    <w:unhideWhenUsed/>
    <w:rsid w:val="00A12232"/>
    <w:rPr>
      <w:sz w:val="20"/>
      <w:szCs w:val="20"/>
    </w:rPr>
  </w:style>
  <w:style w:type="character" w:customStyle="1" w:styleId="CommentTextChar">
    <w:name w:val="Comment Text Char"/>
    <w:basedOn w:val="DefaultParagraphFont"/>
    <w:link w:val="CommentText"/>
    <w:uiPriority w:val="99"/>
    <w:semiHidden/>
    <w:rsid w:val="00A12232"/>
    <w:rPr>
      <w:rFonts w:ascii="Calibri" w:eastAsia="Dotum" w:hAnsi="Calibri" w:cs="Calibri"/>
      <w:sz w:val="20"/>
      <w:szCs w:val="20"/>
    </w:rPr>
  </w:style>
  <w:style w:type="paragraph" w:styleId="CommentSubject">
    <w:name w:val="annotation subject"/>
    <w:basedOn w:val="CommentText"/>
    <w:next w:val="CommentText"/>
    <w:link w:val="CommentSubjectChar"/>
    <w:uiPriority w:val="99"/>
    <w:semiHidden/>
    <w:unhideWhenUsed/>
    <w:rsid w:val="00A12232"/>
    <w:rPr>
      <w:b/>
      <w:bCs/>
    </w:rPr>
  </w:style>
  <w:style w:type="character" w:customStyle="1" w:styleId="CommentSubjectChar">
    <w:name w:val="Comment Subject Char"/>
    <w:basedOn w:val="CommentTextChar"/>
    <w:link w:val="CommentSubject"/>
    <w:uiPriority w:val="99"/>
    <w:semiHidden/>
    <w:rsid w:val="00A12232"/>
    <w:rPr>
      <w:rFonts w:ascii="Calibri" w:eastAsia="Dotum" w:hAnsi="Calibri" w:cs="Calibri"/>
      <w:b/>
      <w:bCs/>
      <w:sz w:val="20"/>
      <w:szCs w:val="20"/>
    </w:rPr>
  </w:style>
  <w:style w:type="paragraph" w:styleId="Revision">
    <w:name w:val="Revision"/>
    <w:hidden/>
    <w:uiPriority w:val="99"/>
    <w:semiHidden/>
    <w:rsid w:val="00456D04"/>
    <w:pPr>
      <w:spacing w:after="0" w:line="240" w:lineRule="auto"/>
    </w:pPr>
    <w:rPr>
      <w:rFonts w:ascii="Calibri" w:eastAsia="Dotum" w:hAnsi="Calibri" w:cs="Calibri"/>
    </w:rPr>
  </w:style>
  <w:style w:type="paragraph" w:styleId="TOCHeading">
    <w:name w:val="TOC Heading"/>
    <w:basedOn w:val="Heading1"/>
    <w:next w:val="Normal"/>
    <w:uiPriority w:val="39"/>
    <w:unhideWhenUsed/>
    <w:qFormat/>
    <w:rsid w:val="00D82DBA"/>
    <w:pPr>
      <w:keepNext/>
      <w:keepLines/>
      <w:widowControl/>
      <w:spacing w:before="480" w:after="0" w:line="276" w:lineRule="auto"/>
      <w:ind w:right="0"/>
      <w:outlineLvl w:val="9"/>
    </w:pPr>
    <w:rPr>
      <w:rFonts w:asciiTheme="majorHAnsi" w:eastAsiaTheme="majorEastAsia" w:hAnsiTheme="majorHAnsi" w:cstheme="majorBidi"/>
      <w:b/>
      <w:color w:val="365F91" w:themeColor="accent1" w:themeShade="BF"/>
      <w:spacing w:val="0"/>
      <w:sz w:val="28"/>
      <w:szCs w:val="28"/>
      <w:lang w:val="en-US" w:eastAsia="ja-JP"/>
    </w:rPr>
  </w:style>
  <w:style w:type="paragraph" w:styleId="TOC1">
    <w:name w:val="toc 1"/>
    <w:basedOn w:val="Normal"/>
    <w:next w:val="Normal"/>
    <w:autoRedefine/>
    <w:uiPriority w:val="39"/>
    <w:unhideWhenUsed/>
    <w:rsid w:val="00D82DBA"/>
    <w:pPr>
      <w:tabs>
        <w:tab w:val="right" w:leader="dot" w:pos="8647"/>
      </w:tabs>
      <w:spacing w:after="100"/>
    </w:pPr>
  </w:style>
  <w:style w:type="paragraph" w:styleId="TOC2">
    <w:name w:val="toc 2"/>
    <w:basedOn w:val="Normal"/>
    <w:next w:val="Normal"/>
    <w:autoRedefine/>
    <w:uiPriority w:val="39"/>
    <w:unhideWhenUsed/>
    <w:rsid w:val="00C1280E"/>
    <w:pPr>
      <w:tabs>
        <w:tab w:val="right" w:leader="dot" w:pos="6237"/>
      </w:tabs>
      <w:spacing w:after="100"/>
      <w:ind w:left="221"/>
    </w:pPr>
  </w:style>
  <w:style w:type="paragraph" w:styleId="TOC3">
    <w:name w:val="toc 3"/>
    <w:basedOn w:val="Normal"/>
    <w:next w:val="Normal"/>
    <w:autoRedefine/>
    <w:uiPriority w:val="39"/>
    <w:unhideWhenUsed/>
    <w:rsid w:val="00D82DBA"/>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760D"/>
    <w:pPr>
      <w:spacing w:line="240" w:lineRule="auto"/>
    </w:pPr>
    <w:rPr>
      <w:rFonts w:ascii="TitilliumText25L" w:eastAsia="Dotum" w:hAnsi="TitilliumText25L" w:cs="Calibri"/>
    </w:rPr>
  </w:style>
  <w:style w:type="paragraph" w:styleId="Heading1">
    <w:name w:val="heading 1"/>
    <w:next w:val="Normal"/>
    <w:link w:val="Heading1Char"/>
    <w:uiPriority w:val="9"/>
    <w:qFormat/>
    <w:rsid w:val="003D27F1"/>
    <w:pPr>
      <w:widowControl w:val="0"/>
      <w:spacing w:after="240" w:line="580" w:lineRule="exact"/>
      <w:ind w:right="6"/>
      <w:outlineLvl w:val="0"/>
    </w:pPr>
    <w:rPr>
      <w:rFonts w:ascii="Calibri" w:eastAsia="HYGothic-Extra" w:hAnsi="Calibri" w:cs="Calibri"/>
      <w:bCs/>
      <w:color w:val="1E1E1E"/>
      <w:spacing w:val="-20"/>
      <w:sz w:val="56"/>
      <w:szCs w:val="72"/>
    </w:rPr>
  </w:style>
  <w:style w:type="paragraph" w:styleId="Heading2">
    <w:name w:val="heading 2"/>
    <w:next w:val="Normal"/>
    <w:link w:val="Heading2Char"/>
    <w:autoRedefine/>
    <w:uiPriority w:val="9"/>
    <w:unhideWhenUsed/>
    <w:qFormat/>
    <w:rsid w:val="007975BE"/>
    <w:pPr>
      <w:spacing w:before="360" w:after="120" w:line="240" w:lineRule="auto"/>
      <w:outlineLvl w:val="1"/>
    </w:pPr>
    <w:rPr>
      <w:rFonts w:ascii="TitilliumText25L" w:eastAsia="Dotum" w:hAnsi="TitilliumText25L" w:cs="Arial"/>
      <w:b/>
      <w:sz w:val="40"/>
      <w:szCs w:val="36"/>
    </w:rPr>
  </w:style>
  <w:style w:type="paragraph" w:styleId="Heading3">
    <w:name w:val="heading 3"/>
    <w:basedOn w:val="Normal"/>
    <w:next w:val="Normal"/>
    <w:link w:val="Heading3Char"/>
    <w:uiPriority w:val="9"/>
    <w:unhideWhenUsed/>
    <w:qFormat/>
    <w:rsid w:val="003D27F1"/>
    <w:pPr>
      <w:spacing w:before="120" w:after="120"/>
      <w:outlineLvl w:val="2"/>
    </w:pPr>
    <w:rPr>
      <w:rFonts w:ascii="Arial" w:hAnsi="Arial" w:cs="Arial"/>
      <w:color w:val="C60C30"/>
      <w:sz w:val="28"/>
      <w:szCs w:val="28"/>
    </w:rPr>
  </w:style>
  <w:style w:type="paragraph" w:styleId="Heading4">
    <w:name w:val="heading 4"/>
    <w:basedOn w:val="Normal"/>
    <w:next w:val="Normal"/>
    <w:link w:val="Heading4Char"/>
    <w:uiPriority w:val="9"/>
    <w:unhideWhenUsed/>
    <w:qFormat/>
    <w:rsid w:val="00B3726E"/>
    <w:pPr>
      <w:spacing w:after="0"/>
      <w:outlineLvl w:val="3"/>
    </w:pPr>
    <w:rPr>
      <w:rFonts w:ascii="Arial" w:hAnsi="Arial" w:cs="Arial"/>
      <w:b/>
    </w:rPr>
  </w:style>
  <w:style w:type="paragraph" w:styleId="Heading5">
    <w:name w:val="heading 5"/>
    <w:basedOn w:val="Normal"/>
    <w:next w:val="Normal"/>
    <w:link w:val="Heading5Char"/>
    <w:uiPriority w:val="9"/>
    <w:unhideWhenUsed/>
    <w:rsid w:val="00B3726E"/>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rsid w:val="00B3726E"/>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B3726E"/>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B3726E"/>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B3726E"/>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D27F1"/>
    <w:rPr>
      <w:rFonts w:ascii="Calibri" w:eastAsia="HYGothic-Extra" w:hAnsi="Calibri" w:cs="Calibri"/>
      <w:bCs/>
      <w:color w:val="1E1E1E"/>
      <w:spacing w:val="-20"/>
      <w:sz w:val="56"/>
      <w:szCs w:val="72"/>
    </w:rPr>
  </w:style>
  <w:style w:type="character" w:customStyle="1" w:styleId="Heading2Char">
    <w:name w:val="Heading 2 Char"/>
    <w:basedOn w:val="DefaultParagraphFont"/>
    <w:link w:val="Heading2"/>
    <w:uiPriority w:val="9"/>
    <w:rsid w:val="007975BE"/>
    <w:rPr>
      <w:rFonts w:ascii="TitilliumText25L" w:eastAsia="Dotum" w:hAnsi="TitilliumText25L" w:cs="Arial"/>
      <w:b/>
      <w:sz w:val="40"/>
      <w:szCs w:val="36"/>
    </w:rPr>
  </w:style>
  <w:style w:type="character" w:customStyle="1" w:styleId="Heading3Char">
    <w:name w:val="Heading 3 Char"/>
    <w:basedOn w:val="DefaultParagraphFont"/>
    <w:link w:val="Heading3"/>
    <w:uiPriority w:val="9"/>
    <w:rsid w:val="003D27F1"/>
    <w:rPr>
      <w:rFonts w:ascii="Arial" w:eastAsia="Dotum" w:hAnsi="Arial" w:cs="Arial"/>
      <w:color w:val="C60C30"/>
      <w:sz w:val="28"/>
      <w:szCs w:val="28"/>
    </w:rPr>
  </w:style>
  <w:style w:type="character" w:customStyle="1" w:styleId="Heading4Char">
    <w:name w:val="Heading 4 Char"/>
    <w:basedOn w:val="DefaultParagraphFont"/>
    <w:link w:val="Heading4"/>
    <w:uiPriority w:val="9"/>
    <w:rsid w:val="00B3726E"/>
    <w:rPr>
      <w:rFonts w:ascii="Arial" w:eastAsia="Dotum" w:hAnsi="Arial" w:cs="Arial"/>
      <w:b/>
    </w:rPr>
  </w:style>
  <w:style w:type="character" w:customStyle="1" w:styleId="Heading5Char">
    <w:name w:val="Heading 5 Char"/>
    <w:basedOn w:val="DefaultParagraphFont"/>
    <w:link w:val="Heading5"/>
    <w:uiPriority w:val="9"/>
    <w:rsid w:val="00B3726E"/>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B3726E"/>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B3726E"/>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B3726E"/>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B3726E"/>
    <w:rPr>
      <w:rFonts w:asciiTheme="majorHAnsi" w:eastAsiaTheme="majorEastAsia" w:hAnsiTheme="majorHAnsi" w:cstheme="majorBidi"/>
      <w:i/>
      <w:iCs/>
      <w:color w:val="404040" w:themeColor="text1" w:themeTint="BF"/>
      <w:sz w:val="20"/>
      <w:szCs w:val="20"/>
    </w:rPr>
  </w:style>
  <w:style w:type="paragraph" w:styleId="ListParagraph">
    <w:name w:val="List Paragraph"/>
    <w:basedOn w:val="Normal"/>
    <w:uiPriority w:val="34"/>
    <w:qFormat/>
    <w:rsid w:val="00B3726E"/>
    <w:pPr>
      <w:ind w:left="720"/>
      <w:contextualSpacing/>
    </w:pPr>
  </w:style>
  <w:style w:type="table" w:styleId="TableGrid">
    <w:name w:val="Table Grid"/>
    <w:basedOn w:val="TableNormal"/>
    <w:uiPriority w:val="59"/>
    <w:rsid w:val="00B372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036EDC"/>
    <w:pPr>
      <w:spacing w:before="3000" w:after="300"/>
      <w:contextualSpacing/>
    </w:pPr>
    <w:rPr>
      <w:rFonts w:ascii="Arial" w:eastAsiaTheme="majorEastAsia" w:hAnsi="Arial" w:cstheme="majorBidi"/>
      <w:caps/>
      <w:color w:val="1E1E1E"/>
      <w:spacing w:val="-22"/>
      <w:w w:val="105"/>
      <w:kern w:val="28"/>
      <w:sz w:val="80"/>
      <w:szCs w:val="80"/>
    </w:rPr>
  </w:style>
  <w:style w:type="character" w:customStyle="1" w:styleId="TitleChar">
    <w:name w:val="Title Char"/>
    <w:basedOn w:val="DefaultParagraphFont"/>
    <w:link w:val="Title"/>
    <w:uiPriority w:val="10"/>
    <w:rsid w:val="00036EDC"/>
    <w:rPr>
      <w:rFonts w:ascii="Arial" w:eastAsiaTheme="majorEastAsia" w:hAnsi="Arial" w:cstheme="majorBidi"/>
      <w:caps/>
      <w:color w:val="1E1E1E"/>
      <w:spacing w:val="-22"/>
      <w:w w:val="105"/>
      <w:kern w:val="28"/>
      <w:sz w:val="80"/>
      <w:szCs w:val="80"/>
    </w:rPr>
  </w:style>
  <w:style w:type="paragraph" w:styleId="Subtitle">
    <w:name w:val="Subtitle"/>
    <w:basedOn w:val="Normal"/>
    <w:next w:val="Normal"/>
    <w:link w:val="SubtitleChar"/>
    <w:uiPriority w:val="11"/>
    <w:qFormat/>
    <w:rsid w:val="004D4636"/>
    <w:rPr>
      <w:rFonts w:asciiTheme="majorHAnsi" w:eastAsiaTheme="majorEastAsia" w:hAnsiTheme="majorHAnsi" w:cstheme="majorBidi"/>
      <w:i/>
      <w:iCs/>
      <w:color w:val="C60C30"/>
      <w:spacing w:val="15"/>
      <w:sz w:val="24"/>
      <w:szCs w:val="24"/>
    </w:rPr>
  </w:style>
  <w:style w:type="character" w:customStyle="1" w:styleId="SubtitleChar">
    <w:name w:val="Subtitle Char"/>
    <w:basedOn w:val="DefaultParagraphFont"/>
    <w:link w:val="Subtitle"/>
    <w:uiPriority w:val="11"/>
    <w:rsid w:val="004D4636"/>
    <w:rPr>
      <w:rFonts w:asciiTheme="majorHAnsi" w:eastAsiaTheme="majorEastAsia" w:hAnsiTheme="majorHAnsi" w:cstheme="majorBidi"/>
      <w:i/>
      <w:iCs/>
      <w:color w:val="C60C30"/>
      <w:spacing w:val="15"/>
      <w:sz w:val="24"/>
      <w:szCs w:val="24"/>
    </w:rPr>
  </w:style>
  <w:style w:type="paragraph" w:styleId="Header">
    <w:name w:val="header"/>
    <w:basedOn w:val="Normal"/>
    <w:link w:val="HeaderChar"/>
    <w:uiPriority w:val="99"/>
    <w:unhideWhenUsed/>
    <w:rsid w:val="00856708"/>
    <w:pPr>
      <w:tabs>
        <w:tab w:val="center" w:pos="4513"/>
        <w:tab w:val="right" w:pos="9026"/>
      </w:tabs>
      <w:spacing w:after="0"/>
    </w:pPr>
  </w:style>
  <w:style w:type="character" w:customStyle="1" w:styleId="HeaderChar">
    <w:name w:val="Header Char"/>
    <w:basedOn w:val="DefaultParagraphFont"/>
    <w:link w:val="Header"/>
    <w:uiPriority w:val="99"/>
    <w:rsid w:val="00856708"/>
    <w:rPr>
      <w:rFonts w:ascii="Calibri" w:eastAsia="Dotum" w:hAnsi="Calibri" w:cs="Calibri"/>
    </w:rPr>
  </w:style>
  <w:style w:type="paragraph" w:styleId="Footer">
    <w:name w:val="footer"/>
    <w:basedOn w:val="Normal"/>
    <w:link w:val="FooterChar"/>
    <w:uiPriority w:val="99"/>
    <w:unhideWhenUsed/>
    <w:rsid w:val="00856708"/>
    <w:pPr>
      <w:tabs>
        <w:tab w:val="center" w:pos="4513"/>
        <w:tab w:val="right" w:pos="9026"/>
      </w:tabs>
      <w:spacing w:after="0"/>
    </w:pPr>
  </w:style>
  <w:style w:type="character" w:customStyle="1" w:styleId="FooterChar">
    <w:name w:val="Footer Char"/>
    <w:basedOn w:val="DefaultParagraphFont"/>
    <w:link w:val="Footer"/>
    <w:uiPriority w:val="99"/>
    <w:rsid w:val="00856708"/>
    <w:rPr>
      <w:rFonts w:ascii="Calibri" w:eastAsia="Dotum" w:hAnsi="Calibri" w:cs="Calibri"/>
    </w:rPr>
  </w:style>
  <w:style w:type="paragraph" w:styleId="BalloonText">
    <w:name w:val="Balloon Text"/>
    <w:basedOn w:val="Normal"/>
    <w:link w:val="BalloonTextChar"/>
    <w:uiPriority w:val="99"/>
    <w:semiHidden/>
    <w:unhideWhenUsed/>
    <w:rsid w:val="00FA399D"/>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FA399D"/>
    <w:rPr>
      <w:rFonts w:ascii="Tahoma" w:eastAsia="Dotum" w:hAnsi="Tahoma" w:cs="Tahoma"/>
      <w:sz w:val="16"/>
      <w:szCs w:val="16"/>
    </w:rPr>
  </w:style>
  <w:style w:type="paragraph" w:styleId="EndnoteText">
    <w:name w:val="endnote text"/>
    <w:basedOn w:val="Normal"/>
    <w:link w:val="EndnoteTextChar"/>
    <w:uiPriority w:val="99"/>
    <w:semiHidden/>
    <w:unhideWhenUsed/>
    <w:rsid w:val="00A62974"/>
    <w:pPr>
      <w:spacing w:after="0"/>
    </w:pPr>
    <w:rPr>
      <w:sz w:val="20"/>
      <w:szCs w:val="20"/>
    </w:rPr>
  </w:style>
  <w:style w:type="character" w:customStyle="1" w:styleId="EndnoteTextChar">
    <w:name w:val="Endnote Text Char"/>
    <w:basedOn w:val="DefaultParagraphFont"/>
    <w:link w:val="EndnoteText"/>
    <w:uiPriority w:val="99"/>
    <w:semiHidden/>
    <w:rsid w:val="00A62974"/>
    <w:rPr>
      <w:rFonts w:ascii="Calibri" w:eastAsia="Dotum" w:hAnsi="Calibri" w:cs="Calibri"/>
      <w:sz w:val="20"/>
      <w:szCs w:val="20"/>
    </w:rPr>
  </w:style>
  <w:style w:type="character" w:styleId="EndnoteReference">
    <w:name w:val="endnote reference"/>
    <w:basedOn w:val="DefaultParagraphFont"/>
    <w:uiPriority w:val="99"/>
    <w:semiHidden/>
    <w:unhideWhenUsed/>
    <w:rsid w:val="00A62974"/>
    <w:rPr>
      <w:vertAlign w:val="superscript"/>
    </w:rPr>
  </w:style>
  <w:style w:type="character" w:styleId="Hyperlink">
    <w:name w:val="Hyperlink"/>
    <w:basedOn w:val="DefaultParagraphFont"/>
    <w:uiPriority w:val="99"/>
    <w:unhideWhenUsed/>
    <w:rsid w:val="00652B93"/>
    <w:rPr>
      <w:color w:val="0000FF" w:themeColor="hyperlink"/>
      <w:u w:val="single"/>
    </w:rPr>
  </w:style>
  <w:style w:type="character" w:styleId="CommentReference">
    <w:name w:val="annotation reference"/>
    <w:basedOn w:val="DefaultParagraphFont"/>
    <w:uiPriority w:val="99"/>
    <w:semiHidden/>
    <w:unhideWhenUsed/>
    <w:rsid w:val="00A12232"/>
    <w:rPr>
      <w:sz w:val="16"/>
      <w:szCs w:val="16"/>
    </w:rPr>
  </w:style>
  <w:style w:type="paragraph" w:styleId="CommentText">
    <w:name w:val="annotation text"/>
    <w:basedOn w:val="Normal"/>
    <w:link w:val="CommentTextChar"/>
    <w:uiPriority w:val="99"/>
    <w:semiHidden/>
    <w:unhideWhenUsed/>
    <w:rsid w:val="00A12232"/>
    <w:rPr>
      <w:sz w:val="20"/>
      <w:szCs w:val="20"/>
    </w:rPr>
  </w:style>
  <w:style w:type="character" w:customStyle="1" w:styleId="CommentTextChar">
    <w:name w:val="Comment Text Char"/>
    <w:basedOn w:val="DefaultParagraphFont"/>
    <w:link w:val="CommentText"/>
    <w:uiPriority w:val="99"/>
    <w:semiHidden/>
    <w:rsid w:val="00A12232"/>
    <w:rPr>
      <w:rFonts w:ascii="Calibri" w:eastAsia="Dotum" w:hAnsi="Calibri" w:cs="Calibri"/>
      <w:sz w:val="20"/>
      <w:szCs w:val="20"/>
    </w:rPr>
  </w:style>
  <w:style w:type="paragraph" w:styleId="CommentSubject">
    <w:name w:val="annotation subject"/>
    <w:basedOn w:val="CommentText"/>
    <w:next w:val="CommentText"/>
    <w:link w:val="CommentSubjectChar"/>
    <w:uiPriority w:val="99"/>
    <w:semiHidden/>
    <w:unhideWhenUsed/>
    <w:rsid w:val="00A12232"/>
    <w:rPr>
      <w:b/>
      <w:bCs/>
    </w:rPr>
  </w:style>
  <w:style w:type="character" w:customStyle="1" w:styleId="CommentSubjectChar">
    <w:name w:val="Comment Subject Char"/>
    <w:basedOn w:val="CommentTextChar"/>
    <w:link w:val="CommentSubject"/>
    <w:uiPriority w:val="99"/>
    <w:semiHidden/>
    <w:rsid w:val="00A12232"/>
    <w:rPr>
      <w:rFonts w:ascii="Calibri" w:eastAsia="Dotum" w:hAnsi="Calibri" w:cs="Calibri"/>
      <w:b/>
      <w:bCs/>
      <w:sz w:val="20"/>
      <w:szCs w:val="20"/>
    </w:rPr>
  </w:style>
  <w:style w:type="paragraph" w:styleId="Revision">
    <w:name w:val="Revision"/>
    <w:hidden/>
    <w:uiPriority w:val="99"/>
    <w:semiHidden/>
    <w:rsid w:val="00456D04"/>
    <w:pPr>
      <w:spacing w:after="0" w:line="240" w:lineRule="auto"/>
    </w:pPr>
    <w:rPr>
      <w:rFonts w:ascii="Calibri" w:eastAsia="Dotum" w:hAnsi="Calibri" w:cs="Calibri"/>
    </w:rPr>
  </w:style>
  <w:style w:type="paragraph" w:styleId="TOCHeading">
    <w:name w:val="TOC Heading"/>
    <w:basedOn w:val="Heading1"/>
    <w:next w:val="Normal"/>
    <w:uiPriority w:val="39"/>
    <w:unhideWhenUsed/>
    <w:qFormat/>
    <w:rsid w:val="00D82DBA"/>
    <w:pPr>
      <w:keepNext/>
      <w:keepLines/>
      <w:widowControl/>
      <w:spacing w:before="480" w:after="0" w:line="276" w:lineRule="auto"/>
      <w:ind w:right="0"/>
      <w:outlineLvl w:val="9"/>
    </w:pPr>
    <w:rPr>
      <w:rFonts w:asciiTheme="majorHAnsi" w:eastAsiaTheme="majorEastAsia" w:hAnsiTheme="majorHAnsi" w:cstheme="majorBidi"/>
      <w:b/>
      <w:color w:val="365F91" w:themeColor="accent1" w:themeShade="BF"/>
      <w:spacing w:val="0"/>
      <w:sz w:val="28"/>
      <w:szCs w:val="28"/>
      <w:lang w:val="en-US" w:eastAsia="ja-JP"/>
    </w:rPr>
  </w:style>
  <w:style w:type="paragraph" w:styleId="TOC1">
    <w:name w:val="toc 1"/>
    <w:basedOn w:val="Normal"/>
    <w:next w:val="Normal"/>
    <w:autoRedefine/>
    <w:uiPriority w:val="39"/>
    <w:unhideWhenUsed/>
    <w:rsid w:val="00D82DBA"/>
    <w:pPr>
      <w:tabs>
        <w:tab w:val="right" w:leader="dot" w:pos="8647"/>
      </w:tabs>
      <w:spacing w:after="100"/>
    </w:pPr>
  </w:style>
  <w:style w:type="paragraph" w:styleId="TOC2">
    <w:name w:val="toc 2"/>
    <w:basedOn w:val="Normal"/>
    <w:next w:val="Normal"/>
    <w:autoRedefine/>
    <w:uiPriority w:val="39"/>
    <w:unhideWhenUsed/>
    <w:rsid w:val="00C1280E"/>
    <w:pPr>
      <w:tabs>
        <w:tab w:val="right" w:leader="dot" w:pos="6237"/>
      </w:tabs>
      <w:spacing w:after="100"/>
      <w:ind w:left="221"/>
    </w:pPr>
  </w:style>
  <w:style w:type="paragraph" w:styleId="TOC3">
    <w:name w:val="toc 3"/>
    <w:basedOn w:val="Normal"/>
    <w:next w:val="Normal"/>
    <w:autoRedefine/>
    <w:uiPriority w:val="39"/>
    <w:unhideWhenUsed/>
    <w:rsid w:val="00D82DBA"/>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683518">
      <w:bodyDiv w:val="1"/>
      <w:marLeft w:val="0"/>
      <w:marRight w:val="0"/>
      <w:marTop w:val="0"/>
      <w:marBottom w:val="0"/>
      <w:divBdr>
        <w:top w:val="none" w:sz="0" w:space="0" w:color="auto"/>
        <w:left w:val="none" w:sz="0" w:space="0" w:color="auto"/>
        <w:bottom w:val="none" w:sz="0" w:space="0" w:color="auto"/>
        <w:right w:val="none" w:sz="0" w:space="0" w:color="auto"/>
      </w:divBdr>
    </w:div>
    <w:div w:id="413665704">
      <w:bodyDiv w:val="1"/>
      <w:marLeft w:val="0"/>
      <w:marRight w:val="0"/>
      <w:marTop w:val="0"/>
      <w:marBottom w:val="0"/>
      <w:divBdr>
        <w:top w:val="none" w:sz="0" w:space="0" w:color="auto"/>
        <w:left w:val="none" w:sz="0" w:space="0" w:color="auto"/>
        <w:bottom w:val="none" w:sz="0" w:space="0" w:color="auto"/>
        <w:right w:val="none" w:sz="0" w:space="0" w:color="auto"/>
      </w:divBdr>
    </w:div>
    <w:div w:id="449054286">
      <w:bodyDiv w:val="1"/>
      <w:marLeft w:val="0"/>
      <w:marRight w:val="0"/>
      <w:marTop w:val="0"/>
      <w:marBottom w:val="0"/>
      <w:divBdr>
        <w:top w:val="none" w:sz="0" w:space="0" w:color="auto"/>
        <w:left w:val="none" w:sz="0" w:space="0" w:color="auto"/>
        <w:bottom w:val="none" w:sz="0" w:space="0" w:color="auto"/>
        <w:right w:val="none" w:sz="0" w:space="0" w:color="auto"/>
      </w:divBdr>
    </w:div>
    <w:div w:id="601188931">
      <w:bodyDiv w:val="1"/>
      <w:marLeft w:val="0"/>
      <w:marRight w:val="0"/>
      <w:marTop w:val="0"/>
      <w:marBottom w:val="0"/>
      <w:divBdr>
        <w:top w:val="none" w:sz="0" w:space="0" w:color="auto"/>
        <w:left w:val="none" w:sz="0" w:space="0" w:color="auto"/>
        <w:bottom w:val="none" w:sz="0" w:space="0" w:color="auto"/>
        <w:right w:val="none" w:sz="0" w:space="0" w:color="auto"/>
      </w:divBdr>
    </w:div>
    <w:div w:id="1008828281">
      <w:bodyDiv w:val="1"/>
      <w:marLeft w:val="0"/>
      <w:marRight w:val="0"/>
      <w:marTop w:val="0"/>
      <w:marBottom w:val="0"/>
      <w:divBdr>
        <w:top w:val="none" w:sz="0" w:space="0" w:color="auto"/>
        <w:left w:val="none" w:sz="0" w:space="0" w:color="auto"/>
        <w:bottom w:val="none" w:sz="0" w:space="0" w:color="auto"/>
        <w:right w:val="none" w:sz="0" w:space="0" w:color="auto"/>
      </w:divBdr>
    </w:div>
    <w:div w:id="1013993782">
      <w:bodyDiv w:val="1"/>
      <w:marLeft w:val="0"/>
      <w:marRight w:val="0"/>
      <w:marTop w:val="0"/>
      <w:marBottom w:val="0"/>
      <w:divBdr>
        <w:top w:val="none" w:sz="0" w:space="0" w:color="auto"/>
        <w:left w:val="none" w:sz="0" w:space="0" w:color="auto"/>
        <w:bottom w:val="none" w:sz="0" w:space="0" w:color="auto"/>
        <w:right w:val="none" w:sz="0" w:space="0" w:color="auto"/>
      </w:divBdr>
    </w:div>
    <w:div w:id="1062411671">
      <w:bodyDiv w:val="1"/>
      <w:marLeft w:val="0"/>
      <w:marRight w:val="0"/>
      <w:marTop w:val="0"/>
      <w:marBottom w:val="0"/>
      <w:divBdr>
        <w:top w:val="none" w:sz="0" w:space="0" w:color="auto"/>
        <w:left w:val="none" w:sz="0" w:space="0" w:color="auto"/>
        <w:bottom w:val="none" w:sz="0" w:space="0" w:color="auto"/>
        <w:right w:val="none" w:sz="0" w:space="0" w:color="auto"/>
      </w:divBdr>
    </w:div>
    <w:div w:id="1097671960">
      <w:bodyDiv w:val="1"/>
      <w:marLeft w:val="0"/>
      <w:marRight w:val="0"/>
      <w:marTop w:val="0"/>
      <w:marBottom w:val="0"/>
      <w:divBdr>
        <w:top w:val="none" w:sz="0" w:space="0" w:color="auto"/>
        <w:left w:val="none" w:sz="0" w:space="0" w:color="auto"/>
        <w:bottom w:val="none" w:sz="0" w:space="0" w:color="auto"/>
        <w:right w:val="none" w:sz="0" w:space="0" w:color="auto"/>
      </w:divBdr>
    </w:div>
    <w:div w:id="1686636076">
      <w:bodyDiv w:val="1"/>
      <w:marLeft w:val="0"/>
      <w:marRight w:val="0"/>
      <w:marTop w:val="0"/>
      <w:marBottom w:val="0"/>
      <w:divBdr>
        <w:top w:val="none" w:sz="0" w:space="0" w:color="auto"/>
        <w:left w:val="none" w:sz="0" w:space="0" w:color="auto"/>
        <w:bottom w:val="none" w:sz="0" w:space="0" w:color="auto"/>
        <w:right w:val="none" w:sz="0" w:space="0" w:color="auto"/>
      </w:divBdr>
    </w:div>
    <w:div w:id="1875116357">
      <w:bodyDiv w:val="1"/>
      <w:marLeft w:val="0"/>
      <w:marRight w:val="0"/>
      <w:marTop w:val="0"/>
      <w:marBottom w:val="0"/>
      <w:divBdr>
        <w:top w:val="none" w:sz="0" w:space="0" w:color="auto"/>
        <w:left w:val="none" w:sz="0" w:space="0" w:color="auto"/>
        <w:bottom w:val="none" w:sz="0" w:space="0" w:color="auto"/>
        <w:right w:val="none" w:sz="0" w:space="0" w:color="auto"/>
      </w:divBdr>
    </w:div>
    <w:div w:id="2033871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4.png"/><Relationship Id="rId26" Type="http://schemas.openxmlformats.org/officeDocument/2006/relationships/hyperlink" Target="http://www.blood.gov.au/Intravenous-Ig" TargetMode="External"/><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8.jp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file:///G:\Publications\HPE\Module%202%20-%20Intravenous%20and%20Subcutaneous%20Immunoglobulin%20Inventory%20Management%20Guidelines%20V3%20Draft%202.docx" TargetMode="External"/><Relationship Id="rId20" Type="http://schemas.openxmlformats.org/officeDocument/2006/relationships/hyperlink" Target="http://www.blood.gov.au/stewardship" TargetMode="External"/><Relationship Id="rId29" Type="http://schemas.openxmlformats.org/officeDocument/2006/relationships/hyperlink" Target="http://www.blood.gov.au/Ig-progra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oleObject" Target="embeddings/oleObject1.bin"/><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file:///G:\Publications\HPE\Module%202%20-%20Intravenous%20and%20Subcutaneous%20Immunoglobulin%20Inventory%20Management%20Guidelines%20V3%20Draft%202.docx" TargetMode="External"/><Relationship Id="rId23" Type="http://schemas.openxmlformats.org/officeDocument/2006/relationships/image" Target="media/image7.emf"/><Relationship Id="rId28" Type="http://schemas.openxmlformats.org/officeDocument/2006/relationships/hyperlink" Target="https://www.criteria.blood.gov.au" TargetMode="External"/><Relationship Id="rId10" Type="http://schemas.openxmlformats.org/officeDocument/2006/relationships/header" Target="header1.xml"/><Relationship Id="rId19" Type="http://schemas.openxmlformats.org/officeDocument/2006/relationships/hyperlink" Target="http://www.blood.gov.au/stewardship" TargetMode="External"/><Relationship Id="rId31" Type="http://schemas.openxmlformats.org/officeDocument/2006/relationships/hyperlink" Target="https://www.blood.gov.au/stewardship"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2.png"/><Relationship Id="rId22" Type="http://schemas.openxmlformats.org/officeDocument/2006/relationships/image" Target="media/image6.jpeg"/><Relationship Id="rId27" Type="http://schemas.openxmlformats.org/officeDocument/2006/relationships/hyperlink" Target="http://www.blood.gov.au/Intravenous-Ig" TargetMode="External"/><Relationship Id="rId30" Type="http://schemas.openxmlformats.org/officeDocument/2006/relationships/hyperlink" Target="http://www.blood.gov.au/inv-mgt-guideline" TargetMode="Externa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16D681-0EEB-4C97-8192-FAC7CC6908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1755</Words>
  <Characters>9757</Characters>
  <Application>Microsoft Office Word</Application>
  <DocSecurity>4</DocSecurity>
  <Lines>188</Lines>
  <Paragraphs>63</Paragraphs>
  <ScaleCrop>false</ScaleCrop>
  <HeadingPairs>
    <vt:vector size="2" baseType="variant">
      <vt:variant>
        <vt:lpstr>Title</vt:lpstr>
      </vt:variant>
      <vt:variant>
        <vt:i4>1</vt:i4>
      </vt:variant>
    </vt:vector>
  </HeadingPairs>
  <TitlesOfParts>
    <vt:vector size="1" baseType="lpstr">
      <vt:lpstr/>
    </vt:vector>
  </TitlesOfParts>
  <Company>Queensland Health</Company>
  <LinksUpToDate>false</LinksUpToDate>
  <CharactersWithSpaces>11486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cp:revision>
  <cp:lastPrinted>2018-09-12T22:39:00Z</cp:lastPrinted>
  <dcterms:created xsi:type="dcterms:W3CDTF">2018-09-12T22:40:00Z</dcterms:created>
  <dcterms:modified xsi:type="dcterms:W3CDTF">2018-09-12T22:40:00Z</dcterms:modified>
</cp:coreProperties>
</file>