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10" w:rsidRDefault="00E8081D">
      <w:pPr>
        <w:spacing w:line="276" w:lineRule="auto"/>
        <w:rPr>
          <w:rFonts w:eastAsia="HYGothic-Extra"/>
          <w:bCs/>
          <w:color w:val="1E1E1E"/>
          <w:spacing w:val="-20"/>
          <w:sz w:val="56"/>
          <w:szCs w:val="72"/>
        </w:rPr>
      </w:pPr>
      <w:r>
        <w:rPr>
          <w:noProof/>
          <w:lang w:eastAsia="en-AU"/>
        </w:rPr>
        <w:drawing>
          <wp:anchor distT="0" distB="0" distL="114300" distR="114300" simplePos="0" relativeHeight="251658240" behindDoc="0" locked="0" layoutInCell="1" allowOverlap="1" wp14:anchorId="5F723461" wp14:editId="3B50450E">
            <wp:simplePos x="0" y="0"/>
            <wp:positionH relativeFrom="margin">
              <wp:posOffset>-914400</wp:posOffset>
            </wp:positionH>
            <wp:positionV relativeFrom="margin">
              <wp:posOffset>-1035050</wp:posOffset>
            </wp:positionV>
            <wp:extent cx="7562850" cy="10820400"/>
            <wp:effectExtent l="0" t="0" r="0" b="0"/>
            <wp:wrapSquare wrapText="bothSides"/>
            <wp:docPr id="2" name="Picture 2" descr="\\cbrintfs01.nba.local\users\82181246\Desktop\Coverp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rintfs01.nba.local\users\82181246\Desktop\Coverpage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0" cy="10820400"/>
                    </a:xfrm>
                    <a:prstGeom prst="rect">
                      <a:avLst/>
                    </a:prstGeom>
                    <a:noFill/>
                    <a:ln>
                      <a:noFill/>
                    </a:ln>
                  </pic:spPr>
                </pic:pic>
              </a:graphicData>
            </a:graphic>
            <wp14:sizeRelV relativeFrom="margin">
              <wp14:pctHeight>0</wp14:pctHeight>
            </wp14:sizeRelV>
          </wp:anchor>
        </w:drawing>
      </w:r>
      <w:r w:rsidR="00712FD1">
        <w:rPr>
          <w:noProof/>
          <w:lang w:eastAsia="en-AU"/>
        </w:rPr>
        <mc:AlternateContent>
          <mc:Choice Requires="wps">
            <w:drawing>
              <wp:anchor distT="0" distB="0" distL="114300" distR="114300" simplePos="0" relativeHeight="251659264" behindDoc="0" locked="0" layoutInCell="1" allowOverlap="1" wp14:anchorId="60BF0A5B" wp14:editId="1BFD41BE">
                <wp:simplePos x="0" y="0"/>
                <wp:positionH relativeFrom="column">
                  <wp:posOffset>-691515</wp:posOffset>
                </wp:positionH>
                <wp:positionV relativeFrom="paragraph">
                  <wp:posOffset>-8418925</wp:posOffset>
                </wp:positionV>
                <wp:extent cx="4373218" cy="3752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73218" cy="37528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411" w:rsidRPr="0053446B" w:rsidRDefault="00537411">
                            <w:pPr>
                              <w:rPr>
                                <w:b/>
                                <w:caps/>
                                <w:color w:val="365F91" w:themeColor="accent1" w:themeShade="BF"/>
                                <w:sz w:val="72"/>
                                <w:szCs w:val="72"/>
                              </w:rPr>
                            </w:pPr>
                            <w:r>
                              <w:rPr>
                                <w:b/>
                                <w:caps/>
                                <w:color w:val="365F91" w:themeColor="accent1" w:themeShade="BF"/>
                                <w:sz w:val="72"/>
                                <w:szCs w:val="72"/>
                              </w:rPr>
                              <w:t xml:space="preserve">NATIONAL PATIENT BLOOD MANAGEMENT IMPLEMENTATION </w:t>
                            </w:r>
                            <w:r w:rsidRPr="0053446B">
                              <w:rPr>
                                <w:b/>
                                <w:caps/>
                                <w:color w:val="365F91" w:themeColor="accent1" w:themeShade="BF"/>
                                <w:sz w:val="72"/>
                                <w:szCs w:val="72"/>
                              </w:rPr>
                              <w:t xml:space="preserve">Strategy </w:t>
                            </w:r>
                          </w:p>
                          <w:p w:rsidR="00537411" w:rsidRPr="00317B6A" w:rsidRDefault="00537411">
                            <w:pPr>
                              <w:rPr>
                                <w:b/>
                                <w:color w:val="C00000"/>
                                <w:sz w:val="48"/>
                                <w:szCs w:val="48"/>
                              </w:rPr>
                            </w:pPr>
                            <w:r w:rsidRPr="00317B6A">
                              <w:rPr>
                                <w:b/>
                                <w:color w:val="C00000"/>
                                <w:sz w:val="48"/>
                                <w:szCs w:val="48"/>
                              </w:rPr>
                              <w:t>2017-2021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5pt;margin-top:-662.9pt;width:344.3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" fillcolor="white [3201]" stroked="f" strokeweight=".5pt">
                <v:fill opacity="0"/>
                <v:textbox>
                  <w:txbxContent>
                    <w:p w:rsidR="00537411" w:rsidRPr="0053446B" w:rsidRDefault="00537411">
                      <w:pPr>
                        <w:rPr>
                          <w:b/>
                          <w:caps/>
                          <w:color w:val="365F91" w:themeColor="accent1" w:themeShade="BF"/>
                          <w:sz w:val="72"/>
                          <w:szCs w:val="72"/>
                        </w:rPr>
                      </w:pPr>
                      <w:r>
                        <w:rPr>
                          <w:b/>
                          <w:caps/>
                          <w:color w:val="365F91" w:themeColor="accent1" w:themeShade="BF"/>
                          <w:sz w:val="72"/>
                          <w:szCs w:val="72"/>
                        </w:rPr>
                        <w:t xml:space="preserve">NATIONAL PATIENT BLOOD MANAGEMENT IMPLEMENTATION </w:t>
                      </w:r>
                      <w:r w:rsidRPr="0053446B">
                        <w:rPr>
                          <w:b/>
                          <w:caps/>
                          <w:color w:val="365F91" w:themeColor="accent1" w:themeShade="BF"/>
                          <w:sz w:val="72"/>
                          <w:szCs w:val="72"/>
                        </w:rPr>
                        <w:t xml:space="preserve">Strategy </w:t>
                      </w:r>
                    </w:p>
                    <w:p w:rsidR="00537411" w:rsidRPr="00317B6A" w:rsidRDefault="00537411">
                      <w:pPr>
                        <w:rPr>
                          <w:b/>
                          <w:color w:val="C00000"/>
                          <w:sz w:val="48"/>
                          <w:szCs w:val="48"/>
                        </w:rPr>
                      </w:pPr>
                      <w:r w:rsidRPr="00317B6A">
                        <w:rPr>
                          <w:b/>
                          <w:color w:val="C00000"/>
                          <w:sz w:val="48"/>
                          <w:szCs w:val="48"/>
                        </w:rPr>
                        <w:t>2017-2021</w:t>
                      </w:r>
                    </w:p>
                  </w:txbxContent>
                </v:textbox>
              </v:shape>
            </w:pict>
          </mc:Fallback>
        </mc:AlternateContent>
      </w:r>
      <w:r w:rsidR="00317B6A">
        <w:rPr>
          <w:noProof/>
          <w:lang w:eastAsia="en-AU"/>
        </w:rPr>
        <mc:AlternateContent>
          <mc:Choice Requires="wps">
            <w:drawing>
              <wp:anchor distT="0" distB="0" distL="114300" distR="114300" simplePos="0" relativeHeight="251661312" behindDoc="0" locked="0" layoutInCell="1" allowOverlap="1" wp14:anchorId="5DCFD317" wp14:editId="08E1F49F">
                <wp:simplePos x="0" y="0"/>
                <wp:positionH relativeFrom="column">
                  <wp:posOffset>-810785</wp:posOffset>
                </wp:positionH>
                <wp:positionV relativeFrom="paragraph">
                  <wp:posOffset>-2716502</wp:posOffset>
                </wp:positionV>
                <wp:extent cx="3745064" cy="1296062"/>
                <wp:effectExtent l="0" t="0" r="0" b="0"/>
                <wp:wrapNone/>
                <wp:docPr id="1" name="Text Box 1"/>
                <wp:cNvGraphicFramePr/>
                <a:graphic xmlns:a="http://schemas.openxmlformats.org/drawingml/2006/main">
                  <a:graphicData uri="http://schemas.microsoft.com/office/word/2010/wordprocessingShape">
                    <wps:wsp>
                      <wps:cNvSpPr txBox="1"/>
                      <wps:spPr>
                        <a:xfrm>
                          <a:off x="0" y="0"/>
                          <a:ext cx="3745064" cy="1296062"/>
                        </a:xfrm>
                        <a:prstGeom prst="rect">
                          <a:avLst/>
                        </a:prstGeom>
                        <a:solidFill>
                          <a:sysClr val="window" lastClr="FFFFFF">
                            <a:alpha val="0"/>
                          </a:sysClr>
                        </a:solidFill>
                        <a:ln w="6350">
                          <a:noFill/>
                        </a:ln>
                        <a:effectLst/>
                      </wps:spPr>
                      <wps:txbx>
                        <w:txbxContent>
                          <w:p w:rsidR="00537411" w:rsidRPr="00317B6A" w:rsidRDefault="00537411" w:rsidP="00317B6A">
                            <w:pPr>
                              <w:rPr>
                                <w:b/>
                                <w:i/>
                                <w:color w:val="FFFFFF" w:themeColor="background1"/>
                                <w:sz w:val="32"/>
                                <w:szCs w:val="32"/>
                              </w:rPr>
                            </w:pPr>
                            <w:r w:rsidRPr="00317B6A">
                              <w:rPr>
                                <w:b/>
                                <w:i/>
                                <w:color w:val="FFFFFF" w:themeColor="background1"/>
                                <w:sz w:val="32"/>
                                <w:szCs w:val="32"/>
                              </w:rPr>
                              <w:t>Better management of patients’ blood…</w:t>
                            </w:r>
                          </w:p>
                          <w:p w:rsidR="00537411" w:rsidRPr="00317B6A" w:rsidRDefault="00537411" w:rsidP="00317B6A">
                            <w:pPr>
                              <w:rPr>
                                <w:b/>
                                <w:i/>
                                <w:color w:val="FFFFFF" w:themeColor="background1"/>
                                <w:sz w:val="32"/>
                                <w:szCs w:val="32"/>
                              </w:rPr>
                            </w:pPr>
                            <w:r w:rsidRPr="00317B6A">
                              <w:rPr>
                                <w:b/>
                                <w:i/>
                                <w:color w:val="FFFFFF" w:themeColor="background1"/>
                                <w:sz w:val="32"/>
                                <w:szCs w:val="32"/>
                              </w:rPr>
                              <w:t>Better patient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3.85pt;margin-top:-213.9pt;width:294.9pt;height:10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" fillcolor="window" stroked="f" strokeweight=".5pt">
                <v:fill opacity="0"/>
                <v:textbox>
                  <w:txbxContent>
                    <w:p w:rsidR="00537411" w:rsidRPr="00317B6A" w:rsidRDefault="00537411" w:rsidP="00317B6A">
                      <w:pPr>
                        <w:rPr>
                          <w:b/>
                          <w:i/>
                          <w:color w:val="FFFFFF" w:themeColor="background1"/>
                          <w:sz w:val="32"/>
                          <w:szCs w:val="32"/>
                        </w:rPr>
                      </w:pPr>
                      <w:r w:rsidRPr="00317B6A">
                        <w:rPr>
                          <w:b/>
                          <w:i/>
                          <w:color w:val="FFFFFF" w:themeColor="background1"/>
                          <w:sz w:val="32"/>
                          <w:szCs w:val="32"/>
                        </w:rPr>
                        <w:t>Better management of patients’ blood…</w:t>
                      </w:r>
                    </w:p>
                    <w:p w:rsidR="00537411" w:rsidRPr="00317B6A" w:rsidRDefault="00537411" w:rsidP="00317B6A">
                      <w:pPr>
                        <w:rPr>
                          <w:b/>
                          <w:i/>
                          <w:color w:val="FFFFFF" w:themeColor="background1"/>
                          <w:sz w:val="32"/>
                          <w:szCs w:val="32"/>
                        </w:rPr>
                      </w:pPr>
                      <w:r w:rsidRPr="00317B6A">
                        <w:rPr>
                          <w:b/>
                          <w:i/>
                          <w:color w:val="FFFFFF" w:themeColor="background1"/>
                          <w:sz w:val="32"/>
                          <w:szCs w:val="32"/>
                        </w:rPr>
                        <w:t>Better patient outcomes</w:t>
                      </w:r>
                    </w:p>
                  </w:txbxContent>
                </v:textbox>
              </v:shape>
            </w:pict>
          </mc:Fallback>
        </mc:AlternateContent>
      </w:r>
      <w:r w:rsidR="00C97C10" w:rsidRPr="00C97C10">
        <w:t xml:space="preserve"> </w:t>
      </w:r>
      <w:r w:rsidR="00C97C10">
        <w:br w:type="page"/>
      </w:r>
    </w:p>
    <w:p w:rsidR="0053446B" w:rsidRDefault="0053446B">
      <w:pPr>
        <w:spacing w:line="276" w:lineRule="auto"/>
        <w:rPr>
          <w:rFonts w:eastAsia="HYGothic-Extra"/>
          <w:bCs/>
          <w:color w:val="1E1E1E"/>
          <w:spacing w:val="-20"/>
          <w:sz w:val="56"/>
          <w:szCs w:val="72"/>
        </w:rPr>
      </w:pPr>
      <w:r>
        <w:lastRenderedPageBreak/>
        <w:br w:type="page"/>
      </w:r>
    </w:p>
    <w:bookmarkStart w:id="0" w:name="_Toc485589874" w:displacedByCustomXml="next"/>
    <w:sdt>
      <w:sdtPr>
        <w:rPr>
          <w:rFonts w:ascii="Calibri" w:eastAsia="Dotum" w:hAnsi="Calibri" w:cs="Calibri"/>
          <w:b w:val="0"/>
          <w:bCs w:val="0"/>
          <w:color w:val="auto"/>
          <w:sz w:val="22"/>
          <w:szCs w:val="22"/>
          <w:lang w:val="en-AU" w:eastAsia="en-US"/>
        </w:rPr>
        <w:id w:val="-936820399"/>
        <w:docPartObj>
          <w:docPartGallery w:val="Table of Contents"/>
          <w:docPartUnique/>
        </w:docPartObj>
      </w:sdtPr>
      <w:sdtEndPr>
        <w:rPr>
          <w:noProof/>
        </w:rPr>
      </w:sdtEndPr>
      <w:sdtContent>
        <w:p w:rsidR="00E8081D" w:rsidRPr="0053446B" w:rsidRDefault="00E8081D" w:rsidP="00E8081D">
          <w:pPr>
            <w:pStyle w:val="TOCHeading"/>
            <w:rPr>
              <w:rFonts w:ascii="Arial" w:eastAsia="Dotum" w:hAnsi="Arial" w:cs="Arial"/>
              <w:b w:val="0"/>
              <w:bCs w:val="0"/>
              <w:color w:val="C60C30"/>
              <w:lang w:val="en-AU" w:eastAsia="en-US"/>
            </w:rPr>
          </w:pPr>
          <w:r w:rsidRPr="0053446B">
            <w:rPr>
              <w:rFonts w:ascii="Arial" w:eastAsia="Dotum" w:hAnsi="Arial" w:cs="Arial"/>
              <w:b w:val="0"/>
              <w:bCs w:val="0"/>
              <w:color w:val="C60C30"/>
              <w:lang w:val="en-AU" w:eastAsia="en-US"/>
            </w:rPr>
            <w:t>Contents</w:t>
          </w:r>
        </w:p>
        <w:p w:rsidR="00E8081D" w:rsidRDefault="00E8081D" w:rsidP="00E8081D">
          <w:pPr>
            <w:pStyle w:val="TOC3"/>
            <w:tabs>
              <w:tab w:val="right" w:leader="dot" w:pos="9323"/>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85589874" w:history="1">
            <w:r w:rsidRPr="00317BE5">
              <w:rPr>
                <w:rStyle w:val="Hyperlink"/>
                <w:noProof/>
              </w:rPr>
              <w:t>Introduction</w:t>
            </w:r>
            <w:r>
              <w:rPr>
                <w:noProof/>
                <w:webHidden/>
              </w:rPr>
              <w:tab/>
            </w:r>
            <w:r w:rsidR="000700FB">
              <w:rPr>
                <w:noProof/>
                <w:webHidden/>
              </w:rPr>
              <w:t>4</w:t>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75" w:history="1">
            <w:r w:rsidRPr="00317BE5">
              <w:rPr>
                <w:rStyle w:val="Hyperlink"/>
                <w:noProof/>
              </w:rPr>
              <w:t>Definitions</w:t>
            </w:r>
            <w:r>
              <w:rPr>
                <w:noProof/>
                <w:webHidden/>
              </w:rPr>
              <w:tab/>
            </w:r>
            <w:bookmarkStart w:id="1" w:name="_GoBack"/>
            <w:bookmarkEnd w:id="1"/>
            <w:r>
              <w:rPr>
                <w:noProof/>
                <w:webHidden/>
              </w:rPr>
              <w:fldChar w:fldCharType="begin"/>
            </w:r>
            <w:r>
              <w:rPr>
                <w:noProof/>
                <w:webHidden/>
              </w:rPr>
              <w:instrText xml:space="preserve"> PAGEREF _Toc485589875 \h </w:instrText>
            </w:r>
            <w:r>
              <w:rPr>
                <w:noProof/>
                <w:webHidden/>
              </w:rPr>
            </w:r>
            <w:r>
              <w:rPr>
                <w:noProof/>
                <w:webHidden/>
              </w:rPr>
              <w:fldChar w:fldCharType="separate"/>
            </w:r>
            <w:r w:rsidR="003C2AA7">
              <w:rPr>
                <w:noProof/>
                <w:webHidden/>
              </w:rPr>
              <w:t>5</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76" w:history="1">
            <w:r w:rsidRPr="00317BE5">
              <w:rPr>
                <w:rStyle w:val="Hyperlink"/>
                <w:noProof/>
              </w:rPr>
              <w:t>A National Patient Blood Management Strategy</w:t>
            </w:r>
            <w:r>
              <w:rPr>
                <w:noProof/>
                <w:webHidden/>
              </w:rPr>
              <w:tab/>
            </w:r>
            <w:r>
              <w:rPr>
                <w:noProof/>
                <w:webHidden/>
              </w:rPr>
              <w:fldChar w:fldCharType="begin"/>
            </w:r>
            <w:r>
              <w:rPr>
                <w:noProof/>
                <w:webHidden/>
              </w:rPr>
              <w:instrText xml:space="preserve"> PAGEREF _Toc485589876 \h </w:instrText>
            </w:r>
            <w:r>
              <w:rPr>
                <w:noProof/>
                <w:webHidden/>
              </w:rPr>
            </w:r>
            <w:r>
              <w:rPr>
                <w:noProof/>
                <w:webHidden/>
              </w:rPr>
              <w:fldChar w:fldCharType="separate"/>
            </w:r>
            <w:r w:rsidR="003C2AA7">
              <w:rPr>
                <w:noProof/>
                <w:webHidden/>
              </w:rPr>
              <w:t>5</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77" w:history="1">
            <w:r w:rsidRPr="00317BE5">
              <w:rPr>
                <w:rStyle w:val="Hyperlink"/>
                <w:noProof/>
              </w:rPr>
              <w:t>Scope</w:t>
            </w:r>
            <w:r>
              <w:rPr>
                <w:noProof/>
                <w:webHidden/>
              </w:rPr>
              <w:tab/>
            </w:r>
            <w:r>
              <w:rPr>
                <w:noProof/>
                <w:webHidden/>
              </w:rPr>
              <w:fldChar w:fldCharType="begin"/>
            </w:r>
            <w:r>
              <w:rPr>
                <w:noProof/>
                <w:webHidden/>
              </w:rPr>
              <w:instrText xml:space="preserve"> PAGEREF _Toc485589877 \h </w:instrText>
            </w:r>
            <w:r>
              <w:rPr>
                <w:noProof/>
                <w:webHidden/>
              </w:rPr>
            </w:r>
            <w:r>
              <w:rPr>
                <w:noProof/>
                <w:webHidden/>
              </w:rPr>
              <w:fldChar w:fldCharType="separate"/>
            </w:r>
            <w:r w:rsidR="003C2AA7">
              <w:rPr>
                <w:noProof/>
                <w:webHidden/>
              </w:rPr>
              <w:t>6</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78" w:history="1">
            <w:r w:rsidRPr="00317BE5">
              <w:rPr>
                <w:rStyle w:val="Hyperlink"/>
                <w:noProof/>
              </w:rPr>
              <w:t>Principles of Patient Blood Management</w:t>
            </w:r>
            <w:r>
              <w:rPr>
                <w:noProof/>
                <w:webHidden/>
              </w:rPr>
              <w:tab/>
            </w:r>
            <w:r>
              <w:rPr>
                <w:noProof/>
                <w:webHidden/>
              </w:rPr>
              <w:fldChar w:fldCharType="begin"/>
            </w:r>
            <w:r>
              <w:rPr>
                <w:noProof/>
                <w:webHidden/>
              </w:rPr>
              <w:instrText xml:space="preserve"> PAGEREF _Toc485589878 \h </w:instrText>
            </w:r>
            <w:r>
              <w:rPr>
                <w:noProof/>
                <w:webHidden/>
              </w:rPr>
            </w:r>
            <w:r>
              <w:rPr>
                <w:noProof/>
                <w:webHidden/>
              </w:rPr>
              <w:fldChar w:fldCharType="separate"/>
            </w:r>
            <w:r w:rsidR="003C2AA7">
              <w:rPr>
                <w:noProof/>
                <w:webHidden/>
              </w:rPr>
              <w:t>6</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79" w:history="1">
            <w:r w:rsidRPr="00317BE5">
              <w:rPr>
                <w:rStyle w:val="Hyperlink"/>
                <w:noProof/>
              </w:rPr>
              <w:t>Objectives</w:t>
            </w:r>
            <w:r>
              <w:rPr>
                <w:noProof/>
                <w:webHidden/>
              </w:rPr>
              <w:tab/>
            </w:r>
            <w:r>
              <w:rPr>
                <w:noProof/>
                <w:webHidden/>
              </w:rPr>
              <w:fldChar w:fldCharType="begin"/>
            </w:r>
            <w:r>
              <w:rPr>
                <w:noProof/>
                <w:webHidden/>
              </w:rPr>
              <w:instrText xml:space="preserve"> PAGEREF _Toc485589879 \h </w:instrText>
            </w:r>
            <w:r>
              <w:rPr>
                <w:noProof/>
                <w:webHidden/>
              </w:rPr>
            </w:r>
            <w:r>
              <w:rPr>
                <w:noProof/>
                <w:webHidden/>
              </w:rPr>
              <w:fldChar w:fldCharType="separate"/>
            </w:r>
            <w:r w:rsidR="003C2AA7">
              <w:rPr>
                <w:noProof/>
                <w:webHidden/>
              </w:rPr>
              <w:t>7</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80" w:history="1">
            <w:r w:rsidRPr="00317BE5">
              <w:rPr>
                <w:rStyle w:val="Hyperlink"/>
                <w:noProof/>
              </w:rPr>
              <w:t>Partners in Patient Blood Management</w:t>
            </w:r>
            <w:r>
              <w:rPr>
                <w:noProof/>
                <w:webHidden/>
              </w:rPr>
              <w:tab/>
            </w:r>
            <w:r>
              <w:rPr>
                <w:noProof/>
                <w:webHidden/>
              </w:rPr>
              <w:fldChar w:fldCharType="begin"/>
            </w:r>
            <w:r>
              <w:rPr>
                <w:noProof/>
                <w:webHidden/>
              </w:rPr>
              <w:instrText xml:space="preserve"> PAGEREF _Toc485589880 \h </w:instrText>
            </w:r>
            <w:r>
              <w:rPr>
                <w:noProof/>
                <w:webHidden/>
              </w:rPr>
            </w:r>
            <w:r>
              <w:rPr>
                <w:noProof/>
                <w:webHidden/>
              </w:rPr>
              <w:fldChar w:fldCharType="separate"/>
            </w:r>
            <w:r w:rsidR="003C2AA7">
              <w:rPr>
                <w:noProof/>
                <w:webHidden/>
              </w:rPr>
              <w:t>7</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81" w:history="1">
            <w:r w:rsidRPr="00317BE5">
              <w:rPr>
                <w:rStyle w:val="Hyperlink"/>
                <w:noProof/>
              </w:rPr>
              <w:t>Supporting Activities for Patient Blood Management</w:t>
            </w:r>
            <w:r>
              <w:rPr>
                <w:noProof/>
                <w:webHidden/>
              </w:rPr>
              <w:tab/>
            </w:r>
            <w:r>
              <w:rPr>
                <w:noProof/>
                <w:webHidden/>
              </w:rPr>
              <w:fldChar w:fldCharType="begin"/>
            </w:r>
            <w:r>
              <w:rPr>
                <w:noProof/>
                <w:webHidden/>
              </w:rPr>
              <w:instrText xml:space="preserve"> PAGEREF _Toc485589881 \h </w:instrText>
            </w:r>
            <w:r>
              <w:rPr>
                <w:noProof/>
                <w:webHidden/>
              </w:rPr>
            </w:r>
            <w:r>
              <w:rPr>
                <w:noProof/>
                <w:webHidden/>
              </w:rPr>
              <w:fldChar w:fldCharType="separate"/>
            </w:r>
            <w:r w:rsidR="003C2AA7">
              <w:rPr>
                <w:noProof/>
                <w:webHidden/>
              </w:rPr>
              <w:t>8</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82" w:history="1">
            <w:r w:rsidRPr="00317BE5">
              <w:rPr>
                <w:rStyle w:val="Hyperlink"/>
                <w:noProof/>
              </w:rPr>
              <w:t>Evaluation and Success Measures</w:t>
            </w:r>
            <w:r>
              <w:rPr>
                <w:noProof/>
                <w:webHidden/>
              </w:rPr>
              <w:tab/>
            </w:r>
            <w:r>
              <w:rPr>
                <w:noProof/>
                <w:webHidden/>
              </w:rPr>
              <w:fldChar w:fldCharType="begin"/>
            </w:r>
            <w:r>
              <w:rPr>
                <w:noProof/>
                <w:webHidden/>
              </w:rPr>
              <w:instrText xml:space="preserve"> PAGEREF _Toc485589882 \h </w:instrText>
            </w:r>
            <w:r>
              <w:rPr>
                <w:noProof/>
                <w:webHidden/>
              </w:rPr>
            </w:r>
            <w:r>
              <w:rPr>
                <w:noProof/>
                <w:webHidden/>
              </w:rPr>
              <w:fldChar w:fldCharType="separate"/>
            </w:r>
            <w:r w:rsidR="003C2AA7">
              <w:rPr>
                <w:noProof/>
                <w:webHidden/>
              </w:rPr>
              <w:t>12</w:t>
            </w:r>
            <w:r>
              <w:rPr>
                <w:noProof/>
                <w:webHidden/>
              </w:rPr>
              <w:fldChar w:fldCharType="end"/>
            </w:r>
          </w:hyperlink>
        </w:p>
        <w:p w:rsidR="00E8081D" w:rsidRDefault="00E8081D" w:rsidP="00E8081D">
          <w:pPr>
            <w:pStyle w:val="TOC3"/>
            <w:tabs>
              <w:tab w:val="right" w:leader="dot" w:pos="9323"/>
            </w:tabs>
            <w:rPr>
              <w:rFonts w:asciiTheme="minorHAnsi" w:eastAsiaTheme="minorEastAsia" w:hAnsiTheme="minorHAnsi" w:cstheme="minorBidi"/>
              <w:noProof/>
              <w:lang w:eastAsia="en-AU"/>
            </w:rPr>
          </w:pPr>
          <w:hyperlink w:anchor="_Toc485589883" w:history="1">
            <w:r w:rsidRPr="00317BE5">
              <w:rPr>
                <w:rStyle w:val="Hyperlink"/>
                <w:noProof/>
              </w:rPr>
              <w:t>Previous Strategies</w:t>
            </w:r>
            <w:r>
              <w:rPr>
                <w:noProof/>
                <w:webHidden/>
              </w:rPr>
              <w:tab/>
            </w:r>
            <w:r>
              <w:rPr>
                <w:noProof/>
                <w:webHidden/>
              </w:rPr>
              <w:fldChar w:fldCharType="begin"/>
            </w:r>
            <w:r>
              <w:rPr>
                <w:noProof/>
                <w:webHidden/>
              </w:rPr>
              <w:instrText xml:space="preserve"> PAGEREF _Toc485589883 \h </w:instrText>
            </w:r>
            <w:r>
              <w:rPr>
                <w:noProof/>
                <w:webHidden/>
              </w:rPr>
            </w:r>
            <w:r>
              <w:rPr>
                <w:noProof/>
                <w:webHidden/>
              </w:rPr>
              <w:fldChar w:fldCharType="separate"/>
            </w:r>
            <w:r w:rsidR="003C2AA7">
              <w:rPr>
                <w:noProof/>
                <w:webHidden/>
              </w:rPr>
              <w:t>12</w:t>
            </w:r>
            <w:r>
              <w:rPr>
                <w:noProof/>
                <w:webHidden/>
              </w:rPr>
              <w:fldChar w:fldCharType="end"/>
            </w:r>
          </w:hyperlink>
        </w:p>
        <w:p w:rsidR="00E8081D" w:rsidRDefault="00E8081D" w:rsidP="00E8081D">
          <w:r>
            <w:rPr>
              <w:b/>
              <w:bCs/>
              <w:noProof/>
            </w:rPr>
            <w:fldChar w:fldCharType="end"/>
          </w:r>
        </w:p>
      </w:sdtContent>
    </w:sdt>
    <w:p w:rsidR="00E8081D" w:rsidRPr="0053446B" w:rsidRDefault="00E8081D" w:rsidP="00E8081D">
      <w:pPr>
        <w:spacing w:line="276" w:lineRule="auto"/>
        <w:rPr>
          <w:b/>
        </w:rPr>
      </w:pPr>
      <w:r w:rsidRPr="0053446B">
        <w:rPr>
          <w:b/>
        </w:rPr>
        <w:t>Version control</w:t>
      </w:r>
    </w:p>
    <w:tbl>
      <w:tblPr>
        <w:tblStyle w:val="TableGrid"/>
        <w:tblW w:w="0" w:type="auto"/>
        <w:tblLook w:val="04A0" w:firstRow="1" w:lastRow="0" w:firstColumn="1" w:lastColumn="0" w:noHBand="0" w:noVBand="1"/>
      </w:tblPr>
      <w:tblGrid>
        <w:gridCol w:w="1384"/>
        <w:gridCol w:w="1843"/>
        <w:gridCol w:w="3934"/>
        <w:gridCol w:w="2388"/>
      </w:tblGrid>
      <w:tr w:rsidR="00E8081D" w:rsidTr="00A243E8">
        <w:tc>
          <w:tcPr>
            <w:tcW w:w="1384" w:type="dxa"/>
          </w:tcPr>
          <w:p w:rsidR="00E8081D" w:rsidRDefault="00E8081D" w:rsidP="00A243E8">
            <w:pPr>
              <w:spacing w:line="276" w:lineRule="auto"/>
            </w:pPr>
            <w:r>
              <w:t>Number</w:t>
            </w:r>
          </w:p>
        </w:tc>
        <w:tc>
          <w:tcPr>
            <w:tcW w:w="1843" w:type="dxa"/>
          </w:tcPr>
          <w:p w:rsidR="00E8081D" w:rsidRDefault="00E8081D" w:rsidP="00A243E8">
            <w:pPr>
              <w:spacing w:line="276" w:lineRule="auto"/>
            </w:pPr>
            <w:r>
              <w:t>Date</w:t>
            </w:r>
          </w:p>
        </w:tc>
        <w:tc>
          <w:tcPr>
            <w:tcW w:w="3934" w:type="dxa"/>
          </w:tcPr>
          <w:p w:rsidR="00E8081D" w:rsidRDefault="00E8081D" w:rsidP="00A243E8">
            <w:pPr>
              <w:spacing w:line="276" w:lineRule="auto"/>
            </w:pPr>
            <w:r>
              <w:t>Description of changes</w:t>
            </w:r>
          </w:p>
        </w:tc>
        <w:tc>
          <w:tcPr>
            <w:tcW w:w="2388" w:type="dxa"/>
          </w:tcPr>
          <w:p w:rsidR="00E8081D" w:rsidRDefault="00E8081D" w:rsidP="00A243E8">
            <w:pPr>
              <w:spacing w:line="276" w:lineRule="auto"/>
            </w:pPr>
            <w:r>
              <w:t>Changed by</w:t>
            </w:r>
          </w:p>
        </w:tc>
      </w:tr>
      <w:tr w:rsidR="00E8081D" w:rsidTr="00A243E8">
        <w:tc>
          <w:tcPr>
            <w:tcW w:w="1384" w:type="dxa"/>
          </w:tcPr>
          <w:p w:rsidR="00E8081D" w:rsidRDefault="00E8081D" w:rsidP="00A243E8">
            <w:pPr>
              <w:spacing w:line="276" w:lineRule="auto"/>
            </w:pPr>
            <w:r>
              <w:t>1</w:t>
            </w:r>
          </w:p>
        </w:tc>
        <w:tc>
          <w:tcPr>
            <w:tcW w:w="1843" w:type="dxa"/>
          </w:tcPr>
          <w:p w:rsidR="00E8081D" w:rsidRDefault="00E8081D" w:rsidP="00A243E8">
            <w:pPr>
              <w:spacing w:line="276" w:lineRule="auto"/>
            </w:pPr>
            <w:r>
              <w:t>November 2016</w:t>
            </w:r>
          </w:p>
        </w:tc>
        <w:tc>
          <w:tcPr>
            <w:tcW w:w="3934" w:type="dxa"/>
          </w:tcPr>
          <w:p w:rsidR="00E8081D" w:rsidRDefault="00E8081D" w:rsidP="00A243E8">
            <w:pPr>
              <w:spacing w:line="276" w:lineRule="auto"/>
            </w:pPr>
            <w:r>
              <w:t>First draft</w:t>
            </w:r>
          </w:p>
        </w:tc>
        <w:tc>
          <w:tcPr>
            <w:tcW w:w="2388" w:type="dxa"/>
          </w:tcPr>
          <w:p w:rsidR="00E8081D" w:rsidRDefault="00E8081D" w:rsidP="00A243E8">
            <w:pPr>
              <w:spacing w:line="276" w:lineRule="auto"/>
            </w:pPr>
            <w:r>
              <w:t>S. Russell</w:t>
            </w:r>
          </w:p>
        </w:tc>
      </w:tr>
      <w:tr w:rsidR="00E8081D" w:rsidTr="00A243E8">
        <w:tc>
          <w:tcPr>
            <w:tcW w:w="1384" w:type="dxa"/>
          </w:tcPr>
          <w:p w:rsidR="00E8081D" w:rsidRDefault="00E8081D" w:rsidP="00A243E8">
            <w:pPr>
              <w:spacing w:line="276" w:lineRule="auto"/>
            </w:pPr>
            <w:r>
              <w:t>2</w:t>
            </w:r>
          </w:p>
        </w:tc>
        <w:tc>
          <w:tcPr>
            <w:tcW w:w="1843" w:type="dxa"/>
          </w:tcPr>
          <w:p w:rsidR="00E8081D" w:rsidRDefault="00E8081D" w:rsidP="00A243E8">
            <w:pPr>
              <w:spacing w:line="276" w:lineRule="auto"/>
            </w:pPr>
            <w:r>
              <w:t>March 2017</w:t>
            </w:r>
          </w:p>
        </w:tc>
        <w:tc>
          <w:tcPr>
            <w:tcW w:w="3934" w:type="dxa"/>
          </w:tcPr>
          <w:p w:rsidR="00E8081D" w:rsidRDefault="00E8081D" w:rsidP="00A243E8">
            <w:pPr>
              <w:spacing w:line="276" w:lineRule="auto"/>
            </w:pPr>
            <w:r>
              <w:t>Second draft</w:t>
            </w:r>
          </w:p>
        </w:tc>
        <w:tc>
          <w:tcPr>
            <w:tcW w:w="2388" w:type="dxa"/>
          </w:tcPr>
          <w:p w:rsidR="00E8081D" w:rsidRDefault="00E8081D" w:rsidP="00A243E8">
            <w:pPr>
              <w:spacing w:line="276" w:lineRule="auto"/>
            </w:pPr>
            <w:r>
              <w:t>L. Earnshaw</w:t>
            </w:r>
          </w:p>
        </w:tc>
      </w:tr>
      <w:tr w:rsidR="00E8081D" w:rsidTr="00A243E8">
        <w:tc>
          <w:tcPr>
            <w:tcW w:w="1384" w:type="dxa"/>
          </w:tcPr>
          <w:p w:rsidR="00E8081D" w:rsidRDefault="00E8081D" w:rsidP="00A243E8">
            <w:pPr>
              <w:spacing w:line="276" w:lineRule="auto"/>
            </w:pPr>
            <w:r>
              <w:t>3</w:t>
            </w:r>
          </w:p>
        </w:tc>
        <w:tc>
          <w:tcPr>
            <w:tcW w:w="1843" w:type="dxa"/>
          </w:tcPr>
          <w:p w:rsidR="00E8081D" w:rsidRDefault="00E8081D" w:rsidP="00A243E8">
            <w:pPr>
              <w:spacing w:line="276" w:lineRule="auto"/>
            </w:pPr>
            <w:r>
              <w:t>March 2017</w:t>
            </w:r>
          </w:p>
        </w:tc>
        <w:tc>
          <w:tcPr>
            <w:tcW w:w="3934" w:type="dxa"/>
          </w:tcPr>
          <w:p w:rsidR="00E8081D" w:rsidRDefault="00E8081D" w:rsidP="00A243E8">
            <w:pPr>
              <w:spacing w:line="276" w:lineRule="auto"/>
            </w:pPr>
            <w:r>
              <w:t>Third draft</w:t>
            </w:r>
          </w:p>
        </w:tc>
        <w:tc>
          <w:tcPr>
            <w:tcW w:w="2388" w:type="dxa"/>
          </w:tcPr>
          <w:p w:rsidR="00E8081D" w:rsidRDefault="00E8081D" w:rsidP="00A243E8">
            <w:pPr>
              <w:spacing w:line="276" w:lineRule="auto"/>
            </w:pPr>
            <w:r>
              <w:t>Various</w:t>
            </w:r>
          </w:p>
        </w:tc>
      </w:tr>
      <w:tr w:rsidR="00E8081D" w:rsidTr="00A243E8">
        <w:tc>
          <w:tcPr>
            <w:tcW w:w="1384" w:type="dxa"/>
          </w:tcPr>
          <w:p w:rsidR="00E8081D" w:rsidRDefault="00E8081D" w:rsidP="00A243E8">
            <w:pPr>
              <w:spacing w:line="276" w:lineRule="auto"/>
            </w:pPr>
            <w:r>
              <w:t>4</w:t>
            </w:r>
          </w:p>
        </w:tc>
        <w:tc>
          <w:tcPr>
            <w:tcW w:w="1843" w:type="dxa"/>
          </w:tcPr>
          <w:p w:rsidR="00E8081D" w:rsidRDefault="00E8081D" w:rsidP="00A243E8">
            <w:pPr>
              <w:spacing w:line="276" w:lineRule="auto"/>
            </w:pPr>
            <w:r>
              <w:t>April 2017</w:t>
            </w:r>
          </w:p>
        </w:tc>
        <w:tc>
          <w:tcPr>
            <w:tcW w:w="3934" w:type="dxa"/>
          </w:tcPr>
          <w:p w:rsidR="00E8081D" w:rsidRDefault="00E8081D" w:rsidP="00A243E8">
            <w:pPr>
              <w:spacing w:line="276" w:lineRule="auto"/>
            </w:pPr>
            <w:r>
              <w:t>Post April JBC meeting</w:t>
            </w:r>
          </w:p>
        </w:tc>
        <w:tc>
          <w:tcPr>
            <w:tcW w:w="2388" w:type="dxa"/>
          </w:tcPr>
          <w:p w:rsidR="00E8081D" w:rsidRDefault="00E8081D" w:rsidP="00A243E8">
            <w:pPr>
              <w:spacing w:line="276" w:lineRule="auto"/>
            </w:pPr>
            <w:r>
              <w:t>S. Russell</w:t>
            </w:r>
          </w:p>
        </w:tc>
      </w:tr>
      <w:tr w:rsidR="00E8081D" w:rsidTr="00A243E8">
        <w:tc>
          <w:tcPr>
            <w:tcW w:w="1384" w:type="dxa"/>
          </w:tcPr>
          <w:p w:rsidR="00E8081D" w:rsidRDefault="00E8081D" w:rsidP="00A243E8">
            <w:pPr>
              <w:spacing w:line="276" w:lineRule="auto"/>
            </w:pPr>
            <w:r>
              <w:t>5</w:t>
            </w:r>
          </w:p>
        </w:tc>
        <w:tc>
          <w:tcPr>
            <w:tcW w:w="1843" w:type="dxa"/>
          </w:tcPr>
          <w:p w:rsidR="00E8081D" w:rsidRDefault="00E8081D" w:rsidP="00A243E8">
            <w:pPr>
              <w:spacing w:line="276" w:lineRule="auto"/>
            </w:pPr>
            <w:r>
              <w:t>June 2017</w:t>
            </w:r>
          </w:p>
        </w:tc>
        <w:tc>
          <w:tcPr>
            <w:tcW w:w="3934" w:type="dxa"/>
          </w:tcPr>
          <w:p w:rsidR="00E8081D" w:rsidRDefault="00E8081D" w:rsidP="00A243E8">
            <w:pPr>
              <w:spacing w:line="276" w:lineRule="auto"/>
            </w:pPr>
            <w:r>
              <w:t>Post May PBMSC meeting</w:t>
            </w:r>
          </w:p>
        </w:tc>
        <w:tc>
          <w:tcPr>
            <w:tcW w:w="2388" w:type="dxa"/>
          </w:tcPr>
          <w:p w:rsidR="00E8081D" w:rsidRDefault="00E8081D" w:rsidP="00A243E8">
            <w:pPr>
              <w:spacing w:line="276" w:lineRule="auto"/>
            </w:pPr>
            <w:r>
              <w:t>S. Russell</w:t>
            </w:r>
          </w:p>
        </w:tc>
      </w:tr>
    </w:tbl>
    <w:p w:rsidR="00E8081D" w:rsidRDefault="00E8081D" w:rsidP="00E8081D">
      <w:pPr>
        <w:spacing w:line="276" w:lineRule="auto"/>
      </w:pPr>
    </w:p>
    <w:p w:rsidR="00E8081D" w:rsidRDefault="00E8081D">
      <w:pPr>
        <w:spacing w:line="276" w:lineRule="auto"/>
        <w:rPr>
          <w:rFonts w:ascii="Arial" w:hAnsi="Arial" w:cs="Arial"/>
          <w:color w:val="C60C30"/>
          <w:sz w:val="28"/>
          <w:szCs w:val="28"/>
        </w:rPr>
      </w:pPr>
      <w:r>
        <w:br w:type="page"/>
      </w:r>
    </w:p>
    <w:p w:rsidR="004A7723" w:rsidRDefault="004A7723" w:rsidP="006074D7">
      <w:pPr>
        <w:pStyle w:val="Heading3"/>
      </w:pPr>
      <w:r>
        <w:lastRenderedPageBreak/>
        <w:t>Introduction</w:t>
      </w:r>
      <w:bookmarkEnd w:id="0"/>
    </w:p>
    <w:p w:rsidR="00FE2871" w:rsidRDefault="001F7E60" w:rsidP="006209A1">
      <w:pPr>
        <w:rPr>
          <w:rFonts w:asciiTheme="minorHAnsi" w:hAnsiTheme="minorHAnsi" w:cs="Arial"/>
        </w:rPr>
      </w:pPr>
      <w:r>
        <w:t>The promotion of safe</w:t>
      </w:r>
      <w:r w:rsidR="004B20CC">
        <w:t>,</w:t>
      </w:r>
      <w:r>
        <w:t xml:space="preserve"> high quality management and use </w:t>
      </w:r>
      <w:r w:rsidR="009308F5">
        <w:t xml:space="preserve">of </w:t>
      </w:r>
      <w:r w:rsidR="00722E02">
        <w:t>b</w:t>
      </w:r>
      <w:r w:rsidR="009308F5">
        <w:t xml:space="preserve">lood and </w:t>
      </w:r>
      <w:r w:rsidR="00722E02">
        <w:t>b</w:t>
      </w:r>
      <w:r w:rsidR="009308F5">
        <w:t xml:space="preserve">lood </w:t>
      </w:r>
      <w:r w:rsidR="00722E02">
        <w:t>p</w:t>
      </w:r>
      <w:r w:rsidR="009308F5">
        <w:t xml:space="preserve">roducts is a </w:t>
      </w:r>
      <w:r>
        <w:t>primary</w:t>
      </w:r>
      <w:r w:rsidR="009308F5">
        <w:t xml:space="preserve"> objective of the National Blood Agreement</w:t>
      </w:r>
      <w:r>
        <w:t>.</w:t>
      </w:r>
      <w:r w:rsidR="005B7025">
        <w:rPr>
          <w:rFonts w:ascii="Arial" w:hAnsi="Arial" w:cs="Arial"/>
        </w:rPr>
        <w:t xml:space="preserve"> </w:t>
      </w:r>
      <w:r w:rsidR="008E6D37">
        <w:rPr>
          <w:rStyle w:val="IntenseReference"/>
          <w:b w:val="0"/>
          <w:bCs w:val="0"/>
          <w:i w:val="0"/>
          <w:smallCaps w:val="0"/>
          <w:color w:val="auto"/>
          <w:spacing w:val="0"/>
        </w:rPr>
        <w:t>T</w:t>
      </w:r>
      <w:r w:rsidR="008E6D37" w:rsidRPr="00425F1F">
        <w:rPr>
          <w:rStyle w:val="IntenseReference"/>
          <w:b w:val="0"/>
          <w:bCs w:val="0"/>
          <w:i w:val="0"/>
          <w:smallCaps w:val="0"/>
          <w:color w:val="auto"/>
          <w:spacing w:val="0"/>
        </w:rPr>
        <w:t xml:space="preserve">he </w:t>
      </w:r>
      <w:r w:rsidR="008E6D37" w:rsidRPr="00425F1F">
        <w:rPr>
          <w:rStyle w:val="IntenseReference"/>
          <w:b w:val="0"/>
          <w:bCs w:val="0"/>
          <w:smallCaps w:val="0"/>
          <w:color w:val="auto"/>
          <w:spacing w:val="0"/>
        </w:rPr>
        <w:t>Statement on national stewardship expectations for the supply of blood and blood products</w:t>
      </w:r>
      <w:r w:rsidR="008E6D37" w:rsidRPr="00425F1F">
        <w:rPr>
          <w:rStyle w:val="IntenseReference"/>
          <w:b w:val="0"/>
          <w:bCs w:val="0"/>
          <w:i w:val="0"/>
          <w:smallCaps w:val="0"/>
          <w:color w:val="auto"/>
          <w:spacing w:val="0"/>
        </w:rPr>
        <w:t xml:space="preserve"> (</w:t>
      </w:r>
      <w:r w:rsidR="008E6D37">
        <w:rPr>
          <w:rStyle w:val="IntenseReference"/>
          <w:b w:val="0"/>
          <w:bCs w:val="0"/>
          <w:i w:val="0"/>
          <w:smallCaps w:val="0"/>
          <w:color w:val="auto"/>
          <w:spacing w:val="0"/>
        </w:rPr>
        <w:t>t</w:t>
      </w:r>
      <w:r w:rsidR="008E6D37" w:rsidRPr="00425F1F">
        <w:rPr>
          <w:rStyle w:val="IntenseReference"/>
          <w:b w:val="0"/>
          <w:bCs w:val="0"/>
          <w:i w:val="0"/>
          <w:smallCaps w:val="0"/>
          <w:color w:val="auto"/>
          <w:spacing w:val="0"/>
        </w:rPr>
        <w:t>he Stewardship Statement)</w:t>
      </w:r>
      <w:r w:rsidR="009F24E6">
        <w:rPr>
          <w:rStyle w:val="IntenseReference"/>
          <w:b w:val="0"/>
          <w:bCs w:val="0"/>
          <w:i w:val="0"/>
          <w:smallCaps w:val="0"/>
          <w:color w:val="auto"/>
          <w:spacing w:val="0"/>
          <w:vertAlign w:val="superscript"/>
        </w:rPr>
        <w:t xml:space="preserve"> </w:t>
      </w:r>
      <w:r w:rsidR="008E6D37">
        <w:rPr>
          <w:rStyle w:val="IntenseReference"/>
          <w:b w:val="0"/>
          <w:bCs w:val="0"/>
          <w:i w:val="0"/>
          <w:smallCaps w:val="0"/>
          <w:color w:val="auto"/>
          <w:spacing w:val="0"/>
        </w:rPr>
        <w:t xml:space="preserve">outlines the expectations </w:t>
      </w:r>
      <w:r w:rsidR="008E6D37" w:rsidRPr="00425F1F">
        <w:rPr>
          <w:rStyle w:val="IntenseReference"/>
          <w:b w:val="0"/>
          <w:bCs w:val="0"/>
          <w:i w:val="0"/>
          <w:smallCaps w:val="0"/>
          <w:color w:val="auto"/>
          <w:spacing w:val="0"/>
        </w:rPr>
        <w:t xml:space="preserve">of health service </w:t>
      </w:r>
      <w:r w:rsidR="009A6550">
        <w:rPr>
          <w:rStyle w:val="IntenseReference"/>
          <w:b w:val="0"/>
          <w:bCs w:val="0"/>
          <w:i w:val="0"/>
          <w:smallCaps w:val="0"/>
          <w:color w:val="auto"/>
          <w:spacing w:val="0"/>
        </w:rPr>
        <w:t>organisations</w:t>
      </w:r>
      <w:r w:rsidR="008E6D37" w:rsidRPr="00425F1F">
        <w:rPr>
          <w:rStyle w:val="IntenseReference"/>
          <w:b w:val="0"/>
          <w:bCs w:val="0"/>
          <w:i w:val="0"/>
          <w:smallCaps w:val="0"/>
          <w:color w:val="auto"/>
          <w:spacing w:val="0"/>
        </w:rPr>
        <w:t xml:space="preserve"> with regard to the responsible, sustainable and appropriate use of blood and blood products</w:t>
      </w:r>
      <w:r w:rsidR="008E6D37" w:rsidRPr="00AC141E">
        <w:rPr>
          <w:rStyle w:val="IntenseReference"/>
          <w:rFonts w:asciiTheme="minorHAnsi" w:hAnsiTheme="minorHAnsi"/>
          <w:bCs w:val="0"/>
          <w:i w:val="0"/>
          <w:smallCaps w:val="0"/>
          <w:color w:val="auto"/>
          <w:spacing w:val="0"/>
        </w:rPr>
        <w:t>.</w:t>
      </w:r>
      <w:r w:rsidR="00AC141E" w:rsidRPr="00AC141E">
        <w:rPr>
          <w:rFonts w:asciiTheme="minorHAnsi" w:hAnsiTheme="minorHAnsi" w:cs="Arial"/>
        </w:rPr>
        <w:t xml:space="preserve"> </w:t>
      </w:r>
    </w:p>
    <w:p w:rsidR="004B021A" w:rsidRDefault="004B021A" w:rsidP="006209A1">
      <w:pPr>
        <w:rPr>
          <w:rFonts w:asciiTheme="minorHAnsi" w:hAnsiTheme="minorHAnsi" w:cs="Arial"/>
        </w:rPr>
      </w:pPr>
      <w:r w:rsidRPr="00930C65">
        <w:rPr>
          <w:rFonts w:cs="Arial"/>
        </w:rPr>
        <w:t xml:space="preserve">Patient Blood Management </w:t>
      </w:r>
      <w:r w:rsidR="00696976">
        <w:rPr>
          <w:rFonts w:cs="Arial"/>
        </w:rPr>
        <w:t xml:space="preserve">(PBM) </w:t>
      </w:r>
      <w:r w:rsidRPr="00930C65">
        <w:rPr>
          <w:rFonts w:cs="Arial"/>
        </w:rPr>
        <w:t>improves patient outcomes by ensuring that the focus of the patient’s medical and surgical management is on optimising and conserving the patient’s own blood</w:t>
      </w:r>
      <w:r>
        <w:rPr>
          <w:rFonts w:cs="Arial"/>
        </w:rPr>
        <w:t>.</w:t>
      </w:r>
      <w:r w:rsidRPr="004B021A">
        <w:rPr>
          <w:rFonts w:cs="Arial"/>
        </w:rPr>
        <w:t xml:space="preserve"> </w:t>
      </w:r>
      <w:r w:rsidR="00696976">
        <w:rPr>
          <w:rFonts w:cs="Arial"/>
        </w:rPr>
        <w:t>PBM</w:t>
      </w:r>
      <w:r w:rsidRPr="00282EEC">
        <w:rPr>
          <w:rFonts w:cs="Arial"/>
        </w:rPr>
        <w:t xml:space="preserve"> is not an intervention or an alternative to allogeneic blood transfusion; it is sound evidence-based clinical practice</w:t>
      </w:r>
      <w:r>
        <w:rPr>
          <w:rFonts w:cs="Arial"/>
        </w:rPr>
        <w:t>.</w:t>
      </w:r>
    </w:p>
    <w:p w:rsidR="006209A1" w:rsidRPr="004940C7" w:rsidRDefault="006209A1" w:rsidP="006209A1">
      <w:r w:rsidRPr="004940C7">
        <w:t xml:space="preserve">The operational and cultural change required to implement best practice clinical </w:t>
      </w:r>
      <w:r w:rsidR="00537411">
        <w:t xml:space="preserve">outcomes </w:t>
      </w:r>
      <w:r w:rsidRPr="004940C7">
        <w:t xml:space="preserve">at a health provider level are significant and sometimes require complex changes in business process and clinical practice. There are also a range of wider environmental challenges </w:t>
      </w:r>
      <w:r w:rsidR="00537411">
        <w:t xml:space="preserve">(such as organisation buy in, funding pressures and clinical and executive champions) </w:t>
      </w:r>
      <w:r w:rsidRPr="004940C7">
        <w:t xml:space="preserve">confronting jurisdictions and </w:t>
      </w:r>
      <w:r w:rsidR="009A6550">
        <w:t>health service organisations</w:t>
      </w:r>
      <w:r w:rsidRPr="004940C7">
        <w:t xml:space="preserve"> seeking to implement the change. </w:t>
      </w:r>
    </w:p>
    <w:p w:rsidR="00195C5A" w:rsidRDefault="00392B76" w:rsidP="00195C5A">
      <w:r>
        <w:t xml:space="preserve">The </w:t>
      </w:r>
      <w:r w:rsidR="00712FD1">
        <w:rPr>
          <w:i/>
        </w:rPr>
        <w:t>National Patient Blood Management Implementation Strategy 2017-2021</w:t>
      </w:r>
      <w:r w:rsidR="00871BCA">
        <w:t xml:space="preserve"> </w:t>
      </w:r>
      <w:r w:rsidR="00195C5A">
        <w:t>(the Strategy) takes a patient-centred approach intended to optimise clinical outcomes and improve patient safety.</w:t>
      </w:r>
      <w:r w:rsidR="00195C5A" w:rsidRPr="00E13351">
        <w:t xml:space="preserve"> </w:t>
      </w:r>
    </w:p>
    <w:p w:rsidR="00BA4C29" w:rsidRDefault="00FF5AFE" w:rsidP="00FF5AFE">
      <w:r w:rsidRPr="004940C7">
        <w:t xml:space="preserve">Regular updates on progress against items identified in this Strategy will be available online at </w:t>
      </w:r>
      <w:hyperlink r:id="rId10" w:history="1">
        <w:r w:rsidRPr="0003568A">
          <w:rPr>
            <w:rStyle w:val="Hyperlink"/>
          </w:rPr>
          <w:t>www.blood.gov.au/patient-blood-management</w:t>
        </w:r>
      </w:hyperlink>
      <w:r>
        <w:t>.</w:t>
      </w:r>
    </w:p>
    <w:p w:rsidR="00BA4C29" w:rsidRDefault="00BA4C29">
      <w:pPr>
        <w:spacing w:line="276" w:lineRule="auto"/>
      </w:pPr>
      <w:r>
        <w:br w:type="page"/>
      </w:r>
    </w:p>
    <w:p w:rsidR="00195C5A" w:rsidRPr="00712FD1" w:rsidRDefault="00195C5A" w:rsidP="007F5DBA">
      <w:pPr>
        <w:pStyle w:val="Heading3"/>
      </w:pPr>
      <w:bookmarkStart w:id="2" w:name="_Toc485589875"/>
      <w:r w:rsidRPr="007F5DBA">
        <w:lastRenderedPageBreak/>
        <w:t>Definitions</w:t>
      </w:r>
      <w:bookmarkEnd w:id="2"/>
    </w:p>
    <w:p w:rsidR="006209A1" w:rsidRDefault="00CE2F7D" w:rsidP="00AC141E">
      <w:pPr>
        <w:rPr>
          <w:rFonts w:asciiTheme="minorHAnsi" w:hAnsiTheme="minorHAnsi" w:cs="Arial"/>
        </w:rPr>
      </w:pPr>
      <w:r>
        <w:rPr>
          <w:rFonts w:asciiTheme="minorHAnsi" w:hAnsiTheme="minorHAnsi" w:cs="Arial"/>
        </w:rPr>
        <w:t xml:space="preserve">The Australian Commission on Safety and Quality in Health Care (ACSQHC) </w:t>
      </w:r>
      <w:r w:rsidRPr="00871BCA">
        <w:rPr>
          <w:rFonts w:asciiTheme="minorHAnsi" w:hAnsiTheme="minorHAnsi" w:cs="Arial"/>
          <w:i/>
        </w:rPr>
        <w:t>National Safety and Q</w:t>
      </w:r>
      <w:r w:rsidR="00684B1E" w:rsidRPr="00871BCA">
        <w:rPr>
          <w:rFonts w:asciiTheme="minorHAnsi" w:hAnsiTheme="minorHAnsi" w:cs="Arial"/>
          <w:i/>
        </w:rPr>
        <w:t>uality Health Service Standards</w:t>
      </w:r>
      <w:r w:rsidR="00684B1E">
        <w:rPr>
          <w:rFonts w:asciiTheme="minorHAnsi" w:hAnsiTheme="minorHAnsi" w:cs="Arial"/>
        </w:rPr>
        <w:t xml:space="preserve">, inclusive of the </w:t>
      </w:r>
      <w:r w:rsidR="00684B1E" w:rsidRPr="00871BCA">
        <w:rPr>
          <w:rFonts w:asciiTheme="minorHAnsi" w:hAnsiTheme="minorHAnsi" w:cs="Arial"/>
          <w:i/>
        </w:rPr>
        <w:t xml:space="preserve">Blood </w:t>
      </w:r>
      <w:r w:rsidR="007F5DBA">
        <w:rPr>
          <w:rFonts w:asciiTheme="minorHAnsi" w:hAnsiTheme="minorHAnsi" w:cs="Arial"/>
          <w:i/>
        </w:rPr>
        <w:t>and Blood Products</w:t>
      </w:r>
      <w:r w:rsidR="00684B1E" w:rsidRPr="00871BCA">
        <w:rPr>
          <w:rFonts w:asciiTheme="minorHAnsi" w:hAnsiTheme="minorHAnsi" w:cs="Arial"/>
          <w:i/>
        </w:rPr>
        <w:t xml:space="preserve"> </w:t>
      </w:r>
      <w:r w:rsidR="00537411">
        <w:rPr>
          <w:rFonts w:asciiTheme="minorHAnsi" w:hAnsiTheme="minorHAnsi" w:cs="Arial"/>
          <w:i/>
        </w:rPr>
        <w:t xml:space="preserve">(and the revised Blood </w:t>
      </w:r>
      <w:r w:rsidR="008D47C2">
        <w:rPr>
          <w:rFonts w:asciiTheme="minorHAnsi" w:hAnsiTheme="minorHAnsi" w:cs="Arial"/>
          <w:i/>
        </w:rPr>
        <w:t>Management</w:t>
      </w:r>
      <w:r w:rsidR="00537411">
        <w:rPr>
          <w:rFonts w:asciiTheme="minorHAnsi" w:hAnsiTheme="minorHAnsi" w:cs="Arial"/>
          <w:i/>
        </w:rPr>
        <w:t xml:space="preserve"> Standard)</w:t>
      </w:r>
      <w:r w:rsidR="00233E11">
        <w:rPr>
          <w:rFonts w:asciiTheme="minorHAnsi" w:hAnsiTheme="minorHAnsi" w:cs="Arial"/>
          <w:i/>
        </w:rPr>
        <w:t xml:space="preserve"> </w:t>
      </w:r>
      <w:r w:rsidR="00684B1E" w:rsidRPr="00871BCA">
        <w:rPr>
          <w:rFonts w:asciiTheme="minorHAnsi" w:hAnsiTheme="minorHAnsi" w:cs="Arial"/>
          <w:i/>
        </w:rPr>
        <w:t>Standard</w:t>
      </w:r>
      <w:r w:rsidR="00684B1E">
        <w:rPr>
          <w:rFonts w:asciiTheme="minorHAnsi" w:hAnsiTheme="minorHAnsi" w:cs="Arial"/>
        </w:rPr>
        <w:t xml:space="preserve"> (the Standard)</w:t>
      </w:r>
      <w:r>
        <w:rPr>
          <w:rFonts w:asciiTheme="minorHAnsi" w:hAnsiTheme="minorHAnsi" w:cs="Arial"/>
        </w:rPr>
        <w:t xml:space="preserve">. </w:t>
      </w:r>
      <w:r w:rsidR="006209A1">
        <w:rPr>
          <w:rFonts w:asciiTheme="minorHAnsi" w:hAnsiTheme="minorHAnsi" w:cs="Arial"/>
        </w:rPr>
        <w:t xml:space="preserve">The </w:t>
      </w:r>
      <w:r w:rsidR="00871BCA">
        <w:rPr>
          <w:rFonts w:asciiTheme="minorHAnsi" w:hAnsiTheme="minorHAnsi" w:cs="Arial"/>
        </w:rPr>
        <w:t>S</w:t>
      </w:r>
      <w:r w:rsidR="006209A1">
        <w:rPr>
          <w:rFonts w:asciiTheme="minorHAnsi" w:hAnsiTheme="minorHAnsi" w:cs="Arial"/>
        </w:rPr>
        <w:t xml:space="preserve">trategy aligns with the Standard </w:t>
      </w:r>
      <w:r w:rsidR="00537411">
        <w:rPr>
          <w:rFonts w:asciiTheme="minorHAnsi" w:hAnsiTheme="minorHAnsi" w:cs="Arial"/>
        </w:rPr>
        <w:t xml:space="preserve">(including the revised Standard) </w:t>
      </w:r>
      <w:r w:rsidR="006209A1">
        <w:rPr>
          <w:rFonts w:asciiTheme="minorHAnsi" w:hAnsiTheme="minorHAnsi" w:cs="Arial"/>
        </w:rPr>
        <w:t>in its definition of blood and blood products</w:t>
      </w:r>
      <w:r w:rsidR="00233E11">
        <w:rPr>
          <w:rFonts w:asciiTheme="minorHAnsi" w:hAnsiTheme="minorHAnsi" w:cs="Arial"/>
        </w:rPr>
        <w:t xml:space="preserve"> and patient blood management</w:t>
      </w:r>
      <w:r w:rsidR="00EE1DCE">
        <w:rPr>
          <w:rFonts w:asciiTheme="minorHAnsi" w:hAnsiTheme="minorHAnsi" w:cs="Arial"/>
        </w:rPr>
        <w:t xml:space="preserve">.   </w:t>
      </w:r>
      <w:r w:rsidR="006209A1">
        <w:rPr>
          <w:rFonts w:asciiTheme="minorHAnsi" w:hAnsiTheme="minorHAnsi" w:cs="Arial"/>
        </w:rPr>
        <w:t xml:space="preserve"> </w:t>
      </w:r>
    </w:p>
    <w:p w:rsidR="006209A1" w:rsidRDefault="006209A1" w:rsidP="00AC141E">
      <w:pPr>
        <w:rPr>
          <w:rFonts w:asciiTheme="minorHAnsi" w:hAnsiTheme="minorHAnsi" w:cs="Arial"/>
        </w:rPr>
      </w:pPr>
      <w:r w:rsidRPr="006209A1">
        <w:rPr>
          <w:rFonts w:asciiTheme="minorHAnsi" w:hAnsiTheme="minorHAnsi" w:cs="Arial"/>
          <w:b/>
        </w:rPr>
        <w:t>Transfusion</w:t>
      </w:r>
      <w:r>
        <w:rPr>
          <w:rFonts w:asciiTheme="minorHAnsi" w:hAnsiTheme="minorHAnsi" w:cs="Arial"/>
        </w:rPr>
        <w:t xml:space="preserve"> </w:t>
      </w:r>
      <w:r w:rsidRPr="006209A1">
        <w:rPr>
          <w:rFonts w:asciiTheme="minorHAnsi" w:hAnsiTheme="minorHAnsi" w:cs="Arial"/>
          <w:i/>
        </w:rPr>
        <w:t>‘covers the administration of all blood and blood products, regardless of their route of administration’</w:t>
      </w:r>
      <w:r w:rsidRPr="006209A1">
        <w:rPr>
          <w:rFonts w:asciiTheme="minorHAnsi" w:hAnsiTheme="minorHAnsi" w:cs="Arial"/>
        </w:rPr>
        <w:t xml:space="preserve">. </w:t>
      </w:r>
    </w:p>
    <w:p w:rsidR="00AC141E" w:rsidRDefault="00D02BBA" w:rsidP="00AC141E">
      <w:pPr>
        <w:rPr>
          <w:rFonts w:asciiTheme="minorHAnsi" w:hAnsiTheme="minorHAnsi" w:cs="Arial"/>
          <w:i/>
        </w:rPr>
      </w:pPr>
      <w:r w:rsidRPr="00D02BBA">
        <w:rPr>
          <w:rFonts w:asciiTheme="minorHAnsi" w:hAnsiTheme="minorHAnsi" w:cs="Arial"/>
          <w:b/>
        </w:rPr>
        <w:t>Blood management</w:t>
      </w:r>
      <w:r w:rsidR="006209A1">
        <w:rPr>
          <w:rFonts w:asciiTheme="minorHAnsi" w:hAnsiTheme="minorHAnsi" w:cs="Arial"/>
        </w:rPr>
        <w:t xml:space="preserve"> </w:t>
      </w:r>
      <w:r w:rsidR="00195C5A">
        <w:rPr>
          <w:rFonts w:asciiTheme="minorHAnsi" w:hAnsiTheme="minorHAnsi" w:cs="Arial"/>
          <w:i/>
        </w:rPr>
        <w:t>‘</w:t>
      </w:r>
      <w:r w:rsidR="00EB505F">
        <w:rPr>
          <w:rFonts w:asciiTheme="minorHAnsi" w:hAnsiTheme="minorHAnsi" w:cs="Arial"/>
          <w:i/>
        </w:rPr>
        <w:t xml:space="preserve">is </w:t>
      </w:r>
      <w:r w:rsidR="00AC141E" w:rsidRPr="00195C5A">
        <w:rPr>
          <w:rFonts w:asciiTheme="minorHAnsi" w:hAnsiTheme="minorHAnsi" w:cs="Arial"/>
          <w:i/>
        </w:rPr>
        <w:t>a process that improves outcomes for patients by improving their medical and surgical management in ways that boost and conserve their own blood, and ensure that any blood and blood products they receive are appropriate and safe</w:t>
      </w:r>
      <w:r w:rsidR="00195C5A">
        <w:rPr>
          <w:rFonts w:asciiTheme="minorHAnsi" w:hAnsiTheme="minorHAnsi" w:cs="Arial"/>
          <w:i/>
        </w:rPr>
        <w:t>’</w:t>
      </w:r>
      <w:r w:rsidR="00AC141E" w:rsidRPr="00195C5A">
        <w:rPr>
          <w:rFonts w:asciiTheme="minorHAnsi" w:hAnsiTheme="minorHAnsi" w:cs="Arial"/>
          <w:i/>
        </w:rPr>
        <w:t>.</w:t>
      </w:r>
    </w:p>
    <w:p w:rsidR="006813D2" w:rsidRPr="00EB505F" w:rsidRDefault="006209A1" w:rsidP="006813D2">
      <w:pPr>
        <w:rPr>
          <w:bCs/>
          <w:i/>
        </w:rPr>
      </w:pPr>
      <w:r w:rsidRPr="006813D2">
        <w:rPr>
          <w:rStyle w:val="IntenseReference"/>
          <w:i w:val="0"/>
          <w:smallCaps w:val="0"/>
          <w:color w:val="auto"/>
          <w:spacing w:val="0"/>
        </w:rPr>
        <w:t>Patient Blood Management</w:t>
      </w:r>
      <w:r>
        <w:rPr>
          <w:rStyle w:val="IntenseReference"/>
          <w:b w:val="0"/>
          <w:i w:val="0"/>
          <w:smallCaps w:val="0"/>
          <w:color w:val="auto"/>
          <w:spacing w:val="0"/>
        </w:rPr>
        <w:t xml:space="preserve"> ‘</w:t>
      </w:r>
      <w:r w:rsidR="006813D2" w:rsidRPr="00EB505F">
        <w:rPr>
          <w:i/>
        </w:rPr>
        <w:t>views a patient’s own blood as a valuable and unique resource that should be conserved and managed appropriately. Appropriate patient management requires a patient’s blood (haemopoietic and</w:t>
      </w:r>
      <w:r w:rsidR="006813D2" w:rsidRPr="00EB505F">
        <w:rPr>
          <w:rStyle w:val="IntenseReference"/>
        </w:rPr>
        <w:t xml:space="preserve"> </w:t>
      </w:r>
      <w:r w:rsidR="006813D2" w:rsidRPr="00EB505F">
        <w:rPr>
          <w:i/>
        </w:rPr>
        <w:t>circulatory system) to be considered in the same way as the management of all other body systems.</w:t>
      </w:r>
    </w:p>
    <w:p w:rsidR="006813D2" w:rsidRPr="00EB505F" w:rsidRDefault="006813D2" w:rsidP="006813D2">
      <w:pPr>
        <w:spacing w:after="120" w:line="264" w:lineRule="auto"/>
        <w:rPr>
          <w:i/>
        </w:rPr>
      </w:pPr>
      <w:r w:rsidRPr="00EB505F">
        <w:rPr>
          <w:i/>
        </w:rPr>
        <w:t>PBM takes an individualised, multidisciplinary approach to the management of a patient’s blood, through assessment and the development of a management plan to:</w:t>
      </w:r>
    </w:p>
    <w:p w:rsidR="006813D2" w:rsidRPr="00EB505F" w:rsidRDefault="006813D2" w:rsidP="00BF7D37">
      <w:pPr>
        <w:pStyle w:val="ListParagraph"/>
        <w:numPr>
          <w:ilvl w:val="0"/>
          <w:numId w:val="6"/>
        </w:numPr>
        <w:spacing w:after="120" w:line="264" w:lineRule="auto"/>
        <w:contextualSpacing w:val="0"/>
        <w:rPr>
          <w:i/>
        </w:rPr>
      </w:pPr>
      <w:r w:rsidRPr="00EB505F">
        <w:rPr>
          <w:i/>
        </w:rPr>
        <w:t>optimise a patient’s own blood (identify and address the health conditions that if not managed appropriately might lead to a blood transfusion, such as anaemia or iron deficiency)</w:t>
      </w:r>
    </w:p>
    <w:p w:rsidR="006813D2" w:rsidRPr="00EB505F" w:rsidRDefault="006813D2" w:rsidP="00BF7D37">
      <w:pPr>
        <w:pStyle w:val="ListParagraph"/>
        <w:numPr>
          <w:ilvl w:val="0"/>
          <w:numId w:val="6"/>
        </w:numPr>
        <w:spacing w:after="120" w:line="264" w:lineRule="auto"/>
        <w:contextualSpacing w:val="0"/>
        <w:rPr>
          <w:i/>
        </w:rPr>
      </w:pPr>
      <w:r w:rsidRPr="00EB505F">
        <w:rPr>
          <w:i/>
        </w:rPr>
        <w:t>minimise blood loss (such as minimal blood draw techniques, point of care diagnostic testing, pharmacological strategies, cell salvage and surgical techniques that reduce blood loss)</w:t>
      </w:r>
    </w:p>
    <w:p w:rsidR="006813D2" w:rsidRPr="00EB505F" w:rsidRDefault="006813D2" w:rsidP="00BF7D37">
      <w:pPr>
        <w:pStyle w:val="ListParagraph"/>
        <w:numPr>
          <w:ilvl w:val="0"/>
          <w:numId w:val="6"/>
        </w:numPr>
        <w:spacing w:after="120" w:line="264" w:lineRule="auto"/>
        <w:contextualSpacing w:val="0"/>
        <w:rPr>
          <w:i/>
        </w:rPr>
      </w:pPr>
      <w:proofErr w:type="gramStart"/>
      <w:r w:rsidRPr="00EB505F">
        <w:rPr>
          <w:i/>
        </w:rPr>
        <w:t>optimise</w:t>
      </w:r>
      <w:proofErr w:type="gramEnd"/>
      <w:r w:rsidRPr="00EB505F">
        <w:rPr>
          <w:i/>
        </w:rPr>
        <w:t xml:space="preserve"> tolerance of anaemia (with appropriate management, the body can be supported to tolerate anaemia without resorting to blood transfusion).</w:t>
      </w:r>
    </w:p>
    <w:p w:rsidR="00195C5A" w:rsidRDefault="00F82F94" w:rsidP="00195C5A">
      <w:pPr>
        <w:rPr>
          <w:i/>
        </w:rPr>
      </w:pPr>
      <w:r w:rsidRPr="00EB505F">
        <w:rPr>
          <w:rStyle w:val="IntenseReference"/>
          <w:b w:val="0"/>
          <w:smallCaps w:val="0"/>
          <w:color w:val="auto"/>
          <w:spacing w:val="0"/>
        </w:rPr>
        <w:t>P</w:t>
      </w:r>
      <w:r w:rsidR="00AB5C53" w:rsidRPr="00EB505F">
        <w:rPr>
          <w:rStyle w:val="IntenseReference"/>
          <w:b w:val="0"/>
          <w:smallCaps w:val="0"/>
          <w:color w:val="auto"/>
          <w:spacing w:val="0"/>
        </w:rPr>
        <w:t xml:space="preserve">atient Blood Management </w:t>
      </w:r>
      <w:r w:rsidRPr="00EB505F">
        <w:rPr>
          <w:rStyle w:val="IntenseReference"/>
          <w:b w:val="0"/>
          <w:smallCaps w:val="0"/>
          <w:color w:val="auto"/>
          <w:spacing w:val="0"/>
        </w:rPr>
        <w:t xml:space="preserve">should be the standard of care applied by all clinicians for patients facing a medical or surgical intervention who are at risk of blood </w:t>
      </w:r>
      <w:proofErr w:type="gramStart"/>
      <w:r w:rsidRPr="00EB505F">
        <w:rPr>
          <w:rStyle w:val="IntenseReference"/>
          <w:b w:val="0"/>
          <w:smallCaps w:val="0"/>
          <w:color w:val="auto"/>
          <w:spacing w:val="0"/>
        </w:rPr>
        <w:t>loss</w:t>
      </w:r>
      <w:r w:rsidR="00EB505F">
        <w:rPr>
          <w:rStyle w:val="IntenseReference"/>
          <w:b w:val="0"/>
          <w:smallCaps w:val="0"/>
          <w:color w:val="auto"/>
          <w:spacing w:val="0"/>
        </w:rPr>
        <w:t>’</w:t>
      </w:r>
      <w:proofErr w:type="gramEnd"/>
      <w:r w:rsidR="00195C5A" w:rsidRPr="00EB505F">
        <w:rPr>
          <w:i/>
        </w:rPr>
        <w:t xml:space="preserve">. </w:t>
      </w:r>
    </w:p>
    <w:p w:rsidR="00305AC2" w:rsidRDefault="00305AC2" w:rsidP="007F5DBA">
      <w:pPr>
        <w:pStyle w:val="Heading3"/>
      </w:pPr>
      <w:bookmarkStart w:id="3" w:name="_Toc485589876"/>
      <w:r>
        <w:t xml:space="preserve">A National </w:t>
      </w:r>
      <w:r w:rsidRPr="007F5DBA">
        <w:t>Patient</w:t>
      </w:r>
      <w:r>
        <w:t xml:space="preserve"> Blood Management Strategy</w:t>
      </w:r>
      <w:bookmarkEnd w:id="3"/>
      <w:r>
        <w:t xml:space="preserve"> </w:t>
      </w:r>
    </w:p>
    <w:p w:rsidR="00752492" w:rsidRDefault="00C41932" w:rsidP="00752492">
      <w:pPr>
        <w:spacing w:after="120" w:line="264" w:lineRule="auto"/>
        <w:rPr>
          <w:i/>
        </w:rPr>
      </w:pPr>
      <w:r>
        <w:rPr>
          <w:rStyle w:val="IntenseReference"/>
          <w:b w:val="0"/>
          <w:i w:val="0"/>
          <w:smallCaps w:val="0"/>
          <w:color w:val="auto"/>
          <w:spacing w:val="0"/>
        </w:rPr>
        <w:t xml:space="preserve">The goal of the Strategy is to </w:t>
      </w:r>
      <w:r w:rsidR="00635CEB">
        <w:t>optimise clinical outcomes and improve safety</w:t>
      </w:r>
      <w:r w:rsidR="0089160F">
        <w:t xml:space="preserve"> for patients</w:t>
      </w:r>
      <w:r>
        <w:rPr>
          <w:rStyle w:val="IntenseReference"/>
          <w:b w:val="0"/>
          <w:i w:val="0"/>
          <w:smallCaps w:val="0"/>
          <w:color w:val="auto"/>
          <w:spacing w:val="0"/>
        </w:rPr>
        <w:t xml:space="preserve">. </w:t>
      </w:r>
      <w:r w:rsidR="00696976">
        <w:rPr>
          <w:rStyle w:val="IntenseReference"/>
          <w:b w:val="0"/>
          <w:i w:val="0"/>
          <w:smallCaps w:val="0"/>
          <w:color w:val="auto"/>
          <w:spacing w:val="0"/>
        </w:rPr>
        <w:t>PBM</w:t>
      </w:r>
      <w:r w:rsidR="00EB505F" w:rsidRPr="00EB505F">
        <w:rPr>
          <w:rStyle w:val="IntenseReference"/>
          <w:b w:val="0"/>
          <w:i w:val="0"/>
          <w:smallCaps w:val="0"/>
          <w:color w:val="auto"/>
          <w:spacing w:val="0"/>
        </w:rPr>
        <w:t xml:space="preserve"> should be the standard of care applied by all clinicians for patients facing a medical or surgical intervention who are at risk of blood loss, bleeding</w:t>
      </w:r>
      <w:r w:rsidR="00037901">
        <w:rPr>
          <w:rStyle w:val="IntenseReference"/>
          <w:b w:val="0"/>
          <w:i w:val="0"/>
          <w:smallCaps w:val="0"/>
          <w:color w:val="auto"/>
          <w:spacing w:val="0"/>
        </w:rPr>
        <w:t>, coagulopathy</w:t>
      </w:r>
      <w:r w:rsidR="00EB505F" w:rsidRPr="00EB505F">
        <w:rPr>
          <w:rStyle w:val="IntenseReference"/>
          <w:b w:val="0"/>
          <w:i w:val="0"/>
          <w:smallCaps w:val="0"/>
          <w:color w:val="auto"/>
          <w:spacing w:val="0"/>
        </w:rPr>
        <w:t xml:space="preserve"> or may require a blood product as part of their treatment, recognising that there may be </w:t>
      </w:r>
      <w:r w:rsidR="00722E02">
        <w:rPr>
          <w:rStyle w:val="IntenseReference"/>
          <w:b w:val="0"/>
          <w:i w:val="0"/>
          <w:smallCaps w:val="0"/>
          <w:color w:val="auto"/>
          <w:spacing w:val="0"/>
        </w:rPr>
        <w:t xml:space="preserve">more appropriate </w:t>
      </w:r>
      <w:r w:rsidR="00EB505F" w:rsidRPr="00EB505F">
        <w:rPr>
          <w:rStyle w:val="IntenseReference"/>
          <w:b w:val="0"/>
          <w:i w:val="0"/>
          <w:smallCaps w:val="0"/>
          <w:color w:val="auto"/>
          <w:spacing w:val="0"/>
        </w:rPr>
        <w:t xml:space="preserve">ways </w:t>
      </w:r>
      <w:r w:rsidR="00722E02">
        <w:rPr>
          <w:rStyle w:val="IntenseReference"/>
          <w:b w:val="0"/>
          <w:i w:val="0"/>
          <w:smallCaps w:val="0"/>
          <w:color w:val="auto"/>
          <w:spacing w:val="0"/>
        </w:rPr>
        <w:t xml:space="preserve">of using and administering </w:t>
      </w:r>
      <w:r w:rsidR="00EB505F" w:rsidRPr="00EB505F">
        <w:rPr>
          <w:rStyle w:val="IntenseReference"/>
          <w:b w:val="0"/>
          <w:i w:val="0"/>
          <w:smallCaps w:val="0"/>
          <w:color w:val="auto"/>
          <w:spacing w:val="0"/>
        </w:rPr>
        <w:t>blood and blood products to manage disorders.</w:t>
      </w:r>
      <w:r w:rsidR="006E0191">
        <w:rPr>
          <w:i/>
        </w:rPr>
        <w:t xml:space="preserve"> </w:t>
      </w:r>
    </w:p>
    <w:p w:rsidR="00994806" w:rsidRDefault="00EC59BC" w:rsidP="00F82F94">
      <w:pPr>
        <w:spacing w:after="120" w:line="264" w:lineRule="auto"/>
        <w:rPr>
          <w:rStyle w:val="IntenseReference"/>
          <w:b w:val="0"/>
          <w:i w:val="0"/>
          <w:smallCaps w:val="0"/>
          <w:color w:val="auto"/>
          <w:spacing w:val="0"/>
        </w:rPr>
      </w:pPr>
      <w:r>
        <w:rPr>
          <w:rStyle w:val="IntenseReference"/>
          <w:b w:val="0"/>
          <w:i w:val="0"/>
          <w:smallCaps w:val="0"/>
          <w:color w:val="auto"/>
          <w:spacing w:val="0"/>
        </w:rPr>
        <w:t>When c</w:t>
      </w:r>
      <w:r w:rsidR="00994806">
        <w:rPr>
          <w:rStyle w:val="IntenseReference"/>
          <w:b w:val="0"/>
          <w:i w:val="0"/>
          <w:smallCaps w:val="0"/>
          <w:color w:val="auto"/>
          <w:spacing w:val="0"/>
        </w:rPr>
        <w:t>hoosing treatment options</w:t>
      </w:r>
      <w:r>
        <w:rPr>
          <w:rStyle w:val="IntenseReference"/>
          <w:b w:val="0"/>
          <w:i w:val="0"/>
          <w:smallCaps w:val="0"/>
          <w:color w:val="auto"/>
          <w:spacing w:val="0"/>
        </w:rPr>
        <w:t>, the following</w:t>
      </w:r>
      <w:r w:rsidR="00994806">
        <w:rPr>
          <w:rStyle w:val="IntenseReference"/>
          <w:b w:val="0"/>
          <w:i w:val="0"/>
          <w:smallCaps w:val="0"/>
          <w:color w:val="auto"/>
          <w:spacing w:val="0"/>
        </w:rPr>
        <w:t xml:space="preserve"> should </w:t>
      </w:r>
      <w:r>
        <w:rPr>
          <w:rStyle w:val="IntenseReference"/>
          <w:b w:val="0"/>
          <w:i w:val="0"/>
          <w:smallCaps w:val="0"/>
          <w:color w:val="auto"/>
          <w:spacing w:val="0"/>
        </w:rPr>
        <w:t xml:space="preserve">be </w:t>
      </w:r>
      <w:r w:rsidR="00994806">
        <w:rPr>
          <w:rStyle w:val="IntenseReference"/>
          <w:b w:val="0"/>
          <w:i w:val="0"/>
          <w:smallCaps w:val="0"/>
          <w:color w:val="auto"/>
          <w:spacing w:val="0"/>
        </w:rPr>
        <w:t>take</w:t>
      </w:r>
      <w:r>
        <w:rPr>
          <w:rStyle w:val="IntenseReference"/>
          <w:b w:val="0"/>
          <w:i w:val="0"/>
          <w:smallCaps w:val="0"/>
          <w:color w:val="auto"/>
          <w:spacing w:val="0"/>
        </w:rPr>
        <w:t>n</w:t>
      </w:r>
      <w:r w:rsidR="00994806">
        <w:rPr>
          <w:rStyle w:val="IntenseReference"/>
          <w:b w:val="0"/>
          <w:i w:val="0"/>
          <w:smallCaps w:val="0"/>
          <w:color w:val="auto"/>
          <w:spacing w:val="0"/>
        </w:rPr>
        <w:t xml:space="preserve"> into account</w:t>
      </w:r>
      <w:r w:rsidR="00195C5A">
        <w:rPr>
          <w:rStyle w:val="IntenseReference"/>
          <w:b w:val="0"/>
          <w:i w:val="0"/>
          <w:smallCaps w:val="0"/>
          <w:color w:val="auto"/>
          <w:spacing w:val="0"/>
        </w:rPr>
        <w:t xml:space="preserve"> by patients and clinicians</w:t>
      </w:r>
      <w:r>
        <w:rPr>
          <w:rStyle w:val="IntenseReference"/>
          <w:b w:val="0"/>
          <w:i w:val="0"/>
          <w:smallCaps w:val="0"/>
          <w:color w:val="auto"/>
          <w:spacing w:val="0"/>
        </w:rPr>
        <w:t>:</w:t>
      </w:r>
    </w:p>
    <w:p w:rsidR="00994806" w:rsidRP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994806">
        <w:rPr>
          <w:rStyle w:val="IntenseReference"/>
          <w:b w:val="0"/>
          <w:i w:val="0"/>
          <w:smallCaps w:val="0"/>
          <w:color w:val="auto"/>
          <w:spacing w:val="0"/>
        </w:rPr>
        <w:t>the clinical condition</w:t>
      </w:r>
    </w:p>
    <w:p w:rsidR="00994806" w:rsidRPr="00305AC2" w:rsidRDefault="00994806" w:rsidP="00BF7D37">
      <w:pPr>
        <w:pStyle w:val="ListParagraph"/>
        <w:numPr>
          <w:ilvl w:val="0"/>
          <w:numId w:val="3"/>
        </w:numPr>
        <w:spacing w:after="120" w:line="264" w:lineRule="auto"/>
        <w:rPr>
          <w:rStyle w:val="IntenseReference"/>
          <w:b w:val="0"/>
          <w:i w:val="0"/>
          <w:smallCaps w:val="0"/>
          <w:color w:val="auto"/>
          <w:spacing w:val="0"/>
        </w:rPr>
      </w:pPr>
      <w:r w:rsidRPr="00305AC2">
        <w:rPr>
          <w:rStyle w:val="IntenseReference"/>
          <w:b w:val="0"/>
          <w:i w:val="0"/>
          <w:smallCaps w:val="0"/>
          <w:color w:val="auto"/>
          <w:spacing w:val="0"/>
        </w:rPr>
        <w:t>benefits and risks</w:t>
      </w:r>
    </w:p>
    <w:p w:rsid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305AC2">
        <w:rPr>
          <w:rStyle w:val="IntenseReference"/>
          <w:b w:val="0"/>
          <w:i w:val="0"/>
          <w:smallCaps w:val="0"/>
          <w:color w:val="auto"/>
          <w:spacing w:val="0"/>
        </w:rPr>
        <w:t>length of treatment and amount of product needed</w:t>
      </w:r>
    </w:p>
    <w:p w:rsidR="00745AE9" w:rsidRPr="00305AC2" w:rsidRDefault="00745AE9" w:rsidP="00BF7D37">
      <w:pPr>
        <w:pStyle w:val="ListParagraph"/>
        <w:numPr>
          <w:ilvl w:val="0"/>
          <w:numId w:val="3"/>
        </w:numPr>
        <w:spacing w:after="120" w:line="264" w:lineRule="auto"/>
        <w:rPr>
          <w:rStyle w:val="IntenseReference"/>
          <w:b w:val="0"/>
          <w:i w:val="0"/>
          <w:smallCaps w:val="0"/>
          <w:color w:val="auto"/>
          <w:spacing w:val="0"/>
        </w:rPr>
      </w:pPr>
      <w:r>
        <w:rPr>
          <w:rStyle w:val="IntenseReference"/>
          <w:b w:val="0"/>
          <w:i w:val="0"/>
          <w:smallCaps w:val="0"/>
          <w:color w:val="auto"/>
          <w:spacing w:val="0"/>
        </w:rPr>
        <w:t>availability of treatment options</w:t>
      </w:r>
    </w:p>
    <w:p w:rsidR="00994806" w:rsidRP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994806">
        <w:rPr>
          <w:rStyle w:val="IntenseReference"/>
          <w:b w:val="0"/>
          <w:i w:val="0"/>
          <w:smallCaps w:val="0"/>
          <w:color w:val="auto"/>
          <w:spacing w:val="0"/>
        </w:rPr>
        <w:t>coexisting conditions</w:t>
      </w:r>
    </w:p>
    <w:p w:rsidR="00994806" w:rsidRDefault="00994806" w:rsidP="00BF7D37">
      <w:pPr>
        <w:pStyle w:val="ListParagraph"/>
        <w:numPr>
          <w:ilvl w:val="0"/>
          <w:numId w:val="3"/>
        </w:numPr>
        <w:spacing w:after="120" w:line="264" w:lineRule="auto"/>
        <w:rPr>
          <w:rStyle w:val="IntenseReference"/>
          <w:b w:val="0"/>
          <w:i w:val="0"/>
          <w:smallCaps w:val="0"/>
          <w:color w:val="auto"/>
          <w:spacing w:val="0"/>
        </w:rPr>
      </w:pPr>
      <w:r w:rsidRPr="00994806">
        <w:rPr>
          <w:rStyle w:val="IntenseReference"/>
          <w:b w:val="0"/>
          <w:i w:val="0"/>
          <w:smallCaps w:val="0"/>
          <w:color w:val="auto"/>
          <w:spacing w:val="0"/>
        </w:rPr>
        <w:t>other therapies or interventions</w:t>
      </w:r>
    </w:p>
    <w:p w:rsidR="00994806" w:rsidRDefault="00994806" w:rsidP="00BF7D37">
      <w:pPr>
        <w:pStyle w:val="ListParagraph"/>
        <w:numPr>
          <w:ilvl w:val="0"/>
          <w:numId w:val="3"/>
        </w:numPr>
        <w:spacing w:after="120" w:line="264" w:lineRule="auto"/>
        <w:rPr>
          <w:rStyle w:val="IntenseReference"/>
          <w:b w:val="0"/>
          <w:i w:val="0"/>
          <w:smallCaps w:val="0"/>
          <w:color w:val="auto"/>
          <w:spacing w:val="0"/>
        </w:rPr>
      </w:pPr>
      <w:r>
        <w:rPr>
          <w:rStyle w:val="IntenseReference"/>
          <w:b w:val="0"/>
          <w:i w:val="0"/>
          <w:smallCaps w:val="0"/>
          <w:color w:val="auto"/>
          <w:spacing w:val="0"/>
        </w:rPr>
        <w:t>monitoring</w:t>
      </w:r>
    </w:p>
    <w:p w:rsidR="006E0191" w:rsidRDefault="00994806" w:rsidP="00BF7D37">
      <w:pPr>
        <w:pStyle w:val="ListParagraph"/>
        <w:numPr>
          <w:ilvl w:val="0"/>
          <w:numId w:val="3"/>
        </w:numPr>
        <w:spacing w:after="120" w:line="264" w:lineRule="auto"/>
        <w:rPr>
          <w:rStyle w:val="IntenseReference"/>
          <w:b w:val="0"/>
          <w:i w:val="0"/>
          <w:smallCaps w:val="0"/>
          <w:color w:val="auto"/>
          <w:spacing w:val="0"/>
        </w:rPr>
      </w:pPr>
      <w:r>
        <w:rPr>
          <w:rStyle w:val="IntenseReference"/>
          <w:b w:val="0"/>
          <w:i w:val="0"/>
          <w:smallCaps w:val="0"/>
          <w:color w:val="auto"/>
          <w:spacing w:val="0"/>
        </w:rPr>
        <w:t>outcomes</w:t>
      </w:r>
      <w:r w:rsidR="006E0191" w:rsidRPr="006E0191">
        <w:rPr>
          <w:rStyle w:val="IntenseReference"/>
          <w:b w:val="0"/>
          <w:i w:val="0"/>
          <w:smallCaps w:val="0"/>
          <w:color w:val="auto"/>
          <w:spacing w:val="0"/>
        </w:rPr>
        <w:t xml:space="preserve"> </w:t>
      </w:r>
    </w:p>
    <w:p w:rsidR="00994806" w:rsidRDefault="006E0191" w:rsidP="00BF7D37">
      <w:pPr>
        <w:pStyle w:val="ListParagraph"/>
        <w:numPr>
          <w:ilvl w:val="0"/>
          <w:numId w:val="3"/>
        </w:numPr>
        <w:spacing w:after="120" w:line="264" w:lineRule="auto"/>
        <w:rPr>
          <w:rStyle w:val="IntenseReference"/>
          <w:b w:val="0"/>
          <w:i w:val="0"/>
          <w:smallCaps w:val="0"/>
          <w:color w:val="auto"/>
          <w:spacing w:val="0"/>
        </w:rPr>
      </w:pPr>
      <w:r w:rsidRPr="008C2003">
        <w:rPr>
          <w:rStyle w:val="IntenseReference"/>
          <w:b w:val="0"/>
          <w:i w:val="0"/>
          <w:smallCaps w:val="0"/>
          <w:color w:val="auto"/>
          <w:spacing w:val="0"/>
        </w:rPr>
        <w:t>costs – for the individual, the community and the health system</w:t>
      </w:r>
    </w:p>
    <w:p w:rsidR="00752492" w:rsidRPr="006E0191" w:rsidRDefault="00752492" w:rsidP="007F5DBA">
      <w:pPr>
        <w:pStyle w:val="Heading3"/>
      </w:pPr>
      <w:bookmarkStart w:id="4" w:name="_Toc485589877"/>
      <w:r w:rsidRPr="007F5DBA">
        <w:lastRenderedPageBreak/>
        <w:t>Scope</w:t>
      </w:r>
      <w:bookmarkEnd w:id="4"/>
    </w:p>
    <w:p w:rsidR="00994806" w:rsidRPr="008C2003" w:rsidRDefault="00305AC2" w:rsidP="00115937">
      <w:pPr>
        <w:spacing w:after="120" w:line="264" w:lineRule="auto"/>
        <w:rPr>
          <w:rStyle w:val="IntenseReference"/>
          <w:b w:val="0"/>
          <w:i w:val="0"/>
          <w:smallCaps w:val="0"/>
          <w:color w:val="auto"/>
          <w:spacing w:val="0"/>
        </w:rPr>
      </w:pPr>
      <w:r>
        <w:rPr>
          <w:rStyle w:val="IntenseReference"/>
          <w:b w:val="0"/>
          <w:i w:val="0"/>
          <w:smallCaps w:val="0"/>
          <w:color w:val="auto"/>
          <w:spacing w:val="0"/>
        </w:rPr>
        <w:t xml:space="preserve">The scope of the Strategy </w:t>
      </w:r>
      <w:r w:rsidRPr="0041291F">
        <w:rPr>
          <w:rStyle w:val="IntenseReference"/>
          <w:b w:val="0"/>
          <w:i w:val="0"/>
          <w:smallCaps w:val="0"/>
          <w:color w:val="auto"/>
          <w:spacing w:val="0"/>
        </w:rPr>
        <w:t xml:space="preserve">covers </w:t>
      </w:r>
      <w:r w:rsidR="0089160F" w:rsidRPr="0041291F">
        <w:rPr>
          <w:rStyle w:val="IntenseReference"/>
          <w:b w:val="0"/>
          <w:i w:val="0"/>
          <w:smallCaps w:val="0"/>
          <w:color w:val="auto"/>
          <w:spacing w:val="0"/>
        </w:rPr>
        <w:t xml:space="preserve">the principles of PBM </w:t>
      </w:r>
      <w:r w:rsidR="0089160F">
        <w:rPr>
          <w:rStyle w:val="IntenseReference"/>
          <w:b w:val="0"/>
          <w:i w:val="0"/>
          <w:smallCaps w:val="0"/>
          <w:color w:val="auto"/>
          <w:spacing w:val="0"/>
        </w:rPr>
        <w:t xml:space="preserve">and </w:t>
      </w:r>
      <w:r w:rsidRPr="0041291F">
        <w:rPr>
          <w:rStyle w:val="IntenseReference"/>
          <w:b w:val="0"/>
          <w:i w:val="0"/>
          <w:smallCaps w:val="0"/>
          <w:color w:val="auto"/>
          <w:spacing w:val="0"/>
        </w:rPr>
        <w:t>all elements in the blood management and clinical transfusion process</w:t>
      </w:r>
      <w:r w:rsidR="00037901">
        <w:rPr>
          <w:rStyle w:val="IntenseReference"/>
          <w:b w:val="0"/>
          <w:i w:val="0"/>
          <w:smallCaps w:val="0"/>
          <w:color w:val="auto"/>
          <w:spacing w:val="0"/>
        </w:rPr>
        <w:t xml:space="preserve"> for blood </w:t>
      </w:r>
      <w:r w:rsidR="00537411">
        <w:rPr>
          <w:rStyle w:val="IntenseReference"/>
          <w:b w:val="0"/>
          <w:i w:val="0"/>
          <w:smallCaps w:val="0"/>
          <w:color w:val="auto"/>
          <w:spacing w:val="0"/>
        </w:rPr>
        <w:t xml:space="preserve">and blood </w:t>
      </w:r>
      <w:r w:rsidR="00037901">
        <w:rPr>
          <w:rStyle w:val="IntenseReference"/>
          <w:b w:val="0"/>
          <w:i w:val="0"/>
          <w:smallCaps w:val="0"/>
          <w:color w:val="auto"/>
          <w:spacing w:val="0"/>
        </w:rPr>
        <w:t>products.</w:t>
      </w:r>
      <w:r w:rsidR="00537411">
        <w:rPr>
          <w:rStyle w:val="IntenseReference"/>
          <w:b w:val="0"/>
          <w:i w:val="0"/>
          <w:smallCaps w:val="0"/>
          <w:color w:val="auto"/>
          <w:spacing w:val="0"/>
        </w:rPr>
        <w:t xml:space="preserve"> The </w:t>
      </w:r>
      <w:r w:rsidR="007345EB">
        <w:rPr>
          <w:rStyle w:val="IntenseReference"/>
          <w:b w:val="0"/>
          <w:i w:val="0"/>
          <w:smallCaps w:val="0"/>
          <w:color w:val="auto"/>
          <w:spacing w:val="0"/>
        </w:rPr>
        <w:t>priority will be on labile products.</w:t>
      </w:r>
    </w:p>
    <w:p w:rsidR="00E13351" w:rsidRDefault="00E13351" w:rsidP="007F5DBA">
      <w:pPr>
        <w:pStyle w:val="Heading3"/>
      </w:pPr>
      <w:bookmarkStart w:id="5" w:name="_Toc485589878"/>
      <w:r>
        <w:t xml:space="preserve">Principles of </w:t>
      </w:r>
      <w:r w:rsidR="00684B1E" w:rsidRPr="007F5DBA">
        <w:t>Patient</w:t>
      </w:r>
      <w:r w:rsidR="00684B1E">
        <w:t xml:space="preserve"> </w:t>
      </w:r>
      <w:r>
        <w:t>Blood Management</w:t>
      </w:r>
      <w:bookmarkEnd w:id="5"/>
    </w:p>
    <w:p w:rsidR="0084542E" w:rsidRDefault="00696976" w:rsidP="0084542E">
      <w:pPr>
        <w:rPr>
          <w:rFonts w:cs="Arial"/>
          <w:bCs/>
        </w:rPr>
      </w:pPr>
      <w:r>
        <w:rPr>
          <w:rFonts w:cs="Arial"/>
          <w:bCs/>
        </w:rPr>
        <w:t>PBM</w:t>
      </w:r>
      <w:r w:rsidR="00295B3A" w:rsidRPr="0041291F">
        <w:rPr>
          <w:rFonts w:cs="Arial"/>
          <w:bCs/>
        </w:rPr>
        <w:t xml:space="preserve"> views a patient’s own blood as a valuable and unique resource that should be conserved and managed appropriately. </w:t>
      </w:r>
      <w:r w:rsidR="00295B3A">
        <w:rPr>
          <w:rStyle w:val="IntenseReference"/>
          <w:b w:val="0"/>
          <w:i w:val="0"/>
          <w:smallCaps w:val="0"/>
          <w:color w:val="auto"/>
          <w:spacing w:val="0"/>
        </w:rPr>
        <w:t xml:space="preserve">This recognises that for many patients </w:t>
      </w:r>
      <w:r w:rsidR="00295B3A">
        <w:rPr>
          <w:rFonts w:cs="Arial"/>
          <w:bCs/>
        </w:rPr>
        <w:t>t</w:t>
      </w:r>
      <w:r w:rsidR="00295B3A" w:rsidRPr="0041291F">
        <w:rPr>
          <w:rFonts w:cs="Arial"/>
          <w:bCs/>
        </w:rPr>
        <w:t>he best and safest blood is their own circulating blood. Appropriate patient management requires a patient’s blood (circulatory system) to be considered in the same way as the management of all other body</w:t>
      </w:r>
      <w:r w:rsidR="00350428">
        <w:rPr>
          <w:rFonts w:cs="Arial"/>
          <w:bCs/>
        </w:rPr>
        <w:t xml:space="preserve"> systems.</w:t>
      </w:r>
      <w:r w:rsidR="00295B3A" w:rsidRPr="0041291F">
        <w:rPr>
          <w:rFonts w:cs="Arial"/>
          <w:bCs/>
        </w:rPr>
        <w:t xml:space="preserve"> </w:t>
      </w:r>
    </w:p>
    <w:p w:rsidR="00DE6FDC" w:rsidRPr="00DE6FDC" w:rsidRDefault="00DE6FDC" w:rsidP="00915D12">
      <w:pPr>
        <w:pStyle w:val="Heading4"/>
      </w:pPr>
      <w:r w:rsidRPr="00DE6FDC">
        <w:t>Reducing inappropriate use</w:t>
      </w:r>
    </w:p>
    <w:p w:rsidR="0076431A" w:rsidRPr="00696976" w:rsidRDefault="009F24E6" w:rsidP="00696976">
      <w:pPr>
        <w:spacing w:after="120" w:line="264" w:lineRule="auto"/>
        <w:rPr>
          <w:rStyle w:val="IntenseReference"/>
          <w:b w:val="0"/>
          <w:i w:val="0"/>
          <w:smallCaps w:val="0"/>
          <w:color w:val="auto"/>
          <w:spacing w:val="0"/>
        </w:rPr>
      </w:pPr>
      <w:r w:rsidRPr="00696976">
        <w:rPr>
          <w:rStyle w:val="IntenseReference"/>
          <w:b w:val="0"/>
          <w:i w:val="0"/>
          <w:smallCaps w:val="0"/>
          <w:color w:val="auto"/>
          <w:spacing w:val="0"/>
        </w:rPr>
        <w:t>Appropriate use of product with</w:t>
      </w:r>
      <w:r w:rsidR="00684B1E" w:rsidRPr="00696976">
        <w:rPr>
          <w:rStyle w:val="IntenseReference"/>
          <w:b w:val="0"/>
          <w:i w:val="0"/>
          <w:smallCaps w:val="0"/>
          <w:color w:val="auto"/>
          <w:spacing w:val="0"/>
        </w:rPr>
        <w:t>in</w:t>
      </w:r>
      <w:r w:rsidRPr="00696976">
        <w:rPr>
          <w:rStyle w:val="IntenseReference"/>
          <w:b w:val="0"/>
          <w:i w:val="0"/>
          <w:smallCaps w:val="0"/>
          <w:color w:val="auto"/>
          <w:spacing w:val="0"/>
        </w:rPr>
        <w:t xml:space="preserve"> a blood management framework would mean that </w:t>
      </w:r>
      <w:r w:rsidR="007C43EF">
        <w:rPr>
          <w:rStyle w:val="IntenseReference"/>
          <w:b w:val="0"/>
          <w:i w:val="0"/>
          <w:smallCaps w:val="0"/>
          <w:color w:val="auto"/>
          <w:spacing w:val="0"/>
        </w:rPr>
        <w:t xml:space="preserve">red blood cell (RBC) </w:t>
      </w:r>
      <w:r w:rsidRPr="00696976">
        <w:rPr>
          <w:rStyle w:val="IntenseReference"/>
          <w:b w:val="0"/>
          <w:i w:val="0"/>
          <w:smallCaps w:val="0"/>
          <w:color w:val="auto"/>
          <w:spacing w:val="0"/>
        </w:rPr>
        <w:t xml:space="preserve">transfusions characterised as ‘appropriate’ on the basis of a pre-transfusion haemoglobin, could be rendered unnecessary if </w:t>
      </w:r>
      <w:r w:rsidR="00684B1E" w:rsidRPr="00696976">
        <w:rPr>
          <w:rStyle w:val="IntenseReference"/>
          <w:b w:val="0"/>
          <w:i w:val="0"/>
          <w:smallCaps w:val="0"/>
          <w:color w:val="auto"/>
          <w:spacing w:val="0"/>
        </w:rPr>
        <w:t xml:space="preserve">a </w:t>
      </w:r>
      <w:r w:rsidRPr="00696976">
        <w:rPr>
          <w:rStyle w:val="IntenseReference"/>
          <w:b w:val="0"/>
          <w:i w:val="0"/>
          <w:smallCaps w:val="0"/>
          <w:color w:val="auto"/>
          <w:spacing w:val="0"/>
        </w:rPr>
        <w:t xml:space="preserve">patient’s iron deficiency is treated and patients are allowed adequate time to generate their own red cells and haemoglobin in preference to transplanting another person’s red blood cells. </w:t>
      </w:r>
    </w:p>
    <w:p w:rsidR="009F24E6" w:rsidRPr="00696976" w:rsidRDefault="00696976" w:rsidP="00696976">
      <w:pPr>
        <w:spacing w:after="120" w:line="264" w:lineRule="auto"/>
        <w:rPr>
          <w:rStyle w:val="IntenseReference"/>
          <w:b w:val="0"/>
          <w:i w:val="0"/>
          <w:smallCaps w:val="0"/>
          <w:color w:val="auto"/>
          <w:spacing w:val="0"/>
        </w:rPr>
      </w:pPr>
      <w:r>
        <w:rPr>
          <w:rStyle w:val="IntenseReference"/>
          <w:b w:val="0"/>
          <w:i w:val="0"/>
          <w:smallCaps w:val="0"/>
          <w:color w:val="auto"/>
          <w:spacing w:val="0"/>
        </w:rPr>
        <w:t>PBM</w:t>
      </w:r>
      <w:r w:rsidR="009F24E6" w:rsidRPr="00696976">
        <w:rPr>
          <w:rStyle w:val="IntenseReference"/>
          <w:b w:val="0"/>
          <w:i w:val="0"/>
          <w:smallCaps w:val="0"/>
          <w:color w:val="auto"/>
          <w:spacing w:val="0"/>
        </w:rPr>
        <w:t xml:space="preserve"> is a multidisciplinary, evidence-based approach to optimising the care of patients and represents best practice for transfusion medicine. Appropriate use of blood and blood products should therefore take into account a patient’s modifiable risk factors that may reduce the use of transfusion as a treatment option.</w:t>
      </w:r>
    </w:p>
    <w:p w:rsidR="00D71311" w:rsidRPr="000477D5" w:rsidRDefault="000477D5" w:rsidP="00915D12">
      <w:pPr>
        <w:pStyle w:val="Heading4"/>
      </w:pPr>
      <w:r w:rsidRPr="000477D5">
        <w:t>Partnering with consumers</w:t>
      </w:r>
    </w:p>
    <w:p w:rsidR="00615A09" w:rsidRDefault="009E3D41" w:rsidP="00615A09">
      <w:pPr>
        <w:spacing w:after="120" w:line="264" w:lineRule="auto"/>
      </w:pPr>
      <w:r w:rsidRPr="00A25945">
        <w:t xml:space="preserve">The </w:t>
      </w:r>
      <w:r w:rsidRPr="00A25945">
        <w:fldChar w:fldCharType="begin" w:fldLock="1"/>
      </w:r>
      <w:r w:rsidRPr="00A25945">
        <w:instrText xml:space="preserve"> REF _Ref458514727 \h  \* MERGEFORMAT </w:instrText>
      </w:r>
      <w:r w:rsidRPr="00A25945">
        <w:fldChar w:fldCharType="end"/>
      </w:r>
      <w:r w:rsidR="00423C84">
        <w:t xml:space="preserve">Standard </w:t>
      </w:r>
      <w:r w:rsidRPr="00A25945">
        <w:t>aims to ensure that patients (and carers) are engaged in decisions about their management</w:t>
      </w:r>
      <w:r w:rsidR="00115937">
        <w:t xml:space="preserve"> </w:t>
      </w:r>
      <w:r w:rsidRPr="00A25945">
        <w:t>and, if they receive blood and blood products, they do so appropriately and safely.</w:t>
      </w:r>
      <w:r w:rsidR="00115937">
        <w:t xml:space="preserve"> </w:t>
      </w:r>
      <w:r w:rsidR="00615A09">
        <w:t>In</w:t>
      </w:r>
      <w:r w:rsidRPr="00A25945">
        <w:t xml:space="preserve">formation </w:t>
      </w:r>
      <w:r w:rsidR="00615A09">
        <w:t xml:space="preserve">should be provided </w:t>
      </w:r>
      <w:r>
        <w:t xml:space="preserve">to patients </w:t>
      </w:r>
      <w:r w:rsidRPr="00A25945">
        <w:t xml:space="preserve">about optimising their own blood, </w:t>
      </w:r>
      <w:r>
        <w:t>PBM</w:t>
      </w:r>
      <w:r w:rsidRPr="00A25945">
        <w:t xml:space="preserve"> strategies and the potential need for blood and blood products</w:t>
      </w:r>
      <w:r>
        <w:t>,</w:t>
      </w:r>
      <w:r w:rsidRPr="00A25945">
        <w:t xml:space="preserve"> including all treatment options, risks and benefits</w:t>
      </w:r>
      <w:r w:rsidR="00615A09">
        <w:t>.</w:t>
      </w:r>
    </w:p>
    <w:p w:rsidR="00615A09" w:rsidRDefault="00615A09" w:rsidP="00615A09">
      <w:pPr>
        <w:spacing w:after="120" w:line="264" w:lineRule="auto"/>
      </w:pPr>
      <w:r>
        <w:t xml:space="preserve">When developing </w:t>
      </w:r>
      <w:r w:rsidR="00696976">
        <w:t>PBM</w:t>
      </w:r>
      <w:r>
        <w:t xml:space="preserve"> materials</w:t>
      </w:r>
      <w:r w:rsidR="00392B76">
        <w:t xml:space="preserve"> it is important to</w:t>
      </w:r>
      <w:r>
        <w:t>:</w:t>
      </w:r>
    </w:p>
    <w:p w:rsidR="00F10676" w:rsidRPr="00A25945" w:rsidRDefault="00F10676" w:rsidP="00BF7D37">
      <w:pPr>
        <w:pStyle w:val="ListParagraph"/>
        <w:numPr>
          <w:ilvl w:val="0"/>
          <w:numId w:val="7"/>
        </w:numPr>
        <w:spacing w:after="120" w:line="264" w:lineRule="auto"/>
      </w:pPr>
      <w:r>
        <w:t xml:space="preserve">ensure </w:t>
      </w:r>
      <w:r w:rsidRPr="00A25945">
        <w:t>pat</w:t>
      </w:r>
      <w:r>
        <w:t xml:space="preserve">ients and carers are </w:t>
      </w:r>
      <w:r w:rsidRPr="00A25945">
        <w:t>involve</w:t>
      </w:r>
      <w:r>
        <w:t>d</w:t>
      </w:r>
      <w:r w:rsidRPr="00A25945">
        <w:t xml:space="preserve"> </w:t>
      </w:r>
      <w:r>
        <w:t>in developing information and local resources</w:t>
      </w:r>
    </w:p>
    <w:p w:rsidR="00615A09" w:rsidRDefault="00615A09" w:rsidP="00BF7D37">
      <w:pPr>
        <w:pStyle w:val="ListParagraph"/>
        <w:numPr>
          <w:ilvl w:val="0"/>
          <w:numId w:val="7"/>
        </w:numPr>
        <w:spacing w:after="120" w:line="264" w:lineRule="auto"/>
      </w:pPr>
      <w:r>
        <w:t>e</w:t>
      </w:r>
      <w:r w:rsidRPr="00A25945">
        <w:t>nsure that the information is current, and that cli</w:t>
      </w:r>
      <w:r>
        <w:t>nicians have ready access to it</w:t>
      </w:r>
      <w:r w:rsidRPr="00A25945">
        <w:t xml:space="preserve"> </w:t>
      </w:r>
    </w:p>
    <w:p w:rsidR="00F10676" w:rsidRPr="00615A09" w:rsidRDefault="00F10676" w:rsidP="00BF7D37">
      <w:pPr>
        <w:pStyle w:val="ListParagraph"/>
        <w:numPr>
          <w:ilvl w:val="0"/>
          <w:numId w:val="7"/>
        </w:numPr>
        <w:spacing w:after="120" w:line="264" w:lineRule="auto"/>
      </w:pPr>
      <w:r w:rsidRPr="00615A09">
        <w:t xml:space="preserve">provide information </w:t>
      </w:r>
      <w:r w:rsidRPr="00A25945">
        <w:t xml:space="preserve">in a format that is </w:t>
      </w:r>
      <w:r>
        <w:t xml:space="preserve">easy to understand and </w:t>
      </w:r>
      <w:r w:rsidR="007E26CD">
        <w:t>able to be adapted to local needs</w:t>
      </w:r>
      <w:r>
        <w:t xml:space="preserve"> and level of health literacy</w:t>
      </w:r>
      <w:r w:rsidRPr="00615A09">
        <w:t xml:space="preserve"> </w:t>
      </w:r>
    </w:p>
    <w:p w:rsidR="00615A09" w:rsidRDefault="00423C84" w:rsidP="00BF7D37">
      <w:pPr>
        <w:pStyle w:val="ListParagraph"/>
        <w:numPr>
          <w:ilvl w:val="0"/>
          <w:numId w:val="7"/>
        </w:numPr>
        <w:spacing w:after="120" w:line="264" w:lineRule="auto"/>
      </w:pPr>
      <w:r>
        <w:t>s</w:t>
      </w:r>
      <w:r w:rsidR="009E3D41" w:rsidRPr="00A25945">
        <w:t xml:space="preserve">eek feedback from patients </w:t>
      </w:r>
      <w:r w:rsidR="007E26CD">
        <w:t xml:space="preserve">, health professional and health service organisations </w:t>
      </w:r>
      <w:r w:rsidR="009E3D41" w:rsidRPr="00A25945">
        <w:t xml:space="preserve">about the information provided using surveys or informal discussions, and make changes to ensure </w:t>
      </w:r>
      <w:r w:rsidR="00615A09">
        <w:t>it is understood and meaningful</w:t>
      </w:r>
    </w:p>
    <w:p w:rsidR="003A3606" w:rsidRDefault="00EF2E90" w:rsidP="00F10676">
      <w:pPr>
        <w:spacing w:after="120" w:line="264" w:lineRule="auto"/>
      </w:pPr>
      <w:r>
        <w:t>H</w:t>
      </w:r>
      <w:r w:rsidRPr="00EF2E90">
        <w:t>ealth service organisation</w:t>
      </w:r>
      <w:r>
        <w:t>s should</w:t>
      </w:r>
      <w:r w:rsidRPr="00EF2E90">
        <w:t xml:space="preserve"> </w:t>
      </w:r>
      <w:r>
        <w:t>e</w:t>
      </w:r>
      <w:r w:rsidRPr="00B061E7">
        <w:t xml:space="preserve">stablish effective systems to support </w:t>
      </w:r>
      <w:r>
        <w:t>clinician</w:t>
      </w:r>
      <w:r w:rsidRPr="00B061E7">
        <w:t xml:space="preserve">s to communicate with </w:t>
      </w:r>
      <w:r w:rsidR="00870750">
        <w:t>patients and carers</w:t>
      </w:r>
      <w:r>
        <w:t xml:space="preserve">. </w:t>
      </w:r>
      <w:r w:rsidRPr="00F10676">
        <w:rPr>
          <w:bCs/>
        </w:rPr>
        <w:t>Conversation</w:t>
      </w:r>
      <w:r w:rsidR="00513E17">
        <w:rPr>
          <w:bCs/>
        </w:rPr>
        <w:t>s</w:t>
      </w:r>
      <w:r w:rsidRPr="00F10676">
        <w:rPr>
          <w:bCs/>
        </w:rPr>
        <w:t xml:space="preserve"> should consider the patient</w:t>
      </w:r>
      <w:r w:rsidR="00513E17">
        <w:rPr>
          <w:bCs/>
        </w:rPr>
        <w:t>’</w:t>
      </w:r>
      <w:r w:rsidRPr="00F10676">
        <w:rPr>
          <w:bCs/>
        </w:rPr>
        <w:t xml:space="preserve">s values and preferences and </w:t>
      </w:r>
      <w:r w:rsidR="00513E17">
        <w:rPr>
          <w:bCs/>
        </w:rPr>
        <w:t xml:space="preserve">include </w:t>
      </w:r>
      <w:r w:rsidRPr="00F10676">
        <w:rPr>
          <w:bCs/>
        </w:rPr>
        <w:t xml:space="preserve">an </w:t>
      </w:r>
      <w:r w:rsidRPr="00AA3579">
        <w:t>appropriate informed consent process</w:t>
      </w:r>
      <w:r>
        <w:t>.</w:t>
      </w:r>
    </w:p>
    <w:p w:rsidR="003A3606" w:rsidRDefault="003A3606">
      <w:pPr>
        <w:spacing w:line="276" w:lineRule="auto"/>
      </w:pPr>
      <w:r>
        <w:br w:type="page"/>
      </w:r>
    </w:p>
    <w:p w:rsidR="00CD3678" w:rsidRPr="00E95362" w:rsidRDefault="00CD3678" w:rsidP="007F5DBA">
      <w:pPr>
        <w:pStyle w:val="Heading3"/>
      </w:pPr>
      <w:bookmarkStart w:id="6" w:name="_Toc485589879"/>
      <w:r w:rsidRPr="007F5DBA">
        <w:lastRenderedPageBreak/>
        <w:t>Objectives</w:t>
      </w:r>
      <w:bookmarkEnd w:id="6"/>
      <w:r w:rsidRPr="00E95362">
        <w:t xml:space="preserve"> </w:t>
      </w:r>
    </w:p>
    <w:p w:rsidR="00CD3678" w:rsidRDefault="00CD3678" w:rsidP="00CD3678">
      <w:pPr>
        <w:rPr>
          <w:rStyle w:val="IntenseReference"/>
          <w:b w:val="0"/>
          <w:i w:val="0"/>
          <w:smallCaps w:val="0"/>
          <w:color w:val="auto"/>
          <w:spacing w:val="0"/>
        </w:rPr>
      </w:pPr>
      <w:r>
        <w:rPr>
          <w:rStyle w:val="IntenseReference"/>
          <w:b w:val="0"/>
          <w:i w:val="0"/>
          <w:smallCaps w:val="0"/>
          <w:color w:val="auto"/>
          <w:spacing w:val="0"/>
        </w:rPr>
        <w:t>The objectives of the national strategy</w:t>
      </w:r>
      <w:r w:rsidR="001A1E43">
        <w:rPr>
          <w:rStyle w:val="IntenseReference"/>
          <w:b w:val="0"/>
          <w:i w:val="0"/>
          <w:smallCaps w:val="0"/>
          <w:color w:val="auto"/>
          <w:spacing w:val="0"/>
        </w:rPr>
        <w:t xml:space="preserve"> are to</w:t>
      </w:r>
      <w:r w:rsidR="00115937">
        <w:rPr>
          <w:rStyle w:val="IntenseReference"/>
          <w:b w:val="0"/>
          <w:i w:val="0"/>
          <w:smallCaps w:val="0"/>
          <w:color w:val="auto"/>
          <w:spacing w:val="0"/>
        </w:rPr>
        <w:t>:</w:t>
      </w:r>
    </w:p>
    <w:p w:rsidR="004B021A" w:rsidRPr="00305BCD" w:rsidRDefault="002F5185" w:rsidP="00C70C23">
      <w:pPr>
        <w:pStyle w:val="ListParagraph"/>
        <w:numPr>
          <w:ilvl w:val="0"/>
          <w:numId w:val="4"/>
        </w:numPr>
        <w:spacing w:after="240"/>
        <w:ind w:left="709" w:hanging="357"/>
        <w:rPr>
          <w:rStyle w:val="IntenseReference"/>
          <w:b w:val="0"/>
          <w:bCs w:val="0"/>
          <w:i w:val="0"/>
          <w:smallCaps w:val="0"/>
          <w:color w:val="auto"/>
          <w:spacing w:val="0"/>
        </w:rPr>
      </w:pPr>
      <w:r w:rsidRPr="004B021A">
        <w:rPr>
          <w:rStyle w:val="IntenseReference"/>
          <w:b w:val="0"/>
          <w:i w:val="0"/>
          <w:smallCaps w:val="0"/>
          <w:color w:val="auto"/>
          <w:spacing w:val="0"/>
        </w:rPr>
        <w:t>I</w:t>
      </w:r>
      <w:r w:rsidR="006B2768" w:rsidRPr="004B021A">
        <w:rPr>
          <w:rStyle w:val="IntenseReference"/>
          <w:b w:val="0"/>
          <w:i w:val="0"/>
          <w:smallCaps w:val="0"/>
          <w:color w:val="auto"/>
          <w:spacing w:val="0"/>
        </w:rPr>
        <w:t>ncrease awareness</w:t>
      </w:r>
      <w:r w:rsidR="000739AC" w:rsidRPr="004B021A">
        <w:rPr>
          <w:rStyle w:val="IntenseReference"/>
          <w:b w:val="0"/>
          <w:i w:val="0"/>
          <w:smallCaps w:val="0"/>
          <w:color w:val="auto"/>
          <w:spacing w:val="0"/>
        </w:rPr>
        <w:t xml:space="preserve"> and understanding of </w:t>
      </w:r>
      <w:r w:rsidR="00696976">
        <w:rPr>
          <w:rStyle w:val="IntenseReference"/>
          <w:b w:val="0"/>
          <w:i w:val="0"/>
          <w:smallCaps w:val="0"/>
          <w:color w:val="auto"/>
          <w:spacing w:val="0"/>
        </w:rPr>
        <w:t>PBM</w:t>
      </w:r>
      <w:r w:rsidR="006B2768" w:rsidRPr="004B021A">
        <w:rPr>
          <w:rStyle w:val="IntenseReference"/>
          <w:b w:val="0"/>
          <w:i w:val="0"/>
          <w:smallCaps w:val="0"/>
          <w:color w:val="auto"/>
          <w:spacing w:val="0"/>
        </w:rPr>
        <w:t xml:space="preserve"> by engaging </w:t>
      </w:r>
      <w:r w:rsidR="00A37141" w:rsidRPr="004B021A">
        <w:rPr>
          <w:rStyle w:val="IntenseReference"/>
          <w:b w:val="0"/>
          <w:i w:val="0"/>
          <w:smallCaps w:val="0"/>
          <w:color w:val="auto"/>
          <w:spacing w:val="0"/>
        </w:rPr>
        <w:t xml:space="preserve">with </w:t>
      </w:r>
      <w:r w:rsidR="00722E02">
        <w:rPr>
          <w:rStyle w:val="IntenseReference"/>
          <w:b w:val="0"/>
          <w:i w:val="0"/>
          <w:smallCaps w:val="0"/>
          <w:color w:val="auto"/>
          <w:spacing w:val="0"/>
        </w:rPr>
        <w:t>p</w:t>
      </w:r>
      <w:r w:rsidR="00A37141" w:rsidRPr="004B021A">
        <w:rPr>
          <w:rStyle w:val="IntenseReference"/>
          <w:b w:val="0"/>
          <w:i w:val="0"/>
          <w:smallCaps w:val="0"/>
          <w:color w:val="auto"/>
          <w:spacing w:val="0"/>
        </w:rPr>
        <w:t>atients</w:t>
      </w:r>
      <w:r w:rsidR="008A7FB4" w:rsidRPr="004B021A">
        <w:rPr>
          <w:rStyle w:val="IntenseReference"/>
          <w:b w:val="0"/>
          <w:i w:val="0"/>
          <w:smallCaps w:val="0"/>
          <w:color w:val="auto"/>
          <w:spacing w:val="0"/>
        </w:rPr>
        <w:t>,</w:t>
      </w:r>
      <w:r w:rsidR="00A37141" w:rsidRPr="004B021A">
        <w:rPr>
          <w:rStyle w:val="IntenseReference"/>
          <w:b w:val="0"/>
          <w:i w:val="0"/>
          <w:smallCaps w:val="0"/>
          <w:color w:val="auto"/>
          <w:spacing w:val="0"/>
        </w:rPr>
        <w:t xml:space="preserve"> </w:t>
      </w:r>
      <w:r w:rsidR="00722E02">
        <w:rPr>
          <w:rStyle w:val="IntenseReference"/>
          <w:b w:val="0"/>
          <w:i w:val="0"/>
          <w:smallCaps w:val="0"/>
          <w:color w:val="auto"/>
          <w:spacing w:val="0"/>
        </w:rPr>
        <w:t>c</w:t>
      </w:r>
      <w:r w:rsidR="00A37141" w:rsidRPr="004B021A">
        <w:rPr>
          <w:rStyle w:val="IntenseReference"/>
          <w:b w:val="0"/>
          <w:i w:val="0"/>
          <w:smallCaps w:val="0"/>
          <w:color w:val="auto"/>
          <w:spacing w:val="0"/>
        </w:rPr>
        <w:t xml:space="preserve">onsumers and </w:t>
      </w:r>
      <w:r w:rsidR="00722E02">
        <w:rPr>
          <w:rStyle w:val="IntenseReference"/>
          <w:b w:val="0"/>
          <w:i w:val="0"/>
          <w:smallCaps w:val="0"/>
          <w:color w:val="auto"/>
          <w:spacing w:val="0"/>
        </w:rPr>
        <w:t>h</w:t>
      </w:r>
      <w:r w:rsidR="00A37141" w:rsidRPr="004B021A">
        <w:rPr>
          <w:rStyle w:val="IntenseReference"/>
          <w:b w:val="0"/>
          <w:i w:val="0"/>
          <w:smallCaps w:val="0"/>
          <w:color w:val="auto"/>
          <w:spacing w:val="0"/>
        </w:rPr>
        <w:t xml:space="preserve">ealthcare </w:t>
      </w:r>
      <w:r w:rsidR="00722E02">
        <w:rPr>
          <w:rStyle w:val="IntenseReference"/>
          <w:b w:val="0"/>
          <w:i w:val="0"/>
          <w:smallCaps w:val="0"/>
          <w:color w:val="auto"/>
          <w:spacing w:val="0"/>
        </w:rPr>
        <w:t>p</w:t>
      </w:r>
      <w:r w:rsidR="00A37141" w:rsidRPr="004B021A">
        <w:rPr>
          <w:rStyle w:val="IntenseReference"/>
          <w:b w:val="0"/>
          <w:i w:val="0"/>
          <w:smallCaps w:val="0"/>
          <w:color w:val="auto"/>
          <w:spacing w:val="0"/>
        </w:rPr>
        <w:t>rofessionals</w:t>
      </w:r>
      <w:r w:rsidR="006B2768" w:rsidRPr="00305BCD">
        <w:rPr>
          <w:rStyle w:val="IntenseReference"/>
          <w:b w:val="0"/>
          <w:i w:val="0"/>
          <w:smallCaps w:val="0"/>
          <w:color w:val="auto"/>
          <w:spacing w:val="0"/>
        </w:rPr>
        <w:t xml:space="preserve"> through effective communication, education and training</w:t>
      </w:r>
    </w:p>
    <w:p w:rsidR="004B021A" w:rsidRDefault="004B021A" w:rsidP="00C70C23">
      <w:pPr>
        <w:pStyle w:val="ListParagraph"/>
        <w:numPr>
          <w:ilvl w:val="0"/>
          <w:numId w:val="4"/>
        </w:numPr>
        <w:spacing w:after="240"/>
        <w:ind w:left="709" w:hanging="357"/>
      </w:pPr>
      <w:r>
        <w:t>Consolidate</w:t>
      </w:r>
      <w:r w:rsidR="00E56002">
        <w:t xml:space="preserve">, review </w:t>
      </w:r>
      <w:r>
        <w:t xml:space="preserve">and evaluate existing activities for </w:t>
      </w:r>
      <w:r w:rsidR="00696976">
        <w:t>PBM</w:t>
      </w:r>
      <w:r w:rsidR="007345EB">
        <w:t xml:space="preserve"> to identify gaps in knowledge and care</w:t>
      </w:r>
    </w:p>
    <w:p w:rsidR="00305BCD" w:rsidRDefault="000739AC" w:rsidP="00C70C23">
      <w:pPr>
        <w:pStyle w:val="ListParagraph"/>
        <w:numPr>
          <w:ilvl w:val="0"/>
          <w:numId w:val="4"/>
        </w:numPr>
        <w:spacing w:after="240"/>
        <w:ind w:left="709" w:hanging="357"/>
      </w:pPr>
      <w:r>
        <w:t xml:space="preserve">Implement effective </w:t>
      </w:r>
      <w:r w:rsidR="00696976">
        <w:t>PBM</w:t>
      </w:r>
      <w:r>
        <w:t xml:space="preserve"> practices through consultation and collaboration across healthcare settings </w:t>
      </w:r>
      <w:r w:rsidR="003A2C53">
        <w:t xml:space="preserve">to </w:t>
      </w:r>
      <w:r>
        <w:t xml:space="preserve">ensure </w:t>
      </w:r>
      <w:r w:rsidR="003A2C53">
        <w:t xml:space="preserve">appropriate </w:t>
      </w:r>
      <w:r>
        <w:t xml:space="preserve">prescribing, authorising, dispensing and administration of blood and blood </w:t>
      </w:r>
      <w:r w:rsidR="003A2C53">
        <w:t>p</w:t>
      </w:r>
      <w:r>
        <w:t>roducts</w:t>
      </w:r>
    </w:p>
    <w:p w:rsidR="006B2768" w:rsidRDefault="007E26CD" w:rsidP="00C70C23">
      <w:pPr>
        <w:pStyle w:val="ListParagraph"/>
        <w:numPr>
          <w:ilvl w:val="0"/>
          <w:numId w:val="4"/>
        </w:numPr>
        <w:spacing w:after="240"/>
        <w:ind w:left="709" w:hanging="357"/>
      </w:pPr>
      <w:r>
        <w:t>Implement e</w:t>
      </w:r>
      <w:r w:rsidR="00115937">
        <w:t xml:space="preserve">ffective </w:t>
      </w:r>
      <w:r w:rsidR="00305BCD">
        <w:t>systems and processes for appropriate prescribing, authorising, dispensing and administration</w:t>
      </w:r>
      <w:r w:rsidR="00115937">
        <w:t xml:space="preserve"> are in place</w:t>
      </w:r>
    </w:p>
    <w:p w:rsidR="007F294A" w:rsidRDefault="007F294A" w:rsidP="00C70C23">
      <w:pPr>
        <w:pStyle w:val="ListParagraph"/>
        <w:numPr>
          <w:ilvl w:val="0"/>
          <w:numId w:val="4"/>
        </w:numPr>
        <w:spacing w:after="240"/>
        <w:ind w:left="709" w:hanging="357"/>
      </w:pPr>
      <w:r>
        <w:t xml:space="preserve">Improve national reporting on adverse events to reduce </w:t>
      </w:r>
      <w:r w:rsidR="00F76FEA">
        <w:t xml:space="preserve">the </w:t>
      </w:r>
      <w:r>
        <w:t>number of transfusion related complications</w:t>
      </w:r>
      <w:r w:rsidR="00E56002">
        <w:t xml:space="preserve"> and improve patient safety</w:t>
      </w:r>
    </w:p>
    <w:p w:rsidR="005E1576" w:rsidRDefault="00115937" w:rsidP="00C70C23">
      <w:pPr>
        <w:pStyle w:val="ListParagraph"/>
        <w:numPr>
          <w:ilvl w:val="0"/>
          <w:numId w:val="4"/>
        </w:numPr>
        <w:spacing w:after="240"/>
        <w:ind w:left="709" w:hanging="357"/>
      </w:pPr>
      <w:r>
        <w:t>Implement</w:t>
      </w:r>
      <w:r w:rsidR="003A2C53">
        <w:t xml:space="preserve"> nationally coordinated measures and outcomes for</w:t>
      </w:r>
      <w:r w:rsidR="004042F8">
        <w:t xml:space="preserve"> </w:t>
      </w:r>
      <w:r w:rsidR="00696976">
        <w:t>PBM</w:t>
      </w:r>
    </w:p>
    <w:p w:rsidR="008A7FB4" w:rsidRDefault="008A7FB4" w:rsidP="00C70C23">
      <w:pPr>
        <w:pStyle w:val="ListParagraph"/>
        <w:numPr>
          <w:ilvl w:val="0"/>
          <w:numId w:val="4"/>
        </w:numPr>
        <w:spacing w:after="240"/>
        <w:ind w:left="709" w:hanging="357"/>
      </w:pPr>
      <w:r>
        <w:t xml:space="preserve">Reduce variation </w:t>
      </w:r>
      <w:r w:rsidR="00392B76">
        <w:t xml:space="preserve">in clinical </w:t>
      </w:r>
      <w:r>
        <w:t>practice through benchmarking and reporting</w:t>
      </w:r>
    </w:p>
    <w:p w:rsidR="00407358" w:rsidRDefault="002F5185" w:rsidP="00C70C23">
      <w:pPr>
        <w:pStyle w:val="ListParagraph"/>
        <w:numPr>
          <w:ilvl w:val="0"/>
          <w:numId w:val="4"/>
        </w:numPr>
        <w:spacing w:after="240"/>
        <w:ind w:left="709" w:hanging="357"/>
      </w:pPr>
      <w:r>
        <w:t>Agree a national research agenda</w:t>
      </w:r>
      <w:r w:rsidR="00305BCD">
        <w:t xml:space="preserve"> for </w:t>
      </w:r>
      <w:r w:rsidR="00696976">
        <w:t>PBM</w:t>
      </w:r>
    </w:p>
    <w:p w:rsidR="00407358" w:rsidRDefault="00407358" w:rsidP="00C70C23">
      <w:pPr>
        <w:pStyle w:val="ListParagraph"/>
        <w:numPr>
          <w:ilvl w:val="0"/>
          <w:numId w:val="4"/>
        </w:numPr>
        <w:spacing w:after="240"/>
        <w:ind w:left="709" w:hanging="357"/>
      </w:pPr>
      <w:r>
        <w:t xml:space="preserve">Facilitate the development of frameworks to support </w:t>
      </w:r>
      <w:r w:rsidR="007F294A">
        <w:t xml:space="preserve">the </w:t>
      </w:r>
      <w:r>
        <w:t>sustainability</w:t>
      </w:r>
      <w:r w:rsidR="007F294A">
        <w:t xml:space="preserve"> of </w:t>
      </w:r>
      <w:r w:rsidR="00696976">
        <w:t>PBM</w:t>
      </w:r>
      <w:r w:rsidR="00115937">
        <w:t xml:space="preserve"> initiatives</w:t>
      </w:r>
    </w:p>
    <w:p w:rsidR="00407358" w:rsidRDefault="00696976" w:rsidP="00C70C23">
      <w:pPr>
        <w:pStyle w:val="ListParagraph"/>
        <w:numPr>
          <w:ilvl w:val="0"/>
          <w:numId w:val="4"/>
        </w:numPr>
        <w:spacing w:after="240"/>
        <w:ind w:left="709" w:hanging="357"/>
      </w:pPr>
      <w:r>
        <w:t xml:space="preserve">Make it simple for health service organisations to access </w:t>
      </w:r>
      <w:r w:rsidR="00FC0D99">
        <w:t xml:space="preserve">reference documents </w:t>
      </w:r>
      <w:r>
        <w:t>for PBM</w:t>
      </w:r>
    </w:p>
    <w:p w:rsidR="004A7723" w:rsidRDefault="00343236" w:rsidP="007F5DBA">
      <w:pPr>
        <w:pStyle w:val="Heading3"/>
      </w:pPr>
      <w:bookmarkStart w:id="7" w:name="_Toc485589880"/>
      <w:r>
        <w:t>P</w:t>
      </w:r>
      <w:r w:rsidR="00F2569F">
        <w:t xml:space="preserve">artners in </w:t>
      </w:r>
      <w:r w:rsidR="00F2569F" w:rsidRPr="007F5DBA">
        <w:t>Patient</w:t>
      </w:r>
      <w:r w:rsidR="00F2569F">
        <w:t xml:space="preserve"> Blood Ma</w:t>
      </w:r>
      <w:r>
        <w:t>n</w:t>
      </w:r>
      <w:r w:rsidR="00F2569F">
        <w:t>a</w:t>
      </w:r>
      <w:r>
        <w:t>gement</w:t>
      </w:r>
      <w:bookmarkEnd w:id="7"/>
    </w:p>
    <w:p w:rsidR="0023294F" w:rsidRDefault="0023294F" w:rsidP="0023294F">
      <w:r>
        <w:t xml:space="preserve">The </w:t>
      </w:r>
      <w:r w:rsidR="00FF5AFE">
        <w:t>National Blood Authority (</w:t>
      </w:r>
      <w:r>
        <w:t>NBA</w:t>
      </w:r>
      <w:r w:rsidR="00FF5AFE">
        <w:t>)</w:t>
      </w:r>
      <w:r>
        <w:t xml:space="preserve"> will consider a number of stakeholders in the health sector as partners in delivering PBM including </w:t>
      </w:r>
      <w:r w:rsidR="00F76FEA">
        <w:t>p</w:t>
      </w:r>
      <w:r>
        <w:t xml:space="preserve">rimary </w:t>
      </w:r>
      <w:r w:rsidR="00F76FEA">
        <w:t>h</w:t>
      </w:r>
      <w:r>
        <w:t xml:space="preserve">ealth </w:t>
      </w:r>
      <w:r w:rsidR="00F76FEA">
        <w:t>n</w:t>
      </w:r>
      <w:r>
        <w:t xml:space="preserve">etworks, the Health Roundtable, </w:t>
      </w:r>
      <w:r w:rsidR="007E26CD">
        <w:t>Australian &amp; New Zealand Society of Blood Transfusions Ltd (</w:t>
      </w:r>
      <w:r>
        <w:t>ANZSBT</w:t>
      </w:r>
      <w:r w:rsidR="007E26CD">
        <w:t>)</w:t>
      </w:r>
      <w:r w:rsidR="00037901">
        <w:t>, Australian College of Rural and Remote</w:t>
      </w:r>
      <w:r>
        <w:t xml:space="preserve"> </w:t>
      </w:r>
      <w:r w:rsidR="00037901">
        <w:t xml:space="preserve">Medicine(ACCRM)  </w:t>
      </w:r>
      <w:r>
        <w:t xml:space="preserve">and other relevant </w:t>
      </w:r>
      <w:r w:rsidR="00F76FEA">
        <w:t>c</w:t>
      </w:r>
      <w:r>
        <w:t xml:space="preserve">olleges and </w:t>
      </w:r>
      <w:r w:rsidR="00F76FEA">
        <w:t>s</w:t>
      </w:r>
      <w:r>
        <w:t xml:space="preserve">ocieties, </w:t>
      </w:r>
      <w:r w:rsidR="00F76FEA">
        <w:t>c</w:t>
      </w:r>
      <w:r>
        <w:t xml:space="preserve">onsumer organisations, </w:t>
      </w:r>
      <w:r w:rsidR="00F76FEA">
        <w:t>p</w:t>
      </w:r>
      <w:r>
        <w:t xml:space="preserve">rivate health </w:t>
      </w:r>
      <w:r w:rsidR="009A6550">
        <w:t>service organisations</w:t>
      </w:r>
      <w:r>
        <w:t xml:space="preserve">, </w:t>
      </w:r>
      <w:r w:rsidR="00315E8E">
        <w:t xml:space="preserve">and </w:t>
      </w:r>
      <w:r w:rsidR="00F76FEA">
        <w:t>g</w:t>
      </w:r>
      <w:r>
        <w:t xml:space="preserve">eneral </w:t>
      </w:r>
      <w:r w:rsidR="00F76FEA">
        <w:t>p</w:t>
      </w:r>
      <w:r>
        <w:t xml:space="preserve">ractitioners. Opportunities to partner with national campaigns such as those by NPS MedicineWise and Choosing Wisely will also be considered. </w:t>
      </w:r>
    </w:p>
    <w:p w:rsidR="00060D12" w:rsidRDefault="0023294F" w:rsidP="00060D12">
      <w:r>
        <w:t>More broadly, k</w:t>
      </w:r>
      <w:r w:rsidR="00060D12">
        <w:t>ey partners could include</w:t>
      </w:r>
      <w:r>
        <w:t>:</w:t>
      </w:r>
      <w:r w:rsidR="00060D12">
        <w:t xml:space="preserve"> </w:t>
      </w:r>
    </w:p>
    <w:p w:rsidR="00060D12" w:rsidRDefault="00F76FEA" w:rsidP="00BF7D37">
      <w:pPr>
        <w:pStyle w:val="ListParagraph"/>
        <w:numPr>
          <w:ilvl w:val="0"/>
          <w:numId w:val="2"/>
        </w:numPr>
      </w:pPr>
      <w:r>
        <w:t>t</w:t>
      </w:r>
      <w:r w:rsidR="00060D12">
        <w:t xml:space="preserve">hose who </w:t>
      </w:r>
      <w:r w:rsidR="007A23FE">
        <w:t xml:space="preserve">assist people in learning more about </w:t>
      </w:r>
      <w:r w:rsidR="00696976">
        <w:t>PBM</w:t>
      </w:r>
      <w:r w:rsidR="00A02A05">
        <w:t xml:space="preserve"> (</w:t>
      </w:r>
      <w:r w:rsidR="00060D12">
        <w:t>information about the importance of a patient</w:t>
      </w:r>
      <w:r w:rsidR="00A02A05">
        <w:t>’</w:t>
      </w:r>
      <w:r w:rsidR="00060D12">
        <w:t>s own b</w:t>
      </w:r>
      <w:r w:rsidR="00A02A05">
        <w:t>lood)</w:t>
      </w:r>
    </w:p>
    <w:p w:rsidR="00343236" w:rsidRDefault="00F76FEA" w:rsidP="00BF7D37">
      <w:pPr>
        <w:pStyle w:val="ListParagraph"/>
        <w:numPr>
          <w:ilvl w:val="0"/>
          <w:numId w:val="2"/>
        </w:numPr>
      </w:pPr>
      <w:r>
        <w:t>t</w:t>
      </w:r>
      <w:r w:rsidR="00343236">
        <w:t xml:space="preserve">hose who </w:t>
      </w:r>
      <w:r w:rsidR="00F2569F">
        <w:t xml:space="preserve">may </w:t>
      </w:r>
      <w:r w:rsidR="00343236">
        <w:t>need blood and blood products</w:t>
      </w:r>
    </w:p>
    <w:p w:rsidR="00060D12" w:rsidRDefault="00F76FEA" w:rsidP="00BF7D37">
      <w:pPr>
        <w:pStyle w:val="ListParagraph"/>
        <w:numPr>
          <w:ilvl w:val="0"/>
          <w:numId w:val="2"/>
        </w:numPr>
      </w:pPr>
      <w:r>
        <w:t>t</w:t>
      </w:r>
      <w:r w:rsidR="00060D12">
        <w:t xml:space="preserve">hose who provide </w:t>
      </w:r>
      <w:r w:rsidR="007A23FE">
        <w:t xml:space="preserve">health </w:t>
      </w:r>
      <w:r w:rsidR="00060D12">
        <w:t>services</w:t>
      </w:r>
      <w:r w:rsidR="00A02A05">
        <w:t xml:space="preserve"> (public and private)</w:t>
      </w:r>
      <w:r w:rsidR="00060D12">
        <w:t xml:space="preserve"> for</w:t>
      </w:r>
      <w:r w:rsidR="007A23FE">
        <w:t xml:space="preserve"> </w:t>
      </w:r>
      <w:r w:rsidR="00060D12">
        <w:t>p</w:t>
      </w:r>
      <w:r w:rsidR="00A02A05">
        <w:t>eople who may need blood and blood p</w:t>
      </w:r>
      <w:r w:rsidR="00060D12">
        <w:t>roducts</w:t>
      </w:r>
    </w:p>
    <w:p w:rsidR="00A02A05" w:rsidRDefault="00F76FEA" w:rsidP="00BF7D37">
      <w:pPr>
        <w:pStyle w:val="ListParagraph"/>
        <w:numPr>
          <w:ilvl w:val="0"/>
          <w:numId w:val="2"/>
        </w:numPr>
      </w:pPr>
      <w:r>
        <w:t>t</w:t>
      </w:r>
      <w:r w:rsidR="00A02A05">
        <w:t>hose who prescribe blood and blood products</w:t>
      </w:r>
    </w:p>
    <w:p w:rsidR="007A23FE" w:rsidRDefault="00F76FEA" w:rsidP="00BF7D37">
      <w:pPr>
        <w:pStyle w:val="ListParagraph"/>
        <w:numPr>
          <w:ilvl w:val="0"/>
          <w:numId w:val="2"/>
        </w:numPr>
      </w:pPr>
      <w:r>
        <w:t>t</w:t>
      </w:r>
      <w:r w:rsidR="007A23FE">
        <w:t xml:space="preserve">hose who </w:t>
      </w:r>
      <w:r w:rsidR="00A02A05">
        <w:t xml:space="preserve">produce, </w:t>
      </w:r>
      <w:r w:rsidR="007A23FE">
        <w:t>report</w:t>
      </w:r>
      <w:r w:rsidR="00A02A05">
        <w:t xml:space="preserve"> and publish information about blood and blood products</w:t>
      </w:r>
    </w:p>
    <w:p w:rsidR="007A23FE" w:rsidRDefault="00F76FEA" w:rsidP="00BF7D37">
      <w:pPr>
        <w:pStyle w:val="ListParagraph"/>
        <w:numPr>
          <w:ilvl w:val="0"/>
          <w:numId w:val="2"/>
        </w:numPr>
      </w:pPr>
      <w:r>
        <w:t>t</w:t>
      </w:r>
      <w:r w:rsidR="007A23FE">
        <w:t>hose who manufacture</w:t>
      </w:r>
      <w:r>
        <w:t>,</w:t>
      </w:r>
      <w:r w:rsidR="007A23FE">
        <w:t xml:space="preserve"> market and distribute</w:t>
      </w:r>
      <w:r w:rsidR="00703178">
        <w:t xml:space="preserve"> blood and blood products</w:t>
      </w:r>
    </w:p>
    <w:p w:rsidR="007A23FE" w:rsidRDefault="00F76FEA" w:rsidP="00E11E6B">
      <w:pPr>
        <w:pStyle w:val="ListParagraph"/>
        <w:numPr>
          <w:ilvl w:val="0"/>
          <w:numId w:val="2"/>
        </w:numPr>
        <w:spacing w:line="276" w:lineRule="auto"/>
      </w:pPr>
      <w:r>
        <w:t>l</w:t>
      </w:r>
      <w:r w:rsidR="00BA7365">
        <w:t xml:space="preserve">ocal, </w:t>
      </w:r>
      <w:r>
        <w:t>s</w:t>
      </w:r>
      <w:r w:rsidR="00BA7365">
        <w:t>tate/</w:t>
      </w:r>
      <w:r>
        <w:t>t</w:t>
      </w:r>
      <w:r w:rsidR="00BA7365">
        <w:t xml:space="preserve">erritory and </w:t>
      </w:r>
      <w:r>
        <w:t>f</w:t>
      </w:r>
      <w:r w:rsidR="00BA7365">
        <w:t>ederal g</w:t>
      </w:r>
      <w:r w:rsidR="007A23FE">
        <w:t>overnments</w:t>
      </w:r>
      <w:r w:rsidR="003A3606">
        <w:br w:type="page"/>
      </w:r>
    </w:p>
    <w:p w:rsidR="004A7723" w:rsidRDefault="00343236" w:rsidP="007F5DBA">
      <w:pPr>
        <w:pStyle w:val="Heading3"/>
      </w:pPr>
      <w:bookmarkStart w:id="8" w:name="_Toc485589881"/>
      <w:r>
        <w:lastRenderedPageBreak/>
        <w:t xml:space="preserve">Supporting </w:t>
      </w:r>
      <w:r w:rsidR="002B5737" w:rsidRPr="007F5DBA">
        <w:t>Activities</w:t>
      </w:r>
      <w:r w:rsidR="002B5737">
        <w:t xml:space="preserve"> for</w:t>
      </w:r>
      <w:r w:rsidR="00E816AF">
        <w:t xml:space="preserve"> </w:t>
      </w:r>
      <w:r>
        <w:t>Patient Blood Management</w:t>
      </w:r>
      <w:bookmarkEnd w:id="8"/>
    </w:p>
    <w:p w:rsidR="00FF5AFE" w:rsidRDefault="00FF5AFE" w:rsidP="00FF5AFE">
      <w:r>
        <w:t xml:space="preserve">The </w:t>
      </w:r>
      <w:r w:rsidR="007345EB" w:rsidRPr="007345EB">
        <w:t xml:space="preserve">over-arching coordination of all strategic activities </w:t>
      </w:r>
      <w:r>
        <w:t xml:space="preserve">and development and adoption of national reference tools will be guided by the PBM Steering Committee, consisting of </w:t>
      </w:r>
      <w:r w:rsidR="00F76FEA">
        <w:t>j</w:t>
      </w:r>
      <w:r>
        <w:t xml:space="preserve">urisdictional and relevant experts drawn from across the sector. </w:t>
      </w:r>
    </w:p>
    <w:p w:rsidR="00FF5AFE" w:rsidRDefault="00FF5AFE" w:rsidP="00FF5AFE">
      <w:r>
        <w:t xml:space="preserve">There are a number of existing activities </w:t>
      </w:r>
      <w:r w:rsidR="00471566">
        <w:t xml:space="preserve">that have been </w:t>
      </w:r>
      <w:r>
        <w:t xml:space="preserve">rolled over from </w:t>
      </w:r>
      <w:r w:rsidR="00471566">
        <w:t xml:space="preserve">the </w:t>
      </w:r>
      <w:r>
        <w:t xml:space="preserve">previous strategies that are underway at the national level that directly or indirectly, support implementation of PBM. </w:t>
      </w:r>
      <w:r w:rsidRPr="00FD0DC2">
        <w:t>Activities under this strategy are intended to build</w:t>
      </w:r>
      <w:r w:rsidR="00F76FEA">
        <w:t xml:space="preserve"> </w:t>
      </w:r>
      <w:r w:rsidRPr="00FD0DC2">
        <w:t xml:space="preserve">on or augment these existing initiatives. </w:t>
      </w:r>
    </w:p>
    <w:p w:rsidR="007C43EF" w:rsidRDefault="00FF5AFE" w:rsidP="00FF5AFE">
      <w:r>
        <w:t xml:space="preserve">New and rolled over activities can be categorised into </w:t>
      </w:r>
      <w:r w:rsidR="009A6550">
        <w:t>six</w:t>
      </w:r>
      <w:r>
        <w:t xml:space="preserve"> key themes: </w:t>
      </w:r>
    </w:p>
    <w:p w:rsidR="007C43EF" w:rsidRDefault="009A6550" w:rsidP="007345EB">
      <w:pPr>
        <w:pStyle w:val="ListParagraph"/>
        <w:numPr>
          <w:ilvl w:val="0"/>
          <w:numId w:val="12"/>
        </w:numPr>
      </w:pPr>
      <w:r>
        <w:t xml:space="preserve">Guidelines, </w:t>
      </w:r>
    </w:p>
    <w:p w:rsidR="007C43EF" w:rsidRDefault="009A6550" w:rsidP="007345EB">
      <w:pPr>
        <w:pStyle w:val="ListParagraph"/>
        <w:numPr>
          <w:ilvl w:val="0"/>
          <w:numId w:val="12"/>
        </w:numPr>
      </w:pPr>
      <w:r>
        <w:t>Tools and Resources,</w:t>
      </w:r>
      <w:r w:rsidR="00FF5AFE">
        <w:t xml:space="preserve"> </w:t>
      </w:r>
    </w:p>
    <w:p w:rsidR="007C43EF" w:rsidRDefault="00FF5AFE" w:rsidP="007345EB">
      <w:pPr>
        <w:pStyle w:val="ListParagraph"/>
        <w:numPr>
          <w:ilvl w:val="0"/>
          <w:numId w:val="12"/>
        </w:numPr>
      </w:pPr>
      <w:r>
        <w:t>Education</w:t>
      </w:r>
      <w:r w:rsidR="009A6550">
        <w:t xml:space="preserve"> and Training</w:t>
      </w:r>
      <w:r>
        <w:t xml:space="preserve">, </w:t>
      </w:r>
    </w:p>
    <w:p w:rsidR="007C43EF" w:rsidRDefault="00FF5AFE" w:rsidP="007345EB">
      <w:pPr>
        <w:pStyle w:val="ListParagraph"/>
        <w:numPr>
          <w:ilvl w:val="0"/>
          <w:numId w:val="12"/>
        </w:numPr>
      </w:pPr>
      <w:r>
        <w:t>Promotion</w:t>
      </w:r>
      <w:r w:rsidR="009A6550">
        <w:t xml:space="preserve"> and</w:t>
      </w:r>
      <w:r>
        <w:t xml:space="preserve"> Communication</w:t>
      </w:r>
      <w:r w:rsidR="009A6550">
        <w:t>,</w:t>
      </w:r>
      <w:r>
        <w:t xml:space="preserve"> </w:t>
      </w:r>
    </w:p>
    <w:p w:rsidR="007C43EF" w:rsidRDefault="00FF5AFE" w:rsidP="007345EB">
      <w:pPr>
        <w:pStyle w:val="ListParagraph"/>
        <w:numPr>
          <w:ilvl w:val="0"/>
          <w:numId w:val="12"/>
        </w:numPr>
      </w:pPr>
      <w:r>
        <w:t>Data</w:t>
      </w:r>
      <w:r w:rsidR="009A6550">
        <w:t xml:space="preserve">, and </w:t>
      </w:r>
    </w:p>
    <w:p w:rsidR="007C43EF" w:rsidRDefault="009A6550" w:rsidP="007345EB">
      <w:pPr>
        <w:pStyle w:val="ListParagraph"/>
        <w:numPr>
          <w:ilvl w:val="0"/>
          <w:numId w:val="12"/>
        </w:numPr>
      </w:pPr>
      <w:r>
        <w:t>Research and Development</w:t>
      </w:r>
      <w:r w:rsidR="00FF5AFE">
        <w:t xml:space="preserve">.  </w:t>
      </w:r>
    </w:p>
    <w:p w:rsidR="00FF5AFE" w:rsidRDefault="00FF5AFE" w:rsidP="007C43EF">
      <w:r>
        <w:t xml:space="preserve">The strategies to implement PBM under each of these broad themes are described below. </w:t>
      </w:r>
    </w:p>
    <w:p w:rsidR="00A37141" w:rsidRDefault="004F0DD5" w:rsidP="00E11E6B">
      <w:pPr>
        <w:pStyle w:val="Heading4"/>
        <w:numPr>
          <w:ilvl w:val="0"/>
          <w:numId w:val="13"/>
        </w:numPr>
        <w:spacing w:after="240"/>
        <w:ind w:left="567" w:hanging="567"/>
      </w:pPr>
      <w:r>
        <w:t>Guideline</w:t>
      </w:r>
      <w:r w:rsidR="00000304">
        <w:t>s</w:t>
      </w:r>
    </w:p>
    <w:p w:rsidR="00834500" w:rsidRPr="00C70C23" w:rsidRDefault="00FF0914" w:rsidP="00C70C23">
      <w:r w:rsidRPr="00C70C23">
        <w:t xml:space="preserve">The six PBM Guidelines modules were completed in April 2016. </w:t>
      </w:r>
      <w:r w:rsidR="00834500" w:rsidRPr="00C70C23">
        <w:t xml:space="preserve">The NBA will </w:t>
      </w:r>
      <w:r w:rsidRPr="00C70C23">
        <w:t xml:space="preserve">now </w:t>
      </w:r>
      <w:r w:rsidR="00834500" w:rsidRPr="00C70C23">
        <w:t>consider a broader scope for the review and update process across the entire suite of modules rather than each module being updated fully in an isolated and iterative process.</w:t>
      </w:r>
      <w:r w:rsidR="00037901">
        <w:t xml:space="preserve"> The review process will also include a comprehensive communication and dissemination plan to inform stakeholders of any updates or changes to the recommendations within the current guidelines </w:t>
      </w:r>
      <w:r w:rsidR="00834500" w:rsidRPr="00C70C23">
        <w:t>The aim is to transition to a methodology that will enable more rapid updates i.e. to a ‘living guideline’ model. </w:t>
      </w:r>
    </w:p>
    <w:tbl>
      <w:tblPr>
        <w:tblStyle w:val="TableGrid"/>
        <w:tblW w:w="0" w:type="auto"/>
        <w:tblLook w:val="04A0" w:firstRow="1" w:lastRow="0" w:firstColumn="1" w:lastColumn="0" w:noHBand="0" w:noVBand="1"/>
      </w:tblPr>
      <w:tblGrid>
        <w:gridCol w:w="2093"/>
        <w:gridCol w:w="1424"/>
        <w:gridCol w:w="1508"/>
        <w:gridCol w:w="1508"/>
        <w:gridCol w:w="1508"/>
        <w:gridCol w:w="1508"/>
      </w:tblGrid>
      <w:tr w:rsidR="00E104E3" w:rsidRPr="001051F9" w:rsidTr="00600B40">
        <w:tc>
          <w:tcPr>
            <w:tcW w:w="2093" w:type="dxa"/>
          </w:tcPr>
          <w:p w:rsidR="00E104E3" w:rsidRPr="001051F9" w:rsidRDefault="00E104E3" w:rsidP="008A1CC8">
            <w:pPr>
              <w:jc w:val="center"/>
              <w:rPr>
                <w:b/>
              </w:rPr>
            </w:pPr>
          </w:p>
        </w:tc>
        <w:tc>
          <w:tcPr>
            <w:tcW w:w="1424" w:type="dxa"/>
          </w:tcPr>
          <w:p w:rsidR="00E104E3" w:rsidRPr="001051F9" w:rsidRDefault="00E104E3" w:rsidP="008A1CC8">
            <w:pPr>
              <w:jc w:val="center"/>
              <w:rPr>
                <w:b/>
              </w:rPr>
            </w:pPr>
            <w:r w:rsidRPr="001051F9">
              <w:rPr>
                <w:b/>
              </w:rPr>
              <w:t>2017</w:t>
            </w:r>
          </w:p>
        </w:tc>
        <w:tc>
          <w:tcPr>
            <w:tcW w:w="1508" w:type="dxa"/>
          </w:tcPr>
          <w:p w:rsidR="00E104E3" w:rsidRPr="001051F9" w:rsidRDefault="00E104E3" w:rsidP="008A1CC8">
            <w:pPr>
              <w:jc w:val="center"/>
              <w:rPr>
                <w:b/>
              </w:rPr>
            </w:pPr>
            <w:r w:rsidRPr="001051F9">
              <w:rPr>
                <w:b/>
              </w:rPr>
              <w:t>2018</w:t>
            </w:r>
          </w:p>
        </w:tc>
        <w:tc>
          <w:tcPr>
            <w:tcW w:w="1508" w:type="dxa"/>
          </w:tcPr>
          <w:p w:rsidR="00E104E3" w:rsidRPr="001051F9" w:rsidRDefault="00E104E3" w:rsidP="008A1CC8">
            <w:pPr>
              <w:jc w:val="center"/>
              <w:rPr>
                <w:b/>
              </w:rPr>
            </w:pPr>
            <w:r w:rsidRPr="001051F9">
              <w:rPr>
                <w:b/>
              </w:rPr>
              <w:t>2019</w:t>
            </w:r>
          </w:p>
        </w:tc>
        <w:tc>
          <w:tcPr>
            <w:tcW w:w="1508" w:type="dxa"/>
          </w:tcPr>
          <w:p w:rsidR="00E104E3" w:rsidRPr="001051F9" w:rsidRDefault="00E104E3" w:rsidP="008A1CC8">
            <w:pPr>
              <w:jc w:val="center"/>
              <w:rPr>
                <w:b/>
              </w:rPr>
            </w:pPr>
            <w:r w:rsidRPr="001051F9">
              <w:rPr>
                <w:b/>
              </w:rPr>
              <w:t>2020</w:t>
            </w:r>
          </w:p>
        </w:tc>
        <w:tc>
          <w:tcPr>
            <w:tcW w:w="1508" w:type="dxa"/>
          </w:tcPr>
          <w:p w:rsidR="00E104E3" w:rsidRPr="001051F9" w:rsidRDefault="00E104E3" w:rsidP="008A1CC8">
            <w:pPr>
              <w:jc w:val="center"/>
              <w:rPr>
                <w:b/>
              </w:rPr>
            </w:pPr>
            <w:r w:rsidRPr="001051F9">
              <w:rPr>
                <w:b/>
              </w:rPr>
              <w:t>2021</w:t>
            </w:r>
          </w:p>
        </w:tc>
      </w:tr>
      <w:tr w:rsidR="00E104E3" w:rsidTr="00600B40">
        <w:tc>
          <w:tcPr>
            <w:tcW w:w="2093" w:type="dxa"/>
          </w:tcPr>
          <w:p w:rsidR="00E104E3" w:rsidRDefault="00696976" w:rsidP="00E104E3">
            <w:r>
              <w:t>PBM</w:t>
            </w:r>
            <w:r w:rsidR="00E104E3">
              <w:t xml:space="preserve"> Guidelines </w:t>
            </w:r>
          </w:p>
        </w:tc>
        <w:tc>
          <w:tcPr>
            <w:tcW w:w="1424"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r>
      <w:tr w:rsidR="00E104E3" w:rsidTr="00E11E6B">
        <w:tc>
          <w:tcPr>
            <w:tcW w:w="2093" w:type="dxa"/>
          </w:tcPr>
          <w:p w:rsidR="00E104E3" w:rsidRDefault="00E104E3" w:rsidP="007F294A">
            <w:r>
              <w:t xml:space="preserve">Blood Product Guidelines </w:t>
            </w:r>
          </w:p>
        </w:tc>
        <w:tc>
          <w:tcPr>
            <w:tcW w:w="1424"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r>
      <w:tr w:rsidR="00E104E3" w:rsidTr="00600B40">
        <w:tc>
          <w:tcPr>
            <w:tcW w:w="2093" w:type="dxa"/>
          </w:tcPr>
          <w:p w:rsidR="00E104E3" w:rsidRDefault="00E104E3" w:rsidP="0019316D">
            <w:r>
              <w:t xml:space="preserve">Publication </w:t>
            </w:r>
            <w:r w:rsidR="00834500">
              <w:t>i</w:t>
            </w:r>
            <w:r>
              <w:t xml:space="preserve">n </w:t>
            </w:r>
            <w:r w:rsidR="0019316D">
              <w:t>j</w:t>
            </w:r>
            <w:r>
              <w:t>ournals</w:t>
            </w:r>
          </w:p>
        </w:tc>
        <w:tc>
          <w:tcPr>
            <w:tcW w:w="1424" w:type="dxa"/>
            <w:shd w:val="clear" w:color="auto" w:fill="auto"/>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r>
      <w:tr w:rsidR="00E104E3" w:rsidTr="00E11E6B">
        <w:tc>
          <w:tcPr>
            <w:tcW w:w="2093" w:type="dxa"/>
          </w:tcPr>
          <w:p w:rsidR="00E104E3" w:rsidRDefault="00E104E3" w:rsidP="0053299E">
            <w:r>
              <w:t xml:space="preserve">PBM Guidelines </w:t>
            </w:r>
            <w:r w:rsidR="0053299E">
              <w:t>A</w:t>
            </w:r>
            <w:r>
              <w:t>pp</w:t>
            </w:r>
            <w:r w:rsidR="007345EB">
              <w:t xml:space="preserve"> </w:t>
            </w:r>
          </w:p>
        </w:tc>
        <w:tc>
          <w:tcPr>
            <w:tcW w:w="1424" w:type="dxa"/>
            <w:shd w:val="clear" w:color="auto" w:fill="00B0F0"/>
          </w:tcPr>
          <w:p w:rsidR="00E104E3" w:rsidRDefault="00E104E3" w:rsidP="00635CEB"/>
        </w:tc>
        <w:tc>
          <w:tcPr>
            <w:tcW w:w="1508" w:type="dxa"/>
            <w:shd w:val="clear" w:color="auto" w:fill="00B0F0"/>
          </w:tcPr>
          <w:p w:rsidR="00E104E3" w:rsidRDefault="00E104E3" w:rsidP="00635CEB"/>
        </w:tc>
        <w:tc>
          <w:tcPr>
            <w:tcW w:w="1508" w:type="dxa"/>
            <w:shd w:val="clear" w:color="auto" w:fill="00B0F0"/>
          </w:tcPr>
          <w:p w:rsidR="00E104E3" w:rsidRDefault="00E104E3" w:rsidP="00635CEB"/>
        </w:tc>
        <w:tc>
          <w:tcPr>
            <w:tcW w:w="1508" w:type="dxa"/>
          </w:tcPr>
          <w:p w:rsidR="00E104E3" w:rsidRDefault="00E104E3" w:rsidP="00635CEB"/>
        </w:tc>
        <w:tc>
          <w:tcPr>
            <w:tcW w:w="1508" w:type="dxa"/>
          </w:tcPr>
          <w:p w:rsidR="00E104E3" w:rsidRDefault="00E104E3" w:rsidP="00635CEB"/>
        </w:tc>
      </w:tr>
    </w:tbl>
    <w:p w:rsidR="003A3606" w:rsidRDefault="003A3606" w:rsidP="00867C5B">
      <w:pPr>
        <w:pStyle w:val="Heading4"/>
      </w:pPr>
    </w:p>
    <w:p w:rsidR="003A3606" w:rsidRDefault="003A3606" w:rsidP="00867C5B">
      <w:pPr>
        <w:pStyle w:val="Heading4"/>
      </w:pPr>
    </w:p>
    <w:p w:rsidR="00F2569F" w:rsidRDefault="00060060" w:rsidP="00E11E6B">
      <w:pPr>
        <w:pStyle w:val="Heading4"/>
        <w:numPr>
          <w:ilvl w:val="0"/>
          <w:numId w:val="13"/>
        </w:numPr>
        <w:spacing w:after="240"/>
        <w:ind w:left="567" w:hanging="567"/>
      </w:pPr>
      <w:r>
        <w:t>T</w:t>
      </w:r>
      <w:r w:rsidR="00A37141">
        <w:t xml:space="preserve">ools and </w:t>
      </w:r>
      <w:r w:rsidR="007345EB">
        <w:t>R</w:t>
      </w:r>
      <w:r w:rsidR="00A37141">
        <w:t>esources</w:t>
      </w:r>
    </w:p>
    <w:p w:rsidR="00E104E3" w:rsidRDefault="00A75A5C" w:rsidP="00E56002">
      <w:r>
        <w:rPr>
          <w:rFonts w:asciiTheme="minorHAnsi" w:hAnsiTheme="minorHAnsi" w:cstheme="minorHAnsi"/>
        </w:rPr>
        <w:t>The NBA will coordinate</w:t>
      </w:r>
      <w:r w:rsidR="00233E11">
        <w:rPr>
          <w:rFonts w:asciiTheme="minorHAnsi" w:hAnsiTheme="minorHAnsi" w:cstheme="minorHAnsi"/>
        </w:rPr>
        <w:t>,</w:t>
      </w:r>
      <w:r>
        <w:rPr>
          <w:rFonts w:asciiTheme="minorHAnsi" w:hAnsiTheme="minorHAnsi" w:cstheme="minorHAnsi"/>
        </w:rPr>
        <w:t xml:space="preserve"> through the PBM Steering Committee, the identification and </w:t>
      </w:r>
      <w:r w:rsidRPr="00EA18F7">
        <w:rPr>
          <w:rFonts w:asciiTheme="minorHAnsi" w:hAnsiTheme="minorHAnsi" w:cstheme="minorHAnsi"/>
        </w:rPr>
        <w:t xml:space="preserve">development </w:t>
      </w:r>
      <w:r>
        <w:rPr>
          <w:rFonts w:asciiTheme="minorHAnsi" w:hAnsiTheme="minorHAnsi" w:cstheme="minorHAnsi"/>
        </w:rPr>
        <w:t xml:space="preserve">of tools and resources </w:t>
      </w:r>
      <w:r>
        <w:t xml:space="preserve">that can be modified and branded by health </w:t>
      </w:r>
      <w:r w:rsidR="009A6550">
        <w:t>service organisations</w:t>
      </w:r>
      <w:r w:rsidRPr="00EA18F7">
        <w:rPr>
          <w:rFonts w:asciiTheme="minorHAnsi" w:hAnsiTheme="minorHAnsi" w:cstheme="minorHAnsi"/>
        </w:rPr>
        <w:t xml:space="preserve"> to support </w:t>
      </w:r>
      <w:r>
        <w:rPr>
          <w:rFonts w:asciiTheme="minorHAnsi" w:hAnsiTheme="minorHAnsi" w:cstheme="minorHAnsi"/>
        </w:rPr>
        <w:t>PBM implementation in their own institution.</w:t>
      </w:r>
      <w:r>
        <w:t xml:space="preserve">  The NBA will use a collaborative approach to the development of the tools, drawing on relevant jurisdictional and stakeholder expertise or associated work already completed.</w:t>
      </w:r>
    </w:p>
    <w:p w:rsidR="00FF0914" w:rsidRDefault="00FF0914" w:rsidP="00E56002">
      <w:r>
        <w:t xml:space="preserve">The PBM Steering </w:t>
      </w:r>
      <w:r w:rsidR="009A6550">
        <w:t>C</w:t>
      </w:r>
      <w:r>
        <w:t>ommittee will assist the NBA by monitoring the progress of the tools and resources, identifying current tools needing review and</w:t>
      </w:r>
      <w:r w:rsidR="00264F9F">
        <w:t xml:space="preserve"> proposing future tools and resources.</w:t>
      </w:r>
    </w:p>
    <w:p w:rsidR="009A6550" w:rsidRDefault="00A75A5C" w:rsidP="007345EB">
      <w:r>
        <w:t>Priority will be given to tools</w:t>
      </w:r>
      <w:r w:rsidR="00264F9F">
        <w:t xml:space="preserve"> that </w:t>
      </w:r>
      <w:r w:rsidR="0019316D">
        <w:t xml:space="preserve">will </w:t>
      </w:r>
      <w:r w:rsidR="00264F9F">
        <w:t xml:space="preserve">support health </w:t>
      </w:r>
      <w:r w:rsidR="009A6550">
        <w:t>service organisations</w:t>
      </w:r>
      <w:r w:rsidR="0019316D">
        <w:t xml:space="preserve"> to</w:t>
      </w:r>
      <w:r w:rsidR="00264F9F">
        <w:t xml:space="preserve"> implement</w:t>
      </w:r>
      <w:r>
        <w:t xml:space="preserve"> </w:t>
      </w:r>
      <w:r w:rsidR="00264F9F">
        <w:t>the Standard such a</w:t>
      </w:r>
      <w:r w:rsidR="00660A6A">
        <w:t xml:space="preserve">s </w:t>
      </w:r>
      <w:r w:rsidR="00D25C24">
        <w:t xml:space="preserve">patient materials, </w:t>
      </w:r>
      <w:r w:rsidR="00660A6A">
        <w:t>case studies, policy guidance</w:t>
      </w:r>
      <w:r w:rsidR="00FA6361">
        <w:t>,</w:t>
      </w:r>
      <w:r w:rsidR="00D25C24">
        <w:t xml:space="preserve"> </w:t>
      </w:r>
      <w:r w:rsidR="007345EB">
        <w:t xml:space="preserve">guidance for local data collection and analysis, </w:t>
      </w:r>
      <w:r w:rsidR="00FA6361">
        <w:t>clinical standards and audits.</w:t>
      </w:r>
    </w:p>
    <w:tbl>
      <w:tblPr>
        <w:tblStyle w:val="TableGrid"/>
        <w:tblW w:w="0" w:type="auto"/>
        <w:tblLook w:val="04A0" w:firstRow="1" w:lastRow="0" w:firstColumn="1" w:lastColumn="0" w:noHBand="0" w:noVBand="1"/>
      </w:tblPr>
      <w:tblGrid>
        <w:gridCol w:w="2093"/>
        <w:gridCol w:w="1417"/>
        <w:gridCol w:w="1560"/>
        <w:gridCol w:w="1417"/>
        <w:gridCol w:w="1559"/>
        <w:gridCol w:w="1503"/>
      </w:tblGrid>
      <w:tr w:rsidR="00E56002" w:rsidRPr="001051F9" w:rsidTr="001051F9">
        <w:trPr>
          <w:tblHeader/>
        </w:trPr>
        <w:tc>
          <w:tcPr>
            <w:tcW w:w="2093" w:type="dxa"/>
          </w:tcPr>
          <w:p w:rsidR="00E104E3" w:rsidRPr="001051F9" w:rsidRDefault="00E104E3" w:rsidP="008A1CC8">
            <w:pPr>
              <w:jc w:val="center"/>
              <w:rPr>
                <w:b/>
              </w:rPr>
            </w:pPr>
          </w:p>
        </w:tc>
        <w:tc>
          <w:tcPr>
            <w:tcW w:w="1417" w:type="dxa"/>
          </w:tcPr>
          <w:p w:rsidR="00E104E3" w:rsidRPr="001051F9" w:rsidRDefault="00E104E3" w:rsidP="008A1CC8">
            <w:pPr>
              <w:jc w:val="center"/>
              <w:rPr>
                <w:b/>
              </w:rPr>
            </w:pPr>
            <w:r w:rsidRPr="001051F9">
              <w:rPr>
                <w:b/>
              </w:rPr>
              <w:t>2017</w:t>
            </w:r>
          </w:p>
        </w:tc>
        <w:tc>
          <w:tcPr>
            <w:tcW w:w="1560" w:type="dxa"/>
          </w:tcPr>
          <w:p w:rsidR="00E104E3" w:rsidRPr="001051F9" w:rsidRDefault="00E104E3" w:rsidP="008A1CC8">
            <w:pPr>
              <w:jc w:val="center"/>
              <w:rPr>
                <w:b/>
              </w:rPr>
            </w:pPr>
            <w:r w:rsidRPr="001051F9">
              <w:rPr>
                <w:b/>
              </w:rPr>
              <w:t>2018</w:t>
            </w:r>
          </w:p>
        </w:tc>
        <w:tc>
          <w:tcPr>
            <w:tcW w:w="1417" w:type="dxa"/>
          </w:tcPr>
          <w:p w:rsidR="00E104E3" w:rsidRPr="001051F9" w:rsidRDefault="00E104E3" w:rsidP="008A1CC8">
            <w:pPr>
              <w:jc w:val="center"/>
              <w:rPr>
                <w:b/>
              </w:rPr>
            </w:pPr>
            <w:r w:rsidRPr="001051F9">
              <w:rPr>
                <w:b/>
              </w:rPr>
              <w:t>2019</w:t>
            </w:r>
          </w:p>
        </w:tc>
        <w:tc>
          <w:tcPr>
            <w:tcW w:w="1559" w:type="dxa"/>
          </w:tcPr>
          <w:p w:rsidR="00E104E3" w:rsidRPr="001051F9" w:rsidRDefault="00E104E3" w:rsidP="008A1CC8">
            <w:pPr>
              <w:jc w:val="center"/>
              <w:rPr>
                <w:b/>
              </w:rPr>
            </w:pPr>
            <w:r w:rsidRPr="001051F9">
              <w:rPr>
                <w:b/>
              </w:rPr>
              <w:t>2020</w:t>
            </w:r>
          </w:p>
        </w:tc>
        <w:tc>
          <w:tcPr>
            <w:tcW w:w="1503" w:type="dxa"/>
          </w:tcPr>
          <w:p w:rsidR="00E104E3" w:rsidRPr="001051F9" w:rsidRDefault="00E104E3" w:rsidP="008A1CC8">
            <w:pPr>
              <w:jc w:val="center"/>
              <w:rPr>
                <w:b/>
              </w:rPr>
            </w:pPr>
            <w:r w:rsidRPr="001051F9">
              <w:rPr>
                <w:b/>
              </w:rPr>
              <w:t>2021</w:t>
            </w:r>
          </w:p>
        </w:tc>
      </w:tr>
      <w:tr w:rsidR="00600B40" w:rsidTr="00E56002">
        <w:tc>
          <w:tcPr>
            <w:tcW w:w="2093" w:type="dxa"/>
          </w:tcPr>
          <w:p w:rsidR="00600B40" w:rsidRDefault="00600B40" w:rsidP="009A6550">
            <w:pPr>
              <w:spacing w:line="276" w:lineRule="auto"/>
            </w:pPr>
            <w:r>
              <w:t xml:space="preserve">Review and update </w:t>
            </w:r>
            <w:r w:rsidR="009A6550">
              <w:t>current tools</w:t>
            </w:r>
          </w:p>
        </w:tc>
        <w:tc>
          <w:tcPr>
            <w:tcW w:w="1417" w:type="dxa"/>
            <w:shd w:val="clear" w:color="auto" w:fill="00B0F0"/>
          </w:tcPr>
          <w:p w:rsidR="00600B40" w:rsidRDefault="00600B40" w:rsidP="00E104E3"/>
        </w:tc>
        <w:tc>
          <w:tcPr>
            <w:tcW w:w="1560" w:type="dxa"/>
            <w:shd w:val="clear" w:color="auto" w:fill="00B0F0"/>
          </w:tcPr>
          <w:p w:rsidR="00600B40" w:rsidRDefault="00600B40" w:rsidP="00E104E3"/>
        </w:tc>
        <w:tc>
          <w:tcPr>
            <w:tcW w:w="1417" w:type="dxa"/>
            <w:shd w:val="clear" w:color="auto" w:fill="00B0F0"/>
          </w:tcPr>
          <w:p w:rsidR="00600B40" w:rsidRDefault="00600B40" w:rsidP="00E104E3"/>
        </w:tc>
        <w:tc>
          <w:tcPr>
            <w:tcW w:w="1559" w:type="dxa"/>
            <w:shd w:val="clear" w:color="auto" w:fill="00B0F0"/>
          </w:tcPr>
          <w:p w:rsidR="00600B40" w:rsidRDefault="00600B40" w:rsidP="00E104E3"/>
        </w:tc>
        <w:tc>
          <w:tcPr>
            <w:tcW w:w="1503" w:type="dxa"/>
            <w:shd w:val="clear" w:color="auto" w:fill="00B0F0"/>
          </w:tcPr>
          <w:p w:rsidR="00600B40" w:rsidRDefault="00600B40" w:rsidP="00E104E3"/>
        </w:tc>
      </w:tr>
      <w:tr w:rsidR="00E56002" w:rsidTr="00E56002">
        <w:tc>
          <w:tcPr>
            <w:tcW w:w="2093" w:type="dxa"/>
          </w:tcPr>
          <w:p w:rsidR="00E104E3" w:rsidRDefault="00FF0914" w:rsidP="003B4117">
            <w:pPr>
              <w:spacing w:line="276" w:lineRule="auto"/>
            </w:pPr>
            <w:r>
              <w:t>Anaemia management</w:t>
            </w:r>
            <w:r w:rsidR="00FA5C18">
              <w:t xml:space="preserve"> in particular Iron Deficiency Anaemia</w:t>
            </w:r>
          </w:p>
        </w:tc>
        <w:tc>
          <w:tcPr>
            <w:tcW w:w="1417" w:type="dxa"/>
            <w:shd w:val="clear" w:color="auto" w:fill="00B0F0"/>
          </w:tcPr>
          <w:p w:rsidR="00E104E3" w:rsidRDefault="00E104E3" w:rsidP="00E104E3"/>
        </w:tc>
        <w:tc>
          <w:tcPr>
            <w:tcW w:w="1560" w:type="dxa"/>
            <w:shd w:val="clear" w:color="auto" w:fill="00B0F0"/>
          </w:tcPr>
          <w:p w:rsidR="00E104E3" w:rsidRDefault="00E104E3" w:rsidP="00E104E3"/>
        </w:tc>
        <w:tc>
          <w:tcPr>
            <w:tcW w:w="1417" w:type="dxa"/>
            <w:shd w:val="clear" w:color="auto" w:fill="00B0F0"/>
          </w:tcPr>
          <w:p w:rsidR="00E104E3" w:rsidRDefault="00E104E3" w:rsidP="00E104E3"/>
        </w:tc>
        <w:tc>
          <w:tcPr>
            <w:tcW w:w="1559" w:type="dxa"/>
            <w:shd w:val="clear" w:color="auto" w:fill="00B0F0"/>
          </w:tcPr>
          <w:p w:rsidR="00E104E3" w:rsidRDefault="00E104E3" w:rsidP="00E104E3"/>
        </w:tc>
        <w:tc>
          <w:tcPr>
            <w:tcW w:w="1503" w:type="dxa"/>
            <w:shd w:val="clear" w:color="auto" w:fill="00B0F0"/>
          </w:tcPr>
          <w:p w:rsidR="00E104E3" w:rsidRDefault="00E104E3" w:rsidP="00E104E3"/>
        </w:tc>
      </w:tr>
      <w:tr w:rsidR="00E56002" w:rsidTr="00E11E6B">
        <w:tc>
          <w:tcPr>
            <w:tcW w:w="2093" w:type="dxa"/>
          </w:tcPr>
          <w:p w:rsidR="00E104E3" w:rsidRDefault="00660A6A" w:rsidP="0019316D">
            <w:r>
              <w:t xml:space="preserve">Informed </w:t>
            </w:r>
            <w:r w:rsidR="0019316D">
              <w:t>c</w:t>
            </w:r>
            <w:r>
              <w:t>onsent</w:t>
            </w:r>
          </w:p>
        </w:tc>
        <w:tc>
          <w:tcPr>
            <w:tcW w:w="1417" w:type="dxa"/>
            <w:shd w:val="clear" w:color="auto" w:fill="00B0F0"/>
          </w:tcPr>
          <w:p w:rsidR="00E104E3" w:rsidRDefault="00E104E3" w:rsidP="00E104E3"/>
        </w:tc>
        <w:tc>
          <w:tcPr>
            <w:tcW w:w="1560" w:type="dxa"/>
            <w:shd w:val="clear" w:color="auto" w:fill="00B0F0"/>
          </w:tcPr>
          <w:p w:rsidR="00E104E3" w:rsidRDefault="00E104E3" w:rsidP="00E104E3"/>
        </w:tc>
        <w:tc>
          <w:tcPr>
            <w:tcW w:w="1417" w:type="dxa"/>
            <w:shd w:val="clear" w:color="auto" w:fill="00B0F0"/>
          </w:tcPr>
          <w:p w:rsidR="00E104E3" w:rsidRDefault="00E104E3" w:rsidP="00E104E3"/>
        </w:tc>
        <w:tc>
          <w:tcPr>
            <w:tcW w:w="1559" w:type="dxa"/>
            <w:shd w:val="clear" w:color="auto" w:fill="00B0F0"/>
          </w:tcPr>
          <w:p w:rsidR="00E104E3" w:rsidRDefault="00E104E3" w:rsidP="00E104E3"/>
        </w:tc>
        <w:tc>
          <w:tcPr>
            <w:tcW w:w="1503" w:type="dxa"/>
          </w:tcPr>
          <w:p w:rsidR="00E104E3" w:rsidRDefault="00E104E3" w:rsidP="00E104E3"/>
        </w:tc>
      </w:tr>
      <w:tr w:rsidR="00745AE9" w:rsidTr="00E11E6B">
        <w:tc>
          <w:tcPr>
            <w:tcW w:w="2093" w:type="dxa"/>
          </w:tcPr>
          <w:p w:rsidR="00745AE9" w:rsidRDefault="00745AE9" w:rsidP="0019316D">
            <w:r>
              <w:t>National prescription chart that includes national clinical indicators</w:t>
            </w:r>
          </w:p>
        </w:tc>
        <w:tc>
          <w:tcPr>
            <w:tcW w:w="1417" w:type="dxa"/>
            <w:shd w:val="clear" w:color="auto" w:fill="00B0F0"/>
          </w:tcPr>
          <w:p w:rsidR="00745AE9" w:rsidRDefault="00745AE9" w:rsidP="00E104E3"/>
        </w:tc>
        <w:tc>
          <w:tcPr>
            <w:tcW w:w="1560" w:type="dxa"/>
            <w:shd w:val="clear" w:color="auto" w:fill="00B0F0"/>
          </w:tcPr>
          <w:p w:rsidR="00745AE9" w:rsidRDefault="00745AE9" w:rsidP="00E104E3"/>
        </w:tc>
        <w:tc>
          <w:tcPr>
            <w:tcW w:w="1417" w:type="dxa"/>
            <w:shd w:val="clear" w:color="auto" w:fill="00B0F0"/>
          </w:tcPr>
          <w:p w:rsidR="00745AE9" w:rsidRDefault="00745AE9" w:rsidP="00E104E3"/>
        </w:tc>
        <w:tc>
          <w:tcPr>
            <w:tcW w:w="1559" w:type="dxa"/>
            <w:shd w:val="clear" w:color="auto" w:fill="00B0F0"/>
          </w:tcPr>
          <w:p w:rsidR="00745AE9" w:rsidRDefault="00745AE9" w:rsidP="00E104E3"/>
        </w:tc>
        <w:tc>
          <w:tcPr>
            <w:tcW w:w="1503" w:type="dxa"/>
            <w:shd w:val="clear" w:color="auto" w:fill="auto"/>
          </w:tcPr>
          <w:p w:rsidR="00745AE9" w:rsidRDefault="00745AE9" w:rsidP="00E104E3"/>
        </w:tc>
      </w:tr>
      <w:tr w:rsidR="00E56002" w:rsidTr="00E56002">
        <w:tc>
          <w:tcPr>
            <w:tcW w:w="2093" w:type="dxa"/>
          </w:tcPr>
          <w:p w:rsidR="00E104E3" w:rsidRDefault="00696976" w:rsidP="00E104E3">
            <w:r>
              <w:t>PBM</w:t>
            </w:r>
            <w:r w:rsidR="00941D0D">
              <w:t xml:space="preserve"> </w:t>
            </w:r>
            <w:r w:rsidR="00D25C24">
              <w:t xml:space="preserve">program </w:t>
            </w:r>
            <w:r w:rsidR="00941D0D">
              <w:t>implementation toolkit</w:t>
            </w:r>
          </w:p>
        </w:tc>
        <w:tc>
          <w:tcPr>
            <w:tcW w:w="1417" w:type="dxa"/>
            <w:shd w:val="clear" w:color="auto" w:fill="00B0F0"/>
          </w:tcPr>
          <w:p w:rsidR="00E104E3" w:rsidRDefault="00E104E3" w:rsidP="00E104E3"/>
        </w:tc>
        <w:tc>
          <w:tcPr>
            <w:tcW w:w="1560" w:type="dxa"/>
            <w:shd w:val="clear" w:color="auto" w:fill="00B0F0"/>
          </w:tcPr>
          <w:p w:rsidR="00E104E3" w:rsidRDefault="00E104E3" w:rsidP="00E104E3"/>
        </w:tc>
        <w:tc>
          <w:tcPr>
            <w:tcW w:w="1417" w:type="dxa"/>
            <w:shd w:val="clear" w:color="auto" w:fill="00B0F0"/>
          </w:tcPr>
          <w:p w:rsidR="00E104E3" w:rsidRDefault="00E104E3" w:rsidP="00E104E3"/>
        </w:tc>
        <w:tc>
          <w:tcPr>
            <w:tcW w:w="1559" w:type="dxa"/>
          </w:tcPr>
          <w:p w:rsidR="00E104E3" w:rsidRDefault="00E104E3" w:rsidP="00E104E3"/>
        </w:tc>
        <w:tc>
          <w:tcPr>
            <w:tcW w:w="1503" w:type="dxa"/>
          </w:tcPr>
          <w:p w:rsidR="00E104E3" w:rsidRDefault="00E104E3" w:rsidP="00E104E3"/>
        </w:tc>
      </w:tr>
      <w:tr w:rsidR="00E56002" w:rsidTr="00E11E6B">
        <w:tc>
          <w:tcPr>
            <w:tcW w:w="2093" w:type="dxa"/>
          </w:tcPr>
          <w:p w:rsidR="00E104E3" w:rsidRDefault="009A6550" w:rsidP="009A6550">
            <w:r>
              <w:t>PBM b</w:t>
            </w:r>
            <w:r w:rsidR="00D25C24">
              <w:t>usiness case</w:t>
            </w:r>
            <w:r>
              <w:t xml:space="preserve"> template</w:t>
            </w:r>
            <w:r w:rsidR="007345EB">
              <w:t xml:space="preserve"> and guidance for implementation of key activities</w:t>
            </w:r>
          </w:p>
        </w:tc>
        <w:tc>
          <w:tcPr>
            <w:tcW w:w="1417" w:type="dxa"/>
            <w:shd w:val="clear" w:color="auto" w:fill="00B0F0"/>
          </w:tcPr>
          <w:p w:rsidR="00E104E3" w:rsidRDefault="00E104E3" w:rsidP="00E104E3"/>
        </w:tc>
        <w:tc>
          <w:tcPr>
            <w:tcW w:w="1560" w:type="dxa"/>
            <w:shd w:val="clear" w:color="auto" w:fill="00B0F0"/>
          </w:tcPr>
          <w:p w:rsidR="00E104E3" w:rsidRDefault="00E104E3" w:rsidP="00E104E3"/>
        </w:tc>
        <w:tc>
          <w:tcPr>
            <w:tcW w:w="1417" w:type="dxa"/>
            <w:shd w:val="clear" w:color="auto" w:fill="00B0F0"/>
          </w:tcPr>
          <w:p w:rsidR="00E104E3" w:rsidRDefault="00E104E3" w:rsidP="00E104E3"/>
        </w:tc>
        <w:tc>
          <w:tcPr>
            <w:tcW w:w="1559" w:type="dxa"/>
          </w:tcPr>
          <w:p w:rsidR="00E104E3" w:rsidRDefault="00E104E3" w:rsidP="00E104E3"/>
        </w:tc>
        <w:tc>
          <w:tcPr>
            <w:tcW w:w="1503" w:type="dxa"/>
          </w:tcPr>
          <w:p w:rsidR="00E104E3" w:rsidRDefault="00E104E3" w:rsidP="00E104E3"/>
        </w:tc>
      </w:tr>
      <w:tr w:rsidR="00E56002" w:rsidTr="00E56002">
        <w:tc>
          <w:tcPr>
            <w:tcW w:w="2093" w:type="dxa"/>
          </w:tcPr>
          <w:p w:rsidR="00E104E3" w:rsidRDefault="00E56002" w:rsidP="0019316D">
            <w:r>
              <w:t xml:space="preserve">Website/ </w:t>
            </w:r>
            <w:r w:rsidR="0019316D">
              <w:t>d</w:t>
            </w:r>
            <w:r>
              <w:t>atabase for accessing information about PBM</w:t>
            </w:r>
          </w:p>
        </w:tc>
        <w:tc>
          <w:tcPr>
            <w:tcW w:w="1417" w:type="dxa"/>
          </w:tcPr>
          <w:p w:rsidR="00E104E3" w:rsidRDefault="00E104E3" w:rsidP="00E104E3"/>
        </w:tc>
        <w:tc>
          <w:tcPr>
            <w:tcW w:w="1560" w:type="dxa"/>
            <w:shd w:val="clear" w:color="auto" w:fill="00B0F0"/>
          </w:tcPr>
          <w:p w:rsidR="00E104E3" w:rsidRDefault="00E104E3" w:rsidP="00E104E3"/>
        </w:tc>
        <w:tc>
          <w:tcPr>
            <w:tcW w:w="1417" w:type="dxa"/>
            <w:shd w:val="clear" w:color="auto" w:fill="00B0F0"/>
          </w:tcPr>
          <w:p w:rsidR="00E104E3" w:rsidRDefault="00E104E3" w:rsidP="00E104E3"/>
        </w:tc>
        <w:tc>
          <w:tcPr>
            <w:tcW w:w="1559" w:type="dxa"/>
            <w:shd w:val="clear" w:color="auto" w:fill="00B0F0"/>
          </w:tcPr>
          <w:p w:rsidR="00E104E3" w:rsidRDefault="00E104E3" w:rsidP="00E104E3"/>
        </w:tc>
        <w:tc>
          <w:tcPr>
            <w:tcW w:w="1503" w:type="dxa"/>
            <w:shd w:val="clear" w:color="auto" w:fill="00B0F0"/>
          </w:tcPr>
          <w:p w:rsidR="00E104E3" w:rsidRDefault="00E104E3" w:rsidP="00E104E3"/>
        </w:tc>
      </w:tr>
    </w:tbl>
    <w:p w:rsidR="00E104E3" w:rsidRDefault="00E104E3" w:rsidP="00867C5B">
      <w:pPr>
        <w:pStyle w:val="Heading4"/>
      </w:pPr>
    </w:p>
    <w:p w:rsidR="003A3606" w:rsidRDefault="003A3606" w:rsidP="00867C5B">
      <w:pPr>
        <w:pStyle w:val="Heading4"/>
      </w:pPr>
    </w:p>
    <w:p w:rsidR="00F2569F" w:rsidRDefault="00F2569F" w:rsidP="00E11E6B">
      <w:pPr>
        <w:pStyle w:val="Heading4"/>
        <w:numPr>
          <w:ilvl w:val="0"/>
          <w:numId w:val="13"/>
        </w:numPr>
        <w:spacing w:after="240"/>
        <w:ind w:left="567" w:hanging="567"/>
      </w:pPr>
      <w:r>
        <w:t>Education and Training</w:t>
      </w:r>
    </w:p>
    <w:p w:rsidR="00E104E3" w:rsidRDefault="0058141E" w:rsidP="00600B40">
      <w:r>
        <w:t xml:space="preserve">The PBM Steering </w:t>
      </w:r>
      <w:r w:rsidR="009A6550">
        <w:t>C</w:t>
      </w:r>
      <w:r>
        <w:t xml:space="preserve">ommittee will oversee a nationally coordinated approach to </w:t>
      </w:r>
      <w:r w:rsidR="0019316D">
        <w:t>e</w:t>
      </w:r>
      <w:r>
        <w:t xml:space="preserve">ducation and </w:t>
      </w:r>
      <w:r w:rsidR="0019316D">
        <w:t>t</w:t>
      </w:r>
      <w:r>
        <w:t xml:space="preserve">raining to support the development of PBM knowledge across the </w:t>
      </w:r>
      <w:r w:rsidR="000F27C1">
        <w:t>all health</w:t>
      </w:r>
      <w:r>
        <w:t xml:space="preserve"> care settings.</w:t>
      </w:r>
    </w:p>
    <w:p w:rsidR="0058141E" w:rsidRDefault="0058141E" w:rsidP="00600B40">
      <w:r>
        <w:t>General practitioners play a key role in managing anaemia and iron deficiency. The NBA will explore educational partnerships to develop materials such as educational audits</w:t>
      </w:r>
      <w:r w:rsidR="003E5C01">
        <w:t xml:space="preserve"> and media or events</w:t>
      </w:r>
      <w:r>
        <w:t xml:space="preserve"> to enhance competencies </w:t>
      </w:r>
      <w:r w:rsidR="00471566">
        <w:t xml:space="preserve">of </w:t>
      </w:r>
      <w:r>
        <w:t xml:space="preserve">general practitioners </w:t>
      </w:r>
      <w:r w:rsidR="000F27C1">
        <w:t xml:space="preserve">and the general practice team </w:t>
      </w:r>
      <w:r>
        <w:t>in the identification, diagnosis and management of iron deficiency and iron deficiency anaemia.</w:t>
      </w:r>
    </w:p>
    <w:tbl>
      <w:tblPr>
        <w:tblStyle w:val="TableGrid"/>
        <w:tblW w:w="0" w:type="auto"/>
        <w:tblLook w:val="04A0" w:firstRow="1" w:lastRow="0" w:firstColumn="1" w:lastColumn="0" w:noHBand="0" w:noVBand="1"/>
      </w:tblPr>
      <w:tblGrid>
        <w:gridCol w:w="2093"/>
        <w:gridCol w:w="1417"/>
        <w:gridCol w:w="1560"/>
        <w:gridCol w:w="1417"/>
        <w:gridCol w:w="1559"/>
        <w:gridCol w:w="1503"/>
      </w:tblGrid>
      <w:tr w:rsidR="002613EF" w:rsidRPr="001051F9" w:rsidTr="001051F9">
        <w:trPr>
          <w:tblHeader/>
        </w:trPr>
        <w:tc>
          <w:tcPr>
            <w:tcW w:w="2093" w:type="dxa"/>
          </w:tcPr>
          <w:p w:rsidR="00E104E3" w:rsidRPr="001051F9" w:rsidRDefault="00E104E3" w:rsidP="008A1CC8">
            <w:pPr>
              <w:jc w:val="center"/>
              <w:rPr>
                <w:b/>
              </w:rPr>
            </w:pPr>
          </w:p>
        </w:tc>
        <w:tc>
          <w:tcPr>
            <w:tcW w:w="1417" w:type="dxa"/>
          </w:tcPr>
          <w:p w:rsidR="00E104E3" w:rsidRPr="001051F9" w:rsidRDefault="00E104E3" w:rsidP="008A1CC8">
            <w:pPr>
              <w:jc w:val="center"/>
              <w:rPr>
                <w:b/>
              </w:rPr>
            </w:pPr>
            <w:r w:rsidRPr="001051F9">
              <w:rPr>
                <w:b/>
              </w:rPr>
              <w:t>2017</w:t>
            </w:r>
          </w:p>
        </w:tc>
        <w:tc>
          <w:tcPr>
            <w:tcW w:w="1560" w:type="dxa"/>
          </w:tcPr>
          <w:p w:rsidR="00E104E3" w:rsidRPr="001051F9" w:rsidRDefault="00E104E3" w:rsidP="008A1CC8">
            <w:pPr>
              <w:jc w:val="center"/>
              <w:rPr>
                <w:b/>
              </w:rPr>
            </w:pPr>
            <w:r w:rsidRPr="001051F9">
              <w:rPr>
                <w:b/>
              </w:rPr>
              <w:t>2018</w:t>
            </w:r>
          </w:p>
        </w:tc>
        <w:tc>
          <w:tcPr>
            <w:tcW w:w="1417" w:type="dxa"/>
          </w:tcPr>
          <w:p w:rsidR="00E104E3" w:rsidRPr="001051F9" w:rsidRDefault="00E104E3" w:rsidP="008A1CC8">
            <w:pPr>
              <w:jc w:val="center"/>
              <w:rPr>
                <w:b/>
              </w:rPr>
            </w:pPr>
            <w:r w:rsidRPr="001051F9">
              <w:rPr>
                <w:b/>
              </w:rPr>
              <w:t>2019</w:t>
            </w:r>
          </w:p>
        </w:tc>
        <w:tc>
          <w:tcPr>
            <w:tcW w:w="1559" w:type="dxa"/>
          </w:tcPr>
          <w:p w:rsidR="00E104E3" w:rsidRPr="001051F9" w:rsidRDefault="00E104E3" w:rsidP="008A1CC8">
            <w:pPr>
              <w:jc w:val="center"/>
              <w:rPr>
                <w:b/>
              </w:rPr>
            </w:pPr>
            <w:r w:rsidRPr="001051F9">
              <w:rPr>
                <w:b/>
              </w:rPr>
              <w:t>2020</w:t>
            </w:r>
          </w:p>
        </w:tc>
        <w:tc>
          <w:tcPr>
            <w:tcW w:w="1503" w:type="dxa"/>
          </w:tcPr>
          <w:p w:rsidR="00E104E3" w:rsidRPr="001051F9" w:rsidRDefault="00E104E3" w:rsidP="008A1CC8">
            <w:pPr>
              <w:jc w:val="center"/>
              <w:rPr>
                <w:b/>
              </w:rPr>
            </w:pPr>
            <w:r w:rsidRPr="001051F9">
              <w:rPr>
                <w:b/>
              </w:rPr>
              <w:t>2021</w:t>
            </w:r>
          </w:p>
        </w:tc>
      </w:tr>
      <w:tr w:rsidR="00941D0D" w:rsidTr="002613EF">
        <w:tc>
          <w:tcPr>
            <w:tcW w:w="2093" w:type="dxa"/>
          </w:tcPr>
          <w:p w:rsidR="00941D0D" w:rsidRDefault="00941D0D" w:rsidP="009A6550">
            <w:r>
              <w:t xml:space="preserve">Key Learning </w:t>
            </w:r>
            <w:r w:rsidR="009A6550">
              <w:t>A</w:t>
            </w:r>
            <w:r>
              <w:t xml:space="preserve">rea </w:t>
            </w:r>
            <w:r w:rsidR="009A6550">
              <w:t>F</w:t>
            </w:r>
            <w:r>
              <w:t>ramework</w:t>
            </w:r>
          </w:p>
        </w:tc>
        <w:tc>
          <w:tcPr>
            <w:tcW w:w="1417" w:type="dxa"/>
            <w:shd w:val="clear" w:color="auto" w:fill="00B0F0"/>
          </w:tcPr>
          <w:p w:rsidR="00941D0D" w:rsidRDefault="00941D0D" w:rsidP="00E93BBA"/>
        </w:tc>
        <w:tc>
          <w:tcPr>
            <w:tcW w:w="1560" w:type="dxa"/>
            <w:shd w:val="clear" w:color="auto" w:fill="00B0F0"/>
          </w:tcPr>
          <w:p w:rsidR="00941D0D" w:rsidRDefault="00941D0D" w:rsidP="00E93BBA"/>
        </w:tc>
        <w:tc>
          <w:tcPr>
            <w:tcW w:w="1417" w:type="dxa"/>
            <w:shd w:val="clear" w:color="auto" w:fill="00B0F0"/>
          </w:tcPr>
          <w:p w:rsidR="00941D0D" w:rsidRDefault="00941D0D" w:rsidP="00E93BBA"/>
        </w:tc>
        <w:tc>
          <w:tcPr>
            <w:tcW w:w="1559" w:type="dxa"/>
            <w:shd w:val="clear" w:color="auto" w:fill="00B0F0"/>
          </w:tcPr>
          <w:p w:rsidR="00941D0D" w:rsidRDefault="00941D0D" w:rsidP="00E93BBA"/>
        </w:tc>
        <w:tc>
          <w:tcPr>
            <w:tcW w:w="1503" w:type="dxa"/>
            <w:shd w:val="clear" w:color="auto" w:fill="00B0F0"/>
          </w:tcPr>
          <w:p w:rsidR="00941D0D" w:rsidRDefault="00941D0D" w:rsidP="00E93BBA"/>
        </w:tc>
      </w:tr>
      <w:tr w:rsidR="00600B40" w:rsidTr="00E11E6B">
        <w:tc>
          <w:tcPr>
            <w:tcW w:w="2093" w:type="dxa"/>
          </w:tcPr>
          <w:p w:rsidR="00E104E3" w:rsidRDefault="00941D0D" w:rsidP="00D25C24">
            <w:r>
              <w:t>BloodSafe eLearning Australia</w:t>
            </w:r>
            <w:r w:rsidR="00600B40">
              <w:t xml:space="preserve"> Modules</w:t>
            </w:r>
          </w:p>
        </w:tc>
        <w:tc>
          <w:tcPr>
            <w:tcW w:w="1417" w:type="dxa"/>
            <w:shd w:val="clear" w:color="auto" w:fill="00B0F0"/>
          </w:tcPr>
          <w:p w:rsidR="00E104E3" w:rsidRDefault="00E104E3" w:rsidP="00E93BBA"/>
        </w:tc>
        <w:tc>
          <w:tcPr>
            <w:tcW w:w="1560" w:type="dxa"/>
            <w:shd w:val="clear" w:color="auto" w:fill="00B0F0"/>
          </w:tcPr>
          <w:p w:rsidR="00E104E3" w:rsidRDefault="00E104E3" w:rsidP="00E93BBA"/>
        </w:tc>
        <w:tc>
          <w:tcPr>
            <w:tcW w:w="1417" w:type="dxa"/>
            <w:shd w:val="clear" w:color="auto" w:fill="00B0F0"/>
          </w:tcPr>
          <w:p w:rsidR="00E104E3" w:rsidRDefault="00E104E3" w:rsidP="00E93BBA"/>
        </w:tc>
        <w:tc>
          <w:tcPr>
            <w:tcW w:w="1559" w:type="dxa"/>
            <w:shd w:val="clear" w:color="auto" w:fill="00B0F0"/>
          </w:tcPr>
          <w:p w:rsidR="00E104E3" w:rsidRDefault="00E104E3" w:rsidP="00E93BBA"/>
        </w:tc>
        <w:tc>
          <w:tcPr>
            <w:tcW w:w="1503" w:type="dxa"/>
            <w:shd w:val="clear" w:color="auto" w:fill="00B0F0"/>
          </w:tcPr>
          <w:p w:rsidR="00E104E3" w:rsidRDefault="00E104E3" w:rsidP="00E93BBA"/>
        </w:tc>
      </w:tr>
      <w:tr w:rsidR="00600B40" w:rsidTr="002613EF">
        <w:tc>
          <w:tcPr>
            <w:tcW w:w="2093" w:type="dxa"/>
          </w:tcPr>
          <w:p w:rsidR="00E104E3" w:rsidRDefault="00600B40" w:rsidP="0019316D">
            <w:r>
              <w:t xml:space="preserve">Education  for </w:t>
            </w:r>
            <w:r w:rsidR="0019316D">
              <w:t>j</w:t>
            </w:r>
            <w:r w:rsidR="00941D0D">
              <w:t xml:space="preserve">unior </w:t>
            </w:r>
            <w:r w:rsidR="0019316D">
              <w:t>m</w:t>
            </w:r>
            <w:r w:rsidR="00941D0D">
              <w:t xml:space="preserve">edical </w:t>
            </w:r>
            <w:r w:rsidR="0019316D">
              <w:t>o</w:t>
            </w:r>
            <w:r w:rsidR="00941D0D">
              <w:t>fficer</w:t>
            </w:r>
            <w:r w:rsidR="0019316D">
              <w:t>s</w:t>
            </w:r>
            <w:r w:rsidR="00941D0D">
              <w:t xml:space="preserve"> </w:t>
            </w:r>
          </w:p>
        </w:tc>
        <w:tc>
          <w:tcPr>
            <w:tcW w:w="1417" w:type="dxa"/>
            <w:shd w:val="clear" w:color="auto" w:fill="00B0F0"/>
          </w:tcPr>
          <w:p w:rsidR="00E104E3" w:rsidRDefault="00E104E3" w:rsidP="00E93BBA"/>
        </w:tc>
        <w:tc>
          <w:tcPr>
            <w:tcW w:w="1560" w:type="dxa"/>
            <w:shd w:val="clear" w:color="auto" w:fill="00B0F0"/>
          </w:tcPr>
          <w:p w:rsidR="00E104E3" w:rsidRDefault="00E104E3" w:rsidP="00E93BBA"/>
        </w:tc>
        <w:tc>
          <w:tcPr>
            <w:tcW w:w="1417" w:type="dxa"/>
            <w:shd w:val="clear" w:color="auto" w:fill="00B0F0"/>
          </w:tcPr>
          <w:p w:rsidR="00E104E3" w:rsidRDefault="00E104E3" w:rsidP="00E93BBA"/>
        </w:tc>
        <w:tc>
          <w:tcPr>
            <w:tcW w:w="1559" w:type="dxa"/>
            <w:shd w:val="clear" w:color="auto" w:fill="00B0F0"/>
          </w:tcPr>
          <w:p w:rsidR="00E104E3" w:rsidRDefault="00E104E3" w:rsidP="00E93BBA"/>
        </w:tc>
        <w:tc>
          <w:tcPr>
            <w:tcW w:w="1503" w:type="dxa"/>
            <w:shd w:val="clear" w:color="auto" w:fill="00B0F0"/>
          </w:tcPr>
          <w:p w:rsidR="00E104E3" w:rsidRDefault="00E104E3" w:rsidP="00E93BBA"/>
        </w:tc>
      </w:tr>
      <w:tr w:rsidR="00600B40" w:rsidTr="002613EF">
        <w:tc>
          <w:tcPr>
            <w:tcW w:w="2093" w:type="dxa"/>
          </w:tcPr>
          <w:p w:rsidR="00E104E3" w:rsidRDefault="00600B40" w:rsidP="0019316D">
            <w:r>
              <w:t xml:space="preserve">Education for </w:t>
            </w:r>
            <w:r w:rsidR="0019316D">
              <w:t>g</w:t>
            </w:r>
            <w:r>
              <w:t xml:space="preserve">eneral </w:t>
            </w:r>
            <w:r w:rsidR="0019316D">
              <w:t>p</w:t>
            </w:r>
            <w:r>
              <w:t>ractitioners</w:t>
            </w:r>
            <w:r w:rsidR="00941D0D">
              <w:t xml:space="preserve"> </w:t>
            </w:r>
          </w:p>
        </w:tc>
        <w:tc>
          <w:tcPr>
            <w:tcW w:w="1417" w:type="dxa"/>
            <w:shd w:val="clear" w:color="auto" w:fill="00B0F0"/>
          </w:tcPr>
          <w:p w:rsidR="00E104E3" w:rsidRDefault="00E104E3" w:rsidP="00E93BBA"/>
        </w:tc>
        <w:tc>
          <w:tcPr>
            <w:tcW w:w="1560" w:type="dxa"/>
            <w:shd w:val="clear" w:color="auto" w:fill="00B0F0"/>
          </w:tcPr>
          <w:p w:rsidR="00E104E3" w:rsidRDefault="00E104E3" w:rsidP="00E93BBA"/>
        </w:tc>
        <w:tc>
          <w:tcPr>
            <w:tcW w:w="1417" w:type="dxa"/>
            <w:shd w:val="clear" w:color="auto" w:fill="00B0F0"/>
          </w:tcPr>
          <w:p w:rsidR="00E104E3" w:rsidRDefault="00E104E3" w:rsidP="00E93BBA"/>
        </w:tc>
        <w:tc>
          <w:tcPr>
            <w:tcW w:w="1559" w:type="dxa"/>
            <w:shd w:val="clear" w:color="auto" w:fill="00B0F0"/>
          </w:tcPr>
          <w:p w:rsidR="00E104E3" w:rsidRDefault="00E104E3" w:rsidP="00E93BBA"/>
        </w:tc>
        <w:tc>
          <w:tcPr>
            <w:tcW w:w="1503" w:type="dxa"/>
            <w:shd w:val="clear" w:color="auto" w:fill="00B0F0"/>
          </w:tcPr>
          <w:p w:rsidR="00E104E3" w:rsidRDefault="00E104E3" w:rsidP="00E93BBA"/>
        </w:tc>
      </w:tr>
      <w:tr w:rsidR="003E5C01" w:rsidTr="002613EF">
        <w:tc>
          <w:tcPr>
            <w:tcW w:w="2093" w:type="dxa"/>
          </w:tcPr>
          <w:p w:rsidR="003E5C01" w:rsidRDefault="003E5C01" w:rsidP="003B4117">
            <w:r>
              <w:t xml:space="preserve">Investigate multiple approaches to explore partnerships with relevant organisations for </w:t>
            </w:r>
            <w:r>
              <w:lastRenderedPageBreak/>
              <w:t xml:space="preserve">implementing education and training </w:t>
            </w:r>
          </w:p>
        </w:tc>
        <w:tc>
          <w:tcPr>
            <w:tcW w:w="1417" w:type="dxa"/>
            <w:shd w:val="clear" w:color="auto" w:fill="00B0F0"/>
          </w:tcPr>
          <w:p w:rsidR="003E5C01" w:rsidRDefault="003E5C01" w:rsidP="00E93BBA"/>
        </w:tc>
        <w:tc>
          <w:tcPr>
            <w:tcW w:w="1560" w:type="dxa"/>
            <w:shd w:val="clear" w:color="auto" w:fill="00B0F0"/>
          </w:tcPr>
          <w:p w:rsidR="003E5C01" w:rsidRDefault="003E5C01" w:rsidP="00E93BBA"/>
        </w:tc>
        <w:tc>
          <w:tcPr>
            <w:tcW w:w="1417" w:type="dxa"/>
            <w:shd w:val="clear" w:color="auto" w:fill="00B0F0"/>
          </w:tcPr>
          <w:p w:rsidR="003E5C01" w:rsidRDefault="003E5C01" w:rsidP="00E93BBA"/>
        </w:tc>
        <w:tc>
          <w:tcPr>
            <w:tcW w:w="1559" w:type="dxa"/>
          </w:tcPr>
          <w:p w:rsidR="003E5C01" w:rsidRDefault="003E5C01" w:rsidP="00E93BBA"/>
        </w:tc>
        <w:tc>
          <w:tcPr>
            <w:tcW w:w="1503" w:type="dxa"/>
          </w:tcPr>
          <w:p w:rsidR="003E5C01" w:rsidRDefault="003E5C01" w:rsidP="00E93BBA"/>
        </w:tc>
      </w:tr>
      <w:tr w:rsidR="003B4117" w:rsidTr="002613EF">
        <w:tc>
          <w:tcPr>
            <w:tcW w:w="2093" w:type="dxa"/>
          </w:tcPr>
          <w:p w:rsidR="003B4117" w:rsidRDefault="003B4117" w:rsidP="003B4117">
            <w:r>
              <w:lastRenderedPageBreak/>
              <w:t xml:space="preserve">Education for Nurse Practitioners </w:t>
            </w:r>
          </w:p>
        </w:tc>
        <w:tc>
          <w:tcPr>
            <w:tcW w:w="1417" w:type="dxa"/>
            <w:shd w:val="clear" w:color="auto" w:fill="00B0F0"/>
          </w:tcPr>
          <w:p w:rsidR="003B4117" w:rsidRDefault="003B4117" w:rsidP="00E93BBA"/>
        </w:tc>
        <w:tc>
          <w:tcPr>
            <w:tcW w:w="1560" w:type="dxa"/>
            <w:shd w:val="clear" w:color="auto" w:fill="00B0F0"/>
          </w:tcPr>
          <w:p w:rsidR="003B4117" w:rsidRDefault="003B4117" w:rsidP="00E93BBA"/>
        </w:tc>
        <w:tc>
          <w:tcPr>
            <w:tcW w:w="1417" w:type="dxa"/>
            <w:shd w:val="clear" w:color="auto" w:fill="00B0F0"/>
          </w:tcPr>
          <w:p w:rsidR="003B4117" w:rsidRDefault="003B4117" w:rsidP="00E93BBA"/>
        </w:tc>
        <w:tc>
          <w:tcPr>
            <w:tcW w:w="1559" w:type="dxa"/>
          </w:tcPr>
          <w:p w:rsidR="003B4117" w:rsidRDefault="003B4117" w:rsidP="00E93BBA"/>
        </w:tc>
        <w:tc>
          <w:tcPr>
            <w:tcW w:w="1503" w:type="dxa"/>
          </w:tcPr>
          <w:p w:rsidR="003B4117" w:rsidRDefault="003B4117" w:rsidP="00E93BBA"/>
        </w:tc>
      </w:tr>
      <w:tr w:rsidR="00600B40" w:rsidTr="002613EF">
        <w:tc>
          <w:tcPr>
            <w:tcW w:w="2093" w:type="dxa"/>
          </w:tcPr>
          <w:p w:rsidR="00E104E3" w:rsidRDefault="00941D0D" w:rsidP="0019316D">
            <w:r>
              <w:t>Prescribing forum</w:t>
            </w:r>
            <w:r w:rsidR="00600B40">
              <w:t xml:space="preserve"> for </w:t>
            </w:r>
            <w:r w:rsidR="0019316D">
              <w:t>h</w:t>
            </w:r>
            <w:r w:rsidR="00600B40">
              <w:t>ealthcare professionals</w:t>
            </w:r>
          </w:p>
        </w:tc>
        <w:tc>
          <w:tcPr>
            <w:tcW w:w="1417" w:type="dxa"/>
            <w:shd w:val="clear" w:color="auto" w:fill="00B0F0"/>
          </w:tcPr>
          <w:p w:rsidR="00E104E3" w:rsidRDefault="00E104E3" w:rsidP="00E93BBA"/>
        </w:tc>
        <w:tc>
          <w:tcPr>
            <w:tcW w:w="1560" w:type="dxa"/>
            <w:shd w:val="clear" w:color="auto" w:fill="00B0F0"/>
          </w:tcPr>
          <w:p w:rsidR="00E104E3" w:rsidRDefault="00E104E3" w:rsidP="00E93BBA"/>
        </w:tc>
        <w:tc>
          <w:tcPr>
            <w:tcW w:w="1417" w:type="dxa"/>
            <w:shd w:val="clear" w:color="auto" w:fill="00B0F0"/>
          </w:tcPr>
          <w:p w:rsidR="00E104E3" w:rsidRDefault="00E104E3" w:rsidP="00E93BBA"/>
        </w:tc>
        <w:tc>
          <w:tcPr>
            <w:tcW w:w="1559" w:type="dxa"/>
          </w:tcPr>
          <w:p w:rsidR="00E104E3" w:rsidRDefault="00E104E3" w:rsidP="00E93BBA"/>
        </w:tc>
        <w:tc>
          <w:tcPr>
            <w:tcW w:w="1503" w:type="dxa"/>
          </w:tcPr>
          <w:p w:rsidR="00E104E3" w:rsidRDefault="00E104E3" w:rsidP="00E93BBA"/>
        </w:tc>
      </w:tr>
      <w:tr w:rsidR="003B4117" w:rsidTr="002613EF">
        <w:tc>
          <w:tcPr>
            <w:tcW w:w="2093" w:type="dxa"/>
          </w:tcPr>
          <w:p w:rsidR="003B4117" w:rsidRDefault="003B4117" w:rsidP="003B4117">
            <w:r>
              <w:t>Work with relevant organisations to implement PBM in curriculum’s for doctors and nurses at tertiary institutions</w:t>
            </w:r>
          </w:p>
        </w:tc>
        <w:tc>
          <w:tcPr>
            <w:tcW w:w="1417" w:type="dxa"/>
            <w:shd w:val="clear" w:color="auto" w:fill="00B0F0"/>
          </w:tcPr>
          <w:p w:rsidR="003B4117" w:rsidRDefault="003B4117" w:rsidP="00E93BBA"/>
        </w:tc>
        <w:tc>
          <w:tcPr>
            <w:tcW w:w="1560" w:type="dxa"/>
            <w:shd w:val="clear" w:color="auto" w:fill="00B0F0"/>
          </w:tcPr>
          <w:p w:rsidR="003B4117" w:rsidRDefault="003B4117" w:rsidP="00E93BBA"/>
        </w:tc>
        <w:tc>
          <w:tcPr>
            <w:tcW w:w="1417" w:type="dxa"/>
            <w:shd w:val="clear" w:color="auto" w:fill="00B0F0"/>
          </w:tcPr>
          <w:p w:rsidR="003B4117" w:rsidRDefault="003B4117" w:rsidP="00E93BBA"/>
        </w:tc>
        <w:tc>
          <w:tcPr>
            <w:tcW w:w="1559" w:type="dxa"/>
          </w:tcPr>
          <w:p w:rsidR="003B4117" w:rsidRDefault="003B4117" w:rsidP="00E93BBA"/>
        </w:tc>
        <w:tc>
          <w:tcPr>
            <w:tcW w:w="1503" w:type="dxa"/>
          </w:tcPr>
          <w:p w:rsidR="003B4117" w:rsidRDefault="003B4117" w:rsidP="00E93BBA"/>
        </w:tc>
      </w:tr>
    </w:tbl>
    <w:p w:rsidR="00E104E3" w:rsidRPr="00E104E3" w:rsidRDefault="00E104E3" w:rsidP="00600B40"/>
    <w:p w:rsidR="00867C5B" w:rsidRDefault="00F2569F" w:rsidP="00E11E6B">
      <w:pPr>
        <w:pStyle w:val="Heading4"/>
        <w:numPr>
          <w:ilvl w:val="0"/>
          <w:numId w:val="13"/>
        </w:numPr>
        <w:spacing w:after="240"/>
        <w:ind w:left="567" w:hanging="567"/>
      </w:pPr>
      <w:r>
        <w:t>Promotion and Communication</w:t>
      </w:r>
    </w:p>
    <w:p w:rsidR="00E104E3" w:rsidRDefault="0058141E" w:rsidP="002613EF">
      <w:r>
        <w:t>The NBA</w:t>
      </w:r>
      <w:r w:rsidR="0019316D">
        <w:t>,</w:t>
      </w:r>
      <w:r>
        <w:t xml:space="preserve"> with the support of the PBM Steering Committee</w:t>
      </w:r>
      <w:r w:rsidR="00233E11">
        <w:t>,</w:t>
      </w:r>
      <w:r>
        <w:t xml:space="preserve"> </w:t>
      </w:r>
      <w:r w:rsidR="0019316D">
        <w:t>will</w:t>
      </w:r>
      <w:r>
        <w:t xml:space="preserve"> design and undertake promotional/communication campaigns</w:t>
      </w:r>
      <w:r w:rsidR="009A6550">
        <w:t xml:space="preserve"> that</w:t>
      </w:r>
      <w:r>
        <w:t xml:space="preserve"> target specific groups of </w:t>
      </w:r>
      <w:r w:rsidR="009A6550">
        <w:t>health service organisations</w:t>
      </w:r>
      <w:r>
        <w:t xml:space="preserve"> </w:t>
      </w:r>
      <w:r w:rsidR="002613EF">
        <w:t xml:space="preserve">and patients </w:t>
      </w:r>
      <w:r>
        <w:t>to enhance awareness of PBM. These campaigns will be undertaken in conjunction with clinicians, jurisdictions</w:t>
      </w:r>
      <w:r w:rsidR="0019316D">
        <w:t>,</w:t>
      </w:r>
      <w:r>
        <w:t xml:space="preserve"> patient advocacy groups and other stakeholders where relevant</w:t>
      </w:r>
      <w:r w:rsidR="002613EF">
        <w:t>.</w:t>
      </w:r>
    </w:p>
    <w:tbl>
      <w:tblPr>
        <w:tblStyle w:val="TableGrid"/>
        <w:tblW w:w="0" w:type="auto"/>
        <w:tblLook w:val="04A0" w:firstRow="1" w:lastRow="0" w:firstColumn="1" w:lastColumn="0" w:noHBand="0" w:noVBand="1"/>
      </w:tblPr>
      <w:tblGrid>
        <w:gridCol w:w="2027"/>
        <w:gridCol w:w="1502"/>
        <w:gridCol w:w="1503"/>
        <w:gridCol w:w="1505"/>
        <w:gridCol w:w="1507"/>
        <w:gridCol w:w="1505"/>
      </w:tblGrid>
      <w:tr w:rsidR="00E104E3" w:rsidRPr="003E2F20" w:rsidTr="003E2F20">
        <w:tc>
          <w:tcPr>
            <w:tcW w:w="2027" w:type="dxa"/>
          </w:tcPr>
          <w:p w:rsidR="00E104E3" w:rsidRPr="003E2F20" w:rsidRDefault="00E104E3" w:rsidP="008A1CC8">
            <w:pPr>
              <w:jc w:val="center"/>
              <w:rPr>
                <w:b/>
              </w:rPr>
            </w:pPr>
          </w:p>
        </w:tc>
        <w:tc>
          <w:tcPr>
            <w:tcW w:w="1502" w:type="dxa"/>
          </w:tcPr>
          <w:p w:rsidR="00E104E3" w:rsidRPr="003E2F20" w:rsidRDefault="00E104E3" w:rsidP="008A1CC8">
            <w:pPr>
              <w:jc w:val="center"/>
              <w:rPr>
                <w:b/>
              </w:rPr>
            </w:pPr>
            <w:r w:rsidRPr="003E2F20">
              <w:rPr>
                <w:b/>
              </w:rPr>
              <w:t>2017</w:t>
            </w:r>
          </w:p>
        </w:tc>
        <w:tc>
          <w:tcPr>
            <w:tcW w:w="1503" w:type="dxa"/>
          </w:tcPr>
          <w:p w:rsidR="00E104E3" w:rsidRPr="003E2F20" w:rsidRDefault="00E104E3" w:rsidP="008A1CC8">
            <w:pPr>
              <w:jc w:val="center"/>
              <w:rPr>
                <w:b/>
              </w:rPr>
            </w:pPr>
            <w:r w:rsidRPr="003E2F20">
              <w:rPr>
                <w:b/>
              </w:rPr>
              <w:t>2018</w:t>
            </w:r>
          </w:p>
        </w:tc>
        <w:tc>
          <w:tcPr>
            <w:tcW w:w="1505" w:type="dxa"/>
          </w:tcPr>
          <w:p w:rsidR="00E104E3" w:rsidRPr="003E2F20" w:rsidRDefault="00E104E3" w:rsidP="008A1CC8">
            <w:pPr>
              <w:jc w:val="center"/>
              <w:rPr>
                <w:b/>
              </w:rPr>
            </w:pPr>
            <w:r w:rsidRPr="003E2F20">
              <w:rPr>
                <w:b/>
              </w:rPr>
              <w:t>2019</w:t>
            </w:r>
          </w:p>
        </w:tc>
        <w:tc>
          <w:tcPr>
            <w:tcW w:w="1507" w:type="dxa"/>
          </w:tcPr>
          <w:p w:rsidR="00E104E3" w:rsidRPr="003E2F20" w:rsidRDefault="00E104E3" w:rsidP="008A1CC8">
            <w:pPr>
              <w:jc w:val="center"/>
              <w:rPr>
                <w:b/>
              </w:rPr>
            </w:pPr>
            <w:r w:rsidRPr="003E2F20">
              <w:rPr>
                <w:b/>
              </w:rPr>
              <w:t>2020</w:t>
            </w:r>
          </w:p>
        </w:tc>
        <w:tc>
          <w:tcPr>
            <w:tcW w:w="1505" w:type="dxa"/>
          </w:tcPr>
          <w:p w:rsidR="00E104E3" w:rsidRPr="003E2F20" w:rsidRDefault="00E104E3" w:rsidP="008A1CC8">
            <w:pPr>
              <w:jc w:val="center"/>
              <w:rPr>
                <w:b/>
              </w:rPr>
            </w:pPr>
            <w:r w:rsidRPr="003E2F20">
              <w:rPr>
                <w:b/>
              </w:rPr>
              <w:t>2021</w:t>
            </w:r>
          </w:p>
        </w:tc>
      </w:tr>
      <w:tr w:rsidR="00E104E3" w:rsidTr="00E11E6B">
        <w:tc>
          <w:tcPr>
            <w:tcW w:w="2027" w:type="dxa"/>
          </w:tcPr>
          <w:p w:rsidR="00E104E3" w:rsidRDefault="002613EF" w:rsidP="0019316D">
            <w:r>
              <w:t xml:space="preserve">PBM for </w:t>
            </w:r>
            <w:r w:rsidR="0019316D">
              <w:t>c</w:t>
            </w:r>
            <w:r>
              <w:t>onsumers/</w:t>
            </w:r>
            <w:r w:rsidR="0019316D">
              <w:t>p</w:t>
            </w:r>
            <w:r>
              <w:t>atients</w:t>
            </w:r>
            <w:r w:rsidR="007D3D36">
              <w:t xml:space="preserve"> </w:t>
            </w:r>
          </w:p>
        </w:tc>
        <w:tc>
          <w:tcPr>
            <w:tcW w:w="1502" w:type="dxa"/>
          </w:tcPr>
          <w:p w:rsidR="00E104E3" w:rsidRDefault="00E104E3" w:rsidP="00E93BBA"/>
        </w:tc>
        <w:tc>
          <w:tcPr>
            <w:tcW w:w="1503" w:type="dxa"/>
            <w:shd w:val="clear" w:color="auto" w:fill="00B0F0"/>
          </w:tcPr>
          <w:p w:rsidR="00E104E3" w:rsidRDefault="00E104E3" w:rsidP="00E93BBA"/>
        </w:tc>
        <w:tc>
          <w:tcPr>
            <w:tcW w:w="1505" w:type="dxa"/>
            <w:shd w:val="clear" w:color="auto" w:fill="00B0F0"/>
          </w:tcPr>
          <w:p w:rsidR="00E104E3" w:rsidRDefault="00E104E3" w:rsidP="00E93BBA"/>
        </w:tc>
        <w:tc>
          <w:tcPr>
            <w:tcW w:w="1507" w:type="dxa"/>
            <w:shd w:val="clear" w:color="auto" w:fill="00B0F0"/>
          </w:tcPr>
          <w:p w:rsidR="00E104E3" w:rsidRDefault="00E104E3" w:rsidP="00E93BBA"/>
        </w:tc>
        <w:tc>
          <w:tcPr>
            <w:tcW w:w="1505" w:type="dxa"/>
          </w:tcPr>
          <w:p w:rsidR="00E104E3" w:rsidRDefault="00E104E3" w:rsidP="00E93BBA"/>
        </w:tc>
      </w:tr>
      <w:tr w:rsidR="00E93BBA" w:rsidTr="003E2F20">
        <w:tc>
          <w:tcPr>
            <w:tcW w:w="2027" w:type="dxa"/>
          </w:tcPr>
          <w:p w:rsidR="00E104E3" w:rsidRDefault="002613EF" w:rsidP="00E93BBA">
            <w:r>
              <w:t>Conference</w:t>
            </w:r>
            <w:r w:rsidR="00E93BBA">
              <w:t xml:space="preserve"> attendance</w:t>
            </w:r>
          </w:p>
        </w:tc>
        <w:tc>
          <w:tcPr>
            <w:tcW w:w="1502" w:type="dxa"/>
            <w:shd w:val="clear" w:color="auto" w:fill="00B0F0"/>
          </w:tcPr>
          <w:p w:rsidR="00E104E3" w:rsidRDefault="00E104E3" w:rsidP="00E93BBA"/>
        </w:tc>
        <w:tc>
          <w:tcPr>
            <w:tcW w:w="1503" w:type="dxa"/>
            <w:shd w:val="clear" w:color="auto" w:fill="00B0F0"/>
          </w:tcPr>
          <w:p w:rsidR="00E104E3" w:rsidRDefault="00E104E3" w:rsidP="00E93BBA"/>
        </w:tc>
        <w:tc>
          <w:tcPr>
            <w:tcW w:w="1505" w:type="dxa"/>
            <w:shd w:val="clear" w:color="auto" w:fill="00B0F0"/>
          </w:tcPr>
          <w:p w:rsidR="00E104E3" w:rsidRDefault="00E104E3" w:rsidP="00E93BBA"/>
        </w:tc>
        <w:tc>
          <w:tcPr>
            <w:tcW w:w="1507" w:type="dxa"/>
            <w:shd w:val="clear" w:color="auto" w:fill="00B0F0"/>
          </w:tcPr>
          <w:p w:rsidR="00E104E3" w:rsidRDefault="00E104E3" w:rsidP="00E93BBA"/>
        </w:tc>
        <w:tc>
          <w:tcPr>
            <w:tcW w:w="1505" w:type="dxa"/>
            <w:shd w:val="clear" w:color="auto" w:fill="00B0F0"/>
          </w:tcPr>
          <w:p w:rsidR="00E104E3" w:rsidRDefault="00E104E3" w:rsidP="00E93BBA"/>
        </w:tc>
      </w:tr>
      <w:tr w:rsidR="00E104E3" w:rsidTr="00E11E6B">
        <w:tc>
          <w:tcPr>
            <w:tcW w:w="2027" w:type="dxa"/>
          </w:tcPr>
          <w:p w:rsidR="00E104E3" w:rsidRDefault="00E93BBA" w:rsidP="00E93BBA">
            <w:r>
              <w:t>PBM awareness week</w:t>
            </w:r>
          </w:p>
        </w:tc>
        <w:tc>
          <w:tcPr>
            <w:tcW w:w="1502" w:type="dxa"/>
            <w:shd w:val="clear" w:color="auto" w:fill="00B0F0"/>
          </w:tcPr>
          <w:p w:rsidR="00E104E3" w:rsidRDefault="00E104E3" w:rsidP="00E93BBA"/>
        </w:tc>
        <w:tc>
          <w:tcPr>
            <w:tcW w:w="1503" w:type="dxa"/>
            <w:shd w:val="clear" w:color="auto" w:fill="00B0F0"/>
          </w:tcPr>
          <w:p w:rsidR="00E104E3" w:rsidRDefault="00E104E3" w:rsidP="00E93BBA"/>
        </w:tc>
        <w:tc>
          <w:tcPr>
            <w:tcW w:w="1505" w:type="dxa"/>
            <w:shd w:val="clear" w:color="auto" w:fill="00B0F0"/>
          </w:tcPr>
          <w:p w:rsidR="00E104E3" w:rsidRDefault="00E104E3" w:rsidP="00E93BBA"/>
        </w:tc>
        <w:tc>
          <w:tcPr>
            <w:tcW w:w="1507" w:type="dxa"/>
            <w:shd w:val="clear" w:color="auto" w:fill="00B0F0"/>
          </w:tcPr>
          <w:p w:rsidR="00E104E3" w:rsidRDefault="00E104E3" w:rsidP="00E93BBA"/>
        </w:tc>
        <w:tc>
          <w:tcPr>
            <w:tcW w:w="1505" w:type="dxa"/>
            <w:shd w:val="clear" w:color="auto" w:fill="00B0F0"/>
          </w:tcPr>
          <w:p w:rsidR="00E104E3" w:rsidRDefault="00E104E3" w:rsidP="00E93BBA"/>
        </w:tc>
      </w:tr>
      <w:tr w:rsidR="003E5C01" w:rsidTr="00E11E6B">
        <w:tc>
          <w:tcPr>
            <w:tcW w:w="2027" w:type="dxa"/>
          </w:tcPr>
          <w:p w:rsidR="003E5C01" w:rsidRDefault="003E5C01" w:rsidP="00E93BBA">
            <w:r>
              <w:t>Investigate multiple approaches to explore partnerships with relevant organisations for implementing communication protocols</w:t>
            </w:r>
          </w:p>
        </w:tc>
        <w:tc>
          <w:tcPr>
            <w:tcW w:w="1502" w:type="dxa"/>
            <w:shd w:val="clear" w:color="auto" w:fill="00B0F0"/>
          </w:tcPr>
          <w:p w:rsidR="003E5C01" w:rsidRDefault="003E5C01" w:rsidP="00E93BBA"/>
        </w:tc>
        <w:tc>
          <w:tcPr>
            <w:tcW w:w="1503" w:type="dxa"/>
            <w:shd w:val="clear" w:color="auto" w:fill="00B0F0"/>
          </w:tcPr>
          <w:p w:rsidR="003E5C01" w:rsidRDefault="003E5C01" w:rsidP="00E93BBA"/>
        </w:tc>
        <w:tc>
          <w:tcPr>
            <w:tcW w:w="1505" w:type="dxa"/>
            <w:shd w:val="clear" w:color="auto" w:fill="00B0F0"/>
          </w:tcPr>
          <w:p w:rsidR="003E5C01" w:rsidRDefault="003E5C01" w:rsidP="00E93BBA"/>
        </w:tc>
        <w:tc>
          <w:tcPr>
            <w:tcW w:w="1507" w:type="dxa"/>
          </w:tcPr>
          <w:p w:rsidR="003E5C01" w:rsidRDefault="003E5C01" w:rsidP="00E93BBA"/>
        </w:tc>
        <w:tc>
          <w:tcPr>
            <w:tcW w:w="1505" w:type="dxa"/>
          </w:tcPr>
          <w:p w:rsidR="003E5C01" w:rsidRDefault="003E5C01" w:rsidP="00E93BBA"/>
        </w:tc>
      </w:tr>
      <w:tr w:rsidR="009A6550" w:rsidTr="00E11E6B">
        <w:tc>
          <w:tcPr>
            <w:tcW w:w="2027" w:type="dxa"/>
          </w:tcPr>
          <w:p w:rsidR="009A6550" w:rsidRDefault="009A6550" w:rsidP="0019316D">
            <w:r>
              <w:t xml:space="preserve">Development and </w:t>
            </w:r>
            <w:r w:rsidR="0019316D">
              <w:t>p</w:t>
            </w:r>
            <w:r>
              <w:t xml:space="preserve">romulgation of a </w:t>
            </w:r>
            <w:r w:rsidR="0019316D">
              <w:t>c</w:t>
            </w:r>
            <w:r>
              <w:t xml:space="preserve">ommunication and </w:t>
            </w:r>
            <w:r w:rsidR="0019316D">
              <w:t>m</w:t>
            </w:r>
            <w:r>
              <w:t xml:space="preserve">arketing </w:t>
            </w:r>
            <w:r w:rsidR="0019316D">
              <w:t>s</w:t>
            </w:r>
            <w:r>
              <w:t>trategy</w:t>
            </w:r>
          </w:p>
        </w:tc>
        <w:tc>
          <w:tcPr>
            <w:tcW w:w="1502" w:type="dxa"/>
            <w:shd w:val="clear" w:color="auto" w:fill="00B0F0"/>
          </w:tcPr>
          <w:p w:rsidR="009A6550" w:rsidRDefault="009A6550" w:rsidP="00E93BBA"/>
        </w:tc>
        <w:tc>
          <w:tcPr>
            <w:tcW w:w="1503" w:type="dxa"/>
            <w:shd w:val="clear" w:color="auto" w:fill="00B0F0"/>
          </w:tcPr>
          <w:p w:rsidR="009A6550" w:rsidRDefault="009A6550" w:rsidP="009A6550"/>
        </w:tc>
        <w:tc>
          <w:tcPr>
            <w:tcW w:w="1505" w:type="dxa"/>
            <w:shd w:val="clear" w:color="auto" w:fill="00B0F0"/>
          </w:tcPr>
          <w:p w:rsidR="009A6550" w:rsidRDefault="009A6550" w:rsidP="00E93BBA"/>
        </w:tc>
        <w:tc>
          <w:tcPr>
            <w:tcW w:w="1507" w:type="dxa"/>
            <w:shd w:val="clear" w:color="auto" w:fill="00B0F0"/>
          </w:tcPr>
          <w:p w:rsidR="009A6550" w:rsidRDefault="009A6550" w:rsidP="00E93BBA"/>
        </w:tc>
        <w:tc>
          <w:tcPr>
            <w:tcW w:w="1505" w:type="dxa"/>
            <w:shd w:val="clear" w:color="auto" w:fill="00B0F0"/>
          </w:tcPr>
          <w:p w:rsidR="009A6550" w:rsidRDefault="009A6550" w:rsidP="00E93BBA"/>
        </w:tc>
      </w:tr>
    </w:tbl>
    <w:p w:rsidR="007C43EF" w:rsidRDefault="007C43EF" w:rsidP="001051F9">
      <w:pPr>
        <w:pStyle w:val="Heading4"/>
        <w:ind w:left="720"/>
      </w:pPr>
    </w:p>
    <w:p w:rsidR="00F2569F" w:rsidRDefault="00F2569F" w:rsidP="00E11E6B">
      <w:pPr>
        <w:pStyle w:val="Heading4"/>
        <w:numPr>
          <w:ilvl w:val="0"/>
          <w:numId w:val="13"/>
        </w:numPr>
        <w:spacing w:after="240"/>
        <w:ind w:left="567" w:hanging="567"/>
      </w:pPr>
      <w:r>
        <w:t xml:space="preserve">Data </w:t>
      </w:r>
    </w:p>
    <w:p w:rsidR="00E104E3" w:rsidRDefault="002A5105" w:rsidP="00E93BBA">
      <w:r>
        <w:t>The NBA</w:t>
      </w:r>
      <w:r w:rsidR="000F27C1">
        <w:t>,</w:t>
      </w:r>
      <w:r>
        <w:t xml:space="preserve"> in conjunction with the PBM Steering Committee</w:t>
      </w:r>
      <w:r w:rsidR="00233E11">
        <w:t>,</w:t>
      </w:r>
      <w:r>
        <w:t xml:space="preserve"> will develop national outcome and performance measures </w:t>
      </w:r>
      <w:r w:rsidR="00241B0F">
        <w:t>relating to the initiatives in the PBM Guidelines and to support the PBM principles.</w:t>
      </w:r>
    </w:p>
    <w:p w:rsidR="00241B0F" w:rsidRDefault="0077231D" w:rsidP="00241B0F">
      <w:r w:rsidRPr="0077231D">
        <w:lastRenderedPageBreak/>
        <w:t>Data can be used to support benchmarking to facilitate and enable measurement of practice improvement.</w:t>
      </w:r>
      <w:r w:rsidR="00241B0F" w:rsidRPr="00241B0F">
        <w:t xml:space="preserve"> </w:t>
      </w:r>
    </w:p>
    <w:tbl>
      <w:tblPr>
        <w:tblStyle w:val="TableGrid"/>
        <w:tblW w:w="0" w:type="auto"/>
        <w:tblLook w:val="04A0" w:firstRow="1" w:lastRow="0" w:firstColumn="1" w:lastColumn="0" w:noHBand="0" w:noVBand="1"/>
      </w:tblPr>
      <w:tblGrid>
        <w:gridCol w:w="1951"/>
        <w:gridCol w:w="1559"/>
        <w:gridCol w:w="1560"/>
        <w:gridCol w:w="1417"/>
        <w:gridCol w:w="1559"/>
        <w:gridCol w:w="1503"/>
      </w:tblGrid>
      <w:tr w:rsidR="00E93BBA" w:rsidRPr="003E2F20" w:rsidTr="003E2F20">
        <w:trPr>
          <w:tblHeader/>
        </w:trPr>
        <w:tc>
          <w:tcPr>
            <w:tcW w:w="1951" w:type="dxa"/>
          </w:tcPr>
          <w:p w:rsidR="00E104E3" w:rsidRPr="003E2F20" w:rsidRDefault="00E104E3" w:rsidP="008A1CC8">
            <w:pPr>
              <w:jc w:val="center"/>
              <w:rPr>
                <w:b/>
              </w:rPr>
            </w:pPr>
          </w:p>
        </w:tc>
        <w:tc>
          <w:tcPr>
            <w:tcW w:w="1559" w:type="dxa"/>
          </w:tcPr>
          <w:p w:rsidR="00E104E3" w:rsidRPr="003E2F20" w:rsidRDefault="00E104E3" w:rsidP="008A1CC8">
            <w:pPr>
              <w:jc w:val="center"/>
              <w:rPr>
                <w:b/>
              </w:rPr>
            </w:pPr>
            <w:r w:rsidRPr="003E2F20">
              <w:rPr>
                <w:b/>
              </w:rPr>
              <w:t>2017</w:t>
            </w:r>
          </w:p>
        </w:tc>
        <w:tc>
          <w:tcPr>
            <w:tcW w:w="1560" w:type="dxa"/>
          </w:tcPr>
          <w:p w:rsidR="00E104E3" w:rsidRPr="003E2F20" w:rsidRDefault="00E104E3" w:rsidP="008A1CC8">
            <w:pPr>
              <w:jc w:val="center"/>
              <w:rPr>
                <w:b/>
              </w:rPr>
            </w:pPr>
            <w:r w:rsidRPr="003E2F20">
              <w:rPr>
                <w:b/>
              </w:rPr>
              <w:t>2018</w:t>
            </w:r>
          </w:p>
        </w:tc>
        <w:tc>
          <w:tcPr>
            <w:tcW w:w="1417" w:type="dxa"/>
          </w:tcPr>
          <w:p w:rsidR="00E104E3" w:rsidRPr="003E2F20" w:rsidRDefault="00E104E3" w:rsidP="008A1CC8">
            <w:pPr>
              <w:jc w:val="center"/>
              <w:rPr>
                <w:b/>
              </w:rPr>
            </w:pPr>
            <w:r w:rsidRPr="003E2F20">
              <w:rPr>
                <w:b/>
              </w:rPr>
              <w:t>2019</w:t>
            </w:r>
          </w:p>
        </w:tc>
        <w:tc>
          <w:tcPr>
            <w:tcW w:w="1559" w:type="dxa"/>
          </w:tcPr>
          <w:p w:rsidR="00E104E3" w:rsidRPr="003E2F20" w:rsidRDefault="00E104E3" w:rsidP="008A1CC8">
            <w:pPr>
              <w:jc w:val="center"/>
              <w:rPr>
                <w:b/>
              </w:rPr>
            </w:pPr>
            <w:r w:rsidRPr="003E2F20">
              <w:rPr>
                <w:b/>
              </w:rPr>
              <w:t>2020</w:t>
            </w:r>
          </w:p>
        </w:tc>
        <w:tc>
          <w:tcPr>
            <w:tcW w:w="1503" w:type="dxa"/>
          </w:tcPr>
          <w:p w:rsidR="00E104E3" w:rsidRPr="003E2F20" w:rsidRDefault="00E104E3" w:rsidP="008A1CC8">
            <w:pPr>
              <w:jc w:val="center"/>
              <w:rPr>
                <w:b/>
              </w:rPr>
            </w:pPr>
            <w:r w:rsidRPr="003E2F20">
              <w:rPr>
                <w:b/>
              </w:rPr>
              <w:t>2021</w:t>
            </w:r>
          </w:p>
        </w:tc>
      </w:tr>
      <w:tr w:rsidR="00E93BBA" w:rsidTr="00241B0F">
        <w:tc>
          <w:tcPr>
            <w:tcW w:w="1951" w:type="dxa"/>
          </w:tcPr>
          <w:p w:rsidR="00660A6A" w:rsidRDefault="00E93BBA" w:rsidP="00660A6A">
            <w:r>
              <w:t>National o</w:t>
            </w:r>
            <w:r w:rsidR="00941D0D">
              <w:t xml:space="preserve">utcomes and </w:t>
            </w:r>
            <w:r>
              <w:t xml:space="preserve">performance </w:t>
            </w:r>
            <w:r w:rsidR="00941D0D">
              <w:t>measures</w:t>
            </w:r>
            <w:r w:rsidR="00241B0F">
              <w:t xml:space="preserve"> agreed</w:t>
            </w:r>
          </w:p>
        </w:tc>
        <w:tc>
          <w:tcPr>
            <w:tcW w:w="1559" w:type="dxa"/>
            <w:shd w:val="clear" w:color="auto" w:fill="00B0F0"/>
          </w:tcPr>
          <w:p w:rsidR="00660A6A" w:rsidRDefault="00660A6A" w:rsidP="00E93BBA"/>
        </w:tc>
        <w:tc>
          <w:tcPr>
            <w:tcW w:w="1560" w:type="dxa"/>
            <w:shd w:val="clear" w:color="auto" w:fill="00B0F0"/>
          </w:tcPr>
          <w:p w:rsidR="00660A6A" w:rsidRDefault="00660A6A" w:rsidP="00E93BBA"/>
        </w:tc>
        <w:tc>
          <w:tcPr>
            <w:tcW w:w="1417" w:type="dxa"/>
          </w:tcPr>
          <w:p w:rsidR="00660A6A" w:rsidRDefault="00660A6A" w:rsidP="00E93BBA"/>
        </w:tc>
        <w:tc>
          <w:tcPr>
            <w:tcW w:w="1559" w:type="dxa"/>
          </w:tcPr>
          <w:p w:rsidR="00660A6A" w:rsidRDefault="00660A6A" w:rsidP="00E93BBA"/>
        </w:tc>
        <w:tc>
          <w:tcPr>
            <w:tcW w:w="1503" w:type="dxa"/>
          </w:tcPr>
          <w:p w:rsidR="00660A6A" w:rsidRDefault="00660A6A" w:rsidP="00E93BBA"/>
        </w:tc>
      </w:tr>
      <w:tr w:rsidR="00E93BBA" w:rsidTr="00241B0F">
        <w:tc>
          <w:tcPr>
            <w:tcW w:w="1951" w:type="dxa"/>
          </w:tcPr>
          <w:p w:rsidR="00E104E3" w:rsidRDefault="00660A6A" w:rsidP="0019316D">
            <w:r>
              <w:t xml:space="preserve">National </w:t>
            </w:r>
            <w:r w:rsidR="0019316D">
              <w:t>c</w:t>
            </w:r>
            <w:r>
              <w:t>linical indicators</w:t>
            </w:r>
            <w:r w:rsidR="00241B0F">
              <w:t xml:space="preserve"> developed and implemented</w:t>
            </w:r>
          </w:p>
        </w:tc>
        <w:tc>
          <w:tcPr>
            <w:tcW w:w="1559" w:type="dxa"/>
          </w:tcPr>
          <w:p w:rsidR="00E104E3" w:rsidRDefault="00E104E3" w:rsidP="00E93BBA"/>
        </w:tc>
        <w:tc>
          <w:tcPr>
            <w:tcW w:w="1560" w:type="dxa"/>
            <w:shd w:val="clear" w:color="auto" w:fill="00B0F0"/>
          </w:tcPr>
          <w:p w:rsidR="00E104E3" w:rsidRDefault="00E104E3" w:rsidP="00E93BBA"/>
        </w:tc>
        <w:tc>
          <w:tcPr>
            <w:tcW w:w="1417" w:type="dxa"/>
            <w:shd w:val="clear" w:color="auto" w:fill="00B0F0"/>
          </w:tcPr>
          <w:p w:rsidR="00E104E3" w:rsidRDefault="00E104E3" w:rsidP="00E93BBA"/>
        </w:tc>
        <w:tc>
          <w:tcPr>
            <w:tcW w:w="1559" w:type="dxa"/>
          </w:tcPr>
          <w:p w:rsidR="00E104E3" w:rsidRDefault="00E104E3" w:rsidP="00E93BBA"/>
        </w:tc>
        <w:tc>
          <w:tcPr>
            <w:tcW w:w="1503" w:type="dxa"/>
          </w:tcPr>
          <w:p w:rsidR="00E104E3" w:rsidRDefault="00E104E3" w:rsidP="00E93BBA"/>
        </w:tc>
      </w:tr>
      <w:tr w:rsidR="00E93BBA" w:rsidTr="00E11E6B">
        <w:tc>
          <w:tcPr>
            <w:tcW w:w="1951" w:type="dxa"/>
          </w:tcPr>
          <w:p w:rsidR="00E104E3" w:rsidRDefault="00660A6A" w:rsidP="0019316D">
            <w:r>
              <w:t xml:space="preserve">National </w:t>
            </w:r>
            <w:r w:rsidR="0019316D">
              <w:t>a</w:t>
            </w:r>
            <w:r>
              <w:t>udits</w:t>
            </w:r>
            <w:r w:rsidR="00241B0F">
              <w:t xml:space="preserve"> designed and initiated</w:t>
            </w:r>
          </w:p>
        </w:tc>
        <w:tc>
          <w:tcPr>
            <w:tcW w:w="1559" w:type="dxa"/>
          </w:tcPr>
          <w:p w:rsidR="00E104E3" w:rsidRDefault="00E104E3" w:rsidP="00E93BBA"/>
        </w:tc>
        <w:tc>
          <w:tcPr>
            <w:tcW w:w="1560" w:type="dxa"/>
            <w:shd w:val="clear" w:color="auto" w:fill="00B0F0"/>
          </w:tcPr>
          <w:p w:rsidR="00E104E3" w:rsidRDefault="00E104E3" w:rsidP="00E93BBA"/>
        </w:tc>
        <w:tc>
          <w:tcPr>
            <w:tcW w:w="1417" w:type="dxa"/>
            <w:shd w:val="clear" w:color="auto" w:fill="00B0F0"/>
          </w:tcPr>
          <w:p w:rsidR="00E104E3" w:rsidRDefault="00E104E3" w:rsidP="00E93BBA"/>
        </w:tc>
        <w:tc>
          <w:tcPr>
            <w:tcW w:w="1559" w:type="dxa"/>
            <w:shd w:val="clear" w:color="auto" w:fill="00B0F0"/>
          </w:tcPr>
          <w:p w:rsidR="00E104E3" w:rsidRDefault="00E104E3" w:rsidP="00E93BBA"/>
        </w:tc>
        <w:tc>
          <w:tcPr>
            <w:tcW w:w="1503" w:type="dxa"/>
            <w:shd w:val="clear" w:color="auto" w:fill="00B0F0"/>
          </w:tcPr>
          <w:p w:rsidR="00E104E3" w:rsidRDefault="00E104E3" w:rsidP="00E93BBA"/>
        </w:tc>
      </w:tr>
      <w:tr w:rsidR="00E93BBA" w:rsidTr="00E11E6B">
        <w:tc>
          <w:tcPr>
            <w:tcW w:w="1951" w:type="dxa"/>
          </w:tcPr>
          <w:p w:rsidR="00E104E3" w:rsidRDefault="00241B0F" w:rsidP="00E93BBA">
            <w:r>
              <w:t>Benchmark health service organisations</w:t>
            </w:r>
          </w:p>
        </w:tc>
        <w:tc>
          <w:tcPr>
            <w:tcW w:w="1559" w:type="dxa"/>
            <w:shd w:val="clear" w:color="auto" w:fill="FFFFFF" w:themeFill="background1"/>
          </w:tcPr>
          <w:p w:rsidR="00E104E3" w:rsidRDefault="00E104E3" w:rsidP="00E93BBA"/>
        </w:tc>
        <w:tc>
          <w:tcPr>
            <w:tcW w:w="1560" w:type="dxa"/>
            <w:shd w:val="clear" w:color="auto" w:fill="auto"/>
          </w:tcPr>
          <w:p w:rsidR="00E104E3" w:rsidRDefault="00E104E3" w:rsidP="00E93BBA"/>
        </w:tc>
        <w:tc>
          <w:tcPr>
            <w:tcW w:w="1417" w:type="dxa"/>
            <w:shd w:val="clear" w:color="auto" w:fill="auto"/>
          </w:tcPr>
          <w:p w:rsidR="00E104E3" w:rsidRDefault="00E104E3" w:rsidP="00E93BBA"/>
        </w:tc>
        <w:tc>
          <w:tcPr>
            <w:tcW w:w="1559" w:type="dxa"/>
            <w:shd w:val="clear" w:color="auto" w:fill="00B0F0"/>
          </w:tcPr>
          <w:p w:rsidR="00E104E3" w:rsidRDefault="00E104E3" w:rsidP="00E93BBA"/>
        </w:tc>
        <w:tc>
          <w:tcPr>
            <w:tcW w:w="1503" w:type="dxa"/>
            <w:shd w:val="clear" w:color="auto" w:fill="00B0F0"/>
          </w:tcPr>
          <w:p w:rsidR="00E104E3" w:rsidRDefault="00E104E3" w:rsidP="00E93BBA"/>
        </w:tc>
      </w:tr>
    </w:tbl>
    <w:p w:rsidR="00E104E3" w:rsidRPr="00E104E3" w:rsidRDefault="00E104E3" w:rsidP="00660A6A"/>
    <w:p w:rsidR="00A37141" w:rsidRDefault="00A37141" w:rsidP="00E11E6B">
      <w:pPr>
        <w:pStyle w:val="Heading4"/>
        <w:numPr>
          <w:ilvl w:val="0"/>
          <w:numId w:val="13"/>
        </w:numPr>
        <w:spacing w:after="240"/>
        <w:ind w:left="567" w:hanging="567"/>
      </w:pPr>
      <w:r>
        <w:t>Research and Development</w:t>
      </w:r>
    </w:p>
    <w:p w:rsidR="00241B0F" w:rsidRPr="00241B0F" w:rsidRDefault="00241B0F" w:rsidP="00241B0F">
      <w:r w:rsidRPr="00241B0F">
        <w:t>A nationally coordinated effort in research and development is required to address evidence gaps in the blood sector and to enable responses to emerging evidence and new technologies.</w:t>
      </w:r>
    </w:p>
    <w:p w:rsidR="00E104E3" w:rsidRDefault="002A5105" w:rsidP="00E93BBA">
      <w:r>
        <w:t>During the development of the PBM Guidelines</w:t>
      </w:r>
      <w:r w:rsidR="0019316D">
        <w:t>,</w:t>
      </w:r>
      <w:r>
        <w:t xml:space="preserve"> research gaps and priorities </w:t>
      </w:r>
      <w:r w:rsidR="00241B0F">
        <w:t>were</w:t>
      </w:r>
      <w:r>
        <w:t xml:space="preserve"> identified. The NBA will work </w:t>
      </w:r>
      <w:r w:rsidR="00BF7D37">
        <w:t xml:space="preserve">with </w:t>
      </w:r>
      <w:r>
        <w:t xml:space="preserve">the sector to </w:t>
      </w:r>
      <w:r w:rsidR="00241B0F">
        <w:t>identify further research gaps as part of the review of the PBM Guidelines.</w:t>
      </w:r>
    </w:p>
    <w:tbl>
      <w:tblPr>
        <w:tblStyle w:val="TableGrid"/>
        <w:tblW w:w="0" w:type="auto"/>
        <w:tblLook w:val="04A0" w:firstRow="1" w:lastRow="0" w:firstColumn="1" w:lastColumn="0" w:noHBand="0" w:noVBand="1"/>
      </w:tblPr>
      <w:tblGrid>
        <w:gridCol w:w="1951"/>
        <w:gridCol w:w="1559"/>
        <w:gridCol w:w="1560"/>
        <w:gridCol w:w="1417"/>
        <w:gridCol w:w="1559"/>
        <w:gridCol w:w="1503"/>
      </w:tblGrid>
      <w:tr w:rsidR="0053299E" w:rsidRPr="003E2F20" w:rsidTr="003E2F20">
        <w:trPr>
          <w:tblHeader/>
        </w:trPr>
        <w:tc>
          <w:tcPr>
            <w:tcW w:w="1951" w:type="dxa"/>
          </w:tcPr>
          <w:p w:rsidR="0053299E" w:rsidRPr="003E2F20" w:rsidRDefault="0053299E" w:rsidP="008A1CC8">
            <w:pPr>
              <w:jc w:val="center"/>
              <w:rPr>
                <w:b/>
              </w:rPr>
            </w:pPr>
          </w:p>
        </w:tc>
        <w:tc>
          <w:tcPr>
            <w:tcW w:w="1559" w:type="dxa"/>
          </w:tcPr>
          <w:p w:rsidR="0053299E" w:rsidRPr="003E2F20" w:rsidRDefault="0053299E" w:rsidP="008A1CC8">
            <w:pPr>
              <w:jc w:val="center"/>
              <w:rPr>
                <w:b/>
              </w:rPr>
            </w:pPr>
            <w:r w:rsidRPr="003E2F20">
              <w:rPr>
                <w:b/>
              </w:rPr>
              <w:t>2017</w:t>
            </w:r>
          </w:p>
        </w:tc>
        <w:tc>
          <w:tcPr>
            <w:tcW w:w="1560" w:type="dxa"/>
          </w:tcPr>
          <w:p w:rsidR="0053299E" w:rsidRPr="003E2F20" w:rsidRDefault="0053299E" w:rsidP="008A1CC8">
            <w:pPr>
              <w:jc w:val="center"/>
              <w:rPr>
                <w:b/>
              </w:rPr>
            </w:pPr>
            <w:r w:rsidRPr="003E2F20">
              <w:rPr>
                <w:b/>
              </w:rPr>
              <w:t>2018</w:t>
            </w:r>
          </w:p>
        </w:tc>
        <w:tc>
          <w:tcPr>
            <w:tcW w:w="1417" w:type="dxa"/>
          </w:tcPr>
          <w:p w:rsidR="0053299E" w:rsidRPr="003E2F20" w:rsidRDefault="0053299E" w:rsidP="008A1CC8">
            <w:pPr>
              <w:jc w:val="center"/>
              <w:rPr>
                <w:b/>
              </w:rPr>
            </w:pPr>
            <w:r w:rsidRPr="003E2F20">
              <w:rPr>
                <w:b/>
              </w:rPr>
              <w:t>2019</w:t>
            </w:r>
          </w:p>
        </w:tc>
        <w:tc>
          <w:tcPr>
            <w:tcW w:w="1559" w:type="dxa"/>
          </w:tcPr>
          <w:p w:rsidR="0053299E" w:rsidRPr="003E2F20" w:rsidRDefault="0053299E" w:rsidP="008A1CC8">
            <w:pPr>
              <w:jc w:val="center"/>
              <w:rPr>
                <w:b/>
              </w:rPr>
            </w:pPr>
            <w:r w:rsidRPr="003E2F20">
              <w:rPr>
                <w:b/>
              </w:rPr>
              <w:t>2020</w:t>
            </w:r>
          </w:p>
        </w:tc>
        <w:tc>
          <w:tcPr>
            <w:tcW w:w="1503" w:type="dxa"/>
          </w:tcPr>
          <w:p w:rsidR="0053299E" w:rsidRPr="003E2F20" w:rsidRDefault="0053299E" w:rsidP="008A1CC8">
            <w:pPr>
              <w:jc w:val="center"/>
              <w:rPr>
                <w:b/>
              </w:rPr>
            </w:pPr>
            <w:r w:rsidRPr="003E2F20">
              <w:rPr>
                <w:b/>
              </w:rPr>
              <w:t>2021</w:t>
            </w:r>
          </w:p>
        </w:tc>
      </w:tr>
      <w:tr w:rsidR="0053299E" w:rsidTr="00E11E6B">
        <w:tc>
          <w:tcPr>
            <w:tcW w:w="1951" w:type="dxa"/>
          </w:tcPr>
          <w:p w:rsidR="0053299E" w:rsidRDefault="00F51BF3" w:rsidP="0019316D">
            <w:r>
              <w:t xml:space="preserve">Horizon </w:t>
            </w:r>
            <w:r w:rsidR="0019316D">
              <w:t>s</w:t>
            </w:r>
            <w:r>
              <w:t xml:space="preserve">canning </w:t>
            </w:r>
            <w:r w:rsidR="0019316D">
              <w:t>f</w:t>
            </w:r>
            <w:r>
              <w:t>ramework developed and implemented</w:t>
            </w:r>
          </w:p>
        </w:tc>
        <w:tc>
          <w:tcPr>
            <w:tcW w:w="1559" w:type="dxa"/>
            <w:shd w:val="clear" w:color="auto" w:fill="00B0F0"/>
          </w:tcPr>
          <w:p w:rsidR="0053299E" w:rsidRDefault="0053299E" w:rsidP="00F76FEA"/>
        </w:tc>
        <w:tc>
          <w:tcPr>
            <w:tcW w:w="1560" w:type="dxa"/>
            <w:shd w:val="clear" w:color="auto" w:fill="00B0F0"/>
          </w:tcPr>
          <w:p w:rsidR="0053299E" w:rsidRDefault="0053299E" w:rsidP="00F76FEA"/>
        </w:tc>
        <w:tc>
          <w:tcPr>
            <w:tcW w:w="1417" w:type="dxa"/>
            <w:shd w:val="clear" w:color="auto" w:fill="00B0F0"/>
          </w:tcPr>
          <w:p w:rsidR="0053299E" w:rsidRDefault="0053299E" w:rsidP="00F76FEA"/>
        </w:tc>
        <w:tc>
          <w:tcPr>
            <w:tcW w:w="1559" w:type="dxa"/>
            <w:shd w:val="clear" w:color="auto" w:fill="00B0F0"/>
          </w:tcPr>
          <w:p w:rsidR="0053299E" w:rsidRDefault="0053299E" w:rsidP="00F76FEA"/>
        </w:tc>
        <w:tc>
          <w:tcPr>
            <w:tcW w:w="1503" w:type="dxa"/>
            <w:shd w:val="clear" w:color="auto" w:fill="00B0F0"/>
          </w:tcPr>
          <w:p w:rsidR="0053299E" w:rsidRDefault="0053299E" w:rsidP="00F76FEA"/>
        </w:tc>
      </w:tr>
      <w:tr w:rsidR="0053299E" w:rsidTr="00E11E6B">
        <w:tc>
          <w:tcPr>
            <w:tcW w:w="1951" w:type="dxa"/>
          </w:tcPr>
          <w:p w:rsidR="0053299E" w:rsidRDefault="00F51BF3" w:rsidP="003E5C01">
            <w:r>
              <w:t xml:space="preserve">Identify PBM </w:t>
            </w:r>
            <w:r w:rsidR="008A1CC8">
              <w:t xml:space="preserve">evidence and </w:t>
            </w:r>
            <w:r>
              <w:t>process gaps</w:t>
            </w:r>
            <w:r w:rsidR="003E5C01">
              <w:t xml:space="preserve"> and identify priorities</w:t>
            </w:r>
          </w:p>
        </w:tc>
        <w:tc>
          <w:tcPr>
            <w:tcW w:w="1559" w:type="dxa"/>
            <w:shd w:val="clear" w:color="auto" w:fill="00B0F0"/>
          </w:tcPr>
          <w:p w:rsidR="0053299E" w:rsidRDefault="0053299E" w:rsidP="00F76FEA"/>
        </w:tc>
        <w:tc>
          <w:tcPr>
            <w:tcW w:w="1560" w:type="dxa"/>
            <w:shd w:val="clear" w:color="auto" w:fill="00B0F0"/>
          </w:tcPr>
          <w:p w:rsidR="0053299E" w:rsidRDefault="0053299E" w:rsidP="00F76FEA"/>
        </w:tc>
        <w:tc>
          <w:tcPr>
            <w:tcW w:w="1417" w:type="dxa"/>
            <w:shd w:val="clear" w:color="auto" w:fill="00B0F0"/>
          </w:tcPr>
          <w:p w:rsidR="0053299E" w:rsidRDefault="0053299E" w:rsidP="00F76FEA"/>
        </w:tc>
        <w:tc>
          <w:tcPr>
            <w:tcW w:w="1559" w:type="dxa"/>
            <w:shd w:val="clear" w:color="auto" w:fill="00B0F0"/>
          </w:tcPr>
          <w:p w:rsidR="0053299E" w:rsidRDefault="0053299E" w:rsidP="00F76FEA"/>
        </w:tc>
        <w:tc>
          <w:tcPr>
            <w:tcW w:w="1503" w:type="dxa"/>
            <w:shd w:val="clear" w:color="auto" w:fill="00B0F0"/>
          </w:tcPr>
          <w:p w:rsidR="0053299E" w:rsidRDefault="0053299E" w:rsidP="00F76FEA"/>
        </w:tc>
      </w:tr>
    </w:tbl>
    <w:p w:rsidR="00241B0F" w:rsidRDefault="00241B0F" w:rsidP="00E93BBA"/>
    <w:p w:rsidR="00241B0F" w:rsidRDefault="00241B0F" w:rsidP="00E93BBA"/>
    <w:p w:rsidR="003A3606" w:rsidRDefault="003A3606">
      <w:pPr>
        <w:spacing w:line="276" w:lineRule="auto"/>
      </w:pPr>
      <w:r>
        <w:br w:type="page"/>
      </w:r>
    </w:p>
    <w:p w:rsidR="008A1CC8" w:rsidRPr="00CA2E50" w:rsidRDefault="004A7723" w:rsidP="008A1CC8">
      <w:pPr>
        <w:pStyle w:val="Heading3"/>
      </w:pPr>
      <w:bookmarkStart w:id="9" w:name="_Toc485589882"/>
      <w:r w:rsidRPr="007F5DBA">
        <w:lastRenderedPageBreak/>
        <w:t>Evaluation</w:t>
      </w:r>
      <w:r w:rsidR="008A1CC8" w:rsidRPr="008A1CC8">
        <w:t xml:space="preserve"> </w:t>
      </w:r>
      <w:r w:rsidR="008A1CC8">
        <w:t xml:space="preserve">and </w:t>
      </w:r>
      <w:r w:rsidR="008A1CC8" w:rsidRPr="007F5DBA">
        <w:t>Success</w:t>
      </w:r>
      <w:r w:rsidR="008A1CC8" w:rsidRPr="00CA2E50">
        <w:t xml:space="preserve"> Measures</w:t>
      </w:r>
      <w:bookmarkEnd w:id="9"/>
    </w:p>
    <w:p w:rsidR="00685201" w:rsidRDefault="00685201">
      <w:pPr>
        <w:spacing w:line="276" w:lineRule="auto"/>
      </w:pPr>
      <w:r>
        <w:t xml:space="preserve">A comprehensive evaluation </w:t>
      </w:r>
      <w:r w:rsidR="007E26CD">
        <w:t xml:space="preserve">will </w:t>
      </w:r>
      <w:r>
        <w:t xml:space="preserve">mirror the objectives and </w:t>
      </w:r>
      <w:r w:rsidR="002B5737">
        <w:t>supporting activities</w:t>
      </w:r>
      <w:r>
        <w:t xml:space="preserve"> outlined in the </w:t>
      </w:r>
      <w:r w:rsidR="00000304">
        <w:t>S</w:t>
      </w:r>
      <w:r>
        <w:t xml:space="preserve">trategy. Evaluation should be designed to provide an overview of progress towards </w:t>
      </w:r>
      <w:r w:rsidR="00696976">
        <w:t>PBM</w:t>
      </w:r>
      <w:r>
        <w:t xml:space="preserve"> and appropriate use of blood and blood products in Australia. This may reflect a combination of initiatives implemented by many groups.</w:t>
      </w:r>
    </w:p>
    <w:p w:rsidR="00315E8E" w:rsidRDefault="00F179A1">
      <w:pPr>
        <w:spacing w:line="276" w:lineRule="auto"/>
      </w:pPr>
      <w:r>
        <w:t>O</w:t>
      </w:r>
      <w:r w:rsidR="00914393">
        <w:t xml:space="preserve">utcomes of activities in the Strategy will inform the development of the next set of strategies. </w:t>
      </w:r>
      <w:r w:rsidR="00E95362">
        <w:t xml:space="preserve">An analysis of the key NBA </w:t>
      </w:r>
      <w:r w:rsidR="007E26CD">
        <w:t xml:space="preserve">activities </w:t>
      </w:r>
      <w:r w:rsidR="00E95362">
        <w:t xml:space="preserve">that were priorities for </w:t>
      </w:r>
      <w:r>
        <w:t xml:space="preserve">the </w:t>
      </w:r>
      <w:r w:rsidRPr="00315E8E">
        <w:rPr>
          <w:i/>
        </w:rPr>
        <w:t xml:space="preserve">National Education and Training Committee </w:t>
      </w:r>
      <w:r w:rsidR="00E95362" w:rsidRPr="00315E8E">
        <w:rPr>
          <w:i/>
        </w:rPr>
        <w:t xml:space="preserve">2013-16 </w:t>
      </w:r>
      <w:r w:rsidR="00315E8E">
        <w:t xml:space="preserve">and the </w:t>
      </w:r>
      <w:r w:rsidR="00315E8E" w:rsidRPr="00315E8E">
        <w:rPr>
          <w:i/>
        </w:rPr>
        <w:t>PBM Guidelines Implementation Strategy 2013-17</w:t>
      </w:r>
      <w:r w:rsidR="00315E8E">
        <w:t xml:space="preserve"> </w:t>
      </w:r>
      <w:r w:rsidR="00E95362">
        <w:t xml:space="preserve">is at </w:t>
      </w:r>
      <w:r w:rsidR="00F51BF3">
        <w:rPr>
          <w:b/>
        </w:rPr>
        <w:t xml:space="preserve">Previous Strategies </w:t>
      </w:r>
      <w:r w:rsidR="00F51BF3" w:rsidRPr="005B73B0">
        <w:t>below</w:t>
      </w:r>
      <w:r w:rsidR="00F51BF3">
        <w:rPr>
          <w:b/>
        </w:rPr>
        <w:t>.</w:t>
      </w:r>
      <w:r w:rsidR="00E95362">
        <w:t xml:space="preserve"> </w:t>
      </w:r>
    </w:p>
    <w:p w:rsidR="00685201" w:rsidRDefault="00685201" w:rsidP="00E11E6B">
      <w:pPr>
        <w:spacing w:after="120"/>
      </w:pPr>
      <w:r>
        <w:t xml:space="preserve">The evaluation </w:t>
      </w:r>
      <w:r w:rsidR="00F51BF3">
        <w:t>will</w:t>
      </w:r>
      <w:r>
        <w:t xml:space="preserve"> use indicators that</w:t>
      </w:r>
      <w:r w:rsidR="002F644B">
        <w:t>:</w:t>
      </w:r>
    </w:p>
    <w:p w:rsidR="00685201" w:rsidRDefault="00685201" w:rsidP="00BF7D37">
      <w:pPr>
        <w:pStyle w:val="ListParagraph"/>
        <w:numPr>
          <w:ilvl w:val="0"/>
          <w:numId w:val="5"/>
        </w:numPr>
        <w:spacing w:line="276" w:lineRule="auto"/>
      </w:pPr>
      <w:r>
        <w:t xml:space="preserve">Provide </w:t>
      </w:r>
      <w:r w:rsidR="00EB78B3">
        <w:t>quanti</w:t>
      </w:r>
      <w:r>
        <w:t>t</w:t>
      </w:r>
      <w:r w:rsidR="00EB78B3">
        <w:t>ative data o</w:t>
      </w:r>
      <w:r>
        <w:t xml:space="preserve">n the </w:t>
      </w:r>
      <w:r w:rsidR="00696976">
        <w:t>PBM</w:t>
      </w:r>
      <w:r w:rsidR="00EB78B3">
        <w:t xml:space="preserve"> and appropriate use initiatives</w:t>
      </w:r>
    </w:p>
    <w:p w:rsidR="00EB78B3" w:rsidRDefault="003E5C01" w:rsidP="003E5C01">
      <w:pPr>
        <w:pStyle w:val="ListParagraph"/>
        <w:numPr>
          <w:ilvl w:val="0"/>
          <w:numId w:val="5"/>
        </w:numPr>
        <w:spacing w:line="276" w:lineRule="auto"/>
      </w:pPr>
      <w:r>
        <w:t xml:space="preserve">Research the use of qualitative data on clinician and consumer understanding of PBM initiatives and blood product transfusion </w:t>
      </w:r>
      <w:r w:rsidR="00EB78B3">
        <w:t>Determine progress made towards achieving the objectives outlined in the strategy</w:t>
      </w:r>
    </w:p>
    <w:p w:rsidR="007F5DBA" w:rsidRPr="00CA2E50" w:rsidRDefault="00115937" w:rsidP="00115937">
      <w:pPr>
        <w:pStyle w:val="Heading3"/>
      </w:pPr>
      <w:bookmarkStart w:id="10" w:name="_Toc485589883"/>
      <w:r>
        <w:t>Previous Strategies</w:t>
      </w:r>
      <w:bookmarkEnd w:id="10"/>
    </w:p>
    <w:p w:rsidR="00115937" w:rsidRPr="00115937" w:rsidRDefault="00115937" w:rsidP="00115937">
      <w:pPr>
        <w:spacing w:line="276" w:lineRule="auto"/>
      </w:pPr>
      <w:r w:rsidRPr="00115937">
        <w:t xml:space="preserve">This Strategy draws on the experiences and outcomes of the </w:t>
      </w:r>
      <w:r w:rsidRPr="00115937">
        <w:rPr>
          <w:i/>
        </w:rPr>
        <w:t>National Patient Blood Management Guidelines Implementation Strategy 2013-2017</w:t>
      </w:r>
      <w:r w:rsidRPr="00115937">
        <w:t xml:space="preserve"> and the </w:t>
      </w:r>
      <w:r w:rsidRPr="00115937">
        <w:rPr>
          <w:i/>
        </w:rPr>
        <w:t>National Blood Sector Education and Training Strategy 2013-2016</w:t>
      </w:r>
      <w:r>
        <w:rPr>
          <w:i/>
        </w:rPr>
        <w:t xml:space="preserve">. </w:t>
      </w:r>
    </w:p>
    <w:p w:rsidR="007F5DBA" w:rsidRPr="007F5DBA" w:rsidRDefault="00F51BF3" w:rsidP="008A1CC8">
      <w:pPr>
        <w:spacing w:line="276" w:lineRule="auto"/>
      </w:pPr>
      <w:r>
        <w:t>Since the launch of the PBM Guidelines and accompanying implementation strategy, Australia has seen a significant reduction in the use of red blood cells. The implementation of the Standard (a dedicated hospital accreditation standard for Blood and Blood Products</w:t>
      </w:r>
      <w:r w:rsidR="001051F9">
        <w:t xml:space="preserve"> and the revised Blood Management Standard</w:t>
      </w:r>
      <w:r>
        <w:t>) has also contributed to this decline in the use of red blood cells. This reduction in use would not have occurred however, without the concerted effort of jurisdictional programs, clinical PBM champions and a willingness by healthcare professionals to adopt a patient focus rather than a product focus and us</w:t>
      </w:r>
      <w:r w:rsidR="00BF4BEE">
        <w:t>ing</w:t>
      </w:r>
      <w:r>
        <w:t xml:space="preserve"> blood and blood products more appropriately and safely.</w:t>
      </w:r>
      <w:r w:rsidR="008A1CC8">
        <w:t xml:space="preserve"> </w:t>
      </w:r>
      <w:r w:rsidR="007F5DBA" w:rsidRPr="007F5DBA">
        <w:t xml:space="preserve">As an example, the demand for red blood cells over the last four years has fallen by over 21%, realising a saving to governments of $94 million. PBM is a major driver of these savings, noting that a reduction in wastage also contributed. The NBA estimates there remains significant scope for consolidation of gains already made and further penetration of PBM in clinical practice. </w:t>
      </w:r>
    </w:p>
    <w:p w:rsidR="007F5DBA" w:rsidRPr="007F5DBA" w:rsidRDefault="007F5DBA" w:rsidP="008A1CC8">
      <w:pPr>
        <w:spacing w:line="276" w:lineRule="auto"/>
      </w:pPr>
      <w:r w:rsidRPr="007F5DBA">
        <w:t xml:space="preserve">The core element of the strategy </w:t>
      </w:r>
      <w:r w:rsidR="007E26CD">
        <w:t>was</w:t>
      </w:r>
      <w:r w:rsidRPr="007F5DBA">
        <w:t xml:space="preserve"> to facilitate activities and development of materials at a national level that support implementation at a health provider level. The four main elements covered in the previous strategy included:</w:t>
      </w:r>
    </w:p>
    <w:p w:rsidR="007F5DBA" w:rsidRPr="007F5DBA" w:rsidRDefault="007F5DBA" w:rsidP="00BF7D37">
      <w:pPr>
        <w:pStyle w:val="ListParagraph"/>
        <w:numPr>
          <w:ilvl w:val="0"/>
          <w:numId w:val="8"/>
        </w:numPr>
      </w:pPr>
      <w:r w:rsidRPr="007F5DBA">
        <w:t>PBM tools</w:t>
      </w:r>
    </w:p>
    <w:p w:rsidR="007F5DBA" w:rsidRPr="007F5DBA" w:rsidRDefault="007F5DBA" w:rsidP="00BF7D37">
      <w:pPr>
        <w:pStyle w:val="ListParagraph"/>
        <w:numPr>
          <w:ilvl w:val="0"/>
          <w:numId w:val="8"/>
        </w:numPr>
      </w:pPr>
      <w:r w:rsidRPr="007F5DBA">
        <w:t>Education and Training</w:t>
      </w:r>
    </w:p>
    <w:p w:rsidR="007F5DBA" w:rsidRPr="007F5DBA" w:rsidRDefault="007F5DBA" w:rsidP="00BF7D37">
      <w:pPr>
        <w:pStyle w:val="ListParagraph"/>
        <w:numPr>
          <w:ilvl w:val="0"/>
          <w:numId w:val="8"/>
        </w:numPr>
      </w:pPr>
      <w:r w:rsidRPr="007F5DBA">
        <w:t>Promotion</w:t>
      </w:r>
    </w:p>
    <w:p w:rsidR="00F51BF3" w:rsidRDefault="007F5DBA" w:rsidP="00BF7D37">
      <w:pPr>
        <w:pStyle w:val="ListParagraph"/>
        <w:numPr>
          <w:ilvl w:val="0"/>
          <w:numId w:val="8"/>
        </w:numPr>
      </w:pPr>
      <w:r w:rsidRPr="007F5DBA">
        <w:t>Data</w:t>
      </w:r>
      <w:r w:rsidR="00115937" w:rsidRPr="00115937">
        <w:t xml:space="preserve"> </w:t>
      </w:r>
    </w:p>
    <w:p w:rsidR="00F241ED" w:rsidRDefault="00F241ED" w:rsidP="00F241ED">
      <w:r>
        <w:t xml:space="preserve">The status against each activity in the previous strategies is highlighted below. </w:t>
      </w:r>
    </w:p>
    <w:p w:rsidR="00471566" w:rsidRPr="00E04C96" w:rsidRDefault="00471566" w:rsidP="00471566">
      <w:pPr>
        <w:tabs>
          <w:tab w:val="left" w:pos="-1440"/>
          <w:tab w:val="left" w:pos="567"/>
        </w:tabs>
        <w:spacing w:after="0"/>
        <w:rPr>
          <w:rFonts w:ascii="Gill Sans MT" w:hAnsi="Gill Sans MT" w:cs="Arial"/>
          <w:i/>
          <w:sz w:val="20"/>
        </w:rPr>
      </w:pPr>
      <w:r w:rsidRPr="00E04C96">
        <w:rPr>
          <w:rFonts w:ascii="Gill Sans MT" w:hAnsi="Gill Sans MT" w:cs="Arial"/>
          <w:i/>
          <w:sz w:val="20"/>
        </w:rPr>
        <w:t xml:space="preserve">Legend: </w:t>
      </w:r>
    </w:p>
    <w:tbl>
      <w:tblPr>
        <w:tblStyle w:val="TableGrid"/>
        <w:tblW w:w="9464" w:type="dxa"/>
        <w:tblLook w:val="04A0" w:firstRow="1" w:lastRow="0" w:firstColumn="1" w:lastColumn="0" w:noHBand="0" w:noVBand="1"/>
      </w:tblPr>
      <w:tblGrid>
        <w:gridCol w:w="1809"/>
        <w:gridCol w:w="7655"/>
      </w:tblGrid>
      <w:tr w:rsidR="00471566" w:rsidRPr="00414F79" w:rsidTr="00471566">
        <w:tc>
          <w:tcPr>
            <w:tcW w:w="1809" w:type="dxa"/>
            <w:shd w:val="clear" w:color="auto" w:fill="00B0F0"/>
          </w:tcPr>
          <w:p w:rsidR="00471566" w:rsidRPr="00414F79" w:rsidRDefault="00471566" w:rsidP="00471566">
            <w:pPr>
              <w:tabs>
                <w:tab w:val="left" w:pos="-1440"/>
                <w:tab w:val="left" w:pos="567"/>
              </w:tabs>
              <w:rPr>
                <w:rFonts w:ascii="Gill Sans MT" w:hAnsi="Gill Sans MT" w:cs="Arial"/>
                <w:i/>
                <w:sz w:val="20"/>
              </w:rPr>
            </w:pPr>
          </w:p>
        </w:tc>
        <w:tc>
          <w:tcPr>
            <w:tcW w:w="7655" w:type="dxa"/>
          </w:tcPr>
          <w:p w:rsidR="00471566" w:rsidRPr="00414F79" w:rsidRDefault="00471566" w:rsidP="00471566">
            <w:pPr>
              <w:tabs>
                <w:tab w:val="left" w:pos="-1440"/>
                <w:tab w:val="left" w:pos="567"/>
              </w:tabs>
              <w:rPr>
                <w:rFonts w:ascii="Gill Sans MT" w:hAnsi="Gill Sans MT" w:cs="Arial"/>
                <w:i/>
                <w:sz w:val="20"/>
              </w:rPr>
            </w:pPr>
            <w:r>
              <w:rPr>
                <w:rFonts w:ascii="Gill Sans MT" w:hAnsi="Gill Sans MT" w:cs="Arial"/>
                <w:i/>
                <w:sz w:val="20"/>
              </w:rPr>
              <w:t xml:space="preserve">To be completed and funding approved as part of the </w:t>
            </w:r>
            <w:r w:rsidRPr="00E04C96">
              <w:rPr>
                <w:rFonts w:ascii="Gill Sans MT" w:hAnsi="Gill Sans MT" w:cs="Arial"/>
                <w:i/>
                <w:sz w:val="20"/>
              </w:rPr>
              <w:t xml:space="preserve">PBM Implementation Strategy </w:t>
            </w:r>
            <w:r w:rsidR="005B73B0">
              <w:rPr>
                <w:rFonts w:ascii="Gill Sans MT" w:hAnsi="Gill Sans MT" w:cs="Arial"/>
                <w:i/>
                <w:sz w:val="20"/>
              </w:rPr>
              <w:t xml:space="preserve"> 2013-17</w:t>
            </w:r>
          </w:p>
        </w:tc>
      </w:tr>
      <w:tr w:rsidR="00471566" w:rsidRPr="00414F79" w:rsidTr="00471566">
        <w:tc>
          <w:tcPr>
            <w:tcW w:w="1809" w:type="dxa"/>
            <w:shd w:val="clear" w:color="auto" w:fill="FFC000"/>
          </w:tcPr>
          <w:p w:rsidR="00471566" w:rsidRPr="00414F79" w:rsidRDefault="00471566" w:rsidP="00471566">
            <w:pPr>
              <w:tabs>
                <w:tab w:val="left" w:pos="-1440"/>
                <w:tab w:val="left" w:pos="567"/>
              </w:tabs>
              <w:rPr>
                <w:rFonts w:ascii="Gill Sans MT" w:hAnsi="Gill Sans MT" w:cs="Arial"/>
                <w:i/>
                <w:sz w:val="20"/>
              </w:rPr>
            </w:pPr>
          </w:p>
        </w:tc>
        <w:tc>
          <w:tcPr>
            <w:tcW w:w="7655" w:type="dxa"/>
          </w:tcPr>
          <w:p w:rsidR="00471566" w:rsidRPr="00414F79" w:rsidRDefault="00471566" w:rsidP="005B73B0">
            <w:pPr>
              <w:tabs>
                <w:tab w:val="left" w:pos="-1440"/>
                <w:tab w:val="left" w:pos="567"/>
              </w:tabs>
              <w:rPr>
                <w:rFonts w:ascii="Gill Sans MT" w:hAnsi="Gill Sans MT" w:cs="Arial"/>
                <w:i/>
                <w:sz w:val="20"/>
              </w:rPr>
            </w:pPr>
            <w:r>
              <w:rPr>
                <w:rFonts w:ascii="Gill Sans MT" w:hAnsi="Gill Sans MT" w:cs="Arial"/>
                <w:i/>
                <w:sz w:val="20"/>
              </w:rPr>
              <w:t xml:space="preserve">Priority amended and reallocation to </w:t>
            </w:r>
            <w:r w:rsidR="005B73B0">
              <w:rPr>
                <w:rFonts w:ascii="Gill Sans MT" w:hAnsi="Gill Sans MT" w:cs="Arial"/>
                <w:i/>
                <w:sz w:val="20"/>
              </w:rPr>
              <w:t>PBM Implementation</w:t>
            </w:r>
            <w:r>
              <w:rPr>
                <w:rFonts w:ascii="Gill Sans MT" w:hAnsi="Gill Sans MT" w:cs="Arial"/>
                <w:i/>
                <w:sz w:val="20"/>
              </w:rPr>
              <w:t xml:space="preserve"> Strategy</w:t>
            </w:r>
            <w:r w:rsidR="005B73B0">
              <w:rPr>
                <w:rFonts w:ascii="Gill Sans MT" w:hAnsi="Gill Sans MT" w:cs="Arial"/>
                <w:i/>
                <w:sz w:val="20"/>
              </w:rPr>
              <w:t xml:space="preserve"> 2017-21</w:t>
            </w:r>
          </w:p>
        </w:tc>
      </w:tr>
      <w:tr w:rsidR="00471566" w:rsidRPr="00414F79" w:rsidTr="00471566">
        <w:tc>
          <w:tcPr>
            <w:tcW w:w="1809" w:type="dxa"/>
            <w:shd w:val="clear" w:color="auto" w:fill="92D050"/>
          </w:tcPr>
          <w:p w:rsidR="00471566" w:rsidRPr="00414F79" w:rsidRDefault="00471566" w:rsidP="00471566">
            <w:pPr>
              <w:tabs>
                <w:tab w:val="left" w:pos="-1440"/>
                <w:tab w:val="left" w:pos="567"/>
              </w:tabs>
              <w:rPr>
                <w:rFonts w:ascii="Gill Sans MT" w:hAnsi="Gill Sans MT" w:cs="Arial"/>
                <w:i/>
                <w:sz w:val="20"/>
              </w:rPr>
            </w:pPr>
          </w:p>
        </w:tc>
        <w:tc>
          <w:tcPr>
            <w:tcW w:w="7655" w:type="dxa"/>
          </w:tcPr>
          <w:p w:rsidR="00471566" w:rsidRPr="00414F79" w:rsidRDefault="00471566" w:rsidP="00471566">
            <w:pPr>
              <w:tabs>
                <w:tab w:val="left" w:pos="-1440"/>
                <w:tab w:val="left" w:pos="567"/>
              </w:tabs>
              <w:rPr>
                <w:rFonts w:ascii="Gill Sans MT" w:hAnsi="Gill Sans MT" w:cs="Arial"/>
                <w:i/>
                <w:sz w:val="20"/>
              </w:rPr>
            </w:pPr>
            <w:r>
              <w:rPr>
                <w:rFonts w:ascii="Gill Sans MT" w:hAnsi="Gill Sans MT" w:cs="Arial"/>
                <w:i/>
                <w:sz w:val="20"/>
              </w:rPr>
              <w:t>In progress - NBA progressing these activities</w:t>
            </w:r>
          </w:p>
        </w:tc>
      </w:tr>
    </w:tbl>
    <w:p w:rsidR="00471566" w:rsidRDefault="00471566" w:rsidP="00F241ED"/>
    <w:tbl>
      <w:tblPr>
        <w:tblStyle w:val="TableGrid"/>
        <w:tblW w:w="9464" w:type="dxa"/>
        <w:tblLayout w:type="fixed"/>
        <w:tblLook w:val="04A0" w:firstRow="1" w:lastRow="0" w:firstColumn="1" w:lastColumn="0" w:noHBand="0" w:noVBand="1"/>
      </w:tblPr>
      <w:tblGrid>
        <w:gridCol w:w="2093"/>
        <w:gridCol w:w="3827"/>
        <w:gridCol w:w="3544"/>
      </w:tblGrid>
      <w:tr w:rsidR="00E93BBA" w:rsidRPr="000E3854" w:rsidTr="00E93BBA">
        <w:trPr>
          <w:tblHeader/>
        </w:trPr>
        <w:tc>
          <w:tcPr>
            <w:tcW w:w="2093" w:type="dxa"/>
          </w:tcPr>
          <w:p w:rsidR="00E93BBA" w:rsidRPr="000E3854" w:rsidRDefault="00E93BBA" w:rsidP="00E93BBA">
            <w:pPr>
              <w:tabs>
                <w:tab w:val="left" w:pos="-1440"/>
                <w:tab w:val="left" w:pos="567"/>
              </w:tabs>
              <w:spacing w:before="120" w:after="120"/>
              <w:rPr>
                <w:rFonts w:asciiTheme="minorHAnsi" w:hAnsiTheme="minorHAnsi" w:cs="Arial"/>
                <w:b/>
              </w:rPr>
            </w:pPr>
            <w:r w:rsidRPr="000E3854">
              <w:rPr>
                <w:rFonts w:asciiTheme="minorHAnsi" w:hAnsiTheme="minorHAnsi" w:cs="Arial"/>
                <w:b/>
              </w:rPr>
              <w:t>Priority</w:t>
            </w:r>
          </w:p>
        </w:tc>
        <w:tc>
          <w:tcPr>
            <w:tcW w:w="3827" w:type="dxa"/>
            <w:shd w:val="clear" w:color="auto" w:fill="FFFFFF" w:themeFill="background1"/>
          </w:tcPr>
          <w:p w:rsidR="00E93BBA" w:rsidRPr="000E3854" w:rsidRDefault="00E93BBA" w:rsidP="00E93BBA">
            <w:pPr>
              <w:tabs>
                <w:tab w:val="left" w:pos="-1440"/>
                <w:tab w:val="left" w:pos="567"/>
              </w:tabs>
              <w:spacing w:before="120" w:after="120"/>
              <w:rPr>
                <w:rFonts w:asciiTheme="minorHAnsi" w:hAnsiTheme="minorHAnsi" w:cs="Arial"/>
                <w:b/>
              </w:rPr>
            </w:pPr>
            <w:r w:rsidRPr="000E3854">
              <w:rPr>
                <w:rFonts w:asciiTheme="minorHAnsi" w:hAnsiTheme="minorHAnsi" w:cs="Arial"/>
                <w:b/>
              </w:rPr>
              <w:t>Activity Status</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b/>
              </w:rPr>
            </w:pPr>
            <w:r w:rsidRPr="000E3854">
              <w:rPr>
                <w:rFonts w:asciiTheme="minorHAnsi" w:hAnsiTheme="minorHAnsi" w:cs="Arial"/>
                <w:b/>
              </w:rPr>
              <w:t>Outcome</w:t>
            </w:r>
          </w:p>
        </w:tc>
      </w:tr>
      <w:tr w:rsidR="00E93BBA" w:rsidRPr="000E3854" w:rsidTr="005B73B0">
        <w:tc>
          <w:tcPr>
            <w:tcW w:w="9464" w:type="dxa"/>
            <w:gridSpan w:val="3"/>
            <w:shd w:val="clear" w:color="auto" w:fill="D9D9D9" w:themeFill="background1" w:themeFillShade="D9"/>
            <w:vAlign w:val="center"/>
          </w:tcPr>
          <w:p w:rsidR="00E93BBA" w:rsidRPr="000E3854" w:rsidRDefault="00F241ED" w:rsidP="00E93BBA">
            <w:pPr>
              <w:tabs>
                <w:tab w:val="left" w:pos="-1440"/>
                <w:tab w:val="left" w:pos="567"/>
              </w:tabs>
              <w:spacing w:before="120" w:after="120"/>
              <w:jc w:val="center"/>
              <w:rPr>
                <w:rFonts w:asciiTheme="minorHAnsi" w:hAnsiTheme="minorHAnsi" w:cs="Arial"/>
                <w:b/>
              </w:rPr>
            </w:pPr>
            <w:r>
              <w:rPr>
                <w:rFonts w:asciiTheme="minorHAnsi" w:hAnsiTheme="minorHAnsi" w:cs="Arial"/>
                <w:b/>
              </w:rPr>
              <w:t xml:space="preserve">National </w:t>
            </w:r>
            <w:r w:rsidR="00E93BBA" w:rsidRPr="000E3854">
              <w:rPr>
                <w:rFonts w:asciiTheme="minorHAnsi" w:hAnsiTheme="minorHAnsi" w:cs="Arial"/>
                <w:b/>
              </w:rPr>
              <w:t>Patient Blood Management Guidelines Implementation Strategy 2013-2017</w:t>
            </w:r>
          </w:p>
        </w:tc>
      </w:tr>
      <w:tr w:rsidR="00E93BBA" w:rsidRPr="000E3854" w:rsidTr="00E93BBA">
        <w:tc>
          <w:tcPr>
            <w:tcW w:w="2093" w:type="dxa"/>
            <w:vMerge w:val="restart"/>
            <w:vAlign w:val="center"/>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t>PBM Tools</w:t>
            </w: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Determine requirements for a National PBM Reference Tool Set </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theme="minorHAnsi"/>
              </w:rPr>
              <w:t>The PBM Resource Guide identifies</w:t>
            </w:r>
            <w:r w:rsidRPr="00FA60AF">
              <w:rPr>
                <w:rFonts w:asciiTheme="minorHAnsi" w:hAnsiTheme="minorHAnsi" w:cstheme="minorHAnsi"/>
              </w:rPr>
              <w:t xml:space="preserve"> the tools </w:t>
            </w:r>
            <w:r>
              <w:rPr>
                <w:rFonts w:asciiTheme="minorHAnsi" w:hAnsiTheme="minorHAnsi" w:cstheme="minorHAnsi"/>
              </w:rPr>
              <w:t xml:space="preserve">that have been </w:t>
            </w:r>
            <w:r w:rsidRPr="00FA60AF">
              <w:rPr>
                <w:rFonts w:asciiTheme="minorHAnsi" w:hAnsiTheme="minorHAnsi" w:cstheme="minorHAnsi"/>
              </w:rPr>
              <w:t xml:space="preserve">commissioned, developed, consulted on and </w:t>
            </w:r>
            <w:r>
              <w:rPr>
                <w:rFonts w:asciiTheme="minorHAnsi" w:hAnsiTheme="minorHAnsi" w:cstheme="minorHAnsi"/>
              </w:rPr>
              <w:t>published.</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Adapt available existing tools for the PBM Reference Tool Set </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Existing tools adapted where possible to reduce duplication</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Develop a searchable online database to access information</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The tool needs further investigation</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Commission development of tools to address gaps</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theme="minorHAnsi"/>
              </w:rPr>
              <w:t>The PBM Resource Guide identifies</w:t>
            </w:r>
            <w:r w:rsidRPr="00FA60AF">
              <w:rPr>
                <w:rFonts w:asciiTheme="minorHAnsi" w:hAnsiTheme="minorHAnsi" w:cstheme="minorHAnsi"/>
              </w:rPr>
              <w:t xml:space="preserve"> the tools </w:t>
            </w:r>
            <w:r>
              <w:rPr>
                <w:rFonts w:asciiTheme="minorHAnsi" w:hAnsiTheme="minorHAnsi" w:cstheme="minorHAnsi"/>
              </w:rPr>
              <w:t xml:space="preserve">that have been </w:t>
            </w:r>
            <w:r w:rsidRPr="00FA60AF">
              <w:rPr>
                <w:rFonts w:asciiTheme="minorHAnsi" w:hAnsiTheme="minorHAnsi" w:cstheme="minorHAnsi"/>
              </w:rPr>
              <w:t xml:space="preserve">commissioned, developed, consulted on and </w:t>
            </w:r>
            <w:r>
              <w:rPr>
                <w:rFonts w:asciiTheme="minorHAnsi" w:hAnsiTheme="minorHAnsi" w:cstheme="minorHAnsi"/>
              </w:rPr>
              <w:t>published</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Publish tools to address gaps</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theme="minorHAnsi"/>
              </w:rPr>
              <w:t>The PBM Resource Guide identifies</w:t>
            </w:r>
            <w:r w:rsidRPr="00FA60AF">
              <w:rPr>
                <w:rFonts w:asciiTheme="minorHAnsi" w:hAnsiTheme="minorHAnsi" w:cstheme="minorHAnsi"/>
              </w:rPr>
              <w:t xml:space="preserve"> the tools </w:t>
            </w:r>
            <w:r>
              <w:rPr>
                <w:rFonts w:asciiTheme="minorHAnsi" w:hAnsiTheme="minorHAnsi" w:cstheme="minorHAnsi"/>
              </w:rPr>
              <w:t xml:space="preserve">that have been </w:t>
            </w:r>
            <w:r w:rsidRPr="00FA60AF">
              <w:rPr>
                <w:rFonts w:asciiTheme="minorHAnsi" w:hAnsiTheme="minorHAnsi" w:cstheme="minorHAnsi"/>
              </w:rPr>
              <w:t xml:space="preserve">commissioned, developed, consulted on and </w:t>
            </w:r>
            <w:r>
              <w:rPr>
                <w:rFonts w:asciiTheme="minorHAnsi" w:hAnsiTheme="minorHAnsi" w:cstheme="minorHAnsi"/>
              </w:rPr>
              <w:t>published</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Review and update National PBM Reference Tool Set</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Evaluation of current tools underway</w:t>
            </w:r>
          </w:p>
        </w:tc>
      </w:tr>
      <w:tr w:rsidR="00E93BBA" w:rsidRPr="000E3854" w:rsidTr="00E93BBA">
        <w:tc>
          <w:tcPr>
            <w:tcW w:w="2093" w:type="dxa"/>
            <w:vMerge w:val="restart"/>
            <w:vAlign w:val="center"/>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t>Education and Training</w:t>
            </w: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Extend eLearning PBM courses </w:t>
            </w:r>
          </w:p>
        </w:tc>
        <w:tc>
          <w:tcPr>
            <w:tcW w:w="3544" w:type="dxa"/>
          </w:tcPr>
          <w:p w:rsidR="00E93BBA" w:rsidRPr="000E3854" w:rsidRDefault="00E93BBA" w:rsidP="007E26CD">
            <w:pPr>
              <w:tabs>
                <w:tab w:val="left" w:pos="-1440"/>
                <w:tab w:val="left" w:pos="567"/>
              </w:tabs>
              <w:spacing w:before="120" w:after="120"/>
              <w:rPr>
                <w:rFonts w:asciiTheme="minorHAnsi" w:hAnsiTheme="minorHAnsi" w:cs="Arial"/>
              </w:rPr>
            </w:pPr>
            <w:r>
              <w:rPr>
                <w:rFonts w:asciiTheme="minorHAnsi" w:hAnsiTheme="minorHAnsi" w:cs="Arial"/>
              </w:rPr>
              <w:t xml:space="preserve">BloodSafe eLearning Australia </w:t>
            </w:r>
            <w:r w:rsidR="00BF4BEE">
              <w:rPr>
                <w:rFonts w:asciiTheme="minorHAnsi" w:hAnsiTheme="minorHAnsi" w:cs="Arial"/>
              </w:rPr>
              <w:t xml:space="preserve">has </w:t>
            </w:r>
            <w:r>
              <w:rPr>
                <w:rFonts w:asciiTheme="minorHAnsi" w:hAnsiTheme="minorHAnsi" w:cs="Arial"/>
              </w:rPr>
              <w:t>courses on PBM Guidelines modules for Critical Bleeding</w:t>
            </w:r>
            <w:proofErr w:type="gramStart"/>
            <w:r>
              <w:rPr>
                <w:rFonts w:asciiTheme="minorHAnsi" w:hAnsiTheme="minorHAnsi" w:cs="Arial"/>
              </w:rPr>
              <w:t>, ,</w:t>
            </w:r>
            <w:proofErr w:type="gramEnd"/>
            <w:r>
              <w:rPr>
                <w:rFonts w:asciiTheme="minorHAnsi" w:hAnsiTheme="minorHAnsi" w:cs="Arial"/>
              </w:rPr>
              <w:t xml:space="preserve"> Perioperative, Medical, Critical Care. Obstetrics and Maternity to be released June 2017 and </w:t>
            </w:r>
            <w:r w:rsidR="00BF4BEE">
              <w:rPr>
                <w:rFonts w:asciiTheme="minorHAnsi" w:hAnsiTheme="minorHAnsi" w:cs="Arial"/>
              </w:rPr>
              <w:t xml:space="preserve">Neonatal and Paediatrics </w:t>
            </w:r>
            <w:r>
              <w:rPr>
                <w:rFonts w:asciiTheme="minorHAnsi" w:hAnsiTheme="minorHAnsi" w:cs="Arial"/>
              </w:rPr>
              <w:t xml:space="preserve"> June 2018</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Investigate and support hospital based education and training</w:t>
            </w:r>
          </w:p>
        </w:tc>
        <w:tc>
          <w:tcPr>
            <w:tcW w:w="3544" w:type="dxa"/>
          </w:tcPr>
          <w:p w:rsidR="00E93BBA" w:rsidRPr="000E3854" w:rsidRDefault="007E26CD" w:rsidP="007E26CD">
            <w:pPr>
              <w:tabs>
                <w:tab w:val="left" w:pos="-1440"/>
                <w:tab w:val="left" w:pos="567"/>
              </w:tabs>
              <w:spacing w:before="120" w:after="120"/>
              <w:rPr>
                <w:rFonts w:asciiTheme="minorHAnsi" w:hAnsiTheme="minorHAnsi" w:cs="Arial"/>
              </w:rPr>
            </w:pPr>
            <w:r>
              <w:rPr>
                <w:rFonts w:asciiTheme="minorHAnsi" w:hAnsiTheme="minorHAnsi" w:cs="Arial"/>
              </w:rPr>
              <w:t>Junior Medical Officer (</w:t>
            </w:r>
            <w:r w:rsidR="00E93BBA">
              <w:rPr>
                <w:rFonts w:asciiTheme="minorHAnsi" w:hAnsiTheme="minorHAnsi" w:cs="Arial"/>
              </w:rPr>
              <w:t>JMO</w:t>
            </w:r>
            <w:r>
              <w:rPr>
                <w:rFonts w:asciiTheme="minorHAnsi" w:hAnsiTheme="minorHAnsi" w:cs="Arial"/>
              </w:rPr>
              <w:t>)</w:t>
            </w:r>
            <w:r w:rsidR="00E93BBA">
              <w:rPr>
                <w:rFonts w:asciiTheme="minorHAnsi" w:hAnsiTheme="minorHAnsi" w:cs="Arial"/>
              </w:rPr>
              <w:t>toolkit under development</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2C53B2">
            <w:pPr>
              <w:tabs>
                <w:tab w:val="left" w:pos="-1440"/>
                <w:tab w:val="left" w:pos="567"/>
              </w:tabs>
              <w:spacing w:before="120" w:after="120"/>
              <w:rPr>
                <w:rFonts w:asciiTheme="minorHAnsi" w:hAnsiTheme="minorHAnsi" w:cs="Arial"/>
              </w:rPr>
            </w:pPr>
            <w:r w:rsidRPr="000E3854">
              <w:rPr>
                <w:rFonts w:asciiTheme="minorHAnsi" w:hAnsiTheme="minorHAnsi" w:cs="Arial"/>
              </w:rPr>
              <w:t xml:space="preserve">Education for </w:t>
            </w:r>
            <w:r w:rsidR="002C53B2">
              <w:rPr>
                <w:rFonts w:asciiTheme="minorHAnsi" w:hAnsiTheme="minorHAnsi" w:cs="Arial"/>
              </w:rPr>
              <w:t>g</w:t>
            </w:r>
            <w:r w:rsidRPr="000E3854">
              <w:rPr>
                <w:rFonts w:asciiTheme="minorHAnsi" w:hAnsiTheme="minorHAnsi" w:cs="Arial"/>
              </w:rPr>
              <w:t xml:space="preserve">eneral </w:t>
            </w:r>
            <w:r w:rsidR="002C53B2">
              <w:rPr>
                <w:rFonts w:asciiTheme="minorHAnsi" w:hAnsiTheme="minorHAnsi" w:cs="Arial"/>
              </w:rPr>
              <w:t>p</w:t>
            </w:r>
            <w:r w:rsidRPr="000E3854">
              <w:rPr>
                <w:rFonts w:asciiTheme="minorHAnsi" w:hAnsiTheme="minorHAnsi" w:cs="Arial"/>
              </w:rPr>
              <w:t>ractitioners</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 xml:space="preserve">Preoperative anaemia as a modifiable risk factor was targeted in the ‘Fit for Surgery Campaign” in 2015. A </w:t>
            </w:r>
            <w:r w:rsidR="007E26CD">
              <w:rPr>
                <w:rFonts w:asciiTheme="minorHAnsi" w:hAnsiTheme="minorHAnsi" w:cs="Arial"/>
              </w:rPr>
              <w:t>Continuing Professional Development (</w:t>
            </w:r>
            <w:r>
              <w:rPr>
                <w:rFonts w:asciiTheme="minorHAnsi" w:hAnsiTheme="minorHAnsi" w:cs="Arial"/>
              </w:rPr>
              <w:t>CPD</w:t>
            </w:r>
            <w:r w:rsidR="007E26CD">
              <w:rPr>
                <w:rFonts w:asciiTheme="minorHAnsi" w:hAnsiTheme="minorHAnsi" w:cs="Arial"/>
              </w:rPr>
              <w:t>)</w:t>
            </w:r>
            <w:r>
              <w:rPr>
                <w:rFonts w:asciiTheme="minorHAnsi" w:hAnsiTheme="minorHAnsi" w:cs="Arial"/>
              </w:rPr>
              <w:t xml:space="preserve"> audit is planned for 2017.</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471566">
            <w:pPr>
              <w:tabs>
                <w:tab w:val="left" w:pos="-1440"/>
                <w:tab w:val="left" w:pos="567"/>
              </w:tabs>
              <w:spacing w:before="120" w:after="120"/>
              <w:rPr>
                <w:rFonts w:asciiTheme="minorHAnsi" w:hAnsiTheme="minorHAnsi" w:cs="Arial"/>
              </w:rPr>
            </w:pPr>
            <w:r w:rsidRPr="000E3854">
              <w:rPr>
                <w:rFonts w:asciiTheme="minorHAnsi" w:hAnsiTheme="minorHAnsi" w:cs="Arial"/>
              </w:rPr>
              <w:t xml:space="preserve">PBM training for </w:t>
            </w:r>
            <w:r w:rsidR="00471566">
              <w:rPr>
                <w:rFonts w:asciiTheme="minorHAnsi" w:hAnsiTheme="minorHAnsi" w:cs="Arial"/>
              </w:rPr>
              <w:t>s</w:t>
            </w:r>
            <w:r w:rsidRPr="000E3854">
              <w:rPr>
                <w:rFonts w:asciiTheme="minorHAnsi" w:hAnsiTheme="minorHAnsi" w:cs="Arial"/>
              </w:rPr>
              <w:t xml:space="preserve">pecialist </w:t>
            </w:r>
            <w:r w:rsidR="002C53B2">
              <w:rPr>
                <w:rFonts w:asciiTheme="minorHAnsi" w:hAnsiTheme="minorHAnsi" w:cs="Arial"/>
              </w:rPr>
              <w:t>p</w:t>
            </w:r>
            <w:r w:rsidRPr="000E3854">
              <w:rPr>
                <w:rFonts w:asciiTheme="minorHAnsi" w:hAnsiTheme="minorHAnsi" w:cs="Arial"/>
              </w:rPr>
              <w:t>ractitioners</w:t>
            </w:r>
          </w:p>
        </w:tc>
        <w:tc>
          <w:tcPr>
            <w:tcW w:w="3544" w:type="dxa"/>
          </w:tcPr>
          <w:p w:rsidR="00E93BBA" w:rsidRPr="000E3854" w:rsidRDefault="00471566" w:rsidP="00E93BBA">
            <w:pPr>
              <w:tabs>
                <w:tab w:val="left" w:pos="-1440"/>
                <w:tab w:val="left" w:pos="567"/>
              </w:tabs>
              <w:spacing w:before="120" w:after="120"/>
              <w:rPr>
                <w:rFonts w:asciiTheme="minorHAnsi" w:hAnsiTheme="minorHAnsi" w:cs="Arial"/>
              </w:rPr>
            </w:pPr>
            <w:r w:rsidRPr="005B73B0">
              <w:rPr>
                <w:rFonts w:asciiTheme="minorHAnsi" w:hAnsiTheme="minorHAnsi" w:cs="Arial"/>
              </w:rPr>
              <w:t>Australian and New Zealand College of Anaesthetists</w:t>
            </w:r>
            <w:r>
              <w:rPr>
                <w:rFonts w:asciiTheme="minorHAnsi" w:hAnsiTheme="minorHAnsi" w:cs="Arial"/>
              </w:rPr>
              <w:t xml:space="preserve"> (</w:t>
            </w:r>
            <w:r w:rsidR="00E93BBA">
              <w:rPr>
                <w:rFonts w:asciiTheme="minorHAnsi" w:hAnsiTheme="minorHAnsi" w:cs="Arial"/>
              </w:rPr>
              <w:t>ANZCA</w:t>
            </w:r>
            <w:r>
              <w:rPr>
                <w:rFonts w:asciiTheme="minorHAnsi" w:hAnsiTheme="minorHAnsi" w:cs="Arial"/>
              </w:rPr>
              <w:t>)</w:t>
            </w:r>
            <w:r w:rsidR="00E93BBA">
              <w:rPr>
                <w:rFonts w:asciiTheme="minorHAnsi" w:hAnsiTheme="minorHAnsi" w:cs="Arial"/>
              </w:rPr>
              <w:t xml:space="preserve"> has endorsed the PBM Guidelines and the </w:t>
            </w:r>
            <w:r>
              <w:rPr>
                <w:rFonts w:asciiTheme="minorHAnsi" w:hAnsiTheme="minorHAnsi" w:cs="Arial"/>
              </w:rPr>
              <w:t xml:space="preserve">BloodSafe e Learning Australia </w:t>
            </w:r>
            <w:r>
              <w:rPr>
                <w:rFonts w:asciiTheme="minorHAnsi" w:hAnsiTheme="minorHAnsi" w:cs="Arial"/>
              </w:rPr>
              <w:lastRenderedPageBreak/>
              <w:t>(</w:t>
            </w:r>
            <w:r w:rsidR="00E93BBA">
              <w:rPr>
                <w:rFonts w:asciiTheme="minorHAnsi" w:hAnsiTheme="minorHAnsi" w:cs="Arial"/>
              </w:rPr>
              <w:t>BEA</w:t>
            </w:r>
            <w:r>
              <w:rPr>
                <w:rFonts w:asciiTheme="minorHAnsi" w:hAnsiTheme="minorHAnsi" w:cs="Arial"/>
              </w:rPr>
              <w:t>)</w:t>
            </w:r>
            <w:r w:rsidR="00E93BBA">
              <w:rPr>
                <w:rFonts w:asciiTheme="minorHAnsi" w:hAnsiTheme="minorHAnsi" w:cs="Arial"/>
              </w:rPr>
              <w:t xml:space="preserve"> critical Bleeding Course as activities under their CPD standard</w:t>
            </w:r>
          </w:p>
        </w:tc>
      </w:tr>
      <w:tr w:rsidR="00E93BBA" w:rsidRPr="000E3854" w:rsidTr="00E93BBA">
        <w:tc>
          <w:tcPr>
            <w:tcW w:w="2093" w:type="dxa"/>
            <w:vMerge w:val="restart"/>
            <w:vAlign w:val="center"/>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lastRenderedPageBreak/>
              <w:t>Promotion/</w:t>
            </w:r>
            <w:r>
              <w:rPr>
                <w:rFonts w:asciiTheme="minorHAnsi" w:hAnsiTheme="minorHAnsi"/>
                <w:b/>
              </w:rPr>
              <w:t xml:space="preserve"> </w:t>
            </w:r>
            <w:r w:rsidRPr="000E3854">
              <w:rPr>
                <w:rFonts w:asciiTheme="minorHAnsi" w:hAnsiTheme="minorHAnsi"/>
                <w:b/>
              </w:rPr>
              <w:t>Communication</w:t>
            </w: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Targeted PBM Campaigns: </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restrictive transfusion/single unit policy</w:t>
            </w:r>
          </w:p>
        </w:tc>
        <w:tc>
          <w:tcPr>
            <w:tcW w:w="3544" w:type="dxa"/>
          </w:tcPr>
          <w:p w:rsidR="00E93BBA" w:rsidRPr="000E3854" w:rsidRDefault="00E93BBA" w:rsidP="002C53B2">
            <w:pPr>
              <w:tabs>
                <w:tab w:val="left" w:pos="-1440"/>
                <w:tab w:val="left" w:pos="567"/>
              </w:tabs>
              <w:spacing w:before="120" w:after="120"/>
              <w:rPr>
                <w:rFonts w:asciiTheme="minorHAnsi" w:hAnsiTheme="minorHAnsi" w:cs="Arial"/>
              </w:rPr>
            </w:pPr>
            <w:r>
              <w:rPr>
                <w:rFonts w:asciiTheme="minorHAnsi" w:hAnsiTheme="minorHAnsi" w:cs="Arial"/>
              </w:rPr>
              <w:t xml:space="preserve">Single unit </w:t>
            </w:r>
            <w:r w:rsidR="002C53B2">
              <w:rPr>
                <w:rFonts w:asciiTheme="minorHAnsi" w:hAnsiTheme="minorHAnsi" w:cs="Arial"/>
              </w:rPr>
              <w:t>g</w:t>
            </w:r>
            <w:r>
              <w:rPr>
                <w:rFonts w:asciiTheme="minorHAnsi" w:hAnsiTheme="minorHAnsi" w:cs="Arial"/>
              </w:rPr>
              <w:t xml:space="preserve">uidance was developed and promoted to </w:t>
            </w:r>
            <w:r w:rsidR="002C53B2">
              <w:rPr>
                <w:rFonts w:asciiTheme="minorHAnsi" w:hAnsiTheme="minorHAnsi" w:cs="Arial"/>
              </w:rPr>
              <w:t>h</w:t>
            </w:r>
            <w:r>
              <w:rPr>
                <w:rFonts w:asciiTheme="minorHAnsi" w:hAnsiTheme="minorHAnsi" w:cs="Arial"/>
              </w:rPr>
              <w:t xml:space="preserve">ealthcare professionals via the NBA website and at </w:t>
            </w:r>
            <w:r w:rsidR="002C53B2">
              <w:rPr>
                <w:rFonts w:asciiTheme="minorHAnsi" w:hAnsiTheme="minorHAnsi" w:cs="Arial"/>
              </w:rPr>
              <w:t>c</w:t>
            </w:r>
            <w:r>
              <w:rPr>
                <w:rFonts w:asciiTheme="minorHAnsi" w:hAnsiTheme="minorHAnsi" w:cs="Arial"/>
              </w:rPr>
              <w:t>onferences</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fit for surgery</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Fit for Surgery materials for both patient</w:t>
            </w:r>
            <w:r w:rsidR="002C53B2">
              <w:rPr>
                <w:rFonts w:asciiTheme="minorHAnsi" w:hAnsiTheme="minorHAnsi" w:cs="Arial"/>
              </w:rPr>
              <w:t>s</w:t>
            </w:r>
            <w:r>
              <w:rPr>
                <w:rFonts w:asciiTheme="minorHAnsi" w:hAnsiTheme="minorHAnsi" w:cs="Arial"/>
              </w:rPr>
              <w:t xml:space="preserve"> and clinician</w:t>
            </w:r>
            <w:r w:rsidR="002C53B2">
              <w:rPr>
                <w:rFonts w:asciiTheme="minorHAnsi" w:hAnsiTheme="minorHAnsi" w:cs="Arial"/>
              </w:rPr>
              <w:t>s</w:t>
            </w:r>
            <w:r>
              <w:rPr>
                <w:rFonts w:asciiTheme="minorHAnsi" w:hAnsiTheme="minorHAnsi" w:cs="Arial"/>
              </w:rPr>
              <w:t xml:space="preserve"> were developed in collaboration with NPS MedicineWise. The tools were promoted on both the NBA and NPS MedicineWise websites and at Conferences such as GP15</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the cost of blood</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Supporting PBM Network</w:t>
            </w:r>
          </w:p>
        </w:tc>
        <w:tc>
          <w:tcPr>
            <w:tcW w:w="3544" w:type="dxa"/>
          </w:tcPr>
          <w:p w:rsidR="00E93BBA" w:rsidRPr="000E3854" w:rsidRDefault="00E93BBA" w:rsidP="002C53B2">
            <w:pPr>
              <w:tabs>
                <w:tab w:val="left" w:pos="-1440"/>
                <w:tab w:val="left" w:pos="567"/>
              </w:tabs>
              <w:spacing w:before="120" w:after="120"/>
              <w:rPr>
                <w:rFonts w:asciiTheme="minorHAnsi" w:hAnsiTheme="minorHAnsi" w:cs="Arial"/>
              </w:rPr>
            </w:pPr>
            <w:r>
              <w:rPr>
                <w:rFonts w:asciiTheme="minorHAnsi" w:hAnsiTheme="minorHAnsi" w:cs="Arial"/>
              </w:rPr>
              <w:t xml:space="preserve">The NBA held a series of symposiums in conjunction with the </w:t>
            </w:r>
            <w:r w:rsidR="002C53B2">
              <w:rPr>
                <w:rFonts w:asciiTheme="minorHAnsi" w:hAnsiTheme="minorHAnsi" w:cs="Arial"/>
              </w:rPr>
              <w:t>j</w:t>
            </w:r>
            <w:r>
              <w:rPr>
                <w:rFonts w:asciiTheme="minorHAnsi" w:hAnsiTheme="minorHAnsi" w:cs="Arial"/>
              </w:rPr>
              <w:t xml:space="preserve">urisdictions  in 2013, a PBM symposium with WA in 2014 and the </w:t>
            </w:r>
            <w:r w:rsidR="00471566">
              <w:t>ACSQHC</w:t>
            </w:r>
            <w:r w:rsidR="00471566" w:rsidDel="00471566">
              <w:rPr>
                <w:rFonts w:asciiTheme="minorHAnsi" w:hAnsiTheme="minorHAnsi" w:cs="Arial"/>
              </w:rPr>
              <w:t xml:space="preserve"> </w:t>
            </w:r>
            <w:r>
              <w:rPr>
                <w:rFonts w:asciiTheme="minorHAnsi" w:hAnsiTheme="minorHAnsi" w:cs="Arial"/>
              </w:rPr>
              <w:t>in 2015</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Conferences</w:t>
            </w:r>
          </w:p>
        </w:tc>
        <w:tc>
          <w:tcPr>
            <w:tcW w:w="3544" w:type="dxa"/>
          </w:tcPr>
          <w:p w:rsidR="00E93BBA" w:rsidRPr="000E3854" w:rsidRDefault="00E93BBA" w:rsidP="00471566">
            <w:pPr>
              <w:tabs>
                <w:tab w:val="left" w:pos="-1440"/>
                <w:tab w:val="left" w:pos="567"/>
              </w:tabs>
              <w:spacing w:before="120" w:after="120"/>
              <w:rPr>
                <w:rFonts w:asciiTheme="minorHAnsi" w:hAnsiTheme="minorHAnsi" w:cs="Arial"/>
              </w:rPr>
            </w:pPr>
            <w:r>
              <w:rPr>
                <w:rFonts w:asciiTheme="minorHAnsi" w:hAnsiTheme="minorHAnsi" w:cs="Arial"/>
              </w:rPr>
              <w:t xml:space="preserve">The NBA has promoted PBM at </w:t>
            </w:r>
            <w:r w:rsidR="00471566">
              <w:rPr>
                <w:rFonts w:asciiTheme="minorHAnsi" w:hAnsiTheme="minorHAnsi" w:cs="Arial"/>
              </w:rPr>
              <w:t>conferences – refer to the NBAs Annual Reports for the list each year</w:t>
            </w:r>
            <w:r>
              <w:rPr>
                <w:rFonts w:asciiTheme="minorHAnsi" w:hAnsiTheme="minorHAnsi" w:cs="Arial"/>
              </w:rPr>
              <w:t xml:space="preserve"> </w:t>
            </w:r>
          </w:p>
        </w:tc>
      </w:tr>
      <w:tr w:rsidR="00E93BBA" w:rsidRPr="000E3854" w:rsidTr="00E93BBA">
        <w:tc>
          <w:tcPr>
            <w:tcW w:w="2093" w:type="dxa"/>
            <w:vMerge w:val="restart"/>
            <w:vAlign w:val="center"/>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b/>
              </w:rPr>
              <w:t>Data to support PBM quality improvement</w:t>
            </w:r>
          </w:p>
        </w:tc>
        <w:tc>
          <w:tcPr>
            <w:tcW w:w="3827" w:type="dxa"/>
            <w:shd w:val="clear" w:color="auto" w:fill="FFC00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Determine transfusion/PBM data sets required</w:t>
            </w:r>
          </w:p>
        </w:tc>
        <w:tc>
          <w:tcPr>
            <w:tcW w:w="3544" w:type="dxa"/>
          </w:tcPr>
          <w:p w:rsidR="00E93BBA" w:rsidRPr="000E3854" w:rsidRDefault="005B73B0"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rsidTr="00E93BBA">
        <w:tc>
          <w:tcPr>
            <w:tcW w:w="2093" w:type="dxa"/>
            <w:vMerge/>
            <w:vAlign w:val="center"/>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Develop peer review reports</w:t>
            </w:r>
          </w:p>
        </w:tc>
        <w:tc>
          <w:tcPr>
            <w:tcW w:w="3544" w:type="dxa"/>
          </w:tcPr>
          <w:p w:rsidR="00E93BBA" w:rsidRPr="000E3854" w:rsidRDefault="005B73B0"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rsidTr="00E93BBA">
        <w:tc>
          <w:tcPr>
            <w:tcW w:w="2093" w:type="dxa"/>
            <w:vMerge/>
            <w:vAlign w:val="center"/>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FFC00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Determine data access rules specific to report audiences</w:t>
            </w:r>
          </w:p>
        </w:tc>
        <w:tc>
          <w:tcPr>
            <w:tcW w:w="3544" w:type="dxa"/>
          </w:tcPr>
          <w:p w:rsidR="00E93BBA" w:rsidRPr="000E3854" w:rsidRDefault="005B73B0" w:rsidP="00E93BBA">
            <w:pPr>
              <w:tabs>
                <w:tab w:val="left" w:pos="-1440"/>
                <w:tab w:val="left" w:pos="567"/>
              </w:tabs>
              <w:spacing w:before="120" w:after="120"/>
              <w:rPr>
                <w:rFonts w:asciiTheme="minorHAnsi" w:hAnsiTheme="minorHAnsi" w:cs="Arial"/>
              </w:rPr>
            </w:pPr>
            <w:r>
              <w:rPr>
                <w:rFonts w:asciiTheme="minorHAnsi" w:hAnsiTheme="minorHAnsi" w:cs="Arial"/>
              </w:rPr>
              <w:t>The project is still under development</w:t>
            </w:r>
          </w:p>
        </w:tc>
      </w:tr>
      <w:tr w:rsidR="00E93BBA" w:rsidRPr="000E3854" w:rsidTr="00E93BBA">
        <w:tc>
          <w:tcPr>
            <w:tcW w:w="2093" w:type="dxa"/>
            <w:vMerge/>
            <w:vAlign w:val="center"/>
          </w:tcPr>
          <w:p w:rsidR="00E93BBA" w:rsidRPr="000E3854" w:rsidRDefault="00E93BBA" w:rsidP="00E93BBA">
            <w:pPr>
              <w:tabs>
                <w:tab w:val="left" w:pos="-1440"/>
                <w:tab w:val="left" w:pos="567"/>
              </w:tabs>
              <w:spacing w:before="120" w:after="120"/>
              <w:rPr>
                <w:rFonts w:asciiTheme="minorHAnsi" w:hAnsiTheme="minorHAnsi" w:cs="Arial"/>
                <w:i/>
              </w:rPr>
            </w:pPr>
          </w:p>
        </w:tc>
        <w:tc>
          <w:tcPr>
            <w:tcW w:w="3827" w:type="dxa"/>
            <w:shd w:val="clear" w:color="auto" w:fill="92D050"/>
            <w:vAlign w:val="center"/>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Develop electronic audit tools </w:t>
            </w:r>
          </w:p>
        </w:tc>
        <w:tc>
          <w:tcPr>
            <w:tcW w:w="3544" w:type="dxa"/>
          </w:tcPr>
          <w:p w:rsidR="00E93BBA" w:rsidRDefault="00E93BBA" w:rsidP="008A1CC8">
            <w:pPr>
              <w:tabs>
                <w:tab w:val="left" w:pos="-1440"/>
                <w:tab w:val="left" w:pos="567"/>
              </w:tabs>
              <w:spacing w:before="120" w:after="120"/>
              <w:rPr>
                <w:rFonts w:asciiTheme="minorHAnsi" w:hAnsiTheme="minorHAnsi" w:cs="Arial"/>
              </w:rPr>
            </w:pPr>
            <w:r>
              <w:rPr>
                <w:rFonts w:asciiTheme="minorHAnsi" w:hAnsiTheme="minorHAnsi" w:cs="Arial"/>
              </w:rPr>
              <w:t xml:space="preserve">The NBA has developed </w:t>
            </w:r>
            <w:r w:rsidR="008A1CC8">
              <w:rPr>
                <w:rFonts w:asciiTheme="minorHAnsi" w:hAnsiTheme="minorHAnsi" w:cs="Arial"/>
              </w:rPr>
              <w:t>two</w:t>
            </w:r>
            <w:r>
              <w:rPr>
                <w:rFonts w:asciiTheme="minorHAnsi" w:hAnsiTheme="minorHAnsi" w:cs="Arial"/>
              </w:rPr>
              <w:t xml:space="preserve"> excel based audit tools for red cell usage and massive transfusion</w:t>
            </w:r>
          </w:p>
          <w:p w:rsidR="00EF44D7" w:rsidRPr="000E3854" w:rsidRDefault="00EF44D7" w:rsidP="008A1CC8">
            <w:pPr>
              <w:tabs>
                <w:tab w:val="left" w:pos="-1440"/>
                <w:tab w:val="left" w:pos="567"/>
              </w:tabs>
              <w:spacing w:before="120" w:after="120"/>
              <w:rPr>
                <w:rFonts w:asciiTheme="minorHAnsi" w:hAnsiTheme="minorHAnsi" w:cs="Arial"/>
              </w:rPr>
            </w:pPr>
          </w:p>
        </w:tc>
      </w:tr>
      <w:tr w:rsidR="00E93BBA" w:rsidRPr="00DD673A" w:rsidTr="005B73B0">
        <w:tc>
          <w:tcPr>
            <w:tcW w:w="9464" w:type="dxa"/>
            <w:gridSpan w:val="3"/>
            <w:shd w:val="clear" w:color="auto" w:fill="D9D9D9" w:themeFill="background1" w:themeFillShade="D9"/>
            <w:vAlign w:val="center"/>
          </w:tcPr>
          <w:p w:rsidR="00E93BBA" w:rsidRPr="00DD673A" w:rsidRDefault="00EF44D7" w:rsidP="00E93BBA">
            <w:pPr>
              <w:tabs>
                <w:tab w:val="left" w:pos="-1440"/>
                <w:tab w:val="left" w:pos="567"/>
              </w:tabs>
              <w:spacing w:before="120" w:after="120"/>
              <w:jc w:val="center"/>
              <w:rPr>
                <w:rFonts w:asciiTheme="minorHAnsi" w:hAnsiTheme="minorHAnsi" w:cs="Arial"/>
                <w:b/>
              </w:rPr>
            </w:pPr>
            <w:r w:rsidRPr="00EF44D7">
              <w:rPr>
                <w:rFonts w:asciiTheme="minorHAnsi" w:hAnsiTheme="minorHAnsi" w:cs="Arial"/>
                <w:b/>
              </w:rPr>
              <w:t>National Blood Sector Education and Training Strategy 2013-2016</w:t>
            </w:r>
          </w:p>
        </w:tc>
      </w:tr>
      <w:tr w:rsidR="00E93BBA" w:rsidRPr="000E3854" w:rsidTr="00E93BBA">
        <w:tc>
          <w:tcPr>
            <w:tcW w:w="2093" w:type="dxa"/>
            <w:vMerge w:val="restart"/>
            <w:vAlign w:val="center"/>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One</w:t>
            </w:r>
          </w:p>
          <w:p w:rsidR="00E93BBA" w:rsidRPr="000E3854" w:rsidRDefault="00E93BBA" w:rsidP="00E93BBA">
            <w:pPr>
              <w:contextualSpacing/>
              <w:rPr>
                <w:rFonts w:asciiTheme="minorHAnsi" w:eastAsia="Arial Unicode MS" w:hAnsiTheme="minorHAnsi" w:cs="Arial"/>
                <w:lang w:eastAsia="en-AU"/>
              </w:rPr>
            </w:pPr>
            <w:r w:rsidRPr="000E3854">
              <w:rPr>
                <w:rFonts w:asciiTheme="minorHAnsi" w:eastAsia="Arial Unicode MS" w:hAnsiTheme="minorHAnsi" w:cs="Arial"/>
                <w:lang w:eastAsia="en-AU"/>
              </w:rPr>
              <w:t xml:space="preserve">Identifying and </w:t>
            </w:r>
            <w:r w:rsidRPr="000E3854">
              <w:rPr>
                <w:rFonts w:asciiTheme="minorHAnsi" w:eastAsia="Arial Unicode MS" w:hAnsiTheme="minorHAnsi" w:cs="Arial"/>
                <w:lang w:eastAsia="en-AU"/>
              </w:rPr>
              <w:lastRenderedPageBreak/>
              <w:t>addressing gaps and reducing unnecessary duplication</w:t>
            </w:r>
          </w:p>
          <w:p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92D05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lastRenderedPageBreak/>
              <w:t>NEAT Committee established</w:t>
            </w:r>
          </w:p>
        </w:tc>
        <w:tc>
          <w:tcPr>
            <w:tcW w:w="3544" w:type="dxa"/>
          </w:tcPr>
          <w:p w:rsidR="00E93BBA" w:rsidRPr="000E3854" w:rsidRDefault="008A1CC8" w:rsidP="008A1CC8">
            <w:pPr>
              <w:tabs>
                <w:tab w:val="left" w:pos="-1440"/>
                <w:tab w:val="left" w:pos="567"/>
              </w:tabs>
              <w:spacing w:before="120" w:after="120"/>
              <w:rPr>
                <w:rFonts w:asciiTheme="minorHAnsi" w:hAnsiTheme="minorHAnsi" w:cs="Arial"/>
              </w:rPr>
            </w:pPr>
            <w:r>
              <w:rPr>
                <w:rFonts w:asciiTheme="minorHAnsi" w:hAnsiTheme="minorHAnsi" w:cs="Arial"/>
              </w:rPr>
              <w:t>Seven</w:t>
            </w:r>
            <w:r w:rsidR="00E93BBA" w:rsidRPr="000E3854">
              <w:rPr>
                <w:rFonts w:asciiTheme="minorHAnsi" w:hAnsiTheme="minorHAnsi" w:cs="Arial"/>
              </w:rPr>
              <w:t xml:space="preserve"> meetings held</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92D05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 xml:space="preserve">Completed consultancy to analyse and </w:t>
            </w:r>
            <w:r w:rsidRPr="000E3854">
              <w:rPr>
                <w:rFonts w:asciiTheme="minorHAnsi" w:hAnsiTheme="minorHAnsi" w:cs="Arial"/>
              </w:rPr>
              <w:lastRenderedPageBreak/>
              <w:t>identify duplication and gaps.</w:t>
            </w:r>
          </w:p>
          <w:p w:rsidR="00E93BBA" w:rsidRPr="000E3854" w:rsidRDefault="00E93BBA" w:rsidP="00E93BBA">
            <w:pPr>
              <w:tabs>
                <w:tab w:val="left" w:pos="-1440"/>
                <w:tab w:val="left" w:pos="567"/>
              </w:tabs>
              <w:spacing w:before="120" w:after="120"/>
              <w:rPr>
                <w:rFonts w:asciiTheme="minorHAnsi" w:hAnsiTheme="minorHAnsi" w:cs="Arial"/>
              </w:rPr>
            </w:pP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NEAT Committee working group established to define required competencies.</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lastRenderedPageBreak/>
              <w:t xml:space="preserve">Identification of gaps completed. </w:t>
            </w:r>
          </w:p>
          <w:p w:rsidR="00E93BBA" w:rsidRDefault="00E93BBA" w:rsidP="00E93BBA">
            <w:pPr>
              <w:tabs>
                <w:tab w:val="left" w:pos="-1440"/>
                <w:tab w:val="left" w:pos="567"/>
              </w:tabs>
              <w:spacing w:before="120" w:after="120"/>
              <w:rPr>
                <w:rFonts w:asciiTheme="minorHAnsi" w:hAnsiTheme="minorHAnsi" w:cs="Arial"/>
              </w:rPr>
            </w:pPr>
          </w:p>
          <w:p w:rsidR="00E93BBA" w:rsidRPr="000E3854" w:rsidRDefault="00E93BBA" w:rsidP="00E93BBA">
            <w:pPr>
              <w:tabs>
                <w:tab w:val="left" w:pos="-1440"/>
                <w:tab w:val="left" w:pos="567"/>
              </w:tabs>
              <w:spacing w:before="120" w:after="120"/>
              <w:rPr>
                <w:rFonts w:asciiTheme="minorHAnsi" w:hAnsiTheme="minorHAnsi" w:cs="Arial"/>
              </w:rPr>
            </w:pPr>
          </w:p>
          <w:p w:rsidR="00E93BBA" w:rsidRPr="000E3854" w:rsidRDefault="00E93BBA" w:rsidP="00471566">
            <w:pPr>
              <w:tabs>
                <w:tab w:val="left" w:pos="-1440"/>
                <w:tab w:val="left" w:pos="567"/>
              </w:tabs>
              <w:spacing w:before="120" w:after="120"/>
              <w:rPr>
                <w:rFonts w:asciiTheme="minorHAnsi" w:hAnsiTheme="minorHAnsi" w:cs="Arial"/>
              </w:rPr>
            </w:pPr>
            <w:r w:rsidRPr="000E3854">
              <w:rPr>
                <w:rFonts w:asciiTheme="minorHAnsi" w:hAnsiTheme="minorHAnsi" w:cs="Arial"/>
              </w:rPr>
              <w:t>Identification of competencies</w:t>
            </w:r>
            <w:r>
              <w:rPr>
                <w:rFonts w:asciiTheme="minorHAnsi" w:hAnsiTheme="minorHAnsi" w:cs="Arial"/>
              </w:rPr>
              <w:t xml:space="preserve"> determined to be too complex. Redefined as </w:t>
            </w:r>
            <w:r w:rsidR="002C53B2">
              <w:rPr>
                <w:rFonts w:asciiTheme="minorHAnsi" w:hAnsiTheme="minorHAnsi" w:cs="Arial"/>
              </w:rPr>
              <w:t>k</w:t>
            </w:r>
            <w:r>
              <w:rPr>
                <w:rFonts w:asciiTheme="minorHAnsi" w:hAnsiTheme="minorHAnsi" w:cs="Arial"/>
              </w:rPr>
              <w:t xml:space="preserve">ey </w:t>
            </w:r>
            <w:r w:rsidR="00471566">
              <w:rPr>
                <w:rFonts w:asciiTheme="minorHAnsi" w:hAnsiTheme="minorHAnsi" w:cs="Arial"/>
              </w:rPr>
              <w:t>L</w:t>
            </w:r>
            <w:r>
              <w:rPr>
                <w:rFonts w:asciiTheme="minorHAnsi" w:hAnsiTheme="minorHAnsi" w:cs="Arial"/>
              </w:rPr>
              <w:t xml:space="preserve">earning </w:t>
            </w:r>
            <w:r w:rsidR="00471566">
              <w:rPr>
                <w:rFonts w:asciiTheme="minorHAnsi" w:hAnsiTheme="minorHAnsi" w:cs="Arial"/>
              </w:rPr>
              <w:t>A</w:t>
            </w:r>
            <w:r>
              <w:rPr>
                <w:rFonts w:asciiTheme="minorHAnsi" w:hAnsiTheme="minorHAnsi" w:cs="Arial"/>
              </w:rPr>
              <w:t>reas</w:t>
            </w:r>
            <w:r w:rsidR="00471566">
              <w:rPr>
                <w:rFonts w:asciiTheme="minorHAnsi" w:hAnsiTheme="minorHAnsi" w:cs="Arial"/>
              </w:rPr>
              <w:t xml:space="preserve"> (KLA)</w:t>
            </w:r>
            <w:r w:rsidRPr="000E3854">
              <w:rPr>
                <w:rFonts w:asciiTheme="minorHAnsi" w:hAnsiTheme="minorHAnsi" w:cs="Arial"/>
              </w:rPr>
              <w:t>.</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FFC00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Minimum standards and competencies identified</w:t>
            </w:r>
          </w:p>
        </w:tc>
        <w:tc>
          <w:tcPr>
            <w:tcW w:w="3544" w:type="dxa"/>
          </w:tcPr>
          <w:p w:rsidR="00E93BBA" w:rsidRPr="000E3854" w:rsidRDefault="00E93BBA" w:rsidP="00471566">
            <w:pPr>
              <w:tabs>
                <w:tab w:val="left" w:pos="-1440"/>
                <w:tab w:val="left" w:pos="567"/>
              </w:tabs>
              <w:spacing w:before="120" w:after="120"/>
              <w:rPr>
                <w:rFonts w:asciiTheme="minorHAnsi" w:hAnsiTheme="minorHAnsi" w:cs="Arial"/>
              </w:rPr>
            </w:pPr>
            <w:r>
              <w:rPr>
                <w:rFonts w:asciiTheme="minorHAnsi" w:hAnsiTheme="minorHAnsi" w:cs="Arial"/>
              </w:rPr>
              <w:t>Competencies to be determined by educational providers. NEAT to recommend KLA</w:t>
            </w:r>
          </w:p>
        </w:tc>
      </w:tr>
      <w:tr w:rsidR="00E93BBA" w:rsidRPr="000E3854" w:rsidTr="00E93BBA">
        <w:tc>
          <w:tcPr>
            <w:tcW w:w="2093" w:type="dxa"/>
            <w:vAlign w:val="center"/>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Two</w:t>
            </w:r>
          </w:p>
          <w:p w:rsidR="00E93BBA" w:rsidRPr="000E3854" w:rsidRDefault="00E93BBA" w:rsidP="00E93BBA">
            <w:pPr>
              <w:contextualSpacing/>
              <w:rPr>
                <w:rFonts w:asciiTheme="minorHAnsi" w:hAnsiTheme="minorHAnsi" w:cs="Arial"/>
              </w:rPr>
            </w:pPr>
            <w:r w:rsidRPr="000E3854">
              <w:rPr>
                <w:rFonts w:asciiTheme="minorHAnsi" w:eastAsia="Arial Unicode MS" w:hAnsiTheme="minorHAnsi" w:cs="Arial"/>
                <w:lang w:eastAsia="en-AU"/>
              </w:rPr>
              <w:t>Improving coordination of online learning and web based information</w:t>
            </w:r>
          </w:p>
        </w:tc>
        <w:tc>
          <w:tcPr>
            <w:tcW w:w="3827" w:type="dxa"/>
            <w:shd w:val="clear" w:color="auto" w:fill="92D05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A range of additional online training materials developed.</w:t>
            </w:r>
          </w:p>
          <w:p w:rsidR="00E93BBA" w:rsidRPr="000E3854" w:rsidRDefault="00E93BBA" w:rsidP="00E93BBA">
            <w:pPr>
              <w:tabs>
                <w:tab w:val="left" w:pos="-1440"/>
                <w:tab w:val="left" w:pos="567"/>
              </w:tabs>
              <w:spacing w:before="120" w:after="120"/>
              <w:rPr>
                <w:rFonts w:asciiTheme="minorHAnsi" w:hAnsiTheme="minorHAnsi" w:cs="Arial"/>
              </w:rPr>
            </w:pPr>
          </w:p>
          <w:p w:rsidR="00E93BBA"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A comprehensive promotion program established including advertising and conference promotion.</w:t>
            </w:r>
          </w:p>
          <w:p w:rsidR="00EF44D7" w:rsidRPr="000E3854" w:rsidRDefault="00EF44D7" w:rsidP="00E93BBA">
            <w:pPr>
              <w:tabs>
                <w:tab w:val="left" w:pos="-1440"/>
                <w:tab w:val="left" w:pos="567"/>
              </w:tabs>
              <w:spacing w:before="120" w:after="120"/>
              <w:rPr>
                <w:rFonts w:asciiTheme="minorHAnsi" w:hAnsiTheme="minorHAnsi" w:cs="Arial"/>
              </w:rPr>
            </w:pP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Project to establish a common national reference library of materials initiated for completion in 2015-16.</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BloodSafe eLearning Australia and Blood Service program of activities</w:t>
            </w:r>
            <w:r>
              <w:rPr>
                <w:rFonts w:asciiTheme="minorHAnsi" w:hAnsiTheme="minorHAnsi" w:cs="Arial"/>
              </w:rPr>
              <w:t>.</w:t>
            </w:r>
            <w:r w:rsidRPr="000E3854">
              <w:rPr>
                <w:rFonts w:asciiTheme="minorHAnsi" w:hAnsiTheme="minorHAnsi" w:cs="Arial"/>
              </w:rPr>
              <w:t xml:space="preserve"> </w:t>
            </w:r>
          </w:p>
          <w:p w:rsidR="00E93BBA" w:rsidRDefault="00E93BBA" w:rsidP="00E93BBA">
            <w:pPr>
              <w:tabs>
                <w:tab w:val="left" w:pos="-1440"/>
                <w:tab w:val="left" w:pos="567"/>
              </w:tabs>
              <w:spacing w:before="120" w:after="120"/>
              <w:rPr>
                <w:rFonts w:asciiTheme="minorHAnsi" w:hAnsiTheme="minorHAnsi" w:cs="Arial"/>
              </w:rPr>
            </w:pP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Availability and awareness of training materials increased.</w:t>
            </w:r>
          </w:p>
          <w:p w:rsidR="00E93BBA" w:rsidRDefault="00E93BBA" w:rsidP="00E93BBA">
            <w:pPr>
              <w:tabs>
                <w:tab w:val="left" w:pos="-1440"/>
                <w:tab w:val="left" w:pos="567"/>
              </w:tabs>
              <w:spacing w:before="120" w:after="120"/>
              <w:rPr>
                <w:rFonts w:asciiTheme="minorHAnsi" w:hAnsiTheme="minorHAnsi" w:cs="Arial"/>
              </w:rPr>
            </w:pPr>
          </w:p>
          <w:p w:rsidR="00EF44D7" w:rsidRPr="000E3854" w:rsidRDefault="00EF44D7" w:rsidP="00E93BBA">
            <w:pPr>
              <w:tabs>
                <w:tab w:val="left" w:pos="-1440"/>
                <w:tab w:val="left" w:pos="567"/>
              </w:tabs>
              <w:spacing w:before="120" w:after="120"/>
              <w:rPr>
                <w:rFonts w:asciiTheme="minorHAnsi" w:hAnsiTheme="minorHAnsi" w:cs="Arial"/>
              </w:rPr>
            </w:pP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Coordination to reduce duplication improved.</w:t>
            </w:r>
          </w:p>
        </w:tc>
      </w:tr>
      <w:tr w:rsidR="00E93BBA" w:rsidRPr="000E3854" w:rsidTr="00E93BBA">
        <w:tc>
          <w:tcPr>
            <w:tcW w:w="2093" w:type="dxa"/>
            <w:vMerge w:val="restart"/>
            <w:vAlign w:val="center"/>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Three</w:t>
            </w: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eastAsia="Arial Unicode MS" w:hAnsiTheme="minorHAnsi" w:cs="Arial"/>
                <w:lang w:eastAsia="en-AU"/>
              </w:rPr>
              <w:t>Creation of networking opportunities</w:t>
            </w:r>
          </w:p>
        </w:tc>
        <w:tc>
          <w:tcPr>
            <w:tcW w:w="3827" w:type="dxa"/>
            <w:shd w:val="clear" w:color="auto" w:fill="92D05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Networking</w:t>
            </w: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National Priority setting group</w:t>
            </w: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Planned activities by all group members provided.</w:t>
            </w:r>
          </w:p>
        </w:tc>
        <w:tc>
          <w:tcPr>
            <w:tcW w:w="3544" w:type="dxa"/>
          </w:tcPr>
          <w:p w:rsidR="00E93BBA" w:rsidRPr="000E3854" w:rsidRDefault="008A1CC8" w:rsidP="00E93BBA">
            <w:pPr>
              <w:tabs>
                <w:tab w:val="left" w:pos="-1440"/>
                <w:tab w:val="left" w:pos="567"/>
              </w:tabs>
              <w:spacing w:before="120" w:after="120"/>
              <w:rPr>
                <w:rFonts w:asciiTheme="minorHAnsi" w:hAnsiTheme="minorHAnsi" w:cs="Arial"/>
              </w:rPr>
            </w:pPr>
            <w:r>
              <w:rPr>
                <w:rFonts w:asciiTheme="minorHAnsi" w:hAnsiTheme="minorHAnsi" w:cs="Arial"/>
              </w:rPr>
              <w:t>Four</w:t>
            </w:r>
            <w:r w:rsidR="00E93BBA" w:rsidRPr="000E3854">
              <w:rPr>
                <w:rFonts w:asciiTheme="minorHAnsi" w:hAnsiTheme="minorHAnsi" w:cs="Arial"/>
              </w:rPr>
              <w:t xml:space="preserve"> teleconferences held. Ongoing - quarterly teleconferences planned for 2016 and 2017</w:t>
            </w: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Review of activities to reduce duplication.</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FFC00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Prescribing forum planned 2017</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Ongoing</w:t>
            </w:r>
          </w:p>
        </w:tc>
      </w:tr>
      <w:tr w:rsidR="00E93BBA" w:rsidRPr="000E3854" w:rsidTr="00E93BBA">
        <w:tc>
          <w:tcPr>
            <w:tcW w:w="2093" w:type="dxa"/>
            <w:vMerge w:val="restart"/>
          </w:tcPr>
          <w:p w:rsidR="00E93BBA" w:rsidRPr="000E3854" w:rsidRDefault="00E93BBA" w:rsidP="00E93BBA">
            <w:pPr>
              <w:tabs>
                <w:tab w:val="left" w:pos="-1440"/>
                <w:tab w:val="left" w:pos="567"/>
              </w:tabs>
              <w:spacing w:before="120" w:after="120"/>
              <w:rPr>
                <w:rFonts w:asciiTheme="minorHAnsi" w:hAnsiTheme="minorHAnsi" w:cs="Arial"/>
                <w:i/>
              </w:rPr>
            </w:pPr>
            <w:r w:rsidRPr="000E3854">
              <w:rPr>
                <w:rFonts w:asciiTheme="minorHAnsi" w:hAnsiTheme="minorHAnsi" w:cs="Arial"/>
                <w:i/>
              </w:rPr>
              <w:t>Four</w:t>
            </w:r>
          </w:p>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eastAsia="Arial Unicode MS" w:hAnsiTheme="minorHAnsi" w:cs="Arial"/>
                <w:lang w:eastAsia="en-AU"/>
              </w:rPr>
              <w:t>Engaging patient groups and supporting their educational requirements</w:t>
            </w:r>
          </w:p>
        </w:tc>
        <w:tc>
          <w:tcPr>
            <w:tcW w:w="3827" w:type="dxa"/>
            <w:shd w:val="clear" w:color="auto" w:fill="00B0F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Deliver patient and carer educational requirements in appropriate formats and languages</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Ongoing</w:t>
            </w:r>
          </w:p>
        </w:tc>
      </w:tr>
      <w:tr w:rsidR="00E93BBA" w:rsidRPr="000E3854" w:rsidTr="00E93BBA">
        <w:tc>
          <w:tcPr>
            <w:tcW w:w="2093" w:type="dxa"/>
            <w:vMerge/>
          </w:tcPr>
          <w:p w:rsidR="00E93BBA" w:rsidRPr="000E3854" w:rsidRDefault="00E93BBA" w:rsidP="00E93BBA">
            <w:pPr>
              <w:tabs>
                <w:tab w:val="left" w:pos="-1440"/>
                <w:tab w:val="left" w:pos="567"/>
              </w:tabs>
              <w:spacing w:before="120" w:after="120"/>
              <w:rPr>
                <w:rFonts w:asciiTheme="minorHAnsi" w:hAnsiTheme="minorHAnsi" w:cs="Arial"/>
              </w:rPr>
            </w:pPr>
          </w:p>
        </w:tc>
        <w:tc>
          <w:tcPr>
            <w:tcW w:w="3827" w:type="dxa"/>
            <w:shd w:val="clear" w:color="auto" w:fill="00B0F0"/>
          </w:tcPr>
          <w:p w:rsidR="00E93BBA" w:rsidRPr="000E3854" w:rsidRDefault="00E93BBA" w:rsidP="00E93BBA">
            <w:pPr>
              <w:tabs>
                <w:tab w:val="left" w:pos="-1440"/>
                <w:tab w:val="left" w:pos="567"/>
              </w:tabs>
              <w:spacing w:before="120" w:after="120"/>
              <w:rPr>
                <w:rFonts w:asciiTheme="minorHAnsi" w:hAnsiTheme="minorHAnsi" w:cs="Arial"/>
              </w:rPr>
            </w:pPr>
            <w:r w:rsidRPr="000E3854">
              <w:rPr>
                <w:rFonts w:asciiTheme="minorHAnsi" w:hAnsiTheme="minorHAnsi" w:cs="Arial"/>
              </w:rPr>
              <w:t>Training for health professionals in obtaining informed consent</w:t>
            </w:r>
          </w:p>
        </w:tc>
        <w:tc>
          <w:tcPr>
            <w:tcW w:w="3544" w:type="dxa"/>
          </w:tcPr>
          <w:p w:rsidR="00E93BBA" w:rsidRPr="000E3854" w:rsidRDefault="00E93BBA" w:rsidP="00E93BBA">
            <w:pPr>
              <w:tabs>
                <w:tab w:val="left" w:pos="-1440"/>
                <w:tab w:val="left" w:pos="567"/>
              </w:tabs>
              <w:spacing w:before="120" w:after="120"/>
              <w:rPr>
                <w:rFonts w:asciiTheme="minorHAnsi" w:hAnsiTheme="minorHAnsi" w:cs="Arial"/>
              </w:rPr>
            </w:pPr>
            <w:r>
              <w:rPr>
                <w:rFonts w:asciiTheme="minorHAnsi" w:hAnsiTheme="minorHAnsi" w:cs="Arial"/>
              </w:rPr>
              <w:t>Ongoing</w:t>
            </w:r>
          </w:p>
        </w:tc>
      </w:tr>
    </w:tbl>
    <w:p w:rsidR="00E8081D" w:rsidRDefault="00E8081D" w:rsidP="00EF44D7"/>
    <w:p w:rsidR="00E8081D" w:rsidRDefault="00E8081D">
      <w:pPr>
        <w:spacing w:line="276" w:lineRule="auto"/>
        <w:sectPr w:rsidR="00E8081D" w:rsidSect="00856708">
          <w:footerReference w:type="default" r:id="rId11"/>
          <w:pgSz w:w="11906" w:h="16838"/>
          <w:pgMar w:top="1440" w:right="1133" w:bottom="1440" w:left="1440" w:header="708" w:footer="708" w:gutter="0"/>
          <w:cols w:space="708"/>
          <w:titlePg/>
          <w:docGrid w:linePitch="360"/>
        </w:sectPr>
      </w:pPr>
      <w:r>
        <w:br w:type="page"/>
      </w:r>
    </w:p>
    <w:p w:rsidR="00B069F8" w:rsidRPr="004A7723" w:rsidRDefault="00E8081D" w:rsidP="00EF44D7">
      <w:r>
        <w:rPr>
          <w:noProof/>
          <w:lang w:eastAsia="en-AU"/>
        </w:rPr>
        <w:lastRenderedPageBreak/>
        <w:drawing>
          <wp:anchor distT="0" distB="0" distL="114300" distR="114300" simplePos="0" relativeHeight="251662336" behindDoc="1" locked="0" layoutInCell="1" allowOverlap="1" wp14:anchorId="52669791" wp14:editId="44D18A30">
            <wp:simplePos x="0" y="0"/>
            <wp:positionH relativeFrom="column">
              <wp:posOffset>0</wp:posOffset>
            </wp:positionH>
            <wp:positionV relativeFrom="paragraph">
              <wp:posOffset>0</wp:posOffset>
            </wp:positionV>
            <wp:extent cx="7573992" cy="10699998"/>
            <wp:effectExtent l="0" t="0" r="8255" b="6350"/>
            <wp:wrapTight wrapText="bothSides">
              <wp:wrapPolygon edited="0">
                <wp:start x="0" y="0"/>
                <wp:lineTo x="0" y="21574"/>
                <wp:lineTo x="21569" y="21574"/>
                <wp:lineTo x="215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cover.jpg"/>
                    <pic:cNvPicPr/>
                  </pic:nvPicPr>
                  <pic:blipFill>
                    <a:blip r:embed="rId12">
                      <a:extLst>
                        <a:ext uri="{28A0092B-C50C-407E-A947-70E740481C1C}">
                          <a14:useLocalDpi xmlns:a14="http://schemas.microsoft.com/office/drawing/2010/main" val="0"/>
                        </a:ext>
                      </a:extLst>
                    </a:blip>
                    <a:stretch>
                      <a:fillRect/>
                    </a:stretch>
                  </pic:blipFill>
                  <pic:spPr>
                    <a:xfrm>
                      <a:off x="0" y="0"/>
                      <a:ext cx="7574130" cy="10700193"/>
                    </a:xfrm>
                    <a:prstGeom prst="rect">
                      <a:avLst/>
                    </a:prstGeom>
                  </pic:spPr>
                </pic:pic>
              </a:graphicData>
            </a:graphic>
            <wp14:sizeRelH relativeFrom="page">
              <wp14:pctWidth>0</wp14:pctWidth>
            </wp14:sizeRelH>
            <wp14:sizeRelV relativeFrom="page">
              <wp14:pctHeight>0</wp14:pctHeight>
            </wp14:sizeRelV>
          </wp:anchor>
        </w:drawing>
      </w:r>
    </w:p>
    <w:sectPr w:rsidR="00B069F8" w:rsidRPr="004A7723" w:rsidSect="00E8081D">
      <w:pgSz w:w="11906" w:h="16838"/>
      <w:pgMar w:top="0" w:right="0" w:bottom="142" w:left="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24" w:rsidRDefault="00CF6A24" w:rsidP="00856708">
      <w:pPr>
        <w:spacing w:after="0"/>
      </w:pPr>
      <w:r>
        <w:separator/>
      </w:r>
    </w:p>
  </w:endnote>
  <w:endnote w:type="continuationSeparator" w:id="0">
    <w:p w:rsidR="00CF6A24" w:rsidRDefault="00CF6A2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6604"/>
      <w:docPartObj>
        <w:docPartGallery w:val="Page Numbers (Bottom of Page)"/>
        <w:docPartUnique/>
      </w:docPartObj>
    </w:sdtPr>
    <w:sdtEndPr/>
    <w:sdtContent>
      <w:p w:rsidR="00E11E6B" w:rsidRDefault="00E11E6B">
        <w:pPr>
          <w:pStyle w:val="Footer"/>
          <w:jc w:val="right"/>
        </w:pPr>
        <w:r>
          <w:t xml:space="preserve">Page | </w:t>
        </w:r>
        <w:r>
          <w:fldChar w:fldCharType="begin"/>
        </w:r>
        <w:r>
          <w:instrText xml:space="preserve"> PAGE   \* MERGEFORMAT </w:instrText>
        </w:r>
        <w:r>
          <w:fldChar w:fldCharType="separate"/>
        </w:r>
        <w:r w:rsidR="003C2AA7">
          <w:rPr>
            <w:noProof/>
          </w:rPr>
          <w:t>3</w:t>
        </w:r>
        <w:r>
          <w:rPr>
            <w:noProof/>
          </w:rPr>
          <w:fldChar w:fldCharType="end"/>
        </w:r>
        <w:r>
          <w:t xml:space="preserve"> </w:t>
        </w:r>
      </w:p>
    </w:sdtContent>
  </w:sdt>
  <w:p w:rsidR="00537411" w:rsidRPr="00856708" w:rsidRDefault="00537411" w:rsidP="00856708">
    <w:pPr>
      <w:pStyle w:val="Footer"/>
      <w:tabs>
        <w:tab w:val="clear" w:pos="9026"/>
        <w:tab w:val="right" w:pos="935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24" w:rsidRDefault="00CF6A24" w:rsidP="00856708">
      <w:pPr>
        <w:spacing w:after="0"/>
      </w:pPr>
      <w:r>
        <w:separator/>
      </w:r>
    </w:p>
  </w:footnote>
  <w:footnote w:type="continuationSeparator" w:id="0">
    <w:p w:rsidR="00CF6A24" w:rsidRDefault="00CF6A24"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40"/>
    <w:multiLevelType w:val="hybridMultilevel"/>
    <w:tmpl w:val="80407B3A"/>
    <w:lvl w:ilvl="0" w:tplc="334440CA">
      <w:start w:val="1"/>
      <w:numFmt w:val="bullet"/>
      <w:lvlText w:val=""/>
      <w:lvlJc w:val="left"/>
      <w:pPr>
        <w:ind w:left="360" w:hanging="360"/>
      </w:pPr>
      <w:rPr>
        <w:rFonts w:ascii="Wingdings" w:hAnsi="Wingdings" w:hint="default"/>
        <w:color w:val="365F91" w:themeColor="accent1" w:themeShade="B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F7B1185"/>
    <w:multiLevelType w:val="hybridMultilevel"/>
    <w:tmpl w:val="90E2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35AC6"/>
    <w:multiLevelType w:val="hybridMultilevel"/>
    <w:tmpl w:val="8EA24866"/>
    <w:lvl w:ilvl="0" w:tplc="6BFAEE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B330D6"/>
    <w:multiLevelType w:val="hybridMultilevel"/>
    <w:tmpl w:val="8FC881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D204CD"/>
    <w:multiLevelType w:val="hybridMultilevel"/>
    <w:tmpl w:val="DAE66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8427CEE"/>
    <w:multiLevelType w:val="hybridMultilevel"/>
    <w:tmpl w:val="D5887096"/>
    <w:lvl w:ilvl="0" w:tplc="92C2C6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7CE4B2D"/>
    <w:multiLevelType w:val="hybridMultilevel"/>
    <w:tmpl w:val="93B643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C7C38E2"/>
    <w:multiLevelType w:val="hybridMultilevel"/>
    <w:tmpl w:val="6512B8F8"/>
    <w:lvl w:ilvl="0" w:tplc="0C09000F">
      <w:start w:val="1"/>
      <w:numFmt w:val="decimal"/>
      <w:lvlText w:val="%1."/>
      <w:lvlJc w:val="left"/>
      <w:pPr>
        <w:ind w:left="6081" w:hanging="360"/>
      </w:pPr>
      <w:rPr>
        <w:rFonts w:hint="default"/>
      </w:rPr>
    </w:lvl>
    <w:lvl w:ilvl="1" w:tplc="0C090003" w:tentative="1">
      <w:start w:val="1"/>
      <w:numFmt w:val="bullet"/>
      <w:lvlText w:val="o"/>
      <w:lvlJc w:val="left"/>
      <w:pPr>
        <w:ind w:left="6801" w:hanging="360"/>
      </w:pPr>
      <w:rPr>
        <w:rFonts w:ascii="Courier New" w:hAnsi="Courier New" w:cs="Courier New" w:hint="default"/>
      </w:rPr>
    </w:lvl>
    <w:lvl w:ilvl="2" w:tplc="0C090005" w:tentative="1">
      <w:start w:val="1"/>
      <w:numFmt w:val="bullet"/>
      <w:lvlText w:val=""/>
      <w:lvlJc w:val="left"/>
      <w:pPr>
        <w:ind w:left="7521" w:hanging="360"/>
      </w:pPr>
      <w:rPr>
        <w:rFonts w:ascii="Wingdings" w:hAnsi="Wingdings" w:hint="default"/>
      </w:rPr>
    </w:lvl>
    <w:lvl w:ilvl="3" w:tplc="0C090001" w:tentative="1">
      <w:start w:val="1"/>
      <w:numFmt w:val="bullet"/>
      <w:lvlText w:val=""/>
      <w:lvlJc w:val="left"/>
      <w:pPr>
        <w:ind w:left="8241" w:hanging="360"/>
      </w:pPr>
      <w:rPr>
        <w:rFonts w:ascii="Symbol" w:hAnsi="Symbol" w:hint="default"/>
      </w:rPr>
    </w:lvl>
    <w:lvl w:ilvl="4" w:tplc="0C090003" w:tentative="1">
      <w:start w:val="1"/>
      <w:numFmt w:val="bullet"/>
      <w:lvlText w:val="o"/>
      <w:lvlJc w:val="left"/>
      <w:pPr>
        <w:ind w:left="8961" w:hanging="360"/>
      </w:pPr>
      <w:rPr>
        <w:rFonts w:ascii="Courier New" w:hAnsi="Courier New" w:cs="Courier New" w:hint="default"/>
      </w:rPr>
    </w:lvl>
    <w:lvl w:ilvl="5" w:tplc="0C090005" w:tentative="1">
      <w:start w:val="1"/>
      <w:numFmt w:val="bullet"/>
      <w:lvlText w:val=""/>
      <w:lvlJc w:val="left"/>
      <w:pPr>
        <w:ind w:left="9681" w:hanging="360"/>
      </w:pPr>
      <w:rPr>
        <w:rFonts w:ascii="Wingdings" w:hAnsi="Wingdings" w:hint="default"/>
      </w:rPr>
    </w:lvl>
    <w:lvl w:ilvl="6" w:tplc="0C090001" w:tentative="1">
      <w:start w:val="1"/>
      <w:numFmt w:val="bullet"/>
      <w:lvlText w:val=""/>
      <w:lvlJc w:val="left"/>
      <w:pPr>
        <w:ind w:left="10401" w:hanging="360"/>
      </w:pPr>
      <w:rPr>
        <w:rFonts w:ascii="Symbol" w:hAnsi="Symbol" w:hint="default"/>
      </w:rPr>
    </w:lvl>
    <w:lvl w:ilvl="7" w:tplc="0C090003" w:tentative="1">
      <w:start w:val="1"/>
      <w:numFmt w:val="bullet"/>
      <w:lvlText w:val="o"/>
      <w:lvlJc w:val="left"/>
      <w:pPr>
        <w:ind w:left="11121" w:hanging="360"/>
      </w:pPr>
      <w:rPr>
        <w:rFonts w:ascii="Courier New" w:hAnsi="Courier New" w:cs="Courier New" w:hint="default"/>
      </w:rPr>
    </w:lvl>
    <w:lvl w:ilvl="8" w:tplc="0C090005" w:tentative="1">
      <w:start w:val="1"/>
      <w:numFmt w:val="bullet"/>
      <w:lvlText w:val=""/>
      <w:lvlJc w:val="left"/>
      <w:pPr>
        <w:ind w:left="11841" w:hanging="360"/>
      </w:pPr>
      <w:rPr>
        <w:rFonts w:ascii="Wingdings" w:hAnsi="Wingdings" w:hint="default"/>
      </w:rPr>
    </w:lvl>
  </w:abstractNum>
  <w:abstractNum w:abstractNumId="9">
    <w:nsid w:val="6815389F"/>
    <w:multiLevelType w:val="hybridMultilevel"/>
    <w:tmpl w:val="BB04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965BED"/>
    <w:multiLevelType w:val="hybridMultilevel"/>
    <w:tmpl w:val="BE9C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6C6EAE"/>
    <w:multiLevelType w:val="hybridMultilevel"/>
    <w:tmpl w:val="C41AA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EA209C"/>
    <w:multiLevelType w:val="hybridMultilevel"/>
    <w:tmpl w:val="0FE87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10"/>
  </w:num>
  <w:num w:numId="6">
    <w:abstractNumId w:val="6"/>
  </w:num>
  <w:num w:numId="7">
    <w:abstractNumId w:val="7"/>
  </w:num>
  <w:num w:numId="8">
    <w:abstractNumId w:val="1"/>
  </w:num>
  <w:num w:numId="9">
    <w:abstractNumId w:val="2"/>
  </w:num>
  <w:num w:numId="10">
    <w:abstractNumId w:val="0"/>
  </w:num>
  <w:num w:numId="11">
    <w:abstractNumId w:val="3"/>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95"/>
    <w:rsid w:val="00000304"/>
    <w:rsid w:val="00036EDC"/>
    <w:rsid w:val="00037901"/>
    <w:rsid w:val="000459E8"/>
    <w:rsid w:val="000477D5"/>
    <w:rsid w:val="0005152E"/>
    <w:rsid w:val="00060060"/>
    <w:rsid w:val="00060861"/>
    <w:rsid w:val="00060D12"/>
    <w:rsid w:val="00067746"/>
    <w:rsid w:val="000700FB"/>
    <w:rsid w:val="000739AC"/>
    <w:rsid w:val="00091265"/>
    <w:rsid w:val="000A5366"/>
    <w:rsid w:val="000C712B"/>
    <w:rsid w:val="000D0C50"/>
    <w:rsid w:val="000F27C1"/>
    <w:rsid w:val="0010282D"/>
    <w:rsid w:val="001051F9"/>
    <w:rsid w:val="00115937"/>
    <w:rsid w:val="001664F4"/>
    <w:rsid w:val="0016682C"/>
    <w:rsid w:val="00176D1E"/>
    <w:rsid w:val="00186CD2"/>
    <w:rsid w:val="0019316D"/>
    <w:rsid w:val="00195C5A"/>
    <w:rsid w:val="001A1E43"/>
    <w:rsid w:val="001B1449"/>
    <w:rsid w:val="001D25ED"/>
    <w:rsid w:val="001D29AA"/>
    <w:rsid w:val="001F7E60"/>
    <w:rsid w:val="00217B66"/>
    <w:rsid w:val="0023294F"/>
    <w:rsid w:val="00233E11"/>
    <w:rsid w:val="00241B0F"/>
    <w:rsid w:val="0025248F"/>
    <w:rsid w:val="002537F2"/>
    <w:rsid w:val="002613EF"/>
    <w:rsid w:val="00263BF3"/>
    <w:rsid w:val="00264F9F"/>
    <w:rsid w:val="002831A1"/>
    <w:rsid w:val="00295B3A"/>
    <w:rsid w:val="00295CD3"/>
    <w:rsid w:val="002A5105"/>
    <w:rsid w:val="002B5737"/>
    <w:rsid w:val="002C53B2"/>
    <w:rsid w:val="002C58AC"/>
    <w:rsid w:val="002F5185"/>
    <w:rsid w:val="002F644B"/>
    <w:rsid w:val="00305AC2"/>
    <w:rsid w:val="00305BCD"/>
    <w:rsid w:val="00311C80"/>
    <w:rsid w:val="00315E8E"/>
    <w:rsid w:val="00317B6A"/>
    <w:rsid w:val="003250F6"/>
    <w:rsid w:val="00343236"/>
    <w:rsid w:val="00350428"/>
    <w:rsid w:val="0035310C"/>
    <w:rsid w:val="0035705F"/>
    <w:rsid w:val="00363483"/>
    <w:rsid w:val="00363F6A"/>
    <w:rsid w:val="00373E0A"/>
    <w:rsid w:val="00392B76"/>
    <w:rsid w:val="0039783C"/>
    <w:rsid w:val="003A2C53"/>
    <w:rsid w:val="003A3606"/>
    <w:rsid w:val="003B0E92"/>
    <w:rsid w:val="003B4117"/>
    <w:rsid w:val="003B4CE6"/>
    <w:rsid w:val="003C1BAF"/>
    <w:rsid w:val="003C2AA7"/>
    <w:rsid w:val="003D1130"/>
    <w:rsid w:val="003D27F1"/>
    <w:rsid w:val="003D580D"/>
    <w:rsid w:val="003E2F20"/>
    <w:rsid w:val="003E5C01"/>
    <w:rsid w:val="004042F8"/>
    <w:rsid w:val="00407358"/>
    <w:rsid w:val="004116F0"/>
    <w:rsid w:val="0041291F"/>
    <w:rsid w:val="00417FA9"/>
    <w:rsid w:val="00420B8F"/>
    <w:rsid w:val="00423C84"/>
    <w:rsid w:val="004610C0"/>
    <w:rsid w:val="00471566"/>
    <w:rsid w:val="00484FB1"/>
    <w:rsid w:val="004865F1"/>
    <w:rsid w:val="004A0F64"/>
    <w:rsid w:val="004A7723"/>
    <w:rsid w:val="004B021A"/>
    <w:rsid w:val="004B20CC"/>
    <w:rsid w:val="004B3B77"/>
    <w:rsid w:val="004C7663"/>
    <w:rsid w:val="004D185E"/>
    <w:rsid w:val="004D4636"/>
    <w:rsid w:val="004E225A"/>
    <w:rsid w:val="004E4AB4"/>
    <w:rsid w:val="004F0DD5"/>
    <w:rsid w:val="00501F60"/>
    <w:rsid w:val="00513E17"/>
    <w:rsid w:val="0052328B"/>
    <w:rsid w:val="00523D7E"/>
    <w:rsid w:val="0053299E"/>
    <w:rsid w:val="0053446B"/>
    <w:rsid w:val="00537411"/>
    <w:rsid w:val="00540020"/>
    <w:rsid w:val="0054773F"/>
    <w:rsid w:val="00553CE6"/>
    <w:rsid w:val="00561219"/>
    <w:rsid w:val="0058141E"/>
    <w:rsid w:val="0058556F"/>
    <w:rsid w:val="00587B00"/>
    <w:rsid w:val="005964EB"/>
    <w:rsid w:val="005A1C1E"/>
    <w:rsid w:val="005B7025"/>
    <w:rsid w:val="005B73B0"/>
    <w:rsid w:val="005C12D6"/>
    <w:rsid w:val="005D778D"/>
    <w:rsid w:val="005E1576"/>
    <w:rsid w:val="005E3D9C"/>
    <w:rsid w:val="00600B40"/>
    <w:rsid w:val="006074D7"/>
    <w:rsid w:val="00615A09"/>
    <w:rsid w:val="006209A1"/>
    <w:rsid w:val="00635CEB"/>
    <w:rsid w:val="006412C6"/>
    <w:rsid w:val="00655414"/>
    <w:rsid w:val="00660A6A"/>
    <w:rsid w:val="00662B0C"/>
    <w:rsid w:val="0068119E"/>
    <w:rsid w:val="006813D2"/>
    <w:rsid w:val="00684B1E"/>
    <w:rsid w:val="00685201"/>
    <w:rsid w:val="0069570B"/>
    <w:rsid w:val="00696976"/>
    <w:rsid w:val="006B2768"/>
    <w:rsid w:val="006D260C"/>
    <w:rsid w:val="006E0191"/>
    <w:rsid w:val="00703178"/>
    <w:rsid w:val="00706D79"/>
    <w:rsid w:val="007128E9"/>
    <w:rsid w:val="00712FD1"/>
    <w:rsid w:val="0071766A"/>
    <w:rsid w:val="00721750"/>
    <w:rsid w:val="00722E02"/>
    <w:rsid w:val="007345EB"/>
    <w:rsid w:val="00745AE9"/>
    <w:rsid w:val="00752492"/>
    <w:rsid w:val="0076431A"/>
    <w:rsid w:val="007659AD"/>
    <w:rsid w:val="0077231D"/>
    <w:rsid w:val="007A23FE"/>
    <w:rsid w:val="007A3A88"/>
    <w:rsid w:val="007A7F82"/>
    <w:rsid w:val="007C43EF"/>
    <w:rsid w:val="007C6E1E"/>
    <w:rsid w:val="007D1540"/>
    <w:rsid w:val="007D3D36"/>
    <w:rsid w:val="007E1873"/>
    <w:rsid w:val="007E26CD"/>
    <w:rsid w:val="007F294A"/>
    <w:rsid w:val="007F5DBA"/>
    <w:rsid w:val="008061F6"/>
    <w:rsid w:val="0080691F"/>
    <w:rsid w:val="00810108"/>
    <w:rsid w:val="00834500"/>
    <w:rsid w:val="00843D56"/>
    <w:rsid w:val="00845033"/>
    <w:rsid w:val="0084542E"/>
    <w:rsid w:val="00856708"/>
    <w:rsid w:val="00857A37"/>
    <w:rsid w:val="0086022E"/>
    <w:rsid w:val="00867C5B"/>
    <w:rsid w:val="00870750"/>
    <w:rsid w:val="00871BCA"/>
    <w:rsid w:val="0087324B"/>
    <w:rsid w:val="0087526E"/>
    <w:rsid w:val="00883E2E"/>
    <w:rsid w:val="008870CE"/>
    <w:rsid w:val="0089160F"/>
    <w:rsid w:val="00893E0A"/>
    <w:rsid w:val="008A1CC8"/>
    <w:rsid w:val="008A7FB4"/>
    <w:rsid w:val="008C2003"/>
    <w:rsid w:val="008D47C2"/>
    <w:rsid w:val="008E6A82"/>
    <w:rsid w:val="008E6D37"/>
    <w:rsid w:val="008E7D91"/>
    <w:rsid w:val="008F0172"/>
    <w:rsid w:val="008F342C"/>
    <w:rsid w:val="009142BF"/>
    <w:rsid w:val="00914393"/>
    <w:rsid w:val="00915D12"/>
    <w:rsid w:val="00930212"/>
    <w:rsid w:val="009308F5"/>
    <w:rsid w:val="009403AF"/>
    <w:rsid w:val="00941B40"/>
    <w:rsid w:val="00941D0D"/>
    <w:rsid w:val="00951B85"/>
    <w:rsid w:val="00994806"/>
    <w:rsid w:val="00997EC9"/>
    <w:rsid w:val="009A6550"/>
    <w:rsid w:val="009B1C3F"/>
    <w:rsid w:val="009C4644"/>
    <w:rsid w:val="009E0E3E"/>
    <w:rsid w:val="009E2DFC"/>
    <w:rsid w:val="009E38CC"/>
    <w:rsid w:val="009E3D41"/>
    <w:rsid w:val="009E72A2"/>
    <w:rsid w:val="009F24E6"/>
    <w:rsid w:val="00A02864"/>
    <w:rsid w:val="00A02A05"/>
    <w:rsid w:val="00A37141"/>
    <w:rsid w:val="00A53241"/>
    <w:rsid w:val="00A70D70"/>
    <w:rsid w:val="00A75A5C"/>
    <w:rsid w:val="00AB5C53"/>
    <w:rsid w:val="00AC141E"/>
    <w:rsid w:val="00AD3C32"/>
    <w:rsid w:val="00AE4BC7"/>
    <w:rsid w:val="00AF22CD"/>
    <w:rsid w:val="00AF2911"/>
    <w:rsid w:val="00AF6630"/>
    <w:rsid w:val="00B069F8"/>
    <w:rsid w:val="00B3726E"/>
    <w:rsid w:val="00B40373"/>
    <w:rsid w:val="00B643C4"/>
    <w:rsid w:val="00B95F1D"/>
    <w:rsid w:val="00B970F1"/>
    <w:rsid w:val="00BA4C29"/>
    <w:rsid w:val="00BA7365"/>
    <w:rsid w:val="00BB0A11"/>
    <w:rsid w:val="00BE05BB"/>
    <w:rsid w:val="00BF4BEE"/>
    <w:rsid w:val="00BF7157"/>
    <w:rsid w:val="00BF7D37"/>
    <w:rsid w:val="00C00A92"/>
    <w:rsid w:val="00C15B40"/>
    <w:rsid w:val="00C316A6"/>
    <w:rsid w:val="00C41932"/>
    <w:rsid w:val="00C70C23"/>
    <w:rsid w:val="00C9496F"/>
    <w:rsid w:val="00C97C10"/>
    <w:rsid w:val="00CA2E50"/>
    <w:rsid w:val="00CB63AF"/>
    <w:rsid w:val="00CD3678"/>
    <w:rsid w:val="00CE2460"/>
    <w:rsid w:val="00CE2F7D"/>
    <w:rsid w:val="00CF05EE"/>
    <w:rsid w:val="00CF6A24"/>
    <w:rsid w:val="00D02BBA"/>
    <w:rsid w:val="00D25C24"/>
    <w:rsid w:val="00D51AB4"/>
    <w:rsid w:val="00D56438"/>
    <w:rsid w:val="00D67A04"/>
    <w:rsid w:val="00D71311"/>
    <w:rsid w:val="00D9140A"/>
    <w:rsid w:val="00D91440"/>
    <w:rsid w:val="00DA114C"/>
    <w:rsid w:val="00DA4819"/>
    <w:rsid w:val="00DB1B45"/>
    <w:rsid w:val="00DE6FDC"/>
    <w:rsid w:val="00E104E3"/>
    <w:rsid w:val="00E11E6B"/>
    <w:rsid w:val="00E13351"/>
    <w:rsid w:val="00E22FE4"/>
    <w:rsid w:val="00E42FFA"/>
    <w:rsid w:val="00E56002"/>
    <w:rsid w:val="00E6618F"/>
    <w:rsid w:val="00E8081D"/>
    <w:rsid w:val="00E816AF"/>
    <w:rsid w:val="00E93BBA"/>
    <w:rsid w:val="00E95362"/>
    <w:rsid w:val="00EB505F"/>
    <w:rsid w:val="00EB78B3"/>
    <w:rsid w:val="00EC0695"/>
    <w:rsid w:val="00EC109F"/>
    <w:rsid w:val="00EC59BC"/>
    <w:rsid w:val="00EE1DCE"/>
    <w:rsid w:val="00EF2E90"/>
    <w:rsid w:val="00EF44D7"/>
    <w:rsid w:val="00F10676"/>
    <w:rsid w:val="00F179A1"/>
    <w:rsid w:val="00F2203C"/>
    <w:rsid w:val="00F241ED"/>
    <w:rsid w:val="00F2569F"/>
    <w:rsid w:val="00F261A2"/>
    <w:rsid w:val="00F4041A"/>
    <w:rsid w:val="00F51BF3"/>
    <w:rsid w:val="00F71478"/>
    <w:rsid w:val="00F76FEA"/>
    <w:rsid w:val="00F82F94"/>
    <w:rsid w:val="00FA5C18"/>
    <w:rsid w:val="00FA6361"/>
    <w:rsid w:val="00FB1A32"/>
    <w:rsid w:val="00FB28F4"/>
    <w:rsid w:val="00FB5DCC"/>
    <w:rsid w:val="00FC0D99"/>
    <w:rsid w:val="00FD060D"/>
    <w:rsid w:val="00FE2871"/>
    <w:rsid w:val="00FF0914"/>
    <w:rsid w:val="00FF5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1E"/>
    <w:pPr>
      <w:spacing w:line="240" w:lineRule="auto"/>
    </w:pPr>
    <w:rPr>
      <w:rFonts w:ascii="Calibri" w:eastAsia="Dotum" w:hAnsi="Calibri" w:cs="Calibri"/>
    </w:rPr>
  </w:style>
  <w:style w:type="paragraph" w:styleId="Heading1">
    <w:name w:val="heading 1"/>
    <w:next w:val="Normal"/>
    <w:link w:val="Heading1Char"/>
    <w:uiPriority w:val="9"/>
    <w:qFormat/>
    <w:rsid w:val="00712FD1"/>
    <w:pPr>
      <w:widowControl w:val="0"/>
      <w:spacing w:after="240" w:line="580" w:lineRule="exact"/>
      <w:ind w:right="6"/>
      <w:outlineLvl w:val="0"/>
    </w:pPr>
    <w:rPr>
      <w:rFonts w:ascii="Calibri" w:eastAsia="HYGothic-Extra" w:hAnsi="Calibri" w:cs="Calibri"/>
      <w:bCs/>
      <w:color w:val="C00000"/>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C70C23"/>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D1"/>
    <w:rPr>
      <w:rFonts w:ascii="Calibri" w:eastAsia="HYGothic-Extra" w:hAnsi="Calibri" w:cs="Calibri"/>
      <w:bCs/>
      <w:color w:val="C00000"/>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115937"/>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table,List Paragraph1,Recommendation"/>
    <w:basedOn w:val="Normal"/>
    <w:link w:val="ListParagraphChar"/>
    <w:uiPriority w:val="34"/>
    <w:qFormat/>
    <w:rsid w:val="00B3726E"/>
    <w:pPr>
      <w:ind w:left="720"/>
      <w:contextualSpacing/>
    </w:p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IntenseReference">
    <w:name w:val="Intense Reference"/>
    <w:basedOn w:val="DefaultParagraphFont"/>
    <w:uiPriority w:val="32"/>
    <w:qFormat/>
    <w:rsid w:val="0041291F"/>
    <w:rPr>
      <w:b/>
      <w:bCs/>
      <w:i/>
      <w:smallCaps/>
      <w:color w:val="C0504D" w:themeColor="accent2"/>
      <w:spacing w:val="5"/>
      <w:u w:val="none"/>
    </w:rPr>
  </w:style>
  <w:style w:type="character" w:customStyle="1" w:styleId="ListParagraphChar">
    <w:name w:val="List Paragraph Char"/>
    <w:aliases w:val="Bullet table Char,List Paragraph1 Char,Recommendation Char"/>
    <w:basedOn w:val="DefaultParagraphFont"/>
    <w:link w:val="ListParagraph"/>
    <w:uiPriority w:val="34"/>
    <w:locked/>
    <w:rsid w:val="0041291F"/>
    <w:rPr>
      <w:rFonts w:ascii="Calibri" w:eastAsia="Dotum" w:hAnsi="Calibri" w:cs="Calibri"/>
    </w:rPr>
  </w:style>
  <w:style w:type="character" w:styleId="CommentReference">
    <w:name w:val="annotation reference"/>
    <w:basedOn w:val="DefaultParagraphFont"/>
    <w:uiPriority w:val="99"/>
    <w:semiHidden/>
    <w:unhideWhenUsed/>
    <w:rsid w:val="006412C6"/>
    <w:rPr>
      <w:sz w:val="16"/>
      <w:szCs w:val="16"/>
    </w:rPr>
  </w:style>
  <w:style w:type="paragraph" w:styleId="CommentText">
    <w:name w:val="annotation text"/>
    <w:basedOn w:val="Normal"/>
    <w:link w:val="CommentTextChar"/>
    <w:uiPriority w:val="99"/>
    <w:unhideWhenUsed/>
    <w:rsid w:val="006412C6"/>
    <w:rPr>
      <w:sz w:val="20"/>
      <w:szCs w:val="20"/>
    </w:rPr>
  </w:style>
  <w:style w:type="character" w:customStyle="1" w:styleId="CommentTextChar">
    <w:name w:val="Comment Text Char"/>
    <w:basedOn w:val="DefaultParagraphFont"/>
    <w:link w:val="CommentText"/>
    <w:uiPriority w:val="99"/>
    <w:rsid w:val="006412C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412C6"/>
    <w:rPr>
      <w:b/>
      <w:bCs/>
    </w:rPr>
  </w:style>
  <w:style w:type="character" w:customStyle="1" w:styleId="CommentSubjectChar">
    <w:name w:val="Comment Subject Char"/>
    <w:basedOn w:val="CommentTextChar"/>
    <w:link w:val="CommentSubject"/>
    <w:uiPriority w:val="99"/>
    <w:semiHidden/>
    <w:rsid w:val="006412C6"/>
    <w:rPr>
      <w:rFonts w:ascii="Calibri" w:eastAsia="Dotum" w:hAnsi="Calibri" w:cs="Calibri"/>
      <w:b/>
      <w:bCs/>
      <w:sz w:val="20"/>
      <w:szCs w:val="20"/>
    </w:rPr>
  </w:style>
  <w:style w:type="paragraph" w:styleId="BalloonText">
    <w:name w:val="Balloon Text"/>
    <w:basedOn w:val="Normal"/>
    <w:link w:val="BalloonTextChar"/>
    <w:uiPriority w:val="99"/>
    <w:semiHidden/>
    <w:unhideWhenUsed/>
    <w:rsid w:val="006412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C6"/>
    <w:rPr>
      <w:rFonts w:ascii="Tahoma" w:eastAsia="Dotum" w:hAnsi="Tahoma" w:cs="Tahoma"/>
      <w:sz w:val="16"/>
      <w:szCs w:val="16"/>
    </w:rPr>
  </w:style>
  <w:style w:type="paragraph" w:styleId="TOCHeading">
    <w:name w:val="TOC Heading"/>
    <w:basedOn w:val="Heading1"/>
    <w:next w:val="Normal"/>
    <w:uiPriority w:val="39"/>
    <w:semiHidden/>
    <w:unhideWhenUsed/>
    <w:qFormat/>
    <w:rsid w:val="0053446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53446B"/>
    <w:pPr>
      <w:spacing w:after="100"/>
    </w:pPr>
  </w:style>
  <w:style w:type="paragraph" w:styleId="TOC3">
    <w:name w:val="toc 3"/>
    <w:basedOn w:val="Normal"/>
    <w:next w:val="Normal"/>
    <w:autoRedefine/>
    <w:uiPriority w:val="39"/>
    <w:unhideWhenUsed/>
    <w:rsid w:val="0053446B"/>
    <w:pPr>
      <w:spacing w:after="100"/>
      <w:ind w:left="440"/>
    </w:pPr>
  </w:style>
  <w:style w:type="character" w:styleId="Hyperlink">
    <w:name w:val="Hyperlink"/>
    <w:basedOn w:val="DefaultParagraphFont"/>
    <w:uiPriority w:val="99"/>
    <w:unhideWhenUsed/>
    <w:rsid w:val="0053446B"/>
    <w:rPr>
      <w:color w:val="0000FF" w:themeColor="hyperlink"/>
      <w:u w:val="single"/>
    </w:rPr>
  </w:style>
  <w:style w:type="paragraph" w:styleId="Quote">
    <w:name w:val="Quote"/>
    <w:basedOn w:val="Normal"/>
    <w:next w:val="Normal"/>
    <w:link w:val="QuoteChar"/>
    <w:uiPriority w:val="29"/>
    <w:qFormat/>
    <w:rsid w:val="00317B6A"/>
    <w:pPr>
      <w:spacing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17B6A"/>
    <w:rPr>
      <w:rFonts w:eastAsiaTheme="minorEastAsia"/>
      <w:i/>
      <w:iCs/>
      <w:color w:val="000000" w:themeColor="text1"/>
      <w:lang w:val="en-US" w:eastAsia="ja-JP"/>
    </w:rPr>
  </w:style>
  <w:style w:type="paragraph" w:styleId="NormalWeb">
    <w:name w:val="Normal (Web)"/>
    <w:basedOn w:val="Normal"/>
    <w:uiPriority w:val="99"/>
    <w:semiHidden/>
    <w:unhideWhenUsed/>
    <w:rsid w:val="00834500"/>
    <w:pPr>
      <w:spacing w:before="225" w:after="0" w:line="384" w:lineRule="atLeast"/>
    </w:pPr>
    <w:rPr>
      <w:rFonts w:ascii="Times New Roman" w:eastAsia="Times New Roman" w:hAnsi="Times New Roman" w:cs="Times New Roman"/>
      <w:color w:val="5B5C5F"/>
      <w:sz w:val="24"/>
      <w:szCs w:val="24"/>
      <w:lang w:eastAsia="en-AU"/>
    </w:rPr>
  </w:style>
  <w:style w:type="paragraph" w:styleId="FootnoteText">
    <w:name w:val="footnote text"/>
    <w:basedOn w:val="Normal"/>
    <w:link w:val="FootnoteTextChar"/>
    <w:uiPriority w:val="99"/>
    <w:semiHidden/>
    <w:unhideWhenUsed/>
    <w:rsid w:val="00600B40"/>
    <w:pPr>
      <w:spacing w:after="0"/>
    </w:pPr>
    <w:rPr>
      <w:sz w:val="20"/>
      <w:szCs w:val="20"/>
    </w:rPr>
  </w:style>
  <w:style w:type="character" w:customStyle="1" w:styleId="FootnoteTextChar">
    <w:name w:val="Footnote Text Char"/>
    <w:basedOn w:val="DefaultParagraphFont"/>
    <w:link w:val="FootnoteText"/>
    <w:uiPriority w:val="99"/>
    <w:semiHidden/>
    <w:rsid w:val="00600B40"/>
    <w:rPr>
      <w:rFonts w:ascii="Calibri" w:eastAsia="Dotum" w:hAnsi="Calibri" w:cs="Calibri"/>
      <w:sz w:val="20"/>
      <w:szCs w:val="20"/>
    </w:rPr>
  </w:style>
  <w:style w:type="character" w:styleId="FootnoteReference">
    <w:name w:val="footnote reference"/>
    <w:basedOn w:val="DefaultParagraphFont"/>
    <w:uiPriority w:val="99"/>
    <w:semiHidden/>
    <w:unhideWhenUsed/>
    <w:rsid w:val="00600B40"/>
    <w:rPr>
      <w:vertAlign w:val="superscript"/>
    </w:rPr>
  </w:style>
  <w:style w:type="character" w:styleId="EndnoteReference">
    <w:name w:val="endnote reference"/>
    <w:basedOn w:val="DefaultParagraphFont"/>
    <w:uiPriority w:val="99"/>
    <w:semiHidden/>
    <w:unhideWhenUsed/>
    <w:rsid w:val="00FF5AFE"/>
    <w:rPr>
      <w:vertAlign w:val="superscript"/>
    </w:rPr>
  </w:style>
  <w:style w:type="character" w:styleId="Emphasis">
    <w:name w:val="Emphasis"/>
    <w:basedOn w:val="DefaultParagraphFont"/>
    <w:uiPriority w:val="20"/>
    <w:qFormat/>
    <w:rsid w:val="00241B0F"/>
    <w:rPr>
      <w:i/>
      <w:iCs/>
    </w:rPr>
  </w:style>
  <w:style w:type="paragraph" w:styleId="PlainText">
    <w:name w:val="Plain Text"/>
    <w:basedOn w:val="Normal"/>
    <w:link w:val="PlainTextChar"/>
    <w:uiPriority w:val="99"/>
    <w:semiHidden/>
    <w:unhideWhenUsed/>
    <w:rsid w:val="0054773F"/>
    <w:pPr>
      <w:spacing w:after="0"/>
    </w:pPr>
    <w:rPr>
      <w:rFonts w:eastAsiaTheme="minorHAnsi" w:cs="Consolas"/>
      <w:szCs w:val="21"/>
    </w:rPr>
  </w:style>
  <w:style w:type="character" w:customStyle="1" w:styleId="PlainTextChar">
    <w:name w:val="Plain Text Char"/>
    <w:basedOn w:val="DefaultParagraphFont"/>
    <w:link w:val="PlainText"/>
    <w:uiPriority w:val="99"/>
    <w:semiHidden/>
    <w:rsid w:val="0054773F"/>
    <w:rPr>
      <w:rFonts w:ascii="Calibri" w:hAnsi="Calibri" w:cs="Consolas"/>
      <w:szCs w:val="21"/>
    </w:rPr>
  </w:style>
  <w:style w:type="paragraph" w:styleId="Revision">
    <w:name w:val="Revision"/>
    <w:hidden/>
    <w:uiPriority w:val="99"/>
    <w:semiHidden/>
    <w:rsid w:val="003D580D"/>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1E"/>
    <w:pPr>
      <w:spacing w:line="240" w:lineRule="auto"/>
    </w:pPr>
    <w:rPr>
      <w:rFonts w:ascii="Calibri" w:eastAsia="Dotum" w:hAnsi="Calibri" w:cs="Calibri"/>
    </w:rPr>
  </w:style>
  <w:style w:type="paragraph" w:styleId="Heading1">
    <w:name w:val="heading 1"/>
    <w:next w:val="Normal"/>
    <w:link w:val="Heading1Char"/>
    <w:uiPriority w:val="9"/>
    <w:qFormat/>
    <w:rsid w:val="00712FD1"/>
    <w:pPr>
      <w:widowControl w:val="0"/>
      <w:spacing w:after="240" w:line="580" w:lineRule="exact"/>
      <w:ind w:right="6"/>
      <w:outlineLvl w:val="0"/>
    </w:pPr>
    <w:rPr>
      <w:rFonts w:ascii="Calibri" w:eastAsia="HYGothic-Extra" w:hAnsi="Calibri" w:cs="Calibri"/>
      <w:bCs/>
      <w:color w:val="C00000"/>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C70C23"/>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D1"/>
    <w:rPr>
      <w:rFonts w:ascii="Calibri" w:eastAsia="HYGothic-Extra" w:hAnsi="Calibri" w:cs="Calibri"/>
      <w:bCs/>
      <w:color w:val="C00000"/>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115937"/>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table,List Paragraph1,Recommendation"/>
    <w:basedOn w:val="Normal"/>
    <w:link w:val="ListParagraphChar"/>
    <w:uiPriority w:val="34"/>
    <w:qFormat/>
    <w:rsid w:val="00B3726E"/>
    <w:pPr>
      <w:ind w:left="720"/>
      <w:contextualSpacing/>
    </w:p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IntenseReference">
    <w:name w:val="Intense Reference"/>
    <w:basedOn w:val="DefaultParagraphFont"/>
    <w:uiPriority w:val="32"/>
    <w:qFormat/>
    <w:rsid w:val="0041291F"/>
    <w:rPr>
      <w:b/>
      <w:bCs/>
      <w:i/>
      <w:smallCaps/>
      <w:color w:val="C0504D" w:themeColor="accent2"/>
      <w:spacing w:val="5"/>
      <w:u w:val="none"/>
    </w:rPr>
  </w:style>
  <w:style w:type="character" w:customStyle="1" w:styleId="ListParagraphChar">
    <w:name w:val="List Paragraph Char"/>
    <w:aliases w:val="Bullet table Char,List Paragraph1 Char,Recommendation Char"/>
    <w:basedOn w:val="DefaultParagraphFont"/>
    <w:link w:val="ListParagraph"/>
    <w:uiPriority w:val="34"/>
    <w:locked/>
    <w:rsid w:val="0041291F"/>
    <w:rPr>
      <w:rFonts w:ascii="Calibri" w:eastAsia="Dotum" w:hAnsi="Calibri" w:cs="Calibri"/>
    </w:rPr>
  </w:style>
  <w:style w:type="character" w:styleId="CommentReference">
    <w:name w:val="annotation reference"/>
    <w:basedOn w:val="DefaultParagraphFont"/>
    <w:uiPriority w:val="99"/>
    <w:semiHidden/>
    <w:unhideWhenUsed/>
    <w:rsid w:val="006412C6"/>
    <w:rPr>
      <w:sz w:val="16"/>
      <w:szCs w:val="16"/>
    </w:rPr>
  </w:style>
  <w:style w:type="paragraph" w:styleId="CommentText">
    <w:name w:val="annotation text"/>
    <w:basedOn w:val="Normal"/>
    <w:link w:val="CommentTextChar"/>
    <w:uiPriority w:val="99"/>
    <w:unhideWhenUsed/>
    <w:rsid w:val="006412C6"/>
    <w:rPr>
      <w:sz w:val="20"/>
      <w:szCs w:val="20"/>
    </w:rPr>
  </w:style>
  <w:style w:type="character" w:customStyle="1" w:styleId="CommentTextChar">
    <w:name w:val="Comment Text Char"/>
    <w:basedOn w:val="DefaultParagraphFont"/>
    <w:link w:val="CommentText"/>
    <w:uiPriority w:val="99"/>
    <w:rsid w:val="006412C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412C6"/>
    <w:rPr>
      <w:b/>
      <w:bCs/>
    </w:rPr>
  </w:style>
  <w:style w:type="character" w:customStyle="1" w:styleId="CommentSubjectChar">
    <w:name w:val="Comment Subject Char"/>
    <w:basedOn w:val="CommentTextChar"/>
    <w:link w:val="CommentSubject"/>
    <w:uiPriority w:val="99"/>
    <w:semiHidden/>
    <w:rsid w:val="006412C6"/>
    <w:rPr>
      <w:rFonts w:ascii="Calibri" w:eastAsia="Dotum" w:hAnsi="Calibri" w:cs="Calibri"/>
      <w:b/>
      <w:bCs/>
      <w:sz w:val="20"/>
      <w:szCs w:val="20"/>
    </w:rPr>
  </w:style>
  <w:style w:type="paragraph" w:styleId="BalloonText">
    <w:name w:val="Balloon Text"/>
    <w:basedOn w:val="Normal"/>
    <w:link w:val="BalloonTextChar"/>
    <w:uiPriority w:val="99"/>
    <w:semiHidden/>
    <w:unhideWhenUsed/>
    <w:rsid w:val="006412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C6"/>
    <w:rPr>
      <w:rFonts w:ascii="Tahoma" w:eastAsia="Dotum" w:hAnsi="Tahoma" w:cs="Tahoma"/>
      <w:sz w:val="16"/>
      <w:szCs w:val="16"/>
    </w:rPr>
  </w:style>
  <w:style w:type="paragraph" w:styleId="TOCHeading">
    <w:name w:val="TOC Heading"/>
    <w:basedOn w:val="Heading1"/>
    <w:next w:val="Normal"/>
    <w:uiPriority w:val="39"/>
    <w:semiHidden/>
    <w:unhideWhenUsed/>
    <w:qFormat/>
    <w:rsid w:val="0053446B"/>
    <w:pPr>
      <w:keepNext/>
      <w:keepLines/>
      <w:widowControl/>
      <w:spacing w:before="480" w:after="0" w:line="276" w:lineRule="auto"/>
      <w:ind w:right="0"/>
      <w:outlineLvl w:val="9"/>
    </w:pPr>
    <w:rPr>
      <w:rFonts w:asciiTheme="majorHAnsi" w:eastAsiaTheme="majorEastAsia" w:hAnsiTheme="majorHAnsi" w:cstheme="majorBidi"/>
      <w:b/>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53446B"/>
    <w:pPr>
      <w:spacing w:after="100"/>
    </w:pPr>
  </w:style>
  <w:style w:type="paragraph" w:styleId="TOC3">
    <w:name w:val="toc 3"/>
    <w:basedOn w:val="Normal"/>
    <w:next w:val="Normal"/>
    <w:autoRedefine/>
    <w:uiPriority w:val="39"/>
    <w:unhideWhenUsed/>
    <w:rsid w:val="0053446B"/>
    <w:pPr>
      <w:spacing w:after="100"/>
      <w:ind w:left="440"/>
    </w:pPr>
  </w:style>
  <w:style w:type="character" w:styleId="Hyperlink">
    <w:name w:val="Hyperlink"/>
    <w:basedOn w:val="DefaultParagraphFont"/>
    <w:uiPriority w:val="99"/>
    <w:unhideWhenUsed/>
    <w:rsid w:val="0053446B"/>
    <w:rPr>
      <w:color w:val="0000FF" w:themeColor="hyperlink"/>
      <w:u w:val="single"/>
    </w:rPr>
  </w:style>
  <w:style w:type="paragraph" w:styleId="Quote">
    <w:name w:val="Quote"/>
    <w:basedOn w:val="Normal"/>
    <w:next w:val="Normal"/>
    <w:link w:val="QuoteChar"/>
    <w:uiPriority w:val="29"/>
    <w:qFormat/>
    <w:rsid w:val="00317B6A"/>
    <w:pPr>
      <w:spacing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17B6A"/>
    <w:rPr>
      <w:rFonts w:eastAsiaTheme="minorEastAsia"/>
      <w:i/>
      <w:iCs/>
      <w:color w:val="000000" w:themeColor="text1"/>
      <w:lang w:val="en-US" w:eastAsia="ja-JP"/>
    </w:rPr>
  </w:style>
  <w:style w:type="paragraph" w:styleId="NormalWeb">
    <w:name w:val="Normal (Web)"/>
    <w:basedOn w:val="Normal"/>
    <w:uiPriority w:val="99"/>
    <w:semiHidden/>
    <w:unhideWhenUsed/>
    <w:rsid w:val="00834500"/>
    <w:pPr>
      <w:spacing w:before="225" w:after="0" w:line="384" w:lineRule="atLeast"/>
    </w:pPr>
    <w:rPr>
      <w:rFonts w:ascii="Times New Roman" w:eastAsia="Times New Roman" w:hAnsi="Times New Roman" w:cs="Times New Roman"/>
      <w:color w:val="5B5C5F"/>
      <w:sz w:val="24"/>
      <w:szCs w:val="24"/>
      <w:lang w:eastAsia="en-AU"/>
    </w:rPr>
  </w:style>
  <w:style w:type="paragraph" w:styleId="FootnoteText">
    <w:name w:val="footnote text"/>
    <w:basedOn w:val="Normal"/>
    <w:link w:val="FootnoteTextChar"/>
    <w:uiPriority w:val="99"/>
    <w:semiHidden/>
    <w:unhideWhenUsed/>
    <w:rsid w:val="00600B40"/>
    <w:pPr>
      <w:spacing w:after="0"/>
    </w:pPr>
    <w:rPr>
      <w:sz w:val="20"/>
      <w:szCs w:val="20"/>
    </w:rPr>
  </w:style>
  <w:style w:type="character" w:customStyle="1" w:styleId="FootnoteTextChar">
    <w:name w:val="Footnote Text Char"/>
    <w:basedOn w:val="DefaultParagraphFont"/>
    <w:link w:val="FootnoteText"/>
    <w:uiPriority w:val="99"/>
    <w:semiHidden/>
    <w:rsid w:val="00600B40"/>
    <w:rPr>
      <w:rFonts w:ascii="Calibri" w:eastAsia="Dotum" w:hAnsi="Calibri" w:cs="Calibri"/>
      <w:sz w:val="20"/>
      <w:szCs w:val="20"/>
    </w:rPr>
  </w:style>
  <w:style w:type="character" w:styleId="FootnoteReference">
    <w:name w:val="footnote reference"/>
    <w:basedOn w:val="DefaultParagraphFont"/>
    <w:uiPriority w:val="99"/>
    <w:semiHidden/>
    <w:unhideWhenUsed/>
    <w:rsid w:val="00600B40"/>
    <w:rPr>
      <w:vertAlign w:val="superscript"/>
    </w:rPr>
  </w:style>
  <w:style w:type="character" w:styleId="EndnoteReference">
    <w:name w:val="endnote reference"/>
    <w:basedOn w:val="DefaultParagraphFont"/>
    <w:uiPriority w:val="99"/>
    <w:semiHidden/>
    <w:unhideWhenUsed/>
    <w:rsid w:val="00FF5AFE"/>
    <w:rPr>
      <w:vertAlign w:val="superscript"/>
    </w:rPr>
  </w:style>
  <w:style w:type="character" w:styleId="Emphasis">
    <w:name w:val="Emphasis"/>
    <w:basedOn w:val="DefaultParagraphFont"/>
    <w:uiPriority w:val="20"/>
    <w:qFormat/>
    <w:rsid w:val="00241B0F"/>
    <w:rPr>
      <w:i/>
      <w:iCs/>
    </w:rPr>
  </w:style>
  <w:style w:type="paragraph" w:styleId="PlainText">
    <w:name w:val="Plain Text"/>
    <w:basedOn w:val="Normal"/>
    <w:link w:val="PlainTextChar"/>
    <w:uiPriority w:val="99"/>
    <w:semiHidden/>
    <w:unhideWhenUsed/>
    <w:rsid w:val="0054773F"/>
    <w:pPr>
      <w:spacing w:after="0"/>
    </w:pPr>
    <w:rPr>
      <w:rFonts w:eastAsiaTheme="minorHAnsi" w:cs="Consolas"/>
      <w:szCs w:val="21"/>
    </w:rPr>
  </w:style>
  <w:style w:type="character" w:customStyle="1" w:styleId="PlainTextChar">
    <w:name w:val="Plain Text Char"/>
    <w:basedOn w:val="DefaultParagraphFont"/>
    <w:link w:val="PlainText"/>
    <w:uiPriority w:val="99"/>
    <w:semiHidden/>
    <w:rsid w:val="0054773F"/>
    <w:rPr>
      <w:rFonts w:ascii="Calibri" w:hAnsi="Calibri" w:cs="Consolas"/>
      <w:szCs w:val="21"/>
    </w:rPr>
  </w:style>
  <w:style w:type="paragraph" w:styleId="Revision">
    <w:name w:val="Revision"/>
    <w:hidden/>
    <w:uiPriority w:val="99"/>
    <w:semiHidden/>
    <w:rsid w:val="003D580D"/>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904">
      <w:bodyDiv w:val="1"/>
      <w:marLeft w:val="0"/>
      <w:marRight w:val="0"/>
      <w:marTop w:val="0"/>
      <w:marBottom w:val="0"/>
      <w:divBdr>
        <w:top w:val="none" w:sz="0" w:space="0" w:color="auto"/>
        <w:left w:val="none" w:sz="0" w:space="0" w:color="auto"/>
        <w:bottom w:val="none" w:sz="0" w:space="0" w:color="auto"/>
        <w:right w:val="none" w:sz="0" w:space="0" w:color="auto"/>
      </w:divBdr>
    </w:div>
    <w:div w:id="520435294">
      <w:bodyDiv w:val="1"/>
      <w:marLeft w:val="0"/>
      <w:marRight w:val="0"/>
      <w:marTop w:val="0"/>
      <w:marBottom w:val="0"/>
      <w:divBdr>
        <w:top w:val="none" w:sz="0" w:space="0" w:color="auto"/>
        <w:left w:val="none" w:sz="0" w:space="0" w:color="auto"/>
        <w:bottom w:val="none" w:sz="0" w:space="0" w:color="auto"/>
        <w:right w:val="none" w:sz="0" w:space="0" w:color="auto"/>
      </w:divBdr>
    </w:div>
    <w:div w:id="1406610312">
      <w:bodyDiv w:val="1"/>
      <w:marLeft w:val="0"/>
      <w:marRight w:val="0"/>
      <w:marTop w:val="0"/>
      <w:marBottom w:val="0"/>
      <w:divBdr>
        <w:top w:val="none" w:sz="0" w:space="0" w:color="auto"/>
        <w:left w:val="none" w:sz="0" w:space="0" w:color="auto"/>
        <w:bottom w:val="none" w:sz="0" w:space="0" w:color="auto"/>
        <w:right w:val="none" w:sz="0" w:space="0" w:color="auto"/>
      </w:divBdr>
    </w:div>
    <w:div w:id="1846170350">
      <w:bodyDiv w:val="1"/>
      <w:marLeft w:val="0"/>
      <w:marRight w:val="0"/>
      <w:marTop w:val="0"/>
      <w:marBottom w:val="0"/>
      <w:divBdr>
        <w:top w:val="none" w:sz="0" w:space="0" w:color="auto"/>
        <w:left w:val="none" w:sz="0" w:space="0" w:color="auto"/>
        <w:bottom w:val="none" w:sz="0" w:space="0" w:color="auto"/>
        <w:right w:val="none" w:sz="0" w:space="0" w:color="auto"/>
      </w:divBdr>
      <w:divsChild>
        <w:div w:id="1721203960">
          <w:marLeft w:val="0"/>
          <w:marRight w:val="0"/>
          <w:marTop w:val="0"/>
          <w:marBottom w:val="0"/>
          <w:divBdr>
            <w:top w:val="none" w:sz="0" w:space="0" w:color="auto"/>
            <w:left w:val="none" w:sz="0" w:space="0" w:color="auto"/>
            <w:bottom w:val="none" w:sz="0" w:space="0" w:color="auto"/>
            <w:right w:val="none" w:sz="0" w:space="0" w:color="auto"/>
          </w:divBdr>
          <w:divsChild>
            <w:div w:id="1860702495">
              <w:marLeft w:val="0"/>
              <w:marRight w:val="0"/>
              <w:marTop w:val="0"/>
              <w:marBottom w:val="0"/>
              <w:divBdr>
                <w:top w:val="none" w:sz="0" w:space="0" w:color="auto"/>
                <w:left w:val="none" w:sz="0" w:space="0" w:color="auto"/>
                <w:bottom w:val="none" w:sz="0" w:space="0" w:color="auto"/>
                <w:right w:val="none" w:sz="0" w:space="0" w:color="auto"/>
              </w:divBdr>
              <w:divsChild>
                <w:div w:id="206141044">
                  <w:marLeft w:val="0"/>
                  <w:marRight w:val="0"/>
                  <w:marTop w:val="0"/>
                  <w:marBottom w:val="0"/>
                  <w:divBdr>
                    <w:top w:val="none" w:sz="0" w:space="0" w:color="auto"/>
                    <w:left w:val="none" w:sz="0" w:space="0" w:color="auto"/>
                    <w:bottom w:val="none" w:sz="0" w:space="0" w:color="auto"/>
                    <w:right w:val="none" w:sz="0" w:space="0" w:color="auto"/>
                  </w:divBdr>
                  <w:divsChild>
                    <w:div w:id="1919631645">
                      <w:marLeft w:val="0"/>
                      <w:marRight w:val="0"/>
                      <w:marTop w:val="0"/>
                      <w:marBottom w:val="0"/>
                      <w:divBdr>
                        <w:top w:val="none" w:sz="0" w:space="0" w:color="auto"/>
                        <w:left w:val="none" w:sz="0" w:space="0" w:color="auto"/>
                        <w:bottom w:val="none" w:sz="0" w:space="0" w:color="auto"/>
                        <w:right w:val="none" w:sz="0" w:space="0" w:color="auto"/>
                      </w:divBdr>
                      <w:divsChild>
                        <w:div w:id="1216358235">
                          <w:marLeft w:val="0"/>
                          <w:marRight w:val="0"/>
                          <w:marTop w:val="0"/>
                          <w:marBottom w:val="0"/>
                          <w:divBdr>
                            <w:top w:val="none" w:sz="0" w:space="0" w:color="auto"/>
                            <w:left w:val="none" w:sz="0" w:space="0" w:color="auto"/>
                            <w:bottom w:val="none" w:sz="0" w:space="0" w:color="auto"/>
                            <w:right w:val="none" w:sz="0" w:space="0" w:color="auto"/>
                          </w:divBdr>
                          <w:divsChild>
                            <w:div w:id="14578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689">
      <w:bodyDiv w:val="1"/>
      <w:marLeft w:val="0"/>
      <w:marRight w:val="0"/>
      <w:marTop w:val="0"/>
      <w:marBottom w:val="0"/>
      <w:divBdr>
        <w:top w:val="none" w:sz="0" w:space="0" w:color="auto"/>
        <w:left w:val="none" w:sz="0" w:space="0" w:color="auto"/>
        <w:bottom w:val="none" w:sz="0" w:space="0" w:color="auto"/>
        <w:right w:val="none" w:sz="0" w:space="0" w:color="auto"/>
      </w:divBdr>
      <w:divsChild>
        <w:div w:id="1405906814">
          <w:marLeft w:val="0"/>
          <w:marRight w:val="0"/>
          <w:marTop w:val="0"/>
          <w:marBottom w:val="0"/>
          <w:divBdr>
            <w:top w:val="none" w:sz="0" w:space="0" w:color="auto"/>
            <w:left w:val="none" w:sz="0" w:space="0" w:color="auto"/>
            <w:bottom w:val="none" w:sz="0" w:space="0" w:color="auto"/>
            <w:right w:val="none" w:sz="0" w:space="0" w:color="auto"/>
          </w:divBdr>
          <w:divsChild>
            <w:div w:id="316764183">
              <w:marLeft w:val="0"/>
              <w:marRight w:val="0"/>
              <w:marTop w:val="0"/>
              <w:marBottom w:val="0"/>
              <w:divBdr>
                <w:top w:val="none" w:sz="0" w:space="0" w:color="auto"/>
                <w:left w:val="none" w:sz="0" w:space="0" w:color="auto"/>
                <w:bottom w:val="none" w:sz="0" w:space="0" w:color="auto"/>
                <w:right w:val="none" w:sz="0" w:space="0" w:color="auto"/>
              </w:divBdr>
              <w:divsChild>
                <w:div w:id="830175554">
                  <w:marLeft w:val="0"/>
                  <w:marRight w:val="0"/>
                  <w:marTop w:val="0"/>
                  <w:marBottom w:val="0"/>
                  <w:divBdr>
                    <w:top w:val="none" w:sz="0" w:space="0" w:color="auto"/>
                    <w:left w:val="none" w:sz="0" w:space="0" w:color="auto"/>
                    <w:bottom w:val="none" w:sz="0" w:space="0" w:color="auto"/>
                    <w:right w:val="none" w:sz="0" w:space="0" w:color="auto"/>
                  </w:divBdr>
                  <w:divsChild>
                    <w:div w:id="2097241616">
                      <w:marLeft w:val="0"/>
                      <w:marRight w:val="0"/>
                      <w:marTop w:val="0"/>
                      <w:marBottom w:val="0"/>
                      <w:divBdr>
                        <w:top w:val="none" w:sz="0" w:space="0" w:color="auto"/>
                        <w:left w:val="none" w:sz="0" w:space="0" w:color="auto"/>
                        <w:bottom w:val="none" w:sz="0" w:space="0" w:color="auto"/>
                        <w:right w:val="none" w:sz="0" w:space="0" w:color="auto"/>
                      </w:divBdr>
                      <w:divsChild>
                        <w:div w:id="952983659">
                          <w:marLeft w:val="0"/>
                          <w:marRight w:val="0"/>
                          <w:marTop w:val="0"/>
                          <w:marBottom w:val="0"/>
                          <w:divBdr>
                            <w:top w:val="none" w:sz="0" w:space="0" w:color="auto"/>
                            <w:left w:val="none" w:sz="0" w:space="0" w:color="auto"/>
                            <w:bottom w:val="none" w:sz="0" w:space="0" w:color="auto"/>
                            <w:right w:val="none" w:sz="0" w:space="0" w:color="auto"/>
                          </w:divBdr>
                          <w:divsChild>
                            <w:div w:id="1970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422">
      <w:bodyDiv w:val="1"/>
      <w:marLeft w:val="0"/>
      <w:marRight w:val="0"/>
      <w:marTop w:val="0"/>
      <w:marBottom w:val="0"/>
      <w:divBdr>
        <w:top w:val="none" w:sz="0" w:space="0" w:color="auto"/>
        <w:left w:val="none" w:sz="0" w:space="0" w:color="auto"/>
        <w:bottom w:val="none" w:sz="0" w:space="0" w:color="auto"/>
        <w:right w:val="none" w:sz="0" w:space="0" w:color="auto"/>
      </w:divBdr>
      <w:divsChild>
        <w:div w:id="2033722494">
          <w:marLeft w:val="0"/>
          <w:marRight w:val="0"/>
          <w:marTop w:val="0"/>
          <w:marBottom w:val="0"/>
          <w:divBdr>
            <w:top w:val="none" w:sz="0" w:space="0" w:color="auto"/>
            <w:left w:val="none" w:sz="0" w:space="0" w:color="auto"/>
            <w:bottom w:val="none" w:sz="0" w:space="0" w:color="auto"/>
            <w:right w:val="none" w:sz="0" w:space="0" w:color="auto"/>
          </w:divBdr>
          <w:divsChild>
            <w:div w:id="140467667">
              <w:marLeft w:val="0"/>
              <w:marRight w:val="0"/>
              <w:marTop w:val="0"/>
              <w:marBottom w:val="0"/>
              <w:divBdr>
                <w:top w:val="none" w:sz="0" w:space="0" w:color="auto"/>
                <w:left w:val="none" w:sz="0" w:space="0" w:color="auto"/>
                <w:bottom w:val="none" w:sz="0" w:space="0" w:color="auto"/>
                <w:right w:val="none" w:sz="0" w:space="0" w:color="auto"/>
              </w:divBdr>
              <w:divsChild>
                <w:div w:id="428888307">
                  <w:marLeft w:val="0"/>
                  <w:marRight w:val="0"/>
                  <w:marTop w:val="0"/>
                  <w:marBottom w:val="0"/>
                  <w:divBdr>
                    <w:top w:val="none" w:sz="0" w:space="0" w:color="auto"/>
                    <w:left w:val="none" w:sz="0" w:space="0" w:color="auto"/>
                    <w:bottom w:val="none" w:sz="0" w:space="0" w:color="auto"/>
                    <w:right w:val="none" w:sz="0" w:space="0" w:color="auto"/>
                  </w:divBdr>
                  <w:divsChild>
                    <w:div w:id="1161116160">
                      <w:marLeft w:val="0"/>
                      <w:marRight w:val="0"/>
                      <w:marTop w:val="0"/>
                      <w:marBottom w:val="0"/>
                      <w:divBdr>
                        <w:top w:val="none" w:sz="0" w:space="0" w:color="auto"/>
                        <w:left w:val="none" w:sz="0" w:space="0" w:color="auto"/>
                        <w:bottom w:val="none" w:sz="0" w:space="0" w:color="auto"/>
                        <w:right w:val="none" w:sz="0" w:space="0" w:color="auto"/>
                      </w:divBdr>
                      <w:divsChild>
                        <w:div w:id="533232283">
                          <w:marLeft w:val="0"/>
                          <w:marRight w:val="0"/>
                          <w:marTop w:val="0"/>
                          <w:marBottom w:val="0"/>
                          <w:divBdr>
                            <w:top w:val="none" w:sz="0" w:space="0" w:color="auto"/>
                            <w:left w:val="none" w:sz="0" w:space="0" w:color="auto"/>
                            <w:bottom w:val="none" w:sz="0" w:space="0" w:color="auto"/>
                            <w:right w:val="none" w:sz="0" w:space="0" w:color="auto"/>
                          </w:divBdr>
                          <w:divsChild>
                            <w:div w:id="12303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ood.gov.au/patient-blood-manag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12A6-7AE1-4D26-B814-02487A1A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3448</Words>
  <Characters>20384</Characters>
  <Application>Microsoft Office Word</Application>
  <DocSecurity>0</DocSecurity>
  <Lines>815</Lines>
  <Paragraphs>350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Russell</dc:creator>
  <cp:lastModifiedBy>Administrator</cp:lastModifiedBy>
  <cp:revision>3</cp:revision>
  <cp:lastPrinted>2017-09-05T01:19:00Z</cp:lastPrinted>
  <dcterms:created xsi:type="dcterms:W3CDTF">2017-09-05T01:18:00Z</dcterms:created>
  <dcterms:modified xsi:type="dcterms:W3CDTF">2017-09-05T01:19:00Z</dcterms:modified>
</cp:coreProperties>
</file>