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869" w:rsidRPr="00B829A4" w:rsidRDefault="00567A89" w:rsidP="00C847A9">
      <w:pPr>
        <w:ind w:left="-284"/>
        <w:rPr>
          <w:b/>
          <w:sz w:val="28"/>
          <w:szCs w:val="28"/>
        </w:rPr>
      </w:pPr>
      <w:bookmarkStart w:id="0" w:name="_GoBack"/>
      <w:bookmarkEnd w:id="0"/>
      <w:r w:rsidRPr="00B829A4">
        <w:rPr>
          <w:b/>
          <w:sz w:val="28"/>
          <w:szCs w:val="28"/>
        </w:rPr>
        <w:t xml:space="preserve">2017 (v3.0) Proposed changes to </w:t>
      </w:r>
      <w:r w:rsidR="00385032" w:rsidRPr="00B829A4">
        <w:rPr>
          <w:b/>
          <w:sz w:val="28"/>
          <w:szCs w:val="28"/>
        </w:rPr>
        <w:t xml:space="preserve">v2.1 of </w:t>
      </w:r>
      <w:r w:rsidRPr="00B829A4">
        <w:rPr>
          <w:b/>
          <w:sz w:val="28"/>
          <w:szCs w:val="28"/>
        </w:rPr>
        <w:t>the Criteria for the clinical use of intravenous immunoglobulin in Australia</w:t>
      </w:r>
    </w:p>
    <w:tbl>
      <w:tblPr>
        <w:tblStyle w:val="TableGrid"/>
        <w:tblW w:w="14601" w:type="dxa"/>
        <w:tblInd w:w="-318" w:type="dxa"/>
        <w:tblLook w:val="0680" w:firstRow="0" w:lastRow="0" w:firstColumn="1" w:lastColumn="0" w:noHBand="1" w:noVBand="1"/>
      </w:tblPr>
      <w:tblGrid>
        <w:gridCol w:w="4254"/>
        <w:gridCol w:w="10347"/>
      </w:tblGrid>
      <w:tr w:rsidR="008612AB" w:rsidRPr="00447869" w:rsidTr="00832D0D">
        <w:trPr>
          <w:tblHeader/>
        </w:trPr>
        <w:tc>
          <w:tcPr>
            <w:tcW w:w="14601" w:type="dxa"/>
            <w:gridSpan w:val="2"/>
            <w:shd w:val="clear" w:color="auto" w:fill="DBE5F1" w:themeFill="accent1" w:themeFillTint="33"/>
          </w:tcPr>
          <w:p w:rsidR="00514AAE" w:rsidRDefault="00DF54C9" w:rsidP="00631E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631EAB">
              <w:rPr>
                <w:rFonts w:asciiTheme="minorHAnsi" w:eastAsia="Times New Roman" w:hAnsiTheme="minorHAnsi" w:cs="Times New Roman"/>
                <w:b/>
                <w:bCs/>
                <w:lang w:eastAsia="en-AU"/>
              </w:rPr>
              <w:t xml:space="preserve">2.1 </w:t>
            </w:r>
            <w:r w:rsidR="008612AB">
              <w:rPr>
                <w:rFonts w:asciiTheme="minorHAnsi" w:eastAsia="Times New Roman" w:hAnsiTheme="minorHAnsi" w:cs="Times New Roman"/>
                <w:b/>
                <w:bCs/>
                <w:lang w:eastAsia="en-AU"/>
              </w:rPr>
              <w:t>CONDITION NAME:</w:t>
            </w:r>
            <w:r w:rsidR="00C847A9">
              <w:rPr>
                <w:rFonts w:asciiTheme="minorHAnsi" w:eastAsia="Times New Roman" w:hAnsiTheme="minorHAnsi" w:cs="Times New Roman"/>
                <w:b/>
                <w:bCs/>
                <w:lang w:eastAsia="en-AU"/>
              </w:rPr>
              <w:t xml:space="preserve"> </w:t>
            </w:r>
            <w:r w:rsidR="00385032" w:rsidRPr="00B435C4">
              <w:rPr>
                <w:rFonts w:asciiTheme="minorHAnsi" w:eastAsia="Times New Roman" w:hAnsiTheme="minorHAnsi" w:cs="Times New Roman"/>
                <w:b/>
                <w:bCs/>
                <w:lang w:eastAsia="en-AU"/>
              </w:rPr>
              <w:t>Paediatric autoimmune neuropsychiatric disorder associated with streptococcal infections (PANDAS)</w:t>
            </w:r>
          </w:p>
          <w:p w:rsidR="008612AB" w:rsidRPr="00447869" w:rsidRDefault="00DF54C9" w:rsidP="00385032">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674CEF">
              <w:rPr>
                <w:rFonts w:asciiTheme="minorHAnsi" w:eastAsia="Times New Roman" w:hAnsiTheme="minorHAnsi" w:cs="Times New Roman"/>
                <w:b/>
                <w:bCs/>
                <w:lang w:eastAsia="en-AU"/>
              </w:rPr>
              <w:t>3</w:t>
            </w:r>
            <w:r w:rsidR="00514AAE">
              <w:rPr>
                <w:rFonts w:asciiTheme="minorHAnsi" w:eastAsia="Times New Roman" w:hAnsiTheme="minorHAnsi" w:cs="Times New Roman"/>
                <w:b/>
                <w:bCs/>
                <w:lang w:eastAsia="en-AU"/>
              </w:rPr>
              <w:t>.0</w:t>
            </w:r>
            <w:r w:rsidR="00674CEF">
              <w:rPr>
                <w:rFonts w:asciiTheme="minorHAnsi" w:eastAsia="Times New Roman" w:hAnsiTheme="minorHAnsi" w:cs="Times New Roman"/>
                <w:b/>
                <w:bCs/>
                <w:lang w:eastAsia="en-AU"/>
              </w:rPr>
              <w:t xml:space="preserve"> CONDITION NAME: </w:t>
            </w:r>
            <w:r w:rsidR="00674CEF" w:rsidRPr="00B435C4">
              <w:rPr>
                <w:rFonts w:asciiTheme="minorHAnsi" w:eastAsia="Times New Roman" w:hAnsiTheme="minorHAnsi" w:cs="Times New Roman"/>
                <w:b/>
                <w:bCs/>
                <w:lang w:eastAsia="en-AU"/>
              </w:rPr>
              <w:t xml:space="preserve">Paediatric autoimmune neuropsychiatric disorder associated with streptococcal infections (PANDAS) or Paediatric </w:t>
            </w:r>
            <w:r>
              <w:rPr>
                <w:rFonts w:asciiTheme="minorHAnsi" w:eastAsia="Times New Roman" w:hAnsiTheme="minorHAnsi" w:cs="Times New Roman"/>
                <w:b/>
                <w:bCs/>
                <w:lang w:eastAsia="en-AU"/>
              </w:rPr>
              <w:t>a</w:t>
            </w:r>
            <w:r w:rsidR="00674CEF" w:rsidRPr="00B435C4">
              <w:rPr>
                <w:rFonts w:asciiTheme="minorHAnsi" w:eastAsia="Times New Roman" w:hAnsiTheme="minorHAnsi" w:cs="Times New Roman"/>
                <w:b/>
                <w:bCs/>
                <w:lang w:eastAsia="en-AU"/>
              </w:rPr>
              <w:t xml:space="preserve">cute </w:t>
            </w:r>
            <w:r>
              <w:rPr>
                <w:rFonts w:asciiTheme="minorHAnsi" w:eastAsia="Times New Roman" w:hAnsiTheme="minorHAnsi" w:cs="Times New Roman"/>
                <w:b/>
                <w:bCs/>
                <w:lang w:eastAsia="en-AU"/>
              </w:rPr>
              <w:t>n</w:t>
            </w:r>
            <w:r w:rsidR="00674CEF" w:rsidRPr="00B435C4">
              <w:rPr>
                <w:rFonts w:asciiTheme="minorHAnsi" w:eastAsia="Times New Roman" w:hAnsiTheme="minorHAnsi" w:cs="Times New Roman"/>
                <w:b/>
                <w:bCs/>
                <w:lang w:eastAsia="en-AU"/>
              </w:rPr>
              <w:t xml:space="preserve">europsychiatric </w:t>
            </w:r>
            <w:r>
              <w:rPr>
                <w:rFonts w:asciiTheme="minorHAnsi" w:eastAsia="Times New Roman" w:hAnsiTheme="minorHAnsi" w:cs="Times New Roman"/>
                <w:b/>
                <w:bCs/>
                <w:lang w:eastAsia="en-AU"/>
              </w:rPr>
              <w:t>d</w:t>
            </w:r>
            <w:r w:rsidR="00674CEF" w:rsidRPr="00B435C4">
              <w:rPr>
                <w:rFonts w:asciiTheme="minorHAnsi" w:eastAsia="Times New Roman" w:hAnsiTheme="minorHAnsi" w:cs="Times New Roman"/>
                <w:b/>
                <w:bCs/>
                <w:lang w:eastAsia="en-AU"/>
              </w:rPr>
              <w:t>isorders (PANS)</w:t>
            </w:r>
          </w:p>
        </w:tc>
      </w:tr>
      <w:tr w:rsidR="00642A5C" w:rsidRPr="00447869" w:rsidTr="00DB2402">
        <w:trPr>
          <w:tblHeader/>
        </w:trPr>
        <w:tc>
          <w:tcPr>
            <w:tcW w:w="4254" w:type="dxa"/>
            <w:shd w:val="clear" w:color="auto" w:fill="auto"/>
          </w:tcPr>
          <w:p w:rsidR="00DF54C9" w:rsidRDefault="00DF54C9" w:rsidP="00674CEF">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PROPOSED APPROACH:</w:t>
            </w:r>
          </w:p>
          <w:p w:rsidR="00DF54C9" w:rsidRDefault="00DF54C9" w:rsidP="00674CEF">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To retain</w:t>
            </w:r>
            <w:r w:rsidR="00385032">
              <w:rPr>
                <w:rFonts w:asciiTheme="minorHAnsi" w:eastAsia="Times New Roman" w:hAnsiTheme="minorHAnsi" w:cs="Times New Roman"/>
                <w:b/>
                <w:bCs/>
                <w:lang w:eastAsia="en-AU"/>
              </w:rPr>
              <w:t xml:space="preserve"> PANDAS</w:t>
            </w:r>
            <w:r>
              <w:rPr>
                <w:rFonts w:asciiTheme="minorHAnsi" w:eastAsia="Times New Roman" w:hAnsiTheme="minorHAnsi" w:cs="Times New Roman"/>
                <w:b/>
                <w:bCs/>
                <w:lang w:eastAsia="en-AU"/>
              </w:rPr>
              <w:t xml:space="preserve"> </w:t>
            </w:r>
            <w:r w:rsidR="00385032">
              <w:rPr>
                <w:rFonts w:asciiTheme="minorHAnsi" w:eastAsia="Times New Roman" w:hAnsiTheme="minorHAnsi" w:cs="Times New Roman"/>
                <w:b/>
                <w:bCs/>
                <w:lang w:eastAsia="en-AU"/>
              </w:rPr>
              <w:t xml:space="preserve">/ PANS </w:t>
            </w:r>
            <w:r>
              <w:rPr>
                <w:rFonts w:asciiTheme="minorHAnsi" w:eastAsia="Times New Roman" w:hAnsiTheme="minorHAnsi" w:cs="Times New Roman"/>
                <w:b/>
                <w:bCs/>
                <w:lang w:eastAsia="en-AU"/>
              </w:rPr>
              <w:t xml:space="preserve">in </w:t>
            </w:r>
            <w:r w:rsidRPr="00DF54C9">
              <w:rPr>
                <w:rFonts w:asciiTheme="minorHAnsi" w:eastAsia="Times New Roman" w:hAnsiTheme="minorHAnsi" w:cs="Times New Roman"/>
                <w:b/>
                <w:bCs/>
                <w:i/>
                <w:lang w:eastAsia="en-AU"/>
              </w:rPr>
              <w:t xml:space="preserve">Exceptional circumstances only </w:t>
            </w:r>
            <w:r>
              <w:rPr>
                <w:rFonts w:asciiTheme="minorHAnsi" w:eastAsia="Times New Roman" w:hAnsiTheme="minorHAnsi" w:cs="Times New Roman"/>
                <w:b/>
                <w:bCs/>
                <w:lang w:eastAsia="en-AU"/>
              </w:rPr>
              <w:t xml:space="preserve">with the changes </w:t>
            </w:r>
            <w:r w:rsidR="00385032">
              <w:rPr>
                <w:rFonts w:asciiTheme="minorHAnsi" w:eastAsia="Times New Roman" w:hAnsiTheme="minorHAnsi" w:cs="Times New Roman"/>
                <w:b/>
                <w:bCs/>
                <w:lang w:eastAsia="en-AU"/>
              </w:rPr>
              <w:t xml:space="preserve">as </w:t>
            </w:r>
            <w:r>
              <w:rPr>
                <w:rFonts w:asciiTheme="minorHAnsi" w:eastAsia="Times New Roman" w:hAnsiTheme="minorHAnsi" w:cs="Times New Roman"/>
                <w:b/>
                <w:bCs/>
                <w:lang w:eastAsia="en-AU"/>
              </w:rPr>
              <w:t xml:space="preserve">outlined. </w:t>
            </w:r>
          </w:p>
          <w:p w:rsidR="003E3235" w:rsidRPr="00C92149" w:rsidRDefault="003E3235">
            <w:pPr>
              <w:spacing w:before="120" w:after="120"/>
              <w:rPr>
                <w:rFonts w:asciiTheme="minorHAnsi" w:eastAsia="Times New Roman" w:hAnsiTheme="minorHAnsi" w:cs="Times New Roman"/>
                <w:bCs/>
                <w:lang w:eastAsia="en-AU"/>
              </w:rPr>
            </w:pPr>
          </w:p>
        </w:tc>
        <w:tc>
          <w:tcPr>
            <w:tcW w:w="10347" w:type="dxa"/>
            <w:shd w:val="clear" w:color="auto" w:fill="auto"/>
          </w:tcPr>
          <w:p w:rsidR="00642A5C" w:rsidRDefault="00642A5C"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SUMMARY OF RATIONALE: </w:t>
            </w:r>
          </w:p>
          <w:p w:rsidR="00674CEF" w:rsidRPr="004813E2" w:rsidRDefault="00674CEF" w:rsidP="00674CEF">
            <w:pPr>
              <w:spacing w:before="120" w:after="120"/>
              <w:rPr>
                <w:rFonts w:asciiTheme="minorHAnsi" w:eastAsia="Times New Roman" w:hAnsiTheme="minorHAnsi" w:cs="Times New Roman"/>
                <w:bCs/>
                <w:lang w:eastAsia="en-AU"/>
              </w:rPr>
            </w:pPr>
            <w:r w:rsidRPr="004813E2">
              <w:rPr>
                <w:rFonts w:asciiTheme="minorHAnsi" w:eastAsia="Times New Roman" w:hAnsiTheme="minorHAnsi" w:cs="Times New Roman"/>
                <w:bCs/>
                <w:lang w:eastAsia="en-AU"/>
              </w:rPr>
              <w:t xml:space="preserve">The </w:t>
            </w:r>
            <w:r>
              <w:rPr>
                <w:rFonts w:asciiTheme="minorHAnsi" w:eastAsia="Times New Roman" w:hAnsiTheme="minorHAnsi" w:cs="Times New Roman"/>
                <w:bCs/>
                <w:lang w:eastAsia="en-AU"/>
              </w:rPr>
              <w:t xml:space="preserve">recommended changes are supported by factors including that: </w:t>
            </w:r>
          </w:p>
          <w:p w:rsidR="00674CEF" w:rsidRDefault="00674CEF" w:rsidP="00674CEF">
            <w:pPr>
              <w:pStyle w:val="ListParagraph"/>
              <w:numPr>
                <w:ilvl w:val="0"/>
                <w:numId w:val="45"/>
              </w:num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This is a very rare condition with national Ig usage data in line with expected prevalence.</w:t>
            </w:r>
          </w:p>
          <w:p w:rsidR="00674CEF" w:rsidRPr="00943639" w:rsidRDefault="00674CEF" w:rsidP="00674CEF">
            <w:pPr>
              <w:pStyle w:val="ListParagraph"/>
              <w:numPr>
                <w:ilvl w:val="0"/>
                <w:numId w:val="45"/>
              </w:numPr>
            </w:pPr>
            <w:r w:rsidRPr="00866C9E">
              <w:rPr>
                <w:rFonts w:asciiTheme="minorHAnsi" w:hAnsiTheme="minorHAnsi" w:cs="Lucida Grande"/>
                <w:color w:val="000000"/>
              </w:rPr>
              <w:t>S</w:t>
            </w:r>
            <w:r w:rsidRPr="00B435C4">
              <w:rPr>
                <w:rFonts w:asciiTheme="minorHAnsi" w:hAnsiTheme="minorHAnsi" w:cs="Lucida Grande"/>
                <w:color w:val="000000"/>
              </w:rPr>
              <w:t xml:space="preserve">treptococcal </w:t>
            </w:r>
            <w:r w:rsidRPr="00943639">
              <w:t xml:space="preserve">A consensus definition of PANS was proposed in 2015 </w:t>
            </w:r>
            <w:r>
              <w:t>and has been included in the qualifying criteria.</w:t>
            </w:r>
            <w:r w:rsidRPr="00943639">
              <w:t xml:space="preserve"> </w:t>
            </w:r>
          </w:p>
          <w:p w:rsidR="00674CEF" w:rsidRPr="00866C9E" w:rsidRDefault="00893268" w:rsidP="00674CEF">
            <w:pPr>
              <w:pStyle w:val="ListParagraph"/>
              <w:numPr>
                <w:ilvl w:val="0"/>
                <w:numId w:val="45"/>
              </w:numPr>
            </w:pPr>
            <w:r>
              <w:rPr>
                <w:rFonts w:asciiTheme="minorHAnsi" w:hAnsiTheme="minorHAnsi" w:cs="Lucida Grande"/>
                <w:color w:val="000000"/>
              </w:rPr>
              <w:t>Streptococcal A i</w:t>
            </w:r>
            <w:r w:rsidR="00674CEF" w:rsidRPr="00B435C4">
              <w:rPr>
                <w:rFonts w:asciiTheme="minorHAnsi" w:hAnsiTheme="minorHAnsi" w:cs="Lucida Grande"/>
                <w:color w:val="000000"/>
              </w:rPr>
              <w:t>nfection is not the only trigger of acute</w:t>
            </w:r>
            <w:r w:rsidR="00674CEF" w:rsidRPr="00866C9E">
              <w:rPr>
                <w:rFonts w:asciiTheme="minorHAnsi" w:hAnsiTheme="minorHAnsi" w:cs="Lucida Grande"/>
                <w:color w:val="000000"/>
              </w:rPr>
              <w:t xml:space="preserve"> neuropsychiatric disorders;</w:t>
            </w:r>
            <w:r w:rsidR="00674CEF" w:rsidRPr="00B435C4">
              <w:rPr>
                <w:rFonts w:asciiTheme="minorHAnsi" w:hAnsiTheme="minorHAnsi" w:cs="Lucida Grande"/>
                <w:color w:val="000000"/>
              </w:rPr>
              <w:t xml:space="preserve"> other infectious agents can also trigger acute neuropsychiatric events.</w:t>
            </w:r>
          </w:p>
          <w:p w:rsidR="00674CEF" w:rsidRPr="00B435C4" w:rsidRDefault="00674CEF" w:rsidP="00674CEF">
            <w:pPr>
              <w:pStyle w:val="ListParagraph"/>
              <w:numPr>
                <w:ilvl w:val="0"/>
                <w:numId w:val="44"/>
              </w:numPr>
              <w:spacing w:before="120" w:after="120"/>
              <w:rPr>
                <w:rFonts w:asciiTheme="minorHAnsi" w:hAnsiTheme="minorHAnsi"/>
              </w:rPr>
            </w:pPr>
            <w:r>
              <w:rPr>
                <w:rFonts w:asciiTheme="minorHAnsi" w:hAnsiTheme="minorHAnsi"/>
              </w:rPr>
              <w:t xml:space="preserve">Eligibility has been limited to patients that have failed to respond to </w:t>
            </w:r>
            <w:r w:rsidRPr="00866C9E">
              <w:rPr>
                <w:rFonts w:asciiTheme="minorHAnsi" w:hAnsiTheme="minorHAnsi"/>
              </w:rPr>
              <w:t>corticosteroids or where corticosteroids are contraindicated</w:t>
            </w:r>
            <w:r>
              <w:rPr>
                <w:rFonts w:asciiTheme="minorHAnsi" w:hAnsiTheme="minorHAnsi"/>
              </w:rPr>
              <w:t>.</w:t>
            </w:r>
          </w:p>
          <w:p w:rsidR="00674CEF" w:rsidRDefault="00674CEF" w:rsidP="00674CEF">
            <w:pPr>
              <w:pStyle w:val="ListParagraph"/>
              <w:numPr>
                <w:ilvl w:val="0"/>
                <w:numId w:val="44"/>
              </w:numPr>
              <w:spacing w:before="120" w:after="120"/>
              <w:rPr>
                <w:rFonts w:asciiTheme="minorHAnsi" w:hAnsiTheme="minorHAnsi"/>
              </w:rPr>
            </w:pPr>
            <w:r w:rsidRPr="00B435C4">
              <w:rPr>
                <w:rFonts w:asciiTheme="minorHAnsi" w:hAnsiTheme="minorHAnsi"/>
              </w:rPr>
              <w:t>Access has been strictly defined with</w:t>
            </w:r>
            <w:r>
              <w:rPr>
                <w:rFonts w:asciiTheme="minorHAnsi" w:hAnsiTheme="minorHAnsi"/>
              </w:rPr>
              <w:t xml:space="preserve"> initial review at one month to confirm response and</w:t>
            </w:r>
            <w:r w:rsidRPr="00B435C4">
              <w:rPr>
                <w:rFonts w:asciiTheme="minorHAnsi" w:hAnsiTheme="minorHAnsi"/>
              </w:rPr>
              <w:t xml:space="preserve"> three monthly monitoring </w:t>
            </w:r>
            <w:r>
              <w:rPr>
                <w:rFonts w:asciiTheme="minorHAnsi" w:hAnsiTheme="minorHAnsi"/>
              </w:rPr>
              <w:t>thereafter with ongoing</w:t>
            </w:r>
            <w:r w:rsidRPr="00B435C4">
              <w:rPr>
                <w:rFonts w:asciiTheme="minorHAnsi" w:hAnsiTheme="minorHAnsi"/>
              </w:rPr>
              <w:t xml:space="preserve"> demonstration of continuing improvement </w:t>
            </w:r>
            <w:r>
              <w:rPr>
                <w:rFonts w:asciiTheme="minorHAnsi" w:hAnsiTheme="minorHAnsi"/>
              </w:rPr>
              <w:t xml:space="preserve">in symptoms but </w:t>
            </w:r>
            <w:r w:rsidRPr="00B435C4">
              <w:rPr>
                <w:rFonts w:asciiTheme="minorHAnsi" w:hAnsiTheme="minorHAnsi"/>
              </w:rPr>
              <w:t xml:space="preserve">with persistent </w:t>
            </w:r>
            <w:r>
              <w:rPr>
                <w:rFonts w:asciiTheme="minorHAnsi" w:hAnsiTheme="minorHAnsi"/>
              </w:rPr>
              <w:t>disability</w:t>
            </w:r>
            <w:r w:rsidRPr="00740D47">
              <w:rPr>
                <w:rFonts w:asciiTheme="minorHAnsi" w:hAnsiTheme="minorHAnsi"/>
              </w:rPr>
              <w:t xml:space="preserve"> to remain on Ig therapy</w:t>
            </w:r>
            <w:r>
              <w:rPr>
                <w:rFonts w:asciiTheme="minorHAnsi" w:hAnsiTheme="minorHAnsi"/>
              </w:rPr>
              <w:t>.</w:t>
            </w:r>
          </w:p>
          <w:p w:rsidR="00FF4718" w:rsidRPr="0015788F" w:rsidRDefault="00FD1CBB" w:rsidP="004A7E91">
            <w:pPr>
              <w:pStyle w:val="ListParagraph"/>
              <w:numPr>
                <w:ilvl w:val="0"/>
                <w:numId w:val="44"/>
              </w:numPr>
              <w:spacing w:before="120" w:after="120"/>
              <w:rPr>
                <w:rFonts w:asciiTheme="minorHAnsi" w:hAnsiTheme="minorHAnsi"/>
              </w:rPr>
            </w:pPr>
            <w:r>
              <w:rPr>
                <w:rFonts w:asciiTheme="minorHAnsi" w:hAnsiTheme="minorHAnsi"/>
              </w:rPr>
              <w:t xml:space="preserve">This condition is listed in </w:t>
            </w:r>
            <w:r>
              <w:rPr>
                <w:rFonts w:asciiTheme="minorHAnsi" w:eastAsia="Times New Roman" w:hAnsiTheme="minorHAnsi" w:cs="Times New Roman"/>
                <w:bCs/>
                <w:lang w:eastAsia="en-AU"/>
              </w:rPr>
              <w:t xml:space="preserve">the Canadian </w:t>
            </w:r>
            <w:r w:rsidR="00164233">
              <w:rPr>
                <w:rFonts w:asciiTheme="minorHAnsi" w:eastAsia="Times New Roman" w:hAnsiTheme="minorHAnsi" w:cs="Times New Roman"/>
                <w:bCs/>
                <w:lang w:eastAsia="en-AU"/>
              </w:rPr>
              <w:t>IVIg</w:t>
            </w:r>
            <w:r>
              <w:rPr>
                <w:rFonts w:asciiTheme="minorHAnsi" w:eastAsia="Times New Roman" w:hAnsiTheme="minorHAnsi" w:cs="Times New Roman"/>
                <w:bCs/>
                <w:lang w:eastAsia="en-AU"/>
              </w:rPr>
              <w:t xml:space="preserve"> Management Guidelines (</w:t>
            </w:r>
            <w:r w:rsidRPr="002A1261">
              <w:rPr>
                <w:rFonts w:asciiTheme="minorHAnsi" w:hAnsiTheme="minorHAnsi"/>
              </w:rPr>
              <w:t>Ontario Regio</w:t>
            </w:r>
            <w:r>
              <w:rPr>
                <w:rFonts w:asciiTheme="minorHAnsi" w:hAnsiTheme="minorHAnsi"/>
              </w:rPr>
              <w:t xml:space="preserve">nal Blood Coordinating Network, 2016) </w:t>
            </w:r>
            <w:r>
              <w:rPr>
                <w:rFonts w:asciiTheme="minorHAnsi" w:eastAsia="Times New Roman" w:hAnsiTheme="minorHAnsi" w:cs="Times New Roman"/>
                <w:bCs/>
                <w:lang w:eastAsia="en-AU"/>
              </w:rPr>
              <w:t xml:space="preserve">and </w:t>
            </w:r>
            <w:r>
              <w:rPr>
                <w:rFonts w:asciiTheme="minorHAnsi" w:hAnsiTheme="minorHAnsi"/>
              </w:rPr>
              <w:t xml:space="preserve">as a ‘grey’ condition in the UK NHS immunoglobulin guidelines (UK Department of Health, 2011). </w:t>
            </w:r>
            <w:r w:rsidR="004A7E91">
              <w:rPr>
                <w:rFonts w:asciiTheme="minorHAnsi" w:eastAsia="Times New Roman" w:hAnsiTheme="minorHAnsi" w:cs="Times New Roman"/>
                <w:bCs/>
                <w:lang w:eastAsia="en-AU"/>
              </w:rPr>
              <w:t>Indications are categorised as ‘grey’ if evidence is weak. The UK guidelines acknowledge that in many cases, this is because the disease is rare. Local approval is required to access IVIg for ‘grey’ indications.</w:t>
            </w:r>
          </w:p>
        </w:tc>
      </w:tr>
      <w:tr w:rsidR="00631EAB" w:rsidRPr="00447869" w:rsidTr="008612AB">
        <w:trPr>
          <w:tblHeader/>
        </w:trPr>
        <w:tc>
          <w:tcPr>
            <w:tcW w:w="14601" w:type="dxa"/>
            <w:gridSpan w:val="2"/>
            <w:shd w:val="clear" w:color="auto" w:fill="auto"/>
          </w:tcPr>
          <w:p w:rsidR="00631EAB" w:rsidRDefault="00DF54C9" w:rsidP="00385032">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v</w:t>
            </w:r>
            <w:r w:rsidR="00CC4DDA">
              <w:rPr>
                <w:rFonts w:asciiTheme="minorHAnsi" w:eastAsia="Times New Roman" w:hAnsiTheme="minorHAnsi" w:cs="Times New Roman"/>
                <w:b/>
                <w:bCs/>
                <w:lang w:eastAsia="en-AU"/>
              </w:rPr>
              <w:t>2.1 CONDITION CATEG</w:t>
            </w:r>
            <w:r w:rsidR="00631EAB">
              <w:rPr>
                <w:rFonts w:asciiTheme="minorHAnsi" w:eastAsia="Times New Roman" w:hAnsiTheme="minorHAnsi" w:cs="Times New Roman"/>
                <w:b/>
                <w:bCs/>
                <w:lang w:eastAsia="en-AU"/>
              </w:rPr>
              <w:t xml:space="preserve">ORY: </w:t>
            </w:r>
            <w:r w:rsidR="00385032" w:rsidRPr="00385032">
              <w:rPr>
                <w:rFonts w:asciiTheme="minorHAnsi" w:eastAsia="Times New Roman" w:hAnsiTheme="minorHAnsi" w:cs="Times New Roman"/>
                <w:bCs/>
                <w:lang w:eastAsia="en-AU"/>
              </w:rPr>
              <w:t xml:space="preserve">Condition for which Ig use is in </w:t>
            </w:r>
            <w:r w:rsidR="00A841DF">
              <w:rPr>
                <w:rFonts w:asciiTheme="minorHAnsi" w:eastAsia="Times New Roman" w:hAnsiTheme="minorHAnsi" w:cs="Times New Roman"/>
                <w:bCs/>
                <w:lang w:eastAsia="en-AU"/>
              </w:rPr>
              <w:t>E</w:t>
            </w:r>
            <w:r w:rsidR="00385032" w:rsidRPr="00385032">
              <w:rPr>
                <w:rFonts w:asciiTheme="minorHAnsi" w:eastAsia="Times New Roman" w:hAnsiTheme="minorHAnsi" w:cs="Times New Roman"/>
                <w:bCs/>
                <w:lang w:eastAsia="en-AU"/>
              </w:rPr>
              <w:t>xceptional circumstances only</w:t>
            </w:r>
            <w:r w:rsidR="00385032">
              <w:rPr>
                <w:rFonts w:asciiTheme="minorHAnsi" w:eastAsia="Times New Roman" w:hAnsiTheme="minorHAnsi" w:cs="Times New Roman"/>
                <w:b/>
                <w:bCs/>
                <w:lang w:eastAsia="en-AU"/>
              </w:rPr>
              <w:t xml:space="preserve"> </w:t>
            </w:r>
            <w:r>
              <w:rPr>
                <w:rFonts w:asciiTheme="minorHAnsi" w:eastAsia="Times New Roman" w:hAnsiTheme="minorHAnsi" w:cs="Times New Roman"/>
                <w:bCs/>
                <w:lang w:eastAsia="en-AU"/>
              </w:rPr>
              <w:t>(Chapter 7)</w:t>
            </w:r>
          </w:p>
          <w:p w:rsidR="00634FD4" w:rsidRDefault="00634FD4" w:rsidP="00385032">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v3.0 CONDITION CATEGORY: </w:t>
            </w:r>
            <w:r w:rsidRPr="00385032">
              <w:rPr>
                <w:rFonts w:asciiTheme="minorHAnsi" w:eastAsia="Times New Roman" w:hAnsiTheme="minorHAnsi" w:cs="Times New Roman"/>
                <w:bCs/>
                <w:lang w:eastAsia="en-AU"/>
              </w:rPr>
              <w:t xml:space="preserve">Condition for which Ig use is in </w:t>
            </w:r>
            <w:r w:rsidR="00A841DF">
              <w:rPr>
                <w:rFonts w:asciiTheme="minorHAnsi" w:eastAsia="Times New Roman" w:hAnsiTheme="minorHAnsi" w:cs="Times New Roman"/>
                <w:bCs/>
                <w:lang w:eastAsia="en-AU"/>
              </w:rPr>
              <w:t>E</w:t>
            </w:r>
            <w:r w:rsidRPr="00385032">
              <w:rPr>
                <w:rFonts w:asciiTheme="minorHAnsi" w:eastAsia="Times New Roman" w:hAnsiTheme="minorHAnsi" w:cs="Times New Roman"/>
                <w:bCs/>
                <w:lang w:eastAsia="en-AU"/>
              </w:rPr>
              <w:t>xceptional circumstances only</w:t>
            </w:r>
            <w:r>
              <w:rPr>
                <w:rFonts w:asciiTheme="minorHAnsi" w:eastAsia="Times New Roman" w:hAnsiTheme="minorHAnsi" w:cs="Times New Roman"/>
                <w:b/>
                <w:bCs/>
                <w:lang w:eastAsia="en-AU"/>
              </w:rPr>
              <w:t xml:space="preserve"> </w:t>
            </w:r>
            <w:r>
              <w:rPr>
                <w:rFonts w:asciiTheme="minorHAnsi" w:eastAsia="Times New Roman" w:hAnsiTheme="minorHAnsi" w:cs="Times New Roman"/>
                <w:bCs/>
                <w:lang w:eastAsia="en-AU"/>
              </w:rPr>
              <w:t>(Chapter 7)</w:t>
            </w:r>
          </w:p>
        </w:tc>
      </w:tr>
      <w:tr w:rsidR="008612AB" w:rsidRPr="00447869" w:rsidTr="008612AB">
        <w:trPr>
          <w:tblHeader/>
        </w:trPr>
        <w:tc>
          <w:tcPr>
            <w:tcW w:w="14601" w:type="dxa"/>
            <w:gridSpan w:val="2"/>
            <w:shd w:val="clear" w:color="auto" w:fill="auto"/>
          </w:tcPr>
          <w:p w:rsidR="00674CEF" w:rsidRDefault="008612AB" w:rsidP="00674CEF">
            <w:r>
              <w:rPr>
                <w:rFonts w:asciiTheme="minorHAnsi" w:eastAsia="Times New Roman" w:hAnsiTheme="minorHAnsi" w:cs="Times New Roman"/>
                <w:b/>
                <w:bCs/>
                <w:lang w:eastAsia="en-AU"/>
              </w:rPr>
              <w:lastRenderedPageBreak/>
              <w:t>Role of Ig therapy:</w:t>
            </w:r>
            <w:r w:rsidR="00674CEF">
              <w:rPr>
                <w:rFonts w:asciiTheme="minorHAnsi" w:eastAsia="Times New Roman" w:hAnsiTheme="minorHAnsi" w:cs="Times New Roman"/>
                <w:b/>
                <w:bCs/>
                <w:lang w:eastAsia="en-AU"/>
              </w:rPr>
              <w:t xml:space="preserve"> </w:t>
            </w:r>
            <w:r w:rsidR="00674CEF" w:rsidRPr="00740D47">
              <w:t>Patients should be treated with conventional therapies such as cognitive behavioural therapy and anti-obsessional medications e.g. Selective Serotonin Reuptake Inhibitors (SSRI), and where appropriate, antib</w:t>
            </w:r>
            <w:r w:rsidR="00674CEF">
              <w:t>i</w:t>
            </w:r>
            <w:r w:rsidR="00674CEF" w:rsidRPr="00740D47">
              <w:t xml:space="preserve">otics to treat the infection. Immune-based therapies are intended </w:t>
            </w:r>
            <w:r w:rsidR="00AF4B66">
              <w:t xml:space="preserve">only for use </w:t>
            </w:r>
            <w:r w:rsidR="00674CEF" w:rsidRPr="00740D47">
              <w:t>in cases where the neuropsychiatric symptoms are related to an autoimmune response (hence the use of the specific diagnostic c</w:t>
            </w:r>
            <w:r w:rsidR="00674CEF" w:rsidRPr="00736222">
              <w:t>riteria) and in Australia, Ig will</w:t>
            </w:r>
            <w:r w:rsidR="00674CEF" w:rsidRPr="00740D47">
              <w:t xml:space="preserve"> only </w:t>
            </w:r>
            <w:r w:rsidR="00674CEF">
              <w:t xml:space="preserve">be </w:t>
            </w:r>
            <w:r w:rsidR="00674CEF" w:rsidRPr="00740D47">
              <w:t xml:space="preserve">accessible once the patient has been proven to be unresponsive to corticosteroids or where corticosteroids are contraindicated.  </w:t>
            </w:r>
          </w:p>
          <w:p w:rsidR="008612AB" w:rsidRPr="00447869" w:rsidRDefault="00674CEF" w:rsidP="00451951">
            <w:pPr>
              <w:spacing w:before="120" w:after="120"/>
              <w:rPr>
                <w:rFonts w:asciiTheme="minorHAnsi" w:eastAsia="Times New Roman" w:hAnsiTheme="minorHAnsi" w:cs="Times New Roman"/>
                <w:b/>
                <w:bCs/>
                <w:lang w:eastAsia="en-AU"/>
              </w:rPr>
            </w:pPr>
            <w:r w:rsidRPr="00740D47">
              <w:t xml:space="preserve">Three monthly monitoring has been </w:t>
            </w:r>
            <w:r>
              <w:t>introduced</w:t>
            </w:r>
            <w:r w:rsidRPr="00740D47">
              <w:t xml:space="preserve"> with </w:t>
            </w:r>
            <w:r>
              <w:t>a requirement for</w:t>
            </w:r>
            <w:r w:rsidRPr="00740D47">
              <w:t xml:space="preserve"> </w:t>
            </w:r>
            <w:r>
              <w:t xml:space="preserve">appropriate </w:t>
            </w:r>
            <w:r w:rsidRPr="00740D47">
              <w:t xml:space="preserve">formal assessment methods </w:t>
            </w:r>
            <w:r>
              <w:t xml:space="preserve">to be used to monitor the specific symptoms and be </w:t>
            </w:r>
            <w:r w:rsidRPr="00740D47">
              <w:t>reported by prescribers</w:t>
            </w:r>
            <w:r>
              <w:t xml:space="preserve"> along with clinical progress at each review</w:t>
            </w:r>
            <w:r w:rsidRPr="00740D47">
              <w:t xml:space="preserve">. </w:t>
            </w:r>
            <w:r w:rsidRPr="00740D47">
              <w:rPr>
                <w:rFonts w:asciiTheme="minorHAnsi" w:hAnsiTheme="minorHAnsi"/>
              </w:rPr>
              <w:t xml:space="preserve">Patients </w:t>
            </w:r>
            <w:r>
              <w:rPr>
                <w:rFonts w:asciiTheme="minorHAnsi" w:hAnsiTheme="minorHAnsi"/>
              </w:rPr>
              <w:t>must</w:t>
            </w:r>
            <w:r w:rsidRPr="00740D47">
              <w:rPr>
                <w:rFonts w:asciiTheme="minorHAnsi" w:hAnsiTheme="minorHAnsi"/>
              </w:rPr>
              <w:t xml:space="preserve"> be continuing to improve but </w:t>
            </w:r>
            <w:r>
              <w:rPr>
                <w:rFonts w:asciiTheme="minorHAnsi" w:hAnsiTheme="minorHAnsi"/>
              </w:rPr>
              <w:t>still have</w:t>
            </w:r>
            <w:r w:rsidRPr="00740D47">
              <w:rPr>
                <w:rFonts w:asciiTheme="minorHAnsi" w:hAnsiTheme="minorHAnsi"/>
              </w:rPr>
              <w:t xml:space="preserve"> persistent symptoms to remain eligible for ongoing Ig therapy. There is not a protocol developed </w:t>
            </w:r>
            <w:r>
              <w:rPr>
                <w:rFonts w:asciiTheme="minorHAnsi" w:hAnsiTheme="minorHAnsi"/>
              </w:rPr>
              <w:t xml:space="preserve">to manage </w:t>
            </w:r>
            <w:r w:rsidRPr="00852F03">
              <w:rPr>
                <w:rFonts w:asciiTheme="minorHAnsi" w:hAnsiTheme="minorHAnsi"/>
              </w:rPr>
              <w:t xml:space="preserve">chronic relapsing </w:t>
            </w:r>
            <w:r>
              <w:rPr>
                <w:rFonts w:asciiTheme="minorHAnsi" w:hAnsiTheme="minorHAnsi"/>
              </w:rPr>
              <w:t xml:space="preserve">episodes </w:t>
            </w:r>
            <w:r w:rsidRPr="00740D47">
              <w:rPr>
                <w:rFonts w:asciiTheme="minorHAnsi" w:hAnsiTheme="minorHAnsi"/>
              </w:rPr>
              <w:t>and if patients relapse</w:t>
            </w:r>
            <w:r>
              <w:rPr>
                <w:rFonts w:asciiTheme="minorHAnsi" w:hAnsiTheme="minorHAnsi"/>
              </w:rPr>
              <w:t xml:space="preserve"> off treatment</w:t>
            </w:r>
            <w:r w:rsidRPr="00740D47">
              <w:rPr>
                <w:rFonts w:asciiTheme="minorHAnsi" w:hAnsiTheme="minorHAnsi"/>
              </w:rPr>
              <w:t xml:space="preserve">, they would </w:t>
            </w:r>
            <w:r>
              <w:rPr>
                <w:rFonts w:asciiTheme="minorHAnsi" w:hAnsiTheme="minorHAnsi"/>
              </w:rPr>
              <w:t xml:space="preserve">need </w:t>
            </w:r>
            <w:r w:rsidRPr="00B73DFD">
              <w:rPr>
                <w:rFonts w:asciiTheme="minorHAnsi" w:hAnsiTheme="minorHAnsi"/>
              </w:rPr>
              <w:t>to formally re-qualify. It is recognised that t</w:t>
            </w:r>
            <w:r w:rsidRPr="00740D47">
              <w:rPr>
                <w:rFonts w:asciiTheme="minorHAnsi" w:hAnsiTheme="minorHAnsi"/>
              </w:rPr>
              <w:t>reatment may need to extend over 12 months</w:t>
            </w:r>
            <w:r>
              <w:rPr>
                <w:rFonts w:asciiTheme="minorHAnsi" w:hAnsiTheme="minorHAnsi"/>
              </w:rPr>
              <w:t xml:space="preserve">, but patients will eventually </w:t>
            </w:r>
            <w:r w:rsidR="00451951">
              <w:rPr>
                <w:rFonts w:asciiTheme="minorHAnsi" w:hAnsiTheme="minorHAnsi"/>
              </w:rPr>
              <w:t>cease</w:t>
            </w:r>
            <w:r>
              <w:rPr>
                <w:rFonts w:asciiTheme="minorHAnsi" w:hAnsiTheme="minorHAnsi"/>
              </w:rPr>
              <w:t xml:space="preserve"> Ig therapy</w:t>
            </w:r>
            <w:r w:rsidRPr="00740D47">
              <w:rPr>
                <w:rFonts w:asciiTheme="minorHAnsi" w:hAnsiTheme="minorHAnsi"/>
              </w:rPr>
              <w:t>.</w:t>
            </w:r>
          </w:p>
        </w:tc>
      </w:tr>
    </w:tbl>
    <w:p w:rsidR="005851ED" w:rsidRDefault="005851ED"/>
    <w:tbl>
      <w:tblPr>
        <w:tblStyle w:val="TableGrid"/>
        <w:tblW w:w="14601" w:type="dxa"/>
        <w:tblInd w:w="-318" w:type="dxa"/>
        <w:tblLook w:val="0680" w:firstRow="0" w:lastRow="0" w:firstColumn="1" w:lastColumn="0" w:noHBand="1" w:noVBand="1"/>
      </w:tblPr>
      <w:tblGrid>
        <w:gridCol w:w="1560"/>
        <w:gridCol w:w="3119"/>
        <w:gridCol w:w="1842"/>
        <w:gridCol w:w="1843"/>
        <w:gridCol w:w="1843"/>
        <w:gridCol w:w="4394"/>
      </w:tblGrid>
      <w:tr w:rsidR="00447869" w:rsidRPr="00853117" w:rsidTr="00FD1CBB">
        <w:trPr>
          <w:trHeight w:val="406"/>
          <w:tblHeader/>
        </w:trPr>
        <w:tc>
          <w:tcPr>
            <w:tcW w:w="1560" w:type="dxa"/>
            <w:shd w:val="clear" w:color="auto" w:fill="DBE5F1" w:themeFill="accent1" w:themeFillTint="33"/>
          </w:tcPr>
          <w:p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ITEM</w:t>
            </w:r>
          </w:p>
        </w:tc>
        <w:tc>
          <w:tcPr>
            <w:tcW w:w="3119" w:type="dxa"/>
            <w:shd w:val="clear" w:color="auto" w:fill="DBE5F1" w:themeFill="accent1" w:themeFillTint="33"/>
          </w:tcPr>
          <w:p w:rsidR="004A10A2" w:rsidRPr="00C92149" w:rsidRDefault="00B8036A" w:rsidP="00631EAB">
            <w:pPr>
              <w:spacing w:before="120" w:after="120"/>
              <w:jc w:val="center"/>
              <w:rPr>
                <w:rFonts w:asciiTheme="minorHAnsi" w:hAnsiTheme="minorHAnsi"/>
                <w:b/>
                <w:sz w:val="20"/>
                <w:szCs w:val="18"/>
              </w:rPr>
            </w:pPr>
            <w:r>
              <w:rPr>
                <w:rFonts w:asciiTheme="minorHAnsi" w:hAnsiTheme="minorHAnsi"/>
                <w:b/>
                <w:sz w:val="20"/>
                <w:szCs w:val="18"/>
              </w:rPr>
              <w:t xml:space="preserve">CRITERIA </w:t>
            </w:r>
            <w:r w:rsidR="00A841DF">
              <w:rPr>
                <w:rFonts w:asciiTheme="minorHAnsi" w:hAnsiTheme="minorHAnsi"/>
                <w:b/>
                <w:sz w:val="20"/>
                <w:szCs w:val="18"/>
              </w:rPr>
              <w:t>v</w:t>
            </w:r>
            <w:r w:rsidR="001E102B">
              <w:rPr>
                <w:rFonts w:asciiTheme="minorHAnsi" w:hAnsiTheme="minorHAnsi"/>
                <w:b/>
                <w:sz w:val="20"/>
                <w:szCs w:val="18"/>
              </w:rPr>
              <w:t xml:space="preserve">2.1 </w:t>
            </w:r>
          </w:p>
        </w:tc>
        <w:tc>
          <w:tcPr>
            <w:tcW w:w="5528" w:type="dxa"/>
            <w:gridSpan w:val="3"/>
            <w:shd w:val="clear" w:color="auto" w:fill="DBE5F1" w:themeFill="accent1" w:themeFillTint="33"/>
          </w:tcPr>
          <w:p w:rsidR="00324887"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PROPOSED REVISIONS TO THE CRITERIA</w:t>
            </w:r>
          </w:p>
        </w:tc>
        <w:tc>
          <w:tcPr>
            <w:tcW w:w="4394" w:type="dxa"/>
            <w:shd w:val="clear" w:color="auto" w:fill="DBE5F1" w:themeFill="accent1" w:themeFillTint="33"/>
          </w:tcPr>
          <w:p w:rsidR="00447869" w:rsidRPr="00C92149" w:rsidRDefault="00DF54C9">
            <w:pPr>
              <w:spacing w:before="120" w:after="120"/>
              <w:jc w:val="center"/>
              <w:rPr>
                <w:rFonts w:asciiTheme="minorHAnsi" w:hAnsiTheme="minorHAnsi"/>
                <w:b/>
                <w:sz w:val="20"/>
                <w:szCs w:val="20"/>
              </w:rPr>
            </w:pPr>
            <w:r>
              <w:rPr>
                <w:rFonts w:asciiTheme="minorHAnsi" w:eastAsia="Times New Roman" w:hAnsiTheme="minorHAnsi" w:cs="Times New Roman"/>
                <w:b/>
                <w:bCs/>
                <w:sz w:val="20"/>
                <w:szCs w:val="20"/>
                <w:lang w:eastAsia="en-AU"/>
              </w:rPr>
              <w:t>SPECIALIST WORKING GROUP</w:t>
            </w:r>
            <w:r w:rsidRPr="006B65FB">
              <w:rPr>
                <w:rFonts w:asciiTheme="minorHAnsi" w:eastAsia="Times New Roman" w:hAnsiTheme="minorHAnsi" w:cs="Times New Roman"/>
                <w:b/>
                <w:bCs/>
                <w:sz w:val="20"/>
                <w:szCs w:val="20"/>
                <w:lang w:eastAsia="en-AU"/>
              </w:rPr>
              <w:t xml:space="preserve"> </w:t>
            </w:r>
            <w:r w:rsidR="006B65FB" w:rsidRPr="006B65FB">
              <w:rPr>
                <w:rFonts w:asciiTheme="minorHAnsi" w:eastAsia="Times New Roman" w:hAnsiTheme="minorHAnsi" w:cs="Times New Roman"/>
                <w:b/>
                <w:bCs/>
                <w:sz w:val="20"/>
                <w:szCs w:val="20"/>
                <w:lang w:eastAsia="en-AU"/>
              </w:rPr>
              <w:t>RATIONALE FOR ADDITIONS/CLARIFICATIONS</w:t>
            </w:r>
          </w:p>
        </w:tc>
      </w:tr>
      <w:tr w:rsidR="00021243" w:rsidRPr="00447869" w:rsidTr="00FD1CBB">
        <w:tc>
          <w:tcPr>
            <w:tcW w:w="1560" w:type="dxa"/>
            <w:shd w:val="clear" w:color="auto" w:fill="D9D9D9" w:themeFill="background1" w:themeFillShade="D9"/>
          </w:tcPr>
          <w:p w:rsidR="00021243" w:rsidRPr="00447869" w:rsidRDefault="00021243" w:rsidP="00021243">
            <w:pPr>
              <w:spacing w:before="120" w:after="120"/>
              <w:rPr>
                <w:rFonts w:asciiTheme="minorHAnsi" w:hAnsiTheme="minorHAnsi"/>
                <w:b/>
              </w:rPr>
            </w:pPr>
            <w:r w:rsidRPr="00447869">
              <w:rPr>
                <w:rFonts w:asciiTheme="minorHAnsi" w:hAnsiTheme="minorHAnsi"/>
                <w:b/>
              </w:rPr>
              <w:t>Condition Name</w:t>
            </w:r>
          </w:p>
        </w:tc>
        <w:tc>
          <w:tcPr>
            <w:tcW w:w="3119" w:type="dxa"/>
          </w:tcPr>
          <w:p w:rsidR="00021243" w:rsidRPr="00320C9D" w:rsidRDefault="00320C9D" w:rsidP="00320C9D">
            <w:pPr>
              <w:pStyle w:val="heading"/>
              <w:spacing w:before="0" w:beforeAutospacing="0" w:after="225" w:afterAutospacing="0" w:line="293" w:lineRule="atLeast"/>
              <w:rPr>
                <w:rFonts w:asciiTheme="minorHAnsi" w:hAnsiTheme="minorHAnsi" w:cs="Times New Roman"/>
                <w:b/>
                <w:bCs/>
                <w:color w:val="000000"/>
                <w:sz w:val="22"/>
                <w:szCs w:val="22"/>
              </w:rPr>
            </w:pPr>
            <w:r w:rsidRPr="00320C9D">
              <w:rPr>
                <w:rFonts w:asciiTheme="minorHAnsi" w:hAnsiTheme="minorHAnsi" w:cs="Times New Roman"/>
                <w:b/>
                <w:bCs/>
                <w:color w:val="000000"/>
                <w:sz w:val="22"/>
                <w:szCs w:val="22"/>
              </w:rPr>
              <w:t>Paediatric autoimmune neuropsychiatric disorder associated with streptococcal infection (PANDAS)</w:t>
            </w:r>
          </w:p>
        </w:tc>
        <w:tc>
          <w:tcPr>
            <w:tcW w:w="5528" w:type="dxa"/>
            <w:gridSpan w:val="3"/>
          </w:tcPr>
          <w:p w:rsidR="00021243" w:rsidRPr="00282F66" w:rsidRDefault="00341D20" w:rsidP="00021243">
            <w:pPr>
              <w:spacing w:before="120" w:after="120"/>
              <w:rPr>
                <w:rFonts w:asciiTheme="minorHAnsi" w:hAnsiTheme="minorHAnsi"/>
                <w:b/>
              </w:rPr>
            </w:pPr>
            <w:r w:rsidRPr="00341D20">
              <w:rPr>
                <w:rFonts w:asciiTheme="minorHAnsi" w:eastAsia="Times New Roman" w:hAnsiTheme="minorHAnsi" w:cs="Times New Roman"/>
                <w:b/>
                <w:bCs/>
                <w:lang w:eastAsia="en-AU"/>
              </w:rPr>
              <w:t>Paediatric autoimmune neuropsychiatric disorder associated with streptococcal infections (PANDAS) or Paediatric Acute Neuropsychiatric Disorders (PANS)</w:t>
            </w:r>
          </w:p>
        </w:tc>
        <w:tc>
          <w:tcPr>
            <w:tcW w:w="4394" w:type="dxa"/>
          </w:tcPr>
          <w:p w:rsidR="005960E7" w:rsidRPr="00C92149" w:rsidRDefault="004B66FD" w:rsidP="005960E7">
            <w:pPr>
              <w:pStyle w:val="heading"/>
              <w:spacing w:before="0" w:beforeAutospacing="0" w:after="225" w:afterAutospacing="0" w:line="293" w:lineRule="atLeast"/>
              <w:rPr>
                <w:rFonts w:asciiTheme="minorHAnsi" w:hAnsiTheme="minorHAnsi"/>
                <w:sz w:val="22"/>
              </w:rPr>
            </w:pPr>
            <w:r>
              <w:rPr>
                <w:rFonts w:asciiTheme="minorHAnsi" w:hAnsiTheme="minorHAnsi"/>
                <w:sz w:val="22"/>
              </w:rPr>
              <w:t>Paediatric Acute Neuropsychiatric Disorders (PANS) has been included in the condition name as streptococcal infection is not the only trigger of acute neuropsychiatric disorders.</w:t>
            </w:r>
          </w:p>
        </w:tc>
      </w:tr>
      <w:tr w:rsidR="00447869" w:rsidRPr="00447869" w:rsidTr="00FD1CBB">
        <w:tc>
          <w:tcPr>
            <w:tcW w:w="1560" w:type="dxa"/>
            <w:shd w:val="clear" w:color="auto" w:fill="D9D9D9" w:themeFill="background1" w:themeFillShade="D9"/>
          </w:tcPr>
          <w:p w:rsidR="00447869" w:rsidRPr="00447869" w:rsidRDefault="00447869" w:rsidP="00021243">
            <w:pPr>
              <w:spacing w:before="120" w:after="120"/>
              <w:rPr>
                <w:rFonts w:asciiTheme="minorHAnsi" w:hAnsiTheme="minorHAnsi"/>
              </w:rPr>
            </w:pPr>
            <w:r w:rsidRPr="00447869">
              <w:rPr>
                <w:rFonts w:asciiTheme="minorHAnsi" w:hAnsiTheme="minorHAnsi"/>
                <w:b/>
              </w:rPr>
              <w:t>Specialty</w:t>
            </w:r>
          </w:p>
        </w:tc>
        <w:tc>
          <w:tcPr>
            <w:tcW w:w="3119" w:type="dxa"/>
          </w:tcPr>
          <w:p w:rsidR="00447869" w:rsidRPr="00447869" w:rsidRDefault="00320C9D" w:rsidP="00021243">
            <w:pPr>
              <w:spacing w:before="120" w:after="120"/>
              <w:rPr>
                <w:rFonts w:asciiTheme="minorHAnsi" w:hAnsiTheme="minorHAnsi"/>
              </w:rPr>
            </w:pPr>
            <w:r>
              <w:rPr>
                <w:rFonts w:asciiTheme="minorHAnsi" w:eastAsia="Times New Roman" w:hAnsiTheme="minorHAnsi" w:cs="Times New Roman"/>
                <w:bCs/>
                <w:lang w:eastAsia="en-AU"/>
              </w:rPr>
              <w:t>Neurology</w:t>
            </w:r>
          </w:p>
        </w:tc>
        <w:tc>
          <w:tcPr>
            <w:tcW w:w="5528" w:type="dxa"/>
            <w:gridSpan w:val="3"/>
          </w:tcPr>
          <w:p w:rsidR="00447869" w:rsidRPr="00447869" w:rsidRDefault="00341D20" w:rsidP="00021243">
            <w:pPr>
              <w:spacing w:before="120" w:after="120"/>
              <w:rPr>
                <w:rFonts w:asciiTheme="minorHAnsi" w:hAnsiTheme="minorHAnsi"/>
              </w:rPr>
            </w:pPr>
            <w:r>
              <w:rPr>
                <w:rFonts w:asciiTheme="minorHAnsi" w:hAnsiTheme="minorHAnsi"/>
              </w:rPr>
              <w:t xml:space="preserve">Neurology </w:t>
            </w:r>
          </w:p>
        </w:tc>
        <w:tc>
          <w:tcPr>
            <w:tcW w:w="4394" w:type="dxa"/>
          </w:tcPr>
          <w:p w:rsidR="00447869" w:rsidRPr="009208EC" w:rsidRDefault="004B66FD" w:rsidP="00021243">
            <w:pPr>
              <w:spacing w:before="120" w:after="120"/>
              <w:rPr>
                <w:rFonts w:asciiTheme="minorHAnsi" w:hAnsiTheme="minorHAnsi"/>
                <w:szCs w:val="20"/>
              </w:rPr>
            </w:pPr>
            <w:r>
              <w:rPr>
                <w:rFonts w:asciiTheme="minorHAnsi" w:hAnsiTheme="minorHAnsi"/>
                <w:szCs w:val="20"/>
              </w:rPr>
              <w:t>No change</w:t>
            </w:r>
          </w:p>
        </w:tc>
      </w:tr>
      <w:tr w:rsidR="00021243" w:rsidRPr="00447869" w:rsidTr="00FD1CBB">
        <w:tc>
          <w:tcPr>
            <w:tcW w:w="1560" w:type="dxa"/>
            <w:shd w:val="clear" w:color="auto" w:fill="D9D9D9" w:themeFill="background1" w:themeFillShade="D9"/>
          </w:tcPr>
          <w:p w:rsidR="00021243" w:rsidRPr="00447869" w:rsidRDefault="00DF54C9" w:rsidP="00021243">
            <w:pPr>
              <w:spacing w:before="120" w:after="120"/>
              <w:rPr>
                <w:rFonts w:asciiTheme="minorHAnsi" w:hAnsiTheme="minorHAnsi"/>
              </w:rPr>
            </w:pPr>
            <w:r>
              <w:rPr>
                <w:rFonts w:asciiTheme="minorHAnsi" w:hAnsiTheme="minorHAnsi"/>
                <w:b/>
              </w:rPr>
              <w:t>Category</w:t>
            </w:r>
          </w:p>
        </w:tc>
        <w:tc>
          <w:tcPr>
            <w:tcW w:w="3119" w:type="dxa"/>
          </w:tcPr>
          <w:p w:rsidR="00021243" w:rsidRPr="00385032" w:rsidRDefault="00DF54C9" w:rsidP="00960424">
            <w:pPr>
              <w:spacing w:before="120" w:after="120"/>
              <w:rPr>
                <w:rFonts w:asciiTheme="minorHAnsi" w:hAnsiTheme="minorHAnsi"/>
                <w:i/>
              </w:rPr>
            </w:pPr>
            <w:r w:rsidRPr="00385032">
              <w:rPr>
                <w:rFonts w:asciiTheme="minorHAnsi" w:hAnsiTheme="minorHAnsi"/>
                <w:i/>
              </w:rPr>
              <w:t xml:space="preserve">Exceptional circumstances only </w:t>
            </w:r>
          </w:p>
        </w:tc>
        <w:tc>
          <w:tcPr>
            <w:tcW w:w="5528" w:type="dxa"/>
            <w:gridSpan w:val="3"/>
          </w:tcPr>
          <w:p w:rsidR="00021243" w:rsidRPr="00385032" w:rsidRDefault="00960424" w:rsidP="00960424">
            <w:pPr>
              <w:spacing w:before="120" w:after="120"/>
              <w:rPr>
                <w:rFonts w:asciiTheme="minorHAnsi" w:hAnsiTheme="minorHAnsi"/>
                <w:i/>
              </w:rPr>
            </w:pPr>
            <w:r w:rsidRPr="00385032">
              <w:rPr>
                <w:rFonts w:asciiTheme="minorHAnsi" w:hAnsiTheme="minorHAnsi"/>
                <w:i/>
              </w:rPr>
              <w:t xml:space="preserve">Exceptional circumstances only </w:t>
            </w:r>
          </w:p>
        </w:tc>
        <w:tc>
          <w:tcPr>
            <w:tcW w:w="4394" w:type="dxa"/>
          </w:tcPr>
          <w:p w:rsidR="00021243" w:rsidRPr="009208EC" w:rsidRDefault="004B66FD" w:rsidP="00631EAB">
            <w:pPr>
              <w:spacing w:before="120" w:after="120"/>
              <w:rPr>
                <w:rFonts w:asciiTheme="minorHAnsi" w:hAnsiTheme="minorHAnsi"/>
                <w:szCs w:val="20"/>
              </w:rPr>
            </w:pPr>
            <w:r>
              <w:rPr>
                <w:rFonts w:asciiTheme="minorHAnsi" w:hAnsiTheme="minorHAnsi"/>
                <w:szCs w:val="20"/>
              </w:rPr>
              <w:t>No change</w:t>
            </w:r>
          </w:p>
        </w:tc>
      </w:tr>
      <w:tr w:rsidR="00447869" w:rsidRPr="00447869" w:rsidTr="00FD1CBB">
        <w:tc>
          <w:tcPr>
            <w:tcW w:w="1560" w:type="dxa"/>
            <w:shd w:val="clear" w:color="auto" w:fill="D9D9D9" w:themeFill="background1" w:themeFillShade="D9"/>
          </w:tcPr>
          <w:p w:rsidR="00447869" w:rsidRPr="008515FF" w:rsidRDefault="00447869" w:rsidP="00021243">
            <w:pPr>
              <w:spacing w:before="120" w:after="120"/>
              <w:rPr>
                <w:rFonts w:asciiTheme="minorHAnsi" w:hAnsiTheme="minorHAnsi"/>
                <w:b/>
              </w:rPr>
            </w:pPr>
            <w:r w:rsidRPr="00447869">
              <w:rPr>
                <w:rFonts w:asciiTheme="minorHAnsi" w:hAnsiTheme="minorHAnsi"/>
                <w:b/>
              </w:rPr>
              <w:t>Specific Conditions</w:t>
            </w:r>
          </w:p>
        </w:tc>
        <w:tc>
          <w:tcPr>
            <w:tcW w:w="3119" w:type="dxa"/>
          </w:tcPr>
          <w:p w:rsidR="004A10A2" w:rsidRPr="00447869" w:rsidRDefault="00320C9D" w:rsidP="008515FF">
            <w:pPr>
              <w:spacing w:before="120" w:after="120"/>
              <w:rPr>
                <w:rFonts w:asciiTheme="minorHAnsi" w:hAnsiTheme="minorHAnsi"/>
              </w:rPr>
            </w:pPr>
            <w:r w:rsidRPr="0067559F">
              <w:rPr>
                <w:rFonts w:asciiTheme="minorHAnsi" w:eastAsia="Times New Roman" w:hAnsiTheme="minorHAnsi" w:cs="Times New Roman"/>
                <w:bCs/>
                <w:lang w:eastAsia="en-AU"/>
              </w:rPr>
              <w:t>PANDAS/tic disorders</w:t>
            </w:r>
          </w:p>
        </w:tc>
        <w:tc>
          <w:tcPr>
            <w:tcW w:w="5528" w:type="dxa"/>
            <w:gridSpan w:val="3"/>
          </w:tcPr>
          <w:p w:rsidR="00341D20" w:rsidRPr="00341D20" w:rsidRDefault="00341D20" w:rsidP="00341D20">
            <w:pPr>
              <w:rPr>
                <w:rFonts w:asciiTheme="minorHAnsi" w:hAnsiTheme="minorHAnsi"/>
              </w:rPr>
            </w:pPr>
            <w:r w:rsidRPr="00341D20">
              <w:rPr>
                <w:rFonts w:asciiTheme="minorHAnsi" w:hAnsiTheme="minorHAnsi"/>
              </w:rPr>
              <w:t xml:space="preserve">PANDAS; </w:t>
            </w:r>
          </w:p>
          <w:p w:rsidR="00447869" w:rsidRPr="00447869" w:rsidRDefault="00341D20" w:rsidP="00341D20">
            <w:pPr>
              <w:rPr>
                <w:rFonts w:asciiTheme="minorHAnsi" w:hAnsiTheme="minorHAnsi"/>
              </w:rPr>
            </w:pPr>
            <w:r w:rsidRPr="00341D20">
              <w:rPr>
                <w:rFonts w:asciiTheme="minorHAnsi" w:hAnsiTheme="minorHAnsi"/>
              </w:rPr>
              <w:t>PANS</w:t>
            </w:r>
          </w:p>
        </w:tc>
        <w:tc>
          <w:tcPr>
            <w:tcW w:w="4394" w:type="dxa"/>
          </w:tcPr>
          <w:p w:rsidR="00447869" w:rsidRPr="00C92149" w:rsidRDefault="004B66FD" w:rsidP="00021243">
            <w:pPr>
              <w:spacing w:before="120" w:after="120"/>
              <w:rPr>
                <w:rFonts w:asciiTheme="minorHAnsi" w:hAnsiTheme="minorHAnsi"/>
                <w:szCs w:val="20"/>
              </w:rPr>
            </w:pPr>
            <w:r>
              <w:rPr>
                <w:rFonts w:asciiTheme="minorHAnsi" w:hAnsiTheme="minorHAnsi"/>
                <w:szCs w:val="20"/>
              </w:rPr>
              <w:t>Added PANS</w:t>
            </w:r>
          </w:p>
        </w:tc>
      </w:tr>
      <w:tr w:rsidR="00021243" w:rsidRPr="00447869" w:rsidTr="00FD1CBB">
        <w:tc>
          <w:tcPr>
            <w:tcW w:w="1560" w:type="dxa"/>
            <w:shd w:val="clear" w:color="auto" w:fill="D9D9D9" w:themeFill="background1" w:themeFillShade="D9"/>
          </w:tcPr>
          <w:p w:rsidR="00021243" w:rsidRPr="00447869" w:rsidRDefault="00021243" w:rsidP="00021243">
            <w:pPr>
              <w:spacing w:before="120" w:after="120"/>
              <w:rPr>
                <w:rFonts w:asciiTheme="minorHAnsi" w:hAnsiTheme="minorHAnsi"/>
                <w:b/>
              </w:rPr>
            </w:pPr>
            <w:r w:rsidRPr="00447869">
              <w:rPr>
                <w:rFonts w:asciiTheme="minorHAnsi" w:hAnsiTheme="minorHAnsi"/>
                <w:b/>
              </w:rPr>
              <w:t>Level of Evidence</w:t>
            </w:r>
          </w:p>
          <w:p w:rsidR="00021243" w:rsidRPr="00447869" w:rsidRDefault="00021243" w:rsidP="00021243">
            <w:pPr>
              <w:spacing w:before="120" w:after="120"/>
              <w:rPr>
                <w:rFonts w:asciiTheme="minorHAnsi" w:hAnsiTheme="minorHAnsi"/>
              </w:rPr>
            </w:pPr>
          </w:p>
        </w:tc>
        <w:tc>
          <w:tcPr>
            <w:tcW w:w="3119" w:type="dxa"/>
          </w:tcPr>
          <w:p w:rsidR="00021243" w:rsidRPr="00447869" w:rsidRDefault="00320C9D" w:rsidP="00021243">
            <w:pPr>
              <w:spacing w:before="120" w:after="120"/>
              <w:rPr>
                <w:rFonts w:asciiTheme="minorHAnsi" w:hAnsiTheme="minorHAnsi"/>
              </w:rPr>
            </w:pPr>
            <w:r w:rsidRPr="0005022A">
              <w:rPr>
                <w:rFonts w:asciiTheme="minorHAnsi" w:eastAsia="Times New Roman" w:hAnsiTheme="minorHAnsi" w:cs="Times New Roman"/>
                <w:color w:val="000000"/>
                <w:lang w:eastAsia="en-AU"/>
              </w:rPr>
              <w:t>Evidence of probable benefit – more research needed (Category 2a)</w:t>
            </w:r>
          </w:p>
        </w:tc>
        <w:tc>
          <w:tcPr>
            <w:tcW w:w="5528" w:type="dxa"/>
            <w:gridSpan w:val="3"/>
          </w:tcPr>
          <w:p w:rsidR="00021243" w:rsidRPr="00447869" w:rsidRDefault="00282F66" w:rsidP="008515FF">
            <w:pPr>
              <w:spacing w:before="120" w:after="120"/>
              <w:rPr>
                <w:rFonts w:asciiTheme="minorHAnsi" w:hAnsiTheme="minorHAnsi"/>
              </w:rPr>
            </w:pPr>
            <w:r>
              <w:t xml:space="preserve"> </w:t>
            </w:r>
            <w:r w:rsidR="000447FE">
              <w:t xml:space="preserve">Evidence of probable benefit – more research needed (Category </w:t>
            </w:r>
            <w:r w:rsidR="00341D20">
              <w:t>2a</w:t>
            </w:r>
            <w:r w:rsidR="000447FE">
              <w:t>)</w:t>
            </w:r>
          </w:p>
        </w:tc>
        <w:tc>
          <w:tcPr>
            <w:tcW w:w="4394" w:type="dxa"/>
          </w:tcPr>
          <w:p w:rsidR="00021243" w:rsidRPr="009208EC" w:rsidRDefault="004B66FD" w:rsidP="00021243">
            <w:pPr>
              <w:spacing w:before="120" w:after="120"/>
              <w:rPr>
                <w:rFonts w:asciiTheme="minorHAnsi" w:hAnsiTheme="minorHAnsi"/>
                <w:szCs w:val="20"/>
              </w:rPr>
            </w:pPr>
            <w:r>
              <w:rPr>
                <w:rFonts w:asciiTheme="minorHAnsi" w:hAnsiTheme="minorHAnsi"/>
                <w:szCs w:val="20"/>
              </w:rPr>
              <w:t>No change</w:t>
            </w:r>
          </w:p>
        </w:tc>
      </w:tr>
      <w:tr w:rsidR="00AB120F" w:rsidRPr="00447869" w:rsidTr="00FD1CBB">
        <w:tc>
          <w:tcPr>
            <w:tcW w:w="1560" w:type="dxa"/>
            <w:shd w:val="clear" w:color="auto" w:fill="D9D9D9" w:themeFill="background1" w:themeFillShade="D9"/>
          </w:tcPr>
          <w:p w:rsidR="00AB120F" w:rsidRPr="00447869" w:rsidRDefault="00AB120F" w:rsidP="00CE69D0">
            <w:pPr>
              <w:spacing w:before="120" w:after="120"/>
              <w:rPr>
                <w:rFonts w:asciiTheme="minorHAnsi" w:hAnsiTheme="minorHAnsi"/>
                <w:b/>
              </w:rPr>
            </w:pPr>
            <w:r w:rsidRPr="00447869">
              <w:rPr>
                <w:rFonts w:asciiTheme="minorHAnsi" w:hAnsiTheme="minorHAnsi"/>
                <w:b/>
              </w:rPr>
              <w:t>Justification for Evidence Category</w:t>
            </w:r>
          </w:p>
          <w:p w:rsidR="00AB120F" w:rsidRPr="00447869" w:rsidRDefault="00AB120F" w:rsidP="00CE69D0">
            <w:pPr>
              <w:spacing w:before="120" w:after="120"/>
              <w:rPr>
                <w:rFonts w:asciiTheme="minorHAnsi" w:hAnsiTheme="minorHAnsi"/>
              </w:rPr>
            </w:pPr>
          </w:p>
        </w:tc>
        <w:tc>
          <w:tcPr>
            <w:tcW w:w="3119" w:type="dxa"/>
          </w:tcPr>
          <w:p w:rsidR="00AB120F" w:rsidRDefault="00AB120F" w:rsidP="00FD1CBB">
            <w:pPr>
              <w:rPr>
                <w:rFonts w:asciiTheme="minorHAnsi" w:eastAsia="Times New Roman" w:hAnsiTheme="minorHAnsi" w:cs="Times New Roman"/>
                <w:color w:val="000000"/>
                <w:lang w:eastAsia="en-AU"/>
              </w:rPr>
            </w:pPr>
            <w:r>
              <w:rPr>
                <w:rFonts w:asciiTheme="minorHAnsi" w:hAnsiTheme="minorHAnsi"/>
              </w:rPr>
              <w:lastRenderedPageBreak/>
              <w:t xml:space="preserve"> </w:t>
            </w:r>
            <w:r w:rsidR="0029539F">
              <w:rPr>
                <w:rFonts w:asciiTheme="minorHAnsi" w:eastAsia="Times New Roman" w:hAnsiTheme="minorHAnsi" w:cs="Times New Roman"/>
                <w:color w:val="000000"/>
                <w:lang w:eastAsia="en-AU"/>
              </w:rPr>
              <w:t>PANDAS was</w:t>
            </w:r>
            <w:r w:rsidR="00320C9D" w:rsidRPr="0067559F">
              <w:rPr>
                <w:rFonts w:asciiTheme="minorHAnsi" w:eastAsia="Times New Roman" w:hAnsiTheme="minorHAnsi" w:cs="Times New Roman"/>
                <w:color w:val="000000"/>
                <w:lang w:eastAsia="en-AU"/>
              </w:rPr>
              <w:t xml:space="preserve"> first described in the early 1990s. PANDAS is characterised by rapid-onset tics associated with obsessive-</w:t>
            </w:r>
            <w:r w:rsidR="00320C9D" w:rsidRPr="0067559F">
              <w:rPr>
                <w:rFonts w:asciiTheme="minorHAnsi" w:eastAsia="Times New Roman" w:hAnsiTheme="minorHAnsi" w:cs="Times New Roman"/>
                <w:color w:val="000000"/>
                <w:lang w:eastAsia="en-AU"/>
              </w:rPr>
              <w:lastRenderedPageBreak/>
              <w:t>compulsive disorder (OCD) in the context of recovery from streptococcal infection. Molecular mimicry between streptococcal antigens and the central nervous system is thought to underlie the cause. Symptomatic therapy is used with variable response.</w:t>
            </w:r>
          </w:p>
          <w:p w:rsidR="00320C9D" w:rsidRPr="00320C9D" w:rsidRDefault="00320C9D" w:rsidP="00FD1CBB">
            <w:pPr>
              <w:rPr>
                <w:rFonts w:asciiTheme="minorHAnsi" w:eastAsia="Times New Roman" w:hAnsiTheme="minorHAnsi" w:cs="Times New Roman"/>
                <w:color w:val="000000"/>
                <w:lang w:eastAsia="en-AU"/>
              </w:rPr>
            </w:pPr>
            <w:r w:rsidRPr="0067559F">
              <w:rPr>
                <w:rFonts w:asciiTheme="minorHAnsi" w:eastAsia="Times New Roman" w:hAnsiTheme="minorHAnsi" w:cs="Times New Roman"/>
                <w:color w:val="000000"/>
                <w:lang w:eastAsia="en-AU"/>
              </w:rPr>
              <w:t>A single randomised placebo-controlled trial using intravenous immunoglobulin (</w:t>
            </w:r>
            <w:r w:rsidR="00164233">
              <w:rPr>
                <w:rFonts w:asciiTheme="minorHAnsi" w:eastAsia="Times New Roman" w:hAnsiTheme="minorHAnsi" w:cs="Times New Roman"/>
                <w:color w:val="000000"/>
                <w:lang w:eastAsia="en-AU"/>
              </w:rPr>
              <w:t>IVIg</w:t>
            </w:r>
            <w:r w:rsidRPr="0067559F">
              <w:rPr>
                <w:rFonts w:asciiTheme="minorHAnsi" w:eastAsia="Times New Roman" w:hAnsiTheme="minorHAnsi" w:cs="Times New Roman"/>
                <w:color w:val="000000"/>
                <w:lang w:eastAsia="en-AU"/>
              </w:rPr>
              <w:t>) for PANDAS showed very prolonged and significant improvement in obsessive-compulsive symptoms, anxiety, depression, emotional lability and overall function compared with placebo. Improvements in symptoms were still evident at one-year follow-up.</w:t>
            </w:r>
          </w:p>
        </w:tc>
        <w:tc>
          <w:tcPr>
            <w:tcW w:w="5528" w:type="dxa"/>
            <w:gridSpan w:val="3"/>
          </w:tcPr>
          <w:p w:rsidR="004B66FD" w:rsidRPr="004B66FD" w:rsidRDefault="004B66FD" w:rsidP="004B66FD">
            <w:pPr>
              <w:spacing w:before="120" w:after="120"/>
              <w:rPr>
                <w:rFonts w:asciiTheme="minorHAnsi" w:hAnsiTheme="minorHAnsi"/>
              </w:rPr>
            </w:pPr>
            <w:r w:rsidRPr="004B66FD">
              <w:rPr>
                <w:rFonts w:asciiTheme="minorHAnsi" w:hAnsiTheme="minorHAnsi"/>
              </w:rPr>
              <w:lastRenderedPageBreak/>
              <w:t xml:space="preserve">A single randomised placebo-controlled trial using </w:t>
            </w:r>
            <w:r w:rsidR="00164233">
              <w:rPr>
                <w:rFonts w:asciiTheme="minorHAnsi" w:hAnsiTheme="minorHAnsi"/>
              </w:rPr>
              <w:t>IVIg</w:t>
            </w:r>
            <w:r w:rsidRPr="004B66FD">
              <w:rPr>
                <w:rFonts w:asciiTheme="minorHAnsi" w:hAnsiTheme="minorHAnsi"/>
              </w:rPr>
              <w:t xml:space="preserve"> for PANDAS showed prolonged and significant improvement in obsessive-compulsive symptoms, anxiety, depression, emotional lability and overall function compared with </w:t>
            </w:r>
            <w:r w:rsidRPr="004B66FD">
              <w:rPr>
                <w:rFonts w:asciiTheme="minorHAnsi" w:hAnsiTheme="minorHAnsi"/>
              </w:rPr>
              <w:lastRenderedPageBreak/>
              <w:t xml:space="preserve">placebo. Improvements in symptoms were still evident at one-year follow-up. </w:t>
            </w:r>
          </w:p>
          <w:p w:rsidR="004B66FD" w:rsidRPr="004B66FD" w:rsidRDefault="004B66FD" w:rsidP="004B66FD">
            <w:pPr>
              <w:spacing w:before="120" w:after="120"/>
              <w:rPr>
                <w:rFonts w:asciiTheme="minorHAnsi" w:hAnsiTheme="minorHAnsi"/>
              </w:rPr>
            </w:pPr>
          </w:p>
          <w:p w:rsidR="004B66FD" w:rsidRPr="004B66FD" w:rsidRDefault="004B66FD" w:rsidP="004B66FD">
            <w:pPr>
              <w:spacing w:before="120" w:after="120"/>
              <w:rPr>
                <w:rFonts w:asciiTheme="minorHAnsi" w:hAnsiTheme="minorHAnsi"/>
              </w:rPr>
            </w:pPr>
            <w:r w:rsidRPr="004B66FD">
              <w:rPr>
                <w:rFonts w:asciiTheme="minorHAnsi" w:hAnsiTheme="minorHAnsi"/>
              </w:rPr>
              <w:t>A fu</w:t>
            </w:r>
            <w:r>
              <w:rPr>
                <w:rFonts w:asciiTheme="minorHAnsi" w:hAnsiTheme="minorHAnsi"/>
              </w:rPr>
              <w:t>r</w:t>
            </w:r>
            <w:r w:rsidRPr="004B66FD">
              <w:rPr>
                <w:rFonts w:asciiTheme="minorHAnsi" w:hAnsiTheme="minorHAnsi"/>
              </w:rPr>
              <w:t xml:space="preserve">ther uncontrolled retrospective description of 12 individuals with PANDAS described benefit when using 2g/kg of </w:t>
            </w:r>
            <w:r w:rsidR="0029539F">
              <w:rPr>
                <w:rFonts w:asciiTheme="minorHAnsi" w:hAnsiTheme="minorHAnsi"/>
              </w:rPr>
              <w:t>IVIg</w:t>
            </w:r>
            <w:r w:rsidRPr="004B66FD">
              <w:rPr>
                <w:rFonts w:asciiTheme="minorHAnsi" w:hAnsiTheme="minorHAnsi"/>
              </w:rPr>
              <w:t xml:space="preserve"> in the f</w:t>
            </w:r>
            <w:r w:rsidR="00FA2F78">
              <w:rPr>
                <w:rFonts w:asciiTheme="minorHAnsi" w:hAnsiTheme="minorHAnsi"/>
              </w:rPr>
              <w:t xml:space="preserve">irst course or 1-1.5g/kg of </w:t>
            </w:r>
            <w:r w:rsidR="00164233">
              <w:rPr>
                <w:rFonts w:asciiTheme="minorHAnsi" w:hAnsiTheme="minorHAnsi"/>
              </w:rPr>
              <w:t>IVIg</w:t>
            </w:r>
            <w:r w:rsidRPr="004B66FD">
              <w:rPr>
                <w:rFonts w:asciiTheme="minorHAnsi" w:hAnsiTheme="minorHAnsi"/>
              </w:rPr>
              <w:t xml:space="preserve"> for further doses.    </w:t>
            </w:r>
          </w:p>
          <w:p w:rsidR="004B66FD" w:rsidRPr="004B66FD" w:rsidRDefault="004B66FD" w:rsidP="004B66FD">
            <w:pPr>
              <w:spacing w:before="120" w:after="120"/>
              <w:rPr>
                <w:rFonts w:asciiTheme="minorHAnsi" w:hAnsiTheme="minorHAnsi"/>
              </w:rPr>
            </w:pPr>
          </w:p>
          <w:p w:rsidR="00AB120F" w:rsidRPr="00447869" w:rsidRDefault="004B66FD" w:rsidP="004B66FD">
            <w:pPr>
              <w:spacing w:before="120" w:after="120"/>
              <w:rPr>
                <w:rFonts w:asciiTheme="minorHAnsi" w:hAnsiTheme="minorHAnsi"/>
              </w:rPr>
            </w:pPr>
            <w:r w:rsidRPr="004B66FD">
              <w:rPr>
                <w:rFonts w:asciiTheme="minorHAnsi" w:hAnsiTheme="minorHAnsi"/>
              </w:rPr>
              <w:t xml:space="preserve">The single randomised controlled trial supported the use of </w:t>
            </w:r>
            <w:r w:rsidR="0029539F">
              <w:rPr>
                <w:rFonts w:asciiTheme="minorHAnsi" w:hAnsiTheme="minorHAnsi"/>
              </w:rPr>
              <w:t>IVIg</w:t>
            </w:r>
            <w:r w:rsidRPr="004B66FD">
              <w:rPr>
                <w:rFonts w:asciiTheme="minorHAnsi" w:hAnsiTheme="minorHAnsi"/>
              </w:rPr>
              <w:t xml:space="preserve"> in PANDAS. However there has been no further study to confirm this finding.</w:t>
            </w:r>
          </w:p>
        </w:tc>
        <w:tc>
          <w:tcPr>
            <w:tcW w:w="4394" w:type="dxa"/>
          </w:tcPr>
          <w:p w:rsidR="00AB120F" w:rsidRPr="00C92149" w:rsidRDefault="00FA2F78" w:rsidP="009D6A30">
            <w:pPr>
              <w:spacing w:before="120" w:after="120"/>
              <w:rPr>
                <w:rFonts w:asciiTheme="minorHAnsi" w:hAnsiTheme="minorHAnsi"/>
                <w:szCs w:val="20"/>
              </w:rPr>
            </w:pPr>
            <w:r>
              <w:rPr>
                <w:rFonts w:asciiTheme="minorHAnsi" w:hAnsiTheme="minorHAnsi"/>
                <w:szCs w:val="20"/>
              </w:rPr>
              <w:lastRenderedPageBreak/>
              <w:t xml:space="preserve">Redrafted </w:t>
            </w:r>
            <w:r w:rsidR="009D6A30">
              <w:rPr>
                <w:rFonts w:asciiTheme="minorHAnsi" w:hAnsiTheme="minorHAnsi"/>
                <w:szCs w:val="20"/>
              </w:rPr>
              <w:t>after consultation of</w:t>
            </w:r>
            <w:r>
              <w:rPr>
                <w:rFonts w:asciiTheme="minorHAnsi" w:hAnsiTheme="minorHAnsi"/>
                <w:szCs w:val="20"/>
              </w:rPr>
              <w:t xml:space="preserve"> the literature. Some of the previous content is now covered within the “Description and Diagnostic </w:t>
            </w:r>
            <w:r>
              <w:rPr>
                <w:rFonts w:asciiTheme="minorHAnsi" w:hAnsiTheme="minorHAnsi"/>
                <w:szCs w:val="20"/>
              </w:rPr>
              <w:lastRenderedPageBreak/>
              <w:t>Criteria”</w:t>
            </w:r>
          </w:p>
        </w:tc>
      </w:tr>
      <w:tr w:rsidR="00AB120F" w:rsidRPr="00447869" w:rsidTr="00FD1CBB">
        <w:tc>
          <w:tcPr>
            <w:tcW w:w="1560" w:type="dxa"/>
            <w:shd w:val="clear" w:color="auto" w:fill="D9D9D9" w:themeFill="background1" w:themeFillShade="D9"/>
          </w:tcPr>
          <w:p w:rsidR="00AB120F" w:rsidRPr="000447FE" w:rsidRDefault="00AB120F" w:rsidP="000447FE">
            <w:pPr>
              <w:rPr>
                <w:b/>
              </w:rPr>
            </w:pPr>
            <w:r w:rsidRPr="000447FE">
              <w:rPr>
                <w:b/>
              </w:rPr>
              <w:lastRenderedPageBreak/>
              <w:t>Indications</w:t>
            </w:r>
          </w:p>
        </w:tc>
        <w:tc>
          <w:tcPr>
            <w:tcW w:w="3119" w:type="dxa"/>
          </w:tcPr>
          <w:p w:rsidR="00AB120F" w:rsidRPr="00447869" w:rsidRDefault="00AB120F" w:rsidP="00CE69D0">
            <w:pPr>
              <w:spacing w:before="120" w:after="120"/>
              <w:rPr>
                <w:rFonts w:asciiTheme="minorHAnsi" w:hAnsiTheme="minorHAnsi"/>
              </w:rPr>
            </w:pPr>
            <w:r>
              <w:t xml:space="preserve"> </w:t>
            </w:r>
          </w:p>
        </w:tc>
        <w:tc>
          <w:tcPr>
            <w:tcW w:w="5528" w:type="dxa"/>
            <w:gridSpan w:val="3"/>
          </w:tcPr>
          <w:p w:rsidR="00AB120F" w:rsidRPr="00B8036A" w:rsidRDefault="00341D20" w:rsidP="00CE69D0">
            <w:pPr>
              <w:spacing w:before="120" w:after="120"/>
              <w:rPr>
                <w:rFonts w:asciiTheme="minorHAnsi" w:hAnsiTheme="minorHAnsi"/>
                <w:b/>
              </w:rPr>
            </w:pPr>
            <w:r w:rsidRPr="00B8036A">
              <w:rPr>
                <w:rFonts w:asciiTheme="minorHAnsi" w:hAnsiTheme="minorHAnsi"/>
                <w:b/>
              </w:rPr>
              <w:t>PANDAS or PANS unresponsive to trial of antibiotic therapy, and significant impairment requiring intervention.</w:t>
            </w:r>
          </w:p>
        </w:tc>
        <w:tc>
          <w:tcPr>
            <w:tcW w:w="4394" w:type="dxa"/>
          </w:tcPr>
          <w:p w:rsidR="00AB120F" w:rsidRPr="00195705" w:rsidRDefault="00AB120F" w:rsidP="00CE69D0">
            <w:pPr>
              <w:spacing w:before="120" w:after="120"/>
              <w:rPr>
                <w:szCs w:val="20"/>
              </w:rPr>
            </w:pPr>
            <w:r w:rsidRPr="00195705">
              <w:rPr>
                <w:szCs w:val="20"/>
              </w:rPr>
              <w:t xml:space="preserve"> </w:t>
            </w:r>
            <w:r w:rsidR="00195705" w:rsidRPr="00195705">
              <w:rPr>
                <w:szCs w:val="20"/>
              </w:rPr>
              <w:t>The indication has been more clearly described</w:t>
            </w:r>
          </w:p>
        </w:tc>
      </w:tr>
      <w:tr w:rsidR="00BA76E3" w:rsidRPr="00447869" w:rsidTr="00FD1CBB">
        <w:tc>
          <w:tcPr>
            <w:tcW w:w="1560" w:type="dxa"/>
            <w:shd w:val="clear" w:color="auto" w:fill="D9D9D9" w:themeFill="background1" w:themeFillShade="D9"/>
          </w:tcPr>
          <w:p w:rsidR="00BA76E3" w:rsidRPr="00447869" w:rsidRDefault="00BA76E3" w:rsidP="00282F66">
            <w:pPr>
              <w:spacing w:before="120" w:after="120"/>
              <w:rPr>
                <w:rFonts w:asciiTheme="minorHAnsi" w:hAnsiTheme="minorHAnsi"/>
                <w:b/>
              </w:rPr>
            </w:pPr>
            <w:r w:rsidRPr="00447869">
              <w:rPr>
                <w:rFonts w:asciiTheme="minorHAnsi" w:hAnsiTheme="minorHAnsi"/>
                <w:b/>
              </w:rPr>
              <w:t>Description and Diagnostic Criteria</w:t>
            </w:r>
          </w:p>
          <w:p w:rsidR="00BA76E3" w:rsidRPr="00447869" w:rsidRDefault="00BA76E3" w:rsidP="00282F66">
            <w:pPr>
              <w:spacing w:before="120" w:after="120"/>
              <w:rPr>
                <w:rFonts w:asciiTheme="minorHAnsi" w:hAnsiTheme="minorHAnsi"/>
              </w:rPr>
            </w:pPr>
          </w:p>
        </w:tc>
        <w:tc>
          <w:tcPr>
            <w:tcW w:w="3119" w:type="dxa"/>
          </w:tcPr>
          <w:p w:rsidR="008515FF" w:rsidRPr="004A10A2" w:rsidRDefault="00282F66" w:rsidP="008515FF">
            <w:pPr>
              <w:spacing w:after="225" w:line="293" w:lineRule="atLeast"/>
              <w:rPr>
                <w:rFonts w:asciiTheme="minorHAnsi" w:eastAsiaTheme="minorHAnsi" w:hAnsiTheme="minorHAnsi" w:cs="Times New Roman"/>
                <w:color w:val="000000"/>
              </w:rPr>
            </w:pPr>
            <w:r w:rsidRPr="003A1F9D">
              <w:rPr>
                <w:rFonts w:asciiTheme="minorHAnsi" w:eastAsiaTheme="minorHAnsi" w:hAnsiTheme="minorHAnsi" w:cs="Times New Roman"/>
                <w:color w:val="000000"/>
              </w:rPr>
              <w:t xml:space="preserve"> </w:t>
            </w:r>
          </w:p>
          <w:p w:rsidR="00BA76E3" w:rsidRPr="00447869" w:rsidRDefault="00BA76E3" w:rsidP="008515FF">
            <w:pPr>
              <w:pStyle w:val="heading"/>
              <w:spacing w:before="0" w:beforeAutospacing="0" w:after="225" w:afterAutospacing="0" w:line="293" w:lineRule="atLeast"/>
              <w:rPr>
                <w:rFonts w:asciiTheme="minorHAnsi" w:hAnsiTheme="minorHAnsi"/>
              </w:rPr>
            </w:pPr>
          </w:p>
        </w:tc>
        <w:tc>
          <w:tcPr>
            <w:tcW w:w="5528" w:type="dxa"/>
            <w:gridSpan w:val="3"/>
          </w:tcPr>
          <w:p w:rsidR="00341D20" w:rsidRPr="00341D20" w:rsidRDefault="00282F66" w:rsidP="00341D20">
            <w:pPr>
              <w:rPr>
                <w:rFonts w:asciiTheme="minorHAnsi" w:eastAsia="Times New Roman" w:hAnsiTheme="minorHAnsi" w:cs="Times New Roman"/>
                <w:color w:val="000000"/>
                <w:lang w:eastAsia="en-AU"/>
              </w:rPr>
            </w:pPr>
            <w:r w:rsidRPr="00282F66">
              <w:rPr>
                <w:rFonts w:asciiTheme="minorHAnsi" w:eastAsia="Times New Roman" w:hAnsiTheme="minorHAnsi" w:cs="Times New Roman"/>
                <w:color w:val="000000"/>
                <w:lang w:eastAsia="en-AU"/>
              </w:rPr>
              <w:t xml:space="preserve"> </w:t>
            </w:r>
            <w:r w:rsidR="00341D20" w:rsidRPr="00341D20">
              <w:rPr>
                <w:rFonts w:asciiTheme="minorHAnsi" w:eastAsia="Times New Roman" w:hAnsiTheme="minorHAnsi" w:cs="Times New Roman"/>
                <w:color w:val="000000"/>
                <w:lang w:eastAsia="en-AU"/>
              </w:rPr>
              <w:t xml:space="preserve">PANDAS was first described in the early 1990s. PANDAS is characterised by rapid-onset tics associated with obsessive- compulsive disorder (OCD) in the context of recent streptococcal infection. Molecular mimicry between streptococcal antigens and the central nervous system is thought to underlie the cause. Symptomatic therapy is </w:t>
            </w:r>
            <w:r w:rsidR="00341D20" w:rsidRPr="00341D20">
              <w:rPr>
                <w:rFonts w:asciiTheme="minorHAnsi" w:eastAsia="Times New Roman" w:hAnsiTheme="minorHAnsi" w:cs="Times New Roman"/>
                <w:color w:val="000000"/>
                <w:lang w:eastAsia="en-AU"/>
              </w:rPr>
              <w:lastRenderedPageBreak/>
              <w:t>used with variable response.</w:t>
            </w:r>
          </w:p>
          <w:p w:rsidR="00341D20" w:rsidRPr="00341D20" w:rsidRDefault="00341D20" w:rsidP="00341D20">
            <w:pPr>
              <w:rPr>
                <w:rFonts w:asciiTheme="minorHAnsi" w:eastAsia="Times New Roman" w:hAnsiTheme="minorHAnsi" w:cs="Times New Roman"/>
                <w:color w:val="000000"/>
                <w:lang w:eastAsia="en-AU"/>
              </w:rPr>
            </w:pPr>
            <w:r w:rsidRPr="00341D20">
              <w:rPr>
                <w:rFonts w:asciiTheme="minorHAnsi" w:eastAsia="Times New Roman" w:hAnsiTheme="minorHAnsi" w:cs="Times New Roman"/>
                <w:color w:val="000000"/>
                <w:lang w:eastAsia="en-AU"/>
              </w:rPr>
              <w:t>It has been observed that streptococcal infection is not the only trigger of acute neuropsychiatric disorders, but other infectious agents can also trigger acute neuropsychiatric events. For this reason, the term PANS was added.</w:t>
            </w:r>
          </w:p>
          <w:p w:rsidR="00341D20" w:rsidRPr="00341D20" w:rsidRDefault="00341D20" w:rsidP="00341D20">
            <w:pPr>
              <w:rPr>
                <w:rFonts w:asciiTheme="minorHAnsi" w:eastAsia="Times New Roman" w:hAnsiTheme="minorHAnsi" w:cs="Times New Roman"/>
                <w:color w:val="000000"/>
                <w:lang w:eastAsia="en-AU"/>
              </w:rPr>
            </w:pPr>
          </w:p>
          <w:p w:rsidR="00341D20" w:rsidRDefault="00341D20" w:rsidP="00341D20">
            <w:pPr>
              <w:rPr>
                <w:rFonts w:asciiTheme="minorHAnsi" w:eastAsia="Times New Roman" w:hAnsiTheme="minorHAnsi" w:cs="Times New Roman"/>
                <w:color w:val="000000"/>
                <w:lang w:eastAsia="en-AU"/>
              </w:rPr>
            </w:pPr>
            <w:r w:rsidRPr="00341D20">
              <w:rPr>
                <w:rFonts w:asciiTheme="minorHAnsi" w:eastAsia="Times New Roman" w:hAnsiTheme="minorHAnsi" w:cs="Times New Roman"/>
                <w:color w:val="000000"/>
                <w:lang w:eastAsia="en-AU"/>
              </w:rPr>
              <w:t xml:space="preserve">PANDAS and PANS have remained controversial entities, partly due to the absence of a reliable and available biomarker. The diagnosis remains based upon the clinical syndrome. The hallmark of these diseases is the very rapid acute onset of emotional lability, OCD, tics and a ‘change in behaviour’ that occurs in the days or weeks after an infectious trigger. </w:t>
            </w:r>
          </w:p>
          <w:p w:rsidR="0011109B" w:rsidRPr="00341D20" w:rsidRDefault="0011109B" w:rsidP="00341D20">
            <w:pPr>
              <w:rPr>
                <w:rFonts w:asciiTheme="minorHAnsi" w:eastAsia="Times New Roman" w:hAnsiTheme="minorHAnsi" w:cs="Times New Roman"/>
                <w:color w:val="000000"/>
                <w:lang w:eastAsia="en-AU"/>
              </w:rPr>
            </w:pPr>
          </w:p>
          <w:p w:rsidR="00341D20" w:rsidRPr="00341D20" w:rsidRDefault="00341D20" w:rsidP="00341D20">
            <w:pPr>
              <w:rPr>
                <w:rFonts w:asciiTheme="minorHAnsi" w:eastAsia="Times New Roman" w:hAnsiTheme="minorHAnsi" w:cs="Times New Roman"/>
                <w:color w:val="000000"/>
                <w:lang w:eastAsia="en-AU"/>
              </w:rPr>
            </w:pPr>
            <w:r w:rsidRPr="00341D20">
              <w:rPr>
                <w:rFonts w:asciiTheme="minorHAnsi" w:eastAsia="Times New Roman" w:hAnsiTheme="minorHAnsi" w:cs="Times New Roman"/>
                <w:color w:val="000000"/>
                <w:lang w:eastAsia="en-AU"/>
              </w:rPr>
              <w:t>Swedo et al</w:t>
            </w:r>
            <w:r w:rsidR="000447FE">
              <w:rPr>
                <w:rFonts w:asciiTheme="minorHAnsi" w:eastAsia="Times New Roman" w:hAnsiTheme="minorHAnsi" w:cs="Times New Roman"/>
                <w:color w:val="000000"/>
                <w:lang w:eastAsia="en-AU"/>
              </w:rPr>
              <w:t xml:space="preserve"> (1998)</w:t>
            </w:r>
            <w:r w:rsidRPr="00341D20">
              <w:rPr>
                <w:rFonts w:asciiTheme="minorHAnsi" w:eastAsia="Times New Roman" w:hAnsiTheme="minorHAnsi" w:cs="Times New Roman"/>
                <w:color w:val="000000"/>
                <w:lang w:eastAsia="en-AU"/>
              </w:rPr>
              <w:t xml:space="preserve"> define the presentation: </w:t>
            </w:r>
          </w:p>
          <w:p w:rsidR="00341D20" w:rsidRPr="00341D20" w:rsidRDefault="00341D20" w:rsidP="00341D20">
            <w:pPr>
              <w:rPr>
                <w:rFonts w:asciiTheme="minorHAnsi" w:eastAsia="Times New Roman" w:hAnsiTheme="minorHAnsi" w:cs="Times New Roman"/>
                <w:color w:val="000000"/>
                <w:lang w:eastAsia="en-AU"/>
              </w:rPr>
            </w:pPr>
            <w:r w:rsidRPr="00341D20">
              <w:rPr>
                <w:rFonts w:asciiTheme="minorHAnsi" w:eastAsia="Times New Roman" w:hAnsiTheme="minorHAnsi" w:cs="Times New Roman"/>
                <w:color w:val="000000"/>
                <w:lang w:eastAsia="en-AU"/>
              </w:rPr>
              <w:t xml:space="preserve">I.  Abrupt, dramatic onset of obsessive-compulsive disorder or severely restricted food intake </w:t>
            </w:r>
          </w:p>
          <w:p w:rsidR="00341D20" w:rsidRPr="00341D20" w:rsidRDefault="00341D20" w:rsidP="00341D20">
            <w:pPr>
              <w:rPr>
                <w:rFonts w:asciiTheme="minorHAnsi" w:eastAsia="Times New Roman" w:hAnsiTheme="minorHAnsi" w:cs="Times New Roman"/>
                <w:color w:val="000000"/>
                <w:lang w:eastAsia="en-AU"/>
              </w:rPr>
            </w:pPr>
            <w:r w:rsidRPr="00341D20">
              <w:rPr>
                <w:rFonts w:asciiTheme="minorHAnsi" w:eastAsia="Times New Roman" w:hAnsiTheme="minorHAnsi" w:cs="Times New Roman"/>
                <w:color w:val="000000"/>
                <w:lang w:eastAsia="en-AU"/>
              </w:rPr>
              <w:t xml:space="preserve">II. Concurrent presence of additional neuropsychiatric symptoms, (with similarly severe and acute onset), from at least two of the following seven categories: </w:t>
            </w:r>
          </w:p>
          <w:p w:rsidR="00341D20" w:rsidRPr="00341D20" w:rsidRDefault="00341D20" w:rsidP="0011109B">
            <w:pPr>
              <w:ind w:left="459"/>
              <w:rPr>
                <w:rFonts w:asciiTheme="minorHAnsi" w:eastAsia="Times New Roman" w:hAnsiTheme="minorHAnsi" w:cs="Times New Roman"/>
                <w:color w:val="000000"/>
                <w:lang w:eastAsia="en-AU"/>
              </w:rPr>
            </w:pPr>
            <w:r w:rsidRPr="00341D20">
              <w:rPr>
                <w:rFonts w:asciiTheme="minorHAnsi" w:eastAsia="Times New Roman" w:hAnsiTheme="minorHAnsi" w:cs="Times New Roman"/>
                <w:color w:val="000000"/>
                <w:lang w:eastAsia="en-AU"/>
              </w:rPr>
              <w:t>1.</w:t>
            </w:r>
            <w:r w:rsidRPr="00341D20">
              <w:rPr>
                <w:rFonts w:asciiTheme="minorHAnsi" w:eastAsia="Times New Roman" w:hAnsiTheme="minorHAnsi" w:cs="Times New Roman"/>
                <w:color w:val="000000"/>
                <w:lang w:eastAsia="en-AU"/>
              </w:rPr>
              <w:tab/>
              <w:t xml:space="preserve">Anxiety </w:t>
            </w:r>
          </w:p>
          <w:p w:rsidR="00341D20" w:rsidRPr="00341D20" w:rsidRDefault="00341D20" w:rsidP="0011109B">
            <w:pPr>
              <w:ind w:left="459"/>
              <w:rPr>
                <w:rFonts w:asciiTheme="minorHAnsi" w:eastAsia="Times New Roman" w:hAnsiTheme="minorHAnsi" w:cs="Times New Roman"/>
                <w:color w:val="000000"/>
                <w:lang w:eastAsia="en-AU"/>
              </w:rPr>
            </w:pPr>
            <w:r w:rsidRPr="00341D20">
              <w:rPr>
                <w:rFonts w:asciiTheme="minorHAnsi" w:eastAsia="Times New Roman" w:hAnsiTheme="minorHAnsi" w:cs="Times New Roman"/>
                <w:color w:val="000000"/>
                <w:lang w:eastAsia="en-AU"/>
              </w:rPr>
              <w:t>2.</w:t>
            </w:r>
            <w:r w:rsidRPr="00341D20">
              <w:rPr>
                <w:rFonts w:asciiTheme="minorHAnsi" w:eastAsia="Times New Roman" w:hAnsiTheme="minorHAnsi" w:cs="Times New Roman"/>
                <w:color w:val="000000"/>
                <w:lang w:eastAsia="en-AU"/>
              </w:rPr>
              <w:tab/>
              <w:t>Emotional lability and/or depression</w:t>
            </w:r>
            <w:r w:rsidR="00AF4B66">
              <w:rPr>
                <w:rFonts w:asciiTheme="minorHAnsi" w:eastAsia="Times New Roman" w:hAnsiTheme="minorHAnsi" w:cs="Times New Roman"/>
                <w:color w:val="000000"/>
                <w:lang w:eastAsia="en-AU"/>
              </w:rPr>
              <w:t>, i</w:t>
            </w:r>
            <w:r w:rsidRPr="00341D20">
              <w:rPr>
                <w:rFonts w:asciiTheme="minorHAnsi" w:eastAsia="Times New Roman" w:hAnsiTheme="minorHAnsi" w:cs="Times New Roman"/>
                <w:color w:val="000000"/>
                <w:lang w:eastAsia="en-AU"/>
              </w:rPr>
              <w:t>rritability, aggression, and/or severely oppositional behavio</w:t>
            </w:r>
            <w:r w:rsidR="00AF4B66">
              <w:rPr>
                <w:rFonts w:asciiTheme="minorHAnsi" w:eastAsia="Times New Roman" w:hAnsiTheme="minorHAnsi" w:cs="Times New Roman"/>
                <w:color w:val="000000"/>
                <w:lang w:eastAsia="en-AU"/>
              </w:rPr>
              <w:t>u</w:t>
            </w:r>
            <w:r w:rsidRPr="00341D20">
              <w:rPr>
                <w:rFonts w:asciiTheme="minorHAnsi" w:eastAsia="Times New Roman" w:hAnsiTheme="minorHAnsi" w:cs="Times New Roman"/>
                <w:color w:val="000000"/>
                <w:lang w:eastAsia="en-AU"/>
              </w:rPr>
              <w:t xml:space="preserve">rs </w:t>
            </w:r>
          </w:p>
          <w:p w:rsidR="00341D20" w:rsidRPr="00341D20" w:rsidRDefault="00341D20" w:rsidP="0011109B">
            <w:pPr>
              <w:ind w:left="459"/>
              <w:rPr>
                <w:rFonts w:asciiTheme="minorHAnsi" w:eastAsia="Times New Roman" w:hAnsiTheme="minorHAnsi" w:cs="Times New Roman"/>
                <w:color w:val="000000"/>
                <w:lang w:eastAsia="en-AU"/>
              </w:rPr>
            </w:pPr>
            <w:r w:rsidRPr="00341D20">
              <w:rPr>
                <w:rFonts w:asciiTheme="minorHAnsi" w:eastAsia="Times New Roman" w:hAnsiTheme="minorHAnsi" w:cs="Times New Roman"/>
                <w:color w:val="000000"/>
                <w:lang w:eastAsia="en-AU"/>
              </w:rPr>
              <w:t>3.</w:t>
            </w:r>
            <w:r w:rsidRPr="00341D20">
              <w:rPr>
                <w:rFonts w:asciiTheme="minorHAnsi" w:eastAsia="Times New Roman" w:hAnsiTheme="minorHAnsi" w:cs="Times New Roman"/>
                <w:color w:val="000000"/>
                <w:lang w:eastAsia="en-AU"/>
              </w:rPr>
              <w:tab/>
            </w:r>
            <w:r w:rsidR="00AF4B66" w:rsidRPr="00341D20">
              <w:rPr>
                <w:rFonts w:asciiTheme="minorHAnsi" w:eastAsia="Times New Roman" w:hAnsiTheme="minorHAnsi" w:cs="Times New Roman"/>
                <w:color w:val="000000"/>
                <w:lang w:eastAsia="en-AU"/>
              </w:rPr>
              <w:t>Behavioural</w:t>
            </w:r>
            <w:r w:rsidR="00AF4B66">
              <w:rPr>
                <w:rFonts w:asciiTheme="minorHAnsi" w:eastAsia="Times New Roman" w:hAnsiTheme="minorHAnsi" w:cs="Times New Roman"/>
                <w:color w:val="000000"/>
                <w:lang w:eastAsia="en-AU"/>
              </w:rPr>
              <w:t xml:space="preserve"> (developmental) regression</w:t>
            </w:r>
            <w:r w:rsidRPr="00341D20">
              <w:rPr>
                <w:rFonts w:ascii="MS Gothic" w:eastAsia="MS Gothic" w:hAnsi="MS Gothic" w:cs="MS Gothic" w:hint="eastAsia"/>
                <w:color w:val="000000"/>
                <w:lang w:eastAsia="en-AU"/>
              </w:rPr>
              <w:t> </w:t>
            </w:r>
          </w:p>
          <w:p w:rsidR="00341D20" w:rsidRPr="00341D20" w:rsidRDefault="00341D20" w:rsidP="0011109B">
            <w:pPr>
              <w:ind w:left="459"/>
              <w:rPr>
                <w:rFonts w:asciiTheme="minorHAnsi" w:eastAsia="Times New Roman" w:hAnsiTheme="minorHAnsi" w:cs="Times New Roman"/>
                <w:color w:val="000000"/>
                <w:lang w:eastAsia="en-AU"/>
              </w:rPr>
            </w:pPr>
            <w:r w:rsidRPr="00341D20">
              <w:rPr>
                <w:rFonts w:asciiTheme="minorHAnsi" w:eastAsia="Times New Roman" w:hAnsiTheme="minorHAnsi" w:cs="Times New Roman"/>
                <w:color w:val="000000"/>
                <w:lang w:eastAsia="en-AU"/>
              </w:rPr>
              <w:t>4.</w:t>
            </w:r>
            <w:r w:rsidRPr="00341D20">
              <w:rPr>
                <w:rFonts w:asciiTheme="minorHAnsi" w:eastAsia="Times New Roman" w:hAnsiTheme="minorHAnsi" w:cs="Times New Roman"/>
                <w:color w:val="000000"/>
                <w:lang w:eastAsia="en-AU"/>
              </w:rPr>
              <w:tab/>
              <w:t>Deterioration in school per</w:t>
            </w:r>
            <w:r w:rsidR="0029539F">
              <w:rPr>
                <w:rFonts w:asciiTheme="minorHAnsi" w:eastAsia="Times New Roman" w:hAnsiTheme="minorHAnsi" w:cs="Times New Roman"/>
                <w:color w:val="000000"/>
                <w:lang w:eastAsia="en-AU"/>
              </w:rPr>
              <w:t>formance (related to attention-</w:t>
            </w:r>
            <w:r w:rsidRPr="00341D20">
              <w:rPr>
                <w:rFonts w:asciiTheme="minorHAnsi" w:eastAsia="Times New Roman" w:hAnsiTheme="minorHAnsi" w:cs="Times New Roman"/>
                <w:color w:val="000000"/>
                <w:lang w:eastAsia="en-AU"/>
              </w:rPr>
              <w:t xml:space="preserve">deficit/hyperactivity disorder [ADHD]-like symptoms, memory deficits, cognitive changes) </w:t>
            </w:r>
            <w:r w:rsidRPr="00341D20">
              <w:rPr>
                <w:rFonts w:ascii="MS Gothic" w:eastAsia="MS Gothic" w:hAnsi="MS Gothic" w:cs="MS Gothic" w:hint="eastAsia"/>
                <w:color w:val="000000"/>
                <w:lang w:eastAsia="en-AU"/>
              </w:rPr>
              <w:t> </w:t>
            </w:r>
          </w:p>
          <w:p w:rsidR="00341D20" w:rsidRPr="00341D20" w:rsidRDefault="00341D20" w:rsidP="0011109B">
            <w:pPr>
              <w:ind w:left="459"/>
              <w:rPr>
                <w:rFonts w:asciiTheme="minorHAnsi" w:eastAsia="Times New Roman" w:hAnsiTheme="minorHAnsi" w:cs="Times New Roman"/>
                <w:color w:val="000000"/>
                <w:lang w:eastAsia="en-AU"/>
              </w:rPr>
            </w:pPr>
            <w:r w:rsidRPr="00341D20">
              <w:rPr>
                <w:rFonts w:asciiTheme="minorHAnsi" w:eastAsia="Times New Roman" w:hAnsiTheme="minorHAnsi" w:cs="Times New Roman"/>
                <w:color w:val="000000"/>
                <w:lang w:eastAsia="en-AU"/>
              </w:rPr>
              <w:t>5.</w:t>
            </w:r>
            <w:r w:rsidRPr="00341D20">
              <w:rPr>
                <w:rFonts w:asciiTheme="minorHAnsi" w:eastAsia="Times New Roman" w:hAnsiTheme="minorHAnsi" w:cs="Times New Roman"/>
                <w:color w:val="000000"/>
                <w:lang w:eastAsia="en-AU"/>
              </w:rPr>
              <w:tab/>
              <w:t xml:space="preserve">Sensory or motor abnormalities </w:t>
            </w:r>
            <w:r w:rsidRPr="00341D20">
              <w:rPr>
                <w:rFonts w:ascii="MS Gothic" w:eastAsia="MS Gothic" w:hAnsi="MS Gothic" w:cs="MS Gothic" w:hint="eastAsia"/>
                <w:color w:val="000000"/>
                <w:lang w:eastAsia="en-AU"/>
              </w:rPr>
              <w:t> </w:t>
            </w:r>
          </w:p>
          <w:p w:rsidR="00341D20" w:rsidRDefault="00341D20" w:rsidP="0011109B">
            <w:pPr>
              <w:ind w:left="459"/>
              <w:rPr>
                <w:rFonts w:ascii="MS Gothic" w:eastAsia="MS Gothic" w:hAnsi="MS Gothic" w:cs="MS Gothic"/>
                <w:color w:val="000000"/>
                <w:lang w:eastAsia="en-AU"/>
              </w:rPr>
            </w:pPr>
            <w:r w:rsidRPr="00341D20">
              <w:rPr>
                <w:rFonts w:asciiTheme="minorHAnsi" w:eastAsia="Times New Roman" w:hAnsiTheme="minorHAnsi" w:cs="Times New Roman"/>
                <w:color w:val="000000"/>
                <w:lang w:eastAsia="en-AU"/>
              </w:rPr>
              <w:t>6.</w:t>
            </w:r>
            <w:r w:rsidRPr="00341D20">
              <w:rPr>
                <w:rFonts w:asciiTheme="minorHAnsi" w:eastAsia="Times New Roman" w:hAnsiTheme="minorHAnsi" w:cs="Times New Roman"/>
                <w:color w:val="000000"/>
                <w:lang w:eastAsia="en-AU"/>
              </w:rPr>
              <w:tab/>
              <w:t xml:space="preserve">Somatic signs and symptoms, including sleep disturbances, enuresis, or urinary frequency </w:t>
            </w:r>
            <w:r w:rsidRPr="00341D20">
              <w:rPr>
                <w:rFonts w:ascii="MS Gothic" w:eastAsia="MS Gothic" w:hAnsi="MS Gothic" w:cs="MS Gothic" w:hint="eastAsia"/>
                <w:color w:val="000000"/>
                <w:lang w:eastAsia="en-AU"/>
              </w:rPr>
              <w:t> </w:t>
            </w:r>
          </w:p>
          <w:p w:rsidR="0011109B" w:rsidRPr="00341D20" w:rsidRDefault="0011109B" w:rsidP="00341D20">
            <w:pPr>
              <w:rPr>
                <w:rFonts w:asciiTheme="minorHAnsi" w:eastAsia="Times New Roman" w:hAnsiTheme="minorHAnsi" w:cs="Times New Roman"/>
                <w:color w:val="000000"/>
                <w:lang w:eastAsia="en-AU"/>
              </w:rPr>
            </w:pPr>
          </w:p>
          <w:p w:rsidR="00341D20" w:rsidRPr="00341D20" w:rsidRDefault="00341D20" w:rsidP="00341D20">
            <w:pPr>
              <w:rPr>
                <w:rFonts w:asciiTheme="minorHAnsi" w:eastAsia="Times New Roman" w:hAnsiTheme="minorHAnsi" w:cs="Times New Roman"/>
                <w:color w:val="000000"/>
                <w:lang w:eastAsia="en-AU"/>
              </w:rPr>
            </w:pPr>
            <w:r w:rsidRPr="00341D20">
              <w:rPr>
                <w:rFonts w:asciiTheme="minorHAnsi" w:eastAsia="Times New Roman" w:hAnsiTheme="minorHAnsi" w:cs="Times New Roman"/>
                <w:color w:val="000000"/>
                <w:lang w:eastAsia="en-AU"/>
              </w:rPr>
              <w:lastRenderedPageBreak/>
              <w:t xml:space="preserve">III. Symptoms are not better explained by a known neurologic or medical disorder. </w:t>
            </w:r>
          </w:p>
          <w:p w:rsidR="00341D20" w:rsidRPr="00341D20" w:rsidRDefault="00341D20" w:rsidP="00341D20">
            <w:pPr>
              <w:rPr>
                <w:rFonts w:asciiTheme="minorHAnsi" w:eastAsia="Times New Roman" w:hAnsiTheme="minorHAnsi" w:cs="Times New Roman"/>
                <w:color w:val="000000"/>
                <w:lang w:eastAsia="en-AU"/>
              </w:rPr>
            </w:pPr>
          </w:p>
          <w:p w:rsidR="00341D20" w:rsidRPr="00341D20" w:rsidRDefault="00341D20" w:rsidP="00341D20">
            <w:pPr>
              <w:rPr>
                <w:rFonts w:asciiTheme="minorHAnsi" w:eastAsia="Times New Roman" w:hAnsiTheme="minorHAnsi" w:cs="Times New Roman"/>
                <w:color w:val="000000"/>
                <w:lang w:eastAsia="en-AU"/>
              </w:rPr>
            </w:pPr>
            <w:r w:rsidRPr="00341D20">
              <w:rPr>
                <w:rFonts w:asciiTheme="minorHAnsi" w:eastAsia="Times New Roman" w:hAnsiTheme="minorHAnsi" w:cs="Times New Roman"/>
                <w:color w:val="000000"/>
                <w:lang w:eastAsia="en-AU"/>
              </w:rPr>
              <w:t xml:space="preserve">Unlike Tourette syndrome and idiopathic OCD (which tend to wax and wane in severity), PANDAS and PANS have a ‘shark tooth’ pattern of disease severity with infection triggered severe episodes, followed by complete remissions. The episodes tend to reoccur, and the ability to achieve complete remissions tends to decline with time, resulting in potential persistent symptoms. </w:t>
            </w:r>
          </w:p>
          <w:p w:rsidR="00341D20" w:rsidRPr="00341D20" w:rsidRDefault="00341D20" w:rsidP="00341D20">
            <w:pPr>
              <w:rPr>
                <w:rFonts w:asciiTheme="minorHAnsi" w:eastAsia="Times New Roman" w:hAnsiTheme="minorHAnsi" w:cs="Times New Roman"/>
                <w:color w:val="000000"/>
                <w:lang w:eastAsia="en-AU"/>
              </w:rPr>
            </w:pPr>
            <w:r w:rsidRPr="00341D20">
              <w:rPr>
                <w:rFonts w:asciiTheme="minorHAnsi" w:eastAsia="Times New Roman" w:hAnsiTheme="minorHAnsi" w:cs="Times New Roman"/>
                <w:color w:val="000000"/>
                <w:lang w:eastAsia="en-AU"/>
              </w:rPr>
              <w:t xml:space="preserve">PANDAS and PANS are probably rare conditions, and it is important to distinguish the entity from ‘idiopathic’ Tourette syndrome or OCD. The hallmark of the disease remains the infection triggered acute onset of neuropsychiatric change. A trial of antibiotics can be used first but if this is inadequate, and the patient is significantly impaired, a trial of steroid, or </w:t>
            </w:r>
            <w:r w:rsidR="00164233">
              <w:rPr>
                <w:rFonts w:asciiTheme="minorHAnsi" w:eastAsia="Times New Roman" w:hAnsiTheme="minorHAnsi" w:cs="Times New Roman"/>
                <w:color w:val="000000"/>
                <w:lang w:eastAsia="en-AU"/>
              </w:rPr>
              <w:t>IVI</w:t>
            </w:r>
            <w:r w:rsidR="00DF54C9">
              <w:rPr>
                <w:rFonts w:asciiTheme="minorHAnsi" w:eastAsia="Times New Roman" w:hAnsiTheme="minorHAnsi" w:cs="Times New Roman"/>
                <w:color w:val="000000"/>
                <w:lang w:eastAsia="en-AU"/>
              </w:rPr>
              <w:t>g</w:t>
            </w:r>
            <w:r w:rsidRPr="00341D20">
              <w:rPr>
                <w:rFonts w:asciiTheme="minorHAnsi" w:eastAsia="Times New Roman" w:hAnsiTheme="minorHAnsi" w:cs="Times New Roman"/>
                <w:color w:val="000000"/>
                <w:lang w:eastAsia="en-AU"/>
              </w:rPr>
              <w:t xml:space="preserve"> can be considered. </w:t>
            </w:r>
          </w:p>
          <w:p w:rsidR="00341D20" w:rsidRPr="00341D20" w:rsidRDefault="00341D20" w:rsidP="00341D20">
            <w:pPr>
              <w:rPr>
                <w:rFonts w:asciiTheme="minorHAnsi" w:eastAsia="Times New Roman" w:hAnsiTheme="minorHAnsi" w:cs="Times New Roman"/>
                <w:color w:val="000000"/>
                <w:lang w:eastAsia="en-AU"/>
              </w:rPr>
            </w:pPr>
            <w:r w:rsidRPr="00341D20">
              <w:rPr>
                <w:rFonts w:asciiTheme="minorHAnsi" w:eastAsia="Times New Roman" w:hAnsiTheme="minorHAnsi" w:cs="Times New Roman"/>
                <w:color w:val="000000"/>
                <w:lang w:eastAsia="en-AU"/>
              </w:rPr>
              <w:t>A consensus definition of PANS was proposed in 2015 although the definition has not been tested by independent observers (Chang et al</w:t>
            </w:r>
            <w:r w:rsidR="000447FE">
              <w:rPr>
                <w:rFonts w:asciiTheme="minorHAnsi" w:eastAsia="Times New Roman" w:hAnsiTheme="minorHAnsi" w:cs="Times New Roman"/>
                <w:color w:val="000000"/>
                <w:lang w:eastAsia="en-AU"/>
              </w:rPr>
              <w:t>, 2015</w:t>
            </w:r>
            <w:r w:rsidRPr="00341D20">
              <w:rPr>
                <w:rFonts w:asciiTheme="minorHAnsi" w:eastAsia="Times New Roman" w:hAnsiTheme="minorHAnsi" w:cs="Times New Roman"/>
                <w:color w:val="000000"/>
                <w:lang w:eastAsia="en-AU"/>
              </w:rPr>
              <w:t xml:space="preserve">). </w:t>
            </w:r>
          </w:p>
          <w:p w:rsidR="00BA76E3" w:rsidRPr="00FA2F78" w:rsidRDefault="00341D20" w:rsidP="00FA2F78">
            <w:pPr>
              <w:rPr>
                <w:rFonts w:asciiTheme="minorHAnsi" w:eastAsia="Times New Roman" w:hAnsiTheme="minorHAnsi" w:cs="Times New Roman"/>
                <w:color w:val="000000"/>
                <w:lang w:eastAsia="en-AU"/>
              </w:rPr>
            </w:pPr>
            <w:r w:rsidRPr="00341D20">
              <w:rPr>
                <w:rFonts w:asciiTheme="minorHAnsi" w:eastAsia="Times New Roman" w:hAnsiTheme="minorHAnsi" w:cs="Times New Roman"/>
                <w:color w:val="000000"/>
                <w:lang w:eastAsia="en-AU"/>
              </w:rPr>
              <w:t xml:space="preserve">Given the rarity and controversy of the entities, it is recommended to seek second opinion from </w:t>
            </w:r>
            <w:r w:rsidR="0029539F">
              <w:rPr>
                <w:rFonts w:asciiTheme="minorHAnsi" w:eastAsia="Times New Roman" w:hAnsiTheme="minorHAnsi" w:cs="Times New Roman"/>
                <w:color w:val="000000"/>
                <w:lang w:eastAsia="en-AU"/>
              </w:rPr>
              <w:t>specialists</w:t>
            </w:r>
            <w:r w:rsidRPr="00341D20">
              <w:rPr>
                <w:rFonts w:asciiTheme="minorHAnsi" w:eastAsia="Times New Roman" w:hAnsiTheme="minorHAnsi" w:cs="Times New Roman"/>
                <w:color w:val="000000"/>
                <w:lang w:eastAsia="en-AU"/>
              </w:rPr>
              <w:t xml:space="preserve"> with expertise in the field.</w:t>
            </w:r>
          </w:p>
        </w:tc>
        <w:tc>
          <w:tcPr>
            <w:tcW w:w="4394" w:type="dxa"/>
          </w:tcPr>
          <w:p w:rsidR="00BA76E3" w:rsidRPr="00C92149" w:rsidRDefault="009B7E81" w:rsidP="009B7E81">
            <w:pPr>
              <w:spacing w:before="120" w:after="120"/>
              <w:rPr>
                <w:rFonts w:asciiTheme="minorHAnsi" w:hAnsiTheme="minorHAnsi"/>
                <w:sz w:val="20"/>
                <w:szCs w:val="20"/>
              </w:rPr>
            </w:pPr>
            <w:r w:rsidRPr="009B7E81">
              <w:rPr>
                <w:rFonts w:asciiTheme="minorHAnsi" w:hAnsiTheme="minorHAnsi"/>
                <w:szCs w:val="20"/>
              </w:rPr>
              <w:lastRenderedPageBreak/>
              <w:t xml:space="preserve">A detailed description of the disorder has been drafted </w:t>
            </w:r>
            <w:r>
              <w:rPr>
                <w:rFonts w:asciiTheme="minorHAnsi" w:hAnsiTheme="minorHAnsi"/>
                <w:szCs w:val="20"/>
              </w:rPr>
              <w:t xml:space="preserve">based on the best available evidence </w:t>
            </w:r>
            <w:r w:rsidRPr="009B7E81">
              <w:rPr>
                <w:rFonts w:asciiTheme="minorHAnsi" w:hAnsiTheme="minorHAnsi"/>
                <w:szCs w:val="20"/>
              </w:rPr>
              <w:t xml:space="preserve">to assist in appropriate </w:t>
            </w:r>
            <w:r>
              <w:rPr>
                <w:rFonts w:asciiTheme="minorHAnsi" w:hAnsiTheme="minorHAnsi"/>
                <w:szCs w:val="20"/>
              </w:rPr>
              <w:t xml:space="preserve">differential diagnosis of this condition from the more common disorders of Tourette’s syndrome </w:t>
            </w:r>
            <w:r>
              <w:rPr>
                <w:rFonts w:asciiTheme="minorHAnsi" w:hAnsiTheme="minorHAnsi"/>
                <w:szCs w:val="20"/>
              </w:rPr>
              <w:lastRenderedPageBreak/>
              <w:t xml:space="preserve">and idiopathic obsessive-compulsive disorder. </w:t>
            </w:r>
          </w:p>
        </w:tc>
      </w:tr>
      <w:tr w:rsidR="00447869" w:rsidRPr="00853117" w:rsidTr="00FA2F78">
        <w:tc>
          <w:tcPr>
            <w:tcW w:w="1560" w:type="dxa"/>
            <w:shd w:val="clear" w:color="auto" w:fill="D9D9D9" w:themeFill="background1" w:themeFillShade="D9"/>
          </w:tcPr>
          <w:p w:rsidR="00447869" w:rsidRPr="00447869" w:rsidRDefault="00447869" w:rsidP="00021243">
            <w:pPr>
              <w:spacing w:before="120" w:after="120"/>
              <w:rPr>
                <w:rFonts w:asciiTheme="minorHAnsi" w:hAnsiTheme="minorHAnsi"/>
                <w:b/>
              </w:rPr>
            </w:pPr>
            <w:r w:rsidRPr="00447869">
              <w:rPr>
                <w:rFonts w:asciiTheme="minorHAnsi" w:hAnsiTheme="minorHAnsi"/>
                <w:b/>
              </w:rPr>
              <w:lastRenderedPageBreak/>
              <w:t>Diagnosis is required</w:t>
            </w:r>
          </w:p>
        </w:tc>
        <w:tc>
          <w:tcPr>
            <w:tcW w:w="3119" w:type="dxa"/>
            <w:vMerge w:val="restart"/>
          </w:tcPr>
          <w:p w:rsidR="00447869" w:rsidRPr="00447869" w:rsidRDefault="00282F66" w:rsidP="00021243">
            <w:pPr>
              <w:spacing w:before="120" w:after="120"/>
              <w:rPr>
                <w:rFonts w:asciiTheme="minorHAnsi" w:hAnsiTheme="minorHAnsi"/>
                <w:b/>
              </w:rPr>
            </w:pPr>
            <w:r>
              <w:t xml:space="preserve"> </w:t>
            </w:r>
          </w:p>
        </w:tc>
        <w:tc>
          <w:tcPr>
            <w:tcW w:w="1842" w:type="dxa"/>
          </w:tcPr>
          <w:p w:rsidR="00447869" w:rsidRPr="00447869" w:rsidRDefault="00341D20" w:rsidP="00021243">
            <w:pPr>
              <w:spacing w:before="120" w:after="120"/>
              <w:rPr>
                <w:rFonts w:asciiTheme="minorHAnsi" w:hAnsiTheme="minorHAnsi"/>
              </w:rPr>
            </w:pPr>
            <w:r>
              <w:rPr>
                <w:rFonts w:asciiTheme="minorHAnsi" w:hAnsiTheme="minorHAnsi"/>
              </w:rPr>
              <w:t>Yes</w:t>
            </w:r>
          </w:p>
        </w:tc>
        <w:tc>
          <w:tcPr>
            <w:tcW w:w="1843" w:type="dxa"/>
            <w:shd w:val="clear" w:color="auto" w:fill="BFBFBF" w:themeFill="background1" w:themeFillShade="BF"/>
          </w:tcPr>
          <w:p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1843" w:type="dxa"/>
          </w:tcPr>
          <w:p w:rsidR="00447869" w:rsidRPr="00447869" w:rsidRDefault="000447FE" w:rsidP="00021243">
            <w:pPr>
              <w:spacing w:before="120" w:after="120"/>
              <w:rPr>
                <w:rFonts w:asciiTheme="minorHAnsi" w:hAnsiTheme="minorHAnsi"/>
              </w:rPr>
            </w:pPr>
            <w:r>
              <w:rPr>
                <w:rFonts w:asciiTheme="minorHAnsi" w:hAnsiTheme="minorHAnsi"/>
              </w:rPr>
              <w:t xml:space="preserve">Neurologist </w:t>
            </w:r>
            <w:r w:rsidR="00341D20">
              <w:rPr>
                <w:rFonts w:asciiTheme="minorHAnsi" w:hAnsiTheme="minorHAnsi"/>
              </w:rPr>
              <w:t xml:space="preserve"> </w:t>
            </w:r>
            <w:r w:rsidR="00D226E0">
              <w:rPr>
                <w:rFonts w:asciiTheme="minorHAnsi" w:hAnsiTheme="minorHAnsi"/>
              </w:rPr>
              <w:t xml:space="preserve">Clinical </w:t>
            </w:r>
            <w:r w:rsidR="00341D20">
              <w:rPr>
                <w:rFonts w:asciiTheme="minorHAnsi" w:hAnsiTheme="minorHAnsi"/>
              </w:rPr>
              <w:t xml:space="preserve">Immunologist </w:t>
            </w:r>
          </w:p>
        </w:tc>
        <w:tc>
          <w:tcPr>
            <w:tcW w:w="4394" w:type="dxa"/>
            <w:vMerge w:val="restart"/>
          </w:tcPr>
          <w:p w:rsidR="00447869" w:rsidRPr="00C92149" w:rsidRDefault="009B7E81" w:rsidP="009B7E81">
            <w:pPr>
              <w:spacing w:before="120" w:after="120"/>
              <w:ind w:right="90"/>
              <w:rPr>
                <w:rFonts w:asciiTheme="minorHAnsi" w:hAnsiTheme="minorHAnsi"/>
                <w:szCs w:val="20"/>
              </w:rPr>
            </w:pPr>
            <w:r>
              <w:rPr>
                <w:rFonts w:asciiTheme="minorHAnsi" w:hAnsiTheme="minorHAnsi"/>
                <w:szCs w:val="20"/>
              </w:rPr>
              <w:t xml:space="preserve">Diagnosis must now be made by a </w:t>
            </w:r>
            <w:r w:rsidR="00DF54C9">
              <w:rPr>
                <w:rFonts w:asciiTheme="minorHAnsi" w:hAnsiTheme="minorHAnsi"/>
                <w:szCs w:val="20"/>
              </w:rPr>
              <w:t>N</w:t>
            </w:r>
            <w:r>
              <w:rPr>
                <w:rFonts w:asciiTheme="minorHAnsi" w:hAnsiTheme="minorHAnsi"/>
                <w:szCs w:val="20"/>
              </w:rPr>
              <w:t xml:space="preserve">eurologist or a </w:t>
            </w:r>
            <w:r w:rsidR="00D226E0">
              <w:rPr>
                <w:rFonts w:asciiTheme="minorHAnsi" w:hAnsiTheme="minorHAnsi"/>
                <w:szCs w:val="20"/>
              </w:rPr>
              <w:t xml:space="preserve">Clinical </w:t>
            </w:r>
            <w:r w:rsidR="00DF54C9">
              <w:rPr>
                <w:rFonts w:asciiTheme="minorHAnsi" w:hAnsiTheme="minorHAnsi"/>
                <w:szCs w:val="20"/>
              </w:rPr>
              <w:t>I</w:t>
            </w:r>
            <w:r>
              <w:rPr>
                <w:rFonts w:asciiTheme="minorHAnsi" w:hAnsiTheme="minorHAnsi"/>
                <w:szCs w:val="20"/>
              </w:rPr>
              <w:t xml:space="preserve">mmunologist as the underlying cause of the condition is an infection that mimics neural pathways. </w:t>
            </w:r>
          </w:p>
        </w:tc>
      </w:tr>
      <w:tr w:rsidR="00447869" w:rsidRPr="00853117" w:rsidTr="00FA2F78">
        <w:tc>
          <w:tcPr>
            <w:tcW w:w="1560" w:type="dxa"/>
            <w:shd w:val="clear" w:color="auto" w:fill="D9D9D9" w:themeFill="background1" w:themeFillShade="D9"/>
          </w:tcPr>
          <w:p w:rsidR="00447869" w:rsidRPr="00447869" w:rsidRDefault="00447869" w:rsidP="00021243">
            <w:pPr>
              <w:spacing w:before="120" w:after="120"/>
              <w:rPr>
                <w:rFonts w:asciiTheme="minorHAnsi" w:hAnsiTheme="minorHAnsi"/>
                <w:b/>
              </w:rPr>
            </w:pPr>
            <w:r w:rsidRPr="00447869">
              <w:rPr>
                <w:rFonts w:asciiTheme="minorHAnsi" w:hAnsiTheme="minorHAnsi"/>
                <w:b/>
              </w:rPr>
              <w:t>Diagnosis must be verified</w:t>
            </w:r>
          </w:p>
        </w:tc>
        <w:tc>
          <w:tcPr>
            <w:tcW w:w="3119" w:type="dxa"/>
            <w:vMerge/>
          </w:tcPr>
          <w:p w:rsidR="00447869" w:rsidRPr="00447869" w:rsidRDefault="00447869" w:rsidP="00021243">
            <w:pPr>
              <w:spacing w:before="120" w:after="120"/>
              <w:rPr>
                <w:rFonts w:asciiTheme="minorHAnsi" w:hAnsiTheme="minorHAnsi"/>
              </w:rPr>
            </w:pPr>
          </w:p>
        </w:tc>
        <w:tc>
          <w:tcPr>
            <w:tcW w:w="1842" w:type="dxa"/>
          </w:tcPr>
          <w:p w:rsidR="00447869" w:rsidRPr="00447869" w:rsidRDefault="00341D20" w:rsidP="00021243">
            <w:pPr>
              <w:spacing w:before="120" w:after="120"/>
              <w:rPr>
                <w:rFonts w:asciiTheme="minorHAnsi" w:hAnsiTheme="minorHAnsi"/>
              </w:rPr>
            </w:pPr>
            <w:r>
              <w:rPr>
                <w:rFonts w:asciiTheme="minorHAnsi" w:hAnsiTheme="minorHAnsi"/>
              </w:rPr>
              <w:t>No</w:t>
            </w:r>
          </w:p>
        </w:tc>
        <w:tc>
          <w:tcPr>
            <w:tcW w:w="1843" w:type="dxa"/>
            <w:shd w:val="clear" w:color="auto" w:fill="BFBFBF" w:themeFill="background1" w:themeFillShade="BF"/>
          </w:tcPr>
          <w:p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1843" w:type="dxa"/>
          </w:tcPr>
          <w:p w:rsidR="00447869" w:rsidRPr="00447869" w:rsidRDefault="00447869" w:rsidP="00021243">
            <w:pPr>
              <w:spacing w:before="120" w:after="120"/>
              <w:rPr>
                <w:rFonts w:asciiTheme="minorHAnsi" w:hAnsiTheme="minorHAnsi"/>
              </w:rPr>
            </w:pPr>
          </w:p>
        </w:tc>
        <w:tc>
          <w:tcPr>
            <w:tcW w:w="4394" w:type="dxa"/>
            <w:vMerge/>
          </w:tcPr>
          <w:p w:rsidR="00447869" w:rsidRPr="00C92149" w:rsidRDefault="00447869" w:rsidP="00021243">
            <w:pPr>
              <w:spacing w:before="120" w:after="120"/>
              <w:rPr>
                <w:rFonts w:asciiTheme="minorHAnsi" w:hAnsiTheme="minorHAnsi"/>
                <w:szCs w:val="20"/>
              </w:rPr>
            </w:pPr>
          </w:p>
        </w:tc>
      </w:tr>
      <w:tr w:rsidR="00447869" w:rsidRPr="00853117" w:rsidTr="00FD1CBB">
        <w:tc>
          <w:tcPr>
            <w:tcW w:w="1560" w:type="dxa"/>
            <w:shd w:val="clear" w:color="auto" w:fill="D9D9D9" w:themeFill="background1" w:themeFillShade="D9"/>
          </w:tcPr>
          <w:p w:rsidR="00447869" w:rsidRPr="00FA2F78" w:rsidRDefault="00447869" w:rsidP="00021243">
            <w:pPr>
              <w:spacing w:before="120" w:after="120"/>
              <w:rPr>
                <w:rFonts w:asciiTheme="minorHAnsi" w:hAnsiTheme="minorHAnsi"/>
                <w:b/>
              </w:rPr>
            </w:pPr>
            <w:r w:rsidRPr="00447869">
              <w:rPr>
                <w:rFonts w:asciiTheme="minorHAnsi" w:hAnsiTheme="minorHAnsi"/>
                <w:b/>
              </w:rPr>
              <w:lastRenderedPageBreak/>
              <w:t>Exclusion Criteria</w:t>
            </w:r>
          </w:p>
        </w:tc>
        <w:tc>
          <w:tcPr>
            <w:tcW w:w="3119" w:type="dxa"/>
          </w:tcPr>
          <w:p w:rsidR="00447869" w:rsidRPr="00447869" w:rsidRDefault="00282F66" w:rsidP="00021243">
            <w:pPr>
              <w:spacing w:before="120" w:after="120"/>
              <w:rPr>
                <w:rFonts w:asciiTheme="minorHAnsi" w:hAnsiTheme="minorHAnsi"/>
              </w:rPr>
            </w:pPr>
            <w:r>
              <w:rPr>
                <w:rFonts w:asciiTheme="minorHAnsi" w:hAnsiTheme="minorHAnsi"/>
              </w:rPr>
              <w:t xml:space="preserve"> </w:t>
            </w:r>
          </w:p>
        </w:tc>
        <w:tc>
          <w:tcPr>
            <w:tcW w:w="5528" w:type="dxa"/>
            <w:gridSpan w:val="3"/>
          </w:tcPr>
          <w:p w:rsidR="00447869" w:rsidRPr="00447869" w:rsidRDefault="00447869" w:rsidP="00021243">
            <w:pPr>
              <w:spacing w:before="120" w:after="120"/>
              <w:rPr>
                <w:rFonts w:asciiTheme="minorHAnsi" w:hAnsiTheme="minorHAnsi"/>
                <w:strike/>
              </w:rPr>
            </w:pPr>
          </w:p>
        </w:tc>
        <w:tc>
          <w:tcPr>
            <w:tcW w:w="4394" w:type="dxa"/>
          </w:tcPr>
          <w:p w:rsidR="00447869" w:rsidRPr="00C92149" w:rsidRDefault="00195705" w:rsidP="003A1F9D">
            <w:pPr>
              <w:spacing w:before="120" w:after="120"/>
              <w:rPr>
                <w:rFonts w:asciiTheme="minorHAnsi" w:hAnsiTheme="minorHAnsi"/>
                <w:szCs w:val="20"/>
              </w:rPr>
            </w:pPr>
            <w:r>
              <w:rPr>
                <w:rFonts w:asciiTheme="minorHAnsi" w:hAnsiTheme="minorHAnsi"/>
                <w:szCs w:val="20"/>
              </w:rPr>
              <w:t>No change</w:t>
            </w:r>
          </w:p>
        </w:tc>
      </w:tr>
      <w:tr w:rsidR="00021243" w:rsidRPr="00853117" w:rsidTr="00FD1CBB">
        <w:tc>
          <w:tcPr>
            <w:tcW w:w="1560" w:type="dxa"/>
            <w:shd w:val="clear" w:color="auto" w:fill="D9D9D9" w:themeFill="background1" w:themeFillShade="D9"/>
          </w:tcPr>
          <w:p w:rsidR="00021243" w:rsidRPr="00447869" w:rsidRDefault="00021243" w:rsidP="000447FE">
            <w:pPr>
              <w:spacing w:before="120" w:after="120"/>
              <w:rPr>
                <w:rFonts w:asciiTheme="minorHAnsi" w:hAnsiTheme="minorHAnsi"/>
              </w:rPr>
            </w:pPr>
            <w:r w:rsidRPr="00447869">
              <w:rPr>
                <w:rFonts w:asciiTheme="minorHAnsi" w:hAnsiTheme="minorHAnsi"/>
                <w:b/>
              </w:rPr>
              <w:t>Qualifying Criteria</w:t>
            </w:r>
          </w:p>
        </w:tc>
        <w:tc>
          <w:tcPr>
            <w:tcW w:w="3119" w:type="dxa"/>
          </w:tcPr>
          <w:p w:rsidR="00021243" w:rsidRPr="00EB78FB" w:rsidRDefault="00021243" w:rsidP="00021243">
            <w:pPr>
              <w:pStyle w:val="Default"/>
              <w:spacing w:before="120" w:after="120"/>
              <w:rPr>
                <w:rFonts w:ascii="Calibri" w:hAnsi="Calibri"/>
                <w:b/>
                <w:sz w:val="22"/>
                <w:szCs w:val="22"/>
              </w:rPr>
            </w:pPr>
          </w:p>
          <w:p w:rsidR="00021243" w:rsidRPr="00447869" w:rsidRDefault="00021243" w:rsidP="00021243">
            <w:pPr>
              <w:spacing w:before="120" w:after="120"/>
              <w:rPr>
                <w:rFonts w:asciiTheme="minorHAnsi" w:hAnsiTheme="minorHAnsi"/>
              </w:rPr>
            </w:pPr>
          </w:p>
        </w:tc>
        <w:tc>
          <w:tcPr>
            <w:tcW w:w="5528" w:type="dxa"/>
            <w:gridSpan w:val="3"/>
          </w:tcPr>
          <w:p w:rsidR="00341D20" w:rsidRPr="00341D20" w:rsidRDefault="00341D20" w:rsidP="00544D71">
            <w:pPr>
              <w:pStyle w:val="ListParagraph"/>
              <w:numPr>
                <w:ilvl w:val="0"/>
                <w:numId w:val="46"/>
              </w:numPr>
              <w:spacing w:before="100" w:beforeAutospacing="1"/>
              <w:rPr>
                <w:rFonts w:asciiTheme="minorHAnsi" w:hAnsiTheme="minorHAnsi"/>
              </w:rPr>
            </w:pPr>
            <w:r w:rsidRPr="00341D20">
              <w:rPr>
                <w:rFonts w:asciiTheme="minorHAnsi" w:hAnsiTheme="minorHAnsi"/>
              </w:rPr>
              <w:t>Abrupt, dramatic onset of obsessive-compulsive disorder or severely restricted food intake associated with infection</w:t>
            </w:r>
          </w:p>
          <w:p w:rsidR="0011109B" w:rsidRDefault="0011109B" w:rsidP="00FB6C7F">
            <w:pPr>
              <w:pStyle w:val="ListParagraph"/>
              <w:spacing w:before="100" w:beforeAutospacing="1"/>
              <w:ind w:left="34"/>
              <w:rPr>
                <w:rFonts w:asciiTheme="minorHAnsi" w:hAnsiTheme="minorHAnsi"/>
              </w:rPr>
            </w:pPr>
          </w:p>
          <w:p w:rsidR="00341D20" w:rsidRDefault="00341D20" w:rsidP="00FA2F78">
            <w:pPr>
              <w:pStyle w:val="ListParagraph"/>
              <w:spacing w:before="100" w:beforeAutospacing="1"/>
              <w:ind w:left="34"/>
              <w:rPr>
                <w:rFonts w:asciiTheme="minorHAnsi" w:hAnsiTheme="minorHAnsi"/>
              </w:rPr>
            </w:pPr>
            <w:r w:rsidRPr="00341D20">
              <w:rPr>
                <w:rFonts w:asciiTheme="minorHAnsi" w:hAnsiTheme="minorHAnsi"/>
              </w:rPr>
              <w:t>AND</w:t>
            </w:r>
          </w:p>
          <w:p w:rsidR="0011109B" w:rsidRPr="00341D20" w:rsidRDefault="0011109B" w:rsidP="00FB6C7F">
            <w:pPr>
              <w:pStyle w:val="ListParagraph"/>
              <w:spacing w:before="100" w:beforeAutospacing="1"/>
              <w:ind w:left="34"/>
              <w:rPr>
                <w:rFonts w:asciiTheme="minorHAnsi" w:hAnsiTheme="minorHAnsi"/>
              </w:rPr>
            </w:pPr>
          </w:p>
          <w:p w:rsidR="00341D20" w:rsidRDefault="00341D20" w:rsidP="00544D71">
            <w:pPr>
              <w:pStyle w:val="ListParagraph"/>
              <w:numPr>
                <w:ilvl w:val="0"/>
                <w:numId w:val="46"/>
              </w:numPr>
              <w:spacing w:before="100" w:beforeAutospacing="1"/>
              <w:rPr>
                <w:rFonts w:asciiTheme="minorHAnsi" w:hAnsiTheme="minorHAnsi"/>
              </w:rPr>
            </w:pPr>
            <w:r w:rsidRPr="00341D20">
              <w:rPr>
                <w:rFonts w:asciiTheme="minorHAnsi" w:hAnsiTheme="minorHAnsi"/>
              </w:rPr>
              <w:t xml:space="preserve">Concurrent additional neuropsychiatric symptoms from at least two of the following categories, and other known neurologic or medical disorders have been excluded: </w:t>
            </w:r>
          </w:p>
          <w:p w:rsidR="000447FE" w:rsidRPr="00341D20" w:rsidRDefault="000447FE" w:rsidP="000447FE">
            <w:pPr>
              <w:pStyle w:val="ListParagraph"/>
              <w:spacing w:before="100" w:beforeAutospacing="1"/>
              <w:ind w:left="754"/>
              <w:rPr>
                <w:rFonts w:asciiTheme="minorHAnsi" w:hAnsiTheme="minorHAnsi"/>
              </w:rPr>
            </w:pPr>
          </w:p>
          <w:p w:rsidR="00341D20" w:rsidRPr="00341D20" w:rsidRDefault="00341D20" w:rsidP="00FA2F78">
            <w:pPr>
              <w:pStyle w:val="ListParagraph"/>
              <w:spacing w:before="100" w:beforeAutospacing="1"/>
              <w:ind w:left="742"/>
              <w:rPr>
                <w:rFonts w:asciiTheme="minorHAnsi" w:hAnsiTheme="minorHAnsi"/>
              </w:rPr>
            </w:pPr>
            <w:r w:rsidRPr="00341D20">
              <w:rPr>
                <w:rFonts w:asciiTheme="minorHAnsi" w:hAnsiTheme="minorHAnsi"/>
              </w:rPr>
              <w:t>-</w:t>
            </w:r>
            <w:r w:rsidRPr="00341D20">
              <w:rPr>
                <w:rFonts w:asciiTheme="minorHAnsi" w:hAnsiTheme="minorHAnsi"/>
              </w:rPr>
              <w:tab/>
              <w:t xml:space="preserve">Anxiety </w:t>
            </w:r>
          </w:p>
          <w:p w:rsidR="00341D20" w:rsidRPr="00341D20" w:rsidRDefault="00341D20" w:rsidP="00FA2F78">
            <w:pPr>
              <w:pStyle w:val="ListParagraph"/>
              <w:spacing w:before="100" w:beforeAutospacing="1"/>
              <w:ind w:left="1451" w:hanging="709"/>
              <w:rPr>
                <w:rFonts w:asciiTheme="minorHAnsi" w:hAnsiTheme="minorHAnsi"/>
              </w:rPr>
            </w:pPr>
            <w:r w:rsidRPr="00341D20">
              <w:rPr>
                <w:rFonts w:asciiTheme="minorHAnsi" w:hAnsiTheme="minorHAnsi"/>
              </w:rPr>
              <w:t>-</w:t>
            </w:r>
            <w:r w:rsidRPr="00341D20">
              <w:rPr>
                <w:rFonts w:asciiTheme="minorHAnsi" w:hAnsiTheme="minorHAnsi"/>
              </w:rPr>
              <w:tab/>
              <w:t xml:space="preserve">Emotional lability and/or depression </w:t>
            </w:r>
            <w:r w:rsidRPr="00341D20">
              <w:rPr>
                <w:rFonts w:asciiTheme="minorHAnsi" w:eastAsia="MS Gothic" w:hAnsiTheme="minorHAnsi" w:cs="MS Gothic" w:hint="eastAsia"/>
              </w:rPr>
              <w:t> </w:t>
            </w:r>
            <w:r w:rsidRPr="00341D20">
              <w:rPr>
                <w:rFonts w:asciiTheme="minorHAnsi" w:hAnsiTheme="minorHAnsi"/>
              </w:rPr>
              <w:t xml:space="preserve">Irritability, aggression, and/or severely oppositional </w:t>
            </w:r>
            <w:r w:rsidRPr="00341D20">
              <w:rPr>
                <w:rFonts w:asciiTheme="minorHAnsi" w:eastAsia="MS Gothic" w:hAnsiTheme="minorHAnsi" w:cs="MS Gothic" w:hint="eastAsia"/>
              </w:rPr>
              <w:t> </w:t>
            </w:r>
            <w:r w:rsidRPr="00341D20">
              <w:rPr>
                <w:rFonts w:asciiTheme="minorHAnsi" w:hAnsiTheme="minorHAnsi"/>
              </w:rPr>
              <w:t>behavio</w:t>
            </w:r>
            <w:r w:rsidR="00195705">
              <w:rPr>
                <w:rFonts w:asciiTheme="minorHAnsi" w:hAnsiTheme="minorHAnsi"/>
              </w:rPr>
              <w:t>u</w:t>
            </w:r>
            <w:r w:rsidRPr="00341D20">
              <w:rPr>
                <w:rFonts w:asciiTheme="minorHAnsi" w:hAnsiTheme="minorHAnsi"/>
              </w:rPr>
              <w:t xml:space="preserve">rs </w:t>
            </w:r>
            <w:r w:rsidRPr="00341D20">
              <w:rPr>
                <w:rFonts w:asciiTheme="minorHAnsi" w:eastAsia="MS Gothic" w:hAnsiTheme="minorHAnsi" w:cs="MS Gothic" w:hint="eastAsia"/>
              </w:rPr>
              <w:t> </w:t>
            </w:r>
          </w:p>
          <w:p w:rsidR="00341D20" w:rsidRPr="00341D20" w:rsidRDefault="00341D20" w:rsidP="00FA2F78">
            <w:pPr>
              <w:pStyle w:val="ListParagraph"/>
              <w:spacing w:before="100" w:beforeAutospacing="1"/>
              <w:ind w:left="742"/>
              <w:rPr>
                <w:rFonts w:asciiTheme="minorHAnsi" w:hAnsiTheme="minorHAnsi"/>
              </w:rPr>
            </w:pPr>
            <w:r w:rsidRPr="00341D20">
              <w:rPr>
                <w:rFonts w:asciiTheme="minorHAnsi" w:hAnsiTheme="minorHAnsi"/>
              </w:rPr>
              <w:t>-</w:t>
            </w:r>
            <w:r w:rsidRPr="00341D20">
              <w:rPr>
                <w:rFonts w:asciiTheme="minorHAnsi" w:hAnsiTheme="minorHAnsi"/>
              </w:rPr>
              <w:tab/>
              <w:t>Behavio</w:t>
            </w:r>
            <w:r w:rsidR="00195705">
              <w:rPr>
                <w:rFonts w:asciiTheme="minorHAnsi" w:hAnsiTheme="minorHAnsi"/>
              </w:rPr>
              <w:t>u</w:t>
            </w:r>
            <w:r w:rsidRPr="00341D20">
              <w:rPr>
                <w:rFonts w:asciiTheme="minorHAnsi" w:hAnsiTheme="minorHAnsi"/>
              </w:rPr>
              <w:t xml:space="preserve">ral (developmental) regression </w:t>
            </w:r>
            <w:r w:rsidRPr="00341D20">
              <w:rPr>
                <w:rFonts w:asciiTheme="minorHAnsi" w:eastAsia="MS Gothic" w:hAnsiTheme="minorHAnsi" w:cs="MS Gothic" w:hint="eastAsia"/>
              </w:rPr>
              <w:t> </w:t>
            </w:r>
          </w:p>
          <w:p w:rsidR="00341D20" w:rsidRPr="00341D20" w:rsidRDefault="00341D20" w:rsidP="00FA2F78">
            <w:pPr>
              <w:pStyle w:val="ListParagraph"/>
              <w:spacing w:before="100" w:beforeAutospacing="1"/>
              <w:ind w:left="1451" w:hanging="709"/>
              <w:rPr>
                <w:rFonts w:asciiTheme="minorHAnsi" w:hAnsiTheme="minorHAnsi"/>
              </w:rPr>
            </w:pPr>
            <w:r w:rsidRPr="00341D20">
              <w:rPr>
                <w:rFonts w:asciiTheme="minorHAnsi" w:hAnsiTheme="minorHAnsi"/>
              </w:rPr>
              <w:t>-</w:t>
            </w:r>
            <w:r w:rsidRPr="00341D20">
              <w:rPr>
                <w:rFonts w:asciiTheme="minorHAnsi" w:hAnsiTheme="minorHAnsi"/>
              </w:rPr>
              <w:tab/>
              <w:t xml:space="preserve">Deterioration in school performance (related to attention- </w:t>
            </w:r>
            <w:r w:rsidRPr="00341D20">
              <w:rPr>
                <w:rFonts w:asciiTheme="minorHAnsi" w:eastAsia="MS Gothic" w:hAnsiTheme="minorHAnsi" w:cs="MS Gothic" w:hint="eastAsia"/>
              </w:rPr>
              <w:t> </w:t>
            </w:r>
            <w:r w:rsidRPr="00341D20">
              <w:rPr>
                <w:rFonts w:asciiTheme="minorHAnsi" w:hAnsiTheme="minorHAnsi"/>
              </w:rPr>
              <w:t xml:space="preserve">deficit/hyperactivity disorder [ADHD]-like symptoms, </w:t>
            </w:r>
            <w:r w:rsidRPr="00341D20">
              <w:rPr>
                <w:rFonts w:asciiTheme="minorHAnsi" w:eastAsia="MS Gothic" w:hAnsiTheme="minorHAnsi" w:cs="MS Gothic" w:hint="eastAsia"/>
              </w:rPr>
              <w:t> </w:t>
            </w:r>
            <w:r w:rsidRPr="00341D20">
              <w:rPr>
                <w:rFonts w:asciiTheme="minorHAnsi" w:hAnsiTheme="minorHAnsi"/>
              </w:rPr>
              <w:t xml:space="preserve">memory deficits, cognitive changes) </w:t>
            </w:r>
            <w:r w:rsidRPr="00341D20">
              <w:rPr>
                <w:rFonts w:asciiTheme="minorHAnsi" w:eastAsia="MS Gothic" w:hAnsiTheme="minorHAnsi" w:cs="MS Gothic" w:hint="eastAsia"/>
              </w:rPr>
              <w:t> </w:t>
            </w:r>
          </w:p>
          <w:p w:rsidR="00341D20" w:rsidRPr="00341D20" w:rsidRDefault="00341D20" w:rsidP="00FA2F78">
            <w:pPr>
              <w:pStyle w:val="ListParagraph"/>
              <w:spacing w:before="100" w:beforeAutospacing="1"/>
              <w:ind w:left="742"/>
              <w:rPr>
                <w:rFonts w:asciiTheme="minorHAnsi" w:hAnsiTheme="minorHAnsi"/>
              </w:rPr>
            </w:pPr>
            <w:r w:rsidRPr="00341D20">
              <w:rPr>
                <w:rFonts w:asciiTheme="minorHAnsi" w:hAnsiTheme="minorHAnsi"/>
              </w:rPr>
              <w:t>-</w:t>
            </w:r>
            <w:r w:rsidRPr="00341D20">
              <w:rPr>
                <w:rFonts w:asciiTheme="minorHAnsi" w:hAnsiTheme="minorHAnsi"/>
              </w:rPr>
              <w:tab/>
              <w:t xml:space="preserve">Sensory or motor abnormalities </w:t>
            </w:r>
            <w:r w:rsidRPr="00341D20">
              <w:rPr>
                <w:rFonts w:asciiTheme="minorHAnsi" w:eastAsia="MS Gothic" w:hAnsiTheme="minorHAnsi" w:cs="MS Gothic" w:hint="eastAsia"/>
              </w:rPr>
              <w:t> </w:t>
            </w:r>
          </w:p>
          <w:p w:rsidR="0011109B" w:rsidRPr="00341D20" w:rsidRDefault="00341D20" w:rsidP="00FA2F78">
            <w:pPr>
              <w:pStyle w:val="ListParagraph"/>
              <w:spacing w:before="100" w:beforeAutospacing="1"/>
              <w:ind w:left="1451" w:hanging="709"/>
              <w:rPr>
                <w:rFonts w:asciiTheme="minorHAnsi" w:hAnsiTheme="minorHAnsi"/>
              </w:rPr>
            </w:pPr>
            <w:r w:rsidRPr="00341D20">
              <w:rPr>
                <w:rFonts w:asciiTheme="minorHAnsi" w:hAnsiTheme="minorHAnsi"/>
              </w:rPr>
              <w:t>-</w:t>
            </w:r>
            <w:r w:rsidRPr="00341D20">
              <w:rPr>
                <w:rFonts w:asciiTheme="minorHAnsi" w:hAnsiTheme="minorHAnsi"/>
              </w:rPr>
              <w:tab/>
              <w:t>Somatic signs and symptoms, including sleep disturbances, enuresis, or urinary frequency</w:t>
            </w:r>
          </w:p>
          <w:p w:rsidR="00341D20" w:rsidRPr="00341D20" w:rsidRDefault="00341D20" w:rsidP="00FB6C7F">
            <w:pPr>
              <w:pStyle w:val="ListParagraph"/>
              <w:spacing w:before="100" w:beforeAutospacing="1"/>
              <w:ind w:left="34"/>
              <w:rPr>
                <w:rFonts w:asciiTheme="minorHAnsi" w:hAnsiTheme="minorHAnsi"/>
              </w:rPr>
            </w:pPr>
            <w:r w:rsidRPr="00341D20">
              <w:rPr>
                <w:rFonts w:asciiTheme="minorHAnsi" w:hAnsiTheme="minorHAnsi"/>
              </w:rPr>
              <w:t>AND</w:t>
            </w:r>
          </w:p>
          <w:p w:rsidR="00341D20" w:rsidRPr="00FA2F78" w:rsidRDefault="00341D20" w:rsidP="00FA2F78">
            <w:pPr>
              <w:pStyle w:val="ListParagraph"/>
              <w:numPr>
                <w:ilvl w:val="0"/>
                <w:numId w:val="46"/>
              </w:numPr>
              <w:spacing w:before="100" w:beforeAutospacing="1"/>
              <w:rPr>
                <w:rFonts w:asciiTheme="minorHAnsi" w:hAnsiTheme="minorHAnsi"/>
              </w:rPr>
            </w:pPr>
            <w:r w:rsidRPr="00341D20">
              <w:rPr>
                <w:rFonts w:asciiTheme="minorHAnsi" w:hAnsiTheme="minorHAnsi"/>
              </w:rPr>
              <w:t xml:space="preserve">Disability as measured by the Modified Rankin </w:t>
            </w:r>
            <w:r w:rsidR="00FA2F78" w:rsidRPr="00341D20">
              <w:rPr>
                <w:rFonts w:asciiTheme="minorHAnsi" w:hAnsiTheme="minorHAnsi"/>
              </w:rPr>
              <w:t xml:space="preserve">Score </w:t>
            </w:r>
            <w:r w:rsidR="00FA2F78">
              <w:rPr>
                <w:rFonts w:asciiTheme="minorHAnsi" w:hAnsiTheme="minorHAnsi"/>
              </w:rPr>
              <w:t>of three points or greater</w:t>
            </w:r>
          </w:p>
          <w:p w:rsidR="00341D20" w:rsidRDefault="00341D20" w:rsidP="00FA2F78">
            <w:pPr>
              <w:pStyle w:val="ListParagraph"/>
              <w:spacing w:before="100" w:beforeAutospacing="1"/>
              <w:ind w:left="34"/>
              <w:rPr>
                <w:rFonts w:asciiTheme="minorHAnsi" w:hAnsiTheme="minorHAnsi"/>
              </w:rPr>
            </w:pPr>
            <w:r w:rsidRPr="00341D20">
              <w:rPr>
                <w:rFonts w:asciiTheme="minorHAnsi" w:hAnsiTheme="minorHAnsi"/>
              </w:rPr>
              <w:lastRenderedPageBreak/>
              <w:t>AND</w:t>
            </w:r>
          </w:p>
          <w:p w:rsidR="0011109B" w:rsidRPr="00341D20" w:rsidRDefault="0011109B" w:rsidP="00FB6C7F">
            <w:pPr>
              <w:pStyle w:val="ListParagraph"/>
              <w:spacing w:before="100" w:beforeAutospacing="1"/>
              <w:ind w:left="34"/>
              <w:rPr>
                <w:rFonts w:asciiTheme="minorHAnsi" w:hAnsiTheme="minorHAnsi"/>
              </w:rPr>
            </w:pPr>
          </w:p>
          <w:p w:rsidR="009B1A48" w:rsidRDefault="00341D20" w:rsidP="00FA2F78">
            <w:pPr>
              <w:pStyle w:val="ListParagraph"/>
              <w:numPr>
                <w:ilvl w:val="0"/>
                <w:numId w:val="46"/>
              </w:numPr>
              <w:spacing w:before="100" w:beforeAutospacing="1"/>
              <w:rPr>
                <w:rFonts w:asciiTheme="minorHAnsi" w:hAnsiTheme="minorHAnsi"/>
              </w:rPr>
            </w:pPr>
            <w:r w:rsidRPr="00341D20">
              <w:rPr>
                <w:rFonts w:asciiTheme="minorHAnsi" w:hAnsiTheme="minorHAnsi"/>
              </w:rPr>
              <w:t xml:space="preserve">No clinical response has been achieved following standard antibiotic therapy </w:t>
            </w:r>
          </w:p>
          <w:p w:rsidR="001C5424" w:rsidRPr="001C5424" w:rsidRDefault="001C5424" w:rsidP="001C5424">
            <w:pPr>
              <w:spacing w:before="100" w:beforeAutospacing="1"/>
              <w:ind w:left="34"/>
              <w:rPr>
                <w:rFonts w:asciiTheme="minorHAnsi" w:hAnsiTheme="minorHAnsi"/>
              </w:rPr>
            </w:pPr>
            <w:r>
              <w:rPr>
                <w:rFonts w:asciiTheme="minorHAnsi" w:hAnsiTheme="minorHAnsi"/>
              </w:rPr>
              <w:t>AND</w:t>
            </w:r>
          </w:p>
          <w:p w:rsidR="00341D20" w:rsidRPr="00FA2F78" w:rsidRDefault="00B829A4" w:rsidP="00FA2F78">
            <w:pPr>
              <w:pStyle w:val="ListParagraph"/>
              <w:numPr>
                <w:ilvl w:val="0"/>
                <w:numId w:val="46"/>
              </w:numPr>
              <w:spacing w:before="100" w:beforeAutospacing="1"/>
              <w:rPr>
                <w:rFonts w:asciiTheme="minorHAnsi" w:hAnsiTheme="minorHAnsi"/>
              </w:rPr>
            </w:pPr>
            <w:r>
              <w:rPr>
                <w:rFonts w:asciiTheme="minorHAnsi" w:hAnsiTheme="minorHAnsi"/>
              </w:rPr>
              <w:t>No clinical response to</w:t>
            </w:r>
            <w:r w:rsidR="00341D20" w:rsidRPr="00341D20">
              <w:rPr>
                <w:rFonts w:asciiTheme="minorHAnsi" w:hAnsiTheme="minorHAnsi"/>
              </w:rPr>
              <w:t xml:space="preserve"> oral steroid therapy.</w:t>
            </w:r>
          </w:p>
          <w:p w:rsidR="00341D20" w:rsidRPr="00341D20" w:rsidRDefault="00341D20" w:rsidP="00FA2F78">
            <w:pPr>
              <w:pStyle w:val="ListParagraph"/>
              <w:spacing w:before="100" w:beforeAutospacing="1"/>
              <w:ind w:left="34"/>
              <w:jc w:val="center"/>
              <w:rPr>
                <w:rFonts w:asciiTheme="minorHAnsi" w:hAnsiTheme="minorHAnsi"/>
              </w:rPr>
            </w:pPr>
            <w:r w:rsidRPr="00341D20">
              <w:rPr>
                <w:rFonts w:asciiTheme="minorHAnsi" w:hAnsiTheme="minorHAnsi"/>
              </w:rPr>
              <w:t>OR</w:t>
            </w:r>
          </w:p>
          <w:p w:rsidR="00880ECB" w:rsidRPr="00880ECB" w:rsidRDefault="00341D20" w:rsidP="00544D71">
            <w:pPr>
              <w:pStyle w:val="ListParagraph"/>
              <w:numPr>
                <w:ilvl w:val="0"/>
                <w:numId w:val="46"/>
              </w:numPr>
              <w:spacing w:before="100" w:beforeAutospacing="1"/>
              <w:rPr>
                <w:rFonts w:asciiTheme="minorHAnsi" w:hAnsiTheme="minorHAnsi"/>
              </w:rPr>
            </w:pPr>
            <w:r w:rsidRPr="00341D20">
              <w:rPr>
                <w:rFonts w:asciiTheme="minorHAnsi" w:hAnsiTheme="minorHAnsi"/>
              </w:rPr>
              <w:t>Steroid therapy is contraindicated.</w:t>
            </w:r>
          </w:p>
        </w:tc>
        <w:tc>
          <w:tcPr>
            <w:tcW w:w="4394" w:type="dxa"/>
          </w:tcPr>
          <w:p w:rsidR="00FA2F78" w:rsidRPr="00C92149" w:rsidRDefault="00282F66" w:rsidP="00FA2F78">
            <w:pPr>
              <w:spacing w:before="120" w:after="120"/>
              <w:rPr>
                <w:rFonts w:asciiTheme="minorHAnsi" w:hAnsiTheme="minorHAnsi"/>
                <w:szCs w:val="20"/>
              </w:rPr>
            </w:pPr>
            <w:r w:rsidRPr="009208EC">
              <w:rPr>
                <w:szCs w:val="20"/>
              </w:rPr>
              <w:lastRenderedPageBreak/>
              <w:t xml:space="preserve"> </w:t>
            </w:r>
            <w:r w:rsidR="00FA2F78">
              <w:rPr>
                <w:szCs w:val="20"/>
              </w:rPr>
              <w:t xml:space="preserve">The new qualifying criteria were developed based on Swedo et al (1998) and Chang et al (2015), and were endorsed by </w:t>
            </w:r>
            <w:r w:rsidR="00DF54C9">
              <w:rPr>
                <w:szCs w:val="20"/>
              </w:rPr>
              <w:t xml:space="preserve">Specialist Working Group </w:t>
            </w:r>
            <w:r w:rsidR="00FA2F78">
              <w:rPr>
                <w:szCs w:val="20"/>
              </w:rPr>
              <w:t xml:space="preserve">consensus. </w:t>
            </w:r>
          </w:p>
          <w:p w:rsidR="00FA2F78" w:rsidRDefault="00FA2F78" w:rsidP="00FA2F78">
            <w:pPr>
              <w:spacing w:before="120" w:after="120"/>
              <w:rPr>
                <w:rFonts w:asciiTheme="minorHAnsi" w:hAnsiTheme="minorHAnsi"/>
                <w:szCs w:val="20"/>
              </w:rPr>
            </w:pPr>
            <w:r>
              <w:rPr>
                <w:rFonts w:asciiTheme="minorHAnsi" w:hAnsiTheme="minorHAnsi"/>
                <w:szCs w:val="20"/>
              </w:rPr>
              <w:t xml:space="preserve">The abrupt nature of the onset is a key feature that will be confirmed together with symptoms complying with the diagnostic criteria. </w:t>
            </w:r>
          </w:p>
          <w:p w:rsidR="00195705" w:rsidRPr="000447FE" w:rsidRDefault="00195705" w:rsidP="000447FE">
            <w:pPr>
              <w:spacing w:after="120"/>
              <w:rPr>
                <w:szCs w:val="20"/>
              </w:rPr>
            </w:pPr>
          </w:p>
          <w:p w:rsidR="00880ECB" w:rsidRDefault="00880ECB" w:rsidP="003A1F9D">
            <w:pPr>
              <w:spacing w:before="120" w:after="120"/>
              <w:rPr>
                <w:rFonts w:asciiTheme="minorHAnsi" w:hAnsiTheme="minorHAnsi"/>
                <w:szCs w:val="20"/>
              </w:rPr>
            </w:pPr>
          </w:p>
          <w:p w:rsidR="00FA2F78" w:rsidRDefault="00FA2F78" w:rsidP="003A1F9D">
            <w:pPr>
              <w:spacing w:before="120" w:after="120"/>
              <w:rPr>
                <w:rFonts w:asciiTheme="minorHAnsi" w:hAnsiTheme="minorHAnsi"/>
                <w:szCs w:val="20"/>
              </w:rPr>
            </w:pPr>
          </w:p>
          <w:p w:rsidR="00FA2F78" w:rsidRDefault="00FA2F78" w:rsidP="003A1F9D">
            <w:pPr>
              <w:spacing w:before="120" w:after="120"/>
              <w:rPr>
                <w:rFonts w:asciiTheme="minorHAnsi" w:hAnsiTheme="minorHAnsi"/>
                <w:szCs w:val="20"/>
              </w:rPr>
            </w:pPr>
          </w:p>
          <w:p w:rsidR="00FA2F78" w:rsidRDefault="00FA2F78" w:rsidP="003A1F9D">
            <w:pPr>
              <w:spacing w:before="120" w:after="120"/>
              <w:rPr>
                <w:rFonts w:asciiTheme="minorHAnsi" w:hAnsiTheme="minorHAnsi"/>
                <w:szCs w:val="20"/>
              </w:rPr>
            </w:pPr>
          </w:p>
          <w:p w:rsidR="00FA2F78" w:rsidRDefault="00FA2F78" w:rsidP="003A1F9D">
            <w:pPr>
              <w:spacing w:before="120" w:after="120"/>
              <w:rPr>
                <w:rFonts w:asciiTheme="minorHAnsi" w:hAnsiTheme="minorHAnsi"/>
                <w:szCs w:val="20"/>
              </w:rPr>
            </w:pPr>
          </w:p>
          <w:p w:rsidR="00FA2F78" w:rsidRDefault="00FA2F78" w:rsidP="003A1F9D">
            <w:pPr>
              <w:spacing w:before="120" w:after="120"/>
              <w:rPr>
                <w:rFonts w:asciiTheme="minorHAnsi" w:hAnsiTheme="minorHAnsi"/>
                <w:szCs w:val="20"/>
              </w:rPr>
            </w:pPr>
          </w:p>
          <w:p w:rsidR="00FA2F78" w:rsidRDefault="00FA2F78" w:rsidP="003A1F9D">
            <w:pPr>
              <w:spacing w:before="120" w:after="120"/>
              <w:rPr>
                <w:rFonts w:asciiTheme="minorHAnsi" w:hAnsiTheme="minorHAnsi"/>
                <w:szCs w:val="20"/>
              </w:rPr>
            </w:pPr>
          </w:p>
          <w:p w:rsidR="00FA2F78" w:rsidRDefault="00FA2F78" w:rsidP="003A1F9D">
            <w:pPr>
              <w:spacing w:before="120" w:after="120"/>
              <w:rPr>
                <w:rFonts w:asciiTheme="minorHAnsi" w:hAnsiTheme="minorHAnsi"/>
                <w:szCs w:val="20"/>
              </w:rPr>
            </w:pPr>
          </w:p>
          <w:p w:rsidR="00FA2F78" w:rsidRDefault="00FA2F78" w:rsidP="003A1F9D">
            <w:pPr>
              <w:spacing w:before="120" w:after="120"/>
              <w:rPr>
                <w:rFonts w:asciiTheme="minorHAnsi" w:hAnsiTheme="minorHAnsi"/>
                <w:szCs w:val="20"/>
              </w:rPr>
            </w:pPr>
          </w:p>
          <w:p w:rsidR="00FA2F78" w:rsidRDefault="00FA2F78" w:rsidP="00FA2F78">
            <w:pPr>
              <w:spacing w:before="120" w:after="120"/>
              <w:rPr>
                <w:rFonts w:asciiTheme="minorHAnsi" w:hAnsiTheme="minorHAnsi"/>
                <w:szCs w:val="20"/>
              </w:rPr>
            </w:pPr>
          </w:p>
          <w:p w:rsidR="00FA2F78" w:rsidRDefault="00FA2F78" w:rsidP="00FA2F78">
            <w:pPr>
              <w:spacing w:before="120" w:after="120"/>
              <w:rPr>
                <w:rFonts w:asciiTheme="minorHAnsi" w:hAnsiTheme="minorHAnsi"/>
                <w:szCs w:val="20"/>
              </w:rPr>
            </w:pPr>
          </w:p>
          <w:p w:rsidR="00FA2F78" w:rsidRDefault="00FA2F78" w:rsidP="00FA2F78">
            <w:pPr>
              <w:spacing w:before="120" w:after="120"/>
              <w:rPr>
                <w:rFonts w:asciiTheme="minorHAnsi" w:hAnsiTheme="minorHAnsi"/>
                <w:szCs w:val="20"/>
              </w:rPr>
            </w:pPr>
            <w:r>
              <w:rPr>
                <w:rFonts w:asciiTheme="minorHAnsi" w:hAnsiTheme="minorHAnsi"/>
                <w:szCs w:val="20"/>
              </w:rPr>
              <w:t xml:space="preserve">The Modified Rankin Score has been adapted </w:t>
            </w:r>
            <w:r>
              <w:rPr>
                <w:rFonts w:asciiTheme="minorHAnsi" w:hAnsiTheme="minorHAnsi"/>
                <w:szCs w:val="20"/>
              </w:rPr>
              <w:lastRenderedPageBreak/>
              <w:t xml:space="preserve">to this condition given that there is no loss of motor function. For example, </w:t>
            </w:r>
          </w:p>
          <w:p w:rsidR="00E03594" w:rsidRDefault="00E03594" w:rsidP="00FA2F78">
            <w:pPr>
              <w:spacing w:before="120" w:after="120"/>
              <w:rPr>
                <w:rFonts w:asciiTheme="minorHAnsi" w:hAnsiTheme="minorHAnsi"/>
                <w:szCs w:val="20"/>
              </w:rPr>
            </w:pPr>
          </w:p>
          <w:p w:rsidR="00FA2F78" w:rsidRPr="00FA2F78" w:rsidRDefault="00FA2F78" w:rsidP="00FA2F78">
            <w:pPr>
              <w:widowControl w:val="0"/>
              <w:autoSpaceDE w:val="0"/>
              <w:autoSpaceDN w:val="0"/>
              <w:adjustRightInd w:val="0"/>
              <w:ind w:left="720"/>
              <w:rPr>
                <w:rFonts w:asciiTheme="minorHAnsi" w:hAnsiTheme="minorHAnsi"/>
              </w:rPr>
            </w:pPr>
            <w:r w:rsidRPr="00FA2F78">
              <w:rPr>
                <w:rFonts w:asciiTheme="minorHAnsi" w:hAnsiTheme="minorHAnsi"/>
              </w:rPr>
              <w:t>0 - No symptoms at all</w:t>
            </w:r>
          </w:p>
          <w:p w:rsidR="00FA2F78" w:rsidRPr="00FA2F78" w:rsidRDefault="00FA2F78" w:rsidP="00FA2F78">
            <w:pPr>
              <w:widowControl w:val="0"/>
              <w:autoSpaceDE w:val="0"/>
              <w:autoSpaceDN w:val="0"/>
              <w:adjustRightInd w:val="0"/>
              <w:ind w:left="720"/>
              <w:rPr>
                <w:rFonts w:asciiTheme="minorHAnsi" w:hAnsiTheme="minorHAnsi"/>
              </w:rPr>
            </w:pPr>
            <w:r w:rsidRPr="00FA2F78">
              <w:rPr>
                <w:rFonts w:asciiTheme="minorHAnsi" w:hAnsiTheme="minorHAnsi"/>
              </w:rPr>
              <w:t>1  - No significant disability despite symptoms; able to carry out all usual activities</w:t>
            </w:r>
          </w:p>
          <w:p w:rsidR="00FA2F78" w:rsidRPr="00FA2F78" w:rsidRDefault="00FA2F78" w:rsidP="00FA2F78">
            <w:pPr>
              <w:widowControl w:val="0"/>
              <w:autoSpaceDE w:val="0"/>
              <w:autoSpaceDN w:val="0"/>
              <w:adjustRightInd w:val="0"/>
              <w:ind w:left="720"/>
              <w:rPr>
                <w:rFonts w:asciiTheme="minorHAnsi" w:hAnsiTheme="minorHAnsi"/>
              </w:rPr>
            </w:pPr>
            <w:r w:rsidRPr="00FA2F78">
              <w:rPr>
                <w:rFonts w:asciiTheme="minorHAnsi" w:hAnsiTheme="minorHAnsi"/>
              </w:rPr>
              <w:t>2  - Slight disability; but able to carry out all usual activities</w:t>
            </w:r>
          </w:p>
          <w:p w:rsidR="00FA2F78" w:rsidRPr="00FA2F78" w:rsidRDefault="00FA2F78" w:rsidP="00FA2F78">
            <w:pPr>
              <w:widowControl w:val="0"/>
              <w:autoSpaceDE w:val="0"/>
              <w:autoSpaceDN w:val="0"/>
              <w:adjustRightInd w:val="0"/>
              <w:ind w:left="720"/>
              <w:rPr>
                <w:rFonts w:asciiTheme="minorHAnsi" w:hAnsiTheme="minorHAnsi"/>
              </w:rPr>
            </w:pPr>
            <w:r w:rsidRPr="00FA2F78">
              <w:rPr>
                <w:rFonts w:asciiTheme="minorHAnsi" w:hAnsiTheme="minorHAnsi"/>
              </w:rPr>
              <w:t>3  - Moderate disability; loss of function compared to peer related norms</w:t>
            </w:r>
          </w:p>
          <w:p w:rsidR="00FA2F78" w:rsidRPr="00FA2F78" w:rsidRDefault="00FA2F78" w:rsidP="00FA2F78">
            <w:pPr>
              <w:widowControl w:val="0"/>
              <w:autoSpaceDE w:val="0"/>
              <w:autoSpaceDN w:val="0"/>
              <w:adjustRightInd w:val="0"/>
              <w:ind w:left="717"/>
              <w:rPr>
                <w:rFonts w:asciiTheme="minorHAnsi" w:hAnsiTheme="minorHAnsi"/>
              </w:rPr>
            </w:pPr>
            <w:r w:rsidRPr="00FA2F78">
              <w:rPr>
                <w:rFonts w:asciiTheme="minorHAnsi" w:hAnsiTheme="minorHAnsi"/>
              </w:rPr>
              <w:t>4  - Moderately severe disability; significant loss of function requiring  assistance and unable to function without assistance</w:t>
            </w:r>
          </w:p>
          <w:p w:rsidR="00FA2F78" w:rsidRPr="00FA2F78" w:rsidRDefault="00FA2F78" w:rsidP="00FA2F78">
            <w:pPr>
              <w:widowControl w:val="0"/>
              <w:autoSpaceDE w:val="0"/>
              <w:autoSpaceDN w:val="0"/>
              <w:adjustRightInd w:val="0"/>
              <w:ind w:left="717"/>
              <w:rPr>
                <w:rFonts w:asciiTheme="minorHAnsi" w:hAnsiTheme="minorHAnsi"/>
              </w:rPr>
            </w:pPr>
            <w:r w:rsidRPr="00FA2F78">
              <w:rPr>
                <w:rFonts w:asciiTheme="minorHAnsi" w:hAnsiTheme="minorHAnsi"/>
              </w:rPr>
              <w:t xml:space="preserve">5  - Severe disability; and requiring constant attention </w:t>
            </w:r>
          </w:p>
          <w:p w:rsidR="00FA2F78" w:rsidRDefault="00FA2F78" w:rsidP="003A1F9D">
            <w:pPr>
              <w:spacing w:before="120" w:after="120"/>
              <w:rPr>
                <w:rFonts w:asciiTheme="minorHAnsi" w:hAnsiTheme="minorHAnsi"/>
                <w:szCs w:val="20"/>
              </w:rPr>
            </w:pPr>
          </w:p>
          <w:p w:rsidR="00FA2F78" w:rsidRDefault="00FA2F78" w:rsidP="003A1F9D">
            <w:pPr>
              <w:spacing w:before="120" w:after="120"/>
              <w:rPr>
                <w:rFonts w:asciiTheme="minorHAnsi" w:hAnsiTheme="minorHAnsi"/>
                <w:szCs w:val="20"/>
              </w:rPr>
            </w:pPr>
          </w:p>
          <w:p w:rsidR="00FA2F78" w:rsidRDefault="00FA2F78" w:rsidP="003A1F9D">
            <w:pPr>
              <w:spacing w:before="120" w:after="120"/>
              <w:rPr>
                <w:rFonts w:asciiTheme="minorHAnsi" w:hAnsiTheme="minorHAnsi"/>
                <w:szCs w:val="20"/>
              </w:rPr>
            </w:pPr>
          </w:p>
          <w:p w:rsidR="00E03594" w:rsidRDefault="00E03594" w:rsidP="003A1F9D">
            <w:pPr>
              <w:spacing w:before="120" w:after="120"/>
              <w:rPr>
                <w:rFonts w:asciiTheme="minorHAnsi" w:hAnsiTheme="minorHAnsi"/>
                <w:szCs w:val="20"/>
              </w:rPr>
            </w:pPr>
          </w:p>
          <w:p w:rsidR="00FA2F78" w:rsidRPr="00C92149" w:rsidRDefault="00FA2F78" w:rsidP="003A1F9D">
            <w:pPr>
              <w:spacing w:before="120" w:after="120"/>
              <w:rPr>
                <w:rFonts w:asciiTheme="minorHAnsi" w:hAnsiTheme="minorHAnsi"/>
                <w:szCs w:val="20"/>
              </w:rPr>
            </w:pPr>
          </w:p>
        </w:tc>
      </w:tr>
      <w:tr w:rsidR="00021243" w:rsidRPr="00853117" w:rsidTr="00FD1CBB">
        <w:tc>
          <w:tcPr>
            <w:tcW w:w="1560" w:type="dxa"/>
            <w:shd w:val="clear" w:color="auto" w:fill="D9D9D9" w:themeFill="background1" w:themeFillShade="D9"/>
          </w:tcPr>
          <w:p w:rsidR="00021243" w:rsidRPr="00447869" w:rsidRDefault="00021243" w:rsidP="000447FE">
            <w:pPr>
              <w:spacing w:before="120" w:after="120"/>
              <w:rPr>
                <w:rFonts w:asciiTheme="minorHAnsi" w:hAnsiTheme="minorHAnsi"/>
              </w:rPr>
            </w:pPr>
            <w:r w:rsidRPr="00447869">
              <w:rPr>
                <w:rFonts w:asciiTheme="minorHAnsi" w:hAnsiTheme="minorHAnsi"/>
                <w:b/>
              </w:rPr>
              <w:lastRenderedPageBreak/>
              <w:t>Review Criteria</w:t>
            </w:r>
          </w:p>
        </w:tc>
        <w:tc>
          <w:tcPr>
            <w:tcW w:w="3119" w:type="dxa"/>
          </w:tcPr>
          <w:p w:rsidR="00021243" w:rsidRPr="00991850" w:rsidRDefault="00282F66" w:rsidP="00021243">
            <w:pPr>
              <w:pStyle w:val="Default"/>
              <w:spacing w:before="120" w:after="120"/>
              <w:rPr>
                <w:rFonts w:asciiTheme="minorHAnsi" w:hAnsiTheme="minorHAnsi"/>
                <w:sz w:val="22"/>
                <w:szCs w:val="22"/>
              </w:rPr>
            </w:pPr>
            <w:r>
              <w:rPr>
                <w:rFonts w:asciiTheme="minorHAnsi" w:hAnsiTheme="minorHAnsi"/>
                <w:sz w:val="22"/>
                <w:szCs w:val="22"/>
              </w:rPr>
              <w:t xml:space="preserve"> </w:t>
            </w:r>
          </w:p>
          <w:p w:rsidR="00021243" w:rsidRPr="00447869" w:rsidRDefault="00021243" w:rsidP="00021243">
            <w:pPr>
              <w:spacing w:before="120" w:after="120"/>
              <w:rPr>
                <w:rFonts w:asciiTheme="minorHAnsi" w:hAnsiTheme="minorHAnsi"/>
              </w:rPr>
            </w:pPr>
          </w:p>
        </w:tc>
        <w:tc>
          <w:tcPr>
            <w:tcW w:w="5528" w:type="dxa"/>
            <w:gridSpan w:val="3"/>
          </w:tcPr>
          <w:p w:rsidR="00FA2F78" w:rsidRDefault="00FA2F78" w:rsidP="00195705">
            <w:r w:rsidRPr="0011109B">
              <w:t xml:space="preserve">Review by a </w:t>
            </w:r>
            <w:r w:rsidR="00DF54C9">
              <w:t>N</w:t>
            </w:r>
            <w:r w:rsidRPr="0011109B">
              <w:t>eurologist is required within 1 month of treatment to determine whether the patient has responded, and three monthly</w:t>
            </w:r>
            <w:r>
              <w:t>,</w:t>
            </w:r>
            <w:r w:rsidRPr="0011109B">
              <w:t xml:space="preserve"> thereafter.</w:t>
            </w:r>
          </w:p>
          <w:p w:rsidR="00FA2F78" w:rsidRPr="0011109B" w:rsidRDefault="005D150A" w:rsidP="00FA2F78">
            <w:pPr>
              <w:spacing w:before="120" w:after="120"/>
            </w:pPr>
            <w:r w:rsidRPr="0011109B">
              <w:t xml:space="preserve">For stable patients on maintenance treatment, review by a </w:t>
            </w:r>
            <w:r>
              <w:lastRenderedPageBreak/>
              <w:t>N</w:t>
            </w:r>
            <w:r w:rsidRPr="0011109B">
              <w:t xml:space="preserve">eurologist or </w:t>
            </w:r>
            <w:r>
              <w:t>I</w:t>
            </w:r>
            <w:r w:rsidRPr="0011109B">
              <w:t>mmunologist is required at least 3 monthly</w:t>
            </w:r>
            <w:r>
              <w:t>.</w:t>
            </w:r>
            <w:r w:rsidRPr="0011109B">
              <w:t xml:space="preserve"> </w:t>
            </w:r>
            <w:r w:rsidR="00FA2F78" w:rsidRPr="0011109B">
              <w:t xml:space="preserve">Documentation of clinical effectiveness is necessary for continuation of </w:t>
            </w:r>
            <w:r w:rsidR="00164233">
              <w:t>IVIg</w:t>
            </w:r>
            <w:r w:rsidR="00FA2F78" w:rsidRPr="0011109B">
              <w:t xml:space="preserve"> therapy.  </w:t>
            </w:r>
          </w:p>
          <w:p w:rsidR="00FA2F78" w:rsidRDefault="00FA2F78" w:rsidP="00195705"/>
          <w:p w:rsidR="00FA2F78" w:rsidRDefault="00FA2F78" w:rsidP="00195705">
            <w:pPr>
              <w:rPr>
                <w:b/>
              </w:rPr>
            </w:pPr>
          </w:p>
          <w:p w:rsidR="00341D20" w:rsidRDefault="00341D20" w:rsidP="00195705">
            <w:pPr>
              <w:rPr>
                <w:b/>
              </w:rPr>
            </w:pPr>
            <w:r w:rsidRPr="000447FE">
              <w:rPr>
                <w:b/>
              </w:rPr>
              <w:t>On review of the initial authorisation period</w:t>
            </w:r>
          </w:p>
          <w:p w:rsidR="000447FE" w:rsidRPr="000447FE" w:rsidRDefault="000447FE" w:rsidP="00195705">
            <w:pPr>
              <w:rPr>
                <w:b/>
              </w:rPr>
            </w:pPr>
          </w:p>
          <w:p w:rsidR="00341D20" w:rsidRPr="0011109B" w:rsidRDefault="00341D20" w:rsidP="00FA2F78">
            <w:r w:rsidRPr="0011109B">
              <w:t xml:space="preserve">Clinical effectiveness of Ig therapy can be demonstrated by: </w:t>
            </w:r>
          </w:p>
          <w:p w:rsidR="0011109B" w:rsidRDefault="00341D20" w:rsidP="00341D20">
            <w:pPr>
              <w:pStyle w:val="ListParagraph"/>
              <w:numPr>
                <w:ilvl w:val="0"/>
                <w:numId w:val="46"/>
              </w:numPr>
              <w:spacing w:before="120" w:after="120"/>
            </w:pPr>
            <w:r w:rsidRPr="0011109B">
              <w:t>Improvement in the severity of neuropsychiatric symptoms and function as compar</w:t>
            </w:r>
            <w:r w:rsidR="0011109B">
              <w:t>ed to the qualifying assessment</w:t>
            </w:r>
            <w:r w:rsidRPr="0011109B">
              <w:t xml:space="preserve"> </w:t>
            </w:r>
          </w:p>
          <w:p w:rsidR="00341D20" w:rsidRPr="0011109B" w:rsidRDefault="00341D20" w:rsidP="00341D20">
            <w:pPr>
              <w:spacing w:before="120" w:after="120"/>
            </w:pPr>
            <w:r w:rsidRPr="0011109B">
              <w:t>AND</w:t>
            </w:r>
          </w:p>
          <w:p w:rsidR="0011109B" w:rsidRDefault="00341D20" w:rsidP="00341D20">
            <w:pPr>
              <w:pStyle w:val="ListParagraph"/>
              <w:numPr>
                <w:ilvl w:val="0"/>
                <w:numId w:val="46"/>
              </w:numPr>
              <w:spacing w:before="120" w:after="120"/>
            </w:pPr>
            <w:r w:rsidRPr="0011109B">
              <w:t xml:space="preserve">Relevant formal assessment methods are used to monitor the response to Ig therapy (Tics-Yale or OCD-CY-BOCS or Anxiety –SPENCE) </w:t>
            </w:r>
          </w:p>
          <w:p w:rsidR="00341D20" w:rsidRPr="0011109B" w:rsidRDefault="00341D20" w:rsidP="00341D20">
            <w:pPr>
              <w:spacing w:before="120" w:after="120"/>
            </w:pPr>
            <w:r w:rsidRPr="0011109B">
              <w:t>AND</w:t>
            </w:r>
          </w:p>
          <w:p w:rsidR="00341D20" w:rsidRPr="0011109B" w:rsidRDefault="00341D20" w:rsidP="00544D71">
            <w:pPr>
              <w:pStyle w:val="ListParagraph"/>
              <w:numPr>
                <w:ilvl w:val="0"/>
                <w:numId w:val="46"/>
              </w:numPr>
              <w:spacing w:before="120" w:after="120"/>
            </w:pPr>
            <w:r w:rsidRPr="0011109B">
              <w:t xml:space="preserve">Improvement in disability as measured by Modified Rankin Score as compared to the qualifying assessment </w:t>
            </w:r>
          </w:p>
          <w:p w:rsidR="00341D20" w:rsidRPr="0011109B" w:rsidRDefault="00341D20" w:rsidP="00341D20">
            <w:pPr>
              <w:spacing w:before="120" w:after="120"/>
            </w:pPr>
          </w:p>
          <w:p w:rsidR="00341D20" w:rsidRPr="00A841DF" w:rsidRDefault="00341D20" w:rsidP="00341D20">
            <w:pPr>
              <w:spacing w:before="120" w:after="120"/>
              <w:rPr>
                <w:b/>
              </w:rPr>
            </w:pPr>
            <w:r w:rsidRPr="000447FE">
              <w:rPr>
                <w:b/>
              </w:rPr>
              <w:t xml:space="preserve">On review of a continuing authorisation period </w:t>
            </w:r>
          </w:p>
          <w:p w:rsidR="00341D20" w:rsidRPr="0011109B" w:rsidRDefault="000447FE" w:rsidP="00341D20">
            <w:pPr>
              <w:spacing w:before="120" w:after="120"/>
            </w:pPr>
            <w:r w:rsidRPr="0011109B">
              <w:t>Clin</w:t>
            </w:r>
            <w:r>
              <w:t>i</w:t>
            </w:r>
            <w:r w:rsidRPr="0011109B">
              <w:t>cal</w:t>
            </w:r>
            <w:r w:rsidR="00341D20" w:rsidRPr="0011109B">
              <w:t xml:space="preserve"> effectiveness of Ig therapy can be demonstrated by: </w:t>
            </w:r>
          </w:p>
          <w:p w:rsidR="00341D20" w:rsidRPr="0011109B" w:rsidRDefault="00341D20" w:rsidP="00341D20">
            <w:pPr>
              <w:pStyle w:val="ListParagraph"/>
              <w:numPr>
                <w:ilvl w:val="0"/>
                <w:numId w:val="46"/>
              </w:numPr>
              <w:spacing w:before="120" w:after="120"/>
            </w:pPr>
            <w:r w:rsidRPr="0011109B">
              <w:t xml:space="preserve">Improvement in neuropsychiatric symptoms and function compared to the previous review </w:t>
            </w:r>
            <w:r w:rsidRPr="0011109B">
              <w:lastRenderedPageBreak/>
              <w:t xml:space="preserve">assessment  </w:t>
            </w:r>
          </w:p>
          <w:p w:rsidR="00341D20" w:rsidRPr="0011109B" w:rsidRDefault="00341D20" w:rsidP="00341D20">
            <w:pPr>
              <w:spacing w:before="120" w:after="120"/>
            </w:pPr>
            <w:r w:rsidRPr="000447FE">
              <w:t>AND</w:t>
            </w:r>
          </w:p>
          <w:p w:rsidR="00341D20" w:rsidRPr="0011109B" w:rsidRDefault="00341D20" w:rsidP="00341D20">
            <w:pPr>
              <w:pStyle w:val="ListParagraph"/>
              <w:numPr>
                <w:ilvl w:val="0"/>
                <w:numId w:val="46"/>
              </w:numPr>
              <w:spacing w:before="120" w:after="120"/>
            </w:pPr>
            <w:r w:rsidRPr="0011109B">
              <w:t xml:space="preserve">Relevant formal assessment methods are used to monitor the response to Ig therapy (Tics-Yale or OCD-CY-BOCS or Anxiety –SPENCE) </w:t>
            </w:r>
          </w:p>
          <w:p w:rsidR="00341D20" w:rsidRPr="0011109B" w:rsidRDefault="00341D20" w:rsidP="00341D20">
            <w:pPr>
              <w:spacing w:before="120" w:after="120"/>
            </w:pPr>
            <w:r w:rsidRPr="0011109B">
              <w:t>AND</w:t>
            </w:r>
          </w:p>
          <w:p w:rsidR="00021243" w:rsidRPr="0011109B" w:rsidRDefault="00341D20" w:rsidP="00544D71">
            <w:pPr>
              <w:pStyle w:val="ListParagraph"/>
              <w:numPr>
                <w:ilvl w:val="0"/>
                <w:numId w:val="46"/>
              </w:numPr>
              <w:spacing w:before="120" w:after="120"/>
            </w:pPr>
            <w:r w:rsidRPr="0011109B">
              <w:t xml:space="preserve">Improvement in disability is demonstrated as measured by Modified Rankin Score as compared to the previous review  assessment </w:t>
            </w:r>
            <w:r w:rsidRPr="00544D71">
              <w:rPr>
                <w:b/>
              </w:rPr>
              <w:t xml:space="preserve"> </w:t>
            </w:r>
          </w:p>
        </w:tc>
        <w:tc>
          <w:tcPr>
            <w:tcW w:w="4394" w:type="dxa"/>
          </w:tcPr>
          <w:p w:rsidR="00FA2F78" w:rsidRDefault="00FA2F78" w:rsidP="00FA2F78">
            <w:pPr>
              <w:spacing w:before="120" w:after="120"/>
              <w:rPr>
                <w:szCs w:val="20"/>
              </w:rPr>
            </w:pPr>
            <w:r>
              <w:rPr>
                <w:szCs w:val="20"/>
              </w:rPr>
              <w:lastRenderedPageBreak/>
              <w:t xml:space="preserve">At initial review, </w:t>
            </w:r>
            <w:r w:rsidR="0029539F">
              <w:rPr>
                <w:szCs w:val="20"/>
              </w:rPr>
              <w:t>i</w:t>
            </w:r>
            <w:r>
              <w:rPr>
                <w:szCs w:val="20"/>
              </w:rPr>
              <w:t xml:space="preserve">mprovement in the severity of symptoms must be demonstrated for Ig therapy to be re-authorised. Relevant formal assessment methods must have been used in </w:t>
            </w:r>
            <w:r>
              <w:rPr>
                <w:szCs w:val="20"/>
              </w:rPr>
              <w:lastRenderedPageBreak/>
              <w:t xml:space="preserve">the assessment - these are suggested, however the variability in symptoms is such that a single methodology cannot be stipulated. For example; </w:t>
            </w:r>
          </w:p>
          <w:p w:rsidR="00FA2F78" w:rsidRPr="0059330D" w:rsidRDefault="00FA2F78" w:rsidP="00FA2F78">
            <w:pPr>
              <w:pStyle w:val="ListParagraph"/>
              <w:numPr>
                <w:ilvl w:val="0"/>
                <w:numId w:val="47"/>
              </w:numPr>
              <w:spacing w:after="200" w:line="0" w:lineRule="atLeast"/>
              <w:rPr>
                <w:szCs w:val="20"/>
              </w:rPr>
            </w:pPr>
            <w:r w:rsidRPr="0059330D">
              <w:rPr>
                <w:szCs w:val="20"/>
              </w:rPr>
              <w:t>Tic as measured by Yale Scale</w:t>
            </w:r>
          </w:p>
          <w:p w:rsidR="00FA2F78" w:rsidRPr="0059330D" w:rsidRDefault="00FA2F78" w:rsidP="00FA2F78">
            <w:pPr>
              <w:pStyle w:val="ListParagraph"/>
              <w:numPr>
                <w:ilvl w:val="0"/>
                <w:numId w:val="47"/>
              </w:numPr>
              <w:spacing w:after="200" w:line="0" w:lineRule="atLeast"/>
              <w:rPr>
                <w:szCs w:val="20"/>
              </w:rPr>
            </w:pPr>
            <w:r w:rsidRPr="0059330D">
              <w:rPr>
                <w:szCs w:val="20"/>
              </w:rPr>
              <w:t>OCD as assessed by CY-BOCS</w:t>
            </w:r>
          </w:p>
          <w:p w:rsidR="00FA2F78" w:rsidRPr="0059330D" w:rsidRDefault="00FA2F78" w:rsidP="00FA2F78">
            <w:pPr>
              <w:pStyle w:val="ListParagraph"/>
              <w:numPr>
                <w:ilvl w:val="0"/>
                <w:numId w:val="47"/>
              </w:numPr>
              <w:spacing w:after="200" w:line="0" w:lineRule="atLeast"/>
              <w:rPr>
                <w:szCs w:val="20"/>
              </w:rPr>
            </w:pPr>
            <w:r w:rsidRPr="0059330D">
              <w:rPr>
                <w:szCs w:val="20"/>
              </w:rPr>
              <w:t>Anxiety as assessed by SPENCE</w:t>
            </w:r>
          </w:p>
          <w:p w:rsidR="00FA2F78" w:rsidRDefault="00FA2F78" w:rsidP="00FA2F78">
            <w:pPr>
              <w:spacing w:before="120" w:after="120"/>
              <w:rPr>
                <w:szCs w:val="20"/>
              </w:rPr>
            </w:pPr>
            <w:r>
              <w:rPr>
                <w:szCs w:val="20"/>
              </w:rPr>
              <w:t xml:space="preserve">The Modified Rankin is maintained as the standard assessment method for disability. </w:t>
            </w:r>
          </w:p>
          <w:p w:rsidR="00FA2F78" w:rsidRDefault="00FA2F78" w:rsidP="00FA2F78">
            <w:pPr>
              <w:spacing w:before="120" w:after="120"/>
              <w:rPr>
                <w:szCs w:val="20"/>
              </w:rPr>
            </w:pPr>
            <w:r>
              <w:rPr>
                <w:szCs w:val="20"/>
              </w:rPr>
              <w:t xml:space="preserve">The authorisation of continuing Ig therapy will be dependent on improvement being consistently demonstrated but symptoms and disability persisting.  </w:t>
            </w:r>
          </w:p>
          <w:p w:rsidR="00BD6C2D" w:rsidRPr="00C92149" w:rsidRDefault="00BD6C2D" w:rsidP="00021243">
            <w:pPr>
              <w:spacing w:before="120" w:after="120"/>
              <w:rPr>
                <w:rFonts w:asciiTheme="minorHAnsi" w:hAnsiTheme="minorHAnsi"/>
                <w:szCs w:val="20"/>
              </w:rPr>
            </w:pPr>
          </w:p>
        </w:tc>
      </w:tr>
      <w:tr w:rsidR="00021243" w:rsidRPr="00853117" w:rsidTr="00FD1CBB">
        <w:tc>
          <w:tcPr>
            <w:tcW w:w="1560" w:type="dxa"/>
            <w:shd w:val="clear" w:color="auto" w:fill="D9D9D9" w:themeFill="background1" w:themeFillShade="D9"/>
          </w:tcPr>
          <w:p w:rsidR="00021243" w:rsidRPr="00447869" w:rsidRDefault="00021243" w:rsidP="000447FE">
            <w:pPr>
              <w:spacing w:before="120" w:after="120"/>
              <w:rPr>
                <w:rFonts w:asciiTheme="minorHAnsi" w:hAnsiTheme="minorHAnsi"/>
              </w:rPr>
            </w:pPr>
            <w:r w:rsidRPr="00447869">
              <w:rPr>
                <w:rFonts w:asciiTheme="minorHAnsi" w:hAnsiTheme="minorHAnsi"/>
                <w:b/>
              </w:rPr>
              <w:lastRenderedPageBreak/>
              <w:t>Dose</w:t>
            </w:r>
          </w:p>
        </w:tc>
        <w:tc>
          <w:tcPr>
            <w:tcW w:w="3119" w:type="dxa"/>
          </w:tcPr>
          <w:p w:rsidR="00320C9D" w:rsidRPr="0005022A" w:rsidRDefault="00021243" w:rsidP="00320C9D">
            <w:pPr>
              <w:tabs>
                <w:tab w:val="left" w:pos="991"/>
              </w:tabs>
              <w:spacing w:after="240" w:line="20" w:lineRule="atLeast"/>
              <w:rPr>
                <w:rFonts w:asciiTheme="minorHAnsi" w:eastAsia="Times New Roman" w:hAnsiTheme="minorHAnsi" w:cs="Times New Roman"/>
                <w:color w:val="000000"/>
                <w:lang w:eastAsia="en-AU"/>
              </w:rPr>
            </w:pPr>
            <w:r>
              <w:rPr>
                <w:rFonts w:cs="DIN-Medium"/>
                <w:color w:val="000000"/>
                <w:sz w:val="18"/>
                <w:szCs w:val="18"/>
              </w:rPr>
              <w:t xml:space="preserve"> </w:t>
            </w:r>
            <w:r w:rsidR="00320C9D" w:rsidRPr="0005022A">
              <w:rPr>
                <w:rFonts w:asciiTheme="minorHAnsi" w:eastAsia="Times New Roman" w:hAnsiTheme="minorHAnsi" w:cs="Times New Roman"/>
                <w:color w:val="000000"/>
                <w:lang w:eastAsia="en-AU"/>
              </w:rPr>
              <w:t>Refer to the current product information sheet for further information.</w:t>
            </w:r>
          </w:p>
          <w:p w:rsidR="00021243" w:rsidRPr="00447869" w:rsidRDefault="00320C9D" w:rsidP="00320C9D">
            <w:pPr>
              <w:spacing w:before="120" w:after="120"/>
              <w:rPr>
                <w:rFonts w:asciiTheme="minorHAnsi" w:hAnsiTheme="minorHAnsi"/>
                <w:b/>
              </w:rPr>
            </w:pPr>
            <w:r w:rsidRPr="0005022A">
              <w:rPr>
                <w:rFonts w:asciiTheme="minorHAnsi" w:eastAsia="Times New Roman" w:hAnsiTheme="minorHAnsi" w:cs="Times New Roman"/>
                <w:color w:val="000000"/>
                <w:lang w:eastAsia="en-AU"/>
              </w:rPr>
              <w:t>The aim should be to use the lowest dose possible that achieves the appropriate clinical outcome for each patient.</w:t>
            </w:r>
          </w:p>
        </w:tc>
        <w:tc>
          <w:tcPr>
            <w:tcW w:w="5528" w:type="dxa"/>
            <w:gridSpan w:val="3"/>
          </w:tcPr>
          <w:p w:rsidR="00341D20" w:rsidRPr="00341D20" w:rsidRDefault="00341D20" w:rsidP="00341D20">
            <w:pPr>
              <w:spacing w:before="120" w:after="120"/>
              <w:rPr>
                <w:rFonts w:asciiTheme="minorHAnsi" w:hAnsiTheme="minorHAnsi"/>
              </w:rPr>
            </w:pPr>
            <w:r w:rsidRPr="000447FE">
              <w:rPr>
                <w:rFonts w:asciiTheme="minorHAnsi" w:hAnsiTheme="minorHAnsi"/>
                <w:b/>
              </w:rPr>
              <w:t xml:space="preserve">Induction </w:t>
            </w:r>
            <w:r w:rsidR="00FA2F78">
              <w:rPr>
                <w:rFonts w:asciiTheme="minorHAnsi" w:hAnsiTheme="minorHAnsi"/>
                <w:b/>
              </w:rPr>
              <w:t>D</w:t>
            </w:r>
            <w:r w:rsidR="000447FE" w:rsidRPr="000447FE">
              <w:rPr>
                <w:rFonts w:asciiTheme="minorHAnsi" w:hAnsiTheme="minorHAnsi"/>
                <w:b/>
              </w:rPr>
              <w:t>ose</w:t>
            </w:r>
            <w:r w:rsidR="00FA2F78">
              <w:rPr>
                <w:rFonts w:asciiTheme="minorHAnsi" w:hAnsiTheme="minorHAnsi"/>
              </w:rPr>
              <w:t>– U</w:t>
            </w:r>
            <w:r w:rsidRPr="00341D20">
              <w:rPr>
                <w:rFonts w:asciiTheme="minorHAnsi" w:hAnsiTheme="minorHAnsi"/>
              </w:rPr>
              <w:t>p to 2g/kg in 2 to 5 divided doses</w:t>
            </w:r>
          </w:p>
          <w:p w:rsidR="00341D20" w:rsidRPr="00341D20" w:rsidRDefault="00341D20" w:rsidP="00341D20">
            <w:pPr>
              <w:spacing w:before="120" w:after="120"/>
              <w:rPr>
                <w:rFonts w:asciiTheme="minorHAnsi" w:hAnsiTheme="minorHAnsi"/>
              </w:rPr>
            </w:pPr>
            <w:r w:rsidRPr="00341D20">
              <w:rPr>
                <w:rFonts w:asciiTheme="minorHAnsi" w:hAnsiTheme="minorHAnsi"/>
              </w:rPr>
              <w:t xml:space="preserve">Review after 1 month, if </w:t>
            </w:r>
            <w:r w:rsidR="005D150A">
              <w:rPr>
                <w:rFonts w:asciiTheme="minorHAnsi" w:hAnsiTheme="minorHAnsi"/>
              </w:rPr>
              <w:t xml:space="preserve">improvement demonstrated but </w:t>
            </w:r>
            <w:r w:rsidRPr="00341D20">
              <w:rPr>
                <w:rFonts w:asciiTheme="minorHAnsi" w:hAnsiTheme="minorHAnsi"/>
              </w:rPr>
              <w:t>symptoms persist, further courses can be considered</w:t>
            </w:r>
            <w:r w:rsidR="005D150A">
              <w:rPr>
                <w:rFonts w:asciiTheme="minorHAnsi" w:hAnsiTheme="minorHAnsi"/>
              </w:rPr>
              <w:t xml:space="preserve"> every three months</w:t>
            </w:r>
            <w:r w:rsidRPr="00341D20">
              <w:rPr>
                <w:rFonts w:asciiTheme="minorHAnsi" w:hAnsiTheme="minorHAnsi"/>
              </w:rPr>
              <w:t xml:space="preserve">.  </w:t>
            </w:r>
          </w:p>
          <w:p w:rsidR="005D150A" w:rsidRPr="00341D20" w:rsidRDefault="00341D20" w:rsidP="00A841DF">
            <w:pPr>
              <w:tabs>
                <w:tab w:val="left" w:pos="2940"/>
              </w:tabs>
              <w:rPr>
                <w:rFonts w:asciiTheme="minorHAnsi" w:hAnsiTheme="minorHAnsi"/>
              </w:rPr>
            </w:pPr>
            <w:r w:rsidRPr="000447FE">
              <w:rPr>
                <w:rFonts w:asciiTheme="minorHAnsi" w:hAnsiTheme="minorHAnsi"/>
                <w:b/>
              </w:rPr>
              <w:t>Maintenance</w:t>
            </w:r>
            <w:r w:rsidR="00FA2F78">
              <w:rPr>
                <w:rFonts w:asciiTheme="minorHAnsi" w:hAnsiTheme="minorHAnsi"/>
                <w:b/>
              </w:rPr>
              <w:t xml:space="preserve"> D</w:t>
            </w:r>
            <w:r w:rsidR="000447FE" w:rsidRPr="000447FE">
              <w:rPr>
                <w:rFonts w:asciiTheme="minorHAnsi" w:hAnsiTheme="minorHAnsi"/>
                <w:b/>
              </w:rPr>
              <w:t>ose</w:t>
            </w:r>
            <w:r w:rsidRPr="00341D20">
              <w:rPr>
                <w:rFonts w:asciiTheme="minorHAnsi" w:hAnsiTheme="minorHAnsi"/>
              </w:rPr>
              <w:t xml:space="preserve"> –1- 1.5 g/kg, 4 to 6 weekly </w:t>
            </w:r>
          </w:p>
          <w:p w:rsidR="000447FE" w:rsidRPr="00341D20" w:rsidRDefault="000447FE" w:rsidP="00195705">
            <w:pPr>
              <w:tabs>
                <w:tab w:val="left" w:pos="2940"/>
              </w:tabs>
              <w:rPr>
                <w:rFonts w:asciiTheme="minorHAnsi" w:hAnsiTheme="minorHAnsi"/>
              </w:rPr>
            </w:pPr>
          </w:p>
          <w:p w:rsidR="00195705" w:rsidRDefault="00341D20" w:rsidP="00341D20">
            <w:pPr>
              <w:spacing w:before="120" w:after="120"/>
              <w:rPr>
                <w:rFonts w:asciiTheme="minorHAnsi" w:hAnsiTheme="minorHAnsi"/>
              </w:rPr>
            </w:pPr>
            <w:r w:rsidRPr="00341D20">
              <w:rPr>
                <w:rFonts w:asciiTheme="minorHAnsi" w:hAnsiTheme="minorHAnsi"/>
              </w:rPr>
              <w:t>The aim should be to use the lowest dose possible that achieves the appropriate clinical outcome for each patient.</w:t>
            </w:r>
          </w:p>
          <w:p w:rsidR="00021243" w:rsidRPr="00FA2F78" w:rsidRDefault="00341D20" w:rsidP="00341D20">
            <w:pPr>
              <w:spacing w:before="120" w:after="120"/>
              <w:rPr>
                <w:rFonts w:asciiTheme="minorHAnsi" w:hAnsiTheme="minorHAnsi"/>
                <w:b/>
              </w:rPr>
            </w:pPr>
            <w:r w:rsidRPr="00FA2F78">
              <w:rPr>
                <w:rFonts w:asciiTheme="minorHAnsi" w:hAnsiTheme="minorHAnsi"/>
                <w:b/>
              </w:rPr>
              <w:t>Refer to the current product information sheet for further information</w:t>
            </w:r>
            <w:r w:rsidR="000447FE" w:rsidRPr="00FA2F78">
              <w:rPr>
                <w:rFonts w:asciiTheme="minorHAnsi" w:hAnsiTheme="minorHAnsi"/>
                <w:b/>
              </w:rPr>
              <w:t xml:space="preserve"> on dose, administration and </w:t>
            </w:r>
            <w:r w:rsidR="00FA2F78" w:rsidRPr="00FA2F78">
              <w:rPr>
                <w:rFonts w:asciiTheme="minorHAnsi" w:hAnsiTheme="minorHAnsi"/>
                <w:b/>
              </w:rPr>
              <w:t>contraindications</w:t>
            </w:r>
            <w:r w:rsidRPr="00FA2F78">
              <w:rPr>
                <w:rFonts w:asciiTheme="minorHAnsi" w:hAnsiTheme="minorHAnsi"/>
                <w:b/>
              </w:rPr>
              <w:t>.</w:t>
            </w:r>
          </w:p>
        </w:tc>
        <w:tc>
          <w:tcPr>
            <w:tcW w:w="4394" w:type="dxa"/>
          </w:tcPr>
          <w:p w:rsidR="00021243" w:rsidRPr="00C92149" w:rsidRDefault="008E15CB" w:rsidP="00DF54C9">
            <w:pPr>
              <w:spacing w:before="120" w:after="120"/>
              <w:rPr>
                <w:rFonts w:asciiTheme="minorHAnsi" w:hAnsiTheme="minorHAnsi"/>
                <w:szCs w:val="20"/>
              </w:rPr>
            </w:pPr>
            <w:r>
              <w:rPr>
                <w:rFonts w:asciiTheme="minorHAnsi" w:hAnsiTheme="minorHAnsi"/>
                <w:szCs w:val="20"/>
              </w:rPr>
              <w:t xml:space="preserve">Induction and maintenance doses </w:t>
            </w:r>
            <w:r w:rsidR="00FA2F78">
              <w:rPr>
                <w:rFonts w:asciiTheme="minorHAnsi" w:hAnsiTheme="minorHAnsi"/>
                <w:szCs w:val="20"/>
              </w:rPr>
              <w:t xml:space="preserve">have been </w:t>
            </w:r>
            <w:r>
              <w:rPr>
                <w:rFonts w:asciiTheme="minorHAnsi" w:hAnsiTheme="minorHAnsi"/>
                <w:szCs w:val="20"/>
              </w:rPr>
              <w:t xml:space="preserve">developed and agreed by </w:t>
            </w:r>
            <w:r w:rsidR="00DF54C9">
              <w:rPr>
                <w:rFonts w:asciiTheme="minorHAnsi" w:hAnsiTheme="minorHAnsi"/>
                <w:szCs w:val="20"/>
              </w:rPr>
              <w:t xml:space="preserve">Specialist Working Group </w:t>
            </w:r>
            <w:r>
              <w:rPr>
                <w:rFonts w:asciiTheme="minorHAnsi" w:hAnsiTheme="minorHAnsi"/>
                <w:szCs w:val="20"/>
              </w:rPr>
              <w:t xml:space="preserve">consensus. </w:t>
            </w:r>
          </w:p>
        </w:tc>
      </w:tr>
    </w:tbl>
    <w:p w:rsidR="00447869" w:rsidRDefault="00447869" w:rsidP="00447869">
      <w:pPr>
        <w:spacing w:before="120" w:after="120"/>
        <w:rPr>
          <w:rFonts w:asciiTheme="minorHAnsi" w:hAnsiTheme="minorHAnsi"/>
        </w:rPr>
        <w:sectPr w:rsidR="00447869" w:rsidSect="00447869">
          <w:headerReference w:type="default" r:id="rId9"/>
          <w:footerReference w:type="default" r:id="rId10"/>
          <w:headerReference w:type="first" r:id="rId11"/>
          <w:footerReference w:type="first" r:id="rId12"/>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4A0" w:firstRow="1" w:lastRow="0" w:firstColumn="1" w:lastColumn="0" w:noHBand="0" w:noVBand="1"/>
      </w:tblPr>
      <w:tblGrid>
        <w:gridCol w:w="14601"/>
      </w:tblGrid>
      <w:tr w:rsidR="008612AB" w:rsidRPr="00021243" w:rsidTr="008612AB">
        <w:tc>
          <w:tcPr>
            <w:tcW w:w="14601" w:type="dxa"/>
            <w:shd w:val="clear" w:color="auto" w:fill="B8CCE4" w:themeFill="accent1" w:themeFillTint="66"/>
          </w:tcPr>
          <w:p w:rsidR="00A80A19" w:rsidRDefault="00F42816" w:rsidP="009F1DFC">
            <w:pPr>
              <w:spacing w:before="120" w:after="120"/>
              <w:jc w:val="center"/>
              <w:rPr>
                <w:rFonts w:asciiTheme="minorHAnsi" w:hAnsiTheme="minorHAnsi"/>
                <w:b/>
              </w:rPr>
            </w:pPr>
            <w:r>
              <w:rPr>
                <w:rFonts w:asciiTheme="minorHAnsi" w:hAnsiTheme="minorHAnsi"/>
                <w:b/>
              </w:rPr>
              <w:lastRenderedPageBreak/>
              <w:t>References</w:t>
            </w:r>
          </w:p>
          <w:p w:rsidR="00901F76" w:rsidRPr="00021243" w:rsidRDefault="00901F76" w:rsidP="005D37EC">
            <w:pPr>
              <w:spacing w:before="120" w:after="120"/>
              <w:jc w:val="center"/>
              <w:rPr>
                <w:rFonts w:asciiTheme="minorHAnsi" w:hAnsiTheme="minorHAnsi"/>
                <w:b/>
              </w:rPr>
            </w:pPr>
            <w:r>
              <w:rPr>
                <w:rFonts w:asciiTheme="minorHAnsi" w:hAnsiTheme="minorHAnsi"/>
                <w:b/>
              </w:rPr>
              <w:t>(</w:t>
            </w:r>
            <w:r w:rsidR="00F37D98">
              <w:rPr>
                <w:rFonts w:asciiTheme="minorHAnsi" w:hAnsiTheme="minorHAnsi"/>
                <w:b/>
              </w:rPr>
              <w:t xml:space="preserve">most </w:t>
            </w:r>
            <w:r>
              <w:rPr>
                <w:rFonts w:asciiTheme="minorHAnsi" w:hAnsiTheme="minorHAnsi"/>
                <w:b/>
              </w:rPr>
              <w:t>recent update</w:t>
            </w:r>
            <w:r w:rsidR="00F37D98">
              <w:rPr>
                <w:rFonts w:asciiTheme="minorHAnsi" w:hAnsiTheme="minorHAnsi"/>
                <w:b/>
              </w:rPr>
              <w:t>:</w:t>
            </w:r>
            <w:r>
              <w:rPr>
                <w:rFonts w:asciiTheme="minorHAnsi" w:hAnsiTheme="minorHAnsi"/>
                <w:b/>
              </w:rPr>
              <w:t xml:space="preserve"> </w:t>
            </w:r>
            <w:r w:rsidR="00F37D98">
              <w:rPr>
                <w:rFonts w:asciiTheme="minorHAnsi" w:hAnsiTheme="minorHAnsi"/>
                <w:b/>
              </w:rPr>
              <w:t>February</w:t>
            </w:r>
            <w:r w:rsidR="005D37EC">
              <w:rPr>
                <w:rFonts w:asciiTheme="minorHAnsi" w:hAnsiTheme="minorHAnsi"/>
                <w:b/>
              </w:rPr>
              <w:t xml:space="preserve"> 2016</w:t>
            </w:r>
            <w:r>
              <w:rPr>
                <w:rFonts w:asciiTheme="minorHAnsi" w:hAnsiTheme="minorHAnsi"/>
                <w:b/>
              </w:rPr>
              <w:t>)</w:t>
            </w:r>
          </w:p>
        </w:tc>
      </w:tr>
      <w:tr w:rsidR="008612AB" w:rsidRPr="00255740" w:rsidTr="008612AB">
        <w:tc>
          <w:tcPr>
            <w:tcW w:w="14601" w:type="dxa"/>
          </w:tcPr>
          <w:p w:rsidR="00A71FCC" w:rsidRDefault="00A71FCC" w:rsidP="00FB6C7F">
            <w:pPr>
              <w:spacing w:after="240" w:line="20" w:lineRule="atLeast"/>
              <w:rPr>
                <w:rFonts w:asciiTheme="minorHAnsi" w:eastAsia="Times New Roman" w:hAnsiTheme="minorHAnsi" w:cstheme="minorHAnsi"/>
                <w:color w:val="000000"/>
              </w:rPr>
            </w:pPr>
            <w:r>
              <w:rPr>
                <w:rFonts w:asciiTheme="minorHAnsi" w:eastAsia="Times New Roman" w:hAnsiTheme="minorHAnsi" w:cstheme="minorHAnsi"/>
                <w:color w:val="000000"/>
              </w:rPr>
              <w:t>Chang</w:t>
            </w:r>
            <w:r w:rsidR="00FB6C7F" w:rsidRPr="00FB6C7F">
              <w:rPr>
                <w:rFonts w:asciiTheme="minorHAnsi" w:eastAsia="Times New Roman" w:hAnsiTheme="minorHAnsi" w:cstheme="minorHAnsi"/>
                <w:color w:val="000000"/>
              </w:rPr>
              <w:t xml:space="preserve"> K</w:t>
            </w:r>
            <w:r>
              <w:rPr>
                <w:rFonts w:asciiTheme="minorHAnsi" w:eastAsia="Times New Roman" w:hAnsiTheme="minorHAnsi" w:cstheme="minorHAnsi"/>
                <w:color w:val="000000"/>
              </w:rPr>
              <w:t>, Frankovich</w:t>
            </w:r>
            <w:r w:rsidR="00FB6C7F" w:rsidRPr="00FB6C7F">
              <w:rPr>
                <w:rFonts w:asciiTheme="minorHAnsi" w:eastAsia="Times New Roman" w:hAnsiTheme="minorHAnsi" w:cstheme="minorHAnsi"/>
                <w:color w:val="000000"/>
              </w:rPr>
              <w:t xml:space="preserve"> J</w:t>
            </w:r>
            <w:r>
              <w:rPr>
                <w:rFonts w:asciiTheme="minorHAnsi" w:eastAsia="Times New Roman" w:hAnsiTheme="minorHAnsi" w:cstheme="minorHAnsi"/>
                <w:color w:val="000000"/>
              </w:rPr>
              <w:t>, Cooperstock</w:t>
            </w:r>
            <w:r w:rsidR="00FB6C7F" w:rsidRPr="00FB6C7F">
              <w:rPr>
                <w:rFonts w:asciiTheme="minorHAnsi" w:eastAsia="Times New Roman" w:hAnsiTheme="minorHAnsi" w:cstheme="minorHAnsi"/>
                <w:color w:val="000000"/>
              </w:rPr>
              <w:t xml:space="preserve"> M</w:t>
            </w:r>
            <w:r>
              <w:rPr>
                <w:rFonts w:asciiTheme="minorHAnsi" w:eastAsia="Times New Roman" w:hAnsiTheme="minorHAnsi" w:cstheme="minorHAnsi"/>
                <w:color w:val="000000"/>
              </w:rPr>
              <w:t>, Cunningham M, Latimer M, Murphy T, et al</w:t>
            </w:r>
            <w:r w:rsidR="00E35A9D">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(2015)</w:t>
            </w:r>
            <w:r w:rsidR="00E35A9D">
              <w:rPr>
                <w:rFonts w:asciiTheme="minorHAnsi" w:eastAsia="Times New Roman" w:hAnsiTheme="minorHAnsi" w:cstheme="minorHAnsi"/>
                <w:color w:val="000000"/>
              </w:rPr>
              <w:t xml:space="preserve"> </w:t>
            </w:r>
            <w:r w:rsidR="0029539F" w:rsidRPr="00FB6C7F">
              <w:rPr>
                <w:rFonts w:asciiTheme="minorHAnsi" w:eastAsia="Times New Roman" w:hAnsiTheme="minorHAnsi" w:cstheme="minorHAnsi"/>
                <w:color w:val="000000"/>
              </w:rPr>
              <w:t>Clinical</w:t>
            </w:r>
            <w:r w:rsidR="00FB6C7F" w:rsidRPr="00FB6C7F">
              <w:rPr>
                <w:rFonts w:asciiTheme="minorHAnsi" w:eastAsia="Times New Roman" w:hAnsiTheme="minorHAnsi" w:cstheme="minorHAnsi"/>
                <w:color w:val="000000"/>
              </w:rPr>
              <w:t xml:space="preserve"> Evaluation of youth with pediatric Acute-onset neuropsychiatric Syndrome (PANS): Recommendations from the </w:t>
            </w:r>
            <w:r w:rsidR="00E35A9D">
              <w:rPr>
                <w:rFonts w:asciiTheme="minorHAnsi" w:eastAsia="Times New Roman" w:hAnsiTheme="minorHAnsi" w:cstheme="minorHAnsi"/>
                <w:color w:val="000000"/>
              </w:rPr>
              <w:t xml:space="preserve">2013 PANS Consensus Conference. </w:t>
            </w:r>
            <w:r w:rsidR="00FB6C7F" w:rsidRPr="00E35A9D">
              <w:rPr>
                <w:rFonts w:asciiTheme="minorHAnsi" w:eastAsia="Times New Roman" w:hAnsiTheme="minorHAnsi" w:cstheme="minorHAnsi"/>
                <w:i/>
                <w:color w:val="000000"/>
              </w:rPr>
              <w:t>Journal of Child and Adolescent Psychopharmacology</w:t>
            </w:r>
            <w:r>
              <w:rPr>
                <w:rFonts w:asciiTheme="minorHAnsi" w:eastAsia="Times New Roman" w:hAnsiTheme="minorHAnsi" w:cstheme="minorHAnsi"/>
                <w:color w:val="000000"/>
              </w:rPr>
              <w:t>, 25:</w:t>
            </w:r>
            <w:r w:rsidR="00FB6C7F" w:rsidRPr="00FB6C7F">
              <w:rPr>
                <w:rFonts w:asciiTheme="minorHAnsi" w:eastAsia="Times New Roman" w:hAnsiTheme="minorHAnsi" w:cstheme="minorHAnsi"/>
                <w:color w:val="000000"/>
              </w:rPr>
              <w:t>3-</w:t>
            </w:r>
            <w:r w:rsidR="00FB6C7F" w:rsidRPr="00FB6C7F">
              <w:rPr>
                <w:rFonts w:asciiTheme="minorHAnsi" w:eastAsia="Times New Roman" w:hAnsiTheme="minorHAnsi" w:cstheme="minorHAnsi"/>
                <w:color w:val="000000"/>
              </w:rPr>
              <w:lastRenderedPageBreak/>
              <w:t>13.</w:t>
            </w:r>
          </w:p>
          <w:p w:rsidR="00A71FCC" w:rsidRPr="00A71FCC" w:rsidRDefault="005A3A63" w:rsidP="00FB6C7F">
            <w:pPr>
              <w:spacing w:after="240" w:line="20" w:lineRule="atLeast"/>
              <w:rPr>
                <w:rFonts w:asciiTheme="minorHAnsi" w:eastAsia="Times New Roman" w:hAnsiTheme="minorHAnsi" w:cstheme="minorHAnsi"/>
                <w:color w:val="808080" w:themeColor="background1" w:themeShade="80"/>
              </w:rPr>
            </w:pPr>
            <w:hyperlink r:id="rId13" w:history="1">
              <w:r w:rsidR="00A71FCC" w:rsidRPr="00A71FCC">
                <w:rPr>
                  <w:rStyle w:val="Hyperlink"/>
                  <w:rFonts w:asciiTheme="minorHAnsi" w:eastAsia="Times New Roman" w:hAnsiTheme="minorHAnsi" w:cstheme="minorHAnsi"/>
                  <w:color w:val="808080" w:themeColor="background1" w:themeShade="80"/>
                </w:rPr>
                <w:t>https://www.ncbi.nlm.nih.gov/pubmed/25325534</w:t>
              </w:r>
            </w:hyperlink>
          </w:p>
          <w:p w:rsidR="00FB6C7F" w:rsidRPr="00FB6C7F" w:rsidRDefault="00FB6C7F" w:rsidP="00FB6C7F">
            <w:pPr>
              <w:spacing w:after="240" w:line="20" w:lineRule="atLeast"/>
              <w:rPr>
                <w:rFonts w:asciiTheme="minorHAnsi" w:eastAsia="Times New Roman" w:hAnsiTheme="minorHAnsi" w:cstheme="minorHAnsi"/>
                <w:color w:val="000000"/>
              </w:rPr>
            </w:pPr>
            <w:r w:rsidRPr="00FB6C7F">
              <w:rPr>
                <w:rFonts w:asciiTheme="minorHAnsi" w:eastAsia="Times New Roman" w:hAnsiTheme="minorHAnsi" w:cstheme="minorHAnsi"/>
                <w:color w:val="000000"/>
              </w:rPr>
              <w:t xml:space="preserve"> Kovacevic M</w:t>
            </w:r>
            <w:r w:rsidR="00A71FCC">
              <w:rPr>
                <w:rFonts w:asciiTheme="minorHAnsi" w:eastAsia="Times New Roman" w:hAnsiTheme="minorHAnsi" w:cstheme="minorHAnsi"/>
                <w:color w:val="000000"/>
              </w:rPr>
              <w:t>, Grant</w:t>
            </w:r>
            <w:r w:rsidRPr="00FB6C7F">
              <w:rPr>
                <w:rFonts w:asciiTheme="minorHAnsi" w:eastAsia="Times New Roman" w:hAnsiTheme="minorHAnsi" w:cstheme="minorHAnsi"/>
                <w:color w:val="000000"/>
              </w:rPr>
              <w:t xml:space="preserve"> P</w:t>
            </w:r>
            <w:r w:rsidR="00E35A9D">
              <w:rPr>
                <w:rFonts w:asciiTheme="minorHAnsi" w:eastAsia="Times New Roman" w:hAnsiTheme="minorHAnsi" w:cstheme="minorHAnsi"/>
                <w:color w:val="000000"/>
              </w:rPr>
              <w:t xml:space="preserve"> and</w:t>
            </w:r>
            <w:r w:rsidRPr="00FB6C7F">
              <w:rPr>
                <w:rFonts w:asciiTheme="minorHAnsi" w:eastAsia="Times New Roman" w:hAnsiTheme="minorHAnsi" w:cstheme="minorHAnsi"/>
                <w:color w:val="000000"/>
              </w:rPr>
              <w:t xml:space="preserve"> Swedo</w:t>
            </w:r>
            <w:r w:rsidR="00A71FCC">
              <w:rPr>
                <w:rFonts w:asciiTheme="minorHAnsi" w:eastAsia="Times New Roman" w:hAnsiTheme="minorHAnsi" w:cstheme="minorHAnsi"/>
                <w:color w:val="000000"/>
              </w:rPr>
              <w:t xml:space="preserve"> SE (2015)</w:t>
            </w:r>
            <w:r w:rsidR="00E35A9D">
              <w:rPr>
                <w:rFonts w:asciiTheme="minorHAnsi" w:eastAsia="Times New Roman" w:hAnsiTheme="minorHAnsi" w:cstheme="minorHAnsi"/>
                <w:color w:val="000000"/>
              </w:rPr>
              <w:t xml:space="preserve"> </w:t>
            </w:r>
            <w:r w:rsidRPr="00FB6C7F">
              <w:rPr>
                <w:rFonts w:asciiTheme="minorHAnsi" w:eastAsia="Times New Roman" w:hAnsiTheme="minorHAnsi" w:cstheme="minorHAnsi"/>
                <w:color w:val="000000"/>
              </w:rPr>
              <w:t>Use of Intravenous Immunoglobulin in the treatment of 12 Youths with pediatric Autoimmune Neuropsychiatric Disorders Associated with Streptococcal infections</w:t>
            </w:r>
            <w:r w:rsidR="00E35A9D">
              <w:rPr>
                <w:rFonts w:asciiTheme="minorHAnsi" w:eastAsia="Times New Roman" w:hAnsiTheme="minorHAnsi" w:cstheme="minorHAnsi"/>
                <w:color w:val="000000"/>
              </w:rPr>
              <w:t xml:space="preserve">. </w:t>
            </w:r>
            <w:r w:rsidRPr="00FB6C7F">
              <w:rPr>
                <w:rFonts w:asciiTheme="minorHAnsi" w:eastAsia="Times New Roman" w:hAnsiTheme="minorHAnsi" w:cstheme="minorHAnsi"/>
                <w:color w:val="000000"/>
              </w:rPr>
              <w:t xml:space="preserve"> </w:t>
            </w:r>
            <w:r w:rsidRPr="00E35A9D">
              <w:rPr>
                <w:rFonts w:asciiTheme="minorHAnsi" w:eastAsia="Times New Roman" w:hAnsiTheme="minorHAnsi" w:cstheme="minorHAnsi"/>
                <w:i/>
                <w:color w:val="000000"/>
              </w:rPr>
              <w:t>Journal of Child and Adolescent Psychopharmacology</w:t>
            </w:r>
            <w:r w:rsidR="00E35A9D">
              <w:rPr>
                <w:rFonts w:asciiTheme="minorHAnsi" w:eastAsia="Times New Roman" w:hAnsiTheme="minorHAnsi" w:cstheme="minorHAnsi"/>
                <w:color w:val="000000"/>
              </w:rPr>
              <w:t xml:space="preserve">, </w:t>
            </w:r>
            <w:r w:rsidR="00A71FCC">
              <w:rPr>
                <w:rFonts w:asciiTheme="minorHAnsi" w:eastAsia="Times New Roman" w:hAnsiTheme="minorHAnsi" w:cstheme="minorHAnsi"/>
                <w:color w:val="000000"/>
              </w:rPr>
              <w:t>25:</w:t>
            </w:r>
            <w:r w:rsidRPr="00FB6C7F">
              <w:rPr>
                <w:rFonts w:asciiTheme="minorHAnsi" w:eastAsia="Times New Roman" w:hAnsiTheme="minorHAnsi" w:cstheme="minorHAnsi"/>
                <w:color w:val="000000"/>
              </w:rPr>
              <w:t>65-69.</w:t>
            </w:r>
          </w:p>
          <w:p w:rsidR="00FB6C7F" w:rsidRDefault="00A71FCC" w:rsidP="00FB6C7F">
            <w:pPr>
              <w:spacing w:after="240" w:line="20" w:lineRule="atLeast"/>
              <w:rPr>
                <w:rFonts w:asciiTheme="minorHAnsi" w:eastAsia="Times New Roman" w:hAnsiTheme="minorHAnsi" w:cstheme="minorHAnsi"/>
                <w:color w:val="000000"/>
              </w:rPr>
            </w:pPr>
            <w:r>
              <w:rPr>
                <w:rFonts w:asciiTheme="minorHAnsi" w:eastAsia="Times New Roman" w:hAnsiTheme="minorHAnsi" w:cstheme="minorHAnsi"/>
                <w:color w:val="000000"/>
              </w:rPr>
              <w:t>Swedo</w:t>
            </w:r>
            <w:r w:rsidR="00FB6C7F" w:rsidRPr="00FB6C7F">
              <w:rPr>
                <w:rFonts w:asciiTheme="minorHAnsi" w:eastAsia="Times New Roman" w:hAnsiTheme="minorHAnsi" w:cstheme="minorHAnsi"/>
                <w:color w:val="000000"/>
              </w:rPr>
              <w:t xml:space="preserve"> SE</w:t>
            </w:r>
            <w:r>
              <w:rPr>
                <w:rFonts w:asciiTheme="minorHAnsi" w:eastAsia="Times New Roman" w:hAnsiTheme="minorHAnsi" w:cstheme="minorHAnsi"/>
                <w:color w:val="000000"/>
              </w:rPr>
              <w:t>, Leonard</w:t>
            </w:r>
            <w:r w:rsidR="00FB6C7F" w:rsidRPr="00FB6C7F">
              <w:rPr>
                <w:rFonts w:asciiTheme="minorHAnsi" w:eastAsia="Times New Roman" w:hAnsiTheme="minorHAnsi" w:cstheme="minorHAnsi"/>
                <w:color w:val="000000"/>
              </w:rPr>
              <w:t xml:space="preserve"> HL</w:t>
            </w:r>
            <w:r>
              <w:rPr>
                <w:rFonts w:asciiTheme="minorHAnsi" w:eastAsia="Times New Roman" w:hAnsiTheme="minorHAnsi" w:cstheme="minorHAnsi"/>
                <w:color w:val="000000"/>
              </w:rPr>
              <w:t>, Garvey</w:t>
            </w:r>
            <w:r w:rsidR="00FB6C7F" w:rsidRPr="00FB6C7F">
              <w:rPr>
                <w:rFonts w:asciiTheme="minorHAnsi" w:eastAsia="Times New Roman" w:hAnsiTheme="minorHAnsi" w:cstheme="minorHAnsi"/>
                <w:color w:val="000000"/>
              </w:rPr>
              <w:t xml:space="preserve"> M</w:t>
            </w:r>
            <w:r w:rsidR="00E35A9D">
              <w:rPr>
                <w:rFonts w:asciiTheme="minorHAnsi" w:eastAsia="Times New Roman" w:hAnsiTheme="minorHAnsi" w:cstheme="minorHAnsi"/>
                <w:color w:val="000000"/>
              </w:rPr>
              <w:t xml:space="preserve">, </w:t>
            </w:r>
            <w:r w:rsidR="00FB6C7F" w:rsidRPr="00FB6C7F">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Mittleman B, Perlmutter S, Lougee L</w:t>
            </w:r>
            <w:r w:rsidR="00E35A9D">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et al  (1998)</w:t>
            </w:r>
            <w:r w:rsidR="00FB6C7F" w:rsidRPr="00FB6C7F">
              <w:rPr>
                <w:rFonts w:asciiTheme="minorHAnsi" w:eastAsia="Times New Roman" w:hAnsiTheme="minorHAnsi" w:cstheme="minorHAnsi"/>
                <w:color w:val="000000"/>
              </w:rPr>
              <w:t xml:space="preserve"> Pediatric Autoimmune Neuropsychiatric Disorders associated with Streptococcal Infections: Clinical description of the first 50 cases</w:t>
            </w:r>
            <w:r w:rsidR="00E35A9D">
              <w:rPr>
                <w:rFonts w:asciiTheme="minorHAnsi" w:eastAsia="Times New Roman" w:hAnsiTheme="minorHAnsi" w:cstheme="minorHAnsi"/>
                <w:color w:val="000000"/>
              </w:rPr>
              <w:t xml:space="preserve">. </w:t>
            </w:r>
            <w:r w:rsidR="00FB6C7F" w:rsidRPr="00E35A9D">
              <w:rPr>
                <w:rFonts w:asciiTheme="minorHAnsi" w:eastAsia="Times New Roman" w:hAnsiTheme="minorHAnsi" w:cstheme="minorHAnsi"/>
                <w:i/>
                <w:color w:val="000000"/>
              </w:rPr>
              <w:t>Am</w:t>
            </w:r>
            <w:r w:rsidR="00E35A9D">
              <w:rPr>
                <w:rFonts w:asciiTheme="minorHAnsi" w:eastAsia="Times New Roman" w:hAnsiTheme="minorHAnsi" w:cstheme="minorHAnsi"/>
                <w:i/>
                <w:color w:val="000000"/>
              </w:rPr>
              <w:t>erica</w:t>
            </w:r>
            <w:r w:rsidR="0029539F">
              <w:rPr>
                <w:rFonts w:asciiTheme="minorHAnsi" w:eastAsia="Times New Roman" w:hAnsiTheme="minorHAnsi" w:cstheme="minorHAnsi"/>
                <w:i/>
                <w:color w:val="000000"/>
              </w:rPr>
              <w:t>n</w:t>
            </w:r>
            <w:r w:rsidR="00FB6C7F" w:rsidRPr="00E35A9D">
              <w:rPr>
                <w:rFonts w:asciiTheme="minorHAnsi" w:eastAsia="Times New Roman" w:hAnsiTheme="minorHAnsi" w:cstheme="minorHAnsi"/>
                <w:i/>
                <w:color w:val="000000"/>
              </w:rPr>
              <w:t xml:space="preserve"> J</w:t>
            </w:r>
            <w:r w:rsidR="00E35A9D" w:rsidRPr="00E35A9D">
              <w:rPr>
                <w:rFonts w:asciiTheme="minorHAnsi" w:eastAsia="Times New Roman" w:hAnsiTheme="minorHAnsi" w:cstheme="minorHAnsi"/>
                <w:i/>
                <w:color w:val="000000"/>
              </w:rPr>
              <w:t>ournal of Psychiatry</w:t>
            </w:r>
            <w:r w:rsidR="00E35A9D">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155:</w:t>
            </w:r>
            <w:r w:rsidR="00FB6C7F" w:rsidRPr="00FB6C7F">
              <w:rPr>
                <w:rFonts w:asciiTheme="minorHAnsi" w:eastAsia="Times New Roman" w:hAnsiTheme="minorHAnsi" w:cstheme="minorHAnsi"/>
                <w:color w:val="000000"/>
              </w:rPr>
              <w:t>264-271.</w:t>
            </w:r>
          </w:p>
          <w:p w:rsidR="00A71FCC" w:rsidRPr="00A71FCC" w:rsidRDefault="005A3A63" w:rsidP="00FB6C7F">
            <w:pPr>
              <w:spacing w:after="240" w:line="20" w:lineRule="atLeast"/>
              <w:rPr>
                <w:rFonts w:asciiTheme="minorHAnsi" w:eastAsia="Times New Roman" w:hAnsiTheme="minorHAnsi" w:cstheme="minorHAnsi"/>
                <w:color w:val="808080" w:themeColor="background1" w:themeShade="80"/>
              </w:rPr>
            </w:pPr>
            <w:hyperlink r:id="rId14" w:history="1">
              <w:r w:rsidR="00A71FCC" w:rsidRPr="00A71FCC">
                <w:rPr>
                  <w:rStyle w:val="Hyperlink"/>
                  <w:rFonts w:asciiTheme="minorHAnsi" w:eastAsia="Times New Roman" w:hAnsiTheme="minorHAnsi" w:cstheme="minorHAnsi"/>
                  <w:color w:val="808080" w:themeColor="background1" w:themeShade="80"/>
                </w:rPr>
                <w:t>https://www.ncbi.nlm.nih.gov/pubmed/9464208</w:t>
              </w:r>
            </w:hyperlink>
          </w:p>
          <w:p w:rsidR="00320C9D" w:rsidRPr="00CC4DDA" w:rsidRDefault="00A71FCC" w:rsidP="00320C9D">
            <w:pPr>
              <w:spacing w:after="240" w:line="20" w:lineRule="atLeast"/>
              <w:rPr>
                <w:rFonts w:asciiTheme="minorHAnsi" w:eastAsia="Times New Roman" w:hAnsiTheme="minorHAnsi" w:cstheme="minorHAnsi"/>
                <w:color w:val="000000"/>
                <w:lang w:val="fr-FR"/>
              </w:rPr>
            </w:pPr>
            <w:r>
              <w:rPr>
                <w:rFonts w:asciiTheme="minorHAnsi" w:eastAsia="Times New Roman" w:hAnsiTheme="minorHAnsi" w:cstheme="minorHAnsi"/>
                <w:color w:val="000000"/>
              </w:rPr>
              <w:t>Singer</w:t>
            </w:r>
            <w:r w:rsidR="00320C9D" w:rsidRPr="0067559F">
              <w:rPr>
                <w:rFonts w:asciiTheme="minorHAnsi" w:eastAsia="Times New Roman" w:hAnsiTheme="minorHAnsi" w:cstheme="minorHAnsi"/>
                <w:color w:val="000000"/>
              </w:rPr>
              <w:t xml:space="preserve"> HS </w:t>
            </w:r>
            <w:r w:rsidR="00E35A9D">
              <w:rPr>
                <w:rFonts w:asciiTheme="minorHAnsi" w:eastAsia="Times New Roman" w:hAnsiTheme="minorHAnsi" w:cstheme="minorHAnsi"/>
                <w:color w:val="000000"/>
              </w:rPr>
              <w:t>(</w:t>
            </w:r>
            <w:r w:rsidR="00320C9D" w:rsidRPr="0067559F">
              <w:rPr>
                <w:rFonts w:asciiTheme="minorHAnsi" w:eastAsia="Times New Roman" w:hAnsiTheme="minorHAnsi" w:cstheme="minorHAnsi"/>
                <w:color w:val="000000"/>
              </w:rPr>
              <w:t>1999</w:t>
            </w:r>
            <w:r>
              <w:rPr>
                <w:rFonts w:asciiTheme="minorHAnsi" w:eastAsia="Times New Roman" w:hAnsiTheme="minorHAnsi" w:cstheme="minorHAnsi"/>
                <w:color w:val="000000"/>
              </w:rPr>
              <w:t>)</w:t>
            </w:r>
            <w:r w:rsidR="00E35A9D">
              <w:rPr>
                <w:rFonts w:asciiTheme="minorHAnsi" w:eastAsia="Times New Roman" w:hAnsiTheme="minorHAnsi" w:cstheme="minorHAnsi"/>
                <w:color w:val="000000"/>
              </w:rPr>
              <w:t xml:space="preserve"> </w:t>
            </w:r>
            <w:r w:rsidR="00320C9D" w:rsidRPr="0067559F">
              <w:rPr>
                <w:rFonts w:asciiTheme="minorHAnsi" w:eastAsia="Times New Roman" w:hAnsiTheme="minorHAnsi" w:cstheme="minorHAnsi"/>
                <w:color w:val="000000"/>
              </w:rPr>
              <w:t>PANDAS</w:t>
            </w:r>
            <w:r w:rsidR="00E35A9D">
              <w:rPr>
                <w:rFonts w:asciiTheme="minorHAnsi" w:eastAsia="Times New Roman" w:hAnsiTheme="minorHAnsi" w:cstheme="minorHAnsi"/>
                <w:color w:val="000000"/>
              </w:rPr>
              <w:t xml:space="preserve"> and immunomodulatory therapy. </w:t>
            </w:r>
            <w:r w:rsidR="00320C9D" w:rsidRPr="00CC4DDA">
              <w:rPr>
                <w:rFonts w:asciiTheme="minorHAnsi" w:eastAsia="Times New Roman" w:hAnsiTheme="minorHAnsi" w:cstheme="minorHAnsi"/>
                <w:i/>
                <w:color w:val="000000"/>
                <w:lang w:val="fr-FR"/>
              </w:rPr>
              <w:t>Lancet</w:t>
            </w:r>
            <w:r w:rsidR="00320C9D" w:rsidRPr="00CC4DDA">
              <w:rPr>
                <w:rFonts w:asciiTheme="minorHAnsi" w:eastAsia="Times New Roman" w:hAnsiTheme="minorHAnsi" w:cstheme="minorHAnsi"/>
                <w:color w:val="000000"/>
                <w:lang w:val="fr-FR"/>
              </w:rPr>
              <w:t>, 354</w:t>
            </w:r>
            <w:r w:rsidR="00E35A9D" w:rsidRPr="00CC4DDA">
              <w:rPr>
                <w:rFonts w:asciiTheme="minorHAnsi" w:eastAsia="Times New Roman" w:hAnsiTheme="minorHAnsi" w:cstheme="minorHAnsi"/>
                <w:color w:val="000000"/>
                <w:lang w:val="fr-FR"/>
              </w:rPr>
              <w:t>(</w:t>
            </w:r>
            <w:r w:rsidR="00320C9D" w:rsidRPr="00CC4DDA">
              <w:rPr>
                <w:rFonts w:asciiTheme="minorHAnsi" w:eastAsia="Times New Roman" w:hAnsiTheme="minorHAnsi" w:cstheme="minorHAnsi"/>
                <w:color w:val="000000"/>
                <w:lang w:val="fr-FR"/>
              </w:rPr>
              <w:t>9185</w:t>
            </w:r>
            <w:r w:rsidR="00E35A9D" w:rsidRPr="00CC4DDA">
              <w:rPr>
                <w:rFonts w:asciiTheme="minorHAnsi" w:eastAsia="Times New Roman" w:hAnsiTheme="minorHAnsi" w:cstheme="minorHAnsi"/>
                <w:color w:val="000000"/>
                <w:lang w:val="fr-FR"/>
              </w:rPr>
              <w:t>)</w:t>
            </w:r>
            <w:r w:rsidRPr="00CC4DDA">
              <w:rPr>
                <w:rFonts w:asciiTheme="minorHAnsi" w:eastAsia="Times New Roman" w:hAnsiTheme="minorHAnsi" w:cstheme="minorHAnsi"/>
                <w:color w:val="000000"/>
                <w:lang w:val="fr-FR"/>
              </w:rPr>
              <w:t>:</w:t>
            </w:r>
            <w:r w:rsidR="00320C9D" w:rsidRPr="00CC4DDA">
              <w:rPr>
                <w:rFonts w:asciiTheme="minorHAnsi" w:eastAsia="Times New Roman" w:hAnsiTheme="minorHAnsi" w:cstheme="minorHAnsi"/>
                <w:color w:val="000000"/>
                <w:lang w:val="fr-FR"/>
              </w:rPr>
              <w:t>1137–8.</w:t>
            </w:r>
          </w:p>
          <w:p w:rsidR="00A71FCC" w:rsidRPr="00CC4DDA" w:rsidRDefault="005A3A63" w:rsidP="00320C9D">
            <w:pPr>
              <w:spacing w:after="240" w:line="20" w:lineRule="atLeast"/>
              <w:rPr>
                <w:rFonts w:asciiTheme="minorHAnsi" w:eastAsia="Times New Roman" w:hAnsiTheme="minorHAnsi" w:cstheme="minorHAnsi"/>
                <w:color w:val="808080" w:themeColor="background1" w:themeShade="80"/>
                <w:lang w:val="fr-FR"/>
              </w:rPr>
            </w:pPr>
            <w:hyperlink r:id="rId15" w:history="1">
              <w:r w:rsidR="00A71FCC" w:rsidRPr="00CC4DDA">
                <w:rPr>
                  <w:rStyle w:val="Hyperlink"/>
                  <w:rFonts w:asciiTheme="minorHAnsi" w:eastAsia="Times New Roman" w:hAnsiTheme="minorHAnsi" w:cstheme="minorHAnsi"/>
                  <w:color w:val="808080" w:themeColor="background1" w:themeShade="80"/>
                  <w:lang w:val="fr-FR"/>
                </w:rPr>
                <w:t>https://www.ncbi.nlm.nih.gov/pubmed/10513701</w:t>
              </w:r>
            </w:hyperlink>
          </w:p>
          <w:p w:rsidR="00FD1CBB" w:rsidRPr="00A71FCC" w:rsidRDefault="00FD1CBB" w:rsidP="00320C9D">
            <w:pPr>
              <w:spacing w:after="240" w:line="20" w:lineRule="atLeast"/>
              <w:rPr>
                <w:rFonts w:asciiTheme="minorHAnsi" w:eastAsia="Times New Roman" w:hAnsiTheme="minorHAnsi" w:cstheme="minorHAnsi"/>
                <w:color w:val="808080" w:themeColor="background1" w:themeShade="80"/>
              </w:rPr>
            </w:pPr>
            <w:r w:rsidRPr="00FD1CBB">
              <w:rPr>
                <w:rFonts w:asciiTheme="minorHAnsi" w:eastAsia="Times New Roman" w:hAnsiTheme="minorHAnsi" w:cstheme="minorHAnsi"/>
                <w:color w:val="000000"/>
              </w:rPr>
              <w:t>Ontario Regional Blood Coordinating Network (2016). Ontario Intravenous Immune Globulin (</w:t>
            </w:r>
            <w:r w:rsidR="00164233">
              <w:rPr>
                <w:rFonts w:asciiTheme="minorHAnsi" w:eastAsia="Times New Roman" w:hAnsiTheme="minorHAnsi" w:cstheme="minorHAnsi"/>
                <w:color w:val="000000"/>
              </w:rPr>
              <w:t>IVIG</w:t>
            </w:r>
            <w:r w:rsidRPr="00FD1CBB">
              <w:rPr>
                <w:rFonts w:asciiTheme="minorHAnsi" w:eastAsia="Times New Roman" w:hAnsiTheme="minorHAnsi" w:cstheme="minorHAnsi"/>
                <w:color w:val="000000"/>
              </w:rPr>
              <w:t xml:space="preserve">) Utilization Management Guidelines, Version 3.0. [online]. Available at: </w:t>
            </w:r>
            <w:r w:rsidRPr="00A71FCC">
              <w:rPr>
                <w:rFonts w:asciiTheme="minorHAnsi" w:eastAsia="Times New Roman" w:hAnsiTheme="minorHAnsi" w:cstheme="minorHAnsi"/>
                <w:color w:val="808080" w:themeColor="background1" w:themeShade="80"/>
              </w:rPr>
              <w:t>http://transfusionontario.org/en/download/ontario-intravenous-immune-globulin-</w:t>
            </w:r>
            <w:r w:rsidR="00164233">
              <w:rPr>
                <w:rFonts w:asciiTheme="minorHAnsi" w:eastAsia="Times New Roman" w:hAnsiTheme="minorHAnsi" w:cstheme="minorHAnsi"/>
                <w:color w:val="808080" w:themeColor="background1" w:themeShade="80"/>
              </w:rPr>
              <w:t>IVIg</w:t>
            </w:r>
            <w:r w:rsidRPr="00A71FCC">
              <w:rPr>
                <w:rFonts w:asciiTheme="minorHAnsi" w:eastAsia="Times New Roman" w:hAnsiTheme="minorHAnsi" w:cstheme="minorHAnsi"/>
                <w:color w:val="808080" w:themeColor="background1" w:themeShade="80"/>
              </w:rPr>
              <w:t>-utilization-management-guidelines-2/.</w:t>
            </w:r>
          </w:p>
          <w:p w:rsidR="00901F76" w:rsidRDefault="00A71FCC" w:rsidP="00E35A9D">
            <w:pPr>
              <w:spacing w:before="120" w:after="120"/>
              <w:rPr>
                <w:rFonts w:asciiTheme="minorHAnsi" w:eastAsia="Times New Roman" w:hAnsiTheme="minorHAnsi" w:cstheme="minorHAnsi"/>
                <w:color w:val="000000"/>
              </w:rPr>
            </w:pPr>
            <w:r>
              <w:rPr>
                <w:rFonts w:asciiTheme="minorHAnsi" w:eastAsia="Times New Roman" w:hAnsiTheme="minorHAnsi" w:cstheme="minorHAnsi"/>
                <w:color w:val="000000"/>
              </w:rPr>
              <w:t>Perlmutter</w:t>
            </w:r>
            <w:r w:rsidR="00320C9D" w:rsidRPr="0067559F">
              <w:rPr>
                <w:rFonts w:asciiTheme="minorHAnsi" w:eastAsia="Times New Roman" w:hAnsiTheme="minorHAnsi" w:cstheme="minorHAnsi"/>
                <w:color w:val="000000"/>
              </w:rPr>
              <w:t xml:space="preserve"> SJ</w:t>
            </w:r>
            <w:r>
              <w:rPr>
                <w:rFonts w:asciiTheme="minorHAnsi" w:eastAsia="Times New Roman" w:hAnsiTheme="minorHAnsi" w:cstheme="minorHAnsi"/>
                <w:color w:val="000000"/>
              </w:rPr>
              <w:t>, Leitman</w:t>
            </w:r>
            <w:r w:rsidR="00320C9D" w:rsidRPr="0067559F">
              <w:rPr>
                <w:rFonts w:asciiTheme="minorHAnsi" w:eastAsia="Times New Roman" w:hAnsiTheme="minorHAnsi" w:cstheme="minorHAnsi"/>
                <w:color w:val="000000"/>
              </w:rPr>
              <w:t xml:space="preserve"> SF</w:t>
            </w:r>
            <w:r>
              <w:rPr>
                <w:rFonts w:asciiTheme="minorHAnsi" w:eastAsia="Times New Roman" w:hAnsiTheme="minorHAnsi" w:cstheme="minorHAnsi"/>
                <w:color w:val="000000"/>
              </w:rPr>
              <w:t>, Garvey</w:t>
            </w:r>
            <w:r w:rsidR="00320C9D" w:rsidRPr="0067559F">
              <w:rPr>
                <w:rFonts w:asciiTheme="minorHAnsi" w:eastAsia="Times New Roman" w:hAnsiTheme="minorHAnsi" w:cstheme="minorHAnsi"/>
                <w:color w:val="000000"/>
              </w:rPr>
              <w:t xml:space="preserve"> MA, </w:t>
            </w:r>
            <w:r>
              <w:rPr>
                <w:rFonts w:asciiTheme="minorHAnsi" w:eastAsia="Times New Roman" w:hAnsiTheme="minorHAnsi" w:cstheme="minorHAnsi"/>
                <w:color w:val="000000"/>
              </w:rPr>
              <w:t>Hamburger S, Feldman E</w:t>
            </w:r>
            <w:r w:rsidR="00E35A9D">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et al</w:t>
            </w:r>
            <w:r w:rsidR="005026E7">
              <w:rPr>
                <w:rFonts w:asciiTheme="minorHAnsi" w:eastAsia="Times New Roman" w:hAnsiTheme="minorHAnsi" w:cstheme="minorHAnsi"/>
                <w:color w:val="000000"/>
              </w:rPr>
              <w:t xml:space="preserve"> </w:t>
            </w:r>
            <w:r w:rsidR="00E35A9D">
              <w:rPr>
                <w:rFonts w:asciiTheme="minorHAnsi" w:eastAsia="Times New Roman" w:hAnsiTheme="minorHAnsi" w:cstheme="minorHAnsi"/>
                <w:color w:val="000000"/>
              </w:rPr>
              <w:t>(</w:t>
            </w:r>
            <w:r w:rsidR="00320C9D" w:rsidRPr="0067559F">
              <w:rPr>
                <w:rFonts w:asciiTheme="minorHAnsi" w:eastAsia="Times New Roman" w:hAnsiTheme="minorHAnsi" w:cstheme="minorHAnsi"/>
                <w:color w:val="000000"/>
              </w:rPr>
              <w:t>1999</w:t>
            </w:r>
            <w:r>
              <w:rPr>
                <w:rFonts w:asciiTheme="minorHAnsi" w:eastAsia="Times New Roman" w:hAnsiTheme="minorHAnsi" w:cstheme="minorHAnsi"/>
                <w:color w:val="000000"/>
              </w:rPr>
              <w:t>) T</w:t>
            </w:r>
            <w:r w:rsidR="00320C9D" w:rsidRPr="0067559F">
              <w:rPr>
                <w:rFonts w:asciiTheme="minorHAnsi" w:eastAsia="Times New Roman" w:hAnsiTheme="minorHAnsi" w:cstheme="minorHAnsi"/>
                <w:color w:val="000000"/>
              </w:rPr>
              <w:t>herapeutic plasma exchange and intravenous immunoglobulin for obsessive-compulsive disorder and tic disorders in childhood</w:t>
            </w:r>
            <w:r w:rsidR="00E35A9D">
              <w:rPr>
                <w:rFonts w:asciiTheme="minorHAnsi" w:eastAsia="Times New Roman" w:hAnsiTheme="minorHAnsi" w:cstheme="minorHAnsi"/>
                <w:color w:val="000000"/>
              </w:rPr>
              <w:t>.</w:t>
            </w:r>
            <w:r w:rsidR="00320C9D" w:rsidRPr="0067559F">
              <w:rPr>
                <w:rFonts w:asciiTheme="minorHAnsi" w:eastAsia="Times New Roman" w:hAnsiTheme="minorHAnsi" w:cstheme="minorHAnsi"/>
                <w:color w:val="000000"/>
              </w:rPr>
              <w:t xml:space="preserve"> </w:t>
            </w:r>
            <w:r w:rsidR="00320C9D" w:rsidRPr="00E35A9D">
              <w:rPr>
                <w:rFonts w:asciiTheme="minorHAnsi" w:eastAsia="Times New Roman" w:hAnsiTheme="minorHAnsi" w:cstheme="minorHAnsi"/>
                <w:i/>
                <w:color w:val="000000"/>
              </w:rPr>
              <w:t>Lancet,</w:t>
            </w:r>
            <w:r w:rsidR="00320C9D" w:rsidRPr="0067559F">
              <w:rPr>
                <w:rFonts w:asciiTheme="minorHAnsi" w:eastAsia="Times New Roman" w:hAnsiTheme="minorHAnsi" w:cstheme="minorHAnsi"/>
                <w:color w:val="000000"/>
              </w:rPr>
              <w:t xml:space="preserve"> 354</w:t>
            </w:r>
            <w:r w:rsidR="00E35A9D">
              <w:rPr>
                <w:rFonts w:asciiTheme="minorHAnsi" w:eastAsia="Times New Roman" w:hAnsiTheme="minorHAnsi" w:cstheme="minorHAnsi"/>
                <w:color w:val="000000"/>
              </w:rPr>
              <w:t>(</w:t>
            </w:r>
            <w:r w:rsidR="00320C9D" w:rsidRPr="0067559F">
              <w:rPr>
                <w:rFonts w:asciiTheme="minorHAnsi" w:eastAsia="Times New Roman" w:hAnsiTheme="minorHAnsi" w:cstheme="minorHAnsi"/>
                <w:color w:val="000000"/>
              </w:rPr>
              <w:t>9185</w:t>
            </w:r>
            <w:r w:rsidR="00E35A9D">
              <w:rPr>
                <w:rFonts w:asciiTheme="minorHAnsi" w:eastAsia="Times New Roman" w:hAnsiTheme="minorHAnsi" w:cstheme="minorHAnsi"/>
                <w:color w:val="000000"/>
              </w:rPr>
              <w:t>)</w:t>
            </w:r>
            <w:r>
              <w:rPr>
                <w:rFonts w:asciiTheme="minorHAnsi" w:eastAsia="Times New Roman" w:hAnsiTheme="minorHAnsi" w:cstheme="minorHAnsi"/>
                <w:color w:val="000000"/>
              </w:rPr>
              <w:t>:</w:t>
            </w:r>
            <w:r w:rsidR="00320C9D" w:rsidRPr="0067559F">
              <w:rPr>
                <w:rFonts w:asciiTheme="minorHAnsi" w:eastAsia="Times New Roman" w:hAnsiTheme="minorHAnsi" w:cstheme="minorHAnsi"/>
                <w:color w:val="000000"/>
              </w:rPr>
              <w:t>1153–8.</w:t>
            </w:r>
          </w:p>
          <w:p w:rsidR="00A71FCC" w:rsidRPr="00A71FCC" w:rsidRDefault="005A3A63" w:rsidP="00E35A9D">
            <w:pPr>
              <w:spacing w:before="120" w:after="120"/>
              <w:rPr>
                <w:rFonts w:asciiTheme="minorHAnsi" w:eastAsia="Times New Roman" w:hAnsiTheme="minorHAnsi" w:cstheme="minorHAnsi"/>
                <w:color w:val="808080" w:themeColor="background1" w:themeShade="80"/>
              </w:rPr>
            </w:pPr>
            <w:hyperlink r:id="rId16" w:history="1">
              <w:r w:rsidR="00A71FCC" w:rsidRPr="00A71FCC">
                <w:rPr>
                  <w:rStyle w:val="Hyperlink"/>
                  <w:rFonts w:asciiTheme="minorHAnsi" w:eastAsia="Times New Roman" w:hAnsiTheme="minorHAnsi" w:cstheme="minorHAnsi"/>
                  <w:color w:val="808080" w:themeColor="background1" w:themeShade="80"/>
                </w:rPr>
                <w:t>https://www.ncbi.nlm.nih.gov/pubmed/10513708</w:t>
              </w:r>
            </w:hyperlink>
          </w:p>
          <w:p w:rsidR="00FD1CBB" w:rsidRPr="00A71FCC" w:rsidRDefault="00FD1CBB" w:rsidP="00FD1CBB">
            <w:pPr>
              <w:spacing w:before="120" w:after="120"/>
              <w:rPr>
                <w:rFonts w:asciiTheme="minorHAnsi" w:hAnsiTheme="minorHAnsi"/>
                <w:color w:val="808080" w:themeColor="background1" w:themeShade="80"/>
              </w:rPr>
            </w:pPr>
            <w:r w:rsidRPr="00FD1CBB">
              <w:rPr>
                <w:rFonts w:asciiTheme="minorHAnsi" w:hAnsiTheme="minorHAnsi"/>
              </w:rPr>
              <w:t xml:space="preserve">UK Department of Health (2011) Clinical Guidelines for Immunoglobulin Use: Second Edition Update. Available at: </w:t>
            </w:r>
            <w:r w:rsidRPr="00A71FCC">
              <w:rPr>
                <w:rFonts w:asciiTheme="minorHAnsi" w:hAnsiTheme="minorHAnsi"/>
                <w:color w:val="808080" w:themeColor="background1" w:themeShade="80"/>
              </w:rPr>
              <w:t>https://www.gov.uk/government/uploads/system/uploads/attachment_data/file/216671/dh_131107.pdf</w:t>
            </w:r>
          </w:p>
          <w:p w:rsidR="00FD1CBB" w:rsidRPr="00FD1CBB" w:rsidRDefault="00FD1CBB" w:rsidP="00FD1CBB">
            <w:pPr>
              <w:spacing w:before="120" w:after="120"/>
              <w:rPr>
                <w:rFonts w:asciiTheme="minorHAnsi" w:hAnsiTheme="minorHAnsi"/>
              </w:rPr>
            </w:pPr>
          </w:p>
          <w:p w:rsidR="00FD1CBB" w:rsidRPr="00A80A19" w:rsidRDefault="00FD1CBB" w:rsidP="00FD1CBB">
            <w:pPr>
              <w:spacing w:before="120" w:after="120"/>
              <w:rPr>
                <w:rFonts w:asciiTheme="minorHAnsi" w:hAnsiTheme="minorHAnsi"/>
              </w:rPr>
            </w:pPr>
            <w:r w:rsidRPr="00FD1CBB">
              <w:rPr>
                <w:rFonts w:asciiTheme="minorHAnsi" w:hAnsiTheme="minorHAnsi"/>
              </w:rPr>
              <w:t xml:space="preserve">UK Department of Health (2011) Clinical Guidelines for Immunoglobulin Use: Second Edition Update: Summary Poster. Available at: </w:t>
            </w:r>
            <w:r w:rsidRPr="00A71FCC">
              <w:rPr>
                <w:rFonts w:asciiTheme="minorHAnsi" w:hAnsiTheme="minorHAnsi"/>
                <w:color w:val="808080" w:themeColor="background1" w:themeShade="80"/>
              </w:rPr>
              <w:t>https://www.igd.nhs.uk/wp-content/uploads/2016/04/DemandManagementPoster_v4_February2016.pdf</w:t>
            </w:r>
          </w:p>
        </w:tc>
      </w:tr>
    </w:tbl>
    <w:p w:rsidR="000E09C4" w:rsidRDefault="000E09C4">
      <w:pPr>
        <w:sectPr w:rsidR="000E09C4" w:rsidSect="00447869">
          <w:type w:val="continuous"/>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680" w:firstRow="0" w:lastRow="0" w:firstColumn="1" w:lastColumn="0" w:noHBand="1" w:noVBand="1"/>
      </w:tblPr>
      <w:tblGrid>
        <w:gridCol w:w="2161"/>
        <w:gridCol w:w="1384"/>
        <w:gridCol w:w="1593"/>
        <w:gridCol w:w="1667"/>
        <w:gridCol w:w="1701"/>
        <w:gridCol w:w="1559"/>
        <w:gridCol w:w="4536"/>
      </w:tblGrid>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lastRenderedPageBreak/>
              <w:t>POTENTIAL OPERATIONAL IMPACT</w:t>
            </w:r>
          </w:p>
        </w:tc>
      </w:tr>
      <w:tr w:rsidR="004A10A2" w:rsidRPr="00021243" w:rsidTr="008612AB">
        <w:tc>
          <w:tcPr>
            <w:tcW w:w="14601" w:type="dxa"/>
            <w:gridSpan w:val="7"/>
            <w:shd w:val="clear" w:color="auto" w:fill="auto"/>
          </w:tcPr>
          <w:p w:rsidR="00674CEF" w:rsidRDefault="00674CEF" w:rsidP="00674CEF">
            <w:pPr>
              <w:spacing w:before="120" w:after="120"/>
              <w:rPr>
                <w:rFonts w:asciiTheme="minorHAnsi" w:hAnsiTheme="minorHAnsi"/>
              </w:rPr>
            </w:pPr>
            <w:r>
              <w:rPr>
                <w:rFonts w:asciiTheme="minorHAnsi" w:hAnsiTheme="minorHAnsi"/>
              </w:rPr>
              <w:t>The revised criteria provide significantly greater guidance for access to Ig therapy and patient management</w:t>
            </w:r>
            <w:r w:rsidR="00B64D51">
              <w:rPr>
                <w:rFonts w:asciiTheme="minorHAnsi" w:hAnsiTheme="minorHAnsi"/>
              </w:rPr>
              <w:t xml:space="preserve"> and a neurologist or clinical immunologist will be required to make the diagnosis and manage patient treatment</w:t>
            </w:r>
            <w:r>
              <w:rPr>
                <w:rFonts w:asciiTheme="minorHAnsi" w:hAnsiTheme="minorHAnsi"/>
              </w:rPr>
              <w:t xml:space="preserve">. Patients will be required to be assessed at qualifying and </w:t>
            </w:r>
            <w:r w:rsidR="00CF5696">
              <w:rPr>
                <w:rFonts w:asciiTheme="minorHAnsi" w:hAnsiTheme="minorHAnsi"/>
              </w:rPr>
              <w:t>review using a Modified Rankin S</w:t>
            </w:r>
            <w:r>
              <w:rPr>
                <w:rFonts w:asciiTheme="minorHAnsi" w:hAnsiTheme="minorHAnsi"/>
              </w:rPr>
              <w:t xml:space="preserve">cale, however, the scale will be presented as ‘drop-down’ menu options within BloodSTAR </w:t>
            </w:r>
            <w:r w:rsidR="00DF54C9">
              <w:rPr>
                <w:rFonts w:asciiTheme="minorHAnsi" w:hAnsiTheme="minorHAnsi"/>
              </w:rPr>
              <w:t>v</w:t>
            </w:r>
            <w:r>
              <w:rPr>
                <w:rFonts w:asciiTheme="minorHAnsi" w:hAnsiTheme="minorHAnsi"/>
              </w:rPr>
              <w:t>3</w:t>
            </w:r>
            <w:r w:rsidR="00514AAE">
              <w:rPr>
                <w:rFonts w:asciiTheme="minorHAnsi" w:hAnsiTheme="minorHAnsi"/>
              </w:rPr>
              <w:t>.0</w:t>
            </w:r>
            <w:r>
              <w:rPr>
                <w:rFonts w:asciiTheme="minorHAnsi" w:hAnsiTheme="minorHAnsi"/>
              </w:rPr>
              <w:t xml:space="preserve"> and will be simple to apply. Increased data entry will be required compared to the current Ig request process. </w:t>
            </w:r>
          </w:p>
          <w:p w:rsidR="00EA2E82" w:rsidRPr="00EA2E82" w:rsidRDefault="00674CEF" w:rsidP="00451951">
            <w:pPr>
              <w:spacing w:before="120" w:after="120"/>
              <w:rPr>
                <w:rFonts w:asciiTheme="minorHAnsi" w:hAnsiTheme="minorHAnsi"/>
              </w:rPr>
            </w:pPr>
            <w:r>
              <w:rPr>
                <w:rFonts w:asciiTheme="minorHAnsi" w:hAnsiTheme="minorHAnsi"/>
              </w:rPr>
              <w:t xml:space="preserve">This condition is very rare and the operational impact is considered to be marginal, except that each ongoing treatment is only approved for the next three-month period, so the few patients on therapy, three monthly monitoring will be required to continue Ig therapy. It is anticipated that these patients would normally be seen at least this frequently by neurologists. Access to Ig therapy will only continue if the patient’s symptoms can be demonstrated to continue to improve but the </w:t>
            </w:r>
            <w:r w:rsidR="00E35A9D">
              <w:rPr>
                <w:rFonts w:asciiTheme="minorHAnsi" w:hAnsiTheme="minorHAnsi"/>
              </w:rPr>
              <w:t>patient has</w:t>
            </w:r>
            <w:r>
              <w:rPr>
                <w:rFonts w:asciiTheme="minorHAnsi" w:hAnsiTheme="minorHAnsi"/>
              </w:rPr>
              <w:t xml:space="preserve"> persistent disability. Eventually, </w:t>
            </w:r>
            <w:r w:rsidR="00451951">
              <w:rPr>
                <w:rFonts w:asciiTheme="minorHAnsi" w:hAnsiTheme="minorHAnsi"/>
              </w:rPr>
              <w:t>Ig therapy will be ceased</w:t>
            </w:r>
            <w:r>
              <w:rPr>
                <w:rFonts w:asciiTheme="minorHAnsi" w:hAnsiTheme="minorHAnsi"/>
              </w:rPr>
              <w:t>.</w:t>
            </w:r>
          </w:p>
        </w:tc>
      </w:tr>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t xml:space="preserve">POTENTIAL IMPACT ON </w:t>
            </w:r>
            <w:r w:rsidR="00832D0D">
              <w:rPr>
                <w:rFonts w:asciiTheme="minorHAnsi" w:hAnsiTheme="minorHAnsi"/>
                <w:b/>
              </w:rPr>
              <w:t xml:space="preserve">PATIENTS, </w:t>
            </w:r>
            <w:r w:rsidRPr="00BF6734">
              <w:rPr>
                <w:rFonts w:asciiTheme="minorHAnsi" w:hAnsiTheme="minorHAnsi"/>
                <w:b/>
              </w:rPr>
              <w:t>DEMAND</w:t>
            </w:r>
            <w:r w:rsidR="00695219">
              <w:rPr>
                <w:rFonts w:asciiTheme="minorHAnsi" w:hAnsiTheme="minorHAnsi"/>
                <w:b/>
              </w:rPr>
              <w:t xml:space="preserve"> AND EXPENDITURE</w:t>
            </w:r>
          </w:p>
        </w:tc>
      </w:tr>
      <w:tr w:rsidR="00832D0D" w:rsidRPr="00021243" w:rsidTr="00832D0D">
        <w:tc>
          <w:tcPr>
            <w:tcW w:w="3545" w:type="dxa"/>
            <w:gridSpan w:val="2"/>
            <w:shd w:val="clear" w:color="auto" w:fill="auto"/>
          </w:tcPr>
          <w:p w:rsidR="00832D0D" w:rsidRDefault="00832D0D" w:rsidP="004A10A2">
            <w:pPr>
              <w:spacing w:before="120" w:after="120"/>
              <w:rPr>
                <w:rFonts w:asciiTheme="minorHAnsi" w:hAnsiTheme="minorHAnsi"/>
                <w:b/>
              </w:rPr>
            </w:pPr>
            <w:r>
              <w:rPr>
                <w:rFonts w:asciiTheme="minorHAnsi" w:hAnsiTheme="minorHAnsi"/>
                <w:b/>
              </w:rPr>
              <w:t>Description of impact on patients:</w:t>
            </w:r>
          </w:p>
        </w:tc>
        <w:tc>
          <w:tcPr>
            <w:tcW w:w="11056" w:type="dxa"/>
            <w:gridSpan w:val="5"/>
            <w:shd w:val="clear" w:color="auto" w:fill="auto"/>
          </w:tcPr>
          <w:p w:rsidR="001434A4" w:rsidRDefault="001434A4" w:rsidP="008E5C37">
            <w:pPr>
              <w:spacing w:before="120" w:after="120"/>
              <w:rPr>
                <w:rFonts w:asciiTheme="minorHAnsi" w:hAnsiTheme="minorHAnsi"/>
              </w:rPr>
            </w:pPr>
            <w:r w:rsidRPr="006D67CF">
              <w:rPr>
                <w:rFonts w:asciiTheme="minorHAnsi" w:hAnsiTheme="minorHAnsi"/>
              </w:rPr>
              <w:t>There is not anticipated to be any</w:t>
            </w:r>
            <w:r>
              <w:rPr>
                <w:rFonts w:asciiTheme="minorHAnsi" w:hAnsiTheme="minorHAnsi"/>
              </w:rPr>
              <w:t xml:space="preserve"> significant</w:t>
            </w:r>
            <w:r w:rsidRPr="006D67CF">
              <w:rPr>
                <w:rFonts w:asciiTheme="minorHAnsi" w:hAnsiTheme="minorHAnsi"/>
              </w:rPr>
              <w:t xml:space="preserve"> impact on patients</w:t>
            </w:r>
            <w:r>
              <w:rPr>
                <w:rFonts w:asciiTheme="minorHAnsi" w:hAnsiTheme="minorHAnsi"/>
              </w:rPr>
              <w:t xml:space="preserve"> as a result of these criteria given that they are based on how specialists already diagnose and manage patients with PANDAS/PANS. </w:t>
            </w:r>
            <w:r w:rsidR="00075608">
              <w:rPr>
                <w:rFonts w:asciiTheme="minorHAnsi" w:hAnsiTheme="minorHAnsi"/>
              </w:rPr>
              <w:t>The formal access criteria proposed require that a neurologist or an immunologist makes the diagnosis and manages the patient treatment</w:t>
            </w:r>
            <w:r>
              <w:rPr>
                <w:rFonts w:asciiTheme="minorHAnsi" w:hAnsiTheme="minorHAnsi"/>
              </w:rPr>
              <w:t>. This is</w:t>
            </w:r>
            <w:r w:rsidR="00075608">
              <w:rPr>
                <w:rFonts w:asciiTheme="minorHAnsi" w:hAnsiTheme="minorHAnsi"/>
              </w:rPr>
              <w:t xml:space="preserve"> because it is rare and </w:t>
            </w:r>
            <w:r>
              <w:rPr>
                <w:rFonts w:asciiTheme="minorHAnsi" w:hAnsiTheme="minorHAnsi"/>
              </w:rPr>
              <w:t xml:space="preserve">it’s important to ensure its correct diagnosis and treatment. </w:t>
            </w:r>
            <w:r>
              <w:rPr>
                <w:rFonts w:asciiTheme="minorHAnsi" w:hAnsiTheme="minorHAnsi"/>
                <w:szCs w:val="20"/>
              </w:rPr>
              <w:t>T</w:t>
            </w:r>
            <w:r w:rsidR="00075608">
              <w:rPr>
                <w:rFonts w:asciiTheme="minorHAnsi" w:hAnsiTheme="minorHAnsi"/>
                <w:szCs w:val="20"/>
              </w:rPr>
              <w:t xml:space="preserve">he underlying cause of the condition is an infection that </w:t>
            </w:r>
            <w:r>
              <w:rPr>
                <w:rFonts w:asciiTheme="minorHAnsi" w:hAnsiTheme="minorHAnsi"/>
                <w:szCs w:val="20"/>
              </w:rPr>
              <w:t>cause</w:t>
            </w:r>
            <w:r w:rsidR="001626F7">
              <w:rPr>
                <w:rFonts w:asciiTheme="minorHAnsi" w:hAnsiTheme="minorHAnsi"/>
                <w:szCs w:val="20"/>
              </w:rPr>
              <w:t>s episodes of disturbances in</w:t>
            </w:r>
            <w:r>
              <w:rPr>
                <w:rFonts w:asciiTheme="minorHAnsi" w:hAnsiTheme="minorHAnsi"/>
                <w:szCs w:val="20"/>
              </w:rPr>
              <w:t xml:space="preserve"> emotion</w:t>
            </w:r>
            <w:r w:rsidR="001626F7">
              <w:rPr>
                <w:rFonts w:asciiTheme="minorHAnsi" w:hAnsiTheme="minorHAnsi"/>
                <w:szCs w:val="20"/>
              </w:rPr>
              <w:t>s</w:t>
            </w:r>
            <w:r>
              <w:rPr>
                <w:rFonts w:asciiTheme="minorHAnsi" w:hAnsiTheme="minorHAnsi"/>
                <w:szCs w:val="20"/>
              </w:rPr>
              <w:t>, behaviour, thinking</w:t>
            </w:r>
            <w:r w:rsidR="001626F7">
              <w:rPr>
                <w:rFonts w:asciiTheme="minorHAnsi" w:hAnsiTheme="minorHAnsi"/>
                <w:szCs w:val="20"/>
              </w:rPr>
              <w:t xml:space="preserve"> skills</w:t>
            </w:r>
            <w:r>
              <w:rPr>
                <w:rFonts w:asciiTheme="minorHAnsi" w:hAnsiTheme="minorHAnsi"/>
                <w:szCs w:val="20"/>
              </w:rPr>
              <w:t>, movement and</w:t>
            </w:r>
            <w:r w:rsidR="001626F7">
              <w:rPr>
                <w:rFonts w:asciiTheme="minorHAnsi" w:hAnsiTheme="minorHAnsi"/>
                <w:szCs w:val="20"/>
              </w:rPr>
              <w:t>/or</w:t>
            </w:r>
            <w:r>
              <w:rPr>
                <w:rFonts w:asciiTheme="minorHAnsi" w:hAnsiTheme="minorHAnsi"/>
                <w:szCs w:val="20"/>
              </w:rPr>
              <w:t xml:space="preserve"> sleep</w:t>
            </w:r>
            <w:r w:rsidR="00075608">
              <w:rPr>
                <w:rFonts w:asciiTheme="minorHAnsi" w:hAnsiTheme="minorHAnsi"/>
                <w:szCs w:val="20"/>
              </w:rPr>
              <w:t xml:space="preserve">. </w:t>
            </w:r>
          </w:p>
          <w:p w:rsidR="00832D0D" w:rsidRDefault="001626F7" w:rsidP="001626F7">
            <w:pPr>
              <w:spacing w:before="120" w:after="120"/>
              <w:rPr>
                <w:rFonts w:asciiTheme="minorHAnsi" w:hAnsiTheme="minorHAnsi"/>
              </w:rPr>
            </w:pPr>
            <w:r>
              <w:rPr>
                <w:rFonts w:asciiTheme="minorHAnsi" w:hAnsiTheme="minorHAnsi"/>
              </w:rPr>
              <w:t xml:space="preserve">For existing patients on Ig maintenance therapy, three monthly reviews are required to assess the effectiveness of the treatment to improve </w:t>
            </w:r>
            <w:r w:rsidR="00C7245B">
              <w:rPr>
                <w:rFonts w:asciiTheme="minorHAnsi" w:hAnsiTheme="minorHAnsi"/>
              </w:rPr>
              <w:t xml:space="preserve">both </w:t>
            </w:r>
            <w:r>
              <w:rPr>
                <w:rFonts w:asciiTheme="minorHAnsi" w:hAnsiTheme="minorHAnsi"/>
              </w:rPr>
              <w:t xml:space="preserve">symptoms and the </w:t>
            </w:r>
            <w:r w:rsidR="00C7245B">
              <w:rPr>
                <w:rFonts w:asciiTheme="minorHAnsi" w:hAnsiTheme="minorHAnsi"/>
              </w:rPr>
              <w:t xml:space="preserve">remaining </w:t>
            </w:r>
            <w:r>
              <w:rPr>
                <w:rFonts w:asciiTheme="minorHAnsi" w:hAnsiTheme="minorHAnsi"/>
              </w:rPr>
              <w:t xml:space="preserve">degree of disability. Given that patients will already require regular review by their </w:t>
            </w:r>
            <w:r w:rsidR="00C7245B">
              <w:rPr>
                <w:rFonts w:asciiTheme="minorHAnsi" w:hAnsiTheme="minorHAnsi"/>
              </w:rPr>
              <w:t>specialist</w:t>
            </w:r>
            <w:r>
              <w:rPr>
                <w:rFonts w:asciiTheme="minorHAnsi" w:hAnsiTheme="minorHAnsi"/>
              </w:rPr>
              <w:t xml:space="preserve">, this requirement will not place an added burden on patients. </w:t>
            </w:r>
            <w:r w:rsidR="008E5C37">
              <w:rPr>
                <w:rFonts w:asciiTheme="minorHAnsi" w:hAnsiTheme="minorHAnsi"/>
              </w:rPr>
              <w:t>If Ig therapy has not been effective</w:t>
            </w:r>
            <w:r w:rsidR="00C7245B">
              <w:rPr>
                <w:rFonts w:asciiTheme="minorHAnsi" w:hAnsiTheme="minorHAnsi"/>
              </w:rPr>
              <w:t xml:space="preserve"> in continuing to demonstrate improvement each three months</w:t>
            </w:r>
            <w:r w:rsidR="008E5C37">
              <w:rPr>
                <w:rFonts w:asciiTheme="minorHAnsi" w:hAnsiTheme="minorHAnsi"/>
              </w:rPr>
              <w:t xml:space="preserve">, it will be ceased as a different treatment should be used. </w:t>
            </w:r>
            <w:r w:rsidR="00C7245B">
              <w:rPr>
                <w:rFonts w:asciiTheme="minorHAnsi" w:hAnsiTheme="minorHAnsi"/>
              </w:rPr>
              <w:t xml:space="preserve">If patients continue to improve, they will eventually no longer require Ig treatment. </w:t>
            </w:r>
            <w:r w:rsidR="003C5285">
              <w:rPr>
                <w:rFonts w:asciiTheme="minorHAnsi" w:hAnsiTheme="minorHAnsi"/>
              </w:rPr>
              <w:t xml:space="preserve"> The decision to </w:t>
            </w:r>
            <w:r w:rsidR="00451951">
              <w:rPr>
                <w:rFonts w:asciiTheme="minorHAnsi" w:hAnsiTheme="minorHAnsi"/>
              </w:rPr>
              <w:t>cease</w:t>
            </w:r>
            <w:r w:rsidR="003C5285">
              <w:rPr>
                <w:rFonts w:asciiTheme="minorHAnsi" w:hAnsiTheme="minorHAnsi"/>
              </w:rPr>
              <w:t xml:space="preserve"> Ig</w:t>
            </w:r>
            <w:r w:rsidR="00BF50B9">
              <w:rPr>
                <w:rFonts w:asciiTheme="minorHAnsi" w:hAnsiTheme="minorHAnsi"/>
              </w:rPr>
              <w:t xml:space="preserve"> therapy will be </w:t>
            </w:r>
            <w:r w:rsidR="003C5285">
              <w:rPr>
                <w:rFonts w:asciiTheme="minorHAnsi" w:hAnsiTheme="minorHAnsi"/>
              </w:rPr>
              <w:t>based on the patient’s response. If patients relapse, a further request for Ig therapy may be made</w:t>
            </w:r>
            <w:r w:rsidR="00BF50B9">
              <w:rPr>
                <w:rFonts w:asciiTheme="minorHAnsi" w:hAnsiTheme="minorHAnsi"/>
              </w:rPr>
              <w:t>.</w:t>
            </w:r>
            <w:r w:rsidR="008E5C37">
              <w:rPr>
                <w:rFonts w:asciiTheme="minorHAnsi" w:hAnsiTheme="minorHAnsi"/>
              </w:rPr>
              <w:t xml:space="preserve"> </w:t>
            </w:r>
          </w:p>
          <w:p w:rsidR="001626F7" w:rsidRPr="00832D0D" w:rsidRDefault="001626F7" w:rsidP="00C7245B">
            <w:pPr>
              <w:spacing w:before="120" w:after="120"/>
              <w:rPr>
                <w:rFonts w:asciiTheme="minorHAnsi" w:hAnsiTheme="minorHAnsi"/>
              </w:rPr>
            </w:pPr>
            <w:r>
              <w:rPr>
                <w:rFonts w:asciiTheme="minorHAnsi" w:hAnsiTheme="minorHAnsi"/>
              </w:rPr>
              <w:t>New patients authorised to receive Ig therapy will require an initial check after the first month of Ig treatment to confirm that Ig therapy is effective. If improvement has been demonstrated, Ig therapy will be continued; otherwise a different treatment would be required. The ongoing arrangements for maintenance therapy are as outlined above for existing patients.</w:t>
            </w:r>
          </w:p>
        </w:tc>
      </w:tr>
      <w:tr w:rsidR="00674CEF" w:rsidRPr="00021243" w:rsidTr="00832D0D">
        <w:tc>
          <w:tcPr>
            <w:tcW w:w="3545" w:type="dxa"/>
            <w:gridSpan w:val="2"/>
            <w:shd w:val="clear" w:color="auto" w:fill="auto"/>
          </w:tcPr>
          <w:p w:rsidR="00674CEF" w:rsidRDefault="00674CEF" w:rsidP="004A10A2">
            <w:pPr>
              <w:spacing w:before="120" w:after="120"/>
              <w:rPr>
                <w:rFonts w:asciiTheme="minorHAnsi" w:hAnsiTheme="minorHAnsi"/>
                <w:b/>
              </w:rPr>
            </w:pPr>
            <w:r>
              <w:rPr>
                <w:rFonts w:asciiTheme="minorHAnsi" w:hAnsiTheme="minorHAnsi"/>
                <w:b/>
              </w:rPr>
              <w:t>Impact on  demand</w:t>
            </w:r>
          </w:p>
        </w:tc>
        <w:tc>
          <w:tcPr>
            <w:tcW w:w="11056" w:type="dxa"/>
            <w:gridSpan w:val="5"/>
            <w:shd w:val="clear" w:color="auto" w:fill="auto"/>
          </w:tcPr>
          <w:p w:rsidR="00674CEF" w:rsidRDefault="00674CEF" w:rsidP="004A10A2">
            <w:pPr>
              <w:spacing w:before="120" w:after="120"/>
              <w:rPr>
                <w:rFonts w:asciiTheme="minorHAnsi" w:hAnsiTheme="minorHAnsi"/>
              </w:rPr>
            </w:pPr>
            <w:r>
              <w:rPr>
                <w:rFonts w:asciiTheme="minorHAnsi" w:hAnsiTheme="minorHAnsi"/>
              </w:rPr>
              <w:t xml:space="preserve">There </w:t>
            </w:r>
            <w:r w:rsidR="00E35A9D">
              <w:rPr>
                <w:rFonts w:asciiTheme="minorHAnsi" w:hAnsiTheme="minorHAnsi"/>
              </w:rPr>
              <w:t>has previously been no access</w:t>
            </w:r>
            <w:r>
              <w:rPr>
                <w:rFonts w:asciiTheme="minorHAnsi" w:hAnsiTheme="minorHAnsi"/>
              </w:rPr>
              <w:t xml:space="preserve"> criteria defined for this condition. The development of access criteria (requiring first line treatment with corticosteroids) and the new requirements for review and monitoring may reduce the number of patients being treated and the period of treatment with Ig therapy. The impact on overall demand levels however is </w:t>
            </w:r>
            <w:r>
              <w:rPr>
                <w:rFonts w:asciiTheme="minorHAnsi" w:hAnsiTheme="minorHAnsi"/>
              </w:rPr>
              <w:lastRenderedPageBreak/>
              <w:t>expected to be very marginal, if any, as use is so low.</w:t>
            </w:r>
          </w:p>
        </w:tc>
      </w:tr>
      <w:tr w:rsidR="000B4F24" w:rsidRPr="00853117" w:rsidTr="000B4F24">
        <w:tc>
          <w:tcPr>
            <w:tcW w:w="2161" w:type="dxa"/>
            <w:shd w:val="clear" w:color="auto" w:fill="auto"/>
          </w:tcPr>
          <w:p w:rsidR="000B4F24" w:rsidRPr="00C92149" w:rsidRDefault="000B4F24" w:rsidP="004A10A2">
            <w:pPr>
              <w:spacing w:before="120" w:after="120"/>
              <w:rPr>
                <w:rFonts w:asciiTheme="minorHAnsi" w:hAnsiTheme="minorHAnsi"/>
                <w:b/>
                <w:sz w:val="18"/>
                <w:szCs w:val="18"/>
              </w:rPr>
            </w:pPr>
          </w:p>
        </w:tc>
        <w:tc>
          <w:tcPr>
            <w:tcW w:w="1384" w:type="dxa"/>
            <w:shd w:val="clear" w:color="auto" w:fill="auto"/>
          </w:tcPr>
          <w:p w:rsidR="000B4F24" w:rsidRPr="00C92149" w:rsidRDefault="000B4F24" w:rsidP="00440AB8">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2011-12</w:t>
            </w:r>
          </w:p>
        </w:tc>
        <w:tc>
          <w:tcPr>
            <w:tcW w:w="1593" w:type="dxa"/>
            <w:shd w:val="clear" w:color="auto" w:fill="auto"/>
          </w:tcPr>
          <w:p w:rsidR="000B4F24" w:rsidRPr="00C92149" w:rsidRDefault="000B4F24" w:rsidP="00440AB8">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2012-13</w:t>
            </w:r>
          </w:p>
        </w:tc>
        <w:tc>
          <w:tcPr>
            <w:tcW w:w="1667" w:type="dxa"/>
            <w:shd w:val="clear" w:color="auto" w:fill="auto"/>
          </w:tcPr>
          <w:p w:rsidR="000B4F24" w:rsidRPr="00C92149" w:rsidRDefault="000B4F24" w:rsidP="00440AB8">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2013-14</w:t>
            </w:r>
          </w:p>
        </w:tc>
        <w:tc>
          <w:tcPr>
            <w:tcW w:w="1701" w:type="dxa"/>
            <w:shd w:val="clear" w:color="auto" w:fill="auto"/>
          </w:tcPr>
          <w:p w:rsidR="000B4F24" w:rsidRPr="00C92149" w:rsidRDefault="000B4F24" w:rsidP="00440AB8">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2014-15</w:t>
            </w:r>
          </w:p>
        </w:tc>
        <w:tc>
          <w:tcPr>
            <w:tcW w:w="1559" w:type="dxa"/>
            <w:shd w:val="clear" w:color="auto" w:fill="auto"/>
          </w:tcPr>
          <w:p w:rsidR="000B4F24" w:rsidRPr="000B4F24" w:rsidRDefault="000B4F24" w:rsidP="000B4F24">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2015-16</w:t>
            </w:r>
          </w:p>
        </w:tc>
        <w:tc>
          <w:tcPr>
            <w:tcW w:w="4536" w:type="dxa"/>
            <w:vMerge w:val="restart"/>
            <w:shd w:val="clear" w:color="auto" w:fill="auto"/>
          </w:tcPr>
          <w:p w:rsidR="00674CEF" w:rsidRPr="00E35A9D" w:rsidRDefault="00674CEF" w:rsidP="00674CEF">
            <w:pPr>
              <w:rPr>
                <w:rFonts w:asciiTheme="minorHAnsi" w:hAnsiTheme="minorHAnsi"/>
                <w:sz w:val="18"/>
                <w:szCs w:val="18"/>
              </w:rPr>
            </w:pPr>
          </w:p>
          <w:p w:rsidR="00F24191" w:rsidRPr="004878CD" w:rsidRDefault="00F24191" w:rsidP="00F24191">
            <w:pPr>
              <w:rPr>
                <w:rFonts w:asciiTheme="minorHAnsi" w:hAnsiTheme="minorHAnsi"/>
                <w:sz w:val="18"/>
                <w:szCs w:val="18"/>
              </w:rPr>
            </w:pPr>
            <w:r w:rsidRPr="004878CD">
              <w:rPr>
                <w:rFonts w:asciiTheme="minorHAnsi" w:hAnsiTheme="minorHAnsi"/>
                <w:sz w:val="18"/>
                <w:szCs w:val="18"/>
              </w:rPr>
              <w:t>The</w:t>
            </w:r>
            <w:r>
              <w:t xml:space="preserve"> </w:t>
            </w:r>
            <w:r w:rsidRPr="001F01BD">
              <w:rPr>
                <w:rFonts w:asciiTheme="minorHAnsi" w:hAnsiTheme="minorHAnsi"/>
                <w:sz w:val="18"/>
                <w:szCs w:val="18"/>
              </w:rPr>
              <w:t xml:space="preserve">Specialist Working Group </w:t>
            </w:r>
            <w:r w:rsidRPr="004878CD">
              <w:rPr>
                <w:rFonts w:asciiTheme="minorHAnsi" w:hAnsiTheme="minorHAnsi"/>
                <w:sz w:val="18"/>
                <w:szCs w:val="18"/>
              </w:rPr>
              <w:t>estimated magnitude of effect:</w:t>
            </w:r>
          </w:p>
          <w:p w:rsidR="00F24191" w:rsidRDefault="00F24191" w:rsidP="00674CEF">
            <w:pPr>
              <w:rPr>
                <w:rFonts w:asciiTheme="minorHAnsi" w:hAnsiTheme="minorHAnsi"/>
                <w:sz w:val="18"/>
                <w:szCs w:val="18"/>
              </w:rPr>
            </w:pPr>
          </w:p>
          <w:p w:rsidR="00674CEF" w:rsidRPr="00E35A9D" w:rsidRDefault="00674CEF" w:rsidP="00674CEF">
            <w:pPr>
              <w:rPr>
                <w:rFonts w:asciiTheme="minorHAnsi" w:hAnsiTheme="minorHAnsi"/>
                <w:sz w:val="18"/>
                <w:szCs w:val="18"/>
              </w:rPr>
            </w:pPr>
            <w:r w:rsidRPr="00E35A9D">
              <w:rPr>
                <w:rFonts w:asciiTheme="minorHAnsi" w:hAnsiTheme="minorHAnsi"/>
                <w:sz w:val="18"/>
                <w:szCs w:val="18"/>
              </w:rPr>
              <w:t xml:space="preserve">No impact </w:t>
            </w:r>
            <w:r w:rsidR="00F24191">
              <w:rPr>
                <w:rFonts w:asciiTheme="minorHAnsi" w:hAnsiTheme="minorHAnsi"/>
                <w:sz w:val="18"/>
                <w:szCs w:val="18"/>
              </w:rPr>
              <w:t>against projected demand</w:t>
            </w:r>
          </w:p>
          <w:p w:rsidR="00674CEF" w:rsidRDefault="00674CEF" w:rsidP="00674CEF">
            <w:pPr>
              <w:rPr>
                <w:rFonts w:ascii="Gill Sans MT" w:hAnsi="Gill Sans MT"/>
                <w:sz w:val="18"/>
                <w:szCs w:val="18"/>
              </w:rPr>
            </w:pPr>
          </w:p>
          <w:p w:rsidR="000B4F24" w:rsidRPr="00C92149" w:rsidRDefault="000B4F24" w:rsidP="004A10A2">
            <w:pPr>
              <w:spacing w:before="120" w:after="120"/>
              <w:rPr>
                <w:rFonts w:asciiTheme="minorHAnsi" w:hAnsiTheme="minorHAnsi"/>
                <w:b/>
                <w:sz w:val="18"/>
                <w:szCs w:val="18"/>
              </w:rPr>
            </w:pPr>
          </w:p>
        </w:tc>
      </w:tr>
      <w:tr w:rsidR="000B4F24" w:rsidRPr="00853117" w:rsidTr="002A3FAF">
        <w:tc>
          <w:tcPr>
            <w:tcW w:w="2161" w:type="dxa"/>
            <w:shd w:val="clear" w:color="auto" w:fill="auto"/>
          </w:tcPr>
          <w:p w:rsidR="000B4F24" w:rsidRPr="00C92149" w:rsidRDefault="000B4F24"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Patient number</w:t>
            </w:r>
          </w:p>
        </w:tc>
        <w:tc>
          <w:tcPr>
            <w:tcW w:w="1384" w:type="dxa"/>
            <w:shd w:val="clear" w:color="auto" w:fill="auto"/>
            <w:vAlign w:val="center"/>
          </w:tcPr>
          <w:p w:rsidR="000B4F24" w:rsidRPr="00440AB8" w:rsidRDefault="000B4F24" w:rsidP="002A3FAF">
            <w:pPr>
              <w:spacing w:before="120" w:after="120"/>
              <w:jc w:val="right"/>
              <w:rPr>
                <w:rFonts w:asciiTheme="minorHAnsi" w:hAnsiTheme="minorHAnsi" w:cs="Helvetica"/>
                <w:b/>
                <w:color w:val="333333"/>
                <w:sz w:val="18"/>
                <w:szCs w:val="18"/>
              </w:rPr>
            </w:pPr>
            <w:r w:rsidRPr="00440AB8">
              <w:rPr>
                <w:rFonts w:asciiTheme="minorHAnsi" w:hAnsiTheme="minorHAnsi" w:cs="Helvetica"/>
                <w:b/>
                <w:color w:val="333333"/>
                <w:sz w:val="18"/>
                <w:szCs w:val="18"/>
              </w:rPr>
              <w:t>6</w:t>
            </w:r>
          </w:p>
        </w:tc>
        <w:tc>
          <w:tcPr>
            <w:tcW w:w="1593" w:type="dxa"/>
            <w:shd w:val="clear" w:color="auto" w:fill="auto"/>
            <w:vAlign w:val="center"/>
          </w:tcPr>
          <w:p w:rsidR="000B4F24" w:rsidRPr="00440AB8" w:rsidRDefault="000B4F24" w:rsidP="002A3FAF">
            <w:pPr>
              <w:spacing w:before="120" w:after="120"/>
              <w:jc w:val="right"/>
              <w:rPr>
                <w:rFonts w:asciiTheme="minorHAnsi" w:hAnsiTheme="minorHAnsi" w:cs="Helvetica"/>
                <w:b/>
                <w:color w:val="333333"/>
                <w:sz w:val="18"/>
                <w:szCs w:val="18"/>
              </w:rPr>
            </w:pPr>
            <w:r w:rsidRPr="00440AB8">
              <w:rPr>
                <w:rFonts w:asciiTheme="minorHAnsi" w:hAnsiTheme="minorHAnsi" w:cs="Helvetica"/>
                <w:b/>
                <w:color w:val="333333"/>
                <w:sz w:val="18"/>
                <w:szCs w:val="18"/>
              </w:rPr>
              <w:t>6</w:t>
            </w:r>
          </w:p>
        </w:tc>
        <w:tc>
          <w:tcPr>
            <w:tcW w:w="1667" w:type="dxa"/>
            <w:shd w:val="clear" w:color="auto" w:fill="auto"/>
            <w:vAlign w:val="center"/>
          </w:tcPr>
          <w:p w:rsidR="000B4F24" w:rsidRPr="00440AB8" w:rsidRDefault="00CC4DDA" w:rsidP="002A3FAF">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&lt;5</w:t>
            </w:r>
          </w:p>
        </w:tc>
        <w:tc>
          <w:tcPr>
            <w:tcW w:w="1701" w:type="dxa"/>
            <w:shd w:val="clear" w:color="auto" w:fill="auto"/>
            <w:vAlign w:val="center"/>
          </w:tcPr>
          <w:p w:rsidR="000B4F24" w:rsidRPr="00440AB8" w:rsidRDefault="000B4F24" w:rsidP="002A3FAF">
            <w:pPr>
              <w:spacing w:before="120" w:after="120"/>
              <w:jc w:val="right"/>
              <w:rPr>
                <w:rFonts w:asciiTheme="minorHAnsi" w:hAnsiTheme="minorHAnsi" w:cs="Helvetica"/>
                <w:b/>
                <w:color w:val="333333"/>
                <w:sz w:val="18"/>
                <w:szCs w:val="18"/>
              </w:rPr>
            </w:pPr>
            <w:r w:rsidRPr="00440AB8">
              <w:rPr>
                <w:rFonts w:asciiTheme="minorHAnsi" w:hAnsiTheme="minorHAnsi" w:cs="Helvetica"/>
                <w:b/>
                <w:color w:val="333333"/>
                <w:sz w:val="18"/>
                <w:szCs w:val="18"/>
              </w:rPr>
              <w:t>7</w:t>
            </w:r>
          </w:p>
        </w:tc>
        <w:tc>
          <w:tcPr>
            <w:tcW w:w="1559" w:type="dxa"/>
            <w:shd w:val="clear" w:color="auto" w:fill="auto"/>
            <w:vAlign w:val="center"/>
          </w:tcPr>
          <w:p w:rsidR="000B4F24" w:rsidRPr="000B4F24" w:rsidRDefault="00311C36" w:rsidP="002A3FAF">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6</w:t>
            </w:r>
          </w:p>
        </w:tc>
        <w:tc>
          <w:tcPr>
            <w:tcW w:w="4536" w:type="dxa"/>
            <w:vMerge/>
            <w:shd w:val="clear" w:color="auto" w:fill="auto"/>
          </w:tcPr>
          <w:p w:rsidR="000B4F24" w:rsidRPr="00C92149" w:rsidRDefault="000B4F24" w:rsidP="004A10A2">
            <w:pPr>
              <w:spacing w:before="120" w:after="120"/>
              <w:rPr>
                <w:rFonts w:asciiTheme="minorHAnsi" w:hAnsiTheme="minorHAnsi"/>
                <w:b/>
                <w:sz w:val="18"/>
                <w:szCs w:val="18"/>
              </w:rPr>
            </w:pPr>
          </w:p>
        </w:tc>
      </w:tr>
      <w:tr w:rsidR="000B4F24" w:rsidRPr="00853117" w:rsidTr="002A3FAF">
        <w:trPr>
          <w:trHeight w:val="535"/>
        </w:trPr>
        <w:tc>
          <w:tcPr>
            <w:tcW w:w="2161" w:type="dxa"/>
            <w:shd w:val="clear" w:color="auto" w:fill="auto"/>
          </w:tcPr>
          <w:p w:rsidR="000B4F24" w:rsidRPr="00C92149" w:rsidRDefault="000B4F24" w:rsidP="004A10A2">
            <w:pPr>
              <w:spacing w:before="120" w:after="120"/>
              <w:rPr>
                <w:rFonts w:asciiTheme="minorHAnsi" w:hAnsiTheme="minorHAnsi"/>
                <w:b/>
                <w:sz w:val="18"/>
                <w:szCs w:val="18"/>
              </w:rPr>
            </w:pPr>
            <w:r w:rsidRPr="00C92149">
              <w:rPr>
                <w:rFonts w:asciiTheme="minorHAnsi" w:hAnsiTheme="minorHAnsi"/>
                <w:b/>
                <w:sz w:val="18"/>
                <w:szCs w:val="18"/>
              </w:rPr>
              <w:t>Total Grams issued</w:t>
            </w:r>
          </w:p>
        </w:tc>
        <w:tc>
          <w:tcPr>
            <w:tcW w:w="1384" w:type="dxa"/>
            <w:shd w:val="clear" w:color="auto" w:fill="auto"/>
            <w:vAlign w:val="center"/>
          </w:tcPr>
          <w:p w:rsidR="000B4F24" w:rsidRPr="00440AB8" w:rsidRDefault="000B4F24" w:rsidP="002A3FAF">
            <w:pPr>
              <w:spacing w:before="120" w:after="120"/>
              <w:jc w:val="right"/>
              <w:rPr>
                <w:rFonts w:asciiTheme="minorHAnsi" w:hAnsiTheme="minorHAnsi" w:cs="Helvetica"/>
                <w:b/>
                <w:color w:val="333333"/>
                <w:sz w:val="18"/>
                <w:szCs w:val="18"/>
              </w:rPr>
            </w:pPr>
            <w:r w:rsidRPr="00440AB8">
              <w:rPr>
                <w:rFonts w:asciiTheme="minorHAnsi" w:hAnsiTheme="minorHAnsi" w:cs="Helvetica"/>
                <w:b/>
                <w:color w:val="333333"/>
                <w:sz w:val="18"/>
                <w:szCs w:val="18"/>
              </w:rPr>
              <w:t>671</w:t>
            </w:r>
          </w:p>
        </w:tc>
        <w:tc>
          <w:tcPr>
            <w:tcW w:w="1593" w:type="dxa"/>
            <w:shd w:val="clear" w:color="auto" w:fill="auto"/>
            <w:vAlign w:val="center"/>
          </w:tcPr>
          <w:p w:rsidR="000B4F24" w:rsidRPr="00440AB8" w:rsidRDefault="000B4F24" w:rsidP="002A3FAF">
            <w:pPr>
              <w:spacing w:before="120" w:after="120"/>
              <w:jc w:val="right"/>
              <w:rPr>
                <w:rFonts w:asciiTheme="minorHAnsi" w:hAnsiTheme="minorHAnsi" w:cs="Helvetica"/>
                <w:b/>
                <w:color w:val="333333"/>
                <w:sz w:val="18"/>
                <w:szCs w:val="18"/>
              </w:rPr>
            </w:pPr>
            <w:r w:rsidRPr="00440AB8">
              <w:rPr>
                <w:rFonts w:asciiTheme="minorHAnsi" w:hAnsiTheme="minorHAnsi" w:cs="Helvetica"/>
                <w:b/>
                <w:color w:val="333333"/>
                <w:sz w:val="18"/>
                <w:szCs w:val="18"/>
              </w:rPr>
              <w:t>2,225</w:t>
            </w:r>
          </w:p>
        </w:tc>
        <w:tc>
          <w:tcPr>
            <w:tcW w:w="1667" w:type="dxa"/>
            <w:shd w:val="clear" w:color="auto" w:fill="auto"/>
            <w:vAlign w:val="center"/>
          </w:tcPr>
          <w:p w:rsidR="000B4F24" w:rsidRPr="00440AB8" w:rsidRDefault="006F30D6" w:rsidP="002A3FAF">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&lt;2,000</w:t>
            </w:r>
          </w:p>
        </w:tc>
        <w:tc>
          <w:tcPr>
            <w:tcW w:w="1701" w:type="dxa"/>
            <w:shd w:val="clear" w:color="auto" w:fill="auto"/>
            <w:vAlign w:val="center"/>
          </w:tcPr>
          <w:p w:rsidR="000B4F24" w:rsidRPr="00440AB8" w:rsidRDefault="000B4F24" w:rsidP="002A3FAF">
            <w:pPr>
              <w:spacing w:before="120" w:after="120"/>
              <w:jc w:val="right"/>
              <w:rPr>
                <w:rFonts w:asciiTheme="minorHAnsi" w:hAnsiTheme="minorHAnsi" w:cs="Helvetica"/>
                <w:b/>
                <w:color w:val="333333"/>
                <w:sz w:val="18"/>
                <w:szCs w:val="18"/>
              </w:rPr>
            </w:pPr>
            <w:r w:rsidRPr="00440AB8">
              <w:rPr>
                <w:rFonts w:asciiTheme="minorHAnsi" w:hAnsiTheme="minorHAnsi" w:cs="Helvetica"/>
                <w:b/>
                <w:color w:val="333333"/>
                <w:sz w:val="18"/>
                <w:szCs w:val="18"/>
              </w:rPr>
              <w:t>2,161</w:t>
            </w:r>
          </w:p>
        </w:tc>
        <w:tc>
          <w:tcPr>
            <w:tcW w:w="1559" w:type="dxa"/>
            <w:shd w:val="clear" w:color="auto" w:fill="auto"/>
            <w:vAlign w:val="center"/>
          </w:tcPr>
          <w:p w:rsidR="000B4F24" w:rsidRPr="000B4F24" w:rsidRDefault="00311C36" w:rsidP="002A3FAF">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1,447</w:t>
            </w:r>
          </w:p>
        </w:tc>
        <w:tc>
          <w:tcPr>
            <w:tcW w:w="4536" w:type="dxa"/>
            <w:vMerge/>
            <w:shd w:val="clear" w:color="auto" w:fill="auto"/>
          </w:tcPr>
          <w:p w:rsidR="000B4F24" w:rsidRPr="00C92149" w:rsidRDefault="000B4F24" w:rsidP="004A10A2">
            <w:pPr>
              <w:spacing w:before="120" w:after="120"/>
              <w:rPr>
                <w:rFonts w:asciiTheme="minorHAnsi" w:hAnsiTheme="minorHAnsi"/>
                <w:b/>
                <w:sz w:val="18"/>
                <w:szCs w:val="18"/>
              </w:rPr>
            </w:pPr>
          </w:p>
        </w:tc>
      </w:tr>
      <w:tr w:rsidR="000B4F24" w:rsidRPr="00853117" w:rsidTr="002A3FAF">
        <w:tc>
          <w:tcPr>
            <w:tcW w:w="2161" w:type="dxa"/>
            <w:shd w:val="clear" w:color="auto" w:fill="auto"/>
          </w:tcPr>
          <w:p w:rsidR="000B4F24" w:rsidRPr="00C92149" w:rsidRDefault="000B4F24" w:rsidP="004A10A2">
            <w:pPr>
              <w:spacing w:before="120" w:after="120"/>
              <w:rPr>
                <w:rFonts w:asciiTheme="minorHAnsi" w:hAnsiTheme="minorHAnsi"/>
                <w:b/>
                <w:sz w:val="18"/>
                <w:szCs w:val="18"/>
              </w:rPr>
            </w:pPr>
            <w:r w:rsidRPr="00C92149">
              <w:rPr>
                <w:rFonts w:asciiTheme="minorHAnsi" w:hAnsiTheme="minorHAnsi"/>
                <w:b/>
                <w:sz w:val="18"/>
                <w:szCs w:val="18"/>
              </w:rPr>
              <w:t>% Total Grams issued</w:t>
            </w:r>
          </w:p>
        </w:tc>
        <w:tc>
          <w:tcPr>
            <w:tcW w:w="1384" w:type="dxa"/>
            <w:shd w:val="clear" w:color="auto" w:fill="auto"/>
            <w:vAlign w:val="center"/>
          </w:tcPr>
          <w:p w:rsidR="000B4F24" w:rsidRPr="00440AB8" w:rsidRDefault="004C173A" w:rsidP="002A3FAF">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0.02</w:t>
            </w:r>
            <w:r w:rsidR="000B4F24" w:rsidRPr="00440AB8">
              <w:rPr>
                <w:rFonts w:asciiTheme="minorHAnsi" w:hAnsiTheme="minorHAnsi" w:cs="Helvetica"/>
                <w:b/>
                <w:color w:val="333333"/>
                <w:sz w:val="18"/>
                <w:szCs w:val="18"/>
              </w:rPr>
              <w:t>%</w:t>
            </w:r>
          </w:p>
        </w:tc>
        <w:tc>
          <w:tcPr>
            <w:tcW w:w="1593" w:type="dxa"/>
            <w:shd w:val="clear" w:color="auto" w:fill="auto"/>
            <w:vAlign w:val="center"/>
          </w:tcPr>
          <w:p w:rsidR="000B4F24" w:rsidRPr="00440AB8" w:rsidRDefault="004C173A" w:rsidP="002A3FAF">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0.06</w:t>
            </w:r>
            <w:r w:rsidR="000B4F24" w:rsidRPr="00440AB8">
              <w:rPr>
                <w:rFonts w:asciiTheme="minorHAnsi" w:hAnsiTheme="minorHAnsi" w:cs="Helvetica"/>
                <w:b/>
                <w:color w:val="333333"/>
                <w:sz w:val="18"/>
                <w:szCs w:val="18"/>
              </w:rPr>
              <w:t>%</w:t>
            </w:r>
          </w:p>
        </w:tc>
        <w:tc>
          <w:tcPr>
            <w:tcW w:w="1667" w:type="dxa"/>
            <w:shd w:val="clear" w:color="auto" w:fill="auto"/>
            <w:vAlign w:val="center"/>
          </w:tcPr>
          <w:p w:rsidR="000B4F24" w:rsidRPr="00440AB8" w:rsidRDefault="002725AB" w:rsidP="002A3FAF">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&lt;</w:t>
            </w:r>
            <w:r w:rsidR="00CC4DDA">
              <w:rPr>
                <w:rFonts w:asciiTheme="minorHAnsi" w:hAnsiTheme="minorHAnsi" w:cs="Helvetica"/>
                <w:b/>
                <w:color w:val="333333"/>
                <w:sz w:val="18"/>
                <w:szCs w:val="18"/>
              </w:rPr>
              <w:t>0.04</w:t>
            </w:r>
            <w:r w:rsidR="000B4F24" w:rsidRPr="00440AB8">
              <w:rPr>
                <w:rFonts w:asciiTheme="minorHAnsi" w:hAnsiTheme="minorHAnsi" w:cs="Helvetica"/>
                <w:b/>
                <w:color w:val="333333"/>
                <w:sz w:val="18"/>
                <w:szCs w:val="18"/>
              </w:rPr>
              <w:t>%</w:t>
            </w:r>
          </w:p>
        </w:tc>
        <w:tc>
          <w:tcPr>
            <w:tcW w:w="1701" w:type="dxa"/>
            <w:shd w:val="clear" w:color="auto" w:fill="auto"/>
            <w:vAlign w:val="center"/>
          </w:tcPr>
          <w:p w:rsidR="000B4F24" w:rsidRPr="00440AB8" w:rsidRDefault="00D3704D" w:rsidP="002A3FAF">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0.05</w:t>
            </w:r>
            <w:r w:rsidR="000B4F24" w:rsidRPr="00440AB8">
              <w:rPr>
                <w:rFonts w:asciiTheme="minorHAnsi" w:hAnsiTheme="minorHAnsi" w:cs="Helvetica"/>
                <w:b/>
                <w:color w:val="333333"/>
                <w:sz w:val="18"/>
                <w:szCs w:val="18"/>
              </w:rPr>
              <w:t>%</w:t>
            </w:r>
          </w:p>
        </w:tc>
        <w:tc>
          <w:tcPr>
            <w:tcW w:w="1559" w:type="dxa"/>
            <w:shd w:val="clear" w:color="auto" w:fill="auto"/>
            <w:vAlign w:val="center"/>
          </w:tcPr>
          <w:p w:rsidR="000B4F24" w:rsidRPr="000B4F24" w:rsidRDefault="00D3704D" w:rsidP="002A3FAF">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0.03</w:t>
            </w:r>
            <w:r w:rsidR="00311C36">
              <w:rPr>
                <w:rFonts w:asciiTheme="minorHAnsi" w:hAnsiTheme="minorHAnsi" w:cs="Helvetica"/>
                <w:b/>
                <w:color w:val="333333"/>
                <w:sz w:val="18"/>
                <w:szCs w:val="18"/>
              </w:rPr>
              <w:t>%</w:t>
            </w:r>
          </w:p>
        </w:tc>
        <w:tc>
          <w:tcPr>
            <w:tcW w:w="4536" w:type="dxa"/>
            <w:vMerge/>
            <w:shd w:val="clear" w:color="auto" w:fill="auto"/>
          </w:tcPr>
          <w:p w:rsidR="000B4F24" w:rsidRPr="00C92149" w:rsidRDefault="000B4F24" w:rsidP="004A10A2">
            <w:pPr>
              <w:spacing w:before="120" w:after="120"/>
              <w:rPr>
                <w:rFonts w:asciiTheme="minorHAnsi" w:hAnsiTheme="minorHAnsi"/>
                <w:b/>
                <w:sz w:val="18"/>
                <w:szCs w:val="18"/>
              </w:rPr>
            </w:pPr>
          </w:p>
        </w:tc>
      </w:tr>
      <w:tr w:rsidR="00440AB8" w:rsidRPr="00021243" w:rsidTr="005D45E6">
        <w:tc>
          <w:tcPr>
            <w:tcW w:w="14601" w:type="dxa"/>
            <w:gridSpan w:val="7"/>
            <w:shd w:val="clear" w:color="auto" w:fill="F79646" w:themeFill="accent6"/>
          </w:tcPr>
          <w:p w:rsidR="00440AB8" w:rsidRDefault="00DF54C9" w:rsidP="005D45E6">
            <w:pPr>
              <w:spacing w:before="120" w:after="120"/>
              <w:rPr>
                <w:rFonts w:asciiTheme="minorHAnsi" w:hAnsiTheme="minorHAnsi"/>
                <w:b/>
              </w:rPr>
            </w:pPr>
            <w:r>
              <w:rPr>
                <w:rFonts w:asciiTheme="minorHAnsi" w:hAnsiTheme="minorHAnsi"/>
                <w:b/>
              </w:rPr>
              <w:t xml:space="preserve">Specialist Working Group </w:t>
            </w:r>
            <w:r w:rsidR="00440AB8">
              <w:rPr>
                <w:rFonts w:asciiTheme="minorHAnsi" w:hAnsiTheme="minorHAnsi"/>
                <w:b/>
              </w:rPr>
              <w:t>knowledge development opportunities and recommendations</w:t>
            </w:r>
          </w:p>
        </w:tc>
      </w:tr>
      <w:tr w:rsidR="00440AB8" w:rsidRPr="00021243" w:rsidTr="005D45E6">
        <w:tc>
          <w:tcPr>
            <w:tcW w:w="14601" w:type="dxa"/>
            <w:gridSpan w:val="7"/>
            <w:shd w:val="clear" w:color="auto" w:fill="auto"/>
          </w:tcPr>
          <w:p w:rsidR="00440AB8" w:rsidRPr="002506FF" w:rsidRDefault="00674CEF" w:rsidP="005D45E6">
            <w:pPr>
              <w:spacing w:before="120" w:after="120"/>
              <w:rPr>
                <w:rFonts w:asciiTheme="minorHAnsi" w:hAnsiTheme="minorHAnsi"/>
              </w:rPr>
            </w:pPr>
            <w:r>
              <w:rPr>
                <w:rFonts w:asciiTheme="minorHAnsi" w:hAnsiTheme="minorHAnsi"/>
              </w:rPr>
              <w:t>None</w:t>
            </w:r>
            <w:r w:rsidR="00C847A9">
              <w:rPr>
                <w:rFonts w:asciiTheme="minorHAnsi" w:hAnsiTheme="minorHAnsi"/>
              </w:rPr>
              <w:t xml:space="preserve"> identified</w:t>
            </w:r>
            <w:r w:rsidR="00DB2402">
              <w:rPr>
                <w:rFonts w:asciiTheme="minorHAnsi" w:hAnsiTheme="minorHAnsi"/>
              </w:rPr>
              <w:t xml:space="preserve"> at this stage.</w:t>
            </w:r>
          </w:p>
        </w:tc>
      </w:tr>
    </w:tbl>
    <w:p w:rsidR="00447869" w:rsidRDefault="00447869" w:rsidP="00FD2CCD"/>
    <w:tbl>
      <w:tblPr>
        <w:tblStyle w:val="TableGrid"/>
        <w:tblW w:w="14601" w:type="dxa"/>
        <w:tblInd w:w="-318" w:type="dxa"/>
        <w:tblLook w:val="04A0" w:firstRow="1" w:lastRow="0" w:firstColumn="1" w:lastColumn="0" w:noHBand="0" w:noVBand="1"/>
      </w:tblPr>
      <w:tblGrid>
        <w:gridCol w:w="14601"/>
      </w:tblGrid>
      <w:tr w:rsidR="002506FF" w:rsidRPr="00021243" w:rsidTr="009F1DFC">
        <w:tc>
          <w:tcPr>
            <w:tcW w:w="14601" w:type="dxa"/>
          </w:tcPr>
          <w:p w:rsidR="002506FF" w:rsidRDefault="002506FF" w:rsidP="002506FF">
            <w:pPr>
              <w:spacing w:before="120" w:after="120"/>
              <w:jc w:val="center"/>
              <w:rPr>
                <w:rFonts w:asciiTheme="minorHAnsi" w:hAnsiTheme="minorHAnsi"/>
                <w:b/>
              </w:rPr>
            </w:pPr>
            <w:r w:rsidRPr="00021243">
              <w:rPr>
                <w:rFonts w:asciiTheme="minorHAnsi" w:hAnsiTheme="minorHAnsi"/>
                <w:b/>
              </w:rPr>
              <w:t xml:space="preserve">END OF </w:t>
            </w:r>
            <w:r w:rsidR="00CF5696">
              <w:rPr>
                <w:rFonts w:asciiTheme="minorHAnsi" w:hAnsiTheme="minorHAnsi"/>
                <w:b/>
              </w:rPr>
              <w:t>PUBLIC CONSULTATION</w:t>
            </w:r>
            <w:r>
              <w:rPr>
                <w:rFonts w:asciiTheme="minorHAnsi" w:hAnsiTheme="minorHAnsi"/>
                <w:b/>
              </w:rPr>
              <w:t xml:space="preserve"> DOCUMENT</w:t>
            </w:r>
          </w:p>
          <w:p w:rsidR="000E09C4" w:rsidRPr="00021243" w:rsidRDefault="00CF5696" w:rsidP="00674CEF">
            <w:pPr>
              <w:spacing w:before="120" w:after="120"/>
              <w:jc w:val="center"/>
              <w:rPr>
                <w:rFonts w:asciiTheme="minorHAnsi" w:hAnsiTheme="minorHAnsi"/>
                <w:b/>
              </w:rPr>
            </w:pPr>
            <w:r>
              <w:rPr>
                <w:rFonts w:asciiTheme="minorHAnsi" w:hAnsiTheme="minorHAnsi"/>
                <w:b/>
              </w:rPr>
              <w:t>Next review</w:t>
            </w:r>
            <w:r w:rsidR="00674CEF">
              <w:rPr>
                <w:rFonts w:asciiTheme="minorHAnsi" w:hAnsiTheme="minorHAnsi"/>
                <w:b/>
              </w:rPr>
              <w:t xml:space="preserve">:  </w:t>
            </w:r>
            <w:r w:rsidR="0029539F">
              <w:rPr>
                <w:rFonts w:asciiTheme="minorHAnsi" w:hAnsiTheme="minorHAnsi"/>
                <w:b/>
              </w:rPr>
              <w:t>T</w:t>
            </w:r>
            <w:r w:rsidR="00674CEF">
              <w:rPr>
                <w:rFonts w:asciiTheme="minorHAnsi" w:hAnsiTheme="minorHAnsi"/>
                <w:b/>
              </w:rPr>
              <w:t xml:space="preserve">welve to eighteen months from BloodSTAR </w:t>
            </w:r>
            <w:r w:rsidR="00DF54C9">
              <w:rPr>
                <w:rFonts w:asciiTheme="minorHAnsi" w:hAnsiTheme="minorHAnsi"/>
                <w:b/>
              </w:rPr>
              <w:t>v</w:t>
            </w:r>
            <w:r w:rsidR="00674CEF">
              <w:rPr>
                <w:rFonts w:asciiTheme="minorHAnsi" w:hAnsiTheme="minorHAnsi"/>
                <w:b/>
              </w:rPr>
              <w:t>3</w:t>
            </w:r>
            <w:r w:rsidR="00AC20FC">
              <w:rPr>
                <w:rFonts w:asciiTheme="minorHAnsi" w:hAnsiTheme="minorHAnsi"/>
                <w:b/>
              </w:rPr>
              <w:t>.0</w:t>
            </w:r>
            <w:r w:rsidR="00674CEF">
              <w:rPr>
                <w:rFonts w:asciiTheme="minorHAnsi" w:hAnsiTheme="minorHAnsi"/>
                <w:b/>
              </w:rPr>
              <w:t xml:space="preserve"> implementation</w:t>
            </w:r>
          </w:p>
        </w:tc>
      </w:tr>
    </w:tbl>
    <w:p w:rsidR="009C1E09" w:rsidRDefault="009C1E09" w:rsidP="002506FF">
      <w:pPr>
        <w:jc w:val="center"/>
      </w:pPr>
    </w:p>
    <w:p w:rsidR="006627B5" w:rsidRPr="00FD2CCD" w:rsidRDefault="006627B5">
      <w:pPr>
        <w:spacing w:line="276" w:lineRule="auto"/>
      </w:pPr>
    </w:p>
    <w:sectPr w:rsidR="006627B5" w:rsidRPr="00FD2CCD" w:rsidSect="000E09C4">
      <w:headerReference w:type="first" r:id="rId17"/>
      <w:pgSz w:w="16839" w:h="11907" w:orient="landscape" w:code="9"/>
      <w:pgMar w:top="1440"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B66" w:rsidRDefault="00FE5B66" w:rsidP="00856708">
      <w:pPr>
        <w:spacing w:after="0"/>
      </w:pPr>
      <w:r>
        <w:separator/>
      </w:r>
    </w:p>
  </w:endnote>
  <w:endnote w:type="continuationSeparator" w:id="0">
    <w:p w:rsidR="00FE5B66" w:rsidRDefault="00FE5B66"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DIN-Medium">
    <w:altName w:val="Cambria"/>
    <w:panose1 w:val="00000000000000000000"/>
    <w:charset w:val="4D"/>
    <w:family w:val="swiss"/>
    <w:notTrueType/>
    <w:pitch w:val="default"/>
    <w:sig w:usb0="00000003" w:usb1="00000000" w:usb2="00000000" w:usb3="00000000" w:csb0="00000001" w:csb1="00000000"/>
  </w:font>
  <w:font w:name="DIN-Light">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473216"/>
      <w:docPartObj>
        <w:docPartGallery w:val="Page Numbers (Bottom of Page)"/>
        <w:docPartUnique/>
      </w:docPartObj>
    </w:sdtPr>
    <w:sdtEndPr>
      <w:rPr>
        <w:noProof/>
      </w:rPr>
    </w:sdtEndPr>
    <w:sdtContent>
      <w:p w:rsidR="00D1266B" w:rsidRDefault="00D1266B">
        <w:pPr>
          <w:pStyle w:val="Footer"/>
          <w:jc w:val="right"/>
        </w:pPr>
        <w:r>
          <w:fldChar w:fldCharType="begin"/>
        </w:r>
        <w:r>
          <w:instrText xml:space="preserve"> PAGE   \* MERGEFORMAT </w:instrText>
        </w:r>
        <w:r>
          <w:fldChar w:fldCharType="separate"/>
        </w:r>
        <w:r w:rsidR="005A3A63">
          <w:rPr>
            <w:noProof/>
          </w:rPr>
          <w:t>2</w:t>
        </w:r>
        <w:r>
          <w:rPr>
            <w:noProof/>
          </w:rPr>
          <w:fldChar w:fldCharType="end"/>
        </w:r>
      </w:p>
    </w:sdtContent>
  </w:sdt>
  <w:p w:rsidR="007478F9" w:rsidRDefault="007478F9" w:rsidP="00C92149">
    <w:pPr>
      <w:pStyle w:val="Footer"/>
      <w:tabs>
        <w:tab w:val="clear" w:pos="9026"/>
        <w:tab w:val="right" w:pos="13608"/>
      </w:tabs>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511474"/>
      <w:docPartObj>
        <w:docPartGallery w:val="Page Numbers (Bottom of Page)"/>
        <w:docPartUnique/>
      </w:docPartObj>
    </w:sdtPr>
    <w:sdtEndPr>
      <w:rPr>
        <w:noProof/>
      </w:rPr>
    </w:sdtEndPr>
    <w:sdtContent>
      <w:p w:rsidR="00D1266B" w:rsidRDefault="00D1266B">
        <w:pPr>
          <w:pStyle w:val="Footer"/>
          <w:jc w:val="right"/>
        </w:pPr>
        <w:r>
          <w:fldChar w:fldCharType="begin"/>
        </w:r>
        <w:r>
          <w:instrText xml:space="preserve"> PAGE   \* MERGEFORMAT </w:instrText>
        </w:r>
        <w:r>
          <w:fldChar w:fldCharType="separate"/>
        </w:r>
        <w:r w:rsidR="005A3A63">
          <w:rPr>
            <w:noProof/>
          </w:rPr>
          <w:t>1</w:t>
        </w:r>
        <w:r>
          <w:rPr>
            <w:noProof/>
          </w:rPr>
          <w:fldChar w:fldCharType="end"/>
        </w:r>
      </w:p>
    </w:sdtContent>
  </w:sdt>
  <w:p w:rsidR="00306681" w:rsidRPr="00D1266B" w:rsidRDefault="00306681" w:rsidP="00D12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B66" w:rsidRDefault="00FE5B66" w:rsidP="00856708">
      <w:pPr>
        <w:spacing w:after="0"/>
      </w:pPr>
      <w:r>
        <w:separator/>
      </w:r>
    </w:p>
  </w:footnote>
  <w:footnote w:type="continuationSeparator" w:id="0">
    <w:p w:rsidR="00FE5B66" w:rsidRDefault="00FE5B66"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66B" w:rsidRPr="00856708" w:rsidRDefault="00F24191" w:rsidP="00D1266B">
    <w:pPr>
      <w:pStyle w:val="Footer"/>
      <w:tabs>
        <w:tab w:val="clear" w:pos="9026"/>
        <w:tab w:val="right" w:pos="13608"/>
      </w:tabs>
      <w:rPr>
        <w:sz w:val="20"/>
        <w:szCs w:val="20"/>
      </w:rPr>
    </w:pPr>
    <w:r>
      <w:rPr>
        <w:sz w:val="20"/>
        <w:szCs w:val="20"/>
      </w:rPr>
      <w:t>PUBLIC CONSULTATION 2017</w:t>
    </w:r>
    <w:r w:rsidR="00D1266B">
      <w:rPr>
        <w:sz w:val="20"/>
        <w:szCs w:val="20"/>
      </w:rPr>
      <w:t xml:space="preserve"> - </w:t>
    </w:r>
    <w:r w:rsidR="00D1266B" w:rsidRPr="00306681">
      <w:rPr>
        <w:sz w:val="20"/>
        <w:szCs w:val="20"/>
      </w:rPr>
      <w:t>Paediatric autoimmune neuropsychiatric disorder associated with streptococcal infection (PANDAS)</w:t>
    </w:r>
    <w:r w:rsidR="00D1266B">
      <w:rPr>
        <w:sz w:val="20"/>
        <w:szCs w:val="20"/>
      </w:rPr>
      <w:t xml:space="preserve"> </w:t>
    </w:r>
  </w:p>
  <w:p w:rsidR="00D1266B" w:rsidRDefault="00D126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66B" w:rsidRPr="00306681" w:rsidRDefault="00F24191" w:rsidP="00D1266B">
    <w:pPr>
      <w:pStyle w:val="Footer"/>
      <w:tabs>
        <w:tab w:val="clear" w:pos="9026"/>
        <w:tab w:val="right" w:pos="13608"/>
      </w:tabs>
      <w:rPr>
        <w:sz w:val="20"/>
        <w:szCs w:val="20"/>
      </w:rPr>
    </w:pPr>
    <w:r>
      <w:rPr>
        <w:sz w:val="20"/>
        <w:szCs w:val="20"/>
      </w:rPr>
      <w:t>PUBLIC CONSULTATION 2017</w:t>
    </w:r>
    <w:r w:rsidR="00D1266B">
      <w:rPr>
        <w:sz w:val="20"/>
        <w:szCs w:val="20"/>
      </w:rPr>
      <w:t xml:space="preserve"> - </w:t>
    </w:r>
    <w:r w:rsidR="00D1266B" w:rsidRPr="00306681">
      <w:rPr>
        <w:sz w:val="20"/>
        <w:szCs w:val="20"/>
      </w:rPr>
      <w:t>Paediatric autoimmune neuropsychiatric disorder associated with streptococcal infection (PANDAS)</w:t>
    </w:r>
    <w:r w:rsidR="00D1266B">
      <w:rPr>
        <w:sz w:val="20"/>
        <w:szCs w:val="20"/>
      </w:rPr>
      <w:t xml:space="preserve"> </w:t>
    </w:r>
  </w:p>
  <w:p w:rsidR="00D1266B" w:rsidRDefault="00D12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66B" w:rsidRPr="00856708" w:rsidRDefault="00242ACA" w:rsidP="00D1266B">
    <w:pPr>
      <w:pStyle w:val="Footer"/>
      <w:tabs>
        <w:tab w:val="clear" w:pos="9026"/>
        <w:tab w:val="right" w:pos="13608"/>
      </w:tabs>
      <w:rPr>
        <w:sz w:val="20"/>
        <w:szCs w:val="20"/>
      </w:rPr>
    </w:pPr>
    <w:r>
      <w:rPr>
        <w:sz w:val="20"/>
        <w:szCs w:val="20"/>
      </w:rPr>
      <w:t xml:space="preserve">PUBLIC CONSULTATION 2017 </w:t>
    </w:r>
    <w:r w:rsidR="00D1266B">
      <w:rPr>
        <w:sz w:val="20"/>
        <w:szCs w:val="20"/>
      </w:rPr>
      <w:t xml:space="preserve">- </w:t>
    </w:r>
    <w:r w:rsidR="00D1266B" w:rsidRPr="00306681">
      <w:rPr>
        <w:sz w:val="20"/>
        <w:szCs w:val="20"/>
      </w:rPr>
      <w:t>Paediatric autoimmune neuropsychiatric disorder associated with streptococcal infection (PANDAS)</w:t>
    </w:r>
    <w:r w:rsidR="00D1266B">
      <w:rPr>
        <w:sz w:val="20"/>
        <w:szCs w:val="20"/>
      </w:rPr>
      <w:t xml:space="preserve"> </w:t>
    </w:r>
  </w:p>
  <w:p w:rsidR="000E09C4" w:rsidRDefault="000E09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9F10B1"/>
    <w:multiLevelType w:val="hybridMultilevel"/>
    <w:tmpl w:val="6DFCF990"/>
    <w:lvl w:ilvl="0" w:tplc="0409001B">
      <w:start w:val="1"/>
      <w:numFmt w:val="lowerRoman"/>
      <w:lvlText w:val="%1."/>
      <w:lvlJc w:val="right"/>
      <w:pPr>
        <w:ind w:left="1795" w:hanging="360"/>
      </w:pPr>
      <w:rPr>
        <w:rFonts w:hint="default"/>
      </w:rPr>
    </w:lvl>
    <w:lvl w:ilvl="1" w:tplc="0C090003">
      <w:start w:val="1"/>
      <w:numFmt w:val="bullet"/>
      <w:lvlText w:val="o"/>
      <w:lvlJc w:val="left"/>
      <w:pPr>
        <w:ind w:left="2515" w:hanging="360"/>
      </w:pPr>
      <w:rPr>
        <w:rFonts w:ascii="Courier New" w:hAnsi="Courier New" w:cs="Courier New" w:hint="default"/>
      </w:rPr>
    </w:lvl>
    <w:lvl w:ilvl="2" w:tplc="0C090005" w:tentative="1">
      <w:start w:val="1"/>
      <w:numFmt w:val="bullet"/>
      <w:lvlText w:val=""/>
      <w:lvlJc w:val="left"/>
      <w:pPr>
        <w:ind w:left="3235" w:hanging="360"/>
      </w:pPr>
      <w:rPr>
        <w:rFonts w:ascii="Wingdings" w:hAnsi="Wingdings" w:hint="default"/>
      </w:rPr>
    </w:lvl>
    <w:lvl w:ilvl="3" w:tplc="0C090001" w:tentative="1">
      <w:start w:val="1"/>
      <w:numFmt w:val="bullet"/>
      <w:lvlText w:val=""/>
      <w:lvlJc w:val="left"/>
      <w:pPr>
        <w:ind w:left="3955" w:hanging="360"/>
      </w:pPr>
      <w:rPr>
        <w:rFonts w:ascii="Symbol" w:hAnsi="Symbol" w:hint="default"/>
      </w:rPr>
    </w:lvl>
    <w:lvl w:ilvl="4" w:tplc="0C090003" w:tentative="1">
      <w:start w:val="1"/>
      <w:numFmt w:val="bullet"/>
      <w:lvlText w:val="o"/>
      <w:lvlJc w:val="left"/>
      <w:pPr>
        <w:ind w:left="4675" w:hanging="360"/>
      </w:pPr>
      <w:rPr>
        <w:rFonts w:ascii="Courier New" w:hAnsi="Courier New" w:cs="Courier New" w:hint="default"/>
      </w:rPr>
    </w:lvl>
    <w:lvl w:ilvl="5" w:tplc="0C090005" w:tentative="1">
      <w:start w:val="1"/>
      <w:numFmt w:val="bullet"/>
      <w:lvlText w:val=""/>
      <w:lvlJc w:val="left"/>
      <w:pPr>
        <w:ind w:left="5395" w:hanging="360"/>
      </w:pPr>
      <w:rPr>
        <w:rFonts w:ascii="Wingdings" w:hAnsi="Wingdings" w:hint="default"/>
      </w:rPr>
    </w:lvl>
    <w:lvl w:ilvl="6" w:tplc="0C090001" w:tentative="1">
      <w:start w:val="1"/>
      <w:numFmt w:val="bullet"/>
      <w:lvlText w:val=""/>
      <w:lvlJc w:val="left"/>
      <w:pPr>
        <w:ind w:left="6115" w:hanging="360"/>
      </w:pPr>
      <w:rPr>
        <w:rFonts w:ascii="Symbol" w:hAnsi="Symbol" w:hint="default"/>
      </w:rPr>
    </w:lvl>
    <w:lvl w:ilvl="7" w:tplc="0C090003" w:tentative="1">
      <w:start w:val="1"/>
      <w:numFmt w:val="bullet"/>
      <w:lvlText w:val="o"/>
      <w:lvlJc w:val="left"/>
      <w:pPr>
        <w:ind w:left="6835" w:hanging="360"/>
      </w:pPr>
      <w:rPr>
        <w:rFonts w:ascii="Courier New" w:hAnsi="Courier New" w:cs="Courier New" w:hint="default"/>
      </w:rPr>
    </w:lvl>
    <w:lvl w:ilvl="8" w:tplc="0C090005" w:tentative="1">
      <w:start w:val="1"/>
      <w:numFmt w:val="bullet"/>
      <w:lvlText w:val=""/>
      <w:lvlJc w:val="left"/>
      <w:pPr>
        <w:ind w:left="7555" w:hanging="360"/>
      </w:pPr>
      <w:rPr>
        <w:rFonts w:ascii="Wingdings" w:hAnsi="Wingdings" w:hint="default"/>
      </w:rPr>
    </w:lvl>
  </w:abstractNum>
  <w:abstractNum w:abstractNumId="4">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C6E7F16"/>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E3A09A6"/>
    <w:multiLevelType w:val="hybridMultilevel"/>
    <w:tmpl w:val="7922B40C"/>
    <w:lvl w:ilvl="0" w:tplc="4E126DC2">
      <w:numFmt w:val="bullet"/>
      <w:lvlText w:val="-"/>
      <w:lvlJc w:val="left"/>
      <w:pPr>
        <w:ind w:left="720" w:hanging="36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130C25"/>
    <w:multiLevelType w:val="hybridMultilevel"/>
    <w:tmpl w:val="3D7E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47667A"/>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2947A29"/>
    <w:multiLevelType w:val="multilevel"/>
    <w:tmpl w:val="8A04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C82DC6"/>
    <w:multiLevelType w:val="hybridMultilevel"/>
    <w:tmpl w:val="79F40D0A"/>
    <w:lvl w:ilvl="0" w:tplc="0C090001">
      <w:start w:val="1"/>
      <w:numFmt w:val="bullet"/>
      <w:lvlText w:val=""/>
      <w:lvlJc w:val="left"/>
      <w:pPr>
        <w:ind w:left="1080" w:hanging="360"/>
      </w:pPr>
      <w:rPr>
        <w:rFonts w:ascii="Symbol" w:hAnsi="Symbol" w:hint="default"/>
        <w:b w:val="0"/>
        <w:sz w:val="18"/>
        <w:szCs w:val="18"/>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1F925D73"/>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11670AD"/>
    <w:multiLevelType w:val="hybridMultilevel"/>
    <w:tmpl w:val="F790FD74"/>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5F08BA"/>
    <w:multiLevelType w:val="hybridMultilevel"/>
    <w:tmpl w:val="EBD8718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4">
    <w:nsid w:val="289D5865"/>
    <w:multiLevelType w:val="hybridMultilevel"/>
    <w:tmpl w:val="41B400A2"/>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5">
    <w:nsid w:val="294567CD"/>
    <w:multiLevelType w:val="hybridMultilevel"/>
    <w:tmpl w:val="E06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D12550D"/>
    <w:multiLevelType w:val="hybridMultilevel"/>
    <w:tmpl w:val="427C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338A7547"/>
    <w:multiLevelType w:val="hybridMultilevel"/>
    <w:tmpl w:val="E402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3F1334"/>
    <w:multiLevelType w:val="hybridMultilevel"/>
    <w:tmpl w:val="0ECE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885B71"/>
    <w:multiLevelType w:val="hybridMultilevel"/>
    <w:tmpl w:val="82C8AB36"/>
    <w:lvl w:ilvl="0" w:tplc="0409001B">
      <w:start w:val="1"/>
      <w:numFmt w:val="lowerRoman"/>
      <w:lvlText w:val="%1."/>
      <w:lvlJc w:val="righ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2">
    <w:nsid w:val="368D0155"/>
    <w:multiLevelType w:val="hybridMultilevel"/>
    <w:tmpl w:val="D158D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BDF283D"/>
    <w:multiLevelType w:val="hybridMultilevel"/>
    <w:tmpl w:val="4B02111A"/>
    <w:lvl w:ilvl="0" w:tplc="676AE308">
      <w:start w:val="1"/>
      <w:numFmt w:val="decimal"/>
      <w:lvlText w:val="%1."/>
      <w:lvlJc w:val="left"/>
      <w:pPr>
        <w:ind w:left="357" w:hanging="360"/>
      </w:pPr>
      <w:rPr>
        <w:b w:val="0"/>
        <w:sz w:val="20"/>
      </w:rPr>
    </w:lvl>
    <w:lvl w:ilvl="1" w:tplc="0C090001">
      <w:start w:val="1"/>
      <w:numFmt w:val="bullet"/>
      <w:lvlText w:val=""/>
      <w:lvlJc w:val="left"/>
      <w:pPr>
        <w:ind w:left="1077" w:hanging="360"/>
      </w:pPr>
      <w:rPr>
        <w:rFonts w:ascii="Symbol" w:hAnsi="Symbol" w:hint="default"/>
      </w:rPr>
    </w:lvl>
    <w:lvl w:ilvl="2" w:tplc="0409001B">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5">
    <w:nsid w:val="42171BD4"/>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nsid w:val="43DA4202"/>
    <w:multiLevelType w:val="hybridMultilevel"/>
    <w:tmpl w:val="518E3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5701C86"/>
    <w:multiLevelType w:val="hybridMultilevel"/>
    <w:tmpl w:val="5D24C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8D01261"/>
    <w:multiLevelType w:val="hybridMultilevel"/>
    <w:tmpl w:val="94AA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1D10A28"/>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A8567D5"/>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BA50922"/>
    <w:multiLevelType w:val="hybridMultilevel"/>
    <w:tmpl w:val="FDFC768A"/>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D961A14"/>
    <w:multiLevelType w:val="hybridMultilevel"/>
    <w:tmpl w:val="3A2C206E"/>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232582F"/>
    <w:multiLevelType w:val="hybridMultilevel"/>
    <w:tmpl w:val="67BE836C"/>
    <w:lvl w:ilvl="0" w:tplc="0C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B6243016">
      <w:start w:val="1"/>
      <w:numFmt w:val="decimal"/>
      <w:lvlText w:val="%4)"/>
      <w:lvlJc w:val="left"/>
      <w:pPr>
        <w:ind w:left="2520" w:hanging="360"/>
      </w:pPr>
      <w:rPr>
        <w:rFonts w:hint="default"/>
        <w:b w:val="0"/>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38245E1"/>
    <w:multiLevelType w:val="hybridMultilevel"/>
    <w:tmpl w:val="63669720"/>
    <w:lvl w:ilvl="0" w:tplc="0C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1B6EAB62">
      <w:numFmt w:val="bullet"/>
      <w:lvlText w:val=""/>
      <w:lvlJc w:val="left"/>
      <w:pPr>
        <w:ind w:left="2340" w:hanging="360"/>
      </w:pPr>
      <w:rPr>
        <w:rFonts w:ascii="Wingdings" w:eastAsia="Dotum" w:hAnsi="Wingdings"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522B98"/>
    <w:multiLevelType w:val="hybridMultilevel"/>
    <w:tmpl w:val="5D980EE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6E73143E"/>
    <w:multiLevelType w:val="hybridMultilevel"/>
    <w:tmpl w:val="77DA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7A67CE"/>
    <w:multiLevelType w:val="hybridMultilevel"/>
    <w:tmpl w:val="4218F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3FC5097"/>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1">
    <w:nsid w:val="75C83CF2"/>
    <w:multiLevelType w:val="hybridMultilevel"/>
    <w:tmpl w:val="9BB4EC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9D70665"/>
    <w:multiLevelType w:val="hybridMultilevel"/>
    <w:tmpl w:val="42C00A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BEE31E7"/>
    <w:multiLevelType w:val="hybridMultilevel"/>
    <w:tmpl w:val="5CBE7584"/>
    <w:lvl w:ilvl="0" w:tplc="0C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nsid w:val="7E1F2D9B"/>
    <w:multiLevelType w:val="hybridMultilevel"/>
    <w:tmpl w:val="ACA24BA8"/>
    <w:lvl w:ilvl="0" w:tplc="7A544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8"/>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3"/>
  </w:num>
  <w:num w:numId="4">
    <w:abstractNumId w:val="38"/>
  </w:num>
  <w:num w:numId="5">
    <w:abstractNumId w:val="16"/>
  </w:num>
  <w:num w:numId="6">
    <w:abstractNumId w:val="2"/>
  </w:num>
  <w:num w:numId="7">
    <w:abstractNumId w:val="1"/>
  </w:num>
  <w:num w:numId="8">
    <w:abstractNumId w:val="4"/>
  </w:num>
  <w:num w:numId="9">
    <w:abstractNumId w:val="0"/>
  </w:num>
  <w:num w:numId="10">
    <w:abstractNumId w:val="42"/>
  </w:num>
  <w:num w:numId="11">
    <w:abstractNumId w:val="29"/>
  </w:num>
  <w:num w:numId="12">
    <w:abstractNumId w:val="35"/>
  </w:num>
  <w:num w:numId="13">
    <w:abstractNumId w:val="12"/>
  </w:num>
  <w:num w:numId="14">
    <w:abstractNumId w:val="22"/>
  </w:num>
  <w:num w:numId="15">
    <w:abstractNumId w:val="11"/>
  </w:num>
  <w:num w:numId="16">
    <w:abstractNumId w:val="37"/>
  </w:num>
  <w:num w:numId="17">
    <w:abstractNumId w:val="5"/>
  </w:num>
  <w:num w:numId="18">
    <w:abstractNumId w:val="17"/>
  </w:num>
  <w:num w:numId="19">
    <w:abstractNumId w:val="33"/>
  </w:num>
  <w:num w:numId="20">
    <w:abstractNumId w:val="44"/>
  </w:num>
  <w:num w:numId="21">
    <w:abstractNumId w:val="13"/>
  </w:num>
  <w:num w:numId="22">
    <w:abstractNumId w:val="34"/>
  </w:num>
  <w:num w:numId="23">
    <w:abstractNumId w:val="10"/>
  </w:num>
  <w:num w:numId="24">
    <w:abstractNumId w:val="3"/>
  </w:num>
  <w:num w:numId="25">
    <w:abstractNumId w:val="36"/>
  </w:num>
  <w:num w:numId="26">
    <w:abstractNumId w:val="25"/>
  </w:num>
  <w:num w:numId="27">
    <w:abstractNumId w:val="40"/>
  </w:num>
  <w:num w:numId="28">
    <w:abstractNumId w:val="30"/>
  </w:num>
  <w:num w:numId="29">
    <w:abstractNumId w:val="31"/>
  </w:num>
  <w:num w:numId="30">
    <w:abstractNumId w:val="8"/>
  </w:num>
  <w:num w:numId="31">
    <w:abstractNumId w:val="9"/>
  </w:num>
  <w:num w:numId="32">
    <w:abstractNumId w:val="28"/>
  </w:num>
  <w:num w:numId="33">
    <w:abstractNumId w:val="43"/>
  </w:num>
  <w:num w:numId="34">
    <w:abstractNumId w:val="20"/>
  </w:num>
  <w:num w:numId="35">
    <w:abstractNumId w:val="32"/>
  </w:num>
  <w:num w:numId="36">
    <w:abstractNumId w:val="19"/>
  </w:num>
  <w:num w:numId="37">
    <w:abstractNumId w:val="15"/>
  </w:num>
  <w:num w:numId="38">
    <w:abstractNumId w:val="24"/>
  </w:num>
  <w:num w:numId="39">
    <w:abstractNumId w:val="27"/>
  </w:num>
  <w:num w:numId="40">
    <w:abstractNumId w:val="7"/>
  </w:num>
  <w:num w:numId="41">
    <w:abstractNumId w:val="39"/>
  </w:num>
  <w:num w:numId="42">
    <w:abstractNumId w:val="41"/>
  </w:num>
  <w:num w:numId="43">
    <w:abstractNumId w:val="26"/>
  </w:num>
  <w:num w:numId="44">
    <w:abstractNumId w:val="6"/>
  </w:num>
  <w:num w:numId="45">
    <w:abstractNumId w:val="45"/>
  </w:num>
  <w:num w:numId="46">
    <w:abstractNumId w:val="14"/>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13C2F"/>
    <w:rsid w:val="00021243"/>
    <w:rsid w:val="00022A4A"/>
    <w:rsid w:val="00036EDC"/>
    <w:rsid w:val="000447FE"/>
    <w:rsid w:val="00075608"/>
    <w:rsid w:val="0007639A"/>
    <w:rsid w:val="000A3A69"/>
    <w:rsid w:val="000A65C9"/>
    <w:rsid w:val="000B27A7"/>
    <w:rsid w:val="000B4F24"/>
    <w:rsid w:val="000E09C4"/>
    <w:rsid w:val="000E4D1E"/>
    <w:rsid w:val="0011109B"/>
    <w:rsid w:val="001434A4"/>
    <w:rsid w:val="00153753"/>
    <w:rsid w:val="0015788F"/>
    <w:rsid w:val="001626F7"/>
    <w:rsid w:val="00164233"/>
    <w:rsid w:val="00165F48"/>
    <w:rsid w:val="0017270F"/>
    <w:rsid w:val="001849B2"/>
    <w:rsid w:val="00184E12"/>
    <w:rsid w:val="00186CF7"/>
    <w:rsid w:val="00195705"/>
    <w:rsid w:val="001A2460"/>
    <w:rsid w:val="001B4D28"/>
    <w:rsid w:val="001C45B4"/>
    <w:rsid w:val="001C5424"/>
    <w:rsid w:val="001E102B"/>
    <w:rsid w:val="0021213D"/>
    <w:rsid w:val="00216823"/>
    <w:rsid w:val="002306B2"/>
    <w:rsid w:val="00236B19"/>
    <w:rsid w:val="00240825"/>
    <w:rsid w:val="00242ACA"/>
    <w:rsid w:val="002506FF"/>
    <w:rsid w:val="002518B5"/>
    <w:rsid w:val="002537F2"/>
    <w:rsid w:val="00255740"/>
    <w:rsid w:val="002725AB"/>
    <w:rsid w:val="00275679"/>
    <w:rsid w:val="00282F66"/>
    <w:rsid w:val="002936DD"/>
    <w:rsid w:val="0029539F"/>
    <w:rsid w:val="00295CD3"/>
    <w:rsid w:val="002A3FAF"/>
    <w:rsid w:val="002D2007"/>
    <w:rsid w:val="002F3325"/>
    <w:rsid w:val="00306681"/>
    <w:rsid w:val="00307379"/>
    <w:rsid w:val="00311C36"/>
    <w:rsid w:val="00320BEB"/>
    <w:rsid w:val="00320C9D"/>
    <w:rsid w:val="00324887"/>
    <w:rsid w:val="00327526"/>
    <w:rsid w:val="0033060E"/>
    <w:rsid w:val="00341D20"/>
    <w:rsid w:val="00364666"/>
    <w:rsid w:val="00385032"/>
    <w:rsid w:val="00395032"/>
    <w:rsid w:val="003A1F9D"/>
    <w:rsid w:val="003C5285"/>
    <w:rsid w:val="003D1795"/>
    <w:rsid w:val="003D27F1"/>
    <w:rsid w:val="003E3235"/>
    <w:rsid w:val="003F11F8"/>
    <w:rsid w:val="003F30A3"/>
    <w:rsid w:val="00403201"/>
    <w:rsid w:val="00423EDE"/>
    <w:rsid w:val="00433C78"/>
    <w:rsid w:val="00440AB8"/>
    <w:rsid w:val="00445EDE"/>
    <w:rsid w:val="00447869"/>
    <w:rsid w:val="00451951"/>
    <w:rsid w:val="00454FA8"/>
    <w:rsid w:val="00460325"/>
    <w:rsid w:val="00463B0C"/>
    <w:rsid w:val="0047615E"/>
    <w:rsid w:val="004856E4"/>
    <w:rsid w:val="004A10A2"/>
    <w:rsid w:val="004A7E91"/>
    <w:rsid w:val="004B14F4"/>
    <w:rsid w:val="004B66FD"/>
    <w:rsid w:val="004C173A"/>
    <w:rsid w:val="004D4636"/>
    <w:rsid w:val="004E4A52"/>
    <w:rsid w:val="005023CE"/>
    <w:rsid w:val="005026E7"/>
    <w:rsid w:val="00514AAE"/>
    <w:rsid w:val="00525C51"/>
    <w:rsid w:val="00531E6D"/>
    <w:rsid w:val="00540020"/>
    <w:rsid w:val="00543C69"/>
    <w:rsid w:val="00544D71"/>
    <w:rsid w:val="005546AE"/>
    <w:rsid w:val="005629EE"/>
    <w:rsid w:val="00567A89"/>
    <w:rsid w:val="00584BEC"/>
    <w:rsid w:val="005851ED"/>
    <w:rsid w:val="0059330D"/>
    <w:rsid w:val="005960E7"/>
    <w:rsid w:val="005A3A63"/>
    <w:rsid w:val="005C3093"/>
    <w:rsid w:val="005D150A"/>
    <w:rsid w:val="005D2C3D"/>
    <w:rsid w:val="005D37EC"/>
    <w:rsid w:val="005E04F6"/>
    <w:rsid w:val="00602D7D"/>
    <w:rsid w:val="006201B1"/>
    <w:rsid w:val="00631EAB"/>
    <w:rsid w:val="00634FD4"/>
    <w:rsid w:val="006427C2"/>
    <w:rsid w:val="00642A5C"/>
    <w:rsid w:val="00644285"/>
    <w:rsid w:val="00657F36"/>
    <w:rsid w:val="006627B5"/>
    <w:rsid w:val="00662F95"/>
    <w:rsid w:val="006631E9"/>
    <w:rsid w:val="00666AA5"/>
    <w:rsid w:val="00670D34"/>
    <w:rsid w:val="00674CEF"/>
    <w:rsid w:val="006855AF"/>
    <w:rsid w:val="00695219"/>
    <w:rsid w:val="006B0323"/>
    <w:rsid w:val="006B4C33"/>
    <w:rsid w:val="006B65FB"/>
    <w:rsid w:val="006D2521"/>
    <w:rsid w:val="006D2FA8"/>
    <w:rsid w:val="006D36A9"/>
    <w:rsid w:val="006D60FF"/>
    <w:rsid w:val="006F1FA7"/>
    <w:rsid w:val="006F30D6"/>
    <w:rsid w:val="006F485E"/>
    <w:rsid w:val="00702EB0"/>
    <w:rsid w:val="00707F82"/>
    <w:rsid w:val="007478F9"/>
    <w:rsid w:val="0075469F"/>
    <w:rsid w:val="00787242"/>
    <w:rsid w:val="007B0C7B"/>
    <w:rsid w:val="007B2100"/>
    <w:rsid w:val="007C7B0F"/>
    <w:rsid w:val="007E5AAA"/>
    <w:rsid w:val="007F3022"/>
    <w:rsid w:val="00801CD2"/>
    <w:rsid w:val="008041F6"/>
    <w:rsid w:val="00832D0D"/>
    <w:rsid w:val="00847EC8"/>
    <w:rsid w:val="008515FF"/>
    <w:rsid w:val="00853117"/>
    <w:rsid w:val="00856708"/>
    <w:rsid w:val="008612AB"/>
    <w:rsid w:val="00880ECB"/>
    <w:rsid w:val="00893268"/>
    <w:rsid w:val="00893E0A"/>
    <w:rsid w:val="00896241"/>
    <w:rsid w:val="008B1889"/>
    <w:rsid w:val="008E15CB"/>
    <w:rsid w:val="008E5C37"/>
    <w:rsid w:val="00901446"/>
    <w:rsid w:val="00901F76"/>
    <w:rsid w:val="009025B7"/>
    <w:rsid w:val="009208EC"/>
    <w:rsid w:val="00933536"/>
    <w:rsid w:val="009347BC"/>
    <w:rsid w:val="0093594E"/>
    <w:rsid w:val="00951B85"/>
    <w:rsid w:val="00960424"/>
    <w:rsid w:val="00982D63"/>
    <w:rsid w:val="009B04BD"/>
    <w:rsid w:val="009B1A48"/>
    <w:rsid w:val="009B7E81"/>
    <w:rsid w:val="009C1E09"/>
    <w:rsid w:val="009D6A30"/>
    <w:rsid w:val="009E38CC"/>
    <w:rsid w:val="009F4509"/>
    <w:rsid w:val="00A0276B"/>
    <w:rsid w:val="00A0352E"/>
    <w:rsid w:val="00A05745"/>
    <w:rsid w:val="00A23D1D"/>
    <w:rsid w:val="00A31C82"/>
    <w:rsid w:val="00A357C4"/>
    <w:rsid w:val="00A53780"/>
    <w:rsid w:val="00A57D60"/>
    <w:rsid w:val="00A71FCC"/>
    <w:rsid w:val="00A7510F"/>
    <w:rsid w:val="00A80A19"/>
    <w:rsid w:val="00A81C38"/>
    <w:rsid w:val="00A841DF"/>
    <w:rsid w:val="00AA19C1"/>
    <w:rsid w:val="00AA48C6"/>
    <w:rsid w:val="00AB120F"/>
    <w:rsid w:val="00AC20FC"/>
    <w:rsid w:val="00AD086B"/>
    <w:rsid w:val="00AD4362"/>
    <w:rsid w:val="00AE5015"/>
    <w:rsid w:val="00AE63FA"/>
    <w:rsid w:val="00AF4B66"/>
    <w:rsid w:val="00B27930"/>
    <w:rsid w:val="00B35BD7"/>
    <w:rsid w:val="00B3726E"/>
    <w:rsid w:val="00B47021"/>
    <w:rsid w:val="00B64D51"/>
    <w:rsid w:val="00B8036A"/>
    <w:rsid w:val="00B829A4"/>
    <w:rsid w:val="00BA76E3"/>
    <w:rsid w:val="00BD6C2D"/>
    <w:rsid w:val="00BD7111"/>
    <w:rsid w:val="00BD735D"/>
    <w:rsid w:val="00BF50B9"/>
    <w:rsid w:val="00C21002"/>
    <w:rsid w:val="00C24E0B"/>
    <w:rsid w:val="00C30FD5"/>
    <w:rsid w:val="00C34D27"/>
    <w:rsid w:val="00C364CA"/>
    <w:rsid w:val="00C51E04"/>
    <w:rsid w:val="00C7245B"/>
    <w:rsid w:val="00C847A9"/>
    <w:rsid w:val="00C92149"/>
    <w:rsid w:val="00CA40A6"/>
    <w:rsid w:val="00CA4321"/>
    <w:rsid w:val="00CB47C1"/>
    <w:rsid w:val="00CB50C5"/>
    <w:rsid w:val="00CC12B9"/>
    <w:rsid w:val="00CC4DDA"/>
    <w:rsid w:val="00CD5856"/>
    <w:rsid w:val="00CD68AB"/>
    <w:rsid w:val="00CD7B8A"/>
    <w:rsid w:val="00CF5696"/>
    <w:rsid w:val="00D1266B"/>
    <w:rsid w:val="00D1690A"/>
    <w:rsid w:val="00D16B82"/>
    <w:rsid w:val="00D17E7A"/>
    <w:rsid w:val="00D17FEC"/>
    <w:rsid w:val="00D226E0"/>
    <w:rsid w:val="00D24193"/>
    <w:rsid w:val="00D3704D"/>
    <w:rsid w:val="00D67CFD"/>
    <w:rsid w:val="00D874FD"/>
    <w:rsid w:val="00D96987"/>
    <w:rsid w:val="00DB17C2"/>
    <w:rsid w:val="00DB1925"/>
    <w:rsid w:val="00DB2402"/>
    <w:rsid w:val="00DB343E"/>
    <w:rsid w:val="00DD166F"/>
    <w:rsid w:val="00DF54C9"/>
    <w:rsid w:val="00E03594"/>
    <w:rsid w:val="00E337E6"/>
    <w:rsid w:val="00E35A9D"/>
    <w:rsid w:val="00E62E16"/>
    <w:rsid w:val="00E672AA"/>
    <w:rsid w:val="00E712B5"/>
    <w:rsid w:val="00EA2E82"/>
    <w:rsid w:val="00EB78FB"/>
    <w:rsid w:val="00EC0889"/>
    <w:rsid w:val="00F24191"/>
    <w:rsid w:val="00F337B4"/>
    <w:rsid w:val="00F37D98"/>
    <w:rsid w:val="00F42816"/>
    <w:rsid w:val="00F66136"/>
    <w:rsid w:val="00F70578"/>
    <w:rsid w:val="00FA2F78"/>
    <w:rsid w:val="00FB6C7F"/>
    <w:rsid w:val="00FC0E9B"/>
    <w:rsid w:val="00FC5CB0"/>
    <w:rsid w:val="00FD1A03"/>
    <w:rsid w:val="00FD1CBB"/>
    <w:rsid w:val="00FD2CCD"/>
    <w:rsid w:val="00FE1B13"/>
    <w:rsid w:val="00FE1EE0"/>
    <w:rsid w:val="00FE5B66"/>
    <w:rsid w:val="00FF394A"/>
    <w:rsid w:val="00FF47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A71F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A71F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9579">
      <w:bodyDiv w:val="1"/>
      <w:marLeft w:val="0"/>
      <w:marRight w:val="0"/>
      <w:marTop w:val="0"/>
      <w:marBottom w:val="0"/>
      <w:divBdr>
        <w:top w:val="none" w:sz="0" w:space="0" w:color="auto"/>
        <w:left w:val="none" w:sz="0" w:space="0" w:color="auto"/>
        <w:bottom w:val="none" w:sz="0" w:space="0" w:color="auto"/>
        <w:right w:val="none" w:sz="0" w:space="0" w:color="auto"/>
      </w:divBdr>
      <w:divsChild>
        <w:div w:id="230696636">
          <w:marLeft w:val="0"/>
          <w:marRight w:val="0"/>
          <w:marTop w:val="0"/>
          <w:marBottom w:val="0"/>
          <w:divBdr>
            <w:top w:val="none" w:sz="0" w:space="0" w:color="auto"/>
            <w:left w:val="none" w:sz="0" w:space="0" w:color="auto"/>
            <w:bottom w:val="none" w:sz="0" w:space="0" w:color="auto"/>
            <w:right w:val="none" w:sz="0" w:space="0" w:color="auto"/>
          </w:divBdr>
          <w:divsChild>
            <w:div w:id="511334366">
              <w:marLeft w:val="0"/>
              <w:marRight w:val="0"/>
              <w:marTop w:val="0"/>
              <w:marBottom w:val="0"/>
              <w:divBdr>
                <w:top w:val="none" w:sz="0" w:space="0" w:color="auto"/>
                <w:left w:val="none" w:sz="0" w:space="0" w:color="auto"/>
                <w:bottom w:val="none" w:sz="0" w:space="0" w:color="auto"/>
                <w:right w:val="none" w:sz="0" w:space="0" w:color="auto"/>
              </w:divBdr>
              <w:divsChild>
                <w:div w:id="207886579">
                  <w:marLeft w:val="0"/>
                  <w:marRight w:val="0"/>
                  <w:marTop w:val="0"/>
                  <w:marBottom w:val="0"/>
                  <w:divBdr>
                    <w:top w:val="none" w:sz="0" w:space="0" w:color="auto"/>
                    <w:left w:val="none" w:sz="0" w:space="0" w:color="auto"/>
                    <w:bottom w:val="none" w:sz="0" w:space="0" w:color="auto"/>
                    <w:right w:val="none" w:sz="0" w:space="0" w:color="auto"/>
                  </w:divBdr>
                  <w:divsChild>
                    <w:div w:id="1827361281">
                      <w:marLeft w:val="0"/>
                      <w:marRight w:val="0"/>
                      <w:marTop w:val="0"/>
                      <w:marBottom w:val="300"/>
                      <w:divBdr>
                        <w:top w:val="none" w:sz="0" w:space="0" w:color="auto"/>
                        <w:left w:val="none" w:sz="0" w:space="0" w:color="auto"/>
                        <w:bottom w:val="none" w:sz="0" w:space="0" w:color="auto"/>
                        <w:right w:val="none" w:sz="0" w:space="0" w:color="auto"/>
                      </w:divBdr>
                      <w:divsChild>
                        <w:div w:id="27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00644">
      <w:bodyDiv w:val="1"/>
      <w:marLeft w:val="0"/>
      <w:marRight w:val="0"/>
      <w:marTop w:val="0"/>
      <w:marBottom w:val="0"/>
      <w:divBdr>
        <w:top w:val="none" w:sz="0" w:space="0" w:color="auto"/>
        <w:left w:val="none" w:sz="0" w:space="0" w:color="auto"/>
        <w:bottom w:val="none" w:sz="0" w:space="0" w:color="auto"/>
        <w:right w:val="none" w:sz="0" w:space="0" w:color="auto"/>
      </w:divBdr>
    </w:div>
    <w:div w:id="1212036368">
      <w:bodyDiv w:val="1"/>
      <w:marLeft w:val="0"/>
      <w:marRight w:val="0"/>
      <w:marTop w:val="0"/>
      <w:marBottom w:val="0"/>
      <w:divBdr>
        <w:top w:val="none" w:sz="0" w:space="0" w:color="auto"/>
        <w:left w:val="none" w:sz="0" w:space="0" w:color="auto"/>
        <w:bottom w:val="none" w:sz="0" w:space="0" w:color="auto"/>
        <w:right w:val="none" w:sz="0" w:space="0" w:color="auto"/>
      </w:divBdr>
    </w:div>
    <w:div w:id="1263338800">
      <w:bodyDiv w:val="1"/>
      <w:marLeft w:val="0"/>
      <w:marRight w:val="0"/>
      <w:marTop w:val="0"/>
      <w:marBottom w:val="0"/>
      <w:divBdr>
        <w:top w:val="none" w:sz="0" w:space="0" w:color="auto"/>
        <w:left w:val="none" w:sz="0" w:space="0" w:color="auto"/>
        <w:bottom w:val="none" w:sz="0" w:space="0" w:color="auto"/>
        <w:right w:val="none" w:sz="0" w:space="0" w:color="auto"/>
      </w:divBdr>
    </w:div>
    <w:div w:id="1274554201">
      <w:bodyDiv w:val="1"/>
      <w:marLeft w:val="0"/>
      <w:marRight w:val="0"/>
      <w:marTop w:val="0"/>
      <w:marBottom w:val="0"/>
      <w:divBdr>
        <w:top w:val="none" w:sz="0" w:space="0" w:color="auto"/>
        <w:left w:val="none" w:sz="0" w:space="0" w:color="auto"/>
        <w:bottom w:val="none" w:sz="0" w:space="0" w:color="auto"/>
        <w:right w:val="none" w:sz="0" w:space="0" w:color="auto"/>
      </w:divBdr>
    </w:div>
    <w:div w:id="16470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ubmed/253255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ncbi.nlm.nih.gov/pubmed/1051370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ncbi.nlm.nih.gov/pubmed/10513701"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ncbi.nlm.nih.gov/pubmed/9464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AB289-71C3-475B-9AE7-BEB4987B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2979</Words>
  <Characters>16986</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Wicks</cp:lastModifiedBy>
  <cp:revision>2</cp:revision>
  <cp:lastPrinted>2017-04-10T06:00:00Z</cp:lastPrinted>
  <dcterms:created xsi:type="dcterms:W3CDTF">2017-09-08T03:07:00Z</dcterms:created>
  <dcterms:modified xsi:type="dcterms:W3CDTF">2017-09-08T03:07:00Z</dcterms:modified>
</cp:coreProperties>
</file>