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6FB" w:rsidRDefault="003676FB" w:rsidP="003676FB">
      <w:pPr>
        <w:pStyle w:val="Heading4"/>
        <w:tabs>
          <w:tab w:val="left" w:pos="709"/>
        </w:tabs>
        <w:ind w:left="-426"/>
      </w:pPr>
      <w:bookmarkStart w:id="0" w:name="_GoBack"/>
      <w:bookmarkEnd w:id="0"/>
    </w:p>
    <w:p w:rsidR="00447869" w:rsidRPr="005051C7" w:rsidRDefault="00824D82" w:rsidP="005051C7">
      <w:pPr>
        <w:ind w:left="-284"/>
        <w:rPr>
          <w:rFonts w:ascii="Arial" w:hAnsi="Arial" w:cs="Arial"/>
          <w:sz w:val="28"/>
        </w:rPr>
      </w:pPr>
      <w:r w:rsidRPr="005051C7">
        <w:rPr>
          <w:rFonts w:ascii="Arial" w:hAnsi="Arial" w:cs="Arial"/>
          <w:sz w:val="28"/>
        </w:rPr>
        <w:t>2017 (v3.0) Proposed changes to v2.1 of the Criteria for the clinical use of intravenous immunoglobulin in Australia</w:t>
      </w:r>
    </w:p>
    <w:tbl>
      <w:tblPr>
        <w:tblStyle w:val="TableGrid"/>
        <w:tblW w:w="14601" w:type="dxa"/>
        <w:tblInd w:w="-318" w:type="dxa"/>
        <w:tblLook w:val="0680" w:firstRow="0" w:lastRow="0" w:firstColumn="1" w:lastColumn="0" w:noHBand="1" w:noVBand="1"/>
      </w:tblPr>
      <w:tblGrid>
        <w:gridCol w:w="2836"/>
        <w:gridCol w:w="11765"/>
      </w:tblGrid>
      <w:tr w:rsidR="00793EB5" w:rsidRPr="00447869" w:rsidTr="00437609">
        <w:tc>
          <w:tcPr>
            <w:tcW w:w="2836" w:type="dxa"/>
            <w:shd w:val="clear" w:color="auto" w:fill="DBE5F1" w:themeFill="accent1" w:themeFillTint="33"/>
          </w:tcPr>
          <w:p w:rsidR="00793EB5" w:rsidRPr="00447869" w:rsidRDefault="00793EB5" w:rsidP="00824D8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CONDITION NAME IN</w:t>
            </w:r>
            <w:r w:rsidR="00254887">
              <w:rPr>
                <w:rFonts w:asciiTheme="minorHAnsi" w:eastAsia="Times New Roman" w:hAnsiTheme="minorHAnsi" w:cs="Times New Roman"/>
                <w:b/>
                <w:bCs/>
                <w:lang w:eastAsia="en-AU"/>
              </w:rPr>
              <w:t xml:space="preserve"> </w:t>
            </w:r>
            <w:r w:rsidR="007F6E4D">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c>
          <w:tcPr>
            <w:tcW w:w="11765" w:type="dxa"/>
            <w:shd w:val="clear" w:color="auto" w:fill="DBE5F1" w:themeFill="accent1" w:themeFillTint="33"/>
          </w:tcPr>
          <w:p w:rsidR="00793EB5" w:rsidRPr="00447869" w:rsidRDefault="0090753E" w:rsidP="007830E1">
            <w:pPr>
              <w:spacing w:before="120" w:after="120"/>
              <w:rPr>
                <w:rFonts w:asciiTheme="minorHAnsi" w:eastAsia="Times New Roman" w:hAnsiTheme="minorHAnsi" w:cs="Times New Roman"/>
                <w:b/>
                <w:bCs/>
                <w:lang w:eastAsia="en-AU"/>
              </w:rPr>
            </w:pPr>
            <w:r w:rsidRPr="0090753E">
              <w:rPr>
                <w:rFonts w:asciiTheme="minorHAnsi" w:eastAsia="Times New Roman" w:hAnsiTheme="minorHAnsi" w:cs="Times New Roman"/>
                <w:b/>
                <w:bCs/>
                <w:lang w:eastAsia="en-AU"/>
              </w:rPr>
              <w:t>Potassium channel antibody-associated encephalopathy</w:t>
            </w:r>
          </w:p>
        </w:tc>
      </w:tr>
      <w:tr w:rsidR="00642A5C" w:rsidRPr="00447869" w:rsidTr="00437609">
        <w:tc>
          <w:tcPr>
            <w:tcW w:w="2836" w:type="dxa"/>
            <w:shd w:val="clear" w:color="auto" w:fill="auto"/>
          </w:tcPr>
          <w:p w:rsidR="00642A5C" w:rsidRDefault="007F6E4D"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PROPOSED APPROACH:</w:t>
            </w:r>
          </w:p>
          <w:p w:rsidR="00E024FE" w:rsidRPr="00C17BC8" w:rsidRDefault="00E024FE" w:rsidP="00E024FE">
            <w:pPr>
              <w:spacing w:before="120" w:after="120"/>
              <w:rPr>
                <w:rFonts w:asciiTheme="minorHAnsi" w:eastAsia="Times New Roman" w:hAnsiTheme="minorHAnsi" w:cs="Times New Roman"/>
                <w:b/>
                <w:bCs/>
                <w:i/>
                <w:lang w:eastAsia="en-AU"/>
              </w:rPr>
            </w:pPr>
            <w:r w:rsidRPr="00E024FE">
              <w:rPr>
                <w:rFonts w:asciiTheme="minorHAnsi" w:eastAsia="Times New Roman" w:hAnsiTheme="minorHAnsi" w:cs="Times New Roman"/>
                <w:b/>
                <w:bCs/>
                <w:lang w:eastAsia="en-AU"/>
              </w:rPr>
              <w:t xml:space="preserve">To remove </w:t>
            </w:r>
            <w:r w:rsidR="003676FB" w:rsidRPr="00E024FE">
              <w:rPr>
                <w:rFonts w:asciiTheme="minorHAnsi" w:eastAsia="Times New Roman" w:hAnsiTheme="minorHAnsi" w:cs="Times New Roman"/>
                <w:b/>
                <w:bCs/>
                <w:lang w:eastAsia="en-AU"/>
              </w:rPr>
              <w:t>Potassium channel antibody-associated encephalopathy</w:t>
            </w:r>
            <w:r w:rsidRPr="00E024FE">
              <w:rPr>
                <w:rFonts w:asciiTheme="minorHAnsi" w:eastAsia="Times New Roman" w:hAnsiTheme="minorHAnsi" w:cs="Times New Roman"/>
                <w:b/>
                <w:bCs/>
                <w:lang w:eastAsia="en-AU"/>
              </w:rPr>
              <w:t xml:space="preserve"> as a </w:t>
            </w:r>
            <w:r w:rsidR="003676FB" w:rsidRPr="00E024FE" w:rsidDel="007F6E4D">
              <w:rPr>
                <w:rFonts w:asciiTheme="minorHAnsi" w:eastAsia="Times New Roman" w:hAnsiTheme="minorHAnsi" w:cs="Times New Roman"/>
                <w:b/>
                <w:bCs/>
                <w:lang w:eastAsia="en-AU"/>
              </w:rPr>
              <w:t xml:space="preserve"> </w:t>
            </w:r>
            <w:r w:rsidR="00511C3A" w:rsidRPr="00E024FE">
              <w:rPr>
                <w:rFonts w:asciiTheme="minorHAnsi" w:eastAsia="Times New Roman" w:hAnsiTheme="minorHAnsi" w:cs="Times New Roman"/>
                <w:b/>
                <w:bCs/>
                <w:lang w:eastAsia="en-AU"/>
              </w:rPr>
              <w:t xml:space="preserve">stand-alone condition in </w:t>
            </w:r>
            <w:r w:rsidRPr="00E024FE">
              <w:rPr>
                <w:rFonts w:asciiTheme="minorHAnsi" w:eastAsia="Times New Roman" w:hAnsiTheme="minorHAnsi" w:cs="Times New Roman"/>
                <w:b/>
                <w:bCs/>
                <w:i/>
                <w:lang w:eastAsia="en-AU"/>
              </w:rPr>
              <w:t>Exceptional circumstances only</w:t>
            </w:r>
            <w:r>
              <w:rPr>
                <w:rFonts w:asciiTheme="minorHAnsi" w:eastAsia="Times New Roman" w:hAnsiTheme="minorHAnsi" w:cs="Times New Roman"/>
                <w:bCs/>
                <w:lang w:eastAsia="en-AU"/>
              </w:rPr>
              <w:t xml:space="preserve"> </w:t>
            </w:r>
            <w:r w:rsidRPr="009930B9">
              <w:rPr>
                <w:rFonts w:asciiTheme="minorHAnsi" w:eastAsia="Times New Roman" w:hAnsiTheme="minorHAnsi" w:cs="Times New Roman"/>
                <w:b/>
                <w:bCs/>
                <w:lang w:eastAsia="en-AU"/>
              </w:rPr>
              <w:t>and allow access</w:t>
            </w:r>
            <w:r w:rsidRPr="009930B9">
              <w:rPr>
                <w:rFonts w:asciiTheme="minorHAnsi" w:eastAsia="Times New Roman" w:hAnsiTheme="minorHAnsi" w:cs="Times New Roman"/>
                <w:b/>
                <w:bCs/>
                <w:i/>
                <w:lang w:eastAsia="en-AU"/>
              </w:rPr>
              <w:t xml:space="preserve"> </w:t>
            </w:r>
            <w:r w:rsidRPr="009930B9">
              <w:rPr>
                <w:rFonts w:asciiTheme="minorHAnsi" w:eastAsia="Times New Roman" w:hAnsiTheme="minorHAnsi" w:cs="Times New Roman"/>
                <w:b/>
                <w:bCs/>
                <w:lang w:eastAsia="en-AU"/>
              </w:rPr>
              <w:t>for eligible patients under Autoimmune encephalitis mediated by antibodies targeting cell surface antigens (AMAE)</w:t>
            </w:r>
            <w:r>
              <w:rPr>
                <w:rFonts w:asciiTheme="minorHAnsi" w:eastAsia="Times New Roman" w:hAnsiTheme="minorHAnsi" w:cs="Times New Roman"/>
                <w:b/>
                <w:bCs/>
                <w:lang w:eastAsia="en-AU"/>
              </w:rPr>
              <w:t xml:space="preserve"> in </w:t>
            </w:r>
            <w:r w:rsidRPr="00C17BC8">
              <w:rPr>
                <w:rFonts w:asciiTheme="minorHAnsi" w:eastAsia="Times New Roman" w:hAnsiTheme="minorHAnsi" w:cs="Times New Roman"/>
                <w:b/>
                <w:bCs/>
                <w:i/>
                <w:lang w:eastAsia="en-AU"/>
              </w:rPr>
              <w:t xml:space="preserve">Emerging therapeutic role </w:t>
            </w:r>
          </w:p>
          <w:p w:rsidR="003E3235" w:rsidRPr="00511C3A" w:rsidRDefault="003E3235" w:rsidP="00E024FE">
            <w:pPr>
              <w:spacing w:before="120" w:after="120"/>
              <w:rPr>
                <w:rFonts w:asciiTheme="minorHAnsi" w:eastAsia="Times New Roman" w:hAnsiTheme="minorHAnsi" w:cs="Times New Roman"/>
                <w:bCs/>
                <w:lang w:eastAsia="en-AU"/>
              </w:rPr>
            </w:pPr>
          </w:p>
        </w:tc>
        <w:tc>
          <w:tcPr>
            <w:tcW w:w="11765" w:type="dxa"/>
            <w:shd w:val="clear" w:color="auto" w:fill="auto"/>
          </w:tcPr>
          <w:p w:rsidR="00642A5C" w:rsidRDefault="00642A5C" w:rsidP="008612AB">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SUMMARY OF RATIONALE: </w:t>
            </w:r>
          </w:p>
          <w:p w:rsidR="00FF4718" w:rsidRPr="00511C3A" w:rsidRDefault="00511C3A" w:rsidP="00B25D2E">
            <w:pPr>
              <w:pStyle w:val="ListParagraph"/>
              <w:spacing w:before="120" w:after="120"/>
              <w:ind w:left="0"/>
              <w:rPr>
                <w:rFonts w:asciiTheme="minorHAnsi" w:eastAsia="Times New Roman" w:hAnsiTheme="minorHAnsi" w:cs="Times New Roman"/>
                <w:b/>
                <w:bCs/>
                <w:lang w:eastAsia="en-AU"/>
              </w:rPr>
            </w:pPr>
            <w:r w:rsidRPr="00511C3A">
              <w:rPr>
                <w:rFonts w:asciiTheme="minorHAnsi" w:eastAsia="Times New Roman" w:hAnsiTheme="minorHAnsi" w:cs="Times New Roman"/>
                <w:bCs/>
                <w:lang w:eastAsia="en-AU"/>
              </w:rPr>
              <w:t xml:space="preserve">Potassium channel antibody-associated encephalopathy has previously been endorsed by NIGAC and JBC with the revised name of Autoimmune encephalitis mediated by antibodies targeting cell-surface antigens (AMAE) by NIGAC and JBC as a condition for which Ig has an emerging therapeutic role. </w:t>
            </w:r>
            <w:r w:rsidR="005051C7">
              <w:rPr>
                <w:rFonts w:asciiTheme="minorHAnsi" w:eastAsia="Times New Roman" w:hAnsiTheme="minorHAnsi" w:cs="Times New Roman"/>
                <w:bCs/>
                <w:lang w:eastAsia="en-AU"/>
              </w:rPr>
              <w:t xml:space="preserve">  While the </w:t>
            </w:r>
            <w:r w:rsidR="00B13FFD">
              <w:rPr>
                <w:rFonts w:asciiTheme="minorHAnsi" w:eastAsia="Times New Roman" w:hAnsiTheme="minorHAnsi" w:cs="Times New Roman"/>
                <w:bCs/>
                <w:lang w:eastAsia="en-AU"/>
              </w:rPr>
              <w:t xml:space="preserve">information relating to potassium channel antibody associated encephalopathy </w:t>
            </w:r>
            <w:r w:rsidR="00B25D2E">
              <w:rPr>
                <w:rFonts w:asciiTheme="minorHAnsi" w:eastAsia="Times New Roman" w:hAnsiTheme="minorHAnsi" w:cs="Times New Roman"/>
                <w:bCs/>
                <w:lang w:eastAsia="en-AU"/>
              </w:rPr>
              <w:t>is unchanged from that</w:t>
            </w:r>
            <w:r w:rsidR="005051C7">
              <w:rPr>
                <w:rFonts w:asciiTheme="minorHAnsi" w:eastAsia="Times New Roman" w:hAnsiTheme="minorHAnsi" w:cs="Times New Roman"/>
                <w:bCs/>
                <w:lang w:eastAsia="en-AU"/>
              </w:rPr>
              <w:t xml:space="preserve"> previously approved by JBC</w:t>
            </w:r>
            <w:r w:rsidR="00B25D2E">
              <w:rPr>
                <w:rFonts w:asciiTheme="minorHAnsi" w:eastAsia="Times New Roman" w:hAnsiTheme="minorHAnsi" w:cs="Times New Roman"/>
                <w:bCs/>
                <w:lang w:eastAsia="en-AU"/>
              </w:rPr>
              <w:t xml:space="preserve"> in 2015</w:t>
            </w:r>
            <w:r w:rsidR="005051C7">
              <w:rPr>
                <w:rFonts w:asciiTheme="minorHAnsi" w:eastAsia="Times New Roman" w:hAnsiTheme="minorHAnsi" w:cs="Times New Roman"/>
                <w:bCs/>
                <w:lang w:eastAsia="en-AU"/>
              </w:rPr>
              <w:t xml:space="preserve">, it </w:t>
            </w:r>
            <w:r w:rsidR="00B13FFD">
              <w:rPr>
                <w:rFonts w:asciiTheme="minorHAnsi" w:eastAsia="Times New Roman" w:hAnsiTheme="minorHAnsi" w:cs="Times New Roman"/>
                <w:bCs/>
                <w:lang w:eastAsia="en-AU"/>
              </w:rPr>
              <w:t>is be</w:t>
            </w:r>
            <w:r w:rsidR="005051C7">
              <w:rPr>
                <w:rFonts w:asciiTheme="minorHAnsi" w:eastAsia="Times New Roman" w:hAnsiTheme="minorHAnsi" w:cs="Times New Roman"/>
                <w:bCs/>
                <w:lang w:eastAsia="en-AU"/>
              </w:rPr>
              <w:t>ing re-submitted</w:t>
            </w:r>
            <w:r w:rsidR="00B13FFD">
              <w:rPr>
                <w:rFonts w:asciiTheme="minorHAnsi" w:eastAsia="Times New Roman" w:hAnsiTheme="minorHAnsi" w:cs="Times New Roman"/>
                <w:bCs/>
                <w:lang w:eastAsia="en-AU"/>
              </w:rPr>
              <w:t xml:space="preserve"> for completeness</w:t>
            </w:r>
            <w:r w:rsidR="005051C7">
              <w:rPr>
                <w:rFonts w:asciiTheme="minorHAnsi" w:eastAsia="Times New Roman" w:hAnsiTheme="minorHAnsi" w:cs="Times New Roman"/>
                <w:bCs/>
                <w:lang w:eastAsia="en-AU"/>
              </w:rPr>
              <w:t xml:space="preserve"> as two further indications are now also proposed to be included under AMAE. Re-submission </w:t>
            </w:r>
            <w:r w:rsidR="00B25D2E">
              <w:rPr>
                <w:rFonts w:asciiTheme="minorHAnsi" w:eastAsia="Times New Roman" w:hAnsiTheme="minorHAnsi" w:cs="Times New Roman"/>
                <w:bCs/>
                <w:lang w:eastAsia="en-AU"/>
              </w:rPr>
              <w:t xml:space="preserve">of this condition </w:t>
            </w:r>
            <w:r w:rsidR="005051C7">
              <w:rPr>
                <w:rFonts w:asciiTheme="minorHAnsi" w:eastAsia="Times New Roman" w:hAnsiTheme="minorHAnsi" w:cs="Times New Roman"/>
                <w:bCs/>
                <w:lang w:eastAsia="en-AU"/>
              </w:rPr>
              <w:t xml:space="preserve">also allows presentation of data </w:t>
            </w:r>
            <w:r w:rsidR="00B25D2E">
              <w:rPr>
                <w:rFonts w:asciiTheme="minorHAnsi" w:eastAsia="Times New Roman" w:hAnsiTheme="minorHAnsi" w:cs="Times New Roman"/>
                <w:bCs/>
                <w:lang w:eastAsia="en-AU"/>
              </w:rPr>
              <w:t xml:space="preserve">specifically relevant to Potassium channel antibody-associated encephalopathy. </w:t>
            </w:r>
            <w:r w:rsidR="005051C7">
              <w:rPr>
                <w:rFonts w:asciiTheme="minorHAnsi" w:eastAsia="Times New Roman" w:hAnsiTheme="minorHAnsi" w:cs="Times New Roman"/>
                <w:bCs/>
                <w:lang w:eastAsia="en-AU"/>
              </w:rPr>
              <w:t xml:space="preserve"> </w:t>
            </w:r>
          </w:p>
        </w:tc>
      </w:tr>
      <w:tr w:rsidR="008612AB" w:rsidRPr="00447869" w:rsidTr="00437609">
        <w:tc>
          <w:tcPr>
            <w:tcW w:w="14601" w:type="dxa"/>
            <w:gridSpan w:val="2"/>
            <w:shd w:val="clear" w:color="auto" w:fill="auto"/>
          </w:tcPr>
          <w:p w:rsidR="008612AB" w:rsidRPr="009E0D07" w:rsidRDefault="008612AB" w:rsidP="008612AB">
            <w:pPr>
              <w:spacing w:before="120" w:after="120"/>
              <w:rPr>
                <w:rFonts w:asciiTheme="minorHAnsi" w:eastAsia="Times New Roman" w:hAnsiTheme="minorHAnsi" w:cs="Times New Roman"/>
                <w:bCs/>
                <w:lang w:eastAsia="en-AU"/>
              </w:rPr>
            </w:pPr>
            <w:r>
              <w:rPr>
                <w:rFonts w:asciiTheme="minorHAnsi" w:eastAsia="Times New Roman" w:hAnsiTheme="minorHAnsi" w:cs="Times New Roman"/>
                <w:b/>
                <w:bCs/>
                <w:lang w:eastAsia="en-AU"/>
              </w:rPr>
              <w:t>Role of Ig therapy</w:t>
            </w:r>
            <w:r w:rsidR="007830E1">
              <w:rPr>
                <w:rFonts w:asciiTheme="minorHAnsi" w:eastAsia="Times New Roman" w:hAnsiTheme="minorHAnsi" w:cs="Times New Roman"/>
                <w:b/>
                <w:bCs/>
                <w:lang w:eastAsia="en-AU"/>
              </w:rPr>
              <w:t>, if appropriate:</w:t>
            </w:r>
            <w:r w:rsidR="009E0D07">
              <w:rPr>
                <w:rFonts w:asciiTheme="minorHAnsi" w:eastAsia="Times New Roman" w:hAnsiTheme="minorHAnsi" w:cs="Times New Roman"/>
                <w:b/>
                <w:bCs/>
                <w:lang w:eastAsia="en-AU"/>
              </w:rPr>
              <w:t xml:space="preserve"> </w:t>
            </w:r>
            <w:r w:rsidR="009E0D07">
              <w:rPr>
                <w:rFonts w:asciiTheme="minorHAnsi" w:eastAsia="Times New Roman" w:hAnsiTheme="minorHAnsi" w:cs="Times New Roman"/>
                <w:bCs/>
                <w:lang w:eastAsia="en-AU"/>
              </w:rPr>
              <w:t xml:space="preserve"> </w:t>
            </w:r>
            <w:r w:rsidR="00511C3A" w:rsidRPr="00511C3A">
              <w:rPr>
                <w:rFonts w:asciiTheme="minorHAnsi" w:eastAsia="Times New Roman" w:hAnsiTheme="minorHAnsi" w:cs="Times New Roman"/>
                <w:bCs/>
                <w:lang w:eastAsia="en-AU"/>
              </w:rPr>
              <w:t>See AMAE –ATTACHMENT B for full details</w:t>
            </w:r>
          </w:p>
        </w:tc>
      </w:tr>
      <w:tr w:rsidR="00E7550D" w:rsidRPr="00447869" w:rsidTr="00437609">
        <w:trPr>
          <w:trHeight w:val="515"/>
        </w:trPr>
        <w:tc>
          <w:tcPr>
            <w:tcW w:w="14601" w:type="dxa"/>
            <w:gridSpan w:val="2"/>
            <w:shd w:val="clear" w:color="auto" w:fill="DBE5F1" w:themeFill="accent1" w:themeFillTint="33"/>
          </w:tcPr>
          <w:p w:rsidR="00E7550D" w:rsidRDefault="00E7550D" w:rsidP="00824D82">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Access Information in </w:t>
            </w:r>
            <w:r w:rsidR="007F6E4D">
              <w:rPr>
                <w:rFonts w:asciiTheme="minorHAnsi" w:eastAsia="Times New Roman" w:hAnsiTheme="minorHAnsi" w:cs="Times New Roman"/>
                <w:b/>
                <w:bCs/>
                <w:lang w:eastAsia="en-AU"/>
              </w:rPr>
              <w:t>v</w:t>
            </w:r>
            <w:r>
              <w:rPr>
                <w:rFonts w:asciiTheme="minorHAnsi" w:eastAsia="Times New Roman" w:hAnsiTheme="minorHAnsi" w:cs="Times New Roman"/>
                <w:b/>
                <w:bCs/>
                <w:lang w:eastAsia="en-AU"/>
              </w:rPr>
              <w:t xml:space="preserve">2.1 </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Condition Category </w:t>
            </w:r>
          </w:p>
        </w:tc>
        <w:tc>
          <w:tcPr>
            <w:tcW w:w="11765" w:type="dxa"/>
            <w:shd w:val="clear" w:color="auto" w:fill="auto"/>
          </w:tcPr>
          <w:p w:rsidR="00793EB5" w:rsidRPr="00E7550D" w:rsidRDefault="001B385A" w:rsidP="00793EB5">
            <w:pPr>
              <w:spacing w:before="120" w:after="120"/>
              <w:rPr>
                <w:rFonts w:asciiTheme="minorHAnsi" w:eastAsia="Times New Roman" w:hAnsiTheme="minorHAnsi" w:cs="Times New Roman"/>
                <w:bCs/>
                <w:lang w:eastAsia="en-AU"/>
              </w:rPr>
            </w:pPr>
            <w:r>
              <w:rPr>
                <w:rFonts w:asciiTheme="minorHAnsi" w:eastAsia="Times New Roman" w:hAnsiTheme="minorHAnsi" w:cs="Times New Roman"/>
                <w:bCs/>
                <w:lang w:eastAsia="en-AU"/>
              </w:rPr>
              <w:t xml:space="preserve">Condition for </w:t>
            </w:r>
            <w:r w:rsidR="00824D82">
              <w:rPr>
                <w:rFonts w:asciiTheme="minorHAnsi" w:eastAsia="Times New Roman" w:hAnsiTheme="minorHAnsi" w:cs="Times New Roman"/>
                <w:bCs/>
                <w:lang w:eastAsia="en-AU"/>
              </w:rPr>
              <w:t>which</w:t>
            </w:r>
            <w:r>
              <w:rPr>
                <w:rFonts w:asciiTheme="minorHAnsi" w:eastAsia="Times New Roman" w:hAnsiTheme="minorHAnsi" w:cs="Times New Roman"/>
                <w:bCs/>
                <w:lang w:eastAsia="en-AU"/>
              </w:rPr>
              <w:t xml:space="preserve"> Ig use is in e</w:t>
            </w:r>
            <w:r w:rsidR="0090753E" w:rsidRPr="0090753E">
              <w:rPr>
                <w:rFonts w:asciiTheme="minorHAnsi" w:eastAsia="Times New Roman" w:hAnsiTheme="minorHAnsi" w:cs="Times New Roman"/>
                <w:bCs/>
                <w:lang w:eastAsia="en-AU"/>
              </w:rPr>
              <w:t>xceptional circumstances only</w:t>
            </w:r>
            <w:r w:rsidR="007F6E4D">
              <w:rPr>
                <w:rFonts w:asciiTheme="minorHAnsi" w:eastAsia="Times New Roman" w:hAnsiTheme="minorHAnsi" w:cs="Times New Roman"/>
                <w:bCs/>
                <w:lang w:eastAsia="en-AU"/>
              </w:rPr>
              <w:t xml:space="preserve"> (Chapter 7)</w:t>
            </w:r>
          </w:p>
        </w:tc>
      </w:tr>
      <w:tr w:rsidR="00E7550D" w:rsidRPr="00447869" w:rsidTr="00437609">
        <w:trPr>
          <w:trHeight w:val="515"/>
        </w:trPr>
        <w:tc>
          <w:tcPr>
            <w:tcW w:w="2836" w:type="dxa"/>
            <w:shd w:val="clear" w:color="auto" w:fill="auto"/>
          </w:tcPr>
          <w:p w:rsidR="00E7550D" w:rsidRDefault="00E7550D" w:rsidP="007830E1">
            <w:pPr>
              <w:spacing w:before="120" w:after="120"/>
              <w:rPr>
                <w:rFonts w:asciiTheme="minorHAnsi" w:hAnsiTheme="minorHAnsi"/>
                <w:b/>
              </w:rPr>
            </w:pPr>
            <w:r>
              <w:rPr>
                <w:rFonts w:asciiTheme="minorHAnsi" w:hAnsiTheme="minorHAnsi"/>
                <w:b/>
              </w:rPr>
              <w:t>Level of Evidence</w:t>
            </w:r>
          </w:p>
        </w:tc>
        <w:tc>
          <w:tcPr>
            <w:tcW w:w="11765" w:type="dxa"/>
            <w:shd w:val="clear" w:color="auto" w:fill="auto"/>
          </w:tcPr>
          <w:p w:rsidR="00E7550D" w:rsidRPr="00793EB5" w:rsidRDefault="0090753E" w:rsidP="007830E1">
            <w:pPr>
              <w:spacing w:before="120" w:after="120"/>
              <w:rPr>
                <w:rFonts w:asciiTheme="minorHAnsi" w:eastAsia="Times New Roman" w:hAnsiTheme="minorHAnsi" w:cs="Times New Roman"/>
                <w:bCs/>
                <w:lang w:eastAsia="en-AU"/>
              </w:rPr>
            </w:pPr>
            <w:r w:rsidRPr="0090753E">
              <w:rPr>
                <w:rFonts w:asciiTheme="minorHAnsi" w:eastAsia="Times New Roman" w:hAnsiTheme="minorHAnsi" w:cs="Times New Roman"/>
                <w:bCs/>
                <w:lang w:eastAsia="en-AU"/>
              </w:rPr>
              <w:t>Insufficient data (Category 4a)</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hAnsiTheme="minorHAnsi"/>
                <w:b/>
              </w:rPr>
              <w:t xml:space="preserve">Description </w:t>
            </w:r>
          </w:p>
        </w:tc>
        <w:tc>
          <w:tcPr>
            <w:tcW w:w="11765" w:type="dxa"/>
            <w:shd w:val="clear" w:color="auto" w:fill="auto"/>
          </w:tcPr>
          <w:p w:rsidR="00793EB5" w:rsidRPr="00793EB5" w:rsidRDefault="0090753E" w:rsidP="007830E1">
            <w:pPr>
              <w:spacing w:before="120" w:after="120"/>
              <w:rPr>
                <w:rFonts w:asciiTheme="minorHAnsi" w:eastAsia="Times New Roman" w:hAnsiTheme="minorHAnsi" w:cs="Times New Roman"/>
                <w:bCs/>
                <w:lang w:eastAsia="en-AU"/>
              </w:rPr>
            </w:pPr>
            <w:r w:rsidRPr="0090753E">
              <w:rPr>
                <w:rFonts w:asciiTheme="minorHAnsi" w:eastAsia="Times New Roman" w:hAnsiTheme="minorHAnsi" w:cs="Times New Roman"/>
                <w:bCs/>
                <w:lang w:eastAsia="en-AU"/>
              </w:rPr>
              <w:t>Potassium channel antibody-associated neurologic syndromes include limbic encephalitis/subacute amnesic encephalopathy, Morvan syndrome, peripheral nerve hyperexcitability and autonomic ganglionopathy.</w:t>
            </w:r>
          </w:p>
        </w:tc>
      </w:tr>
      <w:tr w:rsidR="00793EB5" w:rsidRPr="00447869" w:rsidTr="00437609">
        <w:trPr>
          <w:trHeight w:val="515"/>
        </w:trPr>
        <w:tc>
          <w:tcPr>
            <w:tcW w:w="2836" w:type="dxa"/>
            <w:shd w:val="clear" w:color="auto" w:fill="auto"/>
          </w:tcPr>
          <w:p w:rsidR="00793EB5" w:rsidRDefault="00793EB5" w:rsidP="00E7550D">
            <w:pPr>
              <w:spacing w:before="120" w:after="120"/>
              <w:rPr>
                <w:rFonts w:asciiTheme="minorHAnsi" w:eastAsia="Times New Roman" w:hAnsiTheme="minorHAnsi" w:cs="Times New Roman"/>
                <w:b/>
                <w:bCs/>
                <w:lang w:eastAsia="en-AU"/>
              </w:rPr>
            </w:pPr>
            <w:r>
              <w:rPr>
                <w:rFonts w:asciiTheme="minorHAnsi" w:eastAsia="Times New Roman" w:hAnsiTheme="minorHAnsi" w:cs="Times New Roman"/>
                <w:b/>
                <w:bCs/>
                <w:lang w:eastAsia="en-AU"/>
              </w:rPr>
              <w:t xml:space="preserve">Qualifying Criteria </w:t>
            </w:r>
          </w:p>
        </w:tc>
        <w:tc>
          <w:tcPr>
            <w:tcW w:w="11765" w:type="dxa"/>
            <w:shd w:val="clear" w:color="auto" w:fill="auto"/>
          </w:tcPr>
          <w:p w:rsidR="00793EB5" w:rsidRPr="00371AA8" w:rsidRDefault="0090753E" w:rsidP="00371AA8">
            <w:pPr>
              <w:rPr>
                <w:rFonts w:asciiTheme="minorHAnsi" w:eastAsia="Times New Roman" w:hAnsiTheme="minorHAnsi" w:cs="Times New Roman"/>
                <w:bCs/>
                <w:lang w:eastAsia="en-AU"/>
              </w:rPr>
            </w:pPr>
            <w:r w:rsidRPr="00E024FE">
              <w:rPr>
                <w:rFonts w:asciiTheme="minorHAnsi" w:eastAsia="Times New Roman" w:hAnsiTheme="minorHAnsi" w:cs="Times New Roman"/>
                <w:bCs/>
                <w:lang w:eastAsia="en-AU"/>
              </w:rPr>
              <w:t>Potassium channel antibody-associated encephalopathy is considered to be an autoimmune, nonparaneoplastic, potentially treatable syndrome, but may respond to a variety of immunomodulatory agents, including intravenous immunoglobulin (</w:t>
            </w:r>
            <w:r w:rsidR="00270578" w:rsidRPr="00E024FE">
              <w:rPr>
                <w:rFonts w:asciiTheme="minorHAnsi" w:eastAsia="Times New Roman" w:hAnsiTheme="minorHAnsi" w:cs="Times New Roman"/>
                <w:bCs/>
                <w:lang w:eastAsia="en-AU"/>
              </w:rPr>
              <w:t>IVIg</w:t>
            </w:r>
            <w:r w:rsidRPr="00E024FE">
              <w:rPr>
                <w:rFonts w:asciiTheme="minorHAnsi" w:eastAsia="Times New Roman" w:hAnsiTheme="minorHAnsi" w:cs="Times New Roman"/>
                <w:bCs/>
                <w:lang w:eastAsia="en-AU"/>
              </w:rPr>
              <w:t>).</w:t>
            </w:r>
          </w:p>
        </w:tc>
      </w:tr>
      <w:tr w:rsidR="008612AB" w:rsidRPr="00021243" w:rsidTr="00437609">
        <w:tblPrEx>
          <w:tblLook w:val="04A0" w:firstRow="1" w:lastRow="0" w:firstColumn="1" w:lastColumn="0" w:noHBand="0" w:noVBand="1"/>
        </w:tblPrEx>
        <w:tc>
          <w:tcPr>
            <w:tcW w:w="14601" w:type="dxa"/>
            <w:gridSpan w:val="2"/>
            <w:shd w:val="clear" w:color="auto" w:fill="DBE5F1" w:themeFill="accent1" w:themeFillTint="33"/>
          </w:tcPr>
          <w:p w:rsidR="00901F76" w:rsidRPr="00021243" w:rsidRDefault="00F42816" w:rsidP="00590402">
            <w:pPr>
              <w:spacing w:before="120" w:after="120"/>
              <w:jc w:val="center"/>
              <w:rPr>
                <w:rFonts w:asciiTheme="minorHAnsi" w:hAnsiTheme="minorHAnsi"/>
                <w:b/>
              </w:rPr>
            </w:pPr>
            <w:r>
              <w:rPr>
                <w:rFonts w:asciiTheme="minorHAnsi" w:hAnsiTheme="minorHAnsi"/>
                <w:b/>
              </w:rPr>
              <w:lastRenderedPageBreak/>
              <w:t>References</w:t>
            </w:r>
            <w:r w:rsidR="00E7550D">
              <w:rPr>
                <w:rFonts w:asciiTheme="minorHAnsi" w:hAnsiTheme="minorHAnsi"/>
                <w:b/>
              </w:rPr>
              <w:t xml:space="preserve"> </w:t>
            </w:r>
          </w:p>
        </w:tc>
      </w:tr>
      <w:tr w:rsidR="008612AB" w:rsidRPr="00255740" w:rsidTr="00437609">
        <w:tblPrEx>
          <w:tblLook w:val="04A0" w:firstRow="1" w:lastRow="0" w:firstColumn="1" w:lastColumn="0" w:noHBand="0" w:noVBand="1"/>
        </w:tblPrEx>
        <w:tc>
          <w:tcPr>
            <w:tcW w:w="14601" w:type="dxa"/>
            <w:gridSpan w:val="2"/>
          </w:tcPr>
          <w:p w:rsidR="0090753E" w:rsidRPr="0090753E" w:rsidRDefault="00827D93" w:rsidP="0090753E">
            <w:pPr>
              <w:spacing w:before="120" w:after="120"/>
              <w:rPr>
                <w:rFonts w:asciiTheme="minorHAnsi" w:hAnsiTheme="minorHAnsi"/>
              </w:rPr>
            </w:pPr>
            <w:r w:rsidRPr="00827D93">
              <w:rPr>
                <w:rFonts w:asciiTheme="minorHAnsi" w:hAnsiTheme="minorHAnsi"/>
                <w:lang w:val="fr-FR"/>
              </w:rPr>
              <w:t>Hudson</w:t>
            </w:r>
            <w:r w:rsidR="0090753E" w:rsidRPr="00827D93">
              <w:rPr>
                <w:rFonts w:asciiTheme="minorHAnsi" w:hAnsiTheme="minorHAnsi"/>
                <w:lang w:val="fr-FR"/>
              </w:rPr>
              <w:t xml:space="preserve"> LA, et al </w:t>
            </w:r>
            <w:r w:rsidRPr="00827D93">
              <w:rPr>
                <w:rFonts w:asciiTheme="minorHAnsi" w:hAnsiTheme="minorHAnsi"/>
                <w:lang w:val="fr-FR"/>
              </w:rPr>
              <w:t>(</w:t>
            </w:r>
            <w:r w:rsidR="0090753E" w:rsidRPr="00827D93">
              <w:rPr>
                <w:rFonts w:asciiTheme="minorHAnsi" w:hAnsiTheme="minorHAnsi"/>
                <w:lang w:val="fr-FR"/>
              </w:rPr>
              <w:t>2008</w:t>
            </w:r>
            <w:r w:rsidRPr="00827D93">
              <w:rPr>
                <w:rFonts w:asciiTheme="minorHAnsi" w:hAnsiTheme="minorHAnsi"/>
                <w:lang w:val="fr-FR"/>
              </w:rPr>
              <w:t xml:space="preserve">) </w:t>
            </w:r>
            <w:r w:rsidR="0090753E" w:rsidRPr="00827D93">
              <w:rPr>
                <w:rFonts w:asciiTheme="minorHAnsi" w:hAnsiTheme="minorHAnsi"/>
                <w:lang w:val="fr-FR"/>
              </w:rPr>
              <w:t>Reduplicative p</w:t>
            </w:r>
            <w:r w:rsidRPr="00827D93">
              <w:rPr>
                <w:rFonts w:asciiTheme="minorHAnsi" w:hAnsiTheme="minorHAnsi"/>
                <w:lang w:val="fr-FR"/>
              </w:rPr>
              <w:t>aramnesia in Morvan’s syndrome.</w:t>
            </w:r>
            <w:r>
              <w:rPr>
                <w:rFonts w:asciiTheme="minorHAnsi" w:hAnsiTheme="minorHAnsi"/>
                <w:lang w:val="fr-FR"/>
              </w:rPr>
              <w:t xml:space="preserve"> </w:t>
            </w:r>
            <w:r w:rsidR="0090753E" w:rsidRPr="00827D93">
              <w:rPr>
                <w:rFonts w:asciiTheme="minorHAnsi" w:hAnsiTheme="minorHAnsi"/>
                <w:lang w:val="fr-FR"/>
              </w:rPr>
              <w:t xml:space="preserve"> </w:t>
            </w:r>
            <w:r w:rsidR="0090753E" w:rsidRPr="00827D93">
              <w:rPr>
                <w:rFonts w:asciiTheme="minorHAnsi" w:hAnsiTheme="minorHAnsi"/>
                <w:i/>
              </w:rPr>
              <w:t>Journal of the Neurological Sciences</w:t>
            </w:r>
            <w:r>
              <w:rPr>
                <w:rFonts w:asciiTheme="minorHAnsi" w:hAnsiTheme="minorHAnsi"/>
              </w:rPr>
              <w:t>, 267(</w:t>
            </w:r>
            <w:r w:rsidR="0090753E" w:rsidRPr="0090753E">
              <w:rPr>
                <w:rFonts w:asciiTheme="minorHAnsi" w:hAnsiTheme="minorHAnsi"/>
              </w:rPr>
              <w:t>1–2</w:t>
            </w:r>
            <w:r>
              <w:rPr>
                <w:rFonts w:asciiTheme="minorHAnsi" w:hAnsiTheme="minorHAnsi"/>
              </w:rPr>
              <w:t>):</w:t>
            </w:r>
            <w:r w:rsidR="0090753E" w:rsidRPr="0090753E">
              <w:rPr>
                <w:rFonts w:asciiTheme="minorHAnsi" w:hAnsiTheme="minorHAnsi"/>
              </w:rPr>
              <w:t>154–7.</w:t>
            </w:r>
          </w:p>
          <w:p w:rsidR="0090753E" w:rsidRPr="00827D93" w:rsidRDefault="007147B1" w:rsidP="0090753E">
            <w:pPr>
              <w:spacing w:before="120" w:after="120"/>
              <w:rPr>
                <w:rFonts w:asciiTheme="minorHAnsi" w:hAnsiTheme="minorHAnsi"/>
                <w:color w:val="808080" w:themeColor="background1" w:themeShade="80"/>
              </w:rPr>
            </w:pPr>
            <w:hyperlink r:id="rId9" w:history="1">
              <w:r w:rsidR="00827D93" w:rsidRPr="00827D93">
                <w:rPr>
                  <w:rStyle w:val="Hyperlink"/>
                  <w:rFonts w:asciiTheme="minorHAnsi" w:hAnsiTheme="minorHAnsi"/>
                  <w:color w:val="808080" w:themeColor="background1" w:themeShade="80"/>
                </w:rPr>
                <w:t>http://www.jns-journal.com/article/S0022-510X(07)00656-9/abstract</w:t>
              </w:r>
            </w:hyperlink>
          </w:p>
          <w:p w:rsidR="00901F76" w:rsidRDefault="00827D93" w:rsidP="0090753E">
            <w:pPr>
              <w:spacing w:before="120" w:after="120"/>
              <w:rPr>
                <w:rFonts w:asciiTheme="minorHAnsi" w:hAnsiTheme="minorHAnsi"/>
              </w:rPr>
            </w:pPr>
            <w:r>
              <w:rPr>
                <w:rFonts w:asciiTheme="minorHAnsi" w:hAnsiTheme="minorHAnsi"/>
              </w:rPr>
              <w:t>Vincent A, Buckley C, Schott</w:t>
            </w:r>
            <w:r w:rsidR="0090753E" w:rsidRPr="0090753E">
              <w:rPr>
                <w:rFonts w:asciiTheme="minorHAnsi" w:hAnsiTheme="minorHAnsi"/>
              </w:rPr>
              <w:t xml:space="preserve"> JM, et al </w:t>
            </w:r>
            <w:r>
              <w:rPr>
                <w:rFonts w:asciiTheme="minorHAnsi" w:hAnsiTheme="minorHAnsi"/>
              </w:rPr>
              <w:t>(</w:t>
            </w:r>
            <w:r w:rsidR="0090753E" w:rsidRPr="0090753E">
              <w:rPr>
                <w:rFonts w:asciiTheme="minorHAnsi" w:hAnsiTheme="minorHAnsi"/>
              </w:rPr>
              <w:t>2004</w:t>
            </w:r>
            <w:r>
              <w:rPr>
                <w:rFonts w:asciiTheme="minorHAnsi" w:hAnsiTheme="minorHAnsi"/>
              </w:rPr>
              <w:t xml:space="preserve">) </w:t>
            </w:r>
            <w:r w:rsidR="0090753E" w:rsidRPr="0090753E">
              <w:rPr>
                <w:rFonts w:asciiTheme="minorHAnsi" w:hAnsiTheme="minorHAnsi"/>
              </w:rPr>
              <w:t>Potassium channel antibody-associated encephalopathy: a potentially immunotherapy-responsiv</w:t>
            </w:r>
            <w:r>
              <w:rPr>
                <w:rFonts w:asciiTheme="minorHAnsi" w:hAnsiTheme="minorHAnsi"/>
              </w:rPr>
              <w:t xml:space="preserve">e form of limbic encephalitis. </w:t>
            </w:r>
            <w:r w:rsidR="0090753E" w:rsidRPr="00827D93">
              <w:rPr>
                <w:rFonts w:asciiTheme="minorHAnsi" w:hAnsiTheme="minorHAnsi"/>
                <w:i/>
              </w:rPr>
              <w:t>Brain</w:t>
            </w:r>
            <w:r>
              <w:rPr>
                <w:rFonts w:asciiTheme="minorHAnsi" w:hAnsiTheme="minorHAnsi"/>
              </w:rPr>
              <w:t>, 127(</w:t>
            </w:r>
            <w:r w:rsidR="0090753E" w:rsidRPr="0090753E">
              <w:rPr>
                <w:rFonts w:asciiTheme="minorHAnsi" w:hAnsiTheme="minorHAnsi"/>
              </w:rPr>
              <w:t>3</w:t>
            </w:r>
            <w:r>
              <w:rPr>
                <w:rFonts w:asciiTheme="minorHAnsi" w:hAnsiTheme="minorHAnsi"/>
              </w:rPr>
              <w:t>):</w:t>
            </w:r>
            <w:r w:rsidR="0090753E" w:rsidRPr="0090753E">
              <w:rPr>
                <w:rFonts w:asciiTheme="minorHAnsi" w:hAnsiTheme="minorHAnsi"/>
              </w:rPr>
              <w:t>701–12.</w:t>
            </w:r>
          </w:p>
          <w:p w:rsidR="00827D93" w:rsidRPr="00827D93" w:rsidRDefault="007147B1" w:rsidP="0090753E">
            <w:pPr>
              <w:spacing w:before="120" w:after="120"/>
              <w:rPr>
                <w:rFonts w:asciiTheme="minorHAnsi" w:hAnsiTheme="minorHAnsi"/>
                <w:color w:val="808080" w:themeColor="background1" w:themeShade="80"/>
              </w:rPr>
            </w:pPr>
            <w:hyperlink r:id="rId10" w:history="1">
              <w:r w:rsidR="00827D93" w:rsidRPr="00827D93">
                <w:rPr>
                  <w:rStyle w:val="Hyperlink"/>
                  <w:rFonts w:asciiTheme="minorHAnsi" w:hAnsiTheme="minorHAnsi"/>
                  <w:color w:val="808080" w:themeColor="background1" w:themeShade="80"/>
                </w:rPr>
                <w:t>https://www.ncbi.nlm.nih.gov/pubmed/14960497</w:t>
              </w:r>
            </w:hyperlink>
          </w:p>
          <w:p w:rsidR="00827D93" w:rsidRPr="00A80A19" w:rsidRDefault="00827D93" w:rsidP="0090753E">
            <w:pPr>
              <w:spacing w:before="120" w:after="120"/>
              <w:rPr>
                <w:rFonts w:asciiTheme="minorHAnsi" w:hAnsiTheme="minorHAnsi"/>
              </w:rPr>
            </w:pPr>
          </w:p>
        </w:tc>
      </w:tr>
    </w:tbl>
    <w:p w:rsidR="00CD489A" w:rsidRDefault="00CD489A">
      <w:pPr>
        <w:spacing w:line="276" w:lineRule="auto"/>
      </w:pPr>
      <w:r>
        <w:br w:type="page"/>
      </w:r>
    </w:p>
    <w:tbl>
      <w:tblPr>
        <w:tblStyle w:val="TableGrid"/>
        <w:tblW w:w="14601" w:type="dxa"/>
        <w:tblInd w:w="-318" w:type="dxa"/>
        <w:tblLook w:val="0680" w:firstRow="0" w:lastRow="0" w:firstColumn="1" w:lastColumn="0" w:noHBand="1" w:noVBand="1"/>
      </w:tblPr>
      <w:tblGrid>
        <w:gridCol w:w="2161"/>
        <w:gridCol w:w="817"/>
        <w:gridCol w:w="567"/>
        <w:gridCol w:w="1593"/>
        <w:gridCol w:w="1667"/>
        <w:gridCol w:w="1701"/>
        <w:gridCol w:w="1701"/>
        <w:gridCol w:w="4394"/>
      </w:tblGrid>
      <w:tr w:rsidR="004A10A2" w:rsidRPr="00021243" w:rsidTr="008612AB">
        <w:tc>
          <w:tcPr>
            <w:tcW w:w="14601" w:type="dxa"/>
            <w:gridSpan w:val="8"/>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lastRenderedPageBreak/>
              <w:t>POTENTIAL OPERATIONAL IMPACT</w:t>
            </w:r>
          </w:p>
        </w:tc>
      </w:tr>
      <w:tr w:rsidR="004A10A2" w:rsidRPr="00021243" w:rsidTr="008612AB">
        <w:tc>
          <w:tcPr>
            <w:tcW w:w="14601" w:type="dxa"/>
            <w:gridSpan w:val="8"/>
            <w:shd w:val="clear" w:color="auto" w:fill="auto"/>
          </w:tcPr>
          <w:p w:rsidR="00EA2E82" w:rsidRPr="00EA2E82" w:rsidRDefault="00607812" w:rsidP="00BF1E9C">
            <w:pPr>
              <w:spacing w:before="120" w:after="120"/>
              <w:rPr>
                <w:rFonts w:asciiTheme="minorHAnsi" w:hAnsiTheme="minorHAnsi"/>
              </w:rPr>
            </w:pPr>
            <w:r>
              <w:rPr>
                <w:rFonts w:asciiTheme="minorHAnsi" w:hAnsiTheme="minorHAnsi"/>
              </w:rPr>
              <w:t xml:space="preserve">The development of specific qualifying and review criteria will represent a change for this condition with the revised criteria providing significantly greater guidance for appropriate access to Ig therapy and patient management expectations.  </w:t>
            </w:r>
            <w:r w:rsidRPr="009930B9">
              <w:rPr>
                <w:rFonts w:asciiTheme="minorHAnsi" w:hAnsiTheme="minorHAnsi"/>
              </w:rPr>
              <w:t xml:space="preserve"> </w:t>
            </w:r>
            <w:r>
              <w:rPr>
                <w:rFonts w:asciiTheme="minorHAnsi" w:hAnsiTheme="minorHAnsi"/>
              </w:rPr>
              <w:t>A neurologist will be required to diagnose and manage patient treatment, although it is recognised that this may be as part of a broader clinical team. There will be increased data entry required (e.g. compliance with the international consensus diagnostic criteria) compared to the previous Ig request process</w:t>
            </w:r>
            <w:r w:rsidR="00511C3A" w:rsidRPr="00511C3A">
              <w:rPr>
                <w:rFonts w:asciiTheme="minorHAnsi" w:hAnsiTheme="minorHAnsi"/>
              </w:rPr>
              <w:t xml:space="preserve">. Patients will be required to be assessed at qualifying and review using a Modified Rankin Scale, however, the scale will be presented as ‘drop-down’ menu options within BloodSTAR </w:t>
            </w:r>
            <w:r w:rsidR="007F6E4D">
              <w:rPr>
                <w:rFonts w:asciiTheme="minorHAnsi" w:hAnsiTheme="minorHAnsi"/>
              </w:rPr>
              <w:t>v</w:t>
            </w:r>
            <w:r w:rsidR="00511C3A" w:rsidRPr="00511C3A">
              <w:rPr>
                <w:rFonts w:asciiTheme="minorHAnsi" w:hAnsiTheme="minorHAnsi"/>
              </w:rPr>
              <w:t>3</w:t>
            </w:r>
            <w:r w:rsidR="00BF1E9C">
              <w:rPr>
                <w:rFonts w:asciiTheme="minorHAnsi" w:hAnsiTheme="minorHAnsi"/>
              </w:rPr>
              <w:t xml:space="preserve">.0 </w:t>
            </w:r>
            <w:r w:rsidR="00511C3A" w:rsidRPr="00511C3A">
              <w:rPr>
                <w:rFonts w:asciiTheme="minorHAnsi" w:hAnsiTheme="minorHAnsi"/>
              </w:rPr>
              <w:t xml:space="preserve">and will be simple to apply. It is likely that </w:t>
            </w:r>
            <w:r w:rsidR="006324BD" w:rsidRPr="00511C3A">
              <w:rPr>
                <w:rFonts w:asciiTheme="minorHAnsi" w:hAnsiTheme="minorHAnsi"/>
              </w:rPr>
              <w:t>a</w:t>
            </w:r>
            <w:r w:rsidR="006324BD">
              <w:rPr>
                <w:rFonts w:asciiTheme="minorHAnsi" w:hAnsiTheme="minorHAnsi"/>
              </w:rPr>
              <w:t>s a result of</w:t>
            </w:r>
            <w:r w:rsidR="006324BD" w:rsidRPr="00511C3A">
              <w:rPr>
                <w:rFonts w:asciiTheme="minorHAnsi" w:hAnsiTheme="minorHAnsi"/>
              </w:rPr>
              <w:t xml:space="preserve"> </w:t>
            </w:r>
            <w:r w:rsidR="00511C3A" w:rsidRPr="00511C3A">
              <w:rPr>
                <w:rFonts w:asciiTheme="minorHAnsi" w:hAnsiTheme="minorHAnsi"/>
              </w:rPr>
              <w:t>greater awareness of the condition, diagnostic criteria will develop and</w:t>
            </w:r>
            <w:r w:rsidR="00BF1E9C">
              <w:rPr>
                <w:rFonts w:asciiTheme="minorHAnsi" w:hAnsiTheme="minorHAnsi"/>
              </w:rPr>
              <w:t xml:space="preserve"> </w:t>
            </w:r>
            <w:r w:rsidR="00511C3A" w:rsidRPr="00511C3A">
              <w:rPr>
                <w:rFonts w:asciiTheme="minorHAnsi" w:hAnsiTheme="minorHAnsi"/>
              </w:rPr>
              <w:t>requests for antibody testing may increase. There is limited testing currently available within Australia, however, availability is likely to improve over time.</w:t>
            </w:r>
          </w:p>
        </w:tc>
      </w:tr>
      <w:tr w:rsidR="004A10A2" w:rsidRPr="00021243" w:rsidTr="008612AB">
        <w:tc>
          <w:tcPr>
            <w:tcW w:w="14601" w:type="dxa"/>
            <w:gridSpan w:val="8"/>
            <w:shd w:val="clear" w:color="auto" w:fill="F79646" w:themeFill="accent6"/>
          </w:tcPr>
          <w:p w:rsidR="004A10A2" w:rsidRDefault="004A10A2" w:rsidP="004A10A2">
            <w:pPr>
              <w:spacing w:before="120" w:after="120"/>
              <w:rPr>
                <w:rFonts w:asciiTheme="minorHAnsi" w:hAnsiTheme="minorHAnsi"/>
                <w:b/>
              </w:rPr>
            </w:pPr>
            <w:r w:rsidRPr="00BF6734">
              <w:rPr>
                <w:rFonts w:asciiTheme="minorHAnsi" w:hAnsiTheme="minorHAnsi"/>
                <w:b/>
              </w:rPr>
              <w:t xml:space="preserve">POTENTIAL IMPACT ON </w:t>
            </w:r>
            <w:r w:rsidR="007830E1">
              <w:rPr>
                <w:rFonts w:asciiTheme="minorHAnsi" w:hAnsiTheme="minorHAnsi"/>
                <w:b/>
              </w:rPr>
              <w:t xml:space="preserve">PATIENTS, </w:t>
            </w:r>
            <w:r w:rsidRPr="00BF6734">
              <w:rPr>
                <w:rFonts w:asciiTheme="minorHAnsi" w:hAnsiTheme="minorHAnsi"/>
                <w:b/>
              </w:rPr>
              <w:t>DEMAND</w:t>
            </w:r>
            <w:r w:rsidR="00695219">
              <w:rPr>
                <w:rFonts w:asciiTheme="minorHAnsi" w:hAnsiTheme="minorHAnsi"/>
                <w:b/>
              </w:rPr>
              <w:t xml:space="preserve"> AND EXPENDITURE</w:t>
            </w:r>
          </w:p>
        </w:tc>
      </w:tr>
      <w:tr w:rsidR="00511C3A" w:rsidRPr="00021243" w:rsidTr="00511C3A">
        <w:tc>
          <w:tcPr>
            <w:tcW w:w="2978" w:type="dxa"/>
            <w:gridSpan w:val="2"/>
            <w:shd w:val="clear" w:color="auto" w:fill="auto"/>
          </w:tcPr>
          <w:p w:rsidR="00511C3A" w:rsidRDefault="00511C3A" w:rsidP="004A10A2">
            <w:pPr>
              <w:spacing w:before="120" w:after="120"/>
              <w:rPr>
                <w:rFonts w:asciiTheme="minorHAnsi" w:hAnsiTheme="minorHAnsi"/>
                <w:b/>
              </w:rPr>
            </w:pPr>
            <w:r>
              <w:rPr>
                <w:rFonts w:asciiTheme="minorHAnsi" w:hAnsiTheme="minorHAnsi"/>
                <w:b/>
              </w:rPr>
              <w:t xml:space="preserve">Potential impact on patients: </w:t>
            </w:r>
          </w:p>
        </w:tc>
        <w:tc>
          <w:tcPr>
            <w:tcW w:w="11623" w:type="dxa"/>
            <w:gridSpan w:val="6"/>
            <w:shd w:val="clear" w:color="auto" w:fill="auto"/>
          </w:tcPr>
          <w:p w:rsidR="00607812" w:rsidRDefault="00607812" w:rsidP="001D7988">
            <w:pPr>
              <w:spacing w:before="120" w:after="120"/>
              <w:rPr>
                <w:rFonts w:asciiTheme="minorHAnsi" w:hAnsiTheme="minorHAnsi"/>
              </w:rPr>
            </w:pPr>
            <w:r>
              <w:rPr>
                <w:rFonts w:asciiTheme="minorHAnsi" w:hAnsiTheme="minorHAnsi"/>
              </w:rPr>
              <w:t xml:space="preserve">Under the changes communicated in 2015, patients with </w:t>
            </w:r>
            <w:r w:rsidRPr="00371AA8">
              <w:rPr>
                <w:rFonts w:asciiTheme="minorHAnsi" w:eastAsia="Times New Roman" w:hAnsiTheme="minorHAnsi" w:cs="Times New Roman"/>
                <w:bCs/>
                <w:lang w:eastAsia="en-AU"/>
              </w:rPr>
              <w:t>Potassium channel antibody-associated encephalopathy</w:t>
            </w:r>
            <w:r>
              <w:rPr>
                <w:rFonts w:asciiTheme="minorHAnsi" w:hAnsiTheme="minorHAnsi"/>
              </w:rPr>
              <w:t xml:space="preserve"> will be eligible to receive Ig therapy under the criteria for the condition ‘Antibody mediated</w:t>
            </w:r>
            <w:r w:rsidR="00DF3230">
              <w:rPr>
                <w:rFonts w:asciiTheme="minorHAnsi" w:hAnsiTheme="minorHAnsi"/>
              </w:rPr>
              <w:t xml:space="preserve"> autoimmune encephalitis’ (AMAE)</w:t>
            </w:r>
            <w:r>
              <w:rPr>
                <w:rFonts w:asciiTheme="minorHAnsi" w:hAnsiTheme="minorHAnsi"/>
              </w:rPr>
              <w:t xml:space="preserve"> as the condition has been renamed and broadened to include other disease groups. </w:t>
            </w:r>
            <w:r w:rsidR="001D7988">
              <w:rPr>
                <w:rFonts w:asciiTheme="minorHAnsi" w:hAnsiTheme="minorHAnsi"/>
              </w:rPr>
              <w:t xml:space="preserve">The formal access criteria proposed for </w:t>
            </w:r>
            <w:r>
              <w:rPr>
                <w:rFonts w:asciiTheme="minorHAnsi" w:hAnsiTheme="minorHAnsi"/>
              </w:rPr>
              <w:t>this condition</w:t>
            </w:r>
            <w:r w:rsidR="001D7988">
              <w:rPr>
                <w:rFonts w:asciiTheme="minorHAnsi" w:hAnsiTheme="minorHAnsi"/>
              </w:rPr>
              <w:t xml:space="preserve"> require that a neurologist</w:t>
            </w:r>
            <w:r w:rsidR="00175E75">
              <w:rPr>
                <w:rFonts w:asciiTheme="minorHAnsi" w:hAnsiTheme="minorHAnsi"/>
              </w:rPr>
              <w:t>,</w:t>
            </w:r>
            <w:r w:rsidR="001D7988">
              <w:rPr>
                <w:rFonts w:asciiTheme="minorHAnsi" w:hAnsiTheme="minorHAnsi"/>
              </w:rPr>
              <w:t xml:space="preserve"> </w:t>
            </w:r>
            <w:r w:rsidR="00175E75">
              <w:rPr>
                <w:rFonts w:asciiTheme="minorHAnsi" w:hAnsiTheme="minorHAnsi"/>
              </w:rPr>
              <w:t xml:space="preserve">who may be part of a wider clinical team including clinical immunologists, </w:t>
            </w:r>
            <w:r w:rsidR="001D7988">
              <w:rPr>
                <w:rFonts w:asciiTheme="minorHAnsi" w:hAnsiTheme="minorHAnsi"/>
              </w:rPr>
              <w:t>makes the diagnosis and manage</w:t>
            </w:r>
            <w:r w:rsidR="00175E75">
              <w:rPr>
                <w:rFonts w:asciiTheme="minorHAnsi" w:hAnsiTheme="minorHAnsi"/>
              </w:rPr>
              <w:t>s the treatment</w:t>
            </w:r>
            <w:r w:rsidR="001D7988">
              <w:rPr>
                <w:rFonts w:asciiTheme="minorHAnsi" w:hAnsiTheme="minorHAnsi"/>
              </w:rPr>
              <w:t>. This is because the condition is uncommon, can be misdiagnosed and it is important that the correct</w:t>
            </w:r>
            <w:r>
              <w:rPr>
                <w:rFonts w:asciiTheme="minorHAnsi" w:hAnsiTheme="minorHAnsi"/>
              </w:rPr>
              <w:t>,</w:t>
            </w:r>
            <w:r w:rsidR="001D7988">
              <w:rPr>
                <w:rFonts w:asciiTheme="minorHAnsi" w:hAnsiTheme="minorHAnsi"/>
              </w:rPr>
              <w:t xml:space="preserve"> early treatment is given to patients. Ig therapy is given at the same time as other treatments. </w:t>
            </w:r>
            <w:r w:rsidR="001D7988" w:rsidRPr="00E33020">
              <w:rPr>
                <w:rFonts w:asciiTheme="minorHAnsi" w:hAnsiTheme="minorHAnsi"/>
              </w:rPr>
              <w:t>The</w:t>
            </w:r>
            <w:r w:rsidR="001D7988">
              <w:rPr>
                <w:rFonts w:asciiTheme="minorHAnsi" w:hAnsiTheme="minorHAnsi"/>
              </w:rPr>
              <w:t>se criteria provide</w:t>
            </w:r>
            <w:r w:rsidR="001D7988" w:rsidRPr="00E33020">
              <w:rPr>
                <w:rFonts w:asciiTheme="minorHAnsi" w:hAnsiTheme="minorHAnsi"/>
              </w:rPr>
              <w:t xml:space="preserve"> greater guidance for prescribers by applying specific diagnostic criteria and </w:t>
            </w:r>
            <w:r w:rsidR="001D7988">
              <w:rPr>
                <w:rFonts w:asciiTheme="minorHAnsi" w:hAnsiTheme="minorHAnsi"/>
              </w:rPr>
              <w:t>ensuring that</w:t>
            </w:r>
            <w:r w:rsidR="001D7988" w:rsidRPr="00E33020">
              <w:rPr>
                <w:rFonts w:asciiTheme="minorHAnsi" w:hAnsiTheme="minorHAnsi"/>
              </w:rPr>
              <w:t xml:space="preserve"> second line treatment </w:t>
            </w:r>
            <w:r w:rsidR="001D7988">
              <w:rPr>
                <w:rFonts w:asciiTheme="minorHAnsi" w:hAnsiTheme="minorHAnsi"/>
              </w:rPr>
              <w:t xml:space="preserve">is started </w:t>
            </w:r>
            <w:r w:rsidR="001D7988" w:rsidRPr="00E33020">
              <w:rPr>
                <w:rFonts w:asciiTheme="minorHAnsi" w:hAnsiTheme="minorHAnsi"/>
              </w:rPr>
              <w:t>very early when patients do not respond to first line treatment</w:t>
            </w:r>
            <w:r w:rsidR="001D7988">
              <w:rPr>
                <w:rFonts w:asciiTheme="minorHAnsi" w:hAnsiTheme="minorHAnsi"/>
              </w:rPr>
              <w:t xml:space="preserve"> because this approach has been shown</w:t>
            </w:r>
            <w:r w:rsidR="001D7988" w:rsidRPr="00E33020">
              <w:rPr>
                <w:rFonts w:asciiTheme="minorHAnsi" w:hAnsiTheme="minorHAnsi"/>
              </w:rPr>
              <w:t xml:space="preserve"> to result in improved patient outcomes. </w:t>
            </w:r>
          </w:p>
          <w:p w:rsidR="001D7988" w:rsidRDefault="00607812" w:rsidP="001D7988">
            <w:pPr>
              <w:spacing w:before="120" w:after="120"/>
              <w:rPr>
                <w:rFonts w:asciiTheme="minorHAnsi" w:hAnsiTheme="minorHAnsi"/>
              </w:rPr>
            </w:pPr>
            <w:r>
              <w:rPr>
                <w:rFonts w:asciiTheme="minorHAnsi" w:hAnsiTheme="minorHAnsi"/>
              </w:rPr>
              <w:t>For existing patients on Ig maintenance therapy, six monthly reviews are required to assess the effectiveness of the treatment to improve or stabilise symptoms and the degree of disability. Given that patients will already require very regular review by their neurologist, this requirement will not place an added burden on patients. If an existing patient on ongoing treatment is not being managed by a neurologist, referral to a neurologist will be required. If Ig therapy has not been effective in stabilising symptoms, it will be ceased as a different treatment should be used. A trial of reducing dose and then stopping Ig therapy will be considered by doctors when patients are</w:t>
            </w:r>
            <w:r w:rsidR="004E00A9">
              <w:rPr>
                <w:rFonts w:asciiTheme="minorHAnsi" w:hAnsiTheme="minorHAnsi"/>
              </w:rPr>
              <w:t xml:space="preserve"> well and symptoms are stable. </w:t>
            </w:r>
            <w:r w:rsidR="001D7988">
              <w:rPr>
                <w:rFonts w:asciiTheme="minorHAnsi" w:hAnsiTheme="minorHAnsi"/>
              </w:rPr>
              <w:t xml:space="preserve"> </w:t>
            </w:r>
          </w:p>
          <w:p w:rsidR="00511C3A" w:rsidRDefault="00607812">
            <w:pPr>
              <w:spacing w:before="120" w:after="120"/>
              <w:rPr>
                <w:rFonts w:asciiTheme="minorHAnsi" w:hAnsiTheme="minorHAnsi"/>
                <w:b/>
              </w:rPr>
            </w:pPr>
            <w:r>
              <w:rPr>
                <w:rFonts w:asciiTheme="minorHAnsi" w:hAnsiTheme="minorHAnsi"/>
              </w:rPr>
              <w:t xml:space="preserve">New patients authorised to receive Ig therapy will require an initial check after the first three months of treatment to confirm that Ig therapy has been effective in improving the severity of symptoms and that the level of disability has not worsened. If improvement has been demonstrated after four months treatment, Ig maintenance therapy will be continued. If a response has not been demonstrated, a second medication must have been started and a further six months Ig therapy will be given. Further six monthly reviews will assess how effective the combination therapy has been to improve or stabilise the symptoms and ensure that no further worsening has occurred in disability. If the combination therapy has not been effective, Ig therapy </w:t>
            </w:r>
            <w:r>
              <w:rPr>
                <w:rFonts w:asciiTheme="minorHAnsi" w:hAnsiTheme="minorHAnsi"/>
              </w:rPr>
              <w:lastRenderedPageBreak/>
              <w:t>will be stopped and a different treatment approach will be required. The ongoing arrangements for maintenance therapy are as outlined above for existing patients</w:t>
            </w:r>
            <w:r w:rsidR="004E00A9">
              <w:rPr>
                <w:rFonts w:asciiTheme="minorHAnsi" w:hAnsiTheme="minorHAnsi"/>
              </w:rPr>
              <w:t xml:space="preserve">. </w:t>
            </w:r>
          </w:p>
        </w:tc>
      </w:tr>
      <w:tr w:rsidR="00511C3A" w:rsidRPr="00021243" w:rsidTr="00511C3A">
        <w:tc>
          <w:tcPr>
            <w:tcW w:w="2978" w:type="dxa"/>
            <w:gridSpan w:val="2"/>
            <w:shd w:val="clear" w:color="auto" w:fill="auto"/>
          </w:tcPr>
          <w:p w:rsidR="00511C3A" w:rsidRDefault="00511C3A" w:rsidP="004A10A2">
            <w:pPr>
              <w:spacing w:before="120" w:after="120"/>
              <w:rPr>
                <w:rFonts w:asciiTheme="minorHAnsi" w:hAnsiTheme="minorHAnsi"/>
                <w:b/>
              </w:rPr>
            </w:pPr>
            <w:r>
              <w:rPr>
                <w:rFonts w:asciiTheme="minorHAnsi" w:hAnsiTheme="minorHAnsi"/>
                <w:b/>
              </w:rPr>
              <w:lastRenderedPageBreak/>
              <w:t>Impact on demand:</w:t>
            </w:r>
          </w:p>
        </w:tc>
        <w:tc>
          <w:tcPr>
            <w:tcW w:w="11623" w:type="dxa"/>
            <w:gridSpan w:val="6"/>
            <w:shd w:val="clear" w:color="auto" w:fill="auto"/>
          </w:tcPr>
          <w:p w:rsidR="00511C3A" w:rsidRDefault="00511C3A" w:rsidP="006324BD">
            <w:pPr>
              <w:spacing w:before="120" w:after="120"/>
              <w:rPr>
                <w:rFonts w:asciiTheme="minorHAnsi" w:hAnsiTheme="minorHAnsi"/>
              </w:rPr>
            </w:pPr>
            <w:r>
              <w:rPr>
                <w:rFonts w:asciiTheme="minorHAnsi" w:hAnsiTheme="minorHAnsi"/>
              </w:rPr>
              <w:t xml:space="preserve">Potassium channel antibody-associated encephalopathy is one subgroup of </w:t>
            </w:r>
            <w:r w:rsidR="006324BD">
              <w:rPr>
                <w:rFonts w:asciiTheme="minorHAnsi" w:hAnsiTheme="minorHAnsi"/>
              </w:rPr>
              <w:t>conditions</w:t>
            </w:r>
            <w:r w:rsidR="006324BD" w:rsidDel="006324BD">
              <w:rPr>
                <w:rFonts w:asciiTheme="minorHAnsi" w:hAnsiTheme="minorHAnsi"/>
              </w:rPr>
              <w:t xml:space="preserve"> </w:t>
            </w:r>
            <w:r>
              <w:rPr>
                <w:rFonts w:asciiTheme="minorHAnsi" w:hAnsiTheme="minorHAnsi"/>
              </w:rPr>
              <w:t xml:space="preserve">now recognised under </w:t>
            </w:r>
            <w:r w:rsidR="006324BD">
              <w:rPr>
                <w:rFonts w:asciiTheme="minorHAnsi" w:hAnsiTheme="minorHAnsi"/>
              </w:rPr>
              <w:t xml:space="preserve">the diagnosis </w:t>
            </w:r>
            <w:r>
              <w:rPr>
                <w:rFonts w:asciiTheme="minorHAnsi" w:hAnsiTheme="minorHAnsi"/>
              </w:rPr>
              <w:t>AMAE</w:t>
            </w:r>
            <w:r w:rsidR="006324BD">
              <w:rPr>
                <w:rFonts w:asciiTheme="minorHAnsi" w:hAnsiTheme="minorHAnsi"/>
              </w:rPr>
              <w:t>,</w:t>
            </w:r>
            <w:r>
              <w:rPr>
                <w:rFonts w:asciiTheme="minorHAnsi" w:hAnsiTheme="minorHAnsi"/>
              </w:rPr>
              <w:t xml:space="preserve"> which has become increasingly recognised as a </w:t>
            </w:r>
            <w:r w:rsidR="006324BD">
              <w:rPr>
                <w:rFonts w:asciiTheme="minorHAnsi" w:hAnsiTheme="minorHAnsi"/>
              </w:rPr>
              <w:t>condition</w:t>
            </w:r>
            <w:r>
              <w:rPr>
                <w:rFonts w:asciiTheme="minorHAnsi" w:hAnsiTheme="minorHAnsi"/>
              </w:rPr>
              <w:t xml:space="preserve"> requiring Ig therapy as first line treatment. For </w:t>
            </w:r>
            <w:r w:rsidR="006324BD">
              <w:rPr>
                <w:rFonts w:asciiTheme="minorHAnsi" w:hAnsiTheme="minorHAnsi"/>
              </w:rPr>
              <w:t>this specific indication</w:t>
            </w:r>
            <w:r>
              <w:rPr>
                <w:rFonts w:asciiTheme="minorHAnsi" w:hAnsiTheme="minorHAnsi"/>
              </w:rPr>
              <w:t xml:space="preserve">, Ig use has been relatively stable over the last two years, with higher levels in the preceding two years.  </w:t>
            </w:r>
            <w:r w:rsidR="006324BD">
              <w:rPr>
                <w:rFonts w:asciiTheme="minorHAnsi" w:hAnsiTheme="minorHAnsi"/>
              </w:rPr>
              <w:t>D</w:t>
            </w:r>
            <w:r>
              <w:rPr>
                <w:rFonts w:asciiTheme="minorHAnsi" w:hAnsiTheme="minorHAnsi"/>
              </w:rPr>
              <w:t xml:space="preserve">emand for </w:t>
            </w:r>
            <w:r w:rsidR="006324BD">
              <w:rPr>
                <w:rFonts w:asciiTheme="minorHAnsi" w:hAnsiTheme="minorHAnsi"/>
              </w:rPr>
              <w:t xml:space="preserve">Ig for all conditions included under </w:t>
            </w:r>
            <w:r>
              <w:rPr>
                <w:rFonts w:asciiTheme="minorHAnsi" w:hAnsiTheme="minorHAnsi"/>
              </w:rPr>
              <w:t>AMAE is expected to continue to increase in line with the trend of previous years</w:t>
            </w:r>
            <w:r w:rsidR="006324BD">
              <w:rPr>
                <w:rFonts w:asciiTheme="minorHAnsi" w:hAnsiTheme="minorHAnsi"/>
              </w:rPr>
              <w:t>, although this may be partially offset by the requirement to meet formal diagnostic and review criteria, and the introduction of trials of weaning</w:t>
            </w:r>
            <w:r>
              <w:rPr>
                <w:rFonts w:asciiTheme="minorHAnsi" w:hAnsiTheme="minorHAnsi"/>
              </w:rPr>
              <w:t>.</w:t>
            </w:r>
          </w:p>
        </w:tc>
      </w:tr>
      <w:tr w:rsidR="005546C9" w:rsidRPr="00853117" w:rsidTr="005546C9">
        <w:tc>
          <w:tcPr>
            <w:tcW w:w="2161" w:type="dxa"/>
            <w:shd w:val="clear" w:color="auto" w:fill="auto"/>
          </w:tcPr>
          <w:p w:rsidR="005546C9" w:rsidRPr="00C92149" w:rsidRDefault="005546C9" w:rsidP="004A10A2">
            <w:pPr>
              <w:spacing w:before="120" w:after="120"/>
              <w:rPr>
                <w:rFonts w:asciiTheme="minorHAnsi" w:hAnsiTheme="minorHAnsi"/>
                <w:b/>
                <w:sz w:val="18"/>
                <w:szCs w:val="18"/>
              </w:rPr>
            </w:pPr>
          </w:p>
        </w:tc>
        <w:tc>
          <w:tcPr>
            <w:tcW w:w="1384" w:type="dxa"/>
            <w:gridSpan w:val="2"/>
            <w:shd w:val="clear" w:color="auto" w:fill="auto"/>
          </w:tcPr>
          <w:p w:rsidR="005546C9" w:rsidRPr="00C92149" w:rsidRDefault="005546C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2011-12</w:t>
            </w:r>
          </w:p>
        </w:tc>
        <w:tc>
          <w:tcPr>
            <w:tcW w:w="1593" w:type="dxa"/>
            <w:shd w:val="clear" w:color="auto" w:fill="auto"/>
          </w:tcPr>
          <w:p w:rsidR="005546C9" w:rsidRPr="00C92149" w:rsidRDefault="005546C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2012-13</w:t>
            </w:r>
          </w:p>
        </w:tc>
        <w:tc>
          <w:tcPr>
            <w:tcW w:w="1667" w:type="dxa"/>
            <w:shd w:val="clear" w:color="auto" w:fill="auto"/>
          </w:tcPr>
          <w:p w:rsidR="005546C9" w:rsidRPr="00C92149" w:rsidRDefault="005546C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2013-14</w:t>
            </w:r>
          </w:p>
        </w:tc>
        <w:tc>
          <w:tcPr>
            <w:tcW w:w="1701" w:type="dxa"/>
            <w:shd w:val="clear" w:color="auto" w:fill="auto"/>
          </w:tcPr>
          <w:p w:rsidR="005546C9" w:rsidRPr="00C92149" w:rsidRDefault="005546C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2014-15</w:t>
            </w:r>
          </w:p>
        </w:tc>
        <w:tc>
          <w:tcPr>
            <w:tcW w:w="1701" w:type="dxa"/>
            <w:shd w:val="clear" w:color="auto" w:fill="auto"/>
          </w:tcPr>
          <w:p w:rsidR="005546C9" w:rsidRPr="005546C9" w:rsidRDefault="005546C9" w:rsidP="005546C9">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2015-16</w:t>
            </w:r>
          </w:p>
        </w:tc>
        <w:tc>
          <w:tcPr>
            <w:tcW w:w="4394" w:type="dxa"/>
            <w:vMerge w:val="restart"/>
            <w:shd w:val="clear" w:color="auto" w:fill="auto"/>
          </w:tcPr>
          <w:p w:rsidR="005546C9" w:rsidRPr="00475BC3" w:rsidRDefault="005546C9" w:rsidP="005546C9">
            <w:pPr>
              <w:rPr>
                <w:rFonts w:asciiTheme="minorHAnsi" w:hAnsiTheme="minorHAnsi"/>
                <w:sz w:val="18"/>
                <w:szCs w:val="18"/>
              </w:rPr>
            </w:pPr>
          </w:p>
          <w:p w:rsidR="005546C9" w:rsidRPr="00475BC3" w:rsidRDefault="005546C9" w:rsidP="005546C9">
            <w:pPr>
              <w:rPr>
                <w:rFonts w:asciiTheme="minorHAnsi" w:hAnsiTheme="minorHAnsi"/>
                <w:sz w:val="18"/>
                <w:szCs w:val="18"/>
              </w:rPr>
            </w:pPr>
            <w:r w:rsidRPr="00475BC3">
              <w:rPr>
                <w:rFonts w:asciiTheme="minorHAnsi" w:hAnsiTheme="minorHAnsi"/>
                <w:sz w:val="18"/>
                <w:szCs w:val="18"/>
              </w:rPr>
              <w:t xml:space="preserve">The </w:t>
            </w:r>
            <w:r w:rsidR="00F631BD">
              <w:rPr>
                <w:rFonts w:asciiTheme="minorHAnsi" w:hAnsiTheme="minorHAnsi"/>
                <w:sz w:val="18"/>
                <w:szCs w:val="18"/>
              </w:rPr>
              <w:t>Specialist Working Group</w:t>
            </w:r>
            <w:r w:rsidR="00F631BD" w:rsidRPr="00475BC3">
              <w:rPr>
                <w:rFonts w:asciiTheme="minorHAnsi" w:hAnsiTheme="minorHAnsi"/>
                <w:sz w:val="18"/>
                <w:szCs w:val="18"/>
              </w:rPr>
              <w:t xml:space="preserve"> </w:t>
            </w:r>
            <w:r w:rsidRPr="00475BC3">
              <w:rPr>
                <w:rFonts w:asciiTheme="minorHAnsi" w:hAnsiTheme="minorHAnsi"/>
                <w:sz w:val="18"/>
                <w:szCs w:val="18"/>
              </w:rPr>
              <w:t>estimated magnitude of effect:</w:t>
            </w:r>
          </w:p>
          <w:p w:rsidR="005546C9" w:rsidRPr="00475BC3" w:rsidRDefault="005546C9" w:rsidP="008B2304">
            <w:pPr>
              <w:ind w:left="34"/>
              <w:rPr>
                <w:rFonts w:asciiTheme="minorHAnsi" w:hAnsiTheme="minorHAnsi"/>
                <w:sz w:val="18"/>
                <w:szCs w:val="18"/>
              </w:rPr>
            </w:pPr>
            <w:r w:rsidRPr="00475BC3">
              <w:rPr>
                <w:rFonts w:asciiTheme="minorHAnsi" w:hAnsiTheme="minorHAnsi"/>
                <w:sz w:val="18"/>
                <w:szCs w:val="18"/>
              </w:rPr>
              <w:t>No impact</w:t>
            </w:r>
            <w:r w:rsidR="001D2244">
              <w:rPr>
                <w:rFonts w:asciiTheme="minorHAnsi" w:hAnsiTheme="minorHAnsi"/>
                <w:sz w:val="18"/>
                <w:szCs w:val="18"/>
              </w:rPr>
              <w:t xml:space="preserve"> against projected demand</w:t>
            </w:r>
          </w:p>
          <w:p w:rsidR="005546C9" w:rsidRPr="00C92149" w:rsidRDefault="005546C9" w:rsidP="004A10A2">
            <w:pPr>
              <w:spacing w:before="120" w:after="120"/>
              <w:rPr>
                <w:rFonts w:asciiTheme="minorHAnsi" w:hAnsiTheme="minorHAnsi"/>
                <w:b/>
                <w:sz w:val="18"/>
                <w:szCs w:val="18"/>
              </w:rPr>
            </w:pPr>
          </w:p>
        </w:tc>
      </w:tr>
      <w:tr w:rsidR="005546C9" w:rsidRPr="00853117" w:rsidTr="005546C9">
        <w:tc>
          <w:tcPr>
            <w:tcW w:w="2161" w:type="dxa"/>
            <w:shd w:val="clear" w:color="auto" w:fill="auto"/>
          </w:tcPr>
          <w:p w:rsidR="005546C9" w:rsidRPr="00C92149" w:rsidRDefault="005546C9" w:rsidP="004A10A2">
            <w:pPr>
              <w:spacing w:before="120" w:after="120"/>
              <w:rPr>
                <w:rFonts w:asciiTheme="minorHAnsi" w:hAnsiTheme="minorHAnsi"/>
                <w:b/>
                <w:sz w:val="18"/>
                <w:szCs w:val="18"/>
              </w:rPr>
            </w:pPr>
            <w:r w:rsidRPr="00C92149">
              <w:rPr>
                <w:rFonts w:asciiTheme="minorHAnsi" w:hAnsiTheme="minorHAnsi" w:cs="Helvetica"/>
                <w:b/>
                <w:color w:val="333333"/>
                <w:sz w:val="18"/>
                <w:szCs w:val="18"/>
              </w:rPr>
              <w:t>Patient number</w:t>
            </w:r>
          </w:p>
        </w:tc>
        <w:tc>
          <w:tcPr>
            <w:tcW w:w="1384" w:type="dxa"/>
            <w:gridSpan w:val="2"/>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75</w:t>
            </w:r>
          </w:p>
        </w:tc>
        <w:tc>
          <w:tcPr>
            <w:tcW w:w="1593" w:type="dxa"/>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45</w:t>
            </w:r>
          </w:p>
        </w:tc>
        <w:tc>
          <w:tcPr>
            <w:tcW w:w="1667" w:type="dxa"/>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34</w:t>
            </w:r>
          </w:p>
        </w:tc>
        <w:tc>
          <w:tcPr>
            <w:tcW w:w="1701" w:type="dxa"/>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29</w:t>
            </w:r>
          </w:p>
        </w:tc>
        <w:tc>
          <w:tcPr>
            <w:tcW w:w="1701" w:type="dxa"/>
            <w:shd w:val="clear" w:color="auto" w:fill="auto"/>
          </w:tcPr>
          <w:p w:rsidR="005546C9" w:rsidRPr="005546C9" w:rsidRDefault="004808C5"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25</w:t>
            </w:r>
          </w:p>
        </w:tc>
        <w:tc>
          <w:tcPr>
            <w:tcW w:w="4394" w:type="dxa"/>
            <w:vMerge/>
            <w:shd w:val="clear" w:color="auto" w:fill="auto"/>
          </w:tcPr>
          <w:p w:rsidR="005546C9" w:rsidRPr="00C92149" w:rsidRDefault="005546C9" w:rsidP="004A10A2">
            <w:pPr>
              <w:spacing w:before="120" w:after="120"/>
              <w:rPr>
                <w:rFonts w:asciiTheme="minorHAnsi" w:hAnsiTheme="minorHAnsi"/>
                <w:b/>
                <w:sz w:val="18"/>
                <w:szCs w:val="18"/>
              </w:rPr>
            </w:pPr>
          </w:p>
        </w:tc>
      </w:tr>
      <w:tr w:rsidR="005546C9" w:rsidRPr="00853117" w:rsidTr="005546C9">
        <w:trPr>
          <w:trHeight w:val="535"/>
        </w:trPr>
        <w:tc>
          <w:tcPr>
            <w:tcW w:w="2161" w:type="dxa"/>
            <w:shd w:val="clear" w:color="auto" w:fill="auto"/>
          </w:tcPr>
          <w:p w:rsidR="005546C9" w:rsidRPr="00C92149" w:rsidRDefault="005546C9" w:rsidP="004A10A2">
            <w:pPr>
              <w:spacing w:before="120" w:after="120"/>
              <w:rPr>
                <w:rFonts w:asciiTheme="minorHAnsi" w:hAnsiTheme="minorHAnsi"/>
                <w:b/>
                <w:sz w:val="18"/>
                <w:szCs w:val="18"/>
              </w:rPr>
            </w:pPr>
            <w:r w:rsidRPr="00C92149">
              <w:rPr>
                <w:rFonts w:asciiTheme="minorHAnsi" w:hAnsiTheme="minorHAnsi"/>
                <w:b/>
                <w:sz w:val="18"/>
                <w:szCs w:val="18"/>
              </w:rPr>
              <w:t>Total Grams issued</w:t>
            </w:r>
          </w:p>
        </w:tc>
        <w:tc>
          <w:tcPr>
            <w:tcW w:w="1384" w:type="dxa"/>
            <w:gridSpan w:val="2"/>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20,068</w:t>
            </w:r>
          </w:p>
        </w:tc>
        <w:tc>
          <w:tcPr>
            <w:tcW w:w="1593" w:type="dxa"/>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13,218</w:t>
            </w:r>
          </w:p>
        </w:tc>
        <w:tc>
          <w:tcPr>
            <w:tcW w:w="1667" w:type="dxa"/>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9,909</w:t>
            </w:r>
          </w:p>
        </w:tc>
        <w:tc>
          <w:tcPr>
            <w:tcW w:w="1701" w:type="dxa"/>
            <w:shd w:val="clear" w:color="auto" w:fill="auto"/>
          </w:tcPr>
          <w:p w:rsidR="005546C9" w:rsidRPr="00C92149" w:rsidRDefault="004808C5" w:rsidP="004A10A2">
            <w:pPr>
              <w:spacing w:before="120" w:after="120"/>
              <w:rPr>
                <w:rFonts w:asciiTheme="minorHAnsi" w:hAnsiTheme="minorHAnsi"/>
                <w:b/>
                <w:sz w:val="18"/>
                <w:szCs w:val="18"/>
              </w:rPr>
            </w:pPr>
            <w:r>
              <w:rPr>
                <w:rFonts w:asciiTheme="minorHAnsi" w:hAnsiTheme="minorHAnsi"/>
                <w:b/>
                <w:sz w:val="18"/>
                <w:szCs w:val="18"/>
              </w:rPr>
              <w:t>9,396</w:t>
            </w:r>
          </w:p>
        </w:tc>
        <w:tc>
          <w:tcPr>
            <w:tcW w:w="1701" w:type="dxa"/>
            <w:shd w:val="clear" w:color="auto" w:fill="auto"/>
          </w:tcPr>
          <w:p w:rsidR="005546C9" w:rsidRPr="005546C9" w:rsidRDefault="004808C5"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9,421</w:t>
            </w:r>
          </w:p>
        </w:tc>
        <w:tc>
          <w:tcPr>
            <w:tcW w:w="4394" w:type="dxa"/>
            <w:vMerge/>
            <w:shd w:val="clear" w:color="auto" w:fill="auto"/>
          </w:tcPr>
          <w:p w:rsidR="005546C9" w:rsidRPr="00C92149" w:rsidRDefault="005546C9" w:rsidP="004A10A2">
            <w:pPr>
              <w:spacing w:before="120" w:after="120"/>
              <w:rPr>
                <w:rFonts w:asciiTheme="minorHAnsi" w:hAnsiTheme="minorHAnsi"/>
                <w:b/>
                <w:sz w:val="18"/>
                <w:szCs w:val="18"/>
              </w:rPr>
            </w:pPr>
          </w:p>
        </w:tc>
      </w:tr>
      <w:tr w:rsidR="005546C9" w:rsidRPr="00853117" w:rsidTr="005546C9">
        <w:tc>
          <w:tcPr>
            <w:tcW w:w="2161" w:type="dxa"/>
            <w:shd w:val="clear" w:color="auto" w:fill="auto"/>
          </w:tcPr>
          <w:p w:rsidR="005546C9" w:rsidRPr="00C92149" w:rsidRDefault="005546C9" w:rsidP="004A10A2">
            <w:pPr>
              <w:spacing w:before="120" w:after="120"/>
              <w:rPr>
                <w:rFonts w:asciiTheme="minorHAnsi" w:hAnsiTheme="minorHAnsi"/>
                <w:b/>
                <w:sz w:val="18"/>
                <w:szCs w:val="18"/>
              </w:rPr>
            </w:pPr>
            <w:r w:rsidRPr="00C92149">
              <w:rPr>
                <w:rFonts w:asciiTheme="minorHAnsi" w:hAnsiTheme="minorHAnsi"/>
                <w:b/>
                <w:sz w:val="18"/>
                <w:szCs w:val="18"/>
              </w:rPr>
              <w:t>% Total Grams issued</w:t>
            </w:r>
          </w:p>
        </w:tc>
        <w:tc>
          <w:tcPr>
            <w:tcW w:w="1384" w:type="dxa"/>
            <w:gridSpan w:val="2"/>
            <w:shd w:val="clear" w:color="auto" w:fill="auto"/>
          </w:tcPr>
          <w:p w:rsidR="005546C9" w:rsidRPr="00C92149" w:rsidRDefault="001D4C22" w:rsidP="004A10A2">
            <w:pPr>
              <w:spacing w:before="120" w:after="120"/>
              <w:rPr>
                <w:rFonts w:asciiTheme="minorHAnsi" w:hAnsiTheme="minorHAnsi"/>
                <w:b/>
                <w:sz w:val="18"/>
                <w:szCs w:val="18"/>
              </w:rPr>
            </w:pPr>
            <w:r>
              <w:rPr>
                <w:rFonts w:asciiTheme="minorHAnsi" w:hAnsiTheme="minorHAnsi"/>
                <w:b/>
                <w:sz w:val="18"/>
                <w:szCs w:val="18"/>
              </w:rPr>
              <w:t>0.61</w:t>
            </w:r>
            <w:r w:rsidR="004808C5">
              <w:rPr>
                <w:rFonts w:asciiTheme="minorHAnsi" w:hAnsiTheme="minorHAnsi"/>
                <w:b/>
                <w:sz w:val="18"/>
                <w:szCs w:val="18"/>
              </w:rPr>
              <w:t>%</w:t>
            </w:r>
          </w:p>
        </w:tc>
        <w:tc>
          <w:tcPr>
            <w:tcW w:w="1593" w:type="dxa"/>
            <w:shd w:val="clear" w:color="auto" w:fill="auto"/>
          </w:tcPr>
          <w:p w:rsidR="005546C9" w:rsidRPr="00C92149" w:rsidRDefault="001D4C22" w:rsidP="004A10A2">
            <w:pPr>
              <w:spacing w:before="120" w:after="120"/>
              <w:rPr>
                <w:rFonts w:asciiTheme="minorHAnsi" w:hAnsiTheme="minorHAnsi"/>
                <w:b/>
                <w:sz w:val="18"/>
                <w:szCs w:val="18"/>
              </w:rPr>
            </w:pPr>
            <w:r>
              <w:rPr>
                <w:rFonts w:asciiTheme="minorHAnsi" w:hAnsiTheme="minorHAnsi"/>
                <w:b/>
                <w:sz w:val="18"/>
                <w:szCs w:val="18"/>
              </w:rPr>
              <w:t>0.3</w:t>
            </w:r>
            <w:r w:rsidR="005D7004">
              <w:rPr>
                <w:rFonts w:asciiTheme="minorHAnsi" w:hAnsiTheme="minorHAnsi"/>
                <w:b/>
                <w:sz w:val="18"/>
                <w:szCs w:val="18"/>
              </w:rPr>
              <w:t>7</w:t>
            </w:r>
            <w:r w:rsidR="004808C5">
              <w:rPr>
                <w:rFonts w:asciiTheme="minorHAnsi" w:hAnsiTheme="minorHAnsi"/>
                <w:b/>
                <w:sz w:val="18"/>
                <w:szCs w:val="18"/>
              </w:rPr>
              <w:t>%</w:t>
            </w:r>
          </w:p>
        </w:tc>
        <w:tc>
          <w:tcPr>
            <w:tcW w:w="1667" w:type="dxa"/>
            <w:shd w:val="clear" w:color="auto" w:fill="auto"/>
          </w:tcPr>
          <w:p w:rsidR="005546C9" w:rsidRPr="00C92149" w:rsidRDefault="001D4C22" w:rsidP="004808C5">
            <w:pPr>
              <w:spacing w:before="120" w:after="120" w:line="360" w:lineRule="auto"/>
              <w:rPr>
                <w:rFonts w:asciiTheme="minorHAnsi" w:hAnsiTheme="minorHAnsi"/>
                <w:b/>
                <w:sz w:val="18"/>
                <w:szCs w:val="18"/>
              </w:rPr>
            </w:pPr>
            <w:r>
              <w:rPr>
                <w:rFonts w:asciiTheme="minorHAnsi" w:hAnsiTheme="minorHAnsi"/>
                <w:b/>
                <w:sz w:val="18"/>
                <w:szCs w:val="18"/>
              </w:rPr>
              <w:t>0.2</w:t>
            </w:r>
            <w:r w:rsidR="005D7004">
              <w:rPr>
                <w:rFonts w:asciiTheme="minorHAnsi" w:hAnsiTheme="minorHAnsi"/>
                <w:b/>
                <w:sz w:val="18"/>
                <w:szCs w:val="18"/>
              </w:rPr>
              <w:t>5</w:t>
            </w:r>
            <w:r w:rsidR="004808C5">
              <w:rPr>
                <w:rFonts w:asciiTheme="minorHAnsi" w:hAnsiTheme="minorHAnsi"/>
                <w:b/>
                <w:sz w:val="18"/>
                <w:szCs w:val="18"/>
              </w:rPr>
              <w:t>%</w:t>
            </w:r>
          </w:p>
        </w:tc>
        <w:tc>
          <w:tcPr>
            <w:tcW w:w="1701" w:type="dxa"/>
            <w:shd w:val="clear" w:color="auto" w:fill="auto"/>
          </w:tcPr>
          <w:p w:rsidR="005546C9" w:rsidRPr="00C92149" w:rsidRDefault="001D4C22" w:rsidP="004808C5">
            <w:pPr>
              <w:spacing w:before="120" w:after="120" w:line="360" w:lineRule="auto"/>
              <w:rPr>
                <w:rFonts w:asciiTheme="minorHAnsi" w:hAnsiTheme="minorHAnsi"/>
                <w:b/>
                <w:sz w:val="18"/>
                <w:szCs w:val="18"/>
              </w:rPr>
            </w:pPr>
            <w:r>
              <w:rPr>
                <w:rFonts w:asciiTheme="minorHAnsi" w:hAnsiTheme="minorHAnsi"/>
                <w:b/>
                <w:sz w:val="18"/>
                <w:szCs w:val="18"/>
              </w:rPr>
              <w:t>0.21</w:t>
            </w:r>
            <w:r w:rsidR="004808C5">
              <w:rPr>
                <w:rFonts w:asciiTheme="minorHAnsi" w:hAnsiTheme="minorHAnsi"/>
                <w:b/>
                <w:sz w:val="18"/>
                <w:szCs w:val="18"/>
              </w:rPr>
              <w:t>%</w:t>
            </w:r>
          </w:p>
        </w:tc>
        <w:tc>
          <w:tcPr>
            <w:tcW w:w="1701" w:type="dxa"/>
            <w:shd w:val="clear" w:color="auto" w:fill="auto"/>
          </w:tcPr>
          <w:p w:rsidR="005546C9" w:rsidRPr="005546C9" w:rsidRDefault="00F919B3" w:rsidP="004A10A2">
            <w:pPr>
              <w:spacing w:before="120" w:after="120"/>
              <w:rPr>
                <w:rFonts w:asciiTheme="minorHAnsi" w:hAnsiTheme="minorHAnsi" w:cs="Helvetica"/>
                <w:b/>
                <w:color w:val="333333"/>
                <w:sz w:val="18"/>
                <w:szCs w:val="18"/>
              </w:rPr>
            </w:pPr>
            <w:r>
              <w:rPr>
                <w:rFonts w:asciiTheme="minorHAnsi" w:hAnsiTheme="minorHAnsi" w:cs="Helvetica"/>
                <w:b/>
                <w:color w:val="333333"/>
                <w:sz w:val="18"/>
                <w:szCs w:val="18"/>
              </w:rPr>
              <w:t>0.1</w:t>
            </w:r>
            <w:r w:rsidR="005D7004">
              <w:rPr>
                <w:rFonts w:asciiTheme="minorHAnsi" w:hAnsiTheme="minorHAnsi" w:cs="Helvetica"/>
                <w:b/>
                <w:color w:val="333333"/>
                <w:sz w:val="18"/>
                <w:szCs w:val="18"/>
              </w:rPr>
              <w:t>9</w:t>
            </w:r>
            <w:r w:rsidR="004808C5">
              <w:rPr>
                <w:rFonts w:asciiTheme="minorHAnsi" w:hAnsiTheme="minorHAnsi" w:cs="Helvetica"/>
                <w:b/>
                <w:color w:val="333333"/>
                <w:sz w:val="18"/>
                <w:szCs w:val="18"/>
              </w:rPr>
              <w:t>%</w:t>
            </w:r>
          </w:p>
        </w:tc>
        <w:tc>
          <w:tcPr>
            <w:tcW w:w="4394" w:type="dxa"/>
            <w:vMerge/>
            <w:shd w:val="clear" w:color="auto" w:fill="auto"/>
          </w:tcPr>
          <w:p w:rsidR="005546C9" w:rsidRPr="00C92149" w:rsidRDefault="005546C9" w:rsidP="004A10A2">
            <w:pPr>
              <w:spacing w:before="120" w:after="120"/>
              <w:rPr>
                <w:rFonts w:asciiTheme="minorHAnsi" w:hAnsiTheme="minorHAnsi"/>
                <w:b/>
                <w:sz w:val="18"/>
                <w:szCs w:val="18"/>
              </w:rPr>
            </w:pPr>
          </w:p>
        </w:tc>
      </w:tr>
      <w:tr w:rsidR="001C45B4" w:rsidRPr="00021243" w:rsidTr="005D45E6">
        <w:tc>
          <w:tcPr>
            <w:tcW w:w="14601" w:type="dxa"/>
            <w:gridSpan w:val="8"/>
            <w:shd w:val="clear" w:color="auto" w:fill="F79646" w:themeFill="accent6"/>
          </w:tcPr>
          <w:p w:rsidR="001C45B4" w:rsidRDefault="007F6E4D" w:rsidP="005D45E6">
            <w:pPr>
              <w:spacing w:before="120" w:after="120"/>
              <w:rPr>
                <w:rFonts w:asciiTheme="minorHAnsi" w:hAnsiTheme="minorHAnsi"/>
                <w:b/>
              </w:rPr>
            </w:pPr>
            <w:r>
              <w:rPr>
                <w:rFonts w:asciiTheme="minorHAnsi" w:hAnsiTheme="minorHAnsi"/>
                <w:b/>
              </w:rPr>
              <w:t xml:space="preserve">Specialist Working Group  </w:t>
            </w:r>
            <w:r w:rsidR="00AA19C1">
              <w:rPr>
                <w:rFonts w:asciiTheme="minorHAnsi" w:hAnsiTheme="minorHAnsi"/>
                <w:b/>
              </w:rPr>
              <w:t xml:space="preserve">knowledge </w:t>
            </w:r>
            <w:r w:rsidR="001C45B4">
              <w:rPr>
                <w:rFonts w:asciiTheme="minorHAnsi" w:hAnsiTheme="minorHAnsi"/>
                <w:b/>
              </w:rPr>
              <w:t>development opportunities and recommendations</w:t>
            </w:r>
            <w:r w:rsidR="00511C3A">
              <w:rPr>
                <w:rFonts w:asciiTheme="minorHAnsi" w:hAnsiTheme="minorHAnsi"/>
                <w:b/>
              </w:rPr>
              <w:t xml:space="preserve"> relevant to the transition to </w:t>
            </w:r>
            <w:r w:rsidR="000C21C0">
              <w:rPr>
                <w:rFonts w:asciiTheme="minorHAnsi" w:hAnsiTheme="minorHAnsi"/>
                <w:b/>
              </w:rPr>
              <w:t>v</w:t>
            </w:r>
            <w:r w:rsidR="00511C3A">
              <w:rPr>
                <w:rFonts w:asciiTheme="minorHAnsi" w:hAnsiTheme="minorHAnsi"/>
                <w:b/>
              </w:rPr>
              <w:t>3</w:t>
            </w:r>
            <w:r w:rsidR="00BF1E9C">
              <w:rPr>
                <w:rFonts w:asciiTheme="minorHAnsi" w:hAnsiTheme="minorHAnsi"/>
                <w:b/>
              </w:rPr>
              <w:t>.0</w:t>
            </w:r>
          </w:p>
        </w:tc>
      </w:tr>
      <w:tr w:rsidR="001C45B4" w:rsidRPr="00021243" w:rsidTr="005D45E6">
        <w:tc>
          <w:tcPr>
            <w:tcW w:w="14601" w:type="dxa"/>
            <w:gridSpan w:val="8"/>
            <w:shd w:val="clear" w:color="auto" w:fill="auto"/>
          </w:tcPr>
          <w:p w:rsidR="001C45B4" w:rsidRPr="002506FF" w:rsidRDefault="00F000D7" w:rsidP="005051C7">
            <w:pPr>
              <w:spacing w:before="120" w:after="120"/>
              <w:rPr>
                <w:rFonts w:asciiTheme="minorHAnsi" w:hAnsiTheme="minorHAnsi"/>
              </w:rPr>
            </w:pPr>
            <w:r>
              <w:rPr>
                <w:rFonts w:asciiTheme="minorHAnsi" w:hAnsiTheme="minorHAnsi"/>
              </w:rPr>
              <w:t>None identified at this stage</w:t>
            </w:r>
          </w:p>
        </w:tc>
      </w:tr>
    </w:tbl>
    <w:p w:rsidR="00447869" w:rsidRDefault="00447869" w:rsidP="00FD2CCD"/>
    <w:tbl>
      <w:tblPr>
        <w:tblStyle w:val="TableGrid"/>
        <w:tblW w:w="14601" w:type="dxa"/>
        <w:tblInd w:w="-318" w:type="dxa"/>
        <w:tblLook w:val="04A0" w:firstRow="1" w:lastRow="0" w:firstColumn="1" w:lastColumn="0" w:noHBand="0" w:noVBand="1"/>
      </w:tblPr>
      <w:tblGrid>
        <w:gridCol w:w="14601"/>
      </w:tblGrid>
      <w:tr w:rsidR="002506FF" w:rsidRPr="00021243" w:rsidTr="009F1DFC">
        <w:tc>
          <w:tcPr>
            <w:tcW w:w="14601" w:type="dxa"/>
          </w:tcPr>
          <w:p w:rsidR="002506FF" w:rsidRDefault="002506FF" w:rsidP="002506FF">
            <w:pPr>
              <w:spacing w:before="120" w:after="120"/>
              <w:jc w:val="center"/>
              <w:rPr>
                <w:rFonts w:asciiTheme="minorHAnsi" w:hAnsiTheme="minorHAnsi"/>
                <w:b/>
              </w:rPr>
            </w:pPr>
            <w:r w:rsidRPr="00021243">
              <w:rPr>
                <w:rFonts w:asciiTheme="minorHAnsi" w:hAnsiTheme="minorHAnsi"/>
                <w:b/>
              </w:rPr>
              <w:t xml:space="preserve">END OF </w:t>
            </w:r>
            <w:r w:rsidR="00010C9E">
              <w:rPr>
                <w:rFonts w:asciiTheme="minorHAnsi" w:hAnsiTheme="minorHAnsi"/>
                <w:b/>
              </w:rPr>
              <w:t>PUBLIC CONSULTATION</w:t>
            </w:r>
            <w:r>
              <w:rPr>
                <w:rFonts w:asciiTheme="minorHAnsi" w:hAnsiTheme="minorHAnsi"/>
                <w:b/>
              </w:rPr>
              <w:t xml:space="preserve"> DOCUMENT</w:t>
            </w:r>
          </w:p>
          <w:p w:rsidR="000E09C4" w:rsidRPr="00021243" w:rsidRDefault="00010C9E" w:rsidP="00010C9E">
            <w:pPr>
              <w:spacing w:before="120" w:after="120"/>
              <w:jc w:val="center"/>
              <w:rPr>
                <w:rFonts w:asciiTheme="minorHAnsi" w:hAnsiTheme="minorHAnsi"/>
                <w:b/>
              </w:rPr>
            </w:pPr>
            <w:r>
              <w:rPr>
                <w:rFonts w:asciiTheme="minorHAnsi" w:hAnsiTheme="minorHAnsi"/>
                <w:b/>
              </w:rPr>
              <w:t>Next review</w:t>
            </w:r>
            <w:r w:rsidR="00511C3A">
              <w:rPr>
                <w:rFonts w:asciiTheme="minorHAnsi" w:hAnsiTheme="minorHAnsi"/>
                <w:b/>
              </w:rPr>
              <w:t>:</w:t>
            </w:r>
            <w:r w:rsidR="000E09C4">
              <w:rPr>
                <w:rFonts w:asciiTheme="minorHAnsi" w:hAnsiTheme="minorHAnsi"/>
                <w:b/>
              </w:rPr>
              <w:t xml:space="preserve"> </w:t>
            </w:r>
            <w:r w:rsidR="00A06C2B" w:rsidRPr="00A06C2B">
              <w:rPr>
                <w:rFonts w:asciiTheme="minorHAnsi" w:hAnsiTheme="minorHAnsi"/>
                <w:b/>
              </w:rPr>
              <w:t>Review will be undertaken as part of AMAE</w:t>
            </w:r>
          </w:p>
        </w:tc>
      </w:tr>
    </w:tbl>
    <w:p w:rsidR="009C1E09" w:rsidRDefault="009C1E09" w:rsidP="002506FF">
      <w:pPr>
        <w:jc w:val="center"/>
      </w:pPr>
    </w:p>
    <w:p w:rsidR="006627B5" w:rsidRPr="00FD2CCD" w:rsidRDefault="006627B5" w:rsidP="007830E1">
      <w:pPr>
        <w:spacing w:line="276" w:lineRule="auto"/>
      </w:pPr>
    </w:p>
    <w:sectPr w:rsidR="006627B5" w:rsidRPr="00FD2CCD" w:rsidSect="000E09C4">
      <w:headerReference w:type="default" r:id="rId11"/>
      <w:footerReference w:type="default" r:id="rId12"/>
      <w:headerReference w:type="first" r:id="rId13"/>
      <w:footerReference w:type="first" r:id="rId14"/>
      <w:pgSz w:w="16839" w:h="11907" w:orient="landscape" w:code="9"/>
      <w:pgMar w:top="1440" w:right="1440" w:bottom="113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B66" w:rsidRDefault="00FE5B66" w:rsidP="00856708">
      <w:pPr>
        <w:spacing w:after="0"/>
      </w:pPr>
      <w:r>
        <w:separator/>
      </w:r>
    </w:p>
  </w:endnote>
  <w:endnote w:type="continuationSeparator" w:id="0">
    <w:p w:rsidR="00FE5B66" w:rsidRDefault="00FE5B66"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DIN-Medium">
    <w:altName w:val="Cambria"/>
    <w:panose1 w:val="00000000000000000000"/>
    <w:charset w:val="4D"/>
    <w:family w:val="swiss"/>
    <w:notTrueType/>
    <w:pitch w:val="default"/>
    <w:sig w:usb0="00000003" w:usb1="00000000" w:usb2="00000000" w:usb3="00000000" w:csb0="00000001" w:csb1="00000000"/>
  </w:font>
  <w:font w:name="DIN-Light">
    <w:charset w:val="00"/>
    <w:family w:val="swiss"/>
    <w:pitch w:val="variable"/>
    <w:sig w:usb0="80000027"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22056"/>
      <w:docPartObj>
        <w:docPartGallery w:val="Page Numbers (Bottom of Page)"/>
        <w:docPartUnique/>
      </w:docPartObj>
    </w:sdtPr>
    <w:sdtEndPr>
      <w:rPr>
        <w:noProof/>
      </w:rPr>
    </w:sdtEndPr>
    <w:sdtContent>
      <w:p w:rsidR="00A9413A" w:rsidRDefault="00A9413A">
        <w:pPr>
          <w:pStyle w:val="Footer"/>
          <w:jc w:val="right"/>
        </w:pPr>
        <w:r>
          <w:fldChar w:fldCharType="begin"/>
        </w:r>
        <w:r>
          <w:instrText xml:space="preserve"> PAGE   \* MERGEFORMAT </w:instrText>
        </w:r>
        <w:r>
          <w:fldChar w:fldCharType="separate"/>
        </w:r>
        <w:r w:rsidR="007147B1">
          <w:rPr>
            <w:noProof/>
          </w:rPr>
          <w:t>2</w:t>
        </w:r>
        <w:r>
          <w:rPr>
            <w:noProof/>
          </w:rPr>
          <w:fldChar w:fldCharType="end"/>
        </w:r>
      </w:p>
    </w:sdtContent>
  </w:sdt>
  <w:p w:rsidR="008C6320" w:rsidRDefault="008C632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098337"/>
      <w:docPartObj>
        <w:docPartGallery w:val="Page Numbers (Bottom of Page)"/>
        <w:docPartUnique/>
      </w:docPartObj>
    </w:sdtPr>
    <w:sdtEndPr>
      <w:rPr>
        <w:noProof/>
      </w:rPr>
    </w:sdtEndPr>
    <w:sdtContent>
      <w:p w:rsidR="00A9413A" w:rsidRDefault="00A9413A">
        <w:pPr>
          <w:pStyle w:val="Footer"/>
          <w:jc w:val="right"/>
        </w:pPr>
        <w:r>
          <w:fldChar w:fldCharType="begin"/>
        </w:r>
        <w:r>
          <w:instrText xml:space="preserve"> PAGE   \* MERGEFORMAT </w:instrText>
        </w:r>
        <w:r>
          <w:fldChar w:fldCharType="separate"/>
        </w:r>
        <w:r w:rsidR="007147B1">
          <w:rPr>
            <w:noProof/>
          </w:rPr>
          <w:t>1</w:t>
        </w:r>
        <w:r>
          <w:rPr>
            <w:noProof/>
          </w:rPr>
          <w:fldChar w:fldCharType="end"/>
        </w:r>
      </w:p>
    </w:sdtContent>
  </w:sdt>
  <w:p w:rsidR="00A9413A" w:rsidRDefault="00A9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B66" w:rsidRDefault="00FE5B66" w:rsidP="00856708">
      <w:pPr>
        <w:spacing w:after="0"/>
      </w:pPr>
      <w:r>
        <w:separator/>
      </w:r>
    </w:p>
  </w:footnote>
  <w:footnote w:type="continuationSeparator" w:id="0">
    <w:p w:rsidR="00FE5B66" w:rsidRDefault="00FE5B66" w:rsidP="008567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13" w:rsidRPr="00210FC5" w:rsidRDefault="001D2244" w:rsidP="00247313">
    <w:pPr>
      <w:pStyle w:val="Footer"/>
      <w:rPr>
        <w:sz w:val="20"/>
        <w:szCs w:val="20"/>
      </w:rPr>
    </w:pPr>
    <w:r>
      <w:rPr>
        <w:sz w:val="20"/>
        <w:szCs w:val="20"/>
      </w:rPr>
      <w:t>PUBLIC CONSULTATION 2017</w:t>
    </w:r>
    <w:r w:rsidR="00247313" w:rsidRPr="00210FC5">
      <w:rPr>
        <w:sz w:val="20"/>
        <w:szCs w:val="20"/>
      </w:rPr>
      <w:t xml:space="preserve"> </w:t>
    </w:r>
    <w:r w:rsidR="00247313">
      <w:rPr>
        <w:sz w:val="20"/>
        <w:szCs w:val="20"/>
      </w:rPr>
      <w:t>–</w:t>
    </w:r>
    <w:r w:rsidR="00247313" w:rsidRPr="00210FC5">
      <w:rPr>
        <w:sz w:val="20"/>
        <w:szCs w:val="20"/>
      </w:rPr>
      <w:t>Potassium channel antibody-associated encephalopathy</w:t>
    </w:r>
  </w:p>
  <w:p w:rsidR="00247313" w:rsidRDefault="002473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313" w:rsidRPr="00210FC5" w:rsidRDefault="001D2244" w:rsidP="00247313">
    <w:pPr>
      <w:pStyle w:val="Footer"/>
      <w:rPr>
        <w:sz w:val="20"/>
        <w:szCs w:val="20"/>
      </w:rPr>
    </w:pPr>
    <w:r>
      <w:rPr>
        <w:sz w:val="20"/>
        <w:szCs w:val="20"/>
      </w:rPr>
      <w:t xml:space="preserve">PUBLIC CONSULTATION 2017 </w:t>
    </w:r>
    <w:r w:rsidR="00247313">
      <w:rPr>
        <w:sz w:val="20"/>
        <w:szCs w:val="20"/>
      </w:rPr>
      <w:t>–</w:t>
    </w:r>
    <w:r w:rsidR="00247313" w:rsidRPr="00210FC5">
      <w:rPr>
        <w:sz w:val="20"/>
        <w:szCs w:val="20"/>
      </w:rPr>
      <w:t>Potassium channel antibody-associated encephalopathy</w:t>
    </w:r>
  </w:p>
  <w:p w:rsidR="00247313" w:rsidRDefault="002473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A87F28"/>
    <w:multiLevelType w:val="hybridMultilevel"/>
    <w:tmpl w:val="6EBF54D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9DB7B68"/>
    <w:multiLevelType w:val="hybridMultilevel"/>
    <w:tmpl w:val="B68855E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ABC2D58"/>
    <w:multiLevelType w:val="hybridMultilevel"/>
    <w:tmpl w:val="B6886A4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9F10B1"/>
    <w:multiLevelType w:val="hybridMultilevel"/>
    <w:tmpl w:val="6DFCF990"/>
    <w:lvl w:ilvl="0" w:tplc="0409001B">
      <w:start w:val="1"/>
      <w:numFmt w:val="lowerRoman"/>
      <w:lvlText w:val="%1."/>
      <w:lvlJc w:val="right"/>
      <w:pPr>
        <w:ind w:left="1795" w:hanging="360"/>
      </w:pPr>
      <w:rPr>
        <w:rFonts w:hint="default"/>
      </w:rPr>
    </w:lvl>
    <w:lvl w:ilvl="1" w:tplc="0C090003">
      <w:start w:val="1"/>
      <w:numFmt w:val="bullet"/>
      <w:lvlText w:val="o"/>
      <w:lvlJc w:val="left"/>
      <w:pPr>
        <w:ind w:left="2515" w:hanging="360"/>
      </w:pPr>
      <w:rPr>
        <w:rFonts w:ascii="Courier New" w:hAnsi="Courier New" w:cs="Courier New" w:hint="default"/>
      </w:rPr>
    </w:lvl>
    <w:lvl w:ilvl="2" w:tplc="0C090005" w:tentative="1">
      <w:start w:val="1"/>
      <w:numFmt w:val="bullet"/>
      <w:lvlText w:val=""/>
      <w:lvlJc w:val="left"/>
      <w:pPr>
        <w:ind w:left="3235" w:hanging="360"/>
      </w:pPr>
      <w:rPr>
        <w:rFonts w:ascii="Wingdings" w:hAnsi="Wingdings" w:hint="default"/>
      </w:rPr>
    </w:lvl>
    <w:lvl w:ilvl="3" w:tplc="0C090001" w:tentative="1">
      <w:start w:val="1"/>
      <w:numFmt w:val="bullet"/>
      <w:lvlText w:val=""/>
      <w:lvlJc w:val="left"/>
      <w:pPr>
        <w:ind w:left="3955" w:hanging="360"/>
      </w:pPr>
      <w:rPr>
        <w:rFonts w:ascii="Symbol" w:hAnsi="Symbol" w:hint="default"/>
      </w:rPr>
    </w:lvl>
    <w:lvl w:ilvl="4" w:tplc="0C090003" w:tentative="1">
      <w:start w:val="1"/>
      <w:numFmt w:val="bullet"/>
      <w:lvlText w:val="o"/>
      <w:lvlJc w:val="left"/>
      <w:pPr>
        <w:ind w:left="4675" w:hanging="360"/>
      </w:pPr>
      <w:rPr>
        <w:rFonts w:ascii="Courier New" w:hAnsi="Courier New" w:cs="Courier New" w:hint="default"/>
      </w:rPr>
    </w:lvl>
    <w:lvl w:ilvl="5" w:tplc="0C090005" w:tentative="1">
      <w:start w:val="1"/>
      <w:numFmt w:val="bullet"/>
      <w:lvlText w:val=""/>
      <w:lvlJc w:val="left"/>
      <w:pPr>
        <w:ind w:left="5395" w:hanging="360"/>
      </w:pPr>
      <w:rPr>
        <w:rFonts w:ascii="Wingdings" w:hAnsi="Wingdings" w:hint="default"/>
      </w:rPr>
    </w:lvl>
    <w:lvl w:ilvl="6" w:tplc="0C090001" w:tentative="1">
      <w:start w:val="1"/>
      <w:numFmt w:val="bullet"/>
      <w:lvlText w:val=""/>
      <w:lvlJc w:val="left"/>
      <w:pPr>
        <w:ind w:left="6115" w:hanging="360"/>
      </w:pPr>
      <w:rPr>
        <w:rFonts w:ascii="Symbol" w:hAnsi="Symbol" w:hint="default"/>
      </w:rPr>
    </w:lvl>
    <w:lvl w:ilvl="7" w:tplc="0C090003" w:tentative="1">
      <w:start w:val="1"/>
      <w:numFmt w:val="bullet"/>
      <w:lvlText w:val="o"/>
      <w:lvlJc w:val="left"/>
      <w:pPr>
        <w:ind w:left="6835" w:hanging="360"/>
      </w:pPr>
      <w:rPr>
        <w:rFonts w:ascii="Courier New" w:hAnsi="Courier New" w:cs="Courier New" w:hint="default"/>
      </w:rPr>
    </w:lvl>
    <w:lvl w:ilvl="8" w:tplc="0C090005" w:tentative="1">
      <w:start w:val="1"/>
      <w:numFmt w:val="bullet"/>
      <w:lvlText w:val=""/>
      <w:lvlJc w:val="left"/>
      <w:pPr>
        <w:ind w:left="7555" w:hanging="360"/>
      </w:pPr>
      <w:rPr>
        <w:rFonts w:ascii="Wingdings" w:hAnsi="Wingdings" w:hint="default"/>
      </w:rPr>
    </w:lvl>
  </w:abstractNum>
  <w:abstractNum w:abstractNumId="4">
    <w:nsid w:val="057570CC"/>
    <w:multiLevelType w:val="hybridMultilevel"/>
    <w:tmpl w:val="6117DE0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C6E7F16"/>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E3A09A6"/>
    <w:multiLevelType w:val="hybridMultilevel"/>
    <w:tmpl w:val="7922B40C"/>
    <w:lvl w:ilvl="0" w:tplc="4E126DC2">
      <w:numFmt w:val="bullet"/>
      <w:lvlText w:val="-"/>
      <w:lvlJc w:val="left"/>
      <w:pPr>
        <w:ind w:left="720" w:hanging="360"/>
      </w:pPr>
      <w:rPr>
        <w:rFonts w:ascii="Calibri" w:eastAsia="Dotum"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2130C25"/>
    <w:multiLevelType w:val="hybridMultilevel"/>
    <w:tmpl w:val="3D7E87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247667A"/>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947A29"/>
    <w:multiLevelType w:val="multilevel"/>
    <w:tmpl w:val="8A044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C82DC6"/>
    <w:multiLevelType w:val="hybridMultilevel"/>
    <w:tmpl w:val="79F40D0A"/>
    <w:lvl w:ilvl="0" w:tplc="0C090001">
      <w:start w:val="1"/>
      <w:numFmt w:val="bullet"/>
      <w:lvlText w:val=""/>
      <w:lvlJc w:val="left"/>
      <w:pPr>
        <w:ind w:left="1080" w:hanging="360"/>
      </w:pPr>
      <w:rPr>
        <w:rFonts w:ascii="Symbol" w:hAnsi="Symbol" w:hint="default"/>
        <w:b w:val="0"/>
        <w:sz w:val="18"/>
        <w:szCs w:val="18"/>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1F925D73"/>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1670AD"/>
    <w:multiLevelType w:val="hybridMultilevel"/>
    <w:tmpl w:val="F790FD74"/>
    <w:lvl w:ilvl="0" w:tplc="0C09001B">
      <w:start w:val="1"/>
      <w:numFmt w:val="lowerRoman"/>
      <w:lvlText w:val="%1."/>
      <w:lvlJc w:val="right"/>
      <w:pPr>
        <w:ind w:left="720" w:hanging="360"/>
      </w:pPr>
    </w:lvl>
    <w:lvl w:ilvl="1" w:tplc="0C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5F08BA"/>
    <w:multiLevelType w:val="hybridMultilevel"/>
    <w:tmpl w:val="EBD87182"/>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4">
    <w:nsid w:val="294567CD"/>
    <w:multiLevelType w:val="hybridMultilevel"/>
    <w:tmpl w:val="E066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D12550D"/>
    <w:multiLevelType w:val="hybridMultilevel"/>
    <w:tmpl w:val="427C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338A7547"/>
    <w:multiLevelType w:val="hybridMultilevel"/>
    <w:tmpl w:val="E402C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3F1334"/>
    <w:multiLevelType w:val="hybridMultilevel"/>
    <w:tmpl w:val="0ECE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8D0155"/>
    <w:multiLevelType w:val="hybridMultilevel"/>
    <w:tmpl w:val="D158D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BDF283D"/>
    <w:multiLevelType w:val="hybridMultilevel"/>
    <w:tmpl w:val="4B02111A"/>
    <w:lvl w:ilvl="0" w:tplc="676AE308">
      <w:start w:val="1"/>
      <w:numFmt w:val="decimal"/>
      <w:lvlText w:val="%1."/>
      <w:lvlJc w:val="left"/>
      <w:pPr>
        <w:ind w:left="357" w:hanging="360"/>
      </w:pPr>
      <w:rPr>
        <w:b w:val="0"/>
        <w:sz w:val="20"/>
      </w:rPr>
    </w:lvl>
    <w:lvl w:ilvl="1" w:tplc="0C090001">
      <w:start w:val="1"/>
      <w:numFmt w:val="bullet"/>
      <w:lvlText w:val=""/>
      <w:lvlJc w:val="left"/>
      <w:pPr>
        <w:ind w:left="1077" w:hanging="360"/>
      </w:pPr>
      <w:rPr>
        <w:rFonts w:ascii="Symbol" w:hAnsi="Symbol" w:hint="default"/>
      </w:rPr>
    </w:lvl>
    <w:lvl w:ilvl="2" w:tplc="0409001B">
      <w:start w:val="1"/>
      <w:numFmt w:val="lowerRoman"/>
      <w:lvlText w:val="%3."/>
      <w:lvlJc w:val="right"/>
      <w:pPr>
        <w:ind w:left="1797" w:hanging="180"/>
      </w:pPr>
    </w:lvl>
    <w:lvl w:ilvl="3" w:tplc="0409000F" w:tentative="1">
      <w:start w:val="1"/>
      <w:numFmt w:val="decimal"/>
      <w:lvlText w:val="%4."/>
      <w:lvlJc w:val="left"/>
      <w:pPr>
        <w:ind w:left="2517" w:hanging="360"/>
      </w:pPr>
    </w:lvl>
    <w:lvl w:ilvl="4" w:tplc="04090019" w:tentative="1">
      <w:start w:val="1"/>
      <w:numFmt w:val="lowerLetter"/>
      <w:lvlText w:val="%5."/>
      <w:lvlJc w:val="left"/>
      <w:pPr>
        <w:ind w:left="3237" w:hanging="360"/>
      </w:pPr>
    </w:lvl>
    <w:lvl w:ilvl="5" w:tplc="0409001B" w:tentative="1">
      <w:start w:val="1"/>
      <w:numFmt w:val="lowerRoman"/>
      <w:lvlText w:val="%6."/>
      <w:lvlJc w:val="right"/>
      <w:pPr>
        <w:ind w:left="3957" w:hanging="180"/>
      </w:pPr>
    </w:lvl>
    <w:lvl w:ilvl="6" w:tplc="0409000F" w:tentative="1">
      <w:start w:val="1"/>
      <w:numFmt w:val="decimal"/>
      <w:lvlText w:val="%7."/>
      <w:lvlJc w:val="left"/>
      <w:pPr>
        <w:ind w:left="4677" w:hanging="360"/>
      </w:pPr>
    </w:lvl>
    <w:lvl w:ilvl="7" w:tplc="04090019" w:tentative="1">
      <w:start w:val="1"/>
      <w:numFmt w:val="lowerLetter"/>
      <w:lvlText w:val="%8."/>
      <w:lvlJc w:val="left"/>
      <w:pPr>
        <w:ind w:left="5397" w:hanging="360"/>
      </w:pPr>
    </w:lvl>
    <w:lvl w:ilvl="8" w:tplc="0409001B" w:tentative="1">
      <w:start w:val="1"/>
      <w:numFmt w:val="lowerRoman"/>
      <w:lvlText w:val="%9."/>
      <w:lvlJc w:val="right"/>
      <w:pPr>
        <w:ind w:left="6117" w:hanging="180"/>
      </w:pPr>
    </w:lvl>
  </w:abstractNum>
  <w:abstractNum w:abstractNumId="23">
    <w:nsid w:val="42171BD4"/>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43DA4202"/>
    <w:multiLevelType w:val="hybridMultilevel"/>
    <w:tmpl w:val="518E3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5701C86"/>
    <w:multiLevelType w:val="hybridMultilevel"/>
    <w:tmpl w:val="5D24C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8D01261"/>
    <w:multiLevelType w:val="hybridMultilevel"/>
    <w:tmpl w:val="94AA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BCE719"/>
    <w:multiLevelType w:val="hybridMultilevel"/>
    <w:tmpl w:val="3D5A057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1D10A28"/>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nsid w:val="5A8567D5"/>
    <w:multiLevelType w:val="hybridMultilevel"/>
    <w:tmpl w:val="A84AC41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5BA50922"/>
    <w:multiLevelType w:val="hybridMultilevel"/>
    <w:tmpl w:val="FDFC768A"/>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D961A14"/>
    <w:multiLevelType w:val="hybridMultilevel"/>
    <w:tmpl w:val="3A2C206E"/>
    <w:lvl w:ilvl="0" w:tplc="0C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232582F"/>
    <w:multiLevelType w:val="hybridMultilevel"/>
    <w:tmpl w:val="67BE836C"/>
    <w:lvl w:ilvl="0" w:tplc="0C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B6243016">
      <w:start w:val="1"/>
      <w:numFmt w:val="decimal"/>
      <w:lvlText w:val="%4)"/>
      <w:lvlJc w:val="left"/>
      <w:pPr>
        <w:ind w:left="2520" w:hanging="360"/>
      </w:pPr>
      <w:rPr>
        <w:rFonts w:hint="default"/>
        <w:b w:val="0"/>
        <w:sz w:val="18"/>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638245E1"/>
    <w:multiLevelType w:val="hybridMultilevel"/>
    <w:tmpl w:val="63669720"/>
    <w:lvl w:ilvl="0" w:tplc="0C09001B">
      <w:start w:val="1"/>
      <w:numFmt w:val="low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1B6EAB62">
      <w:numFmt w:val="bullet"/>
      <w:lvlText w:val=""/>
      <w:lvlJc w:val="left"/>
      <w:pPr>
        <w:ind w:left="2340" w:hanging="360"/>
      </w:pPr>
      <w:rPr>
        <w:rFonts w:ascii="Wingdings" w:eastAsia="Dotum" w:hAnsi="Wingdings"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22B98"/>
    <w:multiLevelType w:val="hybridMultilevel"/>
    <w:tmpl w:val="5D980EE4"/>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nsid w:val="6E73143E"/>
    <w:multiLevelType w:val="hybridMultilevel"/>
    <w:tmpl w:val="77DA8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37A67CE"/>
    <w:multiLevelType w:val="hybridMultilevel"/>
    <w:tmpl w:val="4218F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FC5097"/>
    <w:multiLevelType w:val="hybridMultilevel"/>
    <w:tmpl w:val="6DFCF990"/>
    <w:lvl w:ilvl="0" w:tplc="0409001B">
      <w:start w:val="1"/>
      <w:numFmt w:val="lowerRoman"/>
      <w:lvlText w:val="%1."/>
      <w:lvlJc w:val="right"/>
      <w:pPr>
        <w:ind w:left="180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9">
    <w:nsid w:val="75C83CF2"/>
    <w:multiLevelType w:val="hybridMultilevel"/>
    <w:tmpl w:val="9BB4EC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779E6CD1"/>
    <w:multiLevelType w:val="hybridMultilevel"/>
    <w:tmpl w:val="160134E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79D70665"/>
    <w:multiLevelType w:val="hybridMultilevel"/>
    <w:tmpl w:val="42C00A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BEE31E7"/>
    <w:multiLevelType w:val="hybridMultilevel"/>
    <w:tmpl w:val="5CBE7584"/>
    <w:lvl w:ilvl="0" w:tplc="0C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7E1F2D9B"/>
    <w:multiLevelType w:val="hybridMultilevel"/>
    <w:tmpl w:val="ACA24BA8"/>
    <w:lvl w:ilvl="0" w:tplc="7A54468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21"/>
  </w:num>
  <w:num w:numId="4">
    <w:abstractNumId w:val="36"/>
  </w:num>
  <w:num w:numId="5">
    <w:abstractNumId w:val="15"/>
  </w:num>
  <w:num w:numId="6">
    <w:abstractNumId w:val="2"/>
  </w:num>
  <w:num w:numId="7">
    <w:abstractNumId w:val="1"/>
  </w:num>
  <w:num w:numId="8">
    <w:abstractNumId w:val="4"/>
  </w:num>
  <w:num w:numId="9">
    <w:abstractNumId w:val="0"/>
  </w:num>
  <w:num w:numId="10">
    <w:abstractNumId w:val="40"/>
  </w:num>
  <w:num w:numId="11">
    <w:abstractNumId w:val="27"/>
  </w:num>
  <w:num w:numId="12">
    <w:abstractNumId w:val="33"/>
  </w:num>
  <w:num w:numId="13">
    <w:abstractNumId w:val="12"/>
  </w:num>
  <w:num w:numId="14">
    <w:abstractNumId w:val="20"/>
  </w:num>
  <w:num w:numId="15">
    <w:abstractNumId w:val="11"/>
  </w:num>
  <w:num w:numId="16">
    <w:abstractNumId w:val="35"/>
  </w:num>
  <w:num w:numId="17">
    <w:abstractNumId w:val="5"/>
  </w:num>
  <w:num w:numId="18">
    <w:abstractNumId w:val="16"/>
  </w:num>
  <w:num w:numId="19">
    <w:abstractNumId w:val="31"/>
  </w:num>
  <w:num w:numId="20">
    <w:abstractNumId w:val="42"/>
  </w:num>
  <w:num w:numId="21">
    <w:abstractNumId w:val="13"/>
  </w:num>
  <w:num w:numId="22">
    <w:abstractNumId w:val="32"/>
  </w:num>
  <w:num w:numId="23">
    <w:abstractNumId w:val="10"/>
  </w:num>
  <w:num w:numId="24">
    <w:abstractNumId w:val="3"/>
  </w:num>
  <w:num w:numId="25">
    <w:abstractNumId w:val="34"/>
  </w:num>
  <w:num w:numId="26">
    <w:abstractNumId w:val="23"/>
  </w:num>
  <w:num w:numId="27">
    <w:abstractNumId w:val="38"/>
  </w:num>
  <w:num w:numId="28">
    <w:abstractNumId w:val="28"/>
  </w:num>
  <w:num w:numId="29">
    <w:abstractNumId w:val="29"/>
  </w:num>
  <w:num w:numId="30">
    <w:abstractNumId w:val="8"/>
  </w:num>
  <w:num w:numId="31">
    <w:abstractNumId w:val="9"/>
  </w:num>
  <w:num w:numId="32">
    <w:abstractNumId w:val="26"/>
  </w:num>
  <w:num w:numId="33">
    <w:abstractNumId w:val="41"/>
  </w:num>
  <w:num w:numId="34">
    <w:abstractNumId w:val="19"/>
  </w:num>
  <w:num w:numId="35">
    <w:abstractNumId w:val="30"/>
  </w:num>
  <w:num w:numId="36">
    <w:abstractNumId w:val="18"/>
  </w:num>
  <w:num w:numId="37">
    <w:abstractNumId w:val="14"/>
  </w:num>
  <w:num w:numId="38">
    <w:abstractNumId w:val="22"/>
  </w:num>
  <w:num w:numId="39">
    <w:abstractNumId w:val="25"/>
  </w:num>
  <w:num w:numId="40">
    <w:abstractNumId w:val="7"/>
  </w:num>
  <w:num w:numId="41">
    <w:abstractNumId w:val="37"/>
  </w:num>
  <w:num w:numId="42">
    <w:abstractNumId w:val="39"/>
  </w:num>
  <w:num w:numId="43">
    <w:abstractNumId w:val="24"/>
  </w:num>
  <w:num w:numId="44">
    <w:abstractNumId w:val="6"/>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0F"/>
    <w:rsid w:val="00010C9E"/>
    <w:rsid w:val="00013C2F"/>
    <w:rsid w:val="00021243"/>
    <w:rsid w:val="00022A4A"/>
    <w:rsid w:val="00036EDC"/>
    <w:rsid w:val="0007639A"/>
    <w:rsid w:val="00086253"/>
    <w:rsid w:val="00095267"/>
    <w:rsid w:val="000A3A69"/>
    <w:rsid w:val="000A65C9"/>
    <w:rsid w:val="000B27A7"/>
    <w:rsid w:val="000C21C0"/>
    <w:rsid w:val="000E09C4"/>
    <w:rsid w:val="000E4D1E"/>
    <w:rsid w:val="00152D45"/>
    <w:rsid w:val="00153753"/>
    <w:rsid w:val="00165F48"/>
    <w:rsid w:val="0017270F"/>
    <w:rsid w:val="00175E75"/>
    <w:rsid w:val="001849B2"/>
    <w:rsid w:val="00184E12"/>
    <w:rsid w:val="00186CF7"/>
    <w:rsid w:val="001A2460"/>
    <w:rsid w:val="001B385A"/>
    <w:rsid w:val="001B6B1B"/>
    <w:rsid w:val="001C45B4"/>
    <w:rsid w:val="001D2244"/>
    <w:rsid w:val="001D4C22"/>
    <w:rsid w:val="001D7988"/>
    <w:rsid w:val="00210FC5"/>
    <w:rsid w:val="0021213D"/>
    <w:rsid w:val="00216823"/>
    <w:rsid w:val="0022664C"/>
    <w:rsid w:val="002306B2"/>
    <w:rsid w:val="00236B19"/>
    <w:rsid w:val="00240825"/>
    <w:rsid w:val="00247313"/>
    <w:rsid w:val="002506FF"/>
    <w:rsid w:val="002537F2"/>
    <w:rsid w:val="00254887"/>
    <w:rsid w:val="00255740"/>
    <w:rsid w:val="00270578"/>
    <w:rsid w:val="00275679"/>
    <w:rsid w:val="00282F66"/>
    <w:rsid w:val="002936DD"/>
    <w:rsid w:val="00295CD3"/>
    <w:rsid w:val="002B6E79"/>
    <w:rsid w:val="002D2007"/>
    <w:rsid w:val="002E3245"/>
    <w:rsid w:val="002F3325"/>
    <w:rsid w:val="00320BEB"/>
    <w:rsid w:val="00327526"/>
    <w:rsid w:val="0033060E"/>
    <w:rsid w:val="00360326"/>
    <w:rsid w:val="003676FB"/>
    <w:rsid w:val="00371AA8"/>
    <w:rsid w:val="0037364B"/>
    <w:rsid w:val="00395032"/>
    <w:rsid w:val="003A1F9D"/>
    <w:rsid w:val="003C2601"/>
    <w:rsid w:val="003D1795"/>
    <w:rsid w:val="003D27F1"/>
    <w:rsid w:val="003E3235"/>
    <w:rsid w:val="003F11F8"/>
    <w:rsid w:val="00403201"/>
    <w:rsid w:val="00420DA8"/>
    <w:rsid w:val="00433C78"/>
    <w:rsid w:val="00437609"/>
    <w:rsid w:val="00445EDE"/>
    <w:rsid w:val="00447869"/>
    <w:rsid w:val="00454FA8"/>
    <w:rsid w:val="00460325"/>
    <w:rsid w:val="00463B0C"/>
    <w:rsid w:val="00475BC3"/>
    <w:rsid w:val="0047615E"/>
    <w:rsid w:val="004808C5"/>
    <w:rsid w:val="004856E4"/>
    <w:rsid w:val="004926F2"/>
    <w:rsid w:val="004A10A2"/>
    <w:rsid w:val="004B14F4"/>
    <w:rsid w:val="004C2A8E"/>
    <w:rsid w:val="004D4636"/>
    <w:rsid w:val="004E00A9"/>
    <w:rsid w:val="004E4A52"/>
    <w:rsid w:val="005023CE"/>
    <w:rsid w:val="005051C7"/>
    <w:rsid w:val="00511C3A"/>
    <w:rsid w:val="00525C51"/>
    <w:rsid w:val="00531E6D"/>
    <w:rsid w:val="00540020"/>
    <w:rsid w:val="00543C69"/>
    <w:rsid w:val="005546AE"/>
    <w:rsid w:val="005546C9"/>
    <w:rsid w:val="005629EE"/>
    <w:rsid w:val="00584BEC"/>
    <w:rsid w:val="005851ED"/>
    <w:rsid w:val="00590402"/>
    <w:rsid w:val="005960E7"/>
    <w:rsid w:val="005C78F4"/>
    <w:rsid w:val="005D2C3D"/>
    <w:rsid w:val="005D7004"/>
    <w:rsid w:val="005E04F6"/>
    <w:rsid w:val="00602D7D"/>
    <w:rsid w:val="00607812"/>
    <w:rsid w:val="00611A6F"/>
    <w:rsid w:val="00617D9D"/>
    <w:rsid w:val="006201B1"/>
    <w:rsid w:val="006324BD"/>
    <w:rsid w:val="006427C2"/>
    <w:rsid w:val="00642A5C"/>
    <w:rsid w:val="00644285"/>
    <w:rsid w:val="00657F36"/>
    <w:rsid w:val="006627B5"/>
    <w:rsid w:val="006631E9"/>
    <w:rsid w:val="00666AA5"/>
    <w:rsid w:val="00670D34"/>
    <w:rsid w:val="006855AF"/>
    <w:rsid w:val="00695219"/>
    <w:rsid w:val="006B0323"/>
    <w:rsid w:val="006B4C33"/>
    <w:rsid w:val="006D2521"/>
    <w:rsid w:val="006D2FA8"/>
    <w:rsid w:val="006D36A9"/>
    <w:rsid w:val="006F1FA7"/>
    <w:rsid w:val="006F485E"/>
    <w:rsid w:val="006F5B7F"/>
    <w:rsid w:val="00702EB0"/>
    <w:rsid w:val="007147B1"/>
    <w:rsid w:val="00722415"/>
    <w:rsid w:val="00780D9A"/>
    <w:rsid w:val="007830E1"/>
    <w:rsid w:val="00787242"/>
    <w:rsid w:val="00793EB5"/>
    <w:rsid w:val="007B0C7B"/>
    <w:rsid w:val="007B2100"/>
    <w:rsid w:val="007C7B0F"/>
    <w:rsid w:val="007F3022"/>
    <w:rsid w:val="007F6E4D"/>
    <w:rsid w:val="008041F6"/>
    <w:rsid w:val="00824D82"/>
    <w:rsid w:val="00827D93"/>
    <w:rsid w:val="00847EC8"/>
    <w:rsid w:val="0085141B"/>
    <w:rsid w:val="00853117"/>
    <w:rsid w:val="00856708"/>
    <w:rsid w:val="008612AB"/>
    <w:rsid w:val="00880ECB"/>
    <w:rsid w:val="00893E0A"/>
    <w:rsid w:val="00896241"/>
    <w:rsid w:val="008B2304"/>
    <w:rsid w:val="008C6320"/>
    <w:rsid w:val="00901446"/>
    <w:rsid w:val="00901F76"/>
    <w:rsid w:val="009025B7"/>
    <w:rsid w:val="0090753E"/>
    <w:rsid w:val="009208EC"/>
    <w:rsid w:val="00933536"/>
    <w:rsid w:val="009347BC"/>
    <w:rsid w:val="0093594E"/>
    <w:rsid w:val="00951B85"/>
    <w:rsid w:val="00982D63"/>
    <w:rsid w:val="009B04BD"/>
    <w:rsid w:val="009C1E09"/>
    <w:rsid w:val="009E0D07"/>
    <w:rsid w:val="009E38CC"/>
    <w:rsid w:val="009E6241"/>
    <w:rsid w:val="009F4509"/>
    <w:rsid w:val="009F7999"/>
    <w:rsid w:val="00A0276B"/>
    <w:rsid w:val="00A0352E"/>
    <w:rsid w:val="00A05745"/>
    <w:rsid w:val="00A06C2B"/>
    <w:rsid w:val="00A23D1D"/>
    <w:rsid w:val="00A31C82"/>
    <w:rsid w:val="00A357C4"/>
    <w:rsid w:val="00A57D60"/>
    <w:rsid w:val="00A7510F"/>
    <w:rsid w:val="00A80A19"/>
    <w:rsid w:val="00A81C38"/>
    <w:rsid w:val="00A8740F"/>
    <w:rsid w:val="00A9413A"/>
    <w:rsid w:val="00AA19C1"/>
    <w:rsid w:val="00AB120F"/>
    <w:rsid w:val="00AD086B"/>
    <w:rsid w:val="00AD1EF1"/>
    <w:rsid w:val="00AD4362"/>
    <w:rsid w:val="00AE5015"/>
    <w:rsid w:val="00AE63FA"/>
    <w:rsid w:val="00B13FFD"/>
    <w:rsid w:val="00B25D2E"/>
    <w:rsid w:val="00B35BD7"/>
    <w:rsid w:val="00B3726E"/>
    <w:rsid w:val="00B97261"/>
    <w:rsid w:val="00BA76E3"/>
    <w:rsid w:val="00BD6C2D"/>
    <w:rsid w:val="00BD7111"/>
    <w:rsid w:val="00BD735D"/>
    <w:rsid w:val="00BF1E9C"/>
    <w:rsid w:val="00C21002"/>
    <w:rsid w:val="00C24E0B"/>
    <w:rsid w:val="00C30FD5"/>
    <w:rsid w:val="00C34D27"/>
    <w:rsid w:val="00C364CA"/>
    <w:rsid w:val="00C50FE8"/>
    <w:rsid w:val="00C51E04"/>
    <w:rsid w:val="00C92149"/>
    <w:rsid w:val="00CA4321"/>
    <w:rsid w:val="00CB47C1"/>
    <w:rsid w:val="00CB50C5"/>
    <w:rsid w:val="00CC12B9"/>
    <w:rsid w:val="00CD489A"/>
    <w:rsid w:val="00CD5856"/>
    <w:rsid w:val="00CD7B8A"/>
    <w:rsid w:val="00D16B82"/>
    <w:rsid w:val="00D17E7A"/>
    <w:rsid w:val="00D17FEC"/>
    <w:rsid w:val="00D24193"/>
    <w:rsid w:val="00D67CFD"/>
    <w:rsid w:val="00D874FD"/>
    <w:rsid w:val="00D87794"/>
    <w:rsid w:val="00D96987"/>
    <w:rsid w:val="00DB17C2"/>
    <w:rsid w:val="00DB1925"/>
    <w:rsid w:val="00DC287D"/>
    <w:rsid w:val="00DD166F"/>
    <w:rsid w:val="00DF3230"/>
    <w:rsid w:val="00DF7032"/>
    <w:rsid w:val="00E024FE"/>
    <w:rsid w:val="00E0352A"/>
    <w:rsid w:val="00E1505A"/>
    <w:rsid w:val="00E337E6"/>
    <w:rsid w:val="00E62E16"/>
    <w:rsid w:val="00E672AA"/>
    <w:rsid w:val="00E7550D"/>
    <w:rsid w:val="00EA2E82"/>
    <w:rsid w:val="00EB78FB"/>
    <w:rsid w:val="00EC0889"/>
    <w:rsid w:val="00F000D7"/>
    <w:rsid w:val="00F42816"/>
    <w:rsid w:val="00F631BD"/>
    <w:rsid w:val="00F66136"/>
    <w:rsid w:val="00F70578"/>
    <w:rsid w:val="00F919B3"/>
    <w:rsid w:val="00FC0E9B"/>
    <w:rsid w:val="00FC5CB0"/>
    <w:rsid w:val="00FD2CCD"/>
    <w:rsid w:val="00FE1B13"/>
    <w:rsid w:val="00FE1EE0"/>
    <w:rsid w:val="00FE4745"/>
    <w:rsid w:val="00FE5B66"/>
    <w:rsid w:val="00FF1D5B"/>
    <w:rsid w:val="00FF3136"/>
    <w:rsid w:val="00FF394A"/>
    <w:rsid w:val="00FF471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27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8CC"/>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1727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70F"/>
    <w:rPr>
      <w:rFonts w:ascii="Tahoma" w:eastAsia="Dotum" w:hAnsi="Tahoma" w:cs="Tahoma"/>
      <w:sz w:val="16"/>
      <w:szCs w:val="16"/>
    </w:rPr>
  </w:style>
  <w:style w:type="table" w:styleId="LightList-Accent2">
    <w:name w:val="Light List Accent 2"/>
    <w:basedOn w:val="TableNormal"/>
    <w:uiPriority w:val="61"/>
    <w:rsid w:val="0017270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rsid w:val="0017270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customStyle="1" w:styleId="Pa17">
    <w:name w:val="Pa17"/>
    <w:basedOn w:val="Normal"/>
    <w:next w:val="Normal"/>
    <w:uiPriority w:val="99"/>
    <w:rsid w:val="00DD166F"/>
    <w:pPr>
      <w:autoSpaceDE w:val="0"/>
      <w:autoSpaceDN w:val="0"/>
      <w:adjustRightInd w:val="0"/>
      <w:spacing w:after="0" w:line="181" w:lineRule="atLeast"/>
    </w:pPr>
    <w:rPr>
      <w:rFonts w:ascii="DIN-Medium" w:eastAsiaTheme="minorHAnsi" w:hAnsi="DIN-Medium" w:cstheme="minorBidi"/>
      <w:sz w:val="24"/>
      <w:szCs w:val="24"/>
    </w:rPr>
  </w:style>
  <w:style w:type="paragraph" w:customStyle="1" w:styleId="Default">
    <w:name w:val="Default"/>
    <w:rsid w:val="00DD166F"/>
    <w:pPr>
      <w:autoSpaceDE w:val="0"/>
      <w:autoSpaceDN w:val="0"/>
      <w:adjustRightInd w:val="0"/>
      <w:spacing w:after="0" w:line="240" w:lineRule="auto"/>
    </w:pPr>
    <w:rPr>
      <w:rFonts w:ascii="DIN-Light" w:hAnsi="DIN-Light" w:cs="DIN-Light"/>
      <w:color w:val="000000"/>
      <w:sz w:val="24"/>
      <w:szCs w:val="24"/>
    </w:rPr>
  </w:style>
  <w:style w:type="paragraph" w:customStyle="1" w:styleId="Pa38">
    <w:name w:val="Pa38"/>
    <w:basedOn w:val="Default"/>
    <w:next w:val="Default"/>
    <w:uiPriority w:val="99"/>
    <w:rsid w:val="00531E6D"/>
    <w:pPr>
      <w:spacing w:line="181" w:lineRule="atLeast"/>
    </w:pPr>
    <w:rPr>
      <w:rFonts w:cstheme="minorBidi"/>
      <w:color w:val="auto"/>
    </w:rPr>
  </w:style>
  <w:style w:type="paragraph" w:customStyle="1" w:styleId="Pa36">
    <w:name w:val="Pa36"/>
    <w:basedOn w:val="Default"/>
    <w:next w:val="Default"/>
    <w:uiPriority w:val="99"/>
    <w:rsid w:val="00531E6D"/>
    <w:pPr>
      <w:spacing w:line="181" w:lineRule="atLeast"/>
    </w:pPr>
    <w:rPr>
      <w:rFonts w:cstheme="minorBidi"/>
      <w:color w:val="auto"/>
    </w:rPr>
  </w:style>
  <w:style w:type="paragraph" w:customStyle="1" w:styleId="heading10">
    <w:name w:val="heading1"/>
    <w:basedOn w:val="Normal"/>
    <w:rsid w:val="00584BEC"/>
    <w:pPr>
      <w:spacing w:after="225"/>
    </w:pPr>
    <w:rPr>
      <w:rFonts w:ascii="Times New Roman" w:eastAsia="Times New Roman" w:hAnsi="Times New Roman" w:cs="Times New Roman"/>
      <w:b/>
      <w:bCs/>
      <w:color w:val="000000"/>
      <w:sz w:val="21"/>
      <w:szCs w:val="21"/>
      <w:lang w:eastAsia="en-AU"/>
    </w:rPr>
  </w:style>
  <w:style w:type="character" w:styleId="Strong">
    <w:name w:val="Strong"/>
    <w:basedOn w:val="DefaultParagraphFont"/>
    <w:uiPriority w:val="22"/>
    <w:qFormat/>
    <w:rsid w:val="00584BEC"/>
    <w:rPr>
      <w:b/>
      <w:bCs/>
    </w:rPr>
  </w:style>
  <w:style w:type="character" w:styleId="Emphasis">
    <w:name w:val="Emphasis"/>
    <w:basedOn w:val="DefaultParagraphFont"/>
    <w:uiPriority w:val="20"/>
    <w:qFormat/>
    <w:rsid w:val="00FD2CCD"/>
    <w:rPr>
      <w:i/>
      <w:iCs/>
    </w:rPr>
  </w:style>
  <w:style w:type="character" w:styleId="CommentReference">
    <w:name w:val="annotation reference"/>
    <w:basedOn w:val="DefaultParagraphFont"/>
    <w:uiPriority w:val="99"/>
    <w:semiHidden/>
    <w:unhideWhenUsed/>
    <w:rsid w:val="00CA4321"/>
    <w:rPr>
      <w:sz w:val="18"/>
      <w:szCs w:val="18"/>
    </w:rPr>
  </w:style>
  <w:style w:type="paragraph" w:styleId="CommentText">
    <w:name w:val="annotation text"/>
    <w:basedOn w:val="Normal"/>
    <w:link w:val="CommentTextChar"/>
    <w:uiPriority w:val="99"/>
    <w:semiHidden/>
    <w:unhideWhenUsed/>
    <w:rsid w:val="00CA4321"/>
    <w:rPr>
      <w:sz w:val="24"/>
      <w:szCs w:val="24"/>
    </w:rPr>
  </w:style>
  <w:style w:type="character" w:customStyle="1" w:styleId="CommentTextChar">
    <w:name w:val="Comment Text Char"/>
    <w:basedOn w:val="DefaultParagraphFont"/>
    <w:link w:val="CommentText"/>
    <w:uiPriority w:val="99"/>
    <w:semiHidden/>
    <w:rsid w:val="00CA4321"/>
    <w:rPr>
      <w:rFonts w:ascii="Calibri" w:eastAsia="Dotum" w:hAnsi="Calibri" w:cs="Calibri"/>
      <w:sz w:val="24"/>
      <w:szCs w:val="24"/>
    </w:rPr>
  </w:style>
  <w:style w:type="paragraph" w:styleId="CommentSubject">
    <w:name w:val="annotation subject"/>
    <w:basedOn w:val="CommentText"/>
    <w:next w:val="CommentText"/>
    <w:link w:val="CommentSubjectChar"/>
    <w:uiPriority w:val="99"/>
    <w:semiHidden/>
    <w:unhideWhenUsed/>
    <w:rsid w:val="00CA4321"/>
    <w:rPr>
      <w:b/>
      <w:bCs/>
      <w:sz w:val="20"/>
      <w:szCs w:val="20"/>
    </w:rPr>
  </w:style>
  <w:style w:type="character" w:customStyle="1" w:styleId="CommentSubjectChar">
    <w:name w:val="Comment Subject Char"/>
    <w:basedOn w:val="CommentTextChar"/>
    <w:link w:val="CommentSubject"/>
    <w:uiPriority w:val="99"/>
    <w:semiHidden/>
    <w:rsid w:val="00CA4321"/>
    <w:rPr>
      <w:rFonts w:ascii="Calibri" w:eastAsia="Dotum" w:hAnsi="Calibri" w:cs="Calibri"/>
      <w:b/>
      <w:bCs/>
      <w:sz w:val="20"/>
      <w:szCs w:val="20"/>
    </w:rPr>
  </w:style>
  <w:style w:type="paragraph" w:styleId="Revision">
    <w:name w:val="Revision"/>
    <w:hidden/>
    <w:uiPriority w:val="99"/>
    <w:semiHidden/>
    <w:rsid w:val="00FF394A"/>
    <w:pPr>
      <w:spacing w:after="0" w:line="240" w:lineRule="auto"/>
    </w:pPr>
    <w:rPr>
      <w:rFonts w:ascii="Calibri" w:eastAsia="Dotum" w:hAnsi="Calibri" w:cs="Calibri"/>
    </w:rPr>
  </w:style>
  <w:style w:type="paragraph" w:customStyle="1" w:styleId="heading">
    <w:name w:val="heading"/>
    <w:basedOn w:val="Normal"/>
    <w:rsid w:val="00282F66"/>
    <w:pPr>
      <w:spacing w:before="100" w:beforeAutospacing="1" w:after="100" w:afterAutospacing="1"/>
    </w:pPr>
    <w:rPr>
      <w:rFonts w:ascii="Times" w:eastAsiaTheme="minorHAnsi" w:hAnsi="Times" w:cstheme="minorBidi"/>
      <w:sz w:val="20"/>
      <w:szCs w:val="20"/>
    </w:rPr>
  </w:style>
  <w:style w:type="paragraph" w:styleId="NormalWeb">
    <w:name w:val="Normal (Web)"/>
    <w:basedOn w:val="Normal"/>
    <w:uiPriority w:val="99"/>
    <w:semiHidden/>
    <w:unhideWhenUsed/>
    <w:rsid w:val="00282F66"/>
    <w:pPr>
      <w:spacing w:before="100" w:beforeAutospacing="1" w:after="100" w:afterAutospacing="1"/>
    </w:pPr>
    <w:rPr>
      <w:rFonts w:ascii="Times" w:eastAsiaTheme="minorHAnsi" w:hAnsi="Times" w:cs="Times New Roman"/>
      <w:sz w:val="20"/>
      <w:szCs w:val="20"/>
    </w:rPr>
  </w:style>
  <w:style w:type="character" w:customStyle="1" w:styleId="apple-converted-space">
    <w:name w:val="apple-converted-space"/>
    <w:basedOn w:val="DefaultParagraphFont"/>
    <w:rsid w:val="00282F66"/>
  </w:style>
  <w:style w:type="character" w:customStyle="1" w:styleId="ListParagraphChar">
    <w:name w:val="List Paragraph Char"/>
    <w:link w:val="ListParagraph"/>
    <w:uiPriority w:val="34"/>
    <w:rsid w:val="00F70578"/>
    <w:rPr>
      <w:rFonts w:ascii="Calibri" w:eastAsia="Dotum" w:hAnsi="Calibri" w:cs="Calibri"/>
    </w:rPr>
  </w:style>
  <w:style w:type="character" w:styleId="Hyperlink">
    <w:name w:val="Hyperlink"/>
    <w:basedOn w:val="DefaultParagraphFont"/>
    <w:uiPriority w:val="99"/>
    <w:unhideWhenUsed/>
    <w:rsid w:val="00827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9579">
      <w:bodyDiv w:val="1"/>
      <w:marLeft w:val="0"/>
      <w:marRight w:val="0"/>
      <w:marTop w:val="0"/>
      <w:marBottom w:val="0"/>
      <w:divBdr>
        <w:top w:val="none" w:sz="0" w:space="0" w:color="auto"/>
        <w:left w:val="none" w:sz="0" w:space="0" w:color="auto"/>
        <w:bottom w:val="none" w:sz="0" w:space="0" w:color="auto"/>
        <w:right w:val="none" w:sz="0" w:space="0" w:color="auto"/>
      </w:divBdr>
      <w:divsChild>
        <w:div w:id="230696636">
          <w:marLeft w:val="0"/>
          <w:marRight w:val="0"/>
          <w:marTop w:val="0"/>
          <w:marBottom w:val="0"/>
          <w:divBdr>
            <w:top w:val="none" w:sz="0" w:space="0" w:color="auto"/>
            <w:left w:val="none" w:sz="0" w:space="0" w:color="auto"/>
            <w:bottom w:val="none" w:sz="0" w:space="0" w:color="auto"/>
            <w:right w:val="none" w:sz="0" w:space="0" w:color="auto"/>
          </w:divBdr>
          <w:divsChild>
            <w:div w:id="511334366">
              <w:marLeft w:val="0"/>
              <w:marRight w:val="0"/>
              <w:marTop w:val="0"/>
              <w:marBottom w:val="0"/>
              <w:divBdr>
                <w:top w:val="none" w:sz="0" w:space="0" w:color="auto"/>
                <w:left w:val="none" w:sz="0" w:space="0" w:color="auto"/>
                <w:bottom w:val="none" w:sz="0" w:space="0" w:color="auto"/>
                <w:right w:val="none" w:sz="0" w:space="0" w:color="auto"/>
              </w:divBdr>
              <w:divsChild>
                <w:div w:id="207886579">
                  <w:marLeft w:val="0"/>
                  <w:marRight w:val="0"/>
                  <w:marTop w:val="0"/>
                  <w:marBottom w:val="0"/>
                  <w:divBdr>
                    <w:top w:val="none" w:sz="0" w:space="0" w:color="auto"/>
                    <w:left w:val="none" w:sz="0" w:space="0" w:color="auto"/>
                    <w:bottom w:val="none" w:sz="0" w:space="0" w:color="auto"/>
                    <w:right w:val="none" w:sz="0" w:space="0" w:color="auto"/>
                  </w:divBdr>
                  <w:divsChild>
                    <w:div w:id="1827361281">
                      <w:marLeft w:val="0"/>
                      <w:marRight w:val="0"/>
                      <w:marTop w:val="0"/>
                      <w:marBottom w:val="300"/>
                      <w:divBdr>
                        <w:top w:val="none" w:sz="0" w:space="0" w:color="auto"/>
                        <w:left w:val="none" w:sz="0" w:space="0" w:color="auto"/>
                        <w:bottom w:val="none" w:sz="0" w:space="0" w:color="auto"/>
                        <w:right w:val="none" w:sz="0" w:space="0" w:color="auto"/>
                      </w:divBdr>
                      <w:divsChild>
                        <w:div w:id="27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500644">
      <w:bodyDiv w:val="1"/>
      <w:marLeft w:val="0"/>
      <w:marRight w:val="0"/>
      <w:marTop w:val="0"/>
      <w:marBottom w:val="0"/>
      <w:divBdr>
        <w:top w:val="none" w:sz="0" w:space="0" w:color="auto"/>
        <w:left w:val="none" w:sz="0" w:space="0" w:color="auto"/>
        <w:bottom w:val="none" w:sz="0" w:space="0" w:color="auto"/>
        <w:right w:val="none" w:sz="0" w:space="0" w:color="auto"/>
      </w:divBdr>
    </w:div>
    <w:div w:id="1212036368">
      <w:bodyDiv w:val="1"/>
      <w:marLeft w:val="0"/>
      <w:marRight w:val="0"/>
      <w:marTop w:val="0"/>
      <w:marBottom w:val="0"/>
      <w:divBdr>
        <w:top w:val="none" w:sz="0" w:space="0" w:color="auto"/>
        <w:left w:val="none" w:sz="0" w:space="0" w:color="auto"/>
        <w:bottom w:val="none" w:sz="0" w:space="0" w:color="auto"/>
        <w:right w:val="none" w:sz="0" w:space="0" w:color="auto"/>
      </w:divBdr>
    </w:div>
    <w:div w:id="1274554201">
      <w:bodyDiv w:val="1"/>
      <w:marLeft w:val="0"/>
      <w:marRight w:val="0"/>
      <w:marTop w:val="0"/>
      <w:marBottom w:val="0"/>
      <w:divBdr>
        <w:top w:val="none" w:sz="0" w:space="0" w:color="auto"/>
        <w:left w:val="none" w:sz="0" w:space="0" w:color="auto"/>
        <w:bottom w:val="none" w:sz="0" w:space="0" w:color="auto"/>
        <w:right w:val="none" w:sz="0" w:space="0" w:color="auto"/>
      </w:divBdr>
    </w:div>
    <w:div w:id="16470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ncbi.nlm.nih.gov/pubmed/14960497" TargetMode="External"/><Relationship Id="rId4" Type="http://schemas.microsoft.com/office/2007/relationships/stylesWithEffects" Target="stylesWithEffects.xml"/><Relationship Id="rId9" Type="http://schemas.openxmlformats.org/officeDocument/2006/relationships/hyperlink" Target="http://www.jns-journal.com/article/S0022-510X(07)00656-9/abstrac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68913-B124-4CEF-8382-563052248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Nicole Wicks</cp:lastModifiedBy>
  <cp:revision>2</cp:revision>
  <cp:lastPrinted>2017-04-10T23:37:00Z</cp:lastPrinted>
  <dcterms:created xsi:type="dcterms:W3CDTF">2017-09-08T03:03:00Z</dcterms:created>
  <dcterms:modified xsi:type="dcterms:W3CDTF">2017-09-08T03:03:00Z</dcterms:modified>
</cp:coreProperties>
</file>