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8A" w:rsidRDefault="00714823" w:rsidP="00862E68">
      <w:pPr>
        <w:pBdr>
          <w:bottom w:val="single" w:sz="12" w:space="1" w:color="auto"/>
        </w:pBdr>
      </w:pPr>
      <w:r w:rsidRPr="002138D0">
        <w:rPr>
          <w:b/>
          <w:sz w:val="32"/>
          <w:szCs w:val="32"/>
        </w:rPr>
        <w:t>Media Release</w:t>
      </w:r>
      <w:r w:rsidR="00862E68">
        <w:rPr>
          <w:b/>
          <w:sz w:val="32"/>
          <w:szCs w:val="32"/>
        </w:rPr>
        <w:t xml:space="preserve">   </w:t>
      </w:r>
      <w:r w:rsidR="002138D0">
        <w:tab/>
      </w:r>
      <w:r w:rsidR="00355DE0">
        <w:tab/>
      </w:r>
      <w:r w:rsidR="00355DE0">
        <w:tab/>
      </w:r>
      <w:r w:rsidR="00862E68">
        <w:t xml:space="preserve">         </w:t>
      </w:r>
      <w:r w:rsidR="002138D0">
        <w:tab/>
      </w:r>
      <w:r w:rsidR="00682EC9">
        <w:rPr>
          <w:noProof/>
          <w:lang w:eastAsia="en-AU"/>
        </w:rPr>
        <w:drawing>
          <wp:inline distT="0" distB="0" distL="0" distR="0">
            <wp:extent cx="2434856" cy="701749"/>
            <wp:effectExtent l="0" t="0" r="3810" b="3175"/>
            <wp:docPr id="1" name="Picture 1" descr="Description: C:\Users\contpemble\AppData\Local\Microsoft\Windows\Temporary Internet Files\Content.Outlook\XBT43MDT\NBALogo PNG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contpemble\AppData\Local\Microsoft\Windows\Temporary Internet Files\Content.Outlook\XBT43MDT\NBALogo PNG 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0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23" w:rsidRDefault="00EC723E" w:rsidP="001949E8">
      <w:pPr>
        <w:jc w:val="right"/>
      </w:pPr>
      <w:r w:rsidRPr="009A344E">
        <w:t>1</w:t>
      </w:r>
      <w:r w:rsidR="009A344E">
        <w:t>9</w:t>
      </w:r>
      <w:r w:rsidRPr="009A344E">
        <w:t xml:space="preserve"> </w:t>
      </w:r>
      <w:r w:rsidR="00C87806" w:rsidRPr="009A344E">
        <w:t>October</w:t>
      </w:r>
      <w:r w:rsidR="00355DE0" w:rsidRPr="009A344E">
        <w:t xml:space="preserve"> 2011</w:t>
      </w:r>
    </w:p>
    <w:p w:rsidR="000921E8" w:rsidRPr="009A344E" w:rsidRDefault="000921E8">
      <w:pPr>
        <w:rPr>
          <w:b/>
          <w:sz w:val="24"/>
          <w:szCs w:val="24"/>
        </w:rPr>
      </w:pPr>
      <w:bookmarkStart w:id="0" w:name="_GoBack"/>
      <w:bookmarkEnd w:id="0"/>
    </w:p>
    <w:p w:rsidR="00714823" w:rsidRPr="009A344E" w:rsidRDefault="00DB5679">
      <w:pPr>
        <w:rPr>
          <w:b/>
          <w:sz w:val="24"/>
          <w:szCs w:val="24"/>
        </w:rPr>
      </w:pPr>
      <w:r w:rsidRPr="009A344E">
        <w:rPr>
          <w:b/>
          <w:sz w:val="24"/>
          <w:szCs w:val="24"/>
        </w:rPr>
        <w:t xml:space="preserve">IMPORTED </w:t>
      </w:r>
      <w:r w:rsidR="00617300" w:rsidRPr="009A344E">
        <w:rPr>
          <w:b/>
          <w:sz w:val="24"/>
          <w:szCs w:val="24"/>
        </w:rPr>
        <w:t>INTRAVENOUS IMMUNOGLOBULIN</w:t>
      </w:r>
      <w:r w:rsidR="00A10B65" w:rsidRPr="009A344E">
        <w:rPr>
          <w:b/>
          <w:sz w:val="24"/>
          <w:szCs w:val="24"/>
        </w:rPr>
        <w:t xml:space="preserve"> TENDER OUTCOMES</w:t>
      </w:r>
      <w:r w:rsidRPr="009A344E">
        <w:rPr>
          <w:b/>
          <w:sz w:val="24"/>
          <w:szCs w:val="24"/>
        </w:rPr>
        <w:t xml:space="preserve"> </w:t>
      </w:r>
    </w:p>
    <w:p w:rsidR="00221041" w:rsidRPr="009A344E" w:rsidRDefault="00221041" w:rsidP="00221041">
      <w:pPr>
        <w:rPr>
          <w:sz w:val="24"/>
          <w:szCs w:val="24"/>
        </w:rPr>
      </w:pPr>
      <w:r w:rsidRPr="009A344E">
        <w:rPr>
          <w:sz w:val="24"/>
          <w:szCs w:val="24"/>
        </w:rPr>
        <w:t xml:space="preserve">The National Blood Authority (NBA) announced today the successful conclusion of the tender for </w:t>
      </w:r>
      <w:r w:rsidR="00E551CC" w:rsidRPr="009A344E">
        <w:rPr>
          <w:sz w:val="24"/>
          <w:szCs w:val="24"/>
        </w:rPr>
        <w:t>imported intravenous immunoglobulin</w:t>
      </w:r>
      <w:r w:rsidR="00111C32" w:rsidRPr="009A344E">
        <w:rPr>
          <w:sz w:val="24"/>
          <w:szCs w:val="24"/>
        </w:rPr>
        <w:t xml:space="preserve"> (IVIg)</w:t>
      </w:r>
      <w:r w:rsidR="00E551CC" w:rsidRPr="009A344E">
        <w:rPr>
          <w:sz w:val="24"/>
          <w:szCs w:val="24"/>
        </w:rPr>
        <w:t>.</w:t>
      </w:r>
      <w:r w:rsidR="004B72C6" w:rsidRPr="009A344E">
        <w:rPr>
          <w:sz w:val="24"/>
          <w:szCs w:val="24"/>
        </w:rPr>
        <w:t xml:space="preserve">  </w:t>
      </w:r>
      <w:r w:rsidR="00484255" w:rsidRPr="009A344E">
        <w:rPr>
          <w:rFonts w:cs="Arial"/>
          <w:sz w:val="24"/>
          <w:szCs w:val="24"/>
        </w:rPr>
        <w:t>IVIg is a critical plasma-derived blood product used to treat a range of neurological, immunological</w:t>
      </w:r>
      <w:r w:rsidR="00BC21F9">
        <w:rPr>
          <w:rFonts w:cs="Arial"/>
          <w:sz w:val="24"/>
          <w:szCs w:val="24"/>
        </w:rPr>
        <w:t>, haematological</w:t>
      </w:r>
      <w:r w:rsidR="00484255" w:rsidRPr="009A344E">
        <w:rPr>
          <w:rFonts w:cs="Arial"/>
          <w:sz w:val="24"/>
          <w:szCs w:val="24"/>
        </w:rPr>
        <w:t xml:space="preserve"> and other conditions</w:t>
      </w:r>
      <w:r w:rsidR="00484255" w:rsidRPr="009A344E">
        <w:rPr>
          <w:sz w:val="24"/>
          <w:szCs w:val="24"/>
        </w:rPr>
        <w:t xml:space="preserve">.  </w:t>
      </w:r>
      <w:r w:rsidR="002328B9" w:rsidRPr="009A344E">
        <w:rPr>
          <w:sz w:val="24"/>
          <w:szCs w:val="24"/>
        </w:rPr>
        <w:t>The NBA contracts for the supply of</w:t>
      </w:r>
      <w:r w:rsidR="00EF54C3" w:rsidRPr="009A344E">
        <w:rPr>
          <w:sz w:val="24"/>
          <w:szCs w:val="24"/>
        </w:rPr>
        <w:t xml:space="preserve"> imported </w:t>
      </w:r>
      <w:r w:rsidR="002328B9" w:rsidRPr="009A344E">
        <w:rPr>
          <w:sz w:val="24"/>
          <w:szCs w:val="24"/>
        </w:rPr>
        <w:t xml:space="preserve">IVIg products because the amount of </w:t>
      </w:r>
      <w:r w:rsidR="00EF54C3" w:rsidRPr="009A344E">
        <w:rPr>
          <w:sz w:val="24"/>
          <w:szCs w:val="24"/>
        </w:rPr>
        <w:t>domestically produced product (Intragam P)</w:t>
      </w:r>
      <w:r w:rsidR="002328B9" w:rsidRPr="009A344E">
        <w:rPr>
          <w:sz w:val="24"/>
          <w:szCs w:val="24"/>
        </w:rPr>
        <w:t xml:space="preserve"> which </w:t>
      </w:r>
      <w:r w:rsidR="0070543C" w:rsidRPr="009A344E">
        <w:rPr>
          <w:sz w:val="24"/>
          <w:szCs w:val="24"/>
        </w:rPr>
        <w:t xml:space="preserve">is </w:t>
      </w:r>
      <w:r w:rsidR="002328B9" w:rsidRPr="009A344E">
        <w:rPr>
          <w:sz w:val="24"/>
          <w:szCs w:val="24"/>
        </w:rPr>
        <w:t>made from Australian plasma donations is not sufficient to meet Australian requirements</w:t>
      </w:r>
      <w:r w:rsidRPr="009A344E">
        <w:rPr>
          <w:sz w:val="24"/>
          <w:szCs w:val="24"/>
        </w:rPr>
        <w:t>.</w:t>
      </w:r>
    </w:p>
    <w:p w:rsidR="0070543C" w:rsidRPr="009A344E" w:rsidRDefault="0070543C" w:rsidP="0070543C">
      <w:pPr>
        <w:rPr>
          <w:b/>
          <w:sz w:val="24"/>
          <w:szCs w:val="24"/>
        </w:rPr>
      </w:pPr>
      <w:r w:rsidRPr="009A344E">
        <w:rPr>
          <w:b/>
          <w:sz w:val="24"/>
          <w:szCs w:val="24"/>
        </w:rPr>
        <w:t xml:space="preserve">Products available under the </w:t>
      </w:r>
      <w:r w:rsidR="00EE71BC">
        <w:rPr>
          <w:b/>
          <w:sz w:val="24"/>
          <w:szCs w:val="24"/>
        </w:rPr>
        <w:t>N</w:t>
      </w:r>
      <w:r w:rsidRPr="009A344E">
        <w:rPr>
          <w:b/>
          <w:sz w:val="24"/>
          <w:szCs w:val="24"/>
        </w:rPr>
        <w:t xml:space="preserve">ational </w:t>
      </w:r>
      <w:r w:rsidR="00EE71BC">
        <w:rPr>
          <w:b/>
          <w:sz w:val="24"/>
          <w:szCs w:val="24"/>
        </w:rPr>
        <w:t>B</w:t>
      </w:r>
      <w:r w:rsidRPr="009A344E">
        <w:rPr>
          <w:b/>
          <w:sz w:val="24"/>
          <w:szCs w:val="24"/>
        </w:rPr>
        <w:t xml:space="preserve">lood </w:t>
      </w:r>
      <w:r w:rsidR="00EE71BC">
        <w:rPr>
          <w:b/>
          <w:sz w:val="24"/>
          <w:szCs w:val="24"/>
        </w:rPr>
        <w:t xml:space="preserve">Supply (NBS) </w:t>
      </w:r>
      <w:r w:rsidRPr="009A344E">
        <w:rPr>
          <w:b/>
          <w:sz w:val="24"/>
          <w:szCs w:val="24"/>
        </w:rPr>
        <w:t>arrangements (i.e. funded 63% by the Commonwealth and 37% by the states/territories)</w:t>
      </w:r>
    </w:p>
    <w:p w:rsidR="004B72C6" w:rsidRPr="009A344E" w:rsidRDefault="004B72C6" w:rsidP="004B72C6">
      <w:pPr>
        <w:rPr>
          <w:sz w:val="24"/>
          <w:szCs w:val="24"/>
        </w:rPr>
      </w:pPr>
      <w:r w:rsidRPr="009A344E">
        <w:rPr>
          <w:sz w:val="24"/>
          <w:szCs w:val="24"/>
        </w:rPr>
        <w:t>From 1 Jan</w:t>
      </w:r>
      <w:r w:rsidR="00681D4C" w:rsidRPr="009A344E">
        <w:rPr>
          <w:sz w:val="24"/>
          <w:szCs w:val="24"/>
        </w:rPr>
        <w:t>u</w:t>
      </w:r>
      <w:r w:rsidRPr="009A344E">
        <w:rPr>
          <w:sz w:val="24"/>
          <w:szCs w:val="24"/>
        </w:rPr>
        <w:t xml:space="preserve">ary 2012 </w:t>
      </w:r>
      <w:r w:rsidR="00EE6FF8" w:rsidRPr="009A344E">
        <w:rPr>
          <w:sz w:val="24"/>
          <w:szCs w:val="24"/>
        </w:rPr>
        <w:t xml:space="preserve">there will be </w:t>
      </w:r>
      <w:r w:rsidR="00961BEC" w:rsidRPr="009A344E">
        <w:rPr>
          <w:sz w:val="24"/>
          <w:szCs w:val="24"/>
        </w:rPr>
        <w:t>two</w:t>
      </w:r>
      <w:r w:rsidRPr="009A344E">
        <w:rPr>
          <w:sz w:val="24"/>
          <w:szCs w:val="24"/>
        </w:rPr>
        <w:t xml:space="preserve"> imported IVIg products </w:t>
      </w:r>
      <w:r w:rsidR="00EE6FF8" w:rsidRPr="009A344E">
        <w:rPr>
          <w:sz w:val="24"/>
          <w:szCs w:val="24"/>
        </w:rPr>
        <w:t xml:space="preserve">available </w:t>
      </w:r>
      <w:r w:rsidRPr="009A344E">
        <w:rPr>
          <w:sz w:val="24"/>
          <w:szCs w:val="24"/>
        </w:rPr>
        <w:t xml:space="preserve">under </w:t>
      </w:r>
      <w:r w:rsidR="00EE71BC">
        <w:rPr>
          <w:sz w:val="24"/>
          <w:szCs w:val="24"/>
        </w:rPr>
        <w:t>the NBS</w:t>
      </w:r>
      <w:r w:rsidR="00911280" w:rsidRPr="009A344E">
        <w:rPr>
          <w:sz w:val="24"/>
          <w:szCs w:val="24"/>
        </w:rPr>
        <w:t xml:space="preserve"> </w:t>
      </w:r>
      <w:r w:rsidRPr="009A344E">
        <w:rPr>
          <w:sz w:val="24"/>
          <w:szCs w:val="24"/>
        </w:rPr>
        <w:t>arrangements</w:t>
      </w:r>
      <w:r w:rsidR="002328B9" w:rsidRPr="009A344E">
        <w:rPr>
          <w:sz w:val="24"/>
          <w:szCs w:val="24"/>
        </w:rPr>
        <w:t xml:space="preserve"> </w:t>
      </w:r>
      <w:r w:rsidRPr="009A344E">
        <w:rPr>
          <w:sz w:val="24"/>
          <w:szCs w:val="24"/>
        </w:rPr>
        <w:t>– Kiovig</w:t>
      </w:r>
      <w:r w:rsidR="00B306FA" w:rsidRPr="009A344E">
        <w:rPr>
          <w:sz w:val="24"/>
          <w:szCs w:val="24"/>
        </w:rPr>
        <w:t>,</w:t>
      </w:r>
      <w:r w:rsidR="00E30B2D" w:rsidRPr="009A344E">
        <w:rPr>
          <w:sz w:val="24"/>
          <w:szCs w:val="24"/>
        </w:rPr>
        <w:t xml:space="preserve"> a </w:t>
      </w:r>
      <w:r w:rsidRPr="009A344E">
        <w:rPr>
          <w:sz w:val="24"/>
          <w:szCs w:val="24"/>
        </w:rPr>
        <w:t>10%</w:t>
      </w:r>
      <w:r w:rsidR="003A12BE" w:rsidRPr="009A344E">
        <w:rPr>
          <w:sz w:val="24"/>
          <w:szCs w:val="24"/>
        </w:rPr>
        <w:t> </w:t>
      </w:r>
      <w:r w:rsidR="00E30B2D" w:rsidRPr="009A344E">
        <w:rPr>
          <w:sz w:val="24"/>
          <w:szCs w:val="24"/>
        </w:rPr>
        <w:t>concentration product</w:t>
      </w:r>
      <w:r w:rsidR="00B306FA" w:rsidRPr="009A344E">
        <w:rPr>
          <w:sz w:val="24"/>
          <w:szCs w:val="24"/>
        </w:rPr>
        <w:t xml:space="preserve"> supplied by Baxter </w:t>
      </w:r>
      <w:r w:rsidR="009A344E">
        <w:rPr>
          <w:sz w:val="24"/>
          <w:szCs w:val="24"/>
        </w:rPr>
        <w:t>Healthcare</w:t>
      </w:r>
      <w:r w:rsidR="00B306FA" w:rsidRPr="009A344E">
        <w:rPr>
          <w:sz w:val="24"/>
          <w:szCs w:val="24"/>
        </w:rPr>
        <w:t xml:space="preserve"> Pty Ltd,</w:t>
      </w:r>
      <w:r w:rsidR="00884BDD" w:rsidRPr="009A344E">
        <w:rPr>
          <w:sz w:val="24"/>
          <w:szCs w:val="24"/>
        </w:rPr>
        <w:t xml:space="preserve"> and </w:t>
      </w:r>
      <w:r w:rsidRPr="009A344E">
        <w:rPr>
          <w:sz w:val="24"/>
          <w:szCs w:val="24"/>
        </w:rPr>
        <w:t>Octagam</w:t>
      </w:r>
      <w:r w:rsidR="00B306FA" w:rsidRPr="009A344E">
        <w:rPr>
          <w:sz w:val="24"/>
          <w:szCs w:val="24"/>
        </w:rPr>
        <w:t>,</w:t>
      </w:r>
      <w:r w:rsidRPr="009A344E">
        <w:rPr>
          <w:sz w:val="24"/>
          <w:szCs w:val="24"/>
        </w:rPr>
        <w:t xml:space="preserve"> </w:t>
      </w:r>
      <w:r w:rsidR="00E30B2D" w:rsidRPr="009A344E">
        <w:rPr>
          <w:sz w:val="24"/>
          <w:szCs w:val="24"/>
        </w:rPr>
        <w:t xml:space="preserve">a </w:t>
      </w:r>
      <w:r w:rsidRPr="009A344E">
        <w:rPr>
          <w:sz w:val="24"/>
          <w:szCs w:val="24"/>
        </w:rPr>
        <w:t>5%</w:t>
      </w:r>
      <w:r w:rsidR="003A12BE" w:rsidRPr="009A344E">
        <w:rPr>
          <w:sz w:val="24"/>
          <w:szCs w:val="24"/>
        </w:rPr>
        <w:t> </w:t>
      </w:r>
      <w:r w:rsidR="00E30B2D" w:rsidRPr="009A344E">
        <w:rPr>
          <w:sz w:val="24"/>
          <w:szCs w:val="24"/>
        </w:rPr>
        <w:t>concentration product</w:t>
      </w:r>
      <w:r w:rsidR="00B306FA" w:rsidRPr="009A344E">
        <w:rPr>
          <w:sz w:val="24"/>
          <w:szCs w:val="24"/>
        </w:rPr>
        <w:t xml:space="preserve"> supplied by Octapharma Australia Pty Ltd</w:t>
      </w:r>
      <w:r w:rsidRPr="009A344E">
        <w:rPr>
          <w:sz w:val="24"/>
          <w:szCs w:val="24"/>
        </w:rPr>
        <w:t>.</w:t>
      </w:r>
      <w:r w:rsidR="00884BDD" w:rsidRPr="009A344E">
        <w:rPr>
          <w:sz w:val="24"/>
          <w:szCs w:val="24"/>
        </w:rPr>
        <w:t xml:space="preserve">  A 10% </w:t>
      </w:r>
      <w:r w:rsidR="00B306FA" w:rsidRPr="009A344E">
        <w:rPr>
          <w:sz w:val="24"/>
          <w:szCs w:val="24"/>
        </w:rPr>
        <w:t xml:space="preserve">formulation </w:t>
      </w:r>
      <w:r w:rsidR="00884BDD" w:rsidRPr="009A344E">
        <w:rPr>
          <w:sz w:val="24"/>
          <w:szCs w:val="24"/>
        </w:rPr>
        <w:t>of Octagam is also expected to be</w:t>
      </w:r>
      <w:r w:rsidR="0070543C" w:rsidRPr="009A344E">
        <w:rPr>
          <w:sz w:val="24"/>
          <w:szCs w:val="24"/>
        </w:rPr>
        <w:t>come</w:t>
      </w:r>
      <w:r w:rsidR="00884BDD" w:rsidRPr="009A344E">
        <w:rPr>
          <w:sz w:val="24"/>
          <w:szCs w:val="24"/>
        </w:rPr>
        <w:t xml:space="preserve"> </w:t>
      </w:r>
      <w:r w:rsidR="000921E8">
        <w:rPr>
          <w:sz w:val="24"/>
          <w:szCs w:val="24"/>
        </w:rPr>
        <w:t xml:space="preserve">available </w:t>
      </w:r>
      <w:r w:rsidR="0070543C" w:rsidRPr="009A344E">
        <w:rPr>
          <w:sz w:val="24"/>
          <w:szCs w:val="24"/>
        </w:rPr>
        <w:t>during</w:t>
      </w:r>
      <w:r w:rsidR="00884BDD" w:rsidRPr="009A344E">
        <w:rPr>
          <w:sz w:val="24"/>
          <w:szCs w:val="24"/>
        </w:rPr>
        <w:t xml:space="preserve"> 2012.</w:t>
      </w:r>
      <w:r w:rsidR="002F3731" w:rsidRPr="009A344E">
        <w:rPr>
          <w:sz w:val="24"/>
          <w:szCs w:val="24"/>
        </w:rPr>
        <w:t xml:space="preserve"> </w:t>
      </w:r>
      <w:r w:rsidR="001C7E2B" w:rsidRPr="009A344E">
        <w:rPr>
          <w:sz w:val="24"/>
          <w:szCs w:val="24"/>
        </w:rPr>
        <w:t xml:space="preserve"> </w:t>
      </w:r>
      <w:r w:rsidR="009A344E">
        <w:rPr>
          <w:sz w:val="24"/>
          <w:szCs w:val="24"/>
        </w:rPr>
        <w:t>When a request for IVIg is to be fulfilled with imported IVIg, c</w:t>
      </w:r>
      <w:r w:rsidR="001C7E2B" w:rsidRPr="009A344E">
        <w:rPr>
          <w:sz w:val="24"/>
          <w:szCs w:val="24"/>
        </w:rPr>
        <w:t>linicians will now be able to choose between the different available products to best suit their patients’ needs (within the requirements of any local policies).</w:t>
      </w:r>
    </w:p>
    <w:p w:rsidR="0070543C" w:rsidRPr="009A344E" w:rsidRDefault="00582CEE">
      <w:pPr>
        <w:rPr>
          <w:sz w:val="24"/>
          <w:szCs w:val="24"/>
        </w:rPr>
      </w:pPr>
      <w:r w:rsidRPr="009A344E">
        <w:rPr>
          <w:sz w:val="24"/>
          <w:szCs w:val="24"/>
        </w:rPr>
        <w:t xml:space="preserve">The new contracts will ensure </w:t>
      </w:r>
      <w:r w:rsidR="00F52CB6" w:rsidRPr="009A344E">
        <w:rPr>
          <w:sz w:val="24"/>
          <w:szCs w:val="24"/>
        </w:rPr>
        <w:t xml:space="preserve">sufficient supply of IVIg for all </w:t>
      </w:r>
      <w:r w:rsidR="0036687D" w:rsidRPr="009A344E">
        <w:rPr>
          <w:sz w:val="24"/>
          <w:szCs w:val="24"/>
        </w:rPr>
        <w:t xml:space="preserve">indications </w:t>
      </w:r>
      <w:r w:rsidR="00B306FA" w:rsidRPr="009A344E">
        <w:rPr>
          <w:sz w:val="24"/>
          <w:szCs w:val="24"/>
        </w:rPr>
        <w:t xml:space="preserve">funded under </w:t>
      </w:r>
      <w:r w:rsidR="00197AA1" w:rsidRPr="009A344E">
        <w:rPr>
          <w:sz w:val="24"/>
          <w:szCs w:val="24"/>
        </w:rPr>
        <w:t xml:space="preserve">the </w:t>
      </w:r>
      <w:r w:rsidR="00197AA1" w:rsidRPr="009A344E">
        <w:rPr>
          <w:i/>
          <w:sz w:val="24"/>
          <w:szCs w:val="24"/>
        </w:rPr>
        <w:t xml:space="preserve">Criteria for </w:t>
      </w:r>
      <w:r w:rsidR="000921E8">
        <w:rPr>
          <w:i/>
          <w:sz w:val="24"/>
          <w:szCs w:val="24"/>
        </w:rPr>
        <w:t xml:space="preserve">the </w:t>
      </w:r>
      <w:r w:rsidR="00197AA1" w:rsidRPr="009A344E">
        <w:rPr>
          <w:i/>
          <w:sz w:val="24"/>
          <w:szCs w:val="24"/>
        </w:rPr>
        <w:t>Clinical Use of IVIg in Australia</w:t>
      </w:r>
      <w:r w:rsidR="0036687D" w:rsidRPr="009A344E">
        <w:rPr>
          <w:i/>
          <w:sz w:val="24"/>
          <w:szCs w:val="24"/>
        </w:rPr>
        <w:t>*</w:t>
      </w:r>
      <w:r w:rsidR="007B2CAD" w:rsidRPr="009A344E">
        <w:rPr>
          <w:sz w:val="24"/>
          <w:szCs w:val="24"/>
        </w:rPr>
        <w:t>.</w:t>
      </w:r>
      <w:r w:rsidR="00E023F9" w:rsidRPr="009A344E">
        <w:rPr>
          <w:sz w:val="24"/>
          <w:szCs w:val="24"/>
        </w:rPr>
        <w:t xml:space="preserve">  </w:t>
      </w:r>
    </w:p>
    <w:p w:rsidR="0070543C" w:rsidRPr="009A344E" w:rsidRDefault="0070543C" w:rsidP="0070543C">
      <w:pPr>
        <w:rPr>
          <w:b/>
          <w:sz w:val="24"/>
          <w:szCs w:val="24"/>
        </w:rPr>
      </w:pPr>
      <w:r w:rsidRPr="009A344E">
        <w:rPr>
          <w:b/>
          <w:sz w:val="24"/>
          <w:szCs w:val="24"/>
        </w:rPr>
        <w:t xml:space="preserve">Products available </w:t>
      </w:r>
      <w:r w:rsidR="00EE71BC">
        <w:rPr>
          <w:b/>
          <w:sz w:val="24"/>
          <w:szCs w:val="24"/>
        </w:rPr>
        <w:t>under</w:t>
      </w:r>
      <w:r w:rsidRPr="009A344E">
        <w:rPr>
          <w:b/>
          <w:sz w:val="24"/>
          <w:szCs w:val="24"/>
        </w:rPr>
        <w:t xml:space="preserve"> </w:t>
      </w:r>
      <w:r w:rsidR="00EE71BC">
        <w:rPr>
          <w:b/>
          <w:sz w:val="24"/>
          <w:szCs w:val="24"/>
        </w:rPr>
        <w:t xml:space="preserve">the </w:t>
      </w:r>
      <w:r w:rsidR="0036687D" w:rsidRPr="009A344E">
        <w:rPr>
          <w:b/>
          <w:sz w:val="24"/>
          <w:szCs w:val="24"/>
        </w:rPr>
        <w:t xml:space="preserve">Jurisdictional </w:t>
      </w:r>
      <w:r w:rsidRPr="009A344E">
        <w:rPr>
          <w:b/>
          <w:sz w:val="24"/>
          <w:szCs w:val="24"/>
        </w:rPr>
        <w:t>Direct Order</w:t>
      </w:r>
      <w:r w:rsidR="00EE71BC">
        <w:rPr>
          <w:b/>
          <w:sz w:val="24"/>
          <w:szCs w:val="24"/>
        </w:rPr>
        <w:t xml:space="preserve"> arrangements</w:t>
      </w:r>
      <w:r w:rsidRPr="009A344E">
        <w:rPr>
          <w:b/>
          <w:sz w:val="24"/>
          <w:szCs w:val="24"/>
        </w:rPr>
        <w:t xml:space="preserve"> (i.e. no fundin</w:t>
      </w:r>
      <w:r w:rsidR="009A54D8">
        <w:rPr>
          <w:b/>
          <w:sz w:val="24"/>
          <w:szCs w:val="24"/>
        </w:rPr>
        <w:t>g provided by the Commonwealth)</w:t>
      </w:r>
    </w:p>
    <w:p w:rsidR="00DB5679" w:rsidRPr="009A344E" w:rsidRDefault="00B306FA">
      <w:pPr>
        <w:rPr>
          <w:sz w:val="24"/>
          <w:szCs w:val="24"/>
        </w:rPr>
      </w:pPr>
      <w:r w:rsidRPr="009A344E">
        <w:rPr>
          <w:sz w:val="24"/>
          <w:szCs w:val="24"/>
        </w:rPr>
        <w:t xml:space="preserve">For indications which are not funded under the </w:t>
      </w:r>
      <w:r w:rsidRPr="009A344E">
        <w:rPr>
          <w:i/>
          <w:sz w:val="24"/>
          <w:szCs w:val="24"/>
        </w:rPr>
        <w:t>Criteria</w:t>
      </w:r>
      <w:r w:rsidR="00EC723E">
        <w:rPr>
          <w:i/>
          <w:sz w:val="24"/>
          <w:szCs w:val="24"/>
        </w:rPr>
        <w:t xml:space="preserve">, </w:t>
      </w:r>
      <w:r w:rsidR="00EC723E" w:rsidRPr="009A344E">
        <w:rPr>
          <w:sz w:val="24"/>
          <w:szCs w:val="24"/>
        </w:rPr>
        <w:t xml:space="preserve">i.e. therefore not funded under the </w:t>
      </w:r>
      <w:r w:rsidR="009A54D8">
        <w:rPr>
          <w:sz w:val="24"/>
          <w:szCs w:val="24"/>
        </w:rPr>
        <w:t>NBS</w:t>
      </w:r>
      <w:r w:rsidR="00EC723E" w:rsidRPr="009A344E">
        <w:rPr>
          <w:sz w:val="24"/>
          <w:szCs w:val="24"/>
        </w:rPr>
        <w:t xml:space="preserve"> arrangements</w:t>
      </w:r>
      <w:r w:rsidRPr="009A344E">
        <w:rPr>
          <w:sz w:val="24"/>
          <w:szCs w:val="24"/>
        </w:rPr>
        <w:t>,</w:t>
      </w:r>
      <w:r w:rsidRPr="009A344E">
        <w:rPr>
          <w:i/>
          <w:sz w:val="24"/>
          <w:szCs w:val="24"/>
        </w:rPr>
        <w:t xml:space="preserve"> </w:t>
      </w:r>
      <w:r w:rsidR="00582CEE" w:rsidRPr="009A344E">
        <w:rPr>
          <w:sz w:val="24"/>
          <w:szCs w:val="24"/>
        </w:rPr>
        <w:t xml:space="preserve">Kiovig and </w:t>
      </w:r>
      <w:r w:rsidRPr="009A344E">
        <w:rPr>
          <w:sz w:val="24"/>
          <w:szCs w:val="24"/>
        </w:rPr>
        <w:t xml:space="preserve">Octagam </w:t>
      </w:r>
      <w:r w:rsidR="00582CEE" w:rsidRPr="009A344E">
        <w:rPr>
          <w:sz w:val="24"/>
          <w:szCs w:val="24"/>
        </w:rPr>
        <w:t xml:space="preserve">will </w:t>
      </w:r>
      <w:r w:rsidR="009A344E">
        <w:rPr>
          <w:sz w:val="24"/>
          <w:szCs w:val="24"/>
        </w:rPr>
        <w:t xml:space="preserve">also </w:t>
      </w:r>
      <w:r w:rsidR="00582CEE" w:rsidRPr="009A344E">
        <w:rPr>
          <w:sz w:val="24"/>
          <w:szCs w:val="24"/>
        </w:rPr>
        <w:t xml:space="preserve">be available </w:t>
      </w:r>
      <w:r w:rsidR="000921E8" w:rsidRPr="009A344E">
        <w:rPr>
          <w:sz w:val="24"/>
          <w:szCs w:val="24"/>
        </w:rPr>
        <w:t>under</w:t>
      </w:r>
      <w:r w:rsidR="000921E8">
        <w:rPr>
          <w:sz w:val="24"/>
          <w:szCs w:val="24"/>
        </w:rPr>
        <w:t xml:space="preserve"> Jurisdictional </w:t>
      </w:r>
      <w:r w:rsidRPr="009A344E">
        <w:rPr>
          <w:sz w:val="24"/>
          <w:szCs w:val="24"/>
        </w:rPr>
        <w:t>Direct Order</w:t>
      </w:r>
      <w:r w:rsidR="000921E8">
        <w:rPr>
          <w:sz w:val="24"/>
          <w:szCs w:val="24"/>
        </w:rPr>
        <w:t xml:space="preserve"> (JDO)</w:t>
      </w:r>
      <w:r w:rsidRPr="009A344E">
        <w:rPr>
          <w:sz w:val="24"/>
          <w:szCs w:val="24"/>
        </w:rPr>
        <w:t xml:space="preserve"> arrangements</w:t>
      </w:r>
      <w:r w:rsidR="00582CEE" w:rsidRPr="009A344E">
        <w:rPr>
          <w:sz w:val="24"/>
          <w:szCs w:val="24"/>
        </w:rPr>
        <w:t xml:space="preserve">, together with </w:t>
      </w:r>
      <w:r w:rsidR="009A344E">
        <w:rPr>
          <w:sz w:val="24"/>
          <w:szCs w:val="24"/>
        </w:rPr>
        <w:t xml:space="preserve">Flebogamma </w:t>
      </w:r>
      <w:r w:rsidR="00582CEE" w:rsidRPr="009A344E">
        <w:rPr>
          <w:sz w:val="24"/>
          <w:szCs w:val="24"/>
        </w:rPr>
        <w:t>5% DIF supplied by Grifols Australia Pty Ltd</w:t>
      </w:r>
      <w:r w:rsidR="009A344E">
        <w:rPr>
          <w:sz w:val="24"/>
          <w:szCs w:val="24"/>
        </w:rPr>
        <w:t xml:space="preserve"> which is already </w:t>
      </w:r>
      <w:r w:rsidR="00582CEE" w:rsidRPr="009A344E">
        <w:rPr>
          <w:sz w:val="24"/>
          <w:szCs w:val="24"/>
        </w:rPr>
        <w:t xml:space="preserve">available under </w:t>
      </w:r>
      <w:r w:rsidR="009A344E">
        <w:rPr>
          <w:sz w:val="24"/>
          <w:szCs w:val="24"/>
        </w:rPr>
        <w:t>the</w:t>
      </w:r>
      <w:r w:rsidR="00582CEE" w:rsidRPr="009A344E">
        <w:rPr>
          <w:sz w:val="24"/>
          <w:szCs w:val="24"/>
        </w:rPr>
        <w:t xml:space="preserve"> </w:t>
      </w:r>
      <w:r w:rsidR="000921E8">
        <w:rPr>
          <w:sz w:val="24"/>
          <w:szCs w:val="24"/>
        </w:rPr>
        <w:t>JDO</w:t>
      </w:r>
      <w:r w:rsidR="00582CEE" w:rsidRPr="009A344E">
        <w:rPr>
          <w:sz w:val="24"/>
          <w:szCs w:val="24"/>
        </w:rPr>
        <w:t xml:space="preserve"> </w:t>
      </w:r>
      <w:r w:rsidR="009A344E">
        <w:rPr>
          <w:sz w:val="24"/>
          <w:szCs w:val="24"/>
        </w:rPr>
        <w:t>arrangements</w:t>
      </w:r>
      <w:r w:rsidR="000921E8">
        <w:rPr>
          <w:sz w:val="24"/>
          <w:szCs w:val="24"/>
        </w:rPr>
        <w:t>.</w:t>
      </w:r>
    </w:p>
    <w:p w:rsidR="000921E8" w:rsidRPr="009A344E" w:rsidRDefault="007A677E" w:rsidP="001B0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Benefits of the new IVIg tender</w:t>
      </w:r>
    </w:p>
    <w:p w:rsidR="001B0FFB" w:rsidRPr="009A344E" w:rsidRDefault="005B53EA" w:rsidP="001B0FFB">
      <w:pPr>
        <w:rPr>
          <w:sz w:val="24"/>
          <w:szCs w:val="24"/>
        </w:rPr>
      </w:pPr>
      <w:r w:rsidRPr="009A344E">
        <w:rPr>
          <w:sz w:val="24"/>
          <w:szCs w:val="24"/>
        </w:rPr>
        <w:t xml:space="preserve">The outcome of this tender </w:t>
      </w:r>
      <w:r w:rsidR="001C7E2B" w:rsidRPr="009A344E">
        <w:rPr>
          <w:sz w:val="24"/>
          <w:szCs w:val="24"/>
        </w:rPr>
        <w:t>maintains</w:t>
      </w:r>
      <w:r w:rsidRPr="009A344E">
        <w:rPr>
          <w:sz w:val="24"/>
          <w:szCs w:val="24"/>
        </w:rPr>
        <w:t xml:space="preserve"> availability of </w:t>
      </w:r>
      <w:r w:rsidR="001C7E2B" w:rsidRPr="009A344E">
        <w:rPr>
          <w:sz w:val="24"/>
          <w:szCs w:val="24"/>
        </w:rPr>
        <w:t xml:space="preserve">IVIg </w:t>
      </w:r>
      <w:r w:rsidRPr="009A344E">
        <w:rPr>
          <w:sz w:val="24"/>
          <w:szCs w:val="24"/>
        </w:rPr>
        <w:t>product</w:t>
      </w:r>
      <w:r w:rsidR="001C7E2B" w:rsidRPr="009A344E">
        <w:rPr>
          <w:sz w:val="24"/>
          <w:szCs w:val="24"/>
        </w:rPr>
        <w:t>s</w:t>
      </w:r>
      <w:r w:rsidRPr="009A344E">
        <w:rPr>
          <w:sz w:val="24"/>
          <w:szCs w:val="24"/>
        </w:rPr>
        <w:t xml:space="preserve"> for Australian patients </w:t>
      </w:r>
      <w:r w:rsidR="009A344E">
        <w:rPr>
          <w:sz w:val="24"/>
          <w:szCs w:val="24"/>
        </w:rPr>
        <w:t xml:space="preserve">and improves supplier performance requirements and </w:t>
      </w:r>
      <w:r w:rsidR="001C7E2B" w:rsidRPr="009A344E">
        <w:rPr>
          <w:sz w:val="24"/>
          <w:szCs w:val="24"/>
        </w:rPr>
        <w:t>supply security measures</w:t>
      </w:r>
      <w:r w:rsidRPr="009A344E">
        <w:rPr>
          <w:sz w:val="24"/>
          <w:szCs w:val="24"/>
        </w:rPr>
        <w:t xml:space="preserve"> to guard against risk to supply.</w:t>
      </w:r>
      <w:r w:rsidR="00E023F9" w:rsidRPr="009A344E">
        <w:rPr>
          <w:sz w:val="24"/>
          <w:szCs w:val="24"/>
        </w:rPr>
        <w:t xml:space="preserve">  T</w:t>
      </w:r>
      <w:r w:rsidR="001B0FFB" w:rsidRPr="009A344E">
        <w:rPr>
          <w:sz w:val="24"/>
          <w:szCs w:val="24"/>
        </w:rPr>
        <w:t xml:space="preserve">he NBA estimates the </w:t>
      </w:r>
      <w:r w:rsidR="001C7E2B" w:rsidRPr="009A344E">
        <w:rPr>
          <w:sz w:val="24"/>
          <w:szCs w:val="24"/>
        </w:rPr>
        <w:t>outcome of the tender</w:t>
      </w:r>
      <w:r w:rsidR="001B0FFB" w:rsidRPr="009A344E">
        <w:rPr>
          <w:sz w:val="24"/>
          <w:szCs w:val="24"/>
        </w:rPr>
        <w:t xml:space="preserve"> will save the Australian community between $</w:t>
      </w:r>
      <w:r w:rsidR="001C7E2B" w:rsidRPr="009A344E">
        <w:rPr>
          <w:sz w:val="24"/>
          <w:szCs w:val="24"/>
        </w:rPr>
        <w:t>13</w:t>
      </w:r>
      <w:r w:rsidR="001B0FFB" w:rsidRPr="009A344E">
        <w:rPr>
          <w:sz w:val="24"/>
          <w:szCs w:val="24"/>
        </w:rPr>
        <w:t xml:space="preserve"> million and $</w:t>
      </w:r>
      <w:r w:rsidR="001C7E2B" w:rsidRPr="009A344E">
        <w:rPr>
          <w:sz w:val="24"/>
          <w:szCs w:val="24"/>
        </w:rPr>
        <w:t>16</w:t>
      </w:r>
      <w:r w:rsidR="001B0FFB" w:rsidRPr="009A344E">
        <w:rPr>
          <w:sz w:val="24"/>
          <w:szCs w:val="24"/>
        </w:rPr>
        <w:t xml:space="preserve"> million per year,</w:t>
      </w:r>
      <w:r w:rsidR="001C7E2B" w:rsidRPr="009A344E">
        <w:rPr>
          <w:sz w:val="24"/>
          <w:szCs w:val="24"/>
        </w:rPr>
        <w:t xml:space="preserve"> with improved </w:t>
      </w:r>
      <w:r w:rsidR="00CD2112" w:rsidRPr="009A344E">
        <w:rPr>
          <w:sz w:val="24"/>
          <w:szCs w:val="24"/>
        </w:rPr>
        <w:t xml:space="preserve">performance </w:t>
      </w:r>
      <w:r w:rsidR="00CD2112" w:rsidRPr="009A344E">
        <w:rPr>
          <w:sz w:val="24"/>
          <w:szCs w:val="24"/>
        </w:rPr>
        <w:lastRenderedPageBreak/>
        <w:t>measures for suppliers.</w:t>
      </w:r>
      <w:r w:rsidR="001B0FFB" w:rsidRPr="009A344E">
        <w:rPr>
          <w:sz w:val="24"/>
          <w:szCs w:val="24"/>
        </w:rPr>
        <w:t xml:space="preserve">  The new arrangements will remain in pla</w:t>
      </w:r>
      <w:r w:rsidR="009A344E">
        <w:rPr>
          <w:sz w:val="24"/>
          <w:szCs w:val="24"/>
        </w:rPr>
        <w:t>ce for a minimum of three years, to 31 December 2014</w:t>
      </w:r>
      <w:r w:rsidR="001B0FFB" w:rsidRPr="009A344E">
        <w:rPr>
          <w:sz w:val="24"/>
          <w:szCs w:val="24"/>
        </w:rPr>
        <w:t>.</w:t>
      </w:r>
    </w:p>
    <w:p w:rsidR="008F14C5" w:rsidRPr="009A344E" w:rsidRDefault="00766F09">
      <w:pPr>
        <w:rPr>
          <w:sz w:val="24"/>
          <w:szCs w:val="24"/>
        </w:rPr>
      </w:pPr>
      <w:r w:rsidRPr="009A344E">
        <w:rPr>
          <w:sz w:val="24"/>
          <w:szCs w:val="24"/>
        </w:rPr>
        <w:t xml:space="preserve">The </w:t>
      </w:r>
      <w:r w:rsidR="00CB41AB" w:rsidRPr="009A344E">
        <w:rPr>
          <w:sz w:val="24"/>
          <w:szCs w:val="24"/>
        </w:rPr>
        <w:t xml:space="preserve">NBA will work with the suppliers and the Australian Red Cross Blood Service </w:t>
      </w:r>
      <w:r w:rsidR="009A344E">
        <w:rPr>
          <w:sz w:val="24"/>
          <w:szCs w:val="24"/>
        </w:rPr>
        <w:t xml:space="preserve">in its role as distributor of IVIg under the NBS arrangements, </w:t>
      </w:r>
      <w:r w:rsidR="00CB41AB" w:rsidRPr="009A344E">
        <w:rPr>
          <w:sz w:val="24"/>
          <w:szCs w:val="24"/>
        </w:rPr>
        <w:t>to ensure a smooth transition to the new arrangements</w:t>
      </w:r>
      <w:r w:rsidRPr="009A344E">
        <w:rPr>
          <w:sz w:val="24"/>
          <w:szCs w:val="24"/>
        </w:rPr>
        <w:t>.</w:t>
      </w:r>
    </w:p>
    <w:p w:rsidR="006027EC" w:rsidRPr="009A344E" w:rsidRDefault="006027EC">
      <w:pPr>
        <w:rPr>
          <w:b/>
          <w:sz w:val="24"/>
          <w:szCs w:val="24"/>
        </w:rPr>
      </w:pPr>
      <w:r w:rsidRPr="009A344E">
        <w:rPr>
          <w:b/>
          <w:sz w:val="24"/>
          <w:szCs w:val="24"/>
        </w:rPr>
        <w:t>Contact</w:t>
      </w:r>
    </w:p>
    <w:p w:rsidR="006027EC" w:rsidRPr="009A344E" w:rsidRDefault="00355DE0">
      <w:pPr>
        <w:rPr>
          <w:sz w:val="24"/>
          <w:szCs w:val="24"/>
        </w:rPr>
      </w:pPr>
      <w:r w:rsidRPr="009A344E">
        <w:rPr>
          <w:sz w:val="24"/>
          <w:szCs w:val="24"/>
        </w:rPr>
        <w:t>Michael Stone</w:t>
      </w:r>
      <w:r w:rsidRPr="009A344E">
        <w:rPr>
          <w:sz w:val="24"/>
          <w:szCs w:val="24"/>
        </w:rPr>
        <w:br/>
        <w:t>02 6211 8307</w:t>
      </w:r>
    </w:p>
    <w:p w:rsidR="0036687D" w:rsidRPr="009A344E" w:rsidRDefault="0036687D" w:rsidP="0036687D">
      <w:pPr>
        <w:rPr>
          <w:sz w:val="24"/>
          <w:szCs w:val="24"/>
        </w:rPr>
      </w:pPr>
      <w:r w:rsidRPr="009A344E">
        <w:rPr>
          <w:sz w:val="24"/>
          <w:szCs w:val="24"/>
        </w:rPr>
        <w:t>*</w:t>
      </w:r>
      <w:r w:rsidRPr="009A344E">
        <w:rPr>
          <w:i/>
          <w:sz w:val="24"/>
          <w:szCs w:val="24"/>
        </w:rPr>
        <w:t>The Criteria for the Clinical Use of IVIg in Australia</w:t>
      </w:r>
      <w:r w:rsidRPr="009A344E">
        <w:rPr>
          <w:sz w:val="24"/>
          <w:szCs w:val="24"/>
        </w:rPr>
        <w:t xml:space="preserve"> (the Criteria</w:t>
      </w:r>
      <w:r w:rsidR="002B6569">
        <w:rPr>
          <w:sz w:val="24"/>
          <w:szCs w:val="24"/>
        </w:rPr>
        <w:t>, 2007</w:t>
      </w:r>
      <w:r w:rsidRPr="009A344E">
        <w:rPr>
          <w:sz w:val="24"/>
          <w:szCs w:val="24"/>
        </w:rPr>
        <w:t xml:space="preserve">) describes the qualifying criteria to receive IVIg funded under the </w:t>
      </w:r>
      <w:r w:rsidR="009A54D8">
        <w:rPr>
          <w:sz w:val="24"/>
          <w:szCs w:val="24"/>
        </w:rPr>
        <w:t>NBS</w:t>
      </w:r>
      <w:r w:rsidRPr="009A344E">
        <w:rPr>
          <w:sz w:val="24"/>
          <w:szCs w:val="24"/>
        </w:rPr>
        <w:t xml:space="preserve"> arrangements.</w:t>
      </w:r>
    </w:p>
    <w:p w:rsidR="00FC38FD" w:rsidRDefault="00FC38FD">
      <w:pPr>
        <w:rPr>
          <w:b/>
        </w:rPr>
        <w:sectPr w:rsidR="00FC38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B5679" w:rsidRPr="006027EC" w:rsidRDefault="00DB5679">
      <w:pPr>
        <w:rPr>
          <w:b/>
        </w:rPr>
      </w:pPr>
      <w:r w:rsidRPr="006027EC">
        <w:rPr>
          <w:b/>
        </w:rPr>
        <w:lastRenderedPageBreak/>
        <w:t xml:space="preserve">Background </w:t>
      </w:r>
    </w:p>
    <w:p w:rsidR="008108B4" w:rsidRDefault="008108B4">
      <w:r>
        <w:t xml:space="preserve">Australia has imported IVIg for a number of years to meet the gap between the supply of the domestically produced product (Intragam P) and demand for this product.  </w:t>
      </w:r>
    </w:p>
    <w:p w:rsidR="006B2BE1" w:rsidRDefault="006B2BE1" w:rsidP="006B2BE1">
      <w:pPr>
        <w:spacing w:before="100" w:beforeAutospacing="1" w:after="100" w:afterAutospacing="1"/>
      </w:pPr>
      <w:r>
        <w:t>The outcomes of the recent tender will be effective from 1 January 2012 to 31 December 2014, and may be extended for a further year.</w:t>
      </w:r>
      <w:r w:rsidR="005F71B0">
        <w:t xml:space="preserve">  Interim arrangements will be in place for the remainder of 2011.  The supply arrangements for IVIg from October 2011 are summarised below.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790"/>
        <w:gridCol w:w="2279"/>
        <w:gridCol w:w="2555"/>
        <w:gridCol w:w="2317"/>
        <w:gridCol w:w="2881"/>
      </w:tblGrid>
      <w:tr w:rsidR="005E122E" w:rsidRPr="005E122E" w:rsidTr="00CB3554">
        <w:trPr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E122E" w:rsidRPr="00CB3554" w:rsidRDefault="005E122E" w:rsidP="0070543C">
            <w:pPr>
              <w:spacing w:before="60" w:after="60"/>
              <w:rPr>
                <w:rFonts w:cs="Arial"/>
                <w:b/>
              </w:rPr>
            </w:pPr>
            <w:r w:rsidRPr="00CB3554">
              <w:rPr>
                <w:rFonts w:cs="Arial"/>
                <w:b/>
              </w:rPr>
              <w:t>Funding arrangement</w:t>
            </w:r>
          </w:p>
        </w:tc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E122E" w:rsidRPr="00CB3554" w:rsidRDefault="005E122E" w:rsidP="0070543C">
            <w:pPr>
              <w:spacing w:before="60" w:after="60"/>
              <w:rPr>
                <w:rFonts w:cs="Arial"/>
                <w:b/>
              </w:rPr>
            </w:pPr>
            <w:r w:rsidRPr="00CB3554">
              <w:rPr>
                <w:rFonts w:cs="Arial"/>
                <w:b/>
              </w:rPr>
              <w:t>What indications are funded?</w:t>
            </w:r>
          </w:p>
        </w:tc>
        <w:tc>
          <w:tcPr>
            <w:tcW w:w="4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E122E" w:rsidRPr="00CB3554" w:rsidRDefault="005E122E" w:rsidP="0070543C">
            <w:pPr>
              <w:spacing w:before="60" w:after="60"/>
              <w:rPr>
                <w:rFonts w:cs="Arial"/>
                <w:b/>
              </w:rPr>
            </w:pPr>
            <w:r w:rsidRPr="00CB3554">
              <w:rPr>
                <w:rFonts w:cs="Arial"/>
                <w:b/>
              </w:rPr>
              <w:t>What products are available?</w:t>
            </w:r>
          </w:p>
        </w:tc>
        <w:tc>
          <w:tcPr>
            <w:tcW w:w="2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E122E" w:rsidRPr="00CB3554" w:rsidRDefault="005E122E" w:rsidP="0070543C">
            <w:pPr>
              <w:spacing w:before="60" w:after="60"/>
              <w:rPr>
                <w:rFonts w:cs="Arial"/>
                <w:b/>
              </w:rPr>
            </w:pPr>
            <w:r w:rsidRPr="00CB3554">
              <w:rPr>
                <w:rFonts w:cs="Arial"/>
                <w:b/>
              </w:rPr>
              <w:t>Who pays for the product?</w:t>
            </w:r>
          </w:p>
        </w:tc>
        <w:tc>
          <w:tcPr>
            <w:tcW w:w="2881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BFBFBF"/>
            <w:vAlign w:val="center"/>
          </w:tcPr>
          <w:p w:rsidR="005E122E" w:rsidRPr="00CB3554" w:rsidRDefault="005E122E" w:rsidP="0070543C">
            <w:pPr>
              <w:spacing w:before="60" w:after="60"/>
              <w:rPr>
                <w:rFonts w:cs="Arial"/>
                <w:b/>
              </w:rPr>
            </w:pPr>
            <w:r w:rsidRPr="00CB3554">
              <w:rPr>
                <w:rFonts w:cs="Arial"/>
                <w:b/>
              </w:rPr>
              <w:t>How are products accessed?</w:t>
            </w:r>
          </w:p>
        </w:tc>
      </w:tr>
      <w:tr w:rsidR="005E122E" w:rsidRPr="005E122E" w:rsidTr="00CB3554">
        <w:trPr>
          <w:trHeight w:val="593"/>
          <w:tblCellSpacing w:w="0" w:type="dxa"/>
        </w:trPr>
        <w:tc>
          <w:tcPr>
            <w:tcW w:w="174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E122E" w:rsidRPr="00CB3554" w:rsidRDefault="005E122E" w:rsidP="0070543C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7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22E" w:rsidRPr="00CB3554" w:rsidRDefault="005E122E" w:rsidP="0070543C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E122E" w:rsidRPr="00CB3554" w:rsidRDefault="005E122E" w:rsidP="0070543C">
            <w:pPr>
              <w:spacing w:before="60" w:after="60"/>
              <w:rPr>
                <w:rFonts w:cs="Arial"/>
                <w:b/>
              </w:rPr>
            </w:pPr>
            <w:r w:rsidRPr="00CB3554">
              <w:rPr>
                <w:rFonts w:cs="Arial"/>
                <w:b/>
              </w:rPr>
              <w:t>24 Oct to 31 Dec 2011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5E122E" w:rsidRPr="00CB3554" w:rsidRDefault="005E122E" w:rsidP="0070543C">
            <w:pPr>
              <w:spacing w:before="60" w:after="60"/>
              <w:rPr>
                <w:rFonts w:cs="Arial"/>
                <w:b/>
              </w:rPr>
            </w:pPr>
            <w:r w:rsidRPr="00CB3554">
              <w:rPr>
                <w:rFonts w:cs="Arial"/>
                <w:b/>
              </w:rPr>
              <w:t>From 1 Jan 2012</w:t>
            </w:r>
          </w:p>
        </w:tc>
        <w:tc>
          <w:tcPr>
            <w:tcW w:w="2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22E" w:rsidRPr="00CB3554" w:rsidRDefault="005E122E" w:rsidP="0070543C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881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E122E" w:rsidRPr="00CB3554" w:rsidRDefault="005E122E" w:rsidP="0070543C">
            <w:pPr>
              <w:spacing w:before="120" w:after="120"/>
              <w:rPr>
                <w:rFonts w:cs="Arial"/>
                <w:b/>
              </w:rPr>
            </w:pPr>
          </w:p>
        </w:tc>
      </w:tr>
      <w:tr w:rsidR="005E122E" w:rsidRPr="005E122E" w:rsidTr="00CB3554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22E" w:rsidRPr="00CB3554" w:rsidRDefault="005E122E">
            <w:pPr>
              <w:spacing w:before="120" w:after="120"/>
              <w:rPr>
                <w:rFonts w:cs="Arial"/>
              </w:rPr>
            </w:pPr>
            <w:r w:rsidRPr="00CB3554">
              <w:rPr>
                <w:rFonts w:cs="Arial"/>
              </w:rPr>
              <w:t>National Blood Supply (NBS) Arrangement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22E" w:rsidRPr="00CB3554" w:rsidRDefault="005E122E" w:rsidP="00CB3554">
            <w:pPr>
              <w:spacing w:before="120" w:after="120"/>
              <w:rPr>
                <w:rFonts w:cs="Arial"/>
              </w:rPr>
            </w:pPr>
            <w:r w:rsidRPr="00CB3554">
              <w:rPr>
                <w:rFonts w:cs="Arial"/>
              </w:rPr>
              <w:t xml:space="preserve">Indications funded under the </w:t>
            </w:r>
            <w:hyperlink r:id="rId16" w:history="1">
              <w:r w:rsidRPr="00CB3554">
                <w:rPr>
                  <w:rFonts w:cs="Arial"/>
                  <w:i/>
                </w:rPr>
                <w:t>Criteria for the Clinical Use of IVIg in Australia</w:t>
              </w:r>
            </w:hyperlink>
            <w:r w:rsidRPr="00CB3554">
              <w:rPr>
                <w:rFonts w:cs="Arial"/>
              </w:rPr>
              <w:t xml:space="preserve"> (</w:t>
            </w:r>
            <w:hyperlink r:id="rId17" w:history="1">
              <w:r w:rsidRPr="00CB3554">
                <w:rPr>
                  <w:rStyle w:val="Hyperlink"/>
                </w:rPr>
                <w:t>Criteria</w:t>
              </w:r>
            </w:hyperlink>
            <w:r w:rsidRPr="00CB3554">
              <w:rPr>
                <w:rFonts w:cs="Arial"/>
              </w:rPr>
              <w:t>)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22E" w:rsidRPr="00CB3554" w:rsidRDefault="005E122E">
            <w:pPr>
              <w:spacing w:before="120" w:after="120"/>
              <w:rPr>
                <w:rFonts w:cs="Arial"/>
              </w:rPr>
            </w:pPr>
            <w:r w:rsidRPr="00CB3554">
              <w:rPr>
                <w:rFonts w:cs="Arial"/>
              </w:rPr>
              <w:t>Intragam P 6% (D)</w:t>
            </w:r>
          </w:p>
          <w:p w:rsidR="005E122E" w:rsidRPr="00CB3554" w:rsidRDefault="005E122E">
            <w:pPr>
              <w:spacing w:before="120" w:after="120"/>
              <w:rPr>
                <w:rFonts w:cs="Arial"/>
              </w:rPr>
            </w:pPr>
            <w:r w:rsidRPr="00CB3554">
              <w:rPr>
                <w:rFonts w:cs="Arial"/>
              </w:rPr>
              <w:t>Octagam 5% (I)</w:t>
            </w:r>
          </w:p>
          <w:p w:rsidR="005E122E" w:rsidRPr="00CB3554" w:rsidRDefault="005E122E">
            <w:pPr>
              <w:spacing w:before="120" w:after="120"/>
              <w:rPr>
                <w:rFonts w:cs="Arial"/>
              </w:rPr>
            </w:pPr>
            <w:r w:rsidRPr="00CB3554">
              <w:rPr>
                <w:rFonts w:cs="Arial"/>
              </w:rPr>
              <w:t>Flebogamma 5% DIF (I)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22E" w:rsidRPr="00CB3554" w:rsidRDefault="005E122E">
            <w:pPr>
              <w:spacing w:before="120" w:after="120"/>
              <w:rPr>
                <w:rFonts w:cs="Arial"/>
              </w:rPr>
            </w:pPr>
            <w:r w:rsidRPr="00CB3554">
              <w:rPr>
                <w:rFonts w:cs="Arial"/>
              </w:rPr>
              <w:t>Intragam P 6% (D)</w:t>
            </w:r>
          </w:p>
          <w:p w:rsidR="005E122E" w:rsidRPr="00CB3554" w:rsidRDefault="005E122E">
            <w:pPr>
              <w:spacing w:before="120" w:after="120"/>
              <w:rPr>
                <w:rFonts w:cs="Arial"/>
              </w:rPr>
            </w:pPr>
            <w:r w:rsidRPr="00CB3554">
              <w:rPr>
                <w:rFonts w:cs="Arial"/>
              </w:rPr>
              <w:t>Octagam 5% # (I)</w:t>
            </w:r>
          </w:p>
          <w:p w:rsidR="005E122E" w:rsidRPr="00CB3554" w:rsidRDefault="005E122E">
            <w:pPr>
              <w:spacing w:before="120" w:after="120"/>
              <w:rPr>
                <w:rFonts w:cs="Arial"/>
              </w:rPr>
            </w:pPr>
            <w:r w:rsidRPr="00CB3554">
              <w:rPr>
                <w:rFonts w:cs="Arial"/>
              </w:rPr>
              <w:t>Kiovig 10% (I)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22E" w:rsidRPr="00CB3554" w:rsidRDefault="005E122E">
            <w:pPr>
              <w:spacing w:before="120" w:after="120"/>
              <w:rPr>
                <w:rFonts w:cs="Arial"/>
              </w:rPr>
            </w:pPr>
            <w:r w:rsidRPr="00CB3554">
              <w:rPr>
                <w:rFonts w:cs="Arial"/>
              </w:rPr>
              <w:t>Cost is shared between the Commonwealth and the relevant State or Territory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122E" w:rsidRPr="00CB3554" w:rsidRDefault="005E122E">
            <w:pPr>
              <w:spacing w:before="120" w:after="120"/>
              <w:rPr>
                <w:rFonts w:cs="Arial"/>
              </w:rPr>
            </w:pPr>
            <w:r w:rsidRPr="00CB3554">
              <w:rPr>
                <w:rFonts w:cs="Arial"/>
              </w:rPr>
              <w:t>Ordered from and distributed by the Blood Service.</w:t>
            </w:r>
          </w:p>
        </w:tc>
      </w:tr>
      <w:tr w:rsidR="005E122E" w:rsidRPr="005E122E" w:rsidTr="00CB3554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22E" w:rsidRPr="00CB3554" w:rsidRDefault="0036687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Jurisdictional </w:t>
            </w:r>
            <w:r w:rsidR="005E122E" w:rsidRPr="00CB3554">
              <w:rPr>
                <w:rFonts w:cs="Arial"/>
              </w:rPr>
              <w:t>Direct Order (</w:t>
            </w:r>
            <w:r w:rsidR="009A344E">
              <w:rPr>
                <w:rFonts w:cs="Arial"/>
              </w:rPr>
              <w:t>J</w:t>
            </w:r>
            <w:r w:rsidR="005E122E" w:rsidRPr="00CB3554">
              <w:rPr>
                <w:rFonts w:cs="Arial"/>
              </w:rPr>
              <w:t>DO) Arrangement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22E" w:rsidRPr="00CB3554" w:rsidRDefault="005E122E">
            <w:pPr>
              <w:spacing w:before="120" w:after="120"/>
              <w:rPr>
                <w:rFonts w:cs="Arial"/>
              </w:rPr>
            </w:pPr>
            <w:r w:rsidRPr="00CB3554">
              <w:rPr>
                <w:rFonts w:cs="Arial"/>
              </w:rPr>
              <w:t xml:space="preserve">For indications that are not included under the </w:t>
            </w:r>
            <w:hyperlink r:id="rId18" w:history="1">
              <w:r w:rsidRPr="00CB3554">
                <w:rPr>
                  <w:rStyle w:val="Hyperlink"/>
                </w:rPr>
                <w:t>Criteria</w:t>
              </w:r>
            </w:hyperlink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22E" w:rsidRPr="00CB3554" w:rsidRDefault="005E122E">
            <w:pPr>
              <w:spacing w:before="120" w:after="120"/>
              <w:rPr>
                <w:rFonts w:cs="Arial"/>
              </w:rPr>
            </w:pPr>
            <w:r w:rsidRPr="00CB3554">
              <w:rPr>
                <w:rFonts w:cs="Arial"/>
              </w:rPr>
              <w:t>Octagam 5% (I)</w:t>
            </w:r>
          </w:p>
          <w:p w:rsidR="005E122E" w:rsidRPr="00CB3554" w:rsidRDefault="005E122E">
            <w:pPr>
              <w:spacing w:before="120" w:after="120"/>
              <w:rPr>
                <w:rFonts w:cs="Arial"/>
              </w:rPr>
            </w:pPr>
            <w:r w:rsidRPr="00CB3554">
              <w:rPr>
                <w:rFonts w:cs="Arial"/>
              </w:rPr>
              <w:t>Flebogamma 5% DIF (I)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22E" w:rsidRPr="00CB3554" w:rsidRDefault="005E122E">
            <w:pPr>
              <w:spacing w:before="120" w:after="120"/>
              <w:rPr>
                <w:rFonts w:cs="Arial"/>
              </w:rPr>
            </w:pPr>
            <w:r w:rsidRPr="00CB3554">
              <w:rPr>
                <w:rFonts w:cs="Arial"/>
              </w:rPr>
              <w:t>Octagam 5% # (I)</w:t>
            </w:r>
          </w:p>
          <w:p w:rsidR="005E122E" w:rsidRPr="00CB3554" w:rsidRDefault="005E122E">
            <w:pPr>
              <w:spacing w:before="120" w:after="120"/>
              <w:rPr>
                <w:rFonts w:cs="Arial"/>
              </w:rPr>
            </w:pPr>
            <w:r w:rsidRPr="00CB3554">
              <w:rPr>
                <w:rFonts w:cs="Arial"/>
              </w:rPr>
              <w:t>Flebogamma 5% DIF (I)</w:t>
            </w:r>
          </w:p>
          <w:p w:rsidR="005E122E" w:rsidRPr="00CB3554" w:rsidRDefault="005E122E">
            <w:pPr>
              <w:spacing w:before="120" w:after="120"/>
              <w:rPr>
                <w:rFonts w:cs="Arial"/>
              </w:rPr>
            </w:pPr>
            <w:r w:rsidRPr="00CB3554">
              <w:rPr>
                <w:rFonts w:cs="Arial"/>
              </w:rPr>
              <w:t>Kiovig 10% (I)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22E" w:rsidRPr="00CB3554" w:rsidRDefault="005E122E">
            <w:pPr>
              <w:spacing w:before="120" w:after="120"/>
              <w:rPr>
                <w:rFonts w:cs="Arial"/>
              </w:rPr>
            </w:pPr>
            <w:r w:rsidRPr="00CB3554">
              <w:rPr>
                <w:rFonts w:cs="Arial"/>
              </w:rPr>
              <w:t>Individual jurisdiction, hospital</w:t>
            </w:r>
            <w:r w:rsidR="00BC21F9">
              <w:rPr>
                <w:rFonts w:cs="Arial"/>
              </w:rPr>
              <w:t xml:space="preserve">, </w:t>
            </w:r>
            <w:r w:rsidR="00BC21F9" w:rsidRPr="00BC21F9">
              <w:rPr>
                <w:rFonts w:cs="Arial"/>
              </w:rPr>
              <w:t xml:space="preserve">the patient’s insurer by special </w:t>
            </w:r>
            <w:r w:rsidR="00FB50E6">
              <w:rPr>
                <w:rFonts w:cs="Arial"/>
              </w:rPr>
              <w:t>agreement/</w:t>
            </w:r>
            <w:r w:rsidR="00BC21F9" w:rsidRPr="00BC21F9">
              <w:rPr>
                <w:rFonts w:cs="Arial"/>
              </w:rPr>
              <w:t>arrangement</w:t>
            </w:r>
            <w:r w:rsidR="00BC21F9">
              <w:rPr>
                <w:rFonts w:cs="Arial"/>
              </w:rPr>
              <w:t xml:space="preserve">, </w:t>
            </w:r>
            <w:r w:rsidRPr="00CB3554">
              <w:rPr>
                <w:rFonts w:cs="Arial"/>
              </w:rPr>
              <w:t xml:space="preserve"> or patient bears full cost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122E" w:rsidRPr="00CB3554" w:rsidRDefault="005E122E">
            <w:pPr>
              <w:spacing w:before="120" w:after="120"/>
              <w:rPr>
                <w:rFonts w:cs="Arial"/>
              </w:rPr>
            </w:pPr>
            <w:r w:rsidRPr="00CB3554">
              <w:rPr>
                <w:rFonts w:cs="Arial"/>
              </w:rPr>
              <w:t>Ordered from and supplied directly by the commercial supplier.</w:t>
            </w:r>
          </w:p>
          <w:p w:rsidR="005E122E" w:rsidRPr="00CB3554" w:rsidRDefault="005E122E">
            <w:pPr>
              <w:spacing w:before="120" w:after="120"/>
              <w:rPr>
                <w:rFonts w:cs="Arial"/>
              </w:rPr>
            </w:pPr>
            <w:r w:rsidRPr="00CB3554">
              <w:rPr>
                <w:rFonts w:cs="Arial"/>
              </w:rPr>
              <w:t>Intragam P cannot be ordered under this arrangement</w:t>
            </w:r>
          </w:p>
        </w:tc>
      </w:tr>
      <w:tr w:rsidR="005E122E" w:rsidRPr="005E122E" w:rsidTr="00CB3554">
        <w:trPr>
          <w:tblCellSpacing w:w="0" w:type="dxa"/>
        </w:trPr>
        <w:tc>
          <w:tcPr>
            <w:tcW w:w="13347" w:type="dxa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E122E" w:rsidRPr="00CB3554" w:rsidRDefault="005E122E" w:rsidP="0070543C">
            <w:pPr>
              <w:autoSpaceDE w:val="0"/>
              <w:autoSpaceDN w:val="0"/>
              <w:adjustRightInd w:val="0"/>
              <w:spacing w:after="100"/>
              <w:rPr>
                <w:rFonts w:cs="Arial"/>
                <w:b/>
                <w:color w:val="000000"/>
              </w:rPr>
            </w:pPr>
            <w:r w:rsidRPr="00CB3554">
              <w:rPr>
                <w:rFonts w:cs="Arial"/>
                <w:b/>
                <w:color w:val="000000"/>
              </w:rPr>
              <w:t>KEY:</w:t>
            </w:r>
          </w:p>
          <w:p w:rsidR="005E122E" w:rsidRPr="00CB3554" w:rsidRDefault="005E122E" w:rsidP="0070543C">
            <w:pPr>
              <w:autoSpaceDE w:val="0"/>
              <w:autoSpaceDN w:val="0"/>
              <w:adjustRightInd w:val="0"/>
              <w:spacing w:after="100"/>
              <w:rPr>
                <w:rFonts w:cs="Arial"/>
                <w:color w:val="000000"/>
              </w:rPr>
            </w:pPr>
            <w:r w:rsidRPr="00CB3554">
              <w:rPr>
                <w:rFonts w:cs="Arial"/>
                <w:color w:val="000000"/>
              </w:rPr>
              <w:t>% = Product Concentration</w:t>
            </w:r>
          </w:p>
          <w:p w:rsidR="005E122E" w:rsidRPr="00CB3554" w:rsidRDefault="005E122E" w:rsidP="0070543C">
            <w:pPr>
              <w:autoSpaceDE w:val="0"/>
              <w:autoSpaceDN w:val="0"/>
              <w:adjustRightInd w:val="0"/>
              <w:spacing w:after="100"/>
              <w:rPr>
                <w:rFonts w:cs="Arial"/>
                <w:color w:val="000000"/>
              </w:rPr>
            </w:pPr>
            <w:r w:rsidRPr="00CB3554">
              <w:rPr>
                <w:rFonts w:cs="Arial"/>
                <w:color w:val="000000"/>
              </w:rPr>
              <w:t>D = Domestic Product</w:t>
            </w:r>
          </w:p>
          <w:p w:rsidR="005E122E" w:rsidRPr="00CB3554" w:rsidRDefault="005E122E" w:rsidP="0070543C">
            <w:pPr>
              <w:autoSpaceDE w:val="0"/>
              <w:autoSpaceDN w:val="0"/>
              <w:adjustRightInd w:val="0"/>
              <w:spacing w:after="100"/>
              <w:rPr>
                <w:rFonts w:cs="Arial"/>
                <w:color w:val="000000"/>
              </w:rPr>
            </w:pPr>
            <w:r w:rsidRPr="00CB3554">
              <w:rPr>
                <w:rFonts w:cs="Arial"/>
                <w:color w:val="000000"/>
              </w:rPr>
              <w:t>I = Imported Product</w:t>
            </w:r>
          </w:p>
          <w:p w:rsidR="005E122E" w:rsidRPr="00CB3554" w:rsidRDefault="005E122E" w:rsidP="0070543C">
            <w:pPr>
              <w:autoSpaceDE w:val="0"/>
              <w:autoSpaceDN w:val="0"/>
              <w:adjustRightInd w:val="0"/>
              <w:spacing w:after="100"/>
              <w:rPr>
                <w:rFonts w:cs="Arial"/>
                <w:color w:val="000000"/>
              </w:rPr>
            </w:pPr>
            <w:r w:rsidRPr="00CB3554">
              <w:rPr>
                <w:rFonts w:cs="Arial"/>
                <w:color w:val="000000"/>
              </w:rPr>
              <w:t>#  It is anticipated that a 10% formulation of Octagam will become available under the NBA contract during 2012.</w:t>
            </w:r>
          </w:p>
        </w:tc>
      </w:tr>
    </w:tbl>
    <w:p w:rsidR="00DB5679" w:rsidRPr="007E44A6" w:rsidRDefault="00DB5679" w:rsidP="00670C07">
      <w:pPr>
        <w:autoSpaceDE w:val="0"/>
        <w:autoSpaceDN w:val="0"/>
        <w:adjustRightInd w:val="0"/>
        <w:spacing w:after="100"/>
        <w:rPr>
          <w:i/>
        </w:rPr>
      </w:pPr>
    </w:p>
    <w:sectPr w:rsidR="00DB5679" w:rsidRPr="007E44A6" w:rsidSect="006B2BE1"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EC" w:rsidRDefault="00F03CEC" w:rsidP="001E073B">
      <w:pPr>
        <w:spacing w:after="0" w:line="240" w:lineRule="auto"/>
      </w:pPr>
      <w:r>
        <w:separator/>
      </w:r>
    </w:p>
  </w:endnote>
  <w:endnote w:type="continuationSeparator" w:id="0">
    <w:p w:rsidR="00F03CEC" w:rsidRDefault="00F03CEC" w:rsidP="001E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BC" w:rsidRDefault="00EE71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BC" w:rsidRDefault="00EE71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BC" w:rsidRDefault="00EE7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EC" w:rsidRDefault="00F03CEC" w:rsidP="001E073B">
      <w:pPr>
        <w:spacing w:after="0" w:line="240" w:lineRule="auto"/>
      </w:pPr>
      <w:r>
        <w:separator/>
      </w:r>
    </w:p>
  </w:footnote>
  <w:footnote w:type="continuationSeparator" w:id="0">
    <w:p w:rsidR="00F03CEC" w:rsidRDefault="00F03CEC" w:rsidP="001E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BC" w:rsidRDefault="00EE71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BC" w:rsidRDefault="00EE71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BC" w:rsidRDefault="00EE7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7CD"/>
    <w:multiLevelType w:val="multilevel"/>
    <w:tmpl w:val="AAE0CF90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1029"/>
        </w:tabs>
        <w:ind w:left="1029" w:hanging="924"/>
      </w:pPr>
      <w:rPr>
        <w:rFonts w:cs="Times New Roman" w:hint="default"/>
      </w:rPr>
    </w:lvl>
    <w:lvl w:ilvl="1">
      <w:start w:val="1"/>
      <w:numFmt w:val="decimal"/>
      <w:pStyle w:val="PFNumLevel2"/>
      <w:lvlText w:val="%1.%2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2">
      <w:start w:val="1"/>
      <w:numFmt w:val="decimal"/>
      <w:pStyle w:val="PFNumLevel3"/>
      <w:lvlText w:val="%1.%2.%3"/>
      <w:lvlJc w:val="left"/>
      <w:pPr>
        <w:tabs>
          <w:tab w:val="num" w:pos="1848"/>
        </w:tabs>
        <w:ind w:left="1848" w:hanging="924"/>
      </w:pPr>
      <w:rPr>
        <w:rFonts w:cs="Times New Roman" w:hint="default"/>
      </w:rPr>
    </w:lvl>
    <w:lvl w:ilvl="3">
      <w:start w:val="1"/>
      <w:numFmt w:val="lowerLetter"/>
      <w:pStyle w:val="PFNumLevel4"/>
      <w:lvlText w:val="(%4)"/>
      <w:lvlJc w:val="left"/>
      <w:pPr>
        <w:tabs>
          <w:tab w:val="num" w:pos="2772"/>
        </w:tabs>
        <w:ind w:left="2772" w:hanging="924"/>
      </w:pPr>
      <w:rPr>
        <w:rFonts w:cs="Times New Roman" w:hint="default"/>
      </w:rPr>
    </w:lvl>
    <w:lvl w:ilvl="4">
      <w:start w:val="1"/>
      <w:numFmt w:val="lowerLetter"/>
      <w:pStyle w:val="PFNumLevel5"/>
      <w:lvlText w:val="(%5)"/>
      <w:lvlJc w:val="left"/>
      <w:pPr>
        <w:tabs>
          <w:tab w:val="num" w:pos="1848"/>
        </w:tabs>
        <w:ind w:left="1848" w:hanging="924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cs="Times New Roman" w:hint="default"/>
        <w:b w:val="0"/>
        <w:i w:val="0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>
    <w:nsid w:val="276E5C50"/>
    <w:multiLevelType w:val="multilevel"/>
    <w:tmpl w:val="E05E0B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60671DFE"/>
    <w:multiLevelType w:val="hybridMultilevel"/>
    <w:tmpl w:val="6A3E3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23"/>
    <w:rsid w:val="0001727C"/>
    <w:rsid w:val="00020C23"/>
    <w:rsid w:val="00024E1A"/>
    <w:rsid w:val="00034B4A"/>
    <w:rsid w:val="00050F10"/>
    <w:rsid w:val="0005488C"/>
    <w:rsid w:val="000571CC"/>
    <w:rsid w:val="0006000E"/>
    <w:rsid w:val="0007593C"/>
    <w:rsid w:val="0008630B"/>
    <w:rsid w:val="00090481"/>
    <w:rsid w:val="000921E8"/>
    <w:rsid w:val="00094458"/>
    <w:rsid w:val="000C4F62"/>
    <w:rsid w:val="000D0035"/>
    <w:rsid w:val="000F2465"/>
    <w:rsid w:val="00111C32"/>
    <w:rsid w:val="00111E64"/>
    <w:rsid w:val="001243CA"/>
    <w:rsid w:val="00145A5D"/>
    <w:rsid w:val="00171FE7"/>
    <w:rsid w:val="00184E14"/>
    <w:rsid w:val="0018707E"/>
    <w:rsid w:val="001949E8"/>
    <w:rsid w:val="00195F05"/>
    <w:rsid w:val="00197AA1"/>
    <w:rsid w:val="001B0FFB"/>
    <w:rsid w:val="001C3E2A"/>
    <w:rsid w:val="001C7E2B"/>
    <w:rsid w:val="001E073B"/>
    <w:rsid w:val="001F272C"/>
    <w:rsid w:val="002138D0"/>
    <w:rsid w:val="00221041"/>
    <w:rsid w:val="00221B67"/>
    <w:rsid w:val="002328B9"/>
    <w:rsid w:val="0023678A"/>
    <w:rsid w:val="00271C8A"/>
    <w:rsid w:val="0027566E"/>
    <w:rsid w:val="002A06E1"/>
    <w:rsid w:val="002A6486"/>
    <w:rsid w:val="002B4987"/>
    <w:rsid w:val="002B57DA"/>
    <w:rsid w:val="002B6569"/>
    <w:rsid w:val="002D3A72"/>
    <w:rsid w:val="002D5B28"/>
    <w:rsid w:val="002E63B2"/>
    <w:rsid w:val="002F02B6"/>
    <w:rsid w:val="002F3731"/>
    <w:rsid w:val="00301CD8"/>
    <w:rsid w:val="00311941"/>
    <w:rsid w:val="00312093"/>
    <w:rsid w:val="00327691"/>
    <w:rsid w:val="00331B89"/>
    <w:rsid w:val="00341916"/>
    <w:rsid w:val="0034303A"/>
    <w:rsid w:val="00355B8D"/>
    <w:rsid w:val="00355DE0"/>
    <w:rsid w:val="00361835"/>
    <w:rsid w:val="0036204D"/>
    <w:rsid w:val="0036624E"/>
    <w:rsid w:val="0036687D"/>
    <w:rsid w:val="00377052"/>
    <w:rsid w:val="003861EB"/>
    <w:rsid w:val="00391B11"/>
    <w:rsid w:val="00393C5F"/>
    <w:rsid w:val="003944FE"/>
    <w:rsid w:val="003A12BE"/>
    <w:rsid w:val="003A1614"/>
    <w:rsid w:val="003A3698"/>
    <w:rsid w:val="003B0550"/>
    <w:rsid w:val="003B3E6B"/>
    <w:rsid w:val="003B74FA"/>
    <w:rsid w:val="003E55FF"/>
    <w:rsid w:val="00401CB6"/>
    <w:rsid w:val="00437FD7"/>
    <w:rsid w:val="00467804"/>
    <w:rsid w:val="00470ACE"/>
    <w:rsid w:val="004719CD"/>
    <w:rsid w:val="00477226"/>
    <w:rsid w:val="00484255"/>
    <w:rsid w:val="004844B8"/>
    <w:rsid w:val="00486C08"/>
    <w:rsid w:val="004A3C7A"/>
    <w:rsid w:val="004A649D"/>
    <w:rsid w:val="004B46CF"/>
    <w:rsid w:val="004B72C6"/>
    <w:rsid w:val="004D1A74"/>
    <w:rsid w:val="004D7D49"/>
    <w:rsid w:val="004F73F9"/>
    <w:rsid w:val="0050383E"/>
    <w:rsid w:val="00516D21"/>
    <w:rsid w:val="00553518"/>
    <w:rsid w:val="00562029"/>
    <w:rsid w:val="00567705"/>
    <w:rsid w:val="0058059C"/>
    <w:rsid w:val="00582CEE"/>
    <w:rsid w:val="00591941"/>
    <w:rsid w:val="005A734C"/>
    <w:rsid w:val="005B53EA"/>
    <w:rsid w:val="005C4567"/>
    <w:rsid w:val="005D5355"/>
    <w:rsid w:val="005E122E"/>
    <w:rsid w:val="005F71B0"/>
    <w:rsid w:val="00601CA0"/>
    <w:rsid w:val="006027EC"/>
    <w:rsid w:val="00606D70"/>
    <w:rsid w:val="00611CAD"/>
    <w:rsid w:val="0061318A"/>
    <w:rsid w:val="00614E4F"/>
    <w:rsid w:val="00617300"/>
    <w:rsid w:val="006300FE"/>
    <w:rsid w:val="00646CCA"/>
    <w:rsid w:val="00670C07"/>
    <w:rsid w:val="00680147"/>
    <w:rsid w:val="00681D4C"/>
    <w:rsid w:val="00682EC9"/>
    <w:rsid w:val="00685922"/>
    <w:rsid w:val="00692D7A"/>
    <w:rsid w:val="006A2852"/>
    <w:rsid w:val="006A3BC7"/>
    <w:rsid w:val="006A6D0F"/>
    <w:rsid w:val="006B2BE1"/>
    <w:rsid w:val="006B4658"/>
    <w:rsid w:val="006B7B6C"/>
    <w:rsid w:val="006D5A1B"/>
    <w:rsid w:val="006E3BC8"/>
    <w:rsid w:val="006F07BC"/>
    <w:rsid w:val="007015F7"/>
    <w:rsid w:val="00703A0E"/>
    <w:rsid w:val="0070543C"/>
    <w:rsid w:val="00710519"/>
    <w:rsid w:val="00714823"/>
    <w:rsid w:val="00737E3A"/>
    <w:rsid w:val="00754454"/>
    <w:rsid w:val="00766F09"/>
    <w:rsid w:val="00775FF4"/>
    <w:rsid w:val="0078407C"/>
    <w:rsid w:val="00784B61"/>
    <w:rsid w:val="007A677E"/>
    <w:rsid w:val="007B1028"/>
    <w:rsid w:val="007B2CAD"/>
    <w:rsid w:val="007C5473"/>
    <w:rsid w:val="007C78BF"/>
    <w:rsid w:val="007E44A6"/>
    <w:rsid w:val="007F394F"/>
    <w:rsid w:val="00803CEA"/>
    <w:rsid w:val="008108B4"/>
    <w:rsid w:val="008109DB"/>
    <w:rsid w:val="00813EF6"/>
    <w:rsid w:val="008159E6"/>
    <w:rsid w:val="00833515"/>
    <w:rsid w:val="00840E69"/>
    <w:rsid w:val="0085056E"/>
    <w:rsid w:val="00851805"/>
    <w:rsid w:val="00851E9F"/>
    <w:rsid w:val="00862E68"/>
    <w:rsid w:val="00884BDD"/>
    <w:rsid w:val="008968D0"/>
    <w:rsid w:val="008A0C33"/>
    <w:rsid w:val="008A611E"/>
    <w:rsid w:val="008B1666"/>
    <w:rsid w:val="008B7480"/>
    <w:rsid w:val="008E142F"/>
    <w:rsid w:val="008F14C5"/>
    <w:rsid w:val="008F2122"/>
    <w:rsid w:val="008F53E0"/>
    <w:rsid w:val="00901819"/>
    <w:rsid w:val="00903306"/>
    <w:rsid w:val="00911280"/>
    <w:rsid w:val="00932210"/>
    <w:rsid w:val="00933C80"/>
    <w:rsid w:val="00944832"/>
    <w:rsid w:val="00961BEC"/>
    <w:rsid w:val="0097138D"/>
    <w:rsid w:val="00973FF6"/>
    <w:rsid w:val="0099246D"/>
    <w:rsid w:val="009A2CAD"/>
    <w:rsid w:val="009A344E"/>
    <w:rsid w:val="009A54D8"/>
    <w:rsid w:val="009D5904"/>
    <w:rsid w:val="009F11F2"/>
    <w:rsid w:val="00A10B65"/>
    <w:rsid w:val="00A144E6"/>
    <w:rsid w:val="00A14FC8"/>
    <w:rsid w:val="00A46331"/>
    <w:rsid w:val="00A52576"/>
    <w:rsid w:val="00A660BC"/>
    <w:rsid w:val="00A85712"/>
    <w:rsid w:val="00A86F5E"/>
    <w:rsid w:val="00AA57E8"/>
    <w:rsid w:val="00AB7321"/>
    <w:rsid w:val="00AB7F6A"/>
    <w:rsid w:val="00AC2B41"/>
    <w:rsid w:val="00AC3C55"/>
    <w:rsid w:val="00AD0EF3"/>
    <w:rsid w:val="00AD4D2C"/>
    <w:rsid w:val="00B277B8"/>
    <w:rsid w:val="00B306FA"/>
    <w:rsid w:val="00B4594F"/>
    <w:rsid w:val="00B66F39"/>
    <w:rsid w:val="00B72E12"/>
    <w:rsid w:val="00B962E1"/>
    <w:rsid w:val="00BA07F6"/>
    <w:rsid w:val="00BC21F9"/>
    <w:rsid w:val="00BD2E66"/>
    <w:rsid w:val="00BD4A9E"/>
    <w:rsid w:val="00BD6494"/>
    <w:rsid w:val="00BE22CF"/>
    <w:rsid w:val="00BF1DE8"/>
    <w:rsid w:val="00C013A7"/>
    <w:rsid w:val="00C111F6"/>
    <w:rsid w:val="00C23B5C"/>
    <w:rsid w:val="00C57ED8"/>
    <w:rsid w:val="00C87806"/>
    <w:rsid w:val="00CB3554"/>
    <w:rsid w:val="00CB41AB"/>
    <w:rsid w:val="00CD2112"/>
    <w:rsid w:val="00CE7CFE"/>
    <w:rsid w:val="00D02571"/>
    <w:rsid w:val="00D1567D"/>
    <w:rsid w:val="00D23A4D"/>
    <w:rsid w:val="00D25C79"/>
    <w:rsid w:val="00D34DAB"/>
    <w:rsid w:val="00D405CC"/>
    <w:rsid w:val="00D62510"/>
    <w:rsid w:val="00D70C45"/>
    <w:rsid w:val="00D70C9E"/>
    <w:rsid w:val="00D9402F"/>
    <w:rsid w:val="00DA4BE7"/>
    <w:rsid w:val="00DB5679"/>
    <w:rsid w:val="00DB5F87"/>
    <w:rsid w:val="00DE32B2"/>
    <w:rsid w:val="00DF5069"/>
    <w:rsid w:val="00E023F9"/>
    <w:rsid w:val="00E30B2D"/>
    <w:rsid w:val="00E44075"/>
    <w:rsid w:val="00E473FE"/>
    <w:rsid w:val="00E47E94"/>
    <w:rsid w:val="00E54BF7"/>
    <w:rsid w:val="00E551CC"/>
    <w:rsid w:val="00E75CFA"/>
    <w:rsid w:val="00E76C67"/>
    <w:rsid w:val="00E83746"/>
    <w:rsid w:val="00E93083"/>
    <w:rsid w:val="00E935D9"/>
    <w:rsid w:val="00EA4A97"/>
    <w:rsid w:val="00EB08F8"/>
    <w:rsid w:val="00EC723E"/>
    <w:rsid w:val="00EE6FF8"/>
    <w:rsid w:val="00EE71BC"/>
    <w:rsid w:val="00EF2252"/>
    <w:rsid w:val="00EF5448"/>
    <w:rsid w:val="00EF54C3"/>
    <w:rsid w:val="00EF645C"/>
    <w:rsid w:val="00F03CEC"/>
    <w:rsid w:val="00F07D3C"/>
    <w:rsid w:val="00F13EF8"/>
    <w:rsid w:val="00F3318C"/>
    <w:rsid w:val="00F52CB6"/>
    <w:rsid w:val="00F556CC"/>
    <w:rsid w:val="00F6053D"/>
    <w:rsid w:val="00F626A2"/>
    <w:rsid w:val="00F66E22"/>
    <w:rsid w:val="00F713E0"/>
    <w:rsid w:val="00F7439C"/>
    <w:rsid w:val="00F76890"/>
    <w:rsid w:val="00F808CB"/>
    <w:rsid w:val="00FA1702"/>
    <w:rsid w:val="00FB4BE5"/>
    <w:rsid w:val="00FB50E6"/>
    <w:rsid w:val="00FC069D"/>
    <w:rsid w:val="00FC38FD"/>
    <w:rsid w:val="00FF2AC5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aliases w:val="Para1,h1,h11,h12,Section Heading,1.,H1,No numbers,A MAJOR/BOLD,Schedheading,h1 chapter heading,Heading 1(Report Only),RFP Heading 1,Schedule Heading 1,Attribute Heading 1,Heading,tchead,Para 1,Main,Top 1,ParaLevel1,Level 1 Para,Heading 1 (low"/>
    <w:basedOn w:val="Normal"/>
    <w:next w:val="Heading2"/>
    <w:link w:val="Heading1Char"/>
    <w:uiPriority w:val="9"/>
    <w:qFormat/>
    <w:rsid w:val="00467804"/>
    <w:pPr>
      <w:keepNext/>
      <w:numPr>
        <w:numId w:val="2"/>
      </w:num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400" w:after="120"/>
      <w:outlineLvl w:val="0"/>
    </w:pPr>
    <w:rPr>
      <w:rFonts w:ascii="Arial" w:hAnsi="Arial"/>
      <w:b/>
      <w:color w:val="00000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80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a1 Char,h1 Char,h11 Char,h12 Char,Section Heading Char,1. Char,H1 Char,No numbers Char,A MAJOR/BOLD Char,Schedheading Char,h1 chapter heading Char,Heading 1(Report Only) Char,RFP Heading 1 Char,Schedule Heading 1 Char,Heading Char"/>
    <w:basedOn w:val="DefaultParagraphFont"/>
    <w:link w:val="Heading1"/>
    <w:uiPriority w:val="9"/>
    <w:locked/>
    <w:rsid w:val="00467804"/>
    <w:rPr>
      <w:rFonts w:ascii="Arial" w:hAnsi="Arial" w:cs="Times New Roman"/>
      <w:b/>
      <w:color w:val="000000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6780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67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679"/>
    <w:pPr>
      <w:ind w:left="720"/>
      <w:contextualSpacing/>
    </w:pPr>
  </w:style>
  <w:style w:type="paragraph" w:customStyle="1" w:styleId="PFNumLevel2">
    <w:name w:val="PF (Num) Level 2"/>
    <w:basedOn w:val="Normal"/>
    <w:link w:val="PFNumLevel2Char"/>
    <w:rsid w:val="00467804"/>
    <w:pPr>
      <w:numPr>
        <w:ilvl w:val="1"/>
        <w:numId w:val="2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hAnsi="Arial"/>
      <w:color w:val="000000"/>
      <w:sz w:val="21"/>
      <w:szCs w:val="20"/>
    </w:rPr>
  </w:style>
  <w:style w:type="paragraph" w:customStyle="1" w:styleId="PFNumLevel3">
    <w:name w:val="PF (Num) Level 3"/>
    <w:basedOn w:val="Normal"/>
    <w:rsid w:val="00467804"/>
    <w:pPr>
      <w:numPr>
        <w:ilvl w:val="2"/>
        <w:numId w:val="2"/>
      </w:numPr>
      <w:tabs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hAnsi="Arial"/>
      <w:color w:val="000000"/>
      <w:sz w:val="21"/>
      <w:szCs w:val="20"/>
    </w:rPr>
  </w:style>
  <w:style w:type="paragraph" w:customStyle="1" w:styleId="PFNumLevel4">
    <w:name w:val="PF (Num) Level 4"/>
    <w:basedOn w:val="Normal"/>
    <w:rsid w:val="00467804"/>
    <w:pPr>
      <w:numPr>
        <w:ilvl w:val="3"/>
        <w:numId w:val="2"/>
      </w:numPr>
      <w:tabs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hAnsi="Arial"/>
      <w:color w:val="000000"/>
      <w:sz w:val="21"/>
      <w:szCs w:val="20"/>
    </w:rPr>
  </w:style>
  <w:style w:type="paragraph" w:customStyle="1" w:styleId="PFNumLevel5">
    <w:name w:val="PF (Num) Level 5"/>
    <w:basedOn w:val="Normal"/>
    <w:rsid w:val="00467804"/>
    <w:pPr>
      <w:numPr>
        <w:ilvl w:val="4"/>
        <w:numId w:val="2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hAnsi="Arial"/>
      <w:color w:val="000000"/>
      <w:sz w:val="21"/>
      <w:szCs w:val="20"/>
    </w:rPr>
  </w:style>
  <w:style w:type="character" w:customStyle="1" w:styleId="PFNumLevel2Char">
    <w:name w:val="PF (Num) Level 2 Char"/>
    <w:link w:val="PFNumLevel2"/>
    <w:locked/>
    <w:rsid w:val="00467804"/>
    <w:rPr>
      <w:rFonts w:ascii="Arial" w:hAnsi="Arial"/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00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000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000E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6B2B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073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0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7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aliases w:val="Para1,h1,h11,h12,Section Heading,1.,H1,No numbers,A MAJOR/BOLD,Schedheading,h1 chapter heading,Heading 1(Report Only),RFP Heading 1,Schedule Heading 1,Attribute Heading 1,Heading,tchead,Para 1,Main,Top 1,ParaLevel1,Level 1 Para,Heading 1 (low"/>
    <w:basedOn w:val="Normal"/>
    <w:next w:val="Heading2"/>
    <w:link w:val="Heading1Char"/>
    <w:uiPriority w:val="9"/>
    <w:qFormat/>
    <w:rsid w:val="00467804"/>
    <w:pPr>
      <w:keepNext/>
      <w:numPr>
        <w:numId w:val="2"/>
      </w:num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400" w:after="120"/>
      <w:outlineLvl w:val="0"/>
    </w:pPr>
    <w:rPr>
      <w:rFonts w:ascii="Arial" w:hAnsi="Arial"/>
      <w:b/>
      <w:color w:val="00000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80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a1 Char,h1 Char,h11 Char,h12 Char,Section Heading Char,1. Char,H1 Char,No numbers Char,A MAJOR/BOLD Char,Schedheading Char,h1 chapter heading Char,Heading 1(Report Only) Char,RFP Heading 1 Char,Schedule Heading 1 Char,Heading Char"/>
    <w:basedOn w:val="DefaultParagraphFont"/>
    <w:link w:val="Heading1"/>
    <w:uiPriority w:val="9"/>
    <w:locked/>
    <w:rsid w:val="00467804"/>
    <w:rPr>
      <w:rFonts w:ascii="Arial" w:hAnsi="Arial" w:cs="Times New Roman"/>
      <w:b/>
      <w:color w:val="000000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6780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67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679"/>
    <w:pPr>
      <w:ind w:left="720"/>
      <w:contextualSpacing/>
    </w:pPr>
  </w:style>
  <w:style w:type="paragraph" w:customStyle="1" w:styleId="PFNumLevel2">
    <w:name w:val="PF (Num) Level 2"/>
    <w:basedOn w:val="Normal"/>
    <w:link w:val="PFNumLevel2Char"/>
    <w:rsid w:val="00467804"/>
    <w:pPr>
      <w:numPr>
        <w:ilvl w:val="1"/>
        <w:numId w:val="2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hAnsi="Arial"/>
      <w:color w:val="000000"/>
      <w:sz w:val="21"/>
      <w:szCs w:val="20"/>
    </w:rPr>
  </w:style>
  <w:style w:type="paragraph" w:customStyle="1" w:styleId="PFNumLevel3">
    <w:name w:val="PF (Num) Level 3"/>
    <w:basedOn w:val="Normal"/>
    <w:rsid w:val="00467804"/>
    <w:pPr>
      <w:numPr>
        <w:ilvl w:val="2"/>
        <w:numId w:val="2"/>
      </w:numPr>
      <w:tabs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hAnsi="Arial"/>
      <w:color w:val="000000"/>
      <w:sz w:val="21"/>
      <w:szCs w:val="20"/>
    </w:rPr>
  </w:style>
  <w:style w:type="paragraph" w:customStyle="1" w:styleId="PFNumLevel4">
    <w:name w:val="PF (Num) Level 4"/>
    <w:basedOn w:val="Normal"/>
    <w:rsid w:val="00467804"/>
    <w:pPr>
      <w:numPr>
        <w:ilvl w:val="3"/>
        <w:numId w:val="2"/>
      </w:numPr>
      <w:tabs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hAnsi="Arial"/>
      <w:color w:val="000000"/>
      <w:sz w:val="21"/>
      <w:szCs w:val="20"/>
    </w:rPr>
  </w:style>
  <w:style w:type="paragraph" w:customStyle="1" w:styleId="PFNumLevel5">
    <w:name w:val="PF (Num) Level 5"/>
    <w:basedOn w:val="Normal"/>
    <w:rsid w:val="00467804"/>
    <w:pPr>
      <w:numPr>
        <w:ilvl w:val="4"/>
        <w:numId w:val="2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hAnsi="Arial"/>
      <w:color w:val="000000"/>
      <w:sz w:val="21"/>
      <w:szCs w:val="20"/>
    </w:rPr>
  </w:style>
  <w:style w:type="character" w:customStyle="1" w:styleId="PFNumLevel2Char">
    <w:name w:val="PF (Num) Level 2 Char"/>
    <w:link w:val="PFNumLevel2"/>
    <w:locked/>
    <w:rsid w:val="00467804"/>
    <w:rPr>
      <w:rFonts w:ascii="Arial" w:hAnsi="Arial"/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00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000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000E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6B2B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073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0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7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nba.gov.au/ivig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nba.gov.au/ivig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ba.gov.au/ivig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52B9-FA98-428B-9A5D-45847389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NBA - Imported Intravenous Immunoglobulin Tender Outcomes</vt:lpstr>
    </vt:vector>
  </TitlesOfParts>
  <Company>National Blood Authority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- Imported Intravenous Immunoglobulin Tender Outcomes</dc:title>
  <dc:creator>National Blood Authority</dc:creator>
  <cp:lastModifiedBy>Wright, Rachel</cp:lastModifiedBy>
  <cp:revision>3</cp:revision>
  <cp:lastPrinted>2011-10-17T01:09:00Z</cp:lastPrinted>
  <dcterms:created xsi:type="dcterms:W3CDTF">2013-05-13T08:05:00Z</dcterms:created>
  <dcterms:modified xsi:type="dcterms:W3CDTF">2013-05-13T08:06:00Z</dcterms:modified>
</cp:coreProperties>
</file>