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Pr="002258C8" w:rsidRDefault="006036CA" w:rsidP="006036CA">
      <w:pPr>
        <w:pStyle w:val="Title"/>
        <w:spacing w:before="6000"/>
        <w:ind w:left="-709" w:right="3805"/>
        <w:rPr>
          <w:b/>
          <w:color w:val="FFFFFF" w:themeColor="background1"/>
          <w:sz w:val="36"/>
          <w:szCs w:val="36"/>
        </w:rPr>
      </w:pPr>
      <w:r w:rsidRPr="002258C8">
        <w:rPr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4DA75FF0" wp14:editId="29186663">
            <wp:simplePos x="0" y="0"/>
            <wp:positionH relativeFrom="column">
              <wp:posOffset>-902335</wp:posOffset>
            </wp:positionH>
            <wp:positionV relativeFrom="paragraph">
              <wp:posOffset>-915671</wp:posOffset>
            </wp:positionV>
            <wp:extent cx="7595057" cy="107346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page-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084" cy="107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C8" w:rsidRPr="002258C8">
        <w:rPr>
          <w:b/>
          <w:color w:val="FFFFFF" w:themeColor="background1"/>
          <w:sz w:val="36"/>
          <w:szCs w:val="36"/>
        </w:rPr>
        <w:t xml:space="preserve">BARCODE SPECIFICATIONS FOR BLOOD AND BLOOD PRODUCTS FUNDED UNDER THE NATIONAL BLOOD ARRANGEMENTS </w:t>
      </w:r>
    </w:p>
    <w:p w:rsidR="002258C8" w:rsidRPr="002258C8" w:rsidRDefault="002258C8" w:rsidP="002258C8"/>
    <w:p w:rsidR="002258C8" w:rsidRDefault="002258C8" w:rsidP="006036CA">
      <w:pPr>
        <w:pStyle w:val="NoSpacing"/>
        <w:ind w:left="-709"/>
        <w:rPr>
          <w:sz w:val="28"/>
        </w:rPr>
      </w:pPr>
    </w:p>
    <w:p w:rsidR="002258C8" w:rsidRDefault="002258C8" w:rsidP="006036CA">
      <w:pPr>
        <w:pStyle w:val="NoSpacing"/>
        <w:ind w:left="-709"/>
        <w:rPr>
          <w:sz w:val="28"/>
        </w:rPr>
      </w:pPr>
    </w:p>
    <w:p w:rsidR="002258C8" w:rsidRDefault="002258C8" w:rsidP="006036CA">
      <w:pPr>
        <w:pStyle w:val="NoSpacing"/>
        <w:ind w:left="-709"/>
        <w:rPr>
          <w:sz w:val="28"/>
        </w:rPr>
      </w:pPr>
    </w:p>
    <w:p w:rsidR="002258C8" w:rsidRDefault="002258C8" w:rsidP="006036CA">
      <w:pPr>
        <w:pStyle w:val="NoSpacing"/>
        <w:ind w:left="-709"/>
        <w:rPr>
          <w:sz w:val="28"/>
        </w:rPr>
      </w:pPr>
    </w:p>
    <w:p w:rsidR="002258C8" w:rsidRDefault="002258C8" w:rsidP="006036CA">
      <w:pPr>
        <w:pStyle w:val="NoSpacing"/>
        <w:ind w:left="-709"/>
        <w:rPr>
          <w:sz w:val="28"/>
        </w:rPr>
      </w:pPr>
    </w:p>
    <w:p w:rsidR="00D86F57" w:rsidRDefault="00D86F57" w:rsidP="006036CA">
      <w:pPr>
        <w:pStyle w:val="NoSpacing"/>
        <w:ind w:left="-709"/>
        <w:rPr>
          <w:sz w:val="28"/>
        </w:rPr>
      </w:pPr>
    </w:p>
    <w:p w:rsidR="00D86F57" w:rsidRDefault="00D86F57" w:rsidP="006036CA">
      <w:pPr>
        <w:pStyle w:val="NoSpacing"/>
        <w:ind w:left="-709"/>
        <w:rPr>
          <w:sz w:val="28"/>
        </w:rPr>
      </w:pPr>
    </w:p>
    <w:p w:rsidR="008D683E" w:rsidRPr="00F83275" w:rsidRDefault="00D86F57" w:rsidP="006036CA">
      <w:pPr>
        <w:pStyle w:val="NoSpacing"/>
        <w:ind w:left="-709"/>
        <w:rPr>
          <w:sz w:val="28"/>
        </w:rPr>
      </w:pPr>
      <w:r>
        <w:rPr>
          <w:sz w:val="28"/>
        </w:rPr>
        <w:t>5 September 2014</w:t>
      </w:r>
    </w:p>
    <w:p w:rsidR="008D683E" w:rsidRDefault="008D683E" w:rsidP="008D683E">
      <w:r>
        <w:br w:type="page"/>
      </w:r>
    </w:p>
    <w:p w:rsidR="002258C8" w:rsidRDefault="002258C8" w:rsidP="004A05E4">
      <w:r>
        <w:lastRenderedPageBreak/>
        <w:t xml:space="preserve">The National Blood Authority on behalf of all Australian governments will </w:t>
      </w:r>
      <w:r w:rsidR="00197B4C">
        <w:t xml:space="preserve">in all </w:t>
      </w:r>
      <w:r w:rsidR="005C1469">
        <w:t xml:space="preserve">current and </w:t>
      </w:r>
      <w:r w:rsidR="00197B4C">
        <w:t>future procurements for blood and blood products funded under the National Blood Arrangements, require suppliers and distributors to implement the following global barcode standards in relation to funded products:</w:t>
      </w:r>
    </w:p>
    <w:p w:rsidR="004A05E4" w:rsidRPr="008E7119" w:rsidRDefault="004A05E4" w:rsidP="004A05E4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8E7119">
        <w:rPr>
          <w:b/>
        </w:rPr>
        <w:t>ISBT 128 DataMatrix</w:t>
      </w:r>
      <w:r w:rsidRPr="00306666">
        <w:t xml:space="preserve"> for all fresh blood products</w:t>
      </w:r>
      <w:r>
        <w:t xml:space="preserve"> (Red Cells, Platelets, Clinical Fresh Frozen Plasma, Cryoprecipitate, Cryo</w:t>
      </w:r>
      <w:bookmarkStart w:id="0" w:name="_GoBack"/>
      <w:bookmarkEnd w:id="0"/>
      <w:r>
        <w:t>-depleted Plasma and Serum Eye Drops)</w:t>
      </w:r>
    </w:p>
    <w:p w:rsidR="004A05E4" w:rsidRPr="008E7119" w:rsidRDefault="004A05E4" w:rsidP="004A05E4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8E7119">
        <w:rPr>
          <w:b/>
        </w:rPr>
        <w:t xml:space="preserve">GS1 DataMatrix </w:t>
      </w:r>
      <w:r w:rsidRPr="00306666">
        <w:t>for all plasma, recombinant and diagnostic products</w:t>
      </w:r>
      <w:r>
        <w:t xml:space="preserve"> at the level of unit packaging</w:t>
      </w:r>
    </w:p>
    <w:p w:rsidR="004A05E4" w:rsidRPr="00306666" w:rsidRDefault="004A05E4" w:rsidP="004A05E4">
      <w:r w:rsidRPr="00306666">
        <w:t xml:space="preserve">In implementing these </w:t>
      </w:r>
      <w:r w:rsidR="00197B4C">
        <w:t xml:space="preserve">barcode </w:t>
      </w:r>
      <w:r w:rsidRPr="00306666">
        <w:t>standards, suppliers</w:t>
      </w:r>
      <w:r w:rsidR="00197B4C">
        <w:t xml:space="preserve"> and distributors</w:t>
      </w:r>
      <w:r w:rsidRPr="00306666">
        <w:t xml:space="preserve"> must ensure that:</w:t>
      </w:r>
    </w:p>
    <w:p w:rsid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Both the unit and all levels of packaging (such as the </w:t>
      </w:r>
      <w:r>
        <w:t xml:space="preserve">unit/vial, </w:t>
      </w:r>
      <w:r w:rsidRPr="00306666">
        <w:t>pack, carton etc) have the barcode applied in accordance with the relevant standard</w:t>
      </w:r>
      <w:r>
        <w:t xml:space="preserve"> with the exception of the reusable cardboard shippers used by the Blood Service.</w:t>
      </w:r>
    </w:p>
    <w:p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All data elements relating to </w:t>
      </w:r>
      <w:r>
        <w:t xml:space="preserve">the specific characteristics of </w:t>
      </w:r>
      <w:r w:rsidRPr="00306666">
        <w:t>a unit that may be required to be entered into a health provider’s systems are provided in the barcode</w:t>
      </w:r>
      <w:r>
        <w:t>.  However, there is no need for the recipient details of a unit (where the unit has been supplied from the supplier or distributor on a named patient basis) to be provided in a barcode.</w:t>
      </w:r>
    </w:p>
    <w:p w:rsidR="004A05E4" w:rsidRPr="001D78AB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1D78AB">
        <w:t>All units are able to be uniquely identifiable globally, which shall be achieved through the DIN for ISBT 128 DataMatrix and through product serialisation for GS1 DataMatrix.</w:t>
      </w:r>
    </w:p>
    <w:p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>
        <w:t>All products with different characteristics shall be assigned different product codes (for example, irradiated red cells must have a different product code than non-irradiated red cells).</w:t>
      </w:r>
    </w:p>
    <w:p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ISBT 128, all relevant information is included in the National Blood Authority’s National Blood Product Catalogue.</w:t>
      </w:r>
    </w:p>
    <w:p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GS1 DataMatrix, all relevant information except pricing is included in the National E-Health Transition Authority’s National Product Catalogue</w:t>
      </w:r>
      <w:r>
        <w:t>.</w:t>
      </w:r>
    </w:p>
    <w:p w:rsid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ISBT 128 DataMatrix, the data elements are to be those nominated by the National Blood Authority, noting that these may change over time.</w:t>
      </w:r>
    </w:p>
    <w:p w:rsidR="004A05E4" w:rsidRPr="00306666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For </w:t>
      </w:r>
      <w:r>
        <w:t>products</w:t>
      </w:r>
      <w:r w:rsidRPr="00306666">
        <w:t xml:space="preserve"> labelled using GS1 DataMatrix</w:t>
      </w:r>
      <w:r>
        <w:t xml:space="preserve"> or another GS1 barcode symbology for higher levels of packaging</w:t>
      </w:r>
      <w:r w:rsidRPr="00306666">
        <w:t xml:space="preserve">, the following </w:t>
      </w:r>
      <w:r>
        <w:t xml:space="preserve">minimum </w:t>
      </w:r>
      <w:r w:rsidRPr="00306666">
        <w:t>data elements must be contained in the DataMatrix, noting that suppliers may choose to include additional elements:</w:t>
      </w:r>
    </w:p>
    <w:p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 xml:space="preserve">GTIN – Global Trade </w:t>
      </w:r>
      <w:r>
        <w:t>Item</w:t>
      </w:r>
      <w:r w:rsidRPr="00306666">
        <w:t xml:space="preserve"> Number (GTIN)</w:t>
      </w:r>
    </w:p>
    <w:p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>AI (10) – Batch / Lot Number</w:t>
      </w:r>
    </w:p>
    <w:p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>AI (17) – Expiry Date</w:t>
      </w:r>
    </w:p>
    <w:p w:rsidR="004A05E4" w:rsidRPr="00306666" w:rsidRDefault="004A05E4" w:rsidP="004A05E4">
      <w:pPr>
        <w:pStyle w:val="ListParagraph"/>
        <w:numPr>
          <w:ilvl w:val="1"/>
          <w:numId w:val="9"/>
        </w:numPr>
        <w:spacing w:after="120" w:line="276" w:lineRule="auto"/>
        <w:contextualSpacing w:val="0"/>
      </w:pPr>
      <w:r w:rsidRPr="00306666">
        <w:t>AI (21) – Serial Number</w:t>
      </w:r>
    </w:p>
    <w:p w:rsid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 w:rsidRPr="00306666">
        <w:t xml:space="preserve">In addition to specific requirements for ‘Human Readable Interpretation’ requirements where the data contained in the barcode is reproduced for users </w:t>
      </w:r>
      <w:r>
        <w:t xml:space="preserve">above or </w:t>
      </w:r>
      <w:r w:rsidRPr="00306666">
        <w:t>below the code, all relevant information must also be included in a form that would enable a user to interpret the data without any knowledge of the relevant barcode standard (for example, Lot# ABC123)</w:t>
      </w:r>
      <w:r>
        <w:t>.</w:t>
      </w:r>
    </w:p>
    <w:p w:rsidR="004A05E4" w:rsidRPr="004A05E4" w:rsidRDefault="004A05E4" w:rsidP="004A05E4">
      <w:pPr>
        <w:pStyle w:val="ListParagraph"/>
        <w:numPr>
          <w:ilvl w:val="0"/>
          <w:numId w:val="9"/>
        </w:numPr>
        <w:spacing w:after="120" w:line="276" w:lineRule="auto"/>
        <w:ind w:left="357" w:hanging="357"/>
        <w:contextualSpacing w:val="0"/>
      </w:pPr>
      <w:r>
        <w:t xml:space="preserve">All implementations of these standards </w:t>
      </w:r>
      <w:proofErr w:type="gramStart"/>
      <w:r>
        <w:t>is</w:t>
      </w:r>
      <w:proofErr w:type="gramEnd"/>
      <w:r>
        <w:t xml:space="preserve"> conducted in accordance with relevant Therapeutic Goods Administration regulatory requirements.</w:t>
      </w:r>
    </w:p>
    <w:p w:rsidR="00312EBF" w:rsidRDefault="00312EBF" w:rsidP="003D1705">
      <w:pPr>
        <w:rPr>
          <w:sz w:val="10"/>
          <w:szCs w:val="10"/>
        </w:rPr>
      </w:pPr>
    </w:p>
    <w:p w:rsidR="0024314C" w:rsidRPr="0024314C" w:rsidRDefault="0024314C" w:rsidP="003D1705">
      <w:pPr>
        <w:rPr>
          <w:sz w:val="10"/>
          <w:szCs w:val="10"/>
        </w:rPr>
      </w:pPr>
    </w:p>
    <w:sectPr w:rsidR="0024314C" w:rsidRPr="0024314C" w:rsidSect="0024314C">
      <w:footerReference w:type="default" r:id="rId9"/>
      <w:pgSz w:w="11906" w:h="16838"/>
      <w:pgMar w:top="1361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5" w:rsidRDefault="00823315" w:rsidP="00856708">
      <w:pPr>
        <w:spacing w:after="0"/>
      </w:pPr>
      <w:r>
        <w:separator/>
      </w:r>
    </w:p>
  </w:endnote>
  <w:endnote w:type="continuationSeparator" w:id="0">
    <w:p w:rsidR="00823315" w:rsidRDefault="00823315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2258C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2258C8">
      <w:rPr>
        <w:i/>
        <w:sz w:val="20"/>
        <w:szCs w:val="20"/>
      </w:rPr>
      <w:t>Barcode specifications for blood and blood products funde</w:t>
    </w:r>
    <w:r w:rsidR="002B7129">
      <w:rPr>
        <w:i/>
        <w:sz w:val="20"/>
        <w:szCs w:val="20"/>
      </w:rPr>
      <w:t>d</w:t>
    </w:r>
    <w:r w:rsidRPr="002258C8">
      <w:rPr>
        <w:i/>
        <w:sz w:val="20"/>
        <w:szCs w:val="20"/>
      </w:rPr>
      <w:t xml:space="preserve"> under the National Blood Arrangements</w:t>
    </w:r>
    <w:r w:rsidR="00856708" w:rsidRPr="00856708">
      <w:rPr>
        <w:sz w:val="20"/>
        <w:szCs w:val="20"/>
      </w:rPr>
      <w:tab/>
    </w:r>
    <w:r w:rsidR="00856708" w:rsidRPr="00856708">
      <w:rPr>
        <w:sz w:val="20"/>
        <w:szCs w:val="20"/>
      </w:rPr>
      <w:tab/>
      <w:t xml:space="preserve">pg. </w:t>
    </w:r>
    <w:r w:rsidR="00856708" w:rsidRPr="00856708">
      <w:rPr>
        <w:sz w:val="20"/>
        <w:szCs w:val="20"/>
      </w:rPr>
      <w:fldChar w:fldCharType="begin"/>
    </w:r>
    <w:r w:rsidR="00856708" w:rsidRPr="00856708">
      <w:rPr>
        <w:sz w:val="20"/>
        <w:szCs w:val="20"/>
      </w:rPr>
      <w:instrText xml:space="preserve"> PAGE    \* MERGEFORMAT </w:instrText>
    </w:r>
    <w:r w:rsidR="00856708" w:rsidRPr="00856708">
      <w:rPr>
        <w:sz w:val="20"/>
        <w:szCs w:val="20"/>
      </w:rPr>
      <w:fldChar w:fldCharType="separate"/>
    </w:r>
    <w:r w:rsidR="00265204">
      <w:rPr>
        <w:noProof/>
        <w:sz w:val="20"/>
        <w:szCs w:val="20"/>
      </w:rPr>
      <w:t>2</w:t>
    </w:r>
    <w:r w:rsidR="00856708"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5" w:rsidRDefault="00823315" w:rsidP="00856708">
      <w:pPr>
        <w:spacing w:after="0"/>
      </w:pPr>
      <w:r>
        <w:separator/>
      </w:r>
    </w:p>
  </w:footnote>
  <w:footnote w:type="continuationSeparator" w:id="0">
    <w:p w:rsidR="00823315" w:rsidRDefault="00823315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7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363EA6"/>
    <w:multiLevelType w:val="hybridMultilevel"/>
    <w:tmpl w:val="EB4A0506"/>
    <w:lvl w:ilvl="0" w:tplc="D49AB12C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F6802"/>
    <w:multiLevelType w:val="hybridMultilevel"/>
    <w:tmpl w:val="D26E4EB4"/>
    <w:lvl w:ilvl="0" w:tplc="33444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3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15"/>
    <w:rsid w:val="00036EDC"/>
    <w:rsid w:val="00044938"/>
    <w:rsid w:val="00116BC1"/>
    <w:rsid w:val="001737E1"/>
    <w:rsid w:val="00197B4C"/>
    <w:rsid w:val="001A10A8"/>
    <w:rsid w:val="001D78AB"/>
    <w:rsid w:val="001F6B24"/>
    <w:rsid w:val="002258C8"/>
    <w:rsid w:val="0024314C"/>
    <w:rsid w:val="002537F2"/>
    <w:rsid w:val="00265204"/>
    <w:rsid w:val="00295CD3"/>
    <w:rsid w:val="002B7129"/>
    <w:rsid w:val="00312EBF"/>
    <w:rsid w:val="00357C33"/>
    <w:rsid w:val="003D1705"/>
    <w:rsid w:val="003F0EDF"/>
    <w:rsid w:val="003F3DD8"/>
    <w:rsid w:val="00491A76"/>
    <w:rsid w:val="004A05E4"/>
    <w:rsid w:val="004B7E4E"/>
    <w:rsid w:val="004D4636"/>
    <w:rsid w:val="004D6D84"/>
    <w:rsid w:val="004D78DA"/>
    <w:rsid w:val="0053637F"/>
    <w:rsid w:val="005413F5"/>
    <w:rsid w:val="00570E68"/>
    <w:rsid w:val="005C1469"/>
    <w:rsid w:val="005D6D89"/>
    <w:rsid w:val="006036CA"/>
    <w:rsid w:val="00673DA8"/>
    <w:rsid w:val="00823315"/>
    <w:rsid w:val="00856708"/>
    <w:rsid w:val="008570DC"/>
    <w:rsid w:val="00866B4A"/>
    <w:rsid w:val="008837CC"/>
    <w:rsid w:val="00893E0A"/>
    <w:rsid w:val="008D683E"/>
    <w:rsid w:val="00951B85"/>
    <w:rsid w:val="009A2575"/>
    <w:rsid w:val="009B24C3"/>
    <w:rsid w:val="009E38CC"/>
    <w:rsid w:val="00A000FB"/>
    <w:rsid w:val="00A432E2"/>
    <w:rsid w:val="00AE51DC"/>
    <w:rsid w:val="00B3726E"/>
    <w:rsid w:val="00B53833"/>
    <w:rsid w:val="00B84912"/>
    <w:rsid w:val="00B87ADE"/>
    <w:rsid w:val="00CE2701"/>
    <w:rsid w:val="00CF1DB6"/>
    <w:rsid w:val="00D86F57"/>
    <w:rsid w:val="00E16750"/>
    <w:rsid w:val="00F27C41"/>
    <w:rsid w:val="00F422C3"/>
    <w:rsid w:val="00F83275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A432E2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2E2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432E2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32E2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CA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6036CA"/>
    <w:pPr>
      <w:spacing w:after="0" w:line="240" w:lineRule="auto"/>
    </w:pPr>
    <w:rPr>
      <w:rFonts w:ascii="Calibri" w:eastAsia="Dotum" w:hAnsi="Calibri" w:cs="Calibri"/>
    </w:rPr>
  </w:style>
  <w:style w:type="table" w:styleId="MediumGrid3-Accent2">
    <w:name w:val="Medium Grid 3 Accent 2"/>
    <w:basedOn w:val="TableNormal"/>
    <w:uiPriority w:val="69"/>
    <w:rsid w:val="008233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3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3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38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A432E2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2E2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432E2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32E2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CA"/>
    <w:rPr>
      <w:rFonts w:ascii="Tahoma" w:eastAsia="Dotum" w:hAnsi="Tahoma" w:cs="Tahoma"/>
      <w:sz w:val="16"/>
      <w:szCs w:val="16"/>
    </w:rPr>
  </w:style>
  <w:style w:type="paragraph" w:styleId="NoSpacing">
    <w:name w:val="No Spacing"/>
    <w:uiPriority w:val="1"/>
    <w:qFormat/>
    <w:rsid w:val="006036CA"/>
    <w:pPr>
      <w:spacing w:after="0" w:line="240" w:lineRule="auto"/>
    </w:pPr>
    <w:rPr>
      <w:rFonts w:ascii="Calibri" w:eastAsia="Dotum" w:hAnsi="Calibri" w:cs="Calibri"/>
    </w:rPr>
  </w:style>
  <w:style w:type="table" w:styleId="MediumGrid3-Accent2">
    <w:name w:val="Medium Grid 3 Accent 2"/>
    <w:basedOn w:val="TableNormal"/>
    <w:uiPriority w:val="69"/>
    <w:rsid w:val="008233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3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38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938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llp\AppData\Local\Hewlett-Packard\HP%20TRIM\TEMP\HPTRIM.21492\D13%2051757%20%20TEMPLATE%20-%20Agenda-Minutes-Gr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 51757  TEMPLATE - Agenda-Minutes-Green</Template>
  <TotalTime>0</TotalTime>
  <Pages>2</Pages>
  <Words>475</Words>
  <Characters>2619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Authority, Australia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- Barcode specifications for blood and blood products funded under the national blood arrangements - September 2014</dc:title>
  <dc:creator>Peter O'Halloran</dc:creator>
  <cp:lastModifiedBy>Wall, Lyndsay</cp:lastModifiedBy>
  <cp:revision>2</cp:revision>
  <cp:lastPrinted>2014-08-06T11:23:00Z</cp:lastPrinted>
  <dcterms:created xsi:type="dcterms:W3CDTF">2014-12-18T03:41:00Z</dcterms:created>
  <dcterms:modified xsi:type="dcterms:W3CDTF">2014-12-18T03:41:00Z</dcterms:modified>
</cp:coreProperties>
</file>