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1E" w:rsidRPr="00DF568E" w:rsidRDefault="001F2E1E" w:rsidP="001F2E1E">
      <w:pPr>
        <w:pStyle w:val="Header"/>
        <w:rPr>
          <w:rFonts w:ascii="TitilliumText22L Lt" w:hAnsi="TitilliumText22L Lt"/>
          <w:sz w:val="18"/>
          <w:szCs w:val="18"/>
        </w:rPr>
      </w:pPr>
      <w:bookmarkStart w:id="0" w:name="_GoBack"/>
      <w:bookmarkEnd w:id="0"/>
      <w:r w:rsidRPr="00DF568E">
        <w:rPr>
          <w:rFonts w:ascii="TitilliumText22L Lt" w:hAnsi="TitilliumText22L Lt"/>
          <w:noProof/>
          <w:sz w:val="18"/>
          <w:szCs w:val="18"/>
          <w:lang w:eastAsia="en-AU"/>
        </w:rPr>
        <w:drawing>
          <wp:anchor distT="0" distB="0" distL="114300" distR="114300" simplePos="0" relativeHeight="251660288" behindDoc="1" locked="0" layoutInCell="1" allowOverlap="1" wp14:anchorId="7FAB9BE7" wp14:editId="7588E6F9">
            <wp:simplePos x="0" y="0"/>
            <wp:positionH relativeFrom="column">
              <wp:posOffset>4417695</wp:posOffset>
            </wp:positionH>
            <wp:positionV relativeFrom="paragraph">
              <wp:posOffset>-102235</wp:posOffset>
            </wp:positionV>
            <wp:extent cx="1857375" cy="645160"/>
            <wp:effectExtent l="0" t="0" r="0" b="2540"/>
            <wp:wrapTight wrapText="bothSides">
              <wp:wrapPolygon edited="0">
                <wp:start x="2658" y="0"/>
                <wp:lineTo x="222" y="11480"/>
                <wp:lineTo x="222" y="13394"/>
                <wp:lineTo x="1551" y="19772"/>
                <wp:lineTo x="1994" y="21047"/>
                <wp:lineTo x="4431" y="21047"/>
                <wp:lineTo x="11742" y="19772"/>
                <wp:lineTo x="21268" y="15307"/>
                <wp:lineTo x="21268" y="10843"/>
                <wp:lineTo x="12849" y="6378"/>
                <wp:lineTo x="3766" y="0"/>
                <wp:lineTo x="2658" y="0"/>
              </wp:wrapPolygon>
            </wp:wrapTight>
            <wp:docPr id="1" name="Picture 1" descr="G:\Logos\IgGovernance\Ig Governance(300 dpi)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IgGovernance\Ig Governance(300 dpi)_t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59D" w:rsidRPr="00DF568E">
        <w:rPr>
          <w:rFonts w:ascii="TitilliumText22L Lt" w:hAnsi="TitilliumText22L Lt"/>
          <w:sz w:val="18"/>
          <w:szCs w:val="18"/>
        </w:rPr>
        <w:t xml:space="preserve">            </w:t>
      </w:r>
      <w:r w:rsidRPr="00DF568E">
        <w:rPr>
          <w:rFonts w:ascii="TitilliumText22L Lt" w:hAnsi="TitilliumText22L Lt"/>
          <w:noProof/>
          <w:sz w:val="18"/>
          <w:szCs w:val="18"/>
          <w:lang w:eastAsia="en-AU"/>
        </w:rPr>
        <w:drawing>
          <wp:anchor distT="0" distB="0" distL="114300" distR="114300" simplePos="0" relativeHeight="251659264" behindDoc="1" locked="0" layoutInCell="1" allowOverlap="1" wp14:anchorId="2011DA9E" wp14:editId="67FC921F">
            <wp:simplePos x="0" y="0"/>
            <wp:positionH relativeFrom="page">
              <wp:posOffset>262890</wp:posOffset>
            </wp:positionH>
            <wp:positionV relativeFrom="page">
              <wp:posOffset>499110</wp:posOffset>
            </wp:positionV>
            <wp:extent cx="2721610" cy="518160"/>
            <wp:effectExtent l="0" t="0" r="2540" b="0"/>
            <wp:wrapTight wrapText="bothSides">
              <wp:wrapPolygon edited="0">
                <wp:start x="0" y="0"/>
                <wp:lineTo x="0" y="20647"/>
                <wp:lineTo x="21469" y="20647"/>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1610" cy="518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F7646" w:rsidRPr="00DF568E" w:rsidRDefault="00BF159D" w:rsidP="00BF159D">
      <w:pPr>
        <w:pStyle w:val="Header"/>
        <w:ind w:right="-717" w:hanging="851"/>
        <w:jc w:val="center"/>
        <w:rPr>
          <w:rFonts w:ascii="TitilliumText22L Lt" w:hAnsi="TitilliumText22L Lt"/>
          <w:sz w:val="18"/>
          <w:szCs w:val="18"/>
        </w:rPr>
      </w:pPr>
      <w:r w:rsidRPr="00DF568E">
        <w:rPr>
          <w:rFonts w:ascii="TitilliumText22L Lt" w:hAnsi="TitilliumText22L Lt"/>
          <w:sz w:val="18"/>
          <w:szCs w:val="18"/>
        </w:rPr>
        <w:t xml:space="preserve"> </w:t>
      </w:r>
    </w:p>
    <w:p w:rsidR="00AA174F" w:rsidRDefault="00AA174F" w:rsidP="004763AD">
      <w:pPr>
        <w:autoSpaceDE w:val="0"/>
        <w:autoSpaceDN w:val="0"/>
        <w:adjustRightInd w:val="0"/>
        <w:spacing w:after="0"/>
        <w:jc w:val="center"/>
        <w:rPr>
          <w:rFonts w:ascii="TitilliumText25L-600wt" w:eastAsiaTheme="minorHAnsi" w:hAnsi="TitilliumText25L-600wt" w:cs="TitilliumText25L-600wt"/>
          <w:b/>
          <w:color w:val="FFC000"/>
          <w:sz w:val="20"/>
          <w:szCs w:val="20"/>
        </w:rPr>
      </w:pPr>
    </w:p>
    <w:p w:rsidR="00AA174F" w:rsidRDefault="00AA174F" w:rsidP="004763AD">
      <w:pPr>
        <w:autoSpaceDE w:val="0"/>
        <w:autoSpaceDN w:val="0"/>
        <w:adjustRightInd w:val="0"/>
        <w:spacing w:after="0"/>
        <w:jc w:val="center"/>
        <w:rPr>
          <w:rFonts w:ascii="TitilliumText25L-600wt" w:eastAsiaTheme="minorHAnsi" w:hAnsi="TitilliumText25L-600wt" w:cs="TitilliumText25L-600wt"/>
          <w:b/>
          <w:color w:val="FFC000"/>
          <w:sz w:val="20"/>
          <w:szCs w:val="20"/>
        </w:rPr>
      </w:pPr>
    </w:p>
    <w:p w:rsidR="00AA174F" w:rsidRDefault="00AA174F" w:rsidP="004763AD">
      <w:pPr>
        <w:autoSpaceDE w:val="0"/>
        <w:autoSpaceDN w:val="0"/>
        <w:adjustRightInd w:val="0"/>
        <w:spacing w:after="0"/>
        <w:jc w:val="center"/>
        <w:rPr>
          <w:rFonts w:ascii="TitilliumText25L-600wt" w:eastAsiaTheme="minorHAnsi" w:hAnsi="TitilliumText25L-600wt" w:cs="TitilliumText25L-600wt"/>
          <w:b/>
          <w:color w:val="FFC000"/>
          <w:sz w:val="20"/>
          <w:szCs w:val="20"/>
        </w:rPr>
      </w:pPr>
    </w:p>
    <w:p w:rsidR="004763AD" w:rsidRPr="00655520" w:rsidRDefault="004763AD" w:rsidP="004763AD">
      <w:pPr>
        <w:autoSpaceDE w:val="0"/>
        <w:autoSpaceDN w:val="0"/>
        <w:adjustRightInd w:val="0"/>
        <w:spacing w:after="0"/>
        <w:jc w:val="center"/>
        <w:rPr>
          <w:rFonts w:ascii="TitilliumText22L Xb" w:eastAsiaTheme="minorHAnsi" w:hAnsi="TitilliumText22L Xb" w:cs="TitilliumText25L-400wt"/>
          <w:b/>
          <w:color w:val="FFC000"/>
          <w:sz w:val="20"/>
          <w:szCs w:val="20"/>
        </w:rPr>
      </w:pPr>
      <w:r w:rsidRPr="00655520">
        <w:rPr>
          <w:rFonts w:ascii="TitilliumText22L Xb" w:eastAsiaTheme="minorHAnsi" w:hAnsi="TitilliumText22L Xb" w:cs="TitilliumText25L-400wt"/>
          <w:b/>
          <w:color w:val="FFC000"/>
          <w:sz w:val="20"/>
          <w:szCs w:val="20"/>
        </w:rPr>
        <w:t>PRESCRIBER ACKNOWLE</w:t>
      </w:r>
      <w:r w:rsidR="0038094C" w:rsidRPr="00655520">
        <w:rPr>
          <w:rFonts w:ascii="TitilliumText22L Xb" w:eastAsiaTheme="minorHAnsi" w:hAnsi="TitilliumText22L Xb" w:cs="TitilliumText25L-400wt"/>
          <w:b/>
          <w:color w:val="FFC000"/>
          <w:sz w:val="20"/>
          <w:szCs w:val="20"/>
        </w:rPr>
        <w:t>D</w:t>
      </w:r>
      <w:r w:rsidRPr="00655520">
        <w:rPr>
          <w:rFonts w:ascii="TitilliumText22L Xb" w:eastAsiaTheme="minorHAnsi" w:hAnsi="TitilliumText22L Xb" w:cs="TitilliumText25L-400wt"/>
          <w:b/>
          <w:color w:val="FFC000"/>
          <w:sz w:val="20"/>
          <w:szCs w:val="20"/>
        </w:rPr>
        <w:t>GEMENT AND CONFIRMATION</w:t>
      </w:r>
      <w:r w:rsidR="00AA174F" w:rsidRPr="00655520">
        <w:rPr>
          <w:rFonts w:ascii="TitilliumText22L Xb" w:eastAsiaTheme="minorHAnsi" w:hAnsi="TitilliumText22L Xb" w:cs="TitilliumText25L-400wt"/>
          <w:b/>
          <w:color w:val="FFC000"/>
          <w:sz w:val="20"/>
          <w:szCs w:val="20"/>
        </w:rPr>
        <w:t xml:space="preserve"> </w:t>
      </w:r>
      <w:r w:rsidR="00B011A7" w:rsidRPr="00655520">
        <w:rPr>
          <w:rFonts w:ascii="TitilliumText22L Xb" w:eastAsiaTheme="minorHAnsi" w:hAnsi="TitilliumText22L Xb" w:cs="TitilliumText25L-400wt"/>
          <w:b/>
          <w:color w:val="FFC000"/>
          <w:sz w:val="20"/>
          <w:szCs w:val="20"/>
        </w:rPr>
        <w:t>REGARDING PATIENT CONSENT</w:t>
      </w:r>
    </w:p>
    <w:p w:rsidR="007D268E" w:rsidRPr="00655520" w:rsidRDefault="007D268E" w:rsidP="00BF159D">
      <w:pPr>
        <w:autoSpaceDE w:val="0"/>
        <w:autoSpaceDN w:val="0"/>
        <w:adjustRightInd w:val="0"/>
        <w:spacing w:after="0"/>
        <w:jc w:val="center"/>
        <w:rPr>
          <w:rFonts w:ascii="TitilliumText22L Xb" w:eastAsiaTheme="minorHAnsi" w:hAnsi="TitilliumText22L Xb" w:cs="TitilliumText25L-400wt"/>
          <w:b/>
          <w:color w:val="FFC000"/>
          <w:sz w:val="20"/>
          <w:szCs w:val="20"/>
        </w:rPr>
      </w:pPr>
    </w:p>
    <w:p w:rsidR="004763AD" w:rsidRPr="00DF568E" w:rsidRDefault="004763AD" w:rsidP="00AA174F">
      <w:pPr>
        <w:autoSpaceDE w:val="0"/>
        <w:autoSpaceDN w:val="0"/>
        <w:adjustRightInd w:val="0"/>
        <w:spacing w:after="0"/>
        <w:rPr>
          <w:rFonts w:ascii="TitilliumText22L Lt" w:eastAsiaTheme="minorHAnsi" w:hAnsi="TitilliumText22L Lt" w:cstheme="minorHAnsi"/>
          <w:b/>
          <w:sz w:val="16"/>
          <w:szCs w:val="16"/>
        </w:rPr>
      </w:pPr>
      <w:r w:rsidRPr="00DF568E">
        <w:rPr>
          <w:rFonts w:ascii="TitilliumText22L Lt" w:eastAsiaTheme="minorHAnsi" w:hAnsi="TitilliumText22L Lt" w:cs="TitilliumText25L-250wt"/>
          <w:color w:val="231F20"/>
          <w:sz w:val="16"/>
          <w:szCs w:val="16"/>
        </w:rPr>
        <w:t>TO BE COMPLETED B</w:t>
      </w:r>
      <w:r w:rsidR="008E7FA2" w:rsidRPr="00DF568E">
        <w:rPr>
          <w:rFonts w:ascii="TitilliumText22L Lt" w:eastAsiaTheme="minorHAnsi" w:hAnsi="TitilliumText22L Lt" w:cs="TitilliumText25L-250wt"/>
          <w:color w:val="231F20"/>
          <w:sz w:val="16"/>
          <w:szCs w:val="16"/>
        </w:rPr>
        <w:t>Y THE TREATING MEDICAL SPECIALIS</w:t>
      </w:r>
      <w:r w:rsidRPr="00DF568E">
        <w:rPr>
          <w:rFonts w:ascii="TitilliumText22L Lt" w:eastAsiaTheme="minorHAnsi" w:hAnsi="TitilliumText22L Lt" w:cs="TitilliumText25L-250wt"/>
          <w:color w:val="231F20"/>
          <w:sz w:val="16"/>
          <w:szCs w:val="16"/>
        </w:rPr>
        <w:t xml:space="preserve">T OR APPROPRIATE </w:t>
      </w:r>
      <w:r w:rsidR="007D268E" w:rsidRPr="00DF568E">
        <w:rPr>
          <w:rFonts w:ascii="TitilliumText22L Lt" w:eastAsiaTheme="minorHAnsi" w:hAnsi="TitilliumText22L Lt" w:cs="TitilliumText25L-250wt"/>
          <w:color w:val="231F20"/>
          <w:sz w:val="16"/>
          <w:szCs w:val="16"/>
        </w:rPr>
        <w:t xml:space="preserve">DELEGATE </w:t>
      </w:r>
      <w:r w:rsidRPr="00DF568E">
        <w:rPr>
          <w:rFonts w:ascii="TitilliumText22L Lt" w:eastAsiaTheme="minorHAnsi" w:hAnsi="TitilliumText22L Lt" w:cs="TitilliumText25L-250wt"/>
          <w:color w:val="231F20"/>
          <w:sz w:val="16"/>
          <w:szCs w:val="16"/>
        </w:rPr>
        <w:t>FOLLOWING DISCUSSION WITH THE</w:t>
      </w:r>
      <w:r w:rsidR="00DD224A" w:rsidRPr="00DF568E">
        <w:rPr>
          <w:rFonts w:ascii="TitilliumText22L Lt" w:eastAsiaTheme="minorHAnsi" w:hAnsi="TitilliumText22L Lt" w:cs="TitilliumText25L-250wt"/>
          <w:color w:val="231F20"/>
          <w:sz w:val="16"/>
          <w:szCs w:val="16"/>
        </w:rPr>
        <w:t>IR</w:t>
      </w:r>
      <w:r w:rsidRPr="00DF568E">
        <w:rPr>
          <w:rFonts w:ascii="TitilliumText22L Lt" w:eastAsiaTheme="minorHAnsi" w:hAnsi="TitilliumText22L Lt" w:cs="TitilliumText25L-250wt"/>
          <w:color w:val="231F20"/>
          <w:sz w:val="16"/>
          <w:szCs w:val="16"/>
        </w:rPr>
        <w:t xml:space="preserve"> PATIENT</w:t>
      </w:r>
      <w:r w:rsidR="00EF0CD5" w:rsidRPr="00DF568E">
        <w:rPr>
          <w:rFonts w:ascii="TitilliumText22L Lt" w:eastAsiaTheme="minorHAnsi" w:hAnsi="TitilliumText22L Lt" w:cs="TitilliumText25L-250wt"/>
          <w:color w:val="231F20"/>
          <w:sz w:val="16"/>
          <w:szCs w:val="16"/>
        </w:rPr>
        <w:t xml:space="preserve"> AND PROVIDED T</w:t>
      </w:r>
      <w:r w:rsidR="00E17699" w:rsidRPr="00DF568E">
        <w:rPr>
          <w:rFonts w:ascii="TitilliumText22L Lt" w:eastAsiaTheme="minorHAnsi" w:hAnsi="TitilliumText22L Lt" w:cs="TitilliumText25L-250wt"/>
          <w:color w:val="231F20"/>
          <w:sz w:val="16"/>
          <w:szCs w:val="16"/>
        </w:rPr>
        <w:t>O THE AUSTRALIAN RED CROSS BLOO</w:t>
      </w:r>
      <w:r w:rsidR="00EF0CD5" w:rsidRPr="00DF568E">
        <w:rPr>
          <w:rFonts w:ascii="TitilliumText22L Lt" w:eastAsiaTheme="minorHAnsi" w:hAnsi="TitilliumText22L Lt" w:cs="TitilliumText25L-250wt"/>
          <w:color w:val="231F20"/>
          <w:sz w:val="16"/>
          <w:szCs w:val="16"/>
        </w:rPr>
        <w:t>D SERVICE</w:t>
      </w:r>
    </w:p>
    <w:p w:rsidR="007D268E" w:rsidRPr="00DF568E" w:rsidRDefault="007D268E" w:rsidP="00C1581A">
      <w:pPr>
        <w:autoSpaceDE w:val="0"/>
        <w:autoSpaceDN w:val="0"/>
        <w:adjustRightInd w:val="0"/>
        <w:spacing w:after="0"/>
        <w:rPr>
          <w:rFonts w:ascii="TitilliumText22L Lt" w:eastAsiaTheme="minorHAnsi" w:hAnsi="TitilliumText22L Lt" w:cstheme="minorHAnsi"/>
          <w:sz w:val="18"/>
          <w:szCs w:val="18"/>
        </w:rPr>
      </w:pPr>
    </w:p>
    <w:p w:rsidR="000E16D0" w:rsidRPr="00DF568E" w:rsidRDefault="006F7646" w:rsidP="006F7646">
      <w:pPr>
        <w:autoSpaceDE w:val="0"/>
        <w:autoSpaceDN w:val="0"/>
        <w:adjustRightInd w:val="0"/>
        <w:spacing w:after="0"/>
        <w:rPr>
          <w:rFonts w:ascii="TitilliumText22L Lt" w:hAnsi="TitilliumText22L Lt" w:cs="Arial"/>
          <w:sz w:val="18"/>
          <w:szCs w:val="18"/>
        </w:rPr>
      </w:pPr>
      <w:r w:rsidRPr="00DF568E">
        <w:rPr>
          <w:rFonts w:ascii="TitilliumText22L Lt" w:eastAsiaTheme="minorHAnsi" w:hAnsi="TitilliumText22L Lt" w:cstheme="minorHAnsi"/>
          <w:sz w:val="18"/>
          <w:szCs w:val="18"/>
        </w:rPr>
        <w:t>I acknowledge the governance and management arrangements for the appropriate supply and use of immunoglobulin products, funded under the national blood arrangements, and the provision of information required to support authorisation</w:t>
      </w:r>
      <w:r w:rsidR="000E16D0" w:rsidRPr="00153B66">
        <w:rPr>
          <w:rFonts w:ascii="TitilliumText22L Lt" w:eastAsiaTheme="minorHAnsi" w:hAnsi="TitilliumText22L Lt" w:cstheme="minorHAnsi"/>
          <w:sz w:val="18"/>
          <w:szCs w:val="18"/>
        </w:rPr>
        <w:t>.</w:t>
      </w:r>
      <w:r w:rsidRPr="00153B66">
        <w:rPr>
          <w:rFonts w:ascii="TitilliumText22L Lt" w:eastAsiaTheme="minorHAnsi" w:hAnsi="TitilliumText22L Lt" w:cstheme="minorHAnsi"/>
          <w:sz w:val="18"/>
          <w:szCs w:val="18"/>
        </w:rPr>
        <w:t xml:space="preserve"> </w:t>
      </w:r>
      <w:r w:rsidRPr="00153B66">
        <w:rPr>
          <w:rFonts w:ascii="TitilliumText22L Lt" w:eastAsiaTheme="minorHAnsi" w:hAnsi="TitilliumText22L Lt" w:cstheme="minorHAnsi"/>
          <w:b/>
          <w:sz w:val="18"/>
          <w:szCs w:val="18"/>
        </w:rPr>
        <w:t xml:space="preserve">I have </w:t>
      </w:r>
      <w:r w:rsidR="00EC30B0" w:rsidRPr="00153B66">
        <w:rPr>
          <w:rFonts w:ascii="TitilliumText22L Lt" w:eastAsiaTheme="minorHAnsi" w:hAnsi="TitilliumText22L Lt" w:cstheme="minorHAnsi"/>
          <w:b/>
          <w:sz w:val="18"/>
          <w:szCs w:val="18"/>
        </w:rPr>
        <w:t xml:space="preserve">provided and/or </w:t>
      </w:r>
      <w:r w:rsidRPr="00153B66">
        <w:rPr>
          <w:rFonts w:ascii="TitilliumText22L Lt" w:eastAsiaTheme="minorHAnsi" w:hAnsi="TitilliumText22L Lt" w:cstheme="minorHAnsi"/>
          <w:b/>
          <w:sz w:val="18"/>
          <w:szCs w:val="18"/>
        </w:rPr>
        <w:t xml:space="preserve">explained </w:t>
      </w:r>
      <w:r w:rsidR="00EC30B0" w:rsidRPr="00153B66">
        <w:rPr>
          <w:rFonts w:ascii="TitilliumText22L Lt" w:eastAsiaTheme="minorHAnsi" w:hAnsi="TitilliumText22L Lt" w:cstheme="minorHAnsi"/>
          <w:b/>
          <w:sz w:val="18"/>
          <w:szCs w:val="18"/>
        </w:rPr>
        <w:t xml:space="preserve">to my patient (or parent/carer/guardian) </w:t>
      </w:r>
      <w:r w:rsidR="000E16D0" w:rsidRPr="00153B66">
        <w:rPr>
          <w:rFonts w:ascii="TitilliumText22L Lt" w:hAnsi="TitilliumText22L Lt" w:cs="Arial"/>
          <w:sz w:val="18"/>
          <w:szCs w:val="18"/>
        </w:rPr>
        <w:t>the Privacy Statement and Notice (Notice) and Patient Information Brochure</w:t>
      </w:r>
      <w:r w:rsidR="001F1287">
        <w:rPr>
          <w:rFonts w:ascii="TitilliumText22L Lt" w:hAnsi="TitilliumText22L Lt" w:cs="Arial"/>
          <w:sz w:val="18"/>
          <w:szCs w:val="18"/>
        </w:rPr>
        <w:t xml:space="preserve"> </w:t>
      </w:r>
      <w:r w:rsidR="00EC30B0" w:rsidRPr="00153B66">
        <w:rPr>
          <w:rFonts w:ascii="TitilliumText22L Lt" w:hAnsi="TitilliumText22L Lt" w:cs="Arial"/>
          <w:sz w:val="18"/>
          <w:szCs w:val="18"/>
        </w:rPr>
        <w:t>and they have had the opportunity to ask questions</w:t>
      </w:r>
      <w:r w:rsidR="00153B66">
        <w:rPr>
          <w:rFonts w:ascii="TitilliumText22L Lt" w:hAnsi="TitilliumText22L Lt" w:cs="Arial"/>
          <w:sz w:val="18"/>
          <w:szCs w:val="18"/>
        </w:rPr>
        <w:t>.</w:t>
      </w:r>
    </w:p>
    <w:p w:rsidR="000E16D0" w:rsidRPr="00DF568E" w:rsidRDefault="000E16D0" w:rsidP="006F7646">
      <w:pPr>
        <w:autoSpaceDE w:val="0"/>
        <w:autoSpaceDN w:val="0"/>
        <w:adjustRightInd w:val="0"/>
        <w:spacing w:after="0"/>
        <w:rPr>
          <w:rFonts w:ascii="TitilliumText22L Lt" w:hAnsi="TitilliumText22L Lt" w:cs="Arial"/>
          <w:sz w:val="18"/>
          <w:szCs w:val="18"/>
        </w:rPr>
      </w:pPr>
    </w:p>
    <w:p w:rsidR="006F7646" w:rsidRPr="00DC1B53" w:rsidRDefault="000E16D0" w:rsidP="00DF568E">
      <w:pPr>
        <w:autoSpaceDE w:val="0"/>
        <w:autoSpaceDN w:val="0"/>
        <w:adjustRightInd w:val="0"/>
        <w:spacing w:after="0"/>
        <w:rPr>
          <w:rFonts w:ascii="TitilliumText22L Rg" w:eastAsiaTheme="minorHAnsi" w:hAnsi="TitilliumText22L Rg" w:cstheme="minorHAnsi"/>
          <w:b/>
          <w:sz w:val="18"/>
          <w:szCs w:val="18"/>
        </w:rPr>
      </w:pPr>
      <w:r w:rsidRPr="00F0004E">
        <w:rPr>
          <w:rFonts w:ascii="TitilliumText22L Rg" w:eastAsiaTheme="minorHAnsi" w:hAnsi="TitilliumText22L Rg" w:cstheme="minorHAnsi"/>
          <w:b/>
          <w:sz w:val="18"/>
          <w:szCs w:val="18"/>
        </w:rPr>
        <w:t xml:space="preserve"> </w:t>
      </w:r>
      <w:r w:rsidR="00F0004E" w:rsidRPr="00F0004E">
        <w:rPr>
          <w:rFonts w:ascii="TitilliumText22L Rg" w:eastAsiaTheme="minorHAnsi" w:hAnsi="TitilliumText22L Rg" w:cstheme="minorHAnsi"/>
          <w:b/>
          <w:sz w:val="18"/>
          <w:szCs w:val="18"/>
        </w:rPr>
        <w:t>I believe that</w:t>
      </w:r>
      <w:r w:rsidR="00632349">
        <w:rPr>
          <w:rFonts w:ascii="TitilliumText22L Rg" w:eastAsiaTheme="minorHAnsi" w:hAnsi="TitilliumText22L Rg" w:cstheme="minorHAnsi"/>
          <w:b/>
          <w:sz w:val="18"/>
          <w:szCs w:val="18"/>
        </w:rPr>
        <w:t xml:space="preserve"> </w:t>
      </w:r>
      <w:r w:rsidR="00632349" w:rsidRPr="00DC1B53">
        <w:rPr>
          <w:rFonts w:ascii="TitilliumText22L Rg" w:eastAsiaTheme="minorHAnsi" w:hAnsi="TitilliumText22L Rg" w:cstheme="minorHAnsi"/>
          <w:b/>
          <w:sz w:val="18"/>
          <w:szCs w:val="18"/>
        </w:rPr>
        <w:t xml:space="preserve">my patient (or parent/carer/guardian) </w:t>
      </w:r>
      <w:r w:rsidR="00632349">
        <w:rPr>
          <w:rFonts w:ascii="TitilliumText22L Rg" w:eastAsiaTheme="minorHAnsi" w:hAnsi="TitilliumText22L Rg" w:cstheme="minorHAnsi"/>
          <w:b/>
          <w:sz w:val="18"/>
          <w:szCs w:val="18"/>
        </w:rPr>
        <w:t>is</w:t>
      </w:r>
      <w:r w:rsidR="00F0004E" w:rsidRPr="00F0004E">
        <w:rPr>
          <w:rFonts w:ascii="TitilliumText22L Rg" w:eastAsiaTheme="minorHAnsi" w:hAnsi="TitilliumText22L Rg" w:cstheme="minorHAnsi"/>
          <w:b/>
          <w:sz w:val="18"/>
          <w:szCs w:val="18"/>
        </w:rPr>
        <w:t xml:space="preserve"> </w:t>
      </w:r>
      <w:r w:rsidR="006F7646" w:rsidRPr="00F0004E">
        <w:rPr>
          <w:rFonts w:ascii="TitilliumText22L Rg" w:eastAsiaTheme="minorHAnsi" w:hAnsi="TitilliumText22L Rg" w:cstheme="minorHAnsi"/>
          <w:b/>
          <w:sz w:val="18"/>
          <w:szCs w:val="18"/>
        </w:rPr>
        <w:t>aware of and understand</w:t>
      </w:r>
      <w:r w:rsidR="006F7646" w:rsidRPr="00DC1B53">
        <w:rPr>
          <w:rFonts w:ascii="TitilliumText22L Rg" w:eastAsiaTheme="minorHAnsi" w:hAnsi="TitilliumText22L Rg" w:cstheme="minorHAnsi"/>
          <w:b/>
          <w:sz w:val="18"/>
          <w:szCs w:val="18"/>
        </w:rPr>
        <w:t>:</w:t>
      </w:r>
    </w:p>
    <w:p w:rsidR="006F7646" w:rsidRPr="00DF568E" w:rsidRDefault="006F7646" w:rsidP="00AA174F">
      <w:pPr>
        <w:pStyle w:val="ListParagraph"/>
        <w:numPr>
          <w:ilvl w:val="0"/>
          <w:numId w:val="6"/>
        </w:numPr>
        <w:autoSpaceDE w:val="0"/>
        <w:autoSpaceDN w:val="0"/>
        <w:adjustRightInd w:val="0"/>
        <w:spacing w:after="0"/>
        <w:ind w:left="142" w:hanging="142"/>
        <w:contextualSpacing w:val="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the risks and benefits of treatment with immunoglobulin products and alternative treatments (where these exist),</w:t>
      </w:r>
    </w:p>
    <w:p w:rsidR="006F7646" w:rsidRPr="00DF568E" w:rsidRDefault="006F7646" w:rsidP="00AA174F">
      <w:pPr>
        <w:pStyle w:val="ListParagraph"/>
        <w:numPr>
          <w:ilvl w:val="0"/>
          <w:numId w:val="6"/>
        </w:numPr>
        <w:autoSpaceDE w:val="0"/>
        <w:autoSpaceDN w:val="0"/>
        <w:adjustRightInd w:val="0"/>
        <w:spacing w:before="120" w:after="0"/>
        <w:ind w:left="142" w:hanging="142"/>
        <w:contextualSpacing w:val="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the national access conditions and governing requirements for the appropriate supply and use of immunoglobulin products under the national blood arrangements, including that immunoglobulin products may need to change from time to time</w:t>
      </w:r>
      <w:r w:rsidR="00150B14">
        <w:rPr>
          <w:rFonts w:ascii="TitilliumText22L Lt" w:eastAsiaTheme="minorHAnsi" w:hAnsi="TitilliumText22L Lt" w:cstheme="minorHAnsi"/>
          <w:sz w:val="18"/>
          <w:szCs w:val="18"/>
        </w:rPr>
        <w:t>,</w:t>
      </w:r>
    </w:p>
    <w:p w:rsidR="006F7646" w:rsidRPr="00DF568E" w:rsidRDefault="006F7646" w:rsidP="00AA174F">
      <w:pPr>
        <w:pStyle w:val="ListParagraph"/>
        <w:numPr>
          <w:ilvl w:val="0"/>
          <w:numId w:val="6"/>
        </w:numPr>
        <w:autoSpaceDE w:val="0"/>
        <w:autoSpaceDN w:val="0"/>
        <w:adjustRightInd w:val="0"/>
        <w:spacing w:before="120" w:after="0"/>
        <w:ind w:left="142" w:hanging="142"/>
        <w:contextualSpacing w:val="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w:t>
      </w:r>
      <w:proofErr w:type="gramStart"/>
      <w:r w:rsidRPr="00DF568E">
        <w:rPr>
          <w:rFonts w:ascii="TitilliumText22L Lt" w:eastAsiaTheme="minorHAnsi" w:hAnsi="TitilliumText22L Lt" w:cstheme="minorHAnsi"/>
          <w:sz w:val="18"/>
          <w:szCs w:val="18"/>
        </w:rPr>
        <w:t>for</w:t>
      </w:r>
      <w:proofErr w:type="gramEnd"/>
      <w:r w:rsidRPr="00DF568E">
        <w:rPr>
          <w:rFonts w:ascii="TitilliumText22L Lt" w:eastAsiaTheme="minorHAnsi" w:hAnsi="TitilliumText22L Lt" w:cstheme="minorHAnsi"/>
          <w:sz w:val="18"/>
          <w:szCs w:val="18"/>
        </w:rPr>
        <w:t xml:space="preserve"> patients requiring ongoing treatment only) the nature of ongoing monitoring and review and that access to product will cease if response to treatment does not demonstrate clinical benefit.</w:t>
      </w:r>
    </w:p>
    <w:p w:rsidR="006F7646" w:rsidRPr="00DF568E" w:rsidRDefault="006F7646" w:rsidP="006F7646">
      <w:pPr>
        <w:autoSpaceDE w:val="0"/>
        <w:autoSpaceDN w:val="0"/>
        <w:adjustRightInd w:val="0"/>
        <w:spacing w:after="0"/>
        <w:rPr>
          <w:rFonts w:ascii="TitilliumText22L Lt" w:eastAsiaTheme="minorHAnsi" w:hAnsi="TitilliumText22L Lt" w:cstheme="minorHAnsi"/>
          <w:sz w:val="18"/>
          <w:szCs w:val="18"/>
        </w:rPr>
      </w:pPr>
    </w:p>
    <w:p w:rsidR="006F7646" w:rsidRPr="00AA174F" w:rsidRDefault="006F7646" w:rsidP="00DF568E">
      <w:pPr>
        <w:autoSpaceDE w:val="0"/>
        <w:autoSpaceDN w:val="0"/>
        <w:adjustRightInd w:val="0"/>
        <w:spacing w:after="0"/>
        <w:rPr>
          <w:rFonts w:ascii="TitilliumText22L Rg" w:eastAsiaTheme="minorHAnsi" w:hAnsi="TitilliumText22L Rg" w:cstheme="minorHAnsi"/>
          <w:b/>
          <w:sz w:val="18"/>
          <w:szCs w:val="18"/>
        </w:rPr>
      </w:pPr>
      <w:r w:rsidRPr="00DC1B53">
        <w:rPr>
          <w:rFonts w:ascii="TitilliumText22L Rg" w:eastAsiaTheme="minorHAnsi" w:hAnsi="TitilliumText22L Rg" w:cstheme="minorHAnsi"/>
          <w:b/>
          <w:sz w:val="18"/>
          <w:szCs w:val="18"/>
        </w:rPr>
        <w:t xml:space="preserve">I confirm that </w:t>
      </w:r>
      <w:r w:rsidR="00CA255C" w:rsidRPr="00DC1B53">
        <w:rPr>
          <w:rFonts w:ascii="TitilliumText22L Rg" w:eastAsiaTheme="minorHAnsi" w:hAnsi="TitilliumText22L Rg" w:cstheme="minorHAnsi"/>
          <w:b/>
          <w:sz w:val="18"/>
          <w:szCs w:val="18"/>
        </w:rPr>
        <w:t xml:space="preserve">my </w:t>
      </w:r>
      <w:r w:rsidRPr="00DC1B53">
        <w:rPr>
          <w:rFonts w:ascii="TitilliumText22L Rg" w:eastAsiaTheme="minorHAnsi" w:hAnsi="TitilliumText22L Rg" w:cstheme="minorHAnsi"/>
          <w:b/>
          <w:sz w:val="18"/>
          <w:szCs w:val="18"/>
        </w:rPr>
        <w:t>patient (or parent/carer/guardian) has provided express consent (explicit oral or written consent) to</w:t>
      </w:r>
      <w:r w:rsidRPr="00AA174F">
        <w:rPr>
          <w:rFonts w:ascii="TitilliumText22L Rg" w:eastAsiaTheme="minorHAnsi" w:hAnsi="TitilliumText22L Rg" w:cstheme="minorHAnsi"/>
          <w:b/>
          <w:sz w:val="18"/>
          <w:szCs w:val="18"/>
        </w:rPr>
        <w:t>:</w:t>
      </w:r>
    </w:p>
    <w:p w:rsidR="003D420B" w:rsidRPr="00AA174F" w:rsidRDefault="00B62C29" w:rsidP="00AA174F">
      <w:pPr>
        <w:pStyle w:val="ListParagraph"/>
        <w:numPr>
          <w:ilvl w:val="0"/>
          <w:numId w:val="6"/>
        </w:numPr>
        <w:autoSpaceDE w:val="0"/>
        <w:autoSpaceDN w:val="0"/>
        <w:adjustRightInd w:val="0"/>
        <w:spacing w:before="120" w:after="0"/>
        <w:ind w:left="142" w:hanging="142"/>
        <w:contextualSpacing w:val="0"/>
        <w:rPr>
          <w:rFonts w:ascii="TitilliumText22L Lt" w:eastAsiaTheme="minorHAnsi" w:hAnsi="TitilliumText22L Lt" w:cstheme="minorHAnsi"/>
          <w:sz w:val="18"/>
          <w:szCs w:val="18"/>
        </w:rPr>
      </w:pPr>
      <w:r w:rsidRPr="00AA174F">
        <w:rPr>
          <w:rFonts w:ascii="TitilliumText22L Lt" w:eastAsiaTheme="minorHAnsi" w:hAnsi="TitilliumText22L Lt" w:cstheme="minorHAnsi"/>
          <w:sz w:val="18"/>
          <w:szCs w:val="18"/>
        </w:rPr>
        <w:t>t</w:t>
      </w:r>
      <w:r w:rsidR="003D420B" w:rsidRPr="00AA174F">
        <w:rPr>
          <w:rFonts w:ascii="TitilliumText22L Lt" w:eastAsiaTheme="minorHAnsi" w:hAnsi="TitilliumText22L Lt" w:cstheme="minorHAnsi"/>
          <w:sz w:val="18"/>
          <w:szCs w:val="18"/>
        </w:rPr>
        <w:t>he</w:t>
      </w:r>
      <w:r w:rsidR="00D5170F" w:rsidRPr="00AA174F">
        <w:rPr>
          <w:rFonts w:ascii="TitilliumText22L Lt" w:eastAsiaTheme="minorHAnsi" w:hAnsi="TitilliumText22L Lt" w:cstheme="minorHAnsi"/>
          <w:sz w:val="18"/>
          <w:szCs w:val="18"/>
        </w:rPr>
        <w:t xml:space="preserve"> collection and</w:t>
      </w:r>
      <w:r w:rsidR="003D420B" w:rsidRPr="00AA174F">
        <w:rPr>
          <w:rFonts w:ascii="TitilliumText22L Lt" w:eastAsiaTheme="minorHAnsi" w:hAnsi="TitilliumText22L Lt" w:cstheme="minorHAnsi"/>
          <w:sz w:val="18"/>
          <w:szCs w:val="18"/>
        </w:rPr>
        <w:t xml:space="preserve"> recording of personal information (including sensitive health information) in secure databases, held by the Australian Red Cross Blood Service (Blood Service) and the National Blood Authority (NBA), </w:t>
      </w:r>
    </w:p>
    <w:p w:rsidR="003D420B" w:rsidRPr="00AA174F" w:rsidRDefault="003D420B" w:rsidP="00AA174F">
      <w:pPr>
        <w:pStyle w:val="ListParagraph"/>
        <w:numPr>
          <w:ilvl w:val="0"/>
          <w:numId w:val="6"/>
        </w:numPr>
        <w:autoSpaceDE w:val="0"/>
        <w:autoSpaceDN w:val="0"/>
        <w:adjustRightInd w:val="0"/>
        <w:spacing w:before="120" w:after="0"/>
        <w:ind w:left="142" w:hanging="142"/>
        <w:contextualSpacing w:val="0"/>
        <w:rPr>
          <w:rFonts w:ascii="TitilliumText22L Lt" w:eastAsiaTheme="minorHAnsi" w:hAnsi="TitilliumText22L Lt" w:cstheme="minorHAnsi"/>
          <w:sz w:val="18"/>
          <w:szCs w:val="18"/>
        </w:rPr>
      </w:pPr>
      <w:r w:rsidRPr="00AA174F">
        <w:rPr>
          <w:rFonts w:ascii="TitilliumText22L Lt" w:eastAsiaTheme="minorHAnsi" w:hAnsi="TitilliumText22L Lt" w:cstheme="minorHAnsi"/>
          <w:sz w:val="18"/>
          <w:szCs w:val="18"/>
        </w:rPr>
        <w:t xml:space="preserve">the use of this information </w:t>
      </w:r>
      <w:r w:rsidR="00BF383E" w:rsidRPr="00AA174F">
        <w:rPr>
          <w:rFonts w:ascii="TitilliumText22L Lt" w:eastAsiaTheme="minorHAnsi" w:hAnsi="TitilliumText22L Lt" w:cstheme="minorHAnsi"/>
          <w:sz w:val="18"/>
          <w:szCs w:val="18"/>
        </w:rPr>
        <w:t xml:space="preserve">by clinicians </w:t>
      </w:r>
      <w:r w:rsidRPr="00AA174F">
        <w:rPr>
          <w:rFonts w:ascii="TitilliumText22L Lt" w:eastAsiaTheme="minorHAnsi" w:hAnsi="TitilliumText22L Lt" w:cstheme="minorHAnsi"/>
          <w:sz w:val="18"/>
          <w:szCs w:val="18"/>
        </w:rPr>
        <w:t xml:space="preserve">to submit a request for, and for the assessment of, initial or ongoing authorisation for access to publicly funded immunoglobulin products, against the </w:t>
      </w:r>
      <w:r w:rsidR="00BF383E" w:rsidRPr="0084652D">
        <w:rPr>
          <w:rFonts w:ascii="TitilliumText22L Lt" w:eastAsiaTheme="minorHAnsi" w:hAnsi="TitilliumText22L Lt" w:cstheme="minorHAnsi"/>
          <w:i/>
          <w:sz w:val="18"/>
          <w:szCs w:val="18"/>
        </w:rPr>
        <w:t>Criteria for the clinical use of intravenous immunoglobulin in Australia Second Edition</w:t>
      </w:r>
      <w:r w:rsidR="00BF383E" w:rsidRPr="0084652D">
        <w:rPr>
          <w:rFonts w:ascii="TitilliumText22L Lt" w:eastAsiaTheme="minorHAnsi" w:hAnsi="TitilliumText22L Lt" w:cstheme="minorHAnsi"/>
          <w:sz w:val="18"/>
          <w:szCs w:val="18"/>
          <w:vertAlign w:val="superscript"/>
        </w:rPr>
        <w:footnoteReference w:id="1"/>
      </w:r>
      <w:r w:rsidRPr="00AA174F">
        <w:rPr>
          <w:rFonts w:ascii="TitilliumText22L Lt" w:eastAsiaTheme="minorHAnsi" w:hAnsi="TitilliumText22L Lt" w:cstheme="minorHAnsi"/>
          <w:sz w:val="18"/>
          <w:szCs w:val="18"/>
        </w:rPr>
        <w:t xml:space="preserve"> determined by</w:t>
      </w:r>
      <w:r w:rsidR="00D5170F" w:rsidRPr="00AA174F">
        <w:rPr>
          <w:rFonts w:ascii="TitilliumText22L Lt" w:eastAsiaTheme="minorHAnsi" w:hAnsi="TitilliumText22L Lt" w:cstheme="minorHAnsi"/>
          <w:sz w:val="18"/>
          <w:szCs w:val="18"/>
        </w:rPr>
        <w:t xml:space="preserve"> clinical experts and approved by</w:t>
      </w:r>
      <w:r w:rsidRPr="00AA174F">
        <w:rPr>
          <w:rFonts w:ascii="TitilliumText22L Lt" w:eastAsiaTheme="minorHAnsi" w:hAnsi="TitilliumText22L Lt" w:cstheme="minorHAnsi"/>
          <w:sz w:val="18"/>
          <w:szCs w:val="18"/>
        </w:rPr>
        <w:t xml:space="preserve"> Australian governments for this purpose,</w:t>
      </w:r>
    </w:p>
    <w:p w:rsidR="003D420B" w:rsidRPr="00AA174F" w:rsidRDefault="003D420B" w:rsidP="00AA174F">
      <w:pPr>
        <w:pStyle w:val="ListParagraph"/>
        <w:numPr>
          <w:ilvl w:val="0"/>
          <w:numId w:val="6"/>
        </w:numPr>
        <w:autoSpaceDE w:val="0"/>
        <w:autoSpaceDN w:val="0"/>
        <w:adjustRightInd w:val="0"/>
        <w:spacing w:before="120" w:after="0"/>
        <w:ind w:left="142" w:hanging="142"/>
        <w:contextualSpacing w:val="0"/>
        <w:rPr>
          <w:rFonts w:ascii="TitilliumText22L Lt" w:eastAsiaTheme="minorHAnsi" w:hAnsi="TitilliumText22L Lt" w:cstheme="minorHAnsi"/>
          <w:sz w:val="18"/>
          <w:szCs w:val="18"/>
        </w:rPr>
      </w:pPr>
      <w:r w:rsidRPr="00AA174F">
        <w:rPr>
          <w:rFonts w:ascii="TitilliumText22L Lt" w:eastAsiaTheme="minorHAnsi" w:hAnsi="TitilliumText22L Lt" w:cstheme="minorHAnsi"/>
          <w:sz w:val="18"/>
          <w:szCs w:val="18"/>
        </w:rPr>
        <w:t>the use of limited identifying details</w:t>
      </w:r>
      <w:r w:rsidR="00D5170F" w:rsidRPr="00AA174F">
        <w:rPr>
          <w:rFonts w:ascii="TitilliumText22L Lt" w:eastAsiaTheme="minorHAnsi" w:hAnsi="TitilliumText22L Lt" w:cstheme="minorHAnsi"/>
          <w:sz w:val="18"/>
          <w:szCs w:val="18"/>
        </w:rPr>
        <w:t xml:space="preserve"> (for example, name, date of birth, sex and hospital identifiers)</w:t>
      </w:r>
      <w:r w:rsidRPr="00AA174F">
        <w:rPr>
          <w:rFonts w:ascii="TitilliumText22L Lt" w:eastAsiaTheme="minorHAnsi" w:hAnsi="TitilliumText22L Lt" w:cstheme="minorHAnsi"/>
          <w:sz w:val="18"/>
          <w:szCs w:val="18"/>
        </w:rPr>
        <w:t xml:space="preserve"> within search functions of the above mentioned databases to ensure that patients are correctly identified,</w:t>
      </w:r>
    </w:p>
    <w:p w:rsidR="003D420B" w:rsidRPr="00AA174F" w:rsidRDefault="003D420B" w:rsidP="00AA174F">
      <w:pPr>
        <w:pStyle w:val="ListParagraph"/>
        <w:numPr>
          <w:ilvl w:val="0"/>
          <w:numId w:val="6"/>
        </w:numPr>
        <w:autoSpaceDE w:val="0"/>
        <w:autoSpaceDN w:val="0"/>
        <w:adjustRightInd w:val="0"/>
        <w:spacing w:before="120" w:after="0"/>
        <w:ind w:left="142" w:hanging="142"/>
        <w:contextualSpacing w:val="0"/>
        <w:rPr>
          <w:rFonts w:ascii="TitilliumText22L Lt" w:eastAsiaTheme="minorHAnsi" w:hAnsi="TitilliumText22L Lt" w:cstheme="minorHAnsi"/>
          <w:sz w:val="18"/>
          <w:szCs w:val="18"/>
        </w:rPr>
      </w:pPr>
      <w:r w:rsidRPr="00AA174F">
        <w:rPr>
          <w:rFonts w:ascii="TitilliumText22L Lt" w:eastAsiaTheme="minorHAnsi" w:hAnsi="TitilliumText22L Lt" w:cstheme="minorHAnsi"/>
          <w:sz w:val="18"/>
          <w:szCs w:val="18"/>
        </w:rPr>
        <w:t>the</w:t>
      </w:r>
      <w:r w:rsidR="00D5170F" w:rsidRPr="00AA174F">
        <w:rPr>
          <w:rFonts w:ascii="TitilliumText22L Lt" w:eastAsiaTheme="minorHAnsi" w:hAnsi="TitilliumText22L Lt" w:cstheme="minorHAnsi"/>
          <w:sz w:val="18"/>
          <w:szCs w:val="18"/>
        </w:rPr>
        <w:t xml:space="preserve"> disclosure</w:t>
      </w:r>
      <w:r w:rsidR="003A04B3" w:rsidRPr="00AA174F">
        <w:rPr>
          <w:rFonts w:ascii="TitilliumText22L Lt" w:eastAsiaTheme="minorHAnsi" w:hAnsi="TitilliumText22L Lt" w:cstheme="minorHAnsi"/>
          <w:sz w:val="18"/>
          <w:szCs w:val="18"/>
        </w:rPr>
        <w:t xml:space="preserve"> to</w:t>
      </w:r>
      <w:r w:rsidR="00D5170F" w:rsidRPr="00AA174F">
        <w:rPr>
          <w:rFonts w:ascii="TitilliumText22L Lt" w:eastAsiaTheme="minorHAnsi" w:hAnsi="TitilliumText22L Lt" w:cstheme="minorHAnsi"/>
          <w:sz w:val="18"/>
          <w:szCs w:val="18"/>
        </w:rPr>
        <w:t xml:space="preserve"> and</w:t>
      </w:r>
      <w:r w:rsidRPr="00AA174F">
        <w:rPr>
          <w:rFonts w:ascii="TitilliumText22L Lt" w:eastAsiaTheme="minorHAnsi" w:hAnsi="TitilliumText22L Lt" w:cstheme="minorHAnsi"/>
          <w:sz w:val="18"/>
          <w:szCs w:val="18"/>
        </w:rPr>
        <w:t xml:space="preserve"> use of this information by clinicians in Australian treatment facilities that they attend for health care, in order to deliver health services according to the purposes </w:t>
      </w:r>
      <w:r w:rsidR="00D5170F" w:rsidRPr="00AA174F">
        <w:rPr>
          <w:rFonts w:ascii="TitilliumText22L Lt" w:eastAsiaTheme="minorHAnsi" w:hAnsi="TitilliumText22L Lt" w:cstheme="minorHAnsi"/>
          <w:sz w:val="18"/>
          <w:szCs w:val="18"/>
        </w:rPr>
        <w:t>set out in the Notice, and</w:t>
      </w:r>
    </w:p>
    <w:p w:rsidR="006F7646" w:rsidRDefault="003D420B" w:rsidP="00AA174F">
      <w:pPr>
        <w:pStyle w:val="ListParagraph"/>
        <w:numPr>
          <w:ilvl w:val="0"/>
          <w:numId w:val="6"/>
        </w:numPr>
        <w:autoSpaceDE w:val="0"/>
        <w:autoSpaceDN w:val="0"/>
        <w:adjustRightInd w:val="0"/>
        <w:spacing w:before="120" w:after="0"/>
        <w:ind w:left="142" w:hanging="142"/>
        <w:contextualSpacing w:val="0"/>
        <w:rPr>
          <w:rFonts w:ascii="TitilliumText22L Lt" w:eastAsiaTheme="minorHAnsi" w:hAnsi="TitilliumText22L Lt" w:cstheme="minorHAnsi"/>
          <w:sz w:val="18"/>
          <w:szCs w:val="18"/>
        </w:rPr>
      </w:pPr>
      <w:r w:rsidRPr="00AA174F">
        <w:rPr>
          <w:rFonts w:ascii="TitilliumText22L Lt" w:eastAsiaTheme="minorHAnsi" w:hAnsi="TitilliumText22L Lt" w:cstheme="minorHAnsi"/>
          <w:sz w:val="18"/>
          <w:szCs w:val="18"/>
        </w:rPr>
        <w:t>the</w:t>
      </w:r>
      <w:r w:rsidR="00D5170F" w:rsidRPr="00AA174F">
        <w:rPr>
          <w:rFonts w:ascii="TitilliumText22L Lt" w:eastAsiaTheme="minorHAnsi" w:hAnsi="TitilliumText22L Lt" w:cstheme="minorHAnsi"/>
          <w:sz w:val="18"/>
          <w:szCs w:val="18"/>
        </w:rPr>
        <w:t xml:space="preserve"> disclosure and</w:t>
      </w:r>
      <w:r w:rsidRPr="00AA174F">
        <w:rPr>
          <w:rFonts w:ascii="TitilliumText22L Lt" w:eastAsiaTheme="minorHAnsi" w:hAnsi="TitilliumText22L Lt" w:cstheme="minorHAnsi"/>
          <w:sz w:val="18"/>
          <w:szCs w:val="18"/>
        </w:rPr>
        <w:t xml:space="preserve"> use of this information in a manner which will not readily identify them, (such as through the removal of directly identifying personal information, or use of</w:t>
      </w:r>
      <w:r w:rsidR="00BF383E" w:rsidRPr="00AA174F">
        <w:rPr>
          <w:rFonts w:ascii="TitilliumText22L Lt" w:eastAsiaTheme="minorHAnsi" w:hAnsi="TitilliumText22L Lt" w:cstheme="minorHAnsi"/>
          <w:sz w:val="18"/>
          <w:szCs w:val="18"/>
        </w:rPr>
        <w:t xml:space="preserve"> </w:t>
      </w:r>
      <w:r w:rsidRPr="00AA174F">
        <w:rPr>
          <w:rFonts w:ascii="TitilliumText22L Lt" w:eastAsiaTheme="minorHAnsi" w:hAnsi="TitilliumText22L Lt" w:cstheme="minorHAnsi"/>
          <w:sz w:val="18"/>
          <w:szCs w:val="18"/>
        </w:rPr>
        <w:t>summary level grouped data) for the</w:t>
      </w:r>
      <w:r w:rsidR="00BF383E" w:rsidRPr="00AA174F">
        <w:rPr>
          <w:rFonts w:ascii="TitilliumText22L Lt" w:eastAsiaTheme="minorHAnsi" w:hAnsi="TitilliumText22L Lt" w:cstheme="minorHAnsi"/>
          <w:sz w:val="18"/>
          <w:szCs w:val="18"/>
        </w:rPr>
        <w:t xml:space="preserve"> secondary</w:t>
      </w:r>
      <w:r w:rsidRPr="00AA174F">
        <w:rPr>
          <w:rFonts w:ascii="TitilliumText22L Lt" w:eastAsiaTheme="minorHAnsi" w:hAnsi="TitilliumText22L Lt" w:cstheme="minorHAnsi"/>
          <w:sz w:val="18"/>
          <w:szCs w:val="18"/>
        </w:rPr>
        <w:t xml:space="preserve"> purposes of: identifying priorities for research, </w:t>
      </w:r>
      <w:r w:rsidR="003A04B3" w:rsidRPr="00AA174F">
        <w:rPr>
          <w:rFonts w:ascii="TitilliumText22L Lt" w:eastAsiaTheme="minorHAnsi" w:hAnsi="TitilliumText22L Lt" w:cstheme="minorHAnsi"/>
          <w:sz w:val="18"/>
          <w:szCs w:val="18"/>
        </w:rPr>
        <w:t xml:space="preserve">prescriber </w:t>
      </w:r>
      <w:r w:rsidRPr="00AA174F">
        <w:rPr>
          <w:rFonts w:ascii="TitilliumText22L Lt" w:eastAsiaTheme="minorHAnsi" w:hAnsi="TitilliumText22L Lt" w:cstheme="minorHAnsi"/>
          <w:sz w:val="18"/>
          <w:szCs w:val="18"/>
        </w:rPr>
        <w:t>education and training; performance evaluation and improvement of the supply, authorisation and use of immunoglobulin products; further developing the criteria upon which Government policy is based; supply planning so the NBA can make sure enough Ig products are available to meet patients’ needs; and enabling reporting on the program for supply, authorisation and use of publicly funded immunoglobulin products.</w:t>
      </w:r>
    </w:p>
    <w:p w:rsidR="0049553F" w:rsidRDefault="0049553F" w:rsidP="00823502">
      <w:pPr>
        <w:spacing w:after="0"/>
        <w:rPr>
          <w:rFonts w:ascii="TitilliumText22L Lt" w:eastAsia="Calibri" w:hAnsi="TitilliumText22L Lt" w:cs="Times New Roman"/>
          <w:sz w:val="18"/>
          <w:szCs w:val="18"/>
          <w:lang w:eastAsia="en-AU"/>
        </w:rPr>
      </w:pPr>
    </w:p>
    <w:p w:rsidR="00511822" w:rsidRPr="00DF568E" w:rsidRDefault="00CA255C" w:rsidP="00823502">
      <w:pPr>
        <w:spacing w:after="0"/>
        <w:rPr>
          <w:rFonts w:ascii="TitilliumText22L Lt" w:eastAsia="Calibri" w:hAnsi="TitilliumText22L Lt" w:cs="Times New Roman"/>
          <w:sz w:val="18"/>
          <w:szCs w:val="18"/>
          <w:lang w:eastAsia="en-AU"/>
        </w:rPr>
      </w:pPr>
      <w:r w:rsidRPr="00DF568E">
        <w:rPr>
          <w:rFonts w:ascii="TitilliumText22L Lt" w:eastAsia="Calibri" w:hAnsi="TitilliumText22L Lt" w:cs="Times New Roman"/>
          <w:sz w:val="18"/>
          <w:szCs w:val="18"/>
          <w:lang w:eastAsia="en-AU"/>
        </w:rPr>
        <w:t xml:space="preserve">My patient </w:t>
      </w:r>
      <w:r w:rsidR="00511822" w:rsidRPr="00DF568E">
        <w:rPr>
          <w:rFonts w:ascii="TitilliumText22L Lt" w:eastAsia="Calibri" w:hAnsi="TitilliumText22L Lt" w:cs="Times New Roman"/>
          <w:sz w:val="18"/>
          <w:szCs w:val="18"/>
          <w:lang w:eastAsia="en-AU"/>
        </w:rPr>
        <w:t>understand</w:t>
      </w:r>
      <w:r w:rsidRPr="00DF568E">
        <w:rPr>
          <w:rFonts w:ascii="TitilliumText22L Lt" w:eastAsia="Calibri" w:hAnsi="TitilliumText22L Lt" w:cs="Times New Roman"/>
          <w:sz w:val="18"/>
          <w:szCs w:val="18"/>
          <w:lang w:eastAsia="en-AU"/>
        </w:rPr>
        <w:t>s</w:t>
      </w:r>
      <w:r w:rsidR="00511822" w:rsidRPr="00DF568E">
        <w:rPr>
          <w:rFonts w:ascii="TitilliumText22L Lt" w:eastAsia="Calibri" w:hAnsi="TitilliumText22L Lt" w:cs="Times New Roman"/>
          <w:sz w:val="18"/>
          <w:szCs w:val="18"/>
          <w:lang w:eastAsia="en-AU"/>
        </w:rPr>
        <w:t xml:space="preserve"> that any additional use of information held by the Blood Service and NBA will only be undertaken in accordance with the requirements of the Privacy Act 1988 (</w:t>
      </w:r>
      <w:proofErr w:type="spellStart"/>
      <w:r w:rsidR="00511822" w:rsidRPr="00DF568E">
        <w:rPr>
          <w:rFonts w:ascii="TitilliumText22L Lt" w:eastAsia="Calibri" w:hAnsi="TitilliumText22L Lt" w:cs="Times New Roman"/>
          <w:sz w:val="18"/>
          <w:szCs w:val="18"/>
          <w:lang w:eastAsia="en-AU"/>
        </w:rPr>
        <w:t>Cth</w:t>
      </w:r>
      <w:proofErr w:type="spellEnd"/>
      <w:r w:rsidR="00511822" w:rsidRPr="00DF568E">
        <w:rPr>
          <w:rFonts w:ascii="TitilliumText22L Lt" w:eastAsia="Calibri" w:hAnsi="TitilliumText22L Lt" w:cs="Times New Roman"/>
          <w:sz w:val="18"/>
          <w:szCs w:val="18"/>
          <w:lang w:eastAsia="en-AU"/>
        </w:rPr>
        <w:t xml:space="preserve">) and any relevant state/territory laws, and that the information may be made available for medical or public health research only with approval of </w:t>
      </w:r>
      <w:r w:rsidRPr="00DF568E">
        <w:rPr>
          <w:rFonts w:ascii="TitilliumText22L Lt" w:eastAsia="Calibri" w:hAnsi="TitilliumText22L Lt" w:cs="Times New Roman"/>
          <w:sz w:val="18"/>
          <w:szCs w:val="18"/>
          <w:lang w:eastAsia="en-AU"/>
        </w:rPr>
        <w:t xml:space="preserve">a </w:t>
      </w:r>
      <w:r w:rsidR="00511822" w:rsidRPr="00DF568E">
        <w:rPr>
          <w:rFonts w:ascii="TitilliumText22L Lt" w:eastAsia="Calibri" w:hAnsi="TitilliumText22L Lt" w:cs="Times New Roman"/>
          <w:sz w:val="18"/>
          <w:szCs w:val="18"/>
          <w:lang w:eastAsia="en-AU"/>
        </w:rPr>
        <w:t>properly constituted human research ethics committee (HREC).</w:t>
      </w:r>
    </w:p>
    <w:p w:rsidR="006F7646" w:rsidRPr="00DF568E" w:rsidRDefault="006F7646" w:rsidP="006F7646">
      <w:pPr>
        <w:autoSpaceDE w:val="0"/>
        <w:autoSpaceDN w:val="0"/>
        <w:adjustRightInd w:val="0"/>
        <w:spacing w:after="0"/>
        <w:rPr>
          <w:rFonts w:ascii="TitilliumText22L Lt" w:eastAsiaTheme="minorHAnsi" w:hAnsi="TitilliumText22L Lt" w:cstheme="minorHAnsi"/>
          <w:sz w:val="18"/>
          <w:szCs w:val="18"/>
        </w:rPr>
      </w:pPr>
    </w:p>
    <w:p w:rsidR="006F7646" w:rsidRPr="00DF568E" w:rsidRDefault="006F7646" w:rsidP="00DF568E">
      <w:pPr>
        <w:autoSpaceDE w:val="0"/>
        <w:autoSpaceDN w:val="0"/>
        <w:adjustRightInd w:val="0"/>
        <w:spacing w:after="0"/>
        <w:rPr>
          <w:rFonts w:ascii="TitilliumText22L Lt" w:eastAsiaTheme="minorHAnsi" w:hAnsi="TitilliumText22L Lt" w:cstheme="minorHAnsi"/>
          <w:b/>
          <w:sz w:val="18"/>
          <w:szCs w:val="18"/>
        </w:rPr>
      </w:pPr>
      <w:r w:rsidRPr="00DC1B53">
        <w:rPr>
          <w:rFonts w:ascii="TitilliumText22L Rg" w:eastAsiaTheme="minorHAnsi" w:hAnsi="TitilliumText22L Rg" w:cstheme="minorHAnsi"/>
          <w:b/>
          <w:sz w:val="18"/>
          <w:szCs w:val="18"/>
        </w:rPr>
        <w:t>I also confirm</w:t>
      </w:r>
      <w:r w:rsidR="004763AD" w:rsidRPr="00DF568E">
        <w:rPr>
          <w:rFonts w:ascii="TitilliumText22L Lt" w:eastAsiaTheme="minorHAnsi" w:hAnsi="TitilliumText22L Lt" w:cstheme="minorHAnsi"/>
          <w:b/>
          <w:sz w:val="18"/>
          <w:szCs w:val="18"/>
        </w:rPr>
        <w:t xml:space="preserve"> </w:t>
      </w:r>
      <w:r w:rsidR="004763AD" w:rsidRPr="00DF568E">
        <w:rPr>
          <w:rFonts w:ascii="TitilliumText22L Lt" w:eastAsiaTheme="minorHAnsi" w:hAnsi="TitilliumText22L Lt" w:cstheme="minorHAnsi"/>
          <w:sz w:val="18"/>
          <w:szCs w:val="18"/>
        </w:rPr>
        <w:t>(if applicable)</w:t>
      </w:r>
      <w:r w:rsidRPr="00DF568E">
        <w:rPr>
          <w:rFonts w:ascii="TitilliumText22L Lt" w:eastAsiaTheme="minorHAnsi" w:hAnsi="TitilliumText22L Lt" w:cstheme="minorHAnsi"/>
          <w:sz w:val="18"/>
          <w:szCs w:val="18"/>
        </w:rPr>
        <w:t>:</w:t>
      </w:r>
    </w:p>
    <w:p w:rsidR="006F7646" w:rsidRPr="00DF568E" w:rsidRDefault="004834C8" w:rsidP="00655520">
      <w:pPr>
        <w:pStyle w:val="ListParagraph"/>
        <w:numPr>
          <w:ilvl w:val="0"/>
          <w:numId w:val="6"/>
        </w:numPr>
        <w:autoSpaceDE w:val="0"/>
        <w:autoSpaceDN w:val="0"/>
        <w:adjustRightInd w:val="0"/>
        <w:spacing w:before="120" w:after="0"/>
        <w:ind w:left="142" w:hanging="142"/>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m</w:t>
      </w:r>
      <w:r w:rsidR="00CA255C" w:rsidRPr="00DF568E">
        <w:rPr>
          <w:rFonts w:ascii="TitilliumText22L Lt" w:eastAsiaTheme="minorHAnsi" w:hAnsi="TitilliumText22L Lt" w:cstheme="minorHAnsi"/>
          <w:sz w:val="18"/>
          <w:szCs w:val="18"/>
        </w:rPr>
        <w:t xml:space="preserve">y </w:t>
      </w:r>
      <w:r w:rsidR="006F7646" w:rsidRPr="00DF568E">
        <w:rPr>
          <w:rFonts w:ascii="TitilliumText22L Lt" w:eastAsiaTheme="minorHAnsi" w:hAnsi="TitilliumText22L Lt" w:cstheme="minorHAnsi"/>
          <w:sz w:val="18"/>
          <w:szCs w:val="18"/>
        </w:rPr>
        <w:t>patient is suitable for self-administered treatment within a participating hospital (based</w:t>
      </w:r>
      <w:r w:rsidR="00E83F22" w:rsidRPr="00DF568E">
        <w:rPr>
          <w:rFonts w:ascii="TitilliumText22L Lt" w:eastAsiaTheme="minorHAnsi" w:hAnsi="TitilliumText22L Lt" w:cstheme="minorHAnsi"/>
          <w:sz w:val="18"/>
          <w:szCs w:val="18"/>
        </w:rPr>
        <w:t xml:space="preserve"> </w:t>
      </w:r>
      <w:proofErr w:type="spellStart"/>
      <w:r w:rsidR="006F7646" w:rsidRPr="00DF568E">
        <w:rPr>
          <w:rFonts w:ascii="TitilliumText22L Lt" w:eastAsiaTheme="minorHAnsi" w:hAnsi="TitilliumText22L Lt" w:cstheme="minorHAnsi"/>
          <w:sz w:val="18"/>
          <w:szCs w:val="18"/>
        </w:rPr>
        <w:t>SCIg</w:t>
      </w:r>
      <w:proofErr w:type="spellEnd"/>
      <w:r w:rsidR="006F7646" w:rsidRPr="00DF568E">
        <w:rPr>
          <w:rFonts w:ascii="TitilliumText22L Lt" w:eastAsiaTheme="minorHAnsi" w:hAnsi="TitilliumText22L Lt" w:cstheme="minorHAnsi"/>
          <w:sz w:val="18"/>
          <w:szCs w:val="18"/>
        </w:rPr>
        <w:t xml:space="preserve"> program as specified on page 1 of this form), and</w:t>
      </w:r>
    </w:p>
    <w:p w:rsidR="00C35E76" w:rsidRPr="00DF568E" w:rsidRDefault="006F7646" w:rsidP="00655520">
      <w:pPr>
        <w:pStyle w:val="ListParagraph"/>
        <w:numPr>
          <w:ilvl w:val="0"/>
          <w:numId w:val="6"/>
        </w:numPr>
        <w:autoSpaceDE w:val="0"/>
        <w:autoSpaceDN w:val="0"/>
        <w:adjustRightInd w:val="0"/>
        <w:spacing w:before="120" w:after="0"/>
        <w:ind w:left="142" w:hanging="142"/>
        <w:rPr>
          <w:rFonts w:ascii="TitilliumText22L Lt" w:eastAsiaTheme="minorHAnsi" w:hAnsi="TitilliumText22L Lt" w:cstheme="minorHAnsi"/>
          <w:sz w:val="18"/>
          <w:szCs w:val="18"/>
        </w:rPr>
      </w:pPr>
      <w:proofErr w:type="gramStart"/>
      <w:r w:rsidRPr="00DF568E">
        <w:rPr>
          <w:rFonts w:ascii="TitilliumText22L Lt" w:eastAsiaTheme="minorHAnsi" w:hAnsi="TitilliumText22L Lt" w:cstheme="minorHAnsi"/>
          <w:sz w:val="18"/>
          <w:szCs w:val="18"/>
        </w:rPr>
        <w:t>the</w:t>
      </w:r>
      <w:proofErr w:type="gramEnd"/>
      <w:r w:rsidRPr="00DF568E">
        <w:rPr>
          <w:rFonts w:ascii="TitilliumText22L Lt" w:eastAsiaTheme="minorHAnsi" w:hAnsi="TitilliumText22L Lt" w:cstheme="minorHAnsi"/>
          <w:sz w:val="18"/>
          <w:szCs w:val="18"/>
        </w:rPr>
        <w:t xml:space="preserve"> approved access conditions and governing requirements will be complied with through the hospital based </w:t>
      </w:r>
      <w:proofErr w:type="spellStart"/>
      <w:r w:rsidRPr="00DF568E">
        <w:rPr>
          <w:rFonts w:ascii="TitilliumText22L Lt" w:eastAsiaTheme="minorHAnsi" w:hAnsi="TitilliumText22L Lt" w:cstheme="minorHAnsi"/>
          <w:sz w:val="18"/>
          <w:szCs w:val="18"/>
        </w:rPr>
        <w:t>SCIg</w:t>
      </w:r>
      <w:proofErr w:type="spellEnd"/>
      <w:r w:rsidRPr="00DF568E">
        <w:rPr>
          <w:rFonts w:ascii="TitilliumText22L Lt" w:eastAsiaTheme="minorHAnsi" w:hAnsi="TitilliumText22L Lt" w:cstheme="minorHAnsi"/>
          <w:sz w:val="18"/>
          <w:szCs w:val="18"/>
        </w:rPr>
        <w:t xml:space="preserve"> program.</w:t>
      </w:r>
    </w:p>
    <w:p w:rsidR="007D268E" w:rsidRPr="00DF568E" w:rsidRDefault="007D268E" w:rsidP="00DF568E">
      <w:pPr>
        <w:pStyle w:val="ListParagraph"/>
        <w:autoSpaceDE w:val="0"/>
        <w:autoSpaceDN w:val="0"/>
        <w:adjustRightInd w:val="0"/>
        <w:spacing w:after="0"/>
        <w:ind w:left="226" w:hanging="113"/>
        <w:rPr>
          <w:rFonts w:ascii="TitilliumText22L Lt" w:eastAsiaTheme="minorHAnsi" w:hAnsi="TitilliumText22L Lt" w:cstheme="minorHAnsi"/>
          <w:sz w:val="18"/>
          <w:szCs w:val="18"/>
        </w:rPr>
      </w:pPr>
    </w:p>
    <w:tbl>
      <w:tblPr>
        <w:tblStyle w:val="TableGrid"/>
        <w:tblW w:w="0" w:type="auto"/>
        <w:tblInd w:w="108" w:type="dxa"/>
        <w:tblLook w:val="04A0" w:firstRow="1" w:lastRow="0" w:firstColumn="1" w:lastColumn="0" w:noHBand="0" w:noVBand="1"/>
      </w:tblPr>
      <w:tblGrid>
        <w:gridCol w:w="4469"/>
        <w:gridCol w:w="634"/>
        <w:gridCol w:w="1170"/>
        <w:gridCol w:w="4217"/>
      </w:tblGrid>
      <w:tr w:rsidR="00AA174F" w:rsidRPr="00DE7964" w:rsidTr="00655520">
        <w:tc>
          <w:tcPr>
            <w:tcW w:w="4469" w:type="dxa"/>
            <w:tcBorders>
              <w:top w:val="single" w:sz="4" w:space="0" w:color="auto"/>
              <w:left w:val="single" w:sz="4" w:space="0" w:color="auto"/>
              <w:bottom w:val="single" w:sz="4" w:space="0" w:color="auto"/>
              <w:right w:val="nil"/>
            </w:tcBorders>
            <w:vAlign w:val="center"/>
          </w:tcPr>
          <w:p w:rsidR="00C35E76" w:rsidRPr="00DF568E" w:rsidRDefault="00C35E76" w:rsidP="00823502">
            <w:pPr>
              <w:pStyle w:val="ListParagraph"/>
              <w:autoSpaceDE w:val="0"/>
              <w:autoSpaceDN w:val="0"/>
              <w:adjustRightInd w:val="0"/>
              <w:spacing w:before="240" w:after="240"/>
              <w:ind w:left="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Patient Name:</w:t>
            </w:r>
            <w:r w:rsidR="00D4470C" w:rsidRPr="00DF568E">
              <w:rPr>
                <w:rFonts w:ascii="TitilliumText22L Lt" w:eastAsiaTheme="minorHAnsi" w:hAnsi="TitilliumText22L Lt" w:cstheme="minorHAnsi"/>
                <w:sz w:val="18"/>
                <w:szCs w:val="18"/>
              </w:rPr>
              <w:t xml:space="preserve"> </w:t>
            </w:r>
          </w:p>
        </w:tc>
        <w:tc>
          <w:tcPr>
            <w:tcW w:w="1804" w:type="dxa"/>
            <w:gridSpan w:val="2"/>
            <w:tcBorders>
              <w:top w:val="single" w:sz="4" w:space="0" w:color="auto"/>
              <w:left w:val="nil"/>
              <w:bottom w:val="single" w:sz="4" w:space="0" w:color="auto"/>
              <w:right w:val="nil"/>
            </w:tcBorders>
            <w:vAlign w:val="center"/>
          </w:tcPr>
          <w:p w:rsidR="00C35E76" w:rsidRPr="00DF568E" w:rsidRDefault="00AA174F" w:rsidP="00C1581A">
            <w:pPr>
              <w:pStyle w:val="ListParagraph"/>
              <w:autoSpaceDE w:val="0"/>
              <w:autoSpaceDN w:val="0"/>
              <w:adjustRightInd w:val="0"/>
              <w:spacing w:before="240" w:after="240"/>
              <w:ind w:left="0"/>
              <w:rPr>
                <w:rFonts w:ascii="TitilliumText22L Lt" w:eastAsiaTheme="minorHAnsi" w:hAnsi="TitilliumText22L Lt" w:cstheme="minorHAnsi"/>
                <w:sz w:val="18"/>
                <w:szCs w:val="18"/>
              </w:rPr>
            </w:pPr>
            <w:r>
              <w:rPr>
                <w:rFonts w:ascii="TitilliumText22L Lt" w:eastAsiaTheme="minorHAnsi" w:hAnsi="TitilliumText22L Lt" w:cstheme="minorHAnsi"/>
                <w:sz w:val="18"/>
                <w:szCs w:val="18"/>
              </w:rPr>
              <w:t xml:space="preserve">Consultant/Treating Medical Specialist </w:t>
            </w:r>
            <w:r w:rsidRPr="00AA174F">
              <w:rPr>
                <w:rFonts w:ascii="TitilliumText22L Lt" w:eastAsiaTheme="minorHAnsi" w:hAnsi="TitilliumText22L Lt" w:cstheme="minorHAnsi"/>
                <w:b/>
                <w:sz w:val="18"/>
                <w:szCs w:val="18"/>
              </w:rPr>
              <w:t>(required):</w:t>
            </w:r>
          </w:p>
        </w:tc>
        <w:tc>
          <w:tcPr>
            <w:tcW w:w="4217" w:type="dxa"/>
            <w:tcBorders>
              <w:top w:val="single" w:sz="4" w:space="0" w:color="auto"/>
              <w:left w:val="nil"/>
              <w:bottom w:val="single" w:sz="4" w:space="0" w:color="auto"/>
              <w:right w:val="single" w:sz="4" w:space="0" w:color="auto"/>
            </w:tcBorders>
            <w:vAlign w:val="center"/>
          </w:tcPr>
          <w:p w:rsidR="00C35E76" w:rsidRPr="00DF568E" w:rsidRDefault="00C35E76" w:rsidP="00C1581A">
            <w:pPr>
              <w:pStyle w:val="ListParagraph"/>
              <w:autoSpaceDE w:val="0"/>
              <w:autoSpaceDN w:val="0"/>
              <w:adjustRightInd w:val="0"/>
              <w:spacing w:before="240" w:after="240"/>
              <w:ind w:left="0"/>
              <w:rPr>
                <w:rFonts w:ascii="TitilliumText22L Lt" w:eastAsiaTheme="minorHAnsi" w:hAnsi="TitilliumText22L Lt" w:cstheme="minorHAnsi"/>
                <w:sz w:val="18"/>
                <w:szCs w:val="18"/>
              </w:rPr>
            </w:pPr>
          </w:p>
        </w:tc>
      </w:tr>
      <w:tr w:rsidR="0018404B" w:rsidRPr="00DE7964" w:rsidTr="00655520">
        <w:tc>
          <w:tcPr>
            <w:tcW w:w="10490" w:type="dxa"/>
            <w:gridSpan w:val="4"/>
            <w:tcBorders>
              <w:top w:val="nil"/>
              <w:left w:val="single" w:sz="4" w:space="0" w:color="auto"/>
              <w:bottom w:val="single" w:sz="4" w:space="0" w:color="auto"/>
              <w:right w:val="single" w:sz="4" w:space="0" w:color="auto"/>
            </w:tcBorders>
            <w:vAlign w:val="center"/>
          </w:tcPr>
          <w:p w:rsidR="0018404B" w:rsidRPr="00DF568E" w:rsidRDefault="0018404B" w:rsidP="00C1581A">
            <w:pPr>
              <w:pStyle w:val="ListParagraph"/>
              <w:autoSpaceDE w:val="0"/>
              <w:autoSpaceDN w:val="0"/>
              <w:adjustRightInd w:val="0"/>
              <w:spacing w:before="120" w:after="120"/>
              <w:ind w:left="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 xml:space="preserve">MRN/URN:                                                             </w:t>
            </w:r>
            <w:r w:rsidR="00C1581A" w:rsidRPr="00DF568E">
              <w:rPr>
                <w:rFonts w:ascii="TitilliumText22L Lt" w:eastAsiaTheme="minorHAnsi" w:hAnsi="TitilliumText22L Lt" w:cstheme="minorHAnsi"/>
                <w:sz w:val="18"/>
                <w:szCs w:val="18"/>
              </w:rPr>
              <w:t xml:space="preserve">                    </w:t>
            </w:r>
            <w:r w:rsidR="00655520">
              <w:rPr>
                <w:rFonts w:ascii="TitilliumText22L Lt" w:eastAsiaTheme="minorHAnsi" w:hAnsi="TitilliumText22L Lt" w:cstheme="minorHAnsi"/>
                <w:sz w:val="18"/>
                <w:szCs w:val="18"/>
              </w:rPr>
              <w:t xml:space="preserve">    </w:t>
            </w:r>
            <w:r w:rsidR="00C1581A" w:rsidRPr="00DF568E">
              <w:rPr>
                <w:rFonts w:ascii="TitilliumText22L Lt" w:eastAsiaTheme="minorHAnsi" w:hAnsi="TitilliumText22L Lt" w:cstheme="minorHAnsi"/>
                <w:sz w:val="18"/>
                <w:szCs w:val="18"/>
              </w:rPr>
              <w:t xml:space="preserve"> </w:t>
            </w:r>
            <w:r w:rsidRPr="00DF568E">
              <w:rPr>
                <w:rFonts w:ascii="TitilliumText22L Lt" w:eastAsiaTheme="minorHAnsi" w:hAnsi="TitilliumText22L Lt" w:cstheme="minorHAnsi"/>
                <w:sz w:val="18"/>
                <w:szCs w:val="18"/>
              </w:rPr>
              <w:t xml:space="preserve">Date of Birth:    </w:t>
            </w:r>
          </w:p>
        </w:tc>
      </w:tr>
      <w:tr w:rsidR="006369D5" w:rsidRPr="00DE7964" w:rsidTr="00E277F6">
        <w:tc>
          <w:tcPr>
            <w:tcW w:w="5103" w:type="dxa"/>
            <w:gridSpan w:val="2"/>
            <w:tcBorders>
              <w:top w:val="nil"/>
              <w:left w:val="single" w:sz="4" w:space="0" w:color="auto"/>
              <w:bottom w:val="single" w:sz="4" w:space="0" w:color="auto"/>
              <w:right w:val="single" w:sz="4" w:space="0" w:color="auto"/>
            </w:tcBorders>
            <w:vAlign w:val="center"/>
          </w:tcPr>
          <w:p w:rsidR="0049553F" w:rsidRDefault="006369D5" w:rsidP="006369D5">
            <w:pPr>
              <w:pStyle w:val="ListParagraph"/>
              <w:autoSpaceDE w:val="0"/>
              <w:autoSpaceDN w:val="0"/>
              <w:adjustRightInd w:val="0"/>
              <w:spacing w:before="120" w:after="120"/>
              <w:ind w:left="0"/>
              <w:rPr>
                <w:rFonts w:ascii="TitilliumText22L Lt" w:eastAsiaTheme="minorHAnsi" w:hAnsi="TitilliumText22L Lt" w:cstheme="minorHAnsi"/>
                <w:sz w:val="18"/>
                <w:szCs w:val="18"/>
              </w:rPr>
            </w:pPr>
            <w:r>
              <w:rPr>
                <w:rFonts w:ascii="TitilliumText22L Lt" w:eastAsiaTheme="minorHAnsi" w:hAnsi="TitilliumText22L Lt" w:cstheme="minorHAnsi"/>
                <w:sz w:val="18"/>
                <w:szCs w:val="18"/>
              </w:rPr>
              <w:t>Treating facility &amp; address where clinically reviewed (required):</w:t>
            </w:r>
          </w:p>
          <w:p w:rsidR="00E277F6" w:rsidRDefault="00E277F6" w:rsidP="006369D5">
            <w:pPr>
              <w:pStyle w:val="ListParagraph"/>
              <w:autoSpaceDE w:val="0"/>
              <w:autoSpaceDN w:val="0"/>
              <w:adjustRightInd w:val="0"/>
              <w:spacing w:before="120" w:after="120"/>
              <w:ind w:left="0"/>
              <w:rPr>
                <w:rFonts w:ascii="TitilliumText22L Lt" w:eastAsiaTheme="minorHAnsi" w:hAnsi="TitilliumText22L Lt" w:cstheme="minorHAnsi"/>
                <w:sz w:val="18"/>
                <w:szCs w:val="18"/>
              </w:rPr>
            </w:pPr>
          </w:p>
          <w:p w:rsidR="006369D5" w:rsidRDefault="006369D5" w:rsidP="006369D5">
            <w:pPr>
              <w:pStyle w:val="ListParagraph"/>
              <w:autoSpaceDE w:val="0"/>
              <w:autoSpaceDN w:val="0"/>
              <w:adjustRightInd w:val="0"/>
              <w:spacing w:before="120" w:after="120"/>
              <w:ind w:left="0"/>
              <w:rPr>
                <w:rFonts w:ascii="TitilliumText22L Lt" w:eastAsiaTheme="minorHAnsi" w:hAnsi="TitilliumText22L Lt" w:cstheme="minorHAnsi"/>
                <w:sz w:val="18"/>
                <w:szCs w:val="18"/>
              </w:rPr>
            </w:pPr>
          </w:p>
          <w:p w:rsidR="006369D5" w:rsidRDefault="006369D5" w:rsidP="006369D5">
            <w:pPr>
              <w:pStyle w:val="ListParagraph"/>
              <w:autoSpaceDE w:val="0"/>
              <w:autoSpaceDN w:val="0"/>
              <w:adjustRightInd w:val="0"/>
              <w:spacing w:before="120" w:after="120"/>
              <w:ind w:left="0"/>
              <w:rPr>
                <w:rFonts w:ascii="TitilliumText22L Lt" w:eastAsiaTheme="minorHAnsi" w:hAnsi="TitilliumText22L Lt" w:cstheme="minorHAnsi"/>
                <w:sz w:val="18"/>
                <w:szCs w:val="18"/>
              </w:rPr>
            </w:pPr>
          </w:p>
        </w:tc>
        <w:tc>
          <w:tcPr>
            <w:tcW w:w="5387" w:type="dxa"/>
            <w:gridSpan w:val="2"/>
            <w:tcBorders>
              <w:top w:val="nil"/>
              <w:left w:val="single" w:sz="4" w:space="0" w:color="auto"/>
              <w:bottom w:val="single" w:sz="4" w:space="0" w:color="auto"/>
              <w:right w:val="single" w:sz="4" w:space="0" w:color="auto"/>
            </w:tcBorders>
            <w:vAlign w:val="center"/>
          </w:tcPr>
          <w:p w:rsidR="006369D5" w:rsidRDefault="006369D5" w:rsidP="006369D5">
            <w:pPr>
              <w:pStyle w:val="ListParagraph"/>
              <w:autoSpaceDE w:val="0"/>
              <w:autoSpaceDN w:val="0"/>
              <w:adjustRightInd w:val="0"/>
              <w:spacing w:after="120"/>
              <w:ind w:left="0"/>
              <w:rPr>
                <w:rFonts w:ascii="TitilliumText22L Lt" w:eastAsiaTheme="minorHAnsi" w:hAnsi="TitilliumText22L Lt" w:cstheme="minorHAnsi"/>
                <w:sz w:val="18"/>
                <w:szCs w:val="18"/>
              </w:rPr>
            </w:pPr>
            <w:r>
              <w:rPr>
                <w:rFonts w:ascii="TitilliumText22L Lt" w:eastAsiaTheme="minorHAnsi" w:hAnsi="TitilliumText22L Lt" w:cstheme="minorHAnsi"/>
                <w:sz w:val="18"/>
                <w:szCs w:val="18"/>
              </w:rPr>
              <w:t xml:space="preserve">Administering facility &amp; address where </w:t>
            </w:r>
            <w:proofErr w:type="spellStart"/>
            <w:r>
              <w:rPr>
                <w:rFonts w:ascii="TitilliumText22L Lt" w:eastAsiaTheme="minorHAnsi" w:hAnsi="TitilliumText22L Lt" w:cstheme="minorHAnsi"/>
                <w:sz w:val="18"/>
                <w:szCs w:val="18"/>
              </w:rPr>
              <w:t>Ig</w:t>
            </w:r>
            <w:proofErr w:type="spellEnd"/>
            <w:r>
              <w:rPr>
                <w:rFonts w:ascii="TitilliumText22L Lt" w:eastAsiaTheme="minorHAnsi" w:hAnsi="TitilliumText22L Lt" w:cstheme="minorHAnsi"/>
                <w:sz w:val="18"/>
                <w:szCs w:val="18"/>
              </w:rPr>
              <w:t xml:space="preserve"> infused/</w:t>
            </w:r>
            <w:r w:rsidR="0049553F">
              <w:rPr>
                <w:rFonts w:ascii="TitilliumText22L Lt" w:eastAsiaTheme="minorHAnsi" w:hAnsi="TitilliumText22L Lt" w:cstheme="minorHAnsi"/>
                <w:sz w:val="18"/>
                <w:szCs w:val="18"/>
              </w:rPr>
              <w:t>given</w:t>
            </w:r>
            <w:r>
              <w:rPr>
                <w:rFonts w:ascii="TitilliumText22L Lt" w:eastAsiaTheme="minorHAnsi" w:hAnsi="TitilliumText22L Lt" w:cstheme="minorHAnsi"/>
                <w:sz w:val="18"/>
                <w:szCs w:val="18"/>
              </w:rPr>
              <w:t xml:space="preserve"> (required):</w:t>
            </w:r>
          </w:p>
          <w:p w:rsidR="0049553F" w:rsidRDefault="0049553F" w:rsidP="006369D5">
            <w:pPr>
              <w:pStyle w:val="ListParagraph"/>
              <w:autoSpaceDE w:val="0"/>
              <w:autoSpaceDN w:val="0"/>
              <w:adjustRightInd w:val="0"/>
              <w:spacing w:after="120"/>
              <w:ind w:left="0"/>
              <w:rPr>
                <w:rFonts w:ascii="TitilliumText22L Lt" w:eastAsiaTheme="minorHAnsi" w:hAnsi="TitilliumText22L Lt" w:cstheme="minorHAnsi"/>
                <w:sz w:val="18"/>
                <w:szCs w:val="18"/>
              </w:rPr>
            </w:pPr>
          </w:p>
          <w:p w:rsidR="006369D5" w:rsidRPr="00DF568E" w:rsidRDefault="006369D5" w:rsidP="006369D5">
            <w:pPr>
              <w:pStyle w:val="ListParagraph"/>
              <w:autoSpaceDE w:val="0"/>
              <w:autoSpaceDN w:val="0"/>
              <w:adjustRightInd w:val="0"/>
              <w:spacing w:after="120"/>
              <w:ind w:left="0"/>
              <w:rPr>
                <w:rFonts w:ascii="TitilliumText22L Lt" w:eastAsiaTheme="minorHAnsi" w:hAnsi="TitilliumText22L Lt" w:cstheme="minorHAnsi"/>
                <w:sz w:val="18"/>
                <w:szCs w:val="18"/>
              </w:rPr>
            </w:pPr>
          </w:p>
        </w:tc>
      </w:tr>
      <w:tr w:rsidR="00AA174F" w:rsidRPr="00DE7964" w:rsidTr="00655520">
        <w:tc>
          <w:tcPr>
            <w:tcW w:w="10490" w:type="dxa"/>
            <w:gridSpan w:val="4"/>
            <w:tcBorders>
              <w:top w:val="nil"/>
              <w:left w:val="single" w:sz="4" w:space="0" w:color="auto"/>
              <w:bottom w:val="single" w:sz="4" w:space="0" w:color="auto"/>
              <w:right w:val="single" w:sz="4" w:space="0" w:color="auto"/>
            </w:tcBorders>
            <w:vAlign w:val="center"/>
          </w:tcPr>
          <w:p w:rsidR="00AA174F" w:rsidRPr="00DF568E" w:rsidDel="00AA174F" w:rsidRDefault="00AA174F" w:rsidP="00C1581A">
            <w:pPr>
              <w:pStyle w:val="ListParagraph"/>
              <w:autoSpaceDE w:val="0"/>
              <w:autoSpaceDN w:val="0"/>
              <w:adjustRightInd w:val="0"/>
              <w:spacing w:before="120" w:after="120"/>
              <w:ind w:left="0"/>
              <w:rPr>
                <w:rFonts w:ascii="TitilliumText22L Lt" w:eastAsiaTheme="minorHAnsi" w:hAnsi="TitilliumText22L Lt" w:cstheme="minorHAnsi"/>
                <w:sz w:val="18"/>
                <w:szCs w:val="18"/>
              </w:rPr>
            </w:pPr>
            <w:r>
              <w:rPr>
                <w:rFonts w:ascii="TitilliumText22L Lt" w:eastAsiaTheme="minorHAnsi" w:hAnsi="TitilliumText22L Lt" w:cstheme="minorHAnsi"/>
                <w:sz w:val="18"/>
                <w:szCs w:val="18"/>
              </w:rPr>
              <w:t>Consenting Doctor’s</w:t>
            </w:r>
            <w:r w:rsidRPr="00DF568E">
              <w:rPr>
                <w:rFonts w:ascii="TitilliumText22L Lt" w:eastAsiaTheme="minorHAnsi" w:hAnsi="TitilliumText22L Lt" w:cstheme="minorHAnsi"/>
                <w:sz w:val="18"/>
                <w:szCs w:val="18"/>
              </w:rPr>
              <w:t xml:space="preserve"> Name:</w:t>
            </w:r>
          </w:p>
        </w:tc>
      </w:tr>
      <w:tr w:rsidR="00065D4D" w:rsidRPr="00DE7964" w:rsidTr="00655520">
        <w:tc>
          <w:tcPr>
            <w:tcW w:w="10490" w:type="dxa"/>
            <w:gridSpan w:val="4"/>
            <w:tcBorders>
              <w:top w:val="nil"/>
              <w:left w:val="single" w:sz="4" w:space="0" w:color="auto"/>
              <w:bottom w:val="single" w:sz="4" w:space="0" w:color="auto"/>
              <w:right w:val="single" w:sz="4" w:space="0" w:color="auto"/>
            </w:tcBorders>
            <w:vAlign w:val="center"/>
          </w:tcPr>
          <w:p w:rsidR="00065D4D" w:rsidRPr="00DF568E" w:rsidRDefault="00065D4D" w:rsidP="00C1581A">
            <w:pPr>
              <w:pStyle w:val="ListParagraph"/>
              <w:autoSpaceDE w:val="0"/>
              <w:autoSpaceDN w:val="0"/>
              <w:adjustRightInd w:val="0"/>
              <w:spacing w:before="120" w:after="120"/>
              <w:ind w:left="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Signature:</w:t>
            </w:r>
            <w:r w:rsidR="00C1581A" w:rsidRPr="00DF568E">
              <w:rPr>
                <w:rFonts w:ascii="TitilliumText22L Lt" w:eastAsiaTheme="minorHAnsi" w:hAnsi="TitilliumText22L Lt" w:cstheme="minorHAnsi"/>
                <w:sz w:val="18"/>
                <w:szCs w:val="18"/>
              </w:rPr>
              <w:t xml:space="preserve">                                                                                    </w:t>
            </w:r>
            <w:r w:rsidR="00655520">
              <w:rPr>
                <w:rFonts w:ascii="TitilliumText22L Lt" w:eastAsiaTheme="minorHAnsi" w:hAnsi="TitilliumText22L Lt" w:cstheme="minorHAnsi"/>
                <w:sz w:val="18"/>
                <w:szCs w:val="18"/>
              </w:rPr>
              <w:t xml:space="preserve">                                                                        </w:t>
            </w:r>
            <w:r w:rsidR="00C1581A" w:rsidRPr="00DF568E">
              <w:rPr>
                <w:rFonts w:ascii="TitilliumText22L Lt" w:eastAsiaTheme="minorHAnsi" w:hAnsi="TitilliumText22L Lt" w:cstheme="minorHAnsi"/>
                <w:sz w:val="18"/>
                <w:szCs w:val="18"/>
              </w:rPr>
              <w:t>Date:</w:t>
            </w:r>
          </w:p>
        </w:tc>
      </w:tr>
    </w:tbl>
    <w:p w:rsidR="00047B73" w:rsidRPr="00DE7964" w:rsidRDefault="00047B73" w:rsidP="00E83F22">
      <w:pPr>
        <w:pStyle w:val="ListParagraph"/>
        <w:autoSpaceDE w:val="0"/>
        <w:autoSpaceDN w:val="0"/>
        <w:adjustRightInd w:val="0"/>
        <w:spacing w:after="0"/>
        <w:rPr>
          <w:rFonts w:ascii="TitilliumText22L Lt" w:eastAsiaTheme="minorHAnsi" w:hAnsi="TitilliumText22L Lt" w:cstheme="minorHAnsi"/>
          <w:sz w:val="18"/>
          <w:szCs w:val="18"/>
        </w:rPr>
        <w:sectPr w:rsidR="00047B73" w:rsidRPr="00DE7964" w:rsidSect="00AA174F">
          <w:footerReference w:type="default" r:id="rId11"/>
          <w:pgSz w:w="11906" w:h="16838"/>
          <w:pgMar w:top="720" w:right="720" w:bottom="720" w:left="720" w:header="708" w:footer="708" w:gutter="0"/>
          <w:cols w:space="708"/>
          <w:titlePg/>
          <w:docGrid w:linePitch="360"/>
        </w:sectPr>
      </w:pPr>
    </w:p>
    <w:p w:rsidR="001F2E1E" w:rsidRPr="00DF568E" w:rsidRDefault="001F2E1E" w:rsidP="001F2E1E">
      <w:pPr>
        <w:pStyle w:val="Header"/>
        <w:rPr>
          <w:rFonts w:ascii="TitilliumText22L Lt" w:hAnsi="TitilliumText22L Lt"/>
          <w:sz w:val="18"/>
          <w:szCs w:val="18"/>
        </w:rPr>
      </w:pPr>
      <w:r w:rsidRPr="00DF568E">
        <w:rPr>
          <w:rFonts w:ascii="TitilliumText22L Lt" w:hAnsi="TitilliumText22L Lt"/>
          <w:noProof/>
          <w:sz w:val="18"/>
          <w:szCs w:val="18"/>
          <w:lang w:eastAsia="en-AU"/>
        </w:rPr>
        <w:lastRenderedPageBreak/>
        <w:drawing>
          <wp:anchor distT="0" distB="0" distL="114300" distR="114300" simplePos="0" relativeHeight="251663360" behindDoc="1" locked="0" layoutInCell="1" allowOverlap="1" wp14:anchorId="4B8E9133" wp14:editId="37653AE1">
            <wp:simplePos x="0" y="0"/>
            <wp:positionH relativeFrom="column">
              <wp:posOffset>4215765</wp:posOffset>
            </wp:positionH>
            <wp:positionV relativeFrom="paragraph">
              <wp:posOffset>-20955</wp:posOffset>
            </wp:positionV>
            <wp:extent cx="1857375" cy="645160"/>
            <wp:effectExtent l="0" t="0" r="0" b="2540"/>
            <wp:wrapTight wrapText="bothSides">
              <wp:wrapPolygon edited="0">
                <wp:start x="2658" y="0"/>
                <wp:lineTo x="222" y="11480"/>
                <wp:lineTo x="222" y="13394"/>
                <wp:lineTo x="1551" y="19772"/>
                <wp:lineTo x="1994" y="21047"/>
                <wp:lineTo x="4431" y="21047"/>
                <wp:lineTo x="11742" y="19772"/>
                <wp:lineTo x="21268" y="15307"/>
                <wp:lineTo x="21268" y="10843"/>
                <wp:lineTo x="12849" y="6378"/>
                <wp:lineTo x="3766" y="0"/>
                <wp:lineTo x="2658" y="0"/>
              </wp:wrapPolygon>
            </wp:wrapTight>
            <wp:docPr id="6" name="Picture 6" descr="G:\Logos\IgGovernance\Ig Governance(300 dpi)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IgGovernance\Ig Governance(300 dpi)_t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68E">
        <w:rPr>
          <w:rFonts w:ascii="TitilliumText22L Lt" w:hAnsi="TitilliumText22L Lt"/>
          <w:noProof/>
          <w:sz w:val="18"/>
          <w:szCs w:val="18"/>
          <w:lang w:eastAsia="en-AU"/>
        </w:rPr>
        <w:drawing>
          <wp:anchor distT="0" distB="0" distL="114300" distR="114300" simplePos="0" relativeHeight="251662336" behindDoc="1" locked="0" layoutInCell="1" allowOverlap="1" wp14:anchorId="41908C0D" wp14:editId="61599F0B">
            <wp:simplePos x="0" y="0"/>
            <wp:positionH relativeFrom="page">
              <wp:posOffset>262890</wp:posOffset>
            </wp:positionH>
            <wp:positionV relativeFrom="page">
              <wp:posOffset>499110</wp:posOffset>
            </wp:positionV>
            <wp:extent cx="2721610" cy="518160"/>
            <wp:effectExtent l="0" t="0" r="2540" b="0"/>
            <wp:wrapTight wrapText="bothSides">
              <wp:wrapPolygon edited="0">
                <wp:start x="0" y="0"/>
                <wp:lineTo x="0" y="20647"/>
                <wp:lineTo x="21469" y="20647"/>
                <wp:lineTo x="214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1610" cy="518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BF159D" w:rsidRPr="00DF568E" w:rsidRDefault="00BF159D" w:rsidP="00BF159D">
      <w:pPr>
        <w:pStyle w:val="Header"/>
        <w:ind w:right="-717" w:hanging="851"/>
        <w:jc w:val="center"/>
        <w:rPr>
          <w:rFonts w:ascii="TitilliumText22L Lt" w:hAnsi="TitilliumText22L Lt"/>
          <w:sz w:val="18"/>
          <w:szCs w:val="18"/>
        </w:rPr>
      </w:pPr>
      <w:r w:rsidRPr="00DF568E">
        <w:rPr>
          <w:rFonts w:ascii="TitilliumText22L Lt" w:hAnsi="TitilliumText22L Lt"/>
          <w:sz w:val="18"/>
          <w:szCs w:val="18"/>
        </w:rPr>
        <w:t xml:space="preserve">             </w:t>
      </w:r>
    </w:p>
    <w:p w:rsidR="00655520" w:rsidRDefault="00655520" w:rsidP="00047B73">
      <w:pPr>
        <w:autoSpaceDE w:val="0"/>
        <w:autoSpaceDN w:val="0"/>
        <w:adjustRightInd w:val="0"/>
        <w:spacing w:after="0"/>
        <w:jc w:val="center"/>
        <w:rPr>
          <w:rFonts w:ascii="TitilliumText22L Xb" w:eastAsiaTheme="minorHAnsi" w:hAnsi="TitilliumText22L Xb" w:cs="TitilliumText25L-400wt"/>
          <w:b/>
          <w:color w:val="FFC000"/>
          <w:sz w:val="20"/>
          <w:szCs w:val="20"/>
        </w:rPr>
      </w:pPr>
    </w:p>
    <w:p w:rsidR="00655520" w:rsidRDefault="00655520" w:rsidP="00047B73">
      <w:pPr>
        <w:autoSpaceDE w:val="0"/>
        <w:autoSpaceDN w:val="0"/>
        <w:adjustRightInd w:val="0"/>
        <w:spacing w:after="0"/>
        <w:jc w:val="center"/>
        <w:rPr>
          <w:rFonts w:ascii="TitilliumText22L Xb" w:eastAsiaTheme="minorHAnsi" w:hAnsi="TitilliumText22L Xb" w:cs="TitilliumText25L-400wt"/>
          <w:b/>
          <w:color w:val="FFC000"/>
          <w:sz w:val="20"/>
          <w:szCs w:val="20"/>
        </w:rPr>
      </w:pPr>
    </w:p>
    <w:p w:rsidR="00655520" w:rsidRDefault="00655520" w:rsidP="00047B73">
      <w:pPr>
        <w:autoSpaceDE w:val="0"/>
        <w:autoSpaceDN w:val="0"/>
        <w:adjustRightInd w:val="0"/>
        <w:spacing w:after="0"/>
        <w:jc w:val="center"/>
        <w:rPr>
          <w:rFonts w:ascii="TitilliumText22L Xb" w:eastAsiaTheme="minorHAnsi" w:hAnsi="TitilliumText22L Xb" w:cs="TitilliumText25L-400wt"/>
          <w:b/>
          <w:color w:val="FFC000"/>
          <w:sz w:val="20"/>
          <w:szCs w:val="20"/>
        </w:rPr>
      </w:pPr>
    </w:p>
    <w:p w:rsidR="00047B73" w:rsidRPr="00DC1B53" w:rsidRDefault="00047B73" w:rsidP="00047B73">
      <w:pPr>
        <w:autoSpaceDE w:val="0"/>
        <w:autoSpaceDN w:val="0"/>
        <w:adjustRightInd w:val="0"/>
        <w:spacing w:after="0"/>
        <w:jc w:val="center"/>
        <w:rPr>
          <w:rFonts w:ascii="TitilliumText22L Xb" w:eastAsiaTheme="minorHAnsi" w:hAnsi="TitilliumText22L Xb" w:cs="TitilliumText25L-400wt"/>
          <w:b/>
          <w:color w:val="FFC000"/>
          <w:sz w:val="20"/>
          <w:szCs w:val="20"/>
        </w:rPr>
      </w:pPr>
      <w:r w:rsidRPr="00DC1B53">
        <w:rPr>
          <w:rFonts w:ascii="TitilliumText22L Xb" w:eastAsiaTheme="minorHAnsi" w:hAnsi="TitilliumText22L Xb" w:cs="TitilliumText25L-400wt"/>
          <w:b/>
          <w:color w:val="FFC000"/>
          <w:sz w:val="20"/>
          <w:szCs w:val="20"/>
        </w:rPr>
        <w:t>PATIENT CONSENT</w:t>
      </w:r>
    </w:p>
    <w:p w:rsidR="00EF0CD5" w:rsidRPr="00DF568E" w:rsidRDefault="00EF0CD5" w:rsidP="00047B73">
      <w:pPr>
        <w:autoSpaceDE w:val="0"/>
        <w:autoSpaceDN w:val="0"/>
        <w:adjustRightInd w:val="0"/>
        <w:spacing w:after="0"/>
        <w:jc w:val="center"/>
        <w:rPr>
          <w:rFonts w:ascii="TitilliumText22L Lt" w:eastAsiaTheme="minorHAnsi" w:hAnsi="TitilliumText22L Lt" w:cs="TitilliumText25L-400wt"/>
          <w:b/>
          <w:color w:val="FFC000"/>
          <w:sz w:val="18"/>
          <w:szCs w:val="18"/>
        </w:rPr>
      </w:pPr>
    </w:p>
    <w:p w:rsidR="006369D5" w:rsidRPr="00DF568E" w:rsidRDefault="006369D5" w:rsidP="006369D5">
      <w:pPr>
        <w:autoSpaceDE w:val="0"/>
        <w:autoSpaceDN w:val="0"/>
        <w:adjustRightInd w:val="0"/>
        <w:spacing w:after="0"/>
        <w:rPr>
          <w:rFonts w:ascii="TitilliumText22L Lt" w:eastAsiaTheme="minorHAnsi" w:hAnsi="TitilliumText22L Lt" w:cstheme="minorHAnsi"/>
          <w:b/>
          <w:sz w:val="16"/>
          <w:szCs w:val="16"/>
        </w:rPr>
      </w:pPr>
      <w:r w:rsidRPr="00DF568E">
        <w:rPr>
          <w:rFonts w:ascii="TitilliumText22L Lt" w:eastAsiaTheme="minorHAnsi" w:hAnsi="TitilliumText22L Lt" w:cs="TitilliumText25L-250wt"/>
          <w:color w:val="231F20"/>
          <w:sz w:val="16"/>
          <w:szCs w:val="16"/>
        </w:rPr>
        <w:t xml:space="preserve">TO BE COMPLETED BY THE </w:t>
      </w:r>
      <w:r>
        <w:rPr>
          <w:rFonts w:ascii="TitilliumText22L Lt" w:eastAsiaTheme="minorHAnsi" w:hAnsi="TitilliumText22L Lt" w:cs="TitilliumText25L-250wt"/>
          <w:color w:val="231F20"/>
          <w:sz w:val="16"/>
          <w:szCs w:val="16"/>
        </w:rPr>
        <w:t>PATIENT (OR PARENT/CARER/GUARDIAN)</w:t>
      </w:r>
      <w:r w:rsidRPr="00DF568E">
        <w:rPr>
          <w:rFonts w:ascii="TitilliumText22L Lt" w:eastAsiaTheme="minorHAnsi" w:hAnsi="TitilliumText22L Lt" w:cs="TitilliumText25L-250wt"/>
          <w:color w:val="231F20"/>
          <w:sz w:val="16"/>
          <w:szCs w:val="16"/>
        </w:rPr>
        <w:t xml:space="preserve"> FOLLOWING DISCUSSION WITH THEIR </w:t>
      </w:r>
      <w:r>
        <w:rPr>
          <w:rFonts w:ascii="TitilliumText22L Lt" w:eastAsiaTheme="minorHAnsi" w:hAnsi="TitilliumText22L Lt" w:cs="TitilliumText25L-250wt"/>
          <w:color w:val="231F20"/>
          <w:sz w:val="16"/>
          <w:szCs w:val="16"/>
        </w:rPr>
        <w:t>PRESCRIBER</w:t>
      </w:r>
      <w:r w:rsidRPr="00DF568E">
        <w:rPr>
          <w:rFonts w:ascii="TitilliumText22L Lt" w:eastAsiaTheme="minorHAnsi" w:hAnsi="TitilliumText22L Lt" w:cs="TitilliumText25L-250wt"/>
          <w:color w:val="231F20"/>
          <w:sz w:val="16"/>
          <w:szCs w:val="16"/>
        </w:rPr>
        <w:t xml:space="preserve"> AND PROVIDED TO THE AUSTRALIAN RED CROSS BLOOD SERVICE</w:t>
      </w:r>
    </w:p>
    <w:p w:rsidR="00C1581A" w:rsidRPr="00DF568E" w:rsidRDefault="00C1581A" w:rsidP="00146AC9">
      <w:pPr>
        <w:autoSpaceDE w:val="0"/>
        <w:autoSpaceDN w:val="0"/>
        <w:adjustRightInd w:val="0"/>
        <w:spacing w:after="0"/>
        <w:jc w:val="both"/>
        <w:rPr>
          <w:rFonts w:ascii="TitilliumText22L Lt" w:eastAsiaTheme="minorHAnsi" w:hAnsi="TitilliumText22L Lt" w:cstheme="minorHAnsi"/>
          <w:sz w:val="18"/>
          <w:szCs w:val="18"/>
        </w:rPr>
      </w:pPr>
    </w:p>
    <w:p w:rsidR="00CA255C" w:rsidRPr="00DC1B53" w:rsidRDefault="00CA255C" w:rsidP="00CA255C">
      <w:pPr>
        <w:autoSpaceDE w:val="0"/>
        <w:autoSpaceDN w:val="0"/>
        <w:adjustRightInd w:val="0"/>
        <w:spacing w:after="0"/>
        <w:rPr>
          <w:rFonts w:ascii="TitilliumText22L Rg" w:eastAsiaTheme="minorHAnsi" w:hAnsi="TitilliumText22L Rg" w:cstheme="minorHAnsi"/>
          <w:b/>
          <w:sz w:val="18"/>
          <w:szCs w:val="18"/>
        </w:rPr>
      </w:pPr>
      <w:r w:rsidRPr="00DC1B53">
        <w:rPr>
          <w:rFonts w:ascii="TitilliumText22L Rg" w:eastAsiaTheme="minorHAnsi" w:hAnsi="TitilliumText22L Rg" w:cstheme="minorHAnsi"/>
          <w:b/>
          <w:sz w:val="18"/>
          <w:szCs w:val="18"/>
        </w:rPr>
        <w:t>I am aware of and understand:</w:t>
      </w:r>
    </w:p>
    <w:p w:rsidR="00CA255C" w:rsidRPr="00DF568E" w:rsidRDefault="00CA255C" w:rsidP="00823502">
      <w:pPr>
        <w:pStyle w:val="ListParagraph"/>
        <w:numPr>
          <w:ilvl w:val="0"/>
          <w:numId w:val="6"/>
        </w:numPr>
        <w:autoSpaceDE w:val="0"/>
        <w:autoSpaceDN w:val="0"/>
        <w:adjustRightInd w:val="0"/>
        <w:spacing w:after="0"/>
        <w:ind w:left="454" w:hanging="227"/>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the risks and benefits of treatment with immunoglobulin products and alternative treatments (where these exist),</w:t>
      </w:r>
    </w:p>
    <w:p w:rsidR="00CA255C" w:rsidRPr="00DF568E" w:rsidRDefault="00CA255C" w:rsidP="00823502">
      <w:pPr>
        <w:pStyle w:val="ListParagraph"/>
        <w:numPr>
          <w:ilvl w:val="0"/>
          <w:numId w:val="6"/>
        </w:numPr>
        <w:autoSpaceDE w:val="0"/>
        <w:autoSpaceDN w:val="0"/>
        <w:adjustRightInd w:val="0"/>
        <w:spacing w:after="0"/>
        <w:ind w:left="454" w:hanging="227"/>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the national access conditions and governing requirements for the appropriate supply and use of immunoglobulin products under the national blood arrangements, including that immunoglobulin products may need to change from time to time,</w:t>
      </w:r>
    </w:p>
    <w:p w:rsidR="00CA255C" w:rsidRPr="00DF568E" w:rsidRDefault="00CA255C" w:rsidP="00823502">
      <w:pPr>
        <w:pStyle w:val="ListParagraph"/>
        <w:numPr>
          <w:ilvl w:val="0"/>
          <w:numId w:val="6"/>
        </w:numPr>
        <w:autoSpaceDE w:val="0"/>
        <w:autoSpaceDN w:val="0"/>
        <w:adjustRightInd w:val="0"/>
        <w:spacing w:after="0"/>
        <w:ind w:left="454" w:hanging="227"/>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w:t>
      </w:r>
      <w:proofErr w:type="gramStart"/>
      <w:r w:rsidRPr="00DF568E">
        <w:rPr>
          <w:rFonts w:ascii="TitilliumText22L Lt" w:eastAsiaTheme="minorHAnsi" w:hAnsi="TitilliumText22L Lt" w:cstheme="minorHAnsi"/>
          <w:sz w:val="18"/>
          <w:szCs w:val="18"/>
        </w:rPr>
        <w:t>for</w:t>
      </w:r>
      <w:proofErr w:type="gramEnd"/>
      <w:r w:rsidRPr="00DF568E">
        <w:rPr>
          <w:rFonts w:ascii="TitilliumText22L Lt" w:eastAsiaTheme="minorHAnsi" w:hAnsi="TitilliumText22L Lt" w:cstheme="minorHAnsi"/>
          <w:sz w:val="18"/>
          <w:szCs w:val="18"/>
        </w:rPr>
        <w:t xml:space="preserve"> patients requiring ongoing treatment only) the nature of ongoing monitoring and review and that access to product will cease if response to treatment does not demonstrate clinical benefit.</w:t>
      </w:r>
    </w:p>
    <w:p w:rsidR="00CA255C" w:rsidRPr="00DF568E" w:rsidRDefault="00CA255C" w:rsidP="00823502">
      <w:pPr>
        <w:autoSpaceDE w:val="0"/>
        <w:autoSpaceDN w:val="0"/>
        <w:adjustRightInd w:val="0"/>
        <w:spacing w:after="0"/>
        <w:ind w:left="340" w:hanging="170"/>
        <w:rPr>
          <w:rFonts w:ascii="TitilliumText22L Lt" w:eastAsiaTheme="minorHAnsi" w:hAnsi="TitilliumText22L Lt" w:cstheme="minorHAnsi"/>
          <w:sz w:val="18"/>
          <w:szCs w:val="18"/>
        </w:rPr>
      </w:pPr>
    </w:p>
    <w:p w:rsidR="00CE0D86" w:rsidRPr="00DF568E" w:rsidRDefault="00047B73" w:rsidP="00DF568E">
      <w:pPr>
        <w:autoSpaceDE w:val="0"/>
        <w:autoSpaceDN w:val="0"/>
        <w:adjustRightInd w:val="0"/>
        <w:spacing w:after="0"/>
        <w:rPr>
          <w:rFonts w:ascii="TitilliumText22L Lt" w:eastAsiaTheme="minorHAnsi" w:hAnsi="TitilliumText22L Lt" w:cstheme="minorHAnsi"/>
          <w:b/>
          <w:sz w:val="18"/>
          <w:szCs w:val="18"/>
        </w:rPr>
      </w:pPr>
      <w:r w:rsidRPr="00153B66">
        <w:rPr>
          <w:rFonts w:ascii="TitilliumText22L Lt" w:eastAsiaTheme="minorHAnsi" w:hAnsi="TitilliumText22L Lt" w:cstheme="minorHAnsi"/>
          <w:sz w:val="18"/>
          <w:szCs w:val="18"/>
        </w:rPr>
        <w:t xml:space="preserve">I </w:t>
      </w:r>
      <w:r w:rsidR="00D5170F" w:rsidRPr="00153B66">
        <w:rPr>
          <w:rFonts w:ascii="TitilliumText22L Lt" w:eastAsiaTheme="minorHAnsi" w:hAnsi="TitilliumText22L Lt" w:cstheme="minorHAnsi"/>
          <w:sz w:val="18"/>
          <w:szCs w:val="18"/>
        </w:rPr>
        <w:t xml:space="preserve">have read </w:t>
      </w:r>
      <w:r w:rsidR="00632349" w:rsidRPr="00153B66">
        <w:rPr>
          <w:rFonts w:ascii="TitilliumText22L Lt" w:eastAsiaTheme="minorHAnsi" w:hAnsi="TitilliumText22L Lt" w:cstheme="minorHAnsi"/>
          <w:sz w:val="18"/>
          <w:szCs w:val="18"/>
        </w:rPr>
        <w:t xml:space="preserve">and/or been explained </w:t>
      </w:r>
      <w:r w:rsidR="00D5170F" w:rsidRPr="00153B66">
        <w:rPr>
          <w:rFonts w:ascii="TitilliumText22L Lt" w:eastAsiaTheme="minorHAnsi" w:hAnsi="TitilliumText22L Lt" w:cstheme="minorHAnsi"/>
          <w:sz w:val="18"/>
          <w:szCs w:val="18"/>
        </w:rPr>
        <w:t>the Privacy Statement and Notice (Notice)</w:t>
      </w:r>
      <w:r w:rsidR="00CE0D86" w:rsidRPr="00153B66">
        <w:rPr>
          <w:rFonts w:ascii="TitilliumText22L Lt" w:eastAsiaTheme="minorHAnsi" w:hAnsi="TitilliumText22L Lt" w:cstheme="minorHAnsi"/>
          <w:sz w:val="18"/>
          <w:szCs w:val="18"/>
        </w:rPr>
        <w:t xml:space="preserve"> and Patient Information Brochure</w:t>
      </w:r>
      <w:r w:rsidR="006573A9">
        <w:rPr>
          <w:rFonts w:ascii="TitilliumText22L Lt" w:eastAsiaTheme="minorHAnsi" w:hAnsi="TitilliumText22L Lt" w:cstheme="minorHAnsi"/>
          <w:sz w:val="18"/>
          <w:szCs w:val="18"/>
        </w:rPr>
        <w:t>.</w:t>
      </w:r>
      <w:r w:rsidR="001F1287">
        <w:rPr>
          <w:rFonts w:ascii="TitilliumText22L Lt" w:eastAsiaTheme="minorHAnsi" w:hAnsi="TitilliumText22L Lt" w:cstheme="minorHAnsi"/>
          <w:sz w:val="18"/>
          <w:szCs w:val="18"/>
        </w:rPr>
        <w:t xml:space="preserve"> </w:t>
      </w:r>
      <w:r w:rsidR="0018125F" w:rsidRPr="00153B66">
        <w:rPr>
          <w:rFonts w:ascii="TitilliumText22L Lt" w:eastAsiaTheme="minorHAnsi" w:hAnsi="TitilliumText22L Lt" w:cstheme="minorHAnsi"/>
          <w:sz w:val="18"/>
          <w:szCs w:val="18"/>
        </w:rPr>
        <w:t>I have had a chance to ask questions, and all my questions have been answered to my satisfaction</w:t>
      </w:r>
      <w:r w:rsidR="00D5170F" w:rsidRPr="00153B66">
        <w:rPr>
          <w:rFonts w:ascii="TitilliumText22L Lt" w:eastAsiaTheme="minorHAnsi" w:hAnsi="TitilliumText22L Lt" w:cstheme="minorHAnsi"/>
          <w:sz w:val="18"/>
          <w:szCs w:val="18"/>
        </w:rPr>
        <w:t>.</w:t>
      </w:r>
      <w:r w:rsidR="00296047" w:rsidRPr="00153B66">
        <w:rPr>
          <w:rFonts w:ascii="TitilliumText22L Lt" w:eastAsiaTheme="minorHAnsi" w:hAnsi="TitilliumText22L Lt" w:cstheme="minorHAnsi"/>
          <w:sz w:val="18"/>
          <w:szCs w:val="18"/>
        </w:rPr>
        <w:t xml:space="preserve"> </w:t>
      </w:r>
      <w:r w:rsidR="00D5170F" w:rsidRPr="00153B66">
        <w:rPr>
          <w:rFonts w:ascii="TitilliumText22L Lt" w:eastAsiaTheme="minorHAnsi" w:hAnsi="TitilliumText22L Lt" w:cstheme="minorHAnsi"/>
          <w:sz w:val="18"/>
          <w:szCs w:val="18"/>
        </w:rPr>
        <w:t>I understand and accept the Notice.</w:t>
      </w:r>
    </w:p>
    <w:p w:rsidR="00CE0D86" w:rsidRPr="00DF568E" w:rsidRDefault="00CE0D86" w:rsidP="00DF568E">
      <w:pPr>
        <w:autoSpaceDE w:val="0"/>
        <w:autoSpaceDN w:val="0"/>
        <w:adjustRightInd w:val="0"/>
        <w:spacing w:before="120" w:after="0"/>
        <w:rPr>
          <w:rFonts w:ascii="TitilliumText22L Lt" w:eastAsiaTheme="minorHAnsi" w:hAnsi="TitilliumText22L Lt" w:cstheme="minorHAnsi"/>
          <w:b/>
          <w:sz w:val="18"/>
          <w:szCs w:val="18"/>
        </w:rPr>
      </w:pPr>
      <w:r w:rsidRPr="00DC1B53">
        <w:rPr>
          <w:rFonts w:ascii="TitilliumText22L Rg" w:eastAsiaTheme="minorHAnsi" w:hAnsi="TitilliumText22L Rg" w:cstheme="minorHAnsi"/>
          <w:b/>
          <w:sz w:val="18"/>
          <w:szCs w:val="18"/>
        </w:rPr>
        <w:t>I hereby provide express consent to</w:t>
      </w:r>
      <w:r w:rsidRPr="00DF568E">
        <w:rPr>
          <w:rFonts w:ascii="TitilliumText22L Lt" w:eastAsiaTheme="minorHAnsi" w:hAnsi="TitilliumText22L Lt" w:cstheme="minorHAnsi"/>
          <w:b/>
          <w:sz w:val="18"/>
          <w:szCs w:val="18"/>
        </w:rPr>
        <w:t>:</w:t>
      </w:r>
    </w:p>
    <w:p w:rsidR="00511822" w:rsidRPr="00DF568E" w:rsidRDefault="009A79EC" w:rsidP="00823502">
      <w:pPr>
        <w:pStyle w:val="ListParagraph"/>
        <w:numPr>
          <w:ilvl w:val="0"/>
          <w:numId w:val="11"/>
        </w:numPr>
        <w:autoSpaceDE w:val="0"/>
        <w:autoSpaceDN w:val="0"/>
        <w:adjustRightInd w:val="0"/>
        <w:spacing w:after="0"/>
        <w:ind w:left="454" w:hanging="227"/>
        <w:rPr>
          <w:rFonts w:ascii="TitilliumText22L Lt" w:hAnsi="TitilliumText22L Lt" w:cs="Arial"/>
          <w:sz w:val="18"/>
          <w:szCs w:val="18"/>
        </w:rPr>
      </w:pPr>
      <w:r w:rsidRPr="00DF568E">
        <w:rPr>
          <w:rFonts w:ascii="TitilliumText22L Lt" w:hAnsi="TitilliumText22L Lt" w:cs="Arial"/>
          <w:sz w:val="18"/>
          <w:szCs w:val="18"/>
        </w:rPr>
        <w:t>t</w:t>
      </w:r>
      <w:r w:rsidR="00511822" w:rsidRPr="00DF568E">
        <w:rPr>
          <w:rFonts w:ascii="TitilliumText22L Lt" w:hAnsi="TitilliumText22L Lt" w:cs="Arial"/>
          <w:sz w:val="18"/>
          <w:szCs w:val="18"/>
        </w:rPr>
        <w:t>he</w:t>
      </w:r>
      <w:r w:rsidR="00D5170F" w:rsidRPr="00DF568E">
        <w:rPr>
          <w:rFonts w:ascii="TitilliumText22L Lt" w:hAnsi="TitilliumText22L Lt" w:cs="Arial"/>
          <w:sz w:val="18"/>
          <w:szCs w:val="18"/>
        </w:rPr>
        <w:t xml:space="preserve"> collection and</w:t>
      </w:r>
      <w:r w:rsidR="00511822" w:rsidRPr="00DF568E">
        <w:rPr>
          <w:rFonts w:ascii="TitilliumText22L Lt" w:hAnsi="TitilliumText22L Lt" w:cs="Arial"/>
          <w:sz w:val="18"/>
          <w:szCs w:val="18"/>
        </w:rPr>
        <w:t xml:space="preserve"> recording of personal information (including sensitive health information) about me/my child/the person I care for or represent in databases held by</w:t>
      </w:r>
      <w:r w:rsidR="00CE0D86" w:rsidRPr="00DF568E">
        <w:rPr>
          <w:rFonts w:ascii="TitilliumText22L Lt" w:hAnsi="TitilliumText22L Lt" w:cs="Arial"/>
          <w:sz w:val="18"/>
          <w:szCs w:val="18"/>
        </w:rPr>
        <w:t xml:space="preserve"> </w:t>
      </w:r>
      <w:r w:rsidR="00CE0D86" w:rsidRPr="00DF568E">
        <w:rPr>
          <w:rFonts w:ascii="TitilliumText22L Lt" w:eastAsiaTheme="minorHAnsi" w:hAnsi="TitilliumText22L Lt" w:cstheme="minorBidi"/>
          <w:sz w:val="18"/>
          <w:szCs w:val="18"/>
          <w:lang w:eastAsia="en-AU"/>
        </w:rPr>
        <w:t>the Australian Red Cross Blood Service (Blood Service) and the</w:t>
      </w:r>
      <w:r w:rsidR="00511822" w:rsidRPr="00DF568E">
        <w:rPr>
          <w:rFonts w:ascii="TitilliumText22L Lt" w:hAnsi="TitilliumText22L Lt" w:cs="Arial"/>
          <w:sz w:val="18"/>
          <w:szCs w:val="18"/>
        </w:rPr>
        <w:t xml:space="preserve"> National Blood Authority (NBA),</w:t>
      </w:r>
    </w:p>
    <w:p w:rsidR="00511822" w:rsidRPr="00DF568E" w:rsidRDefault="00511822" w:rsidP="00823502">
      <w:pPr>
        <w:numPr>
          <w:ilvl w:val="0"/>
          <w:numId w:val="11"/>
        </w:numPr>
        <w:spacing w:before="120" w:after="0"/>
        <w:ind w:left="454" w:hanging="227"/>
        <w:rPr>
          <w:rFonts w:ascii="TitilliumText22L Lt" w:hAnsi="TitilliumText22L Lt" w:cs="Arial"/>
          <w:sz w:val="18"/>
          <w:szCs w:val="18"/>
        </w:rPr>
      </w:pPr>
      <w:r w:rsidRPr="00DF568E">
        <w:rPr>
          <w:rFonts w:ascii="TitilliumText22L Lt" w:hAnsi="TitilliumText22L Lt" w:cs="Arial"/>
          <w:sz w:val="18"/>
          <w:szCs w:val="18"/>
        </w:rPr>
        <w:t xml:space="preserve">the use of this information by clinicians to submit a request for, and for the assessment of, initial or ongoing authorisation for access to publicly funded immunoglobulin products, against the </w:t>
      </w:r>
      <w:r w:rsidRPr="00DF568E">
        <w:rPr>
          <w:rFonts w:ascii="TitilliumText22L Lt" w:hAnsi="TitilliumText22L Lt" w:cs="Arial"/>
          <w:i/>
          <w:sz w:val="18"/>
          <w:szCs w:val="18"/>
        </w:rPr>
        <w:t>Criteria</w:t>
      </w:r>
      <w:r w:rsidRPr="00DF568E">
        <w:rPr>
          <w:rFonts w:ascii="TitilliumText22L Lt" w:hAnsi="TitilliumText22L Lt" w:cs="Arial"/>
          <w:sz w:val="18"/>
          <w:szCs w:val="18"/>
        </w:rPr>
        <w:t xml:space="preserve"> </w:t>
      </w:r>
      <w:r w:rsidR="00D5170F" w:rsidRPr="00DF568E">
        <w:rPr>
          <w:rFonts w:ascii="TitilliumText22L Lt" w:hAnsi="TitilliumText22L Lt" w:cs="Arial"/>
          <w:i/>
          <w:sz w:val="18"/>
          <w:szCs w:val="18"/>
        </w:rPr>
        <w:t>for the clinical use of intravenous immunoglobulin in Australia Second Edition</w:t>
      </w:r>
      <w:r w:rsidR="00D5170F" w:rsidRPr="00DF568E">
        <w:rPr>
          <w:rStyle w:val="FootnoteReference"/>
          <w:rFonts w:ascii="TitilliumText22L Lt" w:hAnsi="TitilliumText22L Lt" w:cs="Arial"/>
          <w:i/>
          <w:sz w:val="18"/>
          <w:szCs w:val="18"/>
        </w:rPr>
        <w:footnoteReference w:id="2"/>
      </w:r>
      <w:r w:rsidR="00D5170F" w:rsidRPr="00DF568E">
        <w:rPr>
          <w:rFonts w:ascii="TitilliumText22L Lt" w:hAnsi="TitilliumText22L Lt" w:cs="Arial"/>
          <w:i/>
          <w:sz w:val="18"/>
          <w:szCs w:val="18"/>
        </w:rPr>
        <w:t xml:space="preserve"> </w:t>
      </w:r>
      <w:r w:rsidRPr="00DF568E">
        <w:rPr>
          <w:rFonts w:ascii="TitilliumText22L Lt" w:hAnsi="TitilliumText22L Lt" w:cs="Arial"/>
          <w:sz w:val="18"/>
          <w:szCs w:val="18"/>
        </w:rPr>
        <w:t>determined by</w:t>
      </w:r>
      <w:r w:rsidR="00D5170F" w:rsidRPr="00DF568E">
        <w:rPr>
          <w:rFonts w:ascii="TitilliumText22L Lt" w:hAnsi="TitilliumText22L Lt" w:cs="Arial"/>
          <w:sz w:val="18"/>
          <w:szCs w:val="18"/>
        </w:rPr>
        <w:t xml:space="preserve"> clinical experts and approved by</w:t>
      </w:r>
      <w:r w:rsidRPr="00DF568E">
        <w:rPr>
          <w:rFonts w:ascii="TitilliumText22L Lt" w:hAnsi="TitilliumText22L Lt" w:cs="Arial"/>
          <w:sz w:val="18"/>
          <w:szCs w:val="18"/>
        </w:rPr>
        <w:t xml:space="preserve"> Australian governments for this purpose,</w:t>
      </w:r>
    </w:p>
    <w:p w:rsidR="00511822" w:rsidRPr="00DF568E" w:rsidRDefault="00511822" w:rsidP="00823502">
      <w:pPr>
        <w:numPr>
          <w:ilvl w:val="0"/>
          <w:numId w:val="11"/>
        </w:numPr>
        <w:spacing w:before="120" w:after="0"/>
        <w:ind w:left="454" w:hanging="227"/>
        <w:rPr>
          <w:rFonts w:ascii="TitilliumText22L Lt" w:hAnsi="TitilliumText22L Lt" w:cs="Arial"/>
          <w:sz w:val="18"/>
          <w:szCs w:val="18"/>
        </w:rPr>
      </w:pPr>
      <w:r w:rsidRPr="00DF568E">
        <w:rPr>
          <w:rFonts w:ascii="TitilliumText22L Lt" w:hAnsi="TitilliumText22L Lt"/>
          <w:sz w:val="18"/>
          <w:szCs w:val="18"/>
          <w:lang w:eastAsia="en-AU"/>
        </w:rPr>
        <w:t xml:space="preserve">the use of limited identifying details </w:t>
      </w:r>
      <w:r w:rsidR="00296047" w:rsidRPr="00DF568E">
        <w:rPr>
          <w:rFonts w:ascii="TitilliumText22L Lt" w:hAnsi="TitilliumText22L Lt"/>
          <w:sz w:val="18"/>
          <w:szCs w:val="18"/>
          <w:lang w:eastAsia="en-AU"/>
        </w:rPr>
        <w:t xml:space="preserve">(for example, name, date of birth, sex and hospital identifiers) </w:t>
      </w:r>
      <w:r w:rsidRPr="00DF568E">
        <w:rPr>
          <w:rFonts w:ascii="TitilliumText22L Lt" w:hAnsi="TitilliumText22L Lt"/>
          <w:sz w:val="18"/>
          <w:szCs w:val="18"/>
          <w:lang w:eastAsia="en-AU"/>
        </w:rPr>
        <w:t xml:space="preserve">within database search functions to ensure that I can be correctly identified when required by my treating </w:t>
      </w:r>
      <w:r w:rsidR="00296047" w:rsidRPr="00DF568E">
        <w:rPr>
          <w:rFonts w:ascii="TitilliumText22L Lt" w:hAnsi="TitilliumText22L Lt"/>
          <w:sz w:val="18"/>
          <w:szCs w:val="18"/>
          <w:lang w:eastAsia="en-AU"/>
        </w:rPr>
        <w:t xml:space="preserve">clinical </w:t>
      </w:r>
      <w:r w:rsidRPr="00DF568E">
        <w:rPr>
          <w:rFonts w:ascii="TitilliumText22L Lt" w:hAnsi="TitilliumText22L Lt"/>
          <w:sz w:val="18"/>
          <w:szCs w:val="18"/>
          <w:lang w:eastAsia="en-AU"/>
        </w:rPr>
        <w:t>team,</w:t>
      </w:r>
    </w:p>
    <w:p w:rsidR="00511822" w:rsidRPr="00DF568E" w:rsidRDefault="00511822" w:rsidP="00823502">
      <w:pPr>
        <w:numPr>
          <w:ilvl w:val="0"/>
          <w:numId w:val="11"/>
        </w:numPr>
        <w:spacing w:before="120" w:after="0"/>
        <w:ind w:left="454" w:hanging="227"/>
        <w:rPr>
          <w:rFonts w:ascii="TitilliumText22L Lt" w:hAnsi="TitilliumText22L Lt" w:cs="Arial"/>
          <w:sz w:val="18"/>
          <w:szCs w:val="18"/>
        </w:rPr>
      </w:pPr>
      <w:r w:rsidRPr="00DF568E">
        <w:rPr>
          <w:rFonts w:ascii="TitilliumText22L Lt" w:hAnsi="TitilliumText22L Lt" w:cs="Arial"/>
          <w:sz w:val="18"/>
          <w:szCs w:val="18"/>
        </w:rPr>
        <w:t xml:space="preserve">the </w:t>
      </w:r>
      <w:r w:rsidR="00296047" w:rsidRPr="00DF568E">
        <w:rPr>
          <w:rFonts w:ascii="TitilliumText22L Lt" w:hAnsi="TitilliumText22L Lt" w:cs="Arial"/>
          <w:sz w:val="18"/>
          <w:szCs w:val="18"/>
        </w:rPr>
        <w:t xml:space="preserve">disclosure </w:t>
      </w:r>
      <w:r w:rsidR="003A04B3">
        <w:rPr>
          <w:rFonts w:ascii="TitilliumText22L Lt" w:hAnsi="TitilliumText22L Lt" w:cs="Arial"/>
          <w:sz w:val="18"/>
          <w:szCs w:val="18"/>
        </w:rPr>
        <w:t xml:space="preserve">to </w:t>
      </w:r>
      <w:r w:rsidR="00296047" w:rsidRPr="00DF568E">
        <w:rPr>
          <w:rFonts w:ascii="TitilliumText22L Lt" w:hAnsi="TitilliumText22L Lt" w:cs="Arial"/>
          <w:sz w:val="18"/>
          <w:szCs w:val="18"/>
        </w:rPr>
        <w:t xml:space="preserve">and </w:t>
      </w:r>
      <w:r w:rsidRPr="00DF568E">
        <w:rPr>
          <w:rFonts w:ascii="TitilliumText22L Lt" w:hAnsi="TitilliumText22L Lt" w:cs="Arial"/>
          <w:sz w:val="18"/>
          <w:szCs w:val="18"/>
        </w:rPr>
        <w:t xml:space="preserve">use of this information by clinicians in Australian treatment facilities that I attend for health care, in order to deliver health services according to the purposes </w:t>
      </w:r>
      <w:r w:rsidR="00296047" w:rsidRPr="00DF568E">
        <w:rPr>
          <w:rFonts w:ascii="TitilliumText22L Lt" w:hAnsi="TitilliumText22L Lt" w:cs="Arial"/>
          <w:sz w:val="18"/>
          <w:szCs w:val="18"/>
        </w:rPr>
        <w:t>set out in the Notice; and</w:t>
      </w:r>
    </w:p>
    <w:p w:rsidR="00511822" w:rsidRPr="00DF568E" w:rsidRDefault="00511822" w:rsidP="00823502">
      <w:pPr>
        <w:numPr>
          <w:ilvl w:val="0"/>
          <w:numId w:val="11"/>
        </w:numPr>
        <w:spacing w:before="120" w:after="0"/>
        <w:ind w:left="454" w:hanging="227"/>
        <w:rPr>
          <w:rFonts w:ascii="TitilliumText22L Lt" w:hAnsi="TitilliumText22L Lt" w:cs="Arial"/>
          <w:sz w:val="18"/>
          <w:szCs w:val="18"/>
        </w:rPr>
      </w:pPr>
      <w:r w:rsidRPr="00DF568E">
        <w:rPr>
          <w:rFonts w:ascii="TitilliumText22L Lt" w:hAnsi="TitilliumText22L Lt" w:cs="Arial"/>
          <w:sz w:val="18"/>
          <w:szCs w:val="18"/>
        </w:rPr>
        <w:t>the use of this information in a manner which will not readily identify me (such as through the removal of directly identifying personal information, or use of  summary level grouped data) for the</w:t>
      </w:r>
      <w:r w:rsidR="00BF383E" w:rsidRPr="00DF568E">
        <w:rPr>
          <w:rFonts w:ascii="TitilliumText22L Lt" w:hAnsi="TitilliumText22L Lt" w:cs="Arial"/>
          <w:sz w:val="18"/>
          <w:szCs w:val="18"/>
        </w:rPr>
        <w:t xml:space="preserve"> secondary</w:t>
      </w:r>
      <w:r w:rsidRPr="00DF568E">
        <w:rPr>
          <w:rFonts w:ascii="TitilliumText22L Lt" w:hAnsi="TitilliumText22L Lt" w:cs="Arial"/>
          <w:sz w:val="18"/>
          <w:szCs w:val="18"/>
        </w:rPr>
        <w:t xml:space="preserve"> purposes of: </w:t>
      </w:r>
      <w:r w:rsidRPr="00DF568E">
        <w:rPr>
          <w:rFonts w:ascii="TitilliumText22L Lt" w:hAnsi="TitilliumText22L Lt"/>
          <w:sz w:val="18"/>
          <w:szCs w:val="18"/>
          <w:lang w:eastAsia="en-AU"/>
        </w:rPr>
        <w:t>identifying priorities for research, prescriber education and training; performance evaluation and improvement of the supply, authorisation and use of immunoglobulin products; further developing the criteria upon which Government policy is based; supply planning so the National Blood Authority can make sure enough Ig products are available to meet patients’ needs; and enabling reporting on the program for supply, authorisation and use of publicly fu</w:t>
      </w:r>
      <w:r w:rsidR="00146AC9" w:rsidRPr="00DF568E">
        <w:rPr>
          <w:rFonts w:ascii="TitilliumText22L Lt" w:hAnsi="TitilliumText22L Lt"/>
          <w:sz w:val="18"/>
          <w:szCs w:val="18"/>
          <w:lang w:eastAsia="en-AU"/>
        </w:rPr>
        <w:t>nded immunoglobulin products.</w:t>
      </w:r>
    </w:p>
    <w:p w:rsidR="007D268E" w:rsidRDefault="00511822" w:rsidP="00655520">
      <w:pPr>
        <w:spacing w:before="240"/>
        <w:rPr>
          <w:rFonts w:ascii="TitilliumText22L Lt" w:hAnsi="TitilliumText22L Lt" w:cs="Arial"/>
          <w:sz w:val="18"/>
          <w:szCs w:val="18"/>
        </w:rPr>
      </w:pPr>
      <w:r w:rsidRPr="00DF568E">
        <w:rPr>
          <w:rFonts w:ascii="TitilliumText22L Lt" w:hAnsi="TitilliumText22L Lt" w:cs="Arial"/>
          <w:sz w:val="18"/>
          <w:szCs w:val="18"/>
        </w:rPr>
        <w:t>I understand that an</w:t>
      </w:r>
      <w:r w:rsidR="00146AC9" w:rsidRPr="00DF568E">
        <w:rPr>
          <w:rFonts w:ascii="TitilliumText22L Lt" w:hAnsi="TitilliumText22L Lt" w:cs="Arial"/>
          <w:sz w:val="18"/>
          <w:szCs w:val="18"/>
        </w:rPr>
        <w:t xml:space="preserve">y additional use of information </w:t>
      </w:r>
      <w:r w:rsidR="00CE0D86" w:rsidRPr="00DF568E">
        <w:rPr>
          <w:rFonts w:ascii="TitilliumText22L Lt" w:eastAsia="Calibri" w:hAnsi="TitilliumText22L Lt" w:cs="Times New Roman"/>
          <w:sz w:val="18"/>
          <w:szCs w:val="18"/>
          <w:lang w:eastAsia="en-AU"/>
        </w:rPr>
        <w:t>held by the Blood Service and NBA</w:t>
      </w:r>
      <w:r w:rsidR="00CE0D86" w:rsidRPr="00DF568E" w:rsidDel="00CE0D86">
        <w:rPr>
          <w:rFonts w:ascii="TitilliumText22L Lt" w:hAnsi="TitilliumText22L Lt" w:cs="Arial"/>
          <w:sz w:val="18"/>
          <w:szCs w:val="18"/>
        </w:rPr>
        <w:t xml:space="preserve"> </w:t>
      </w:r>
      <w:r w:rsidRPr="00DF568E">
        <w:rPr>
          <w:rFonts w:ascii="TitilliumText22L Lt" w:hAnsi="TitilliumText22L Lt" w:cs="Arial"/>
          <w:sz w:val="18"/>
          <w:szCs w:val="18"/>
        </w:rPr>
        <w:t xml:space="preserve">will only be undertaken in accordance with the requirements of the </w:t>
      </w:r>
      <w:r w:rsidRPr="00DF568E">
        <w:rPr>
          <w:rFonts w:ascii="TitilliumText22L Lt" w:hAnsi="TitilliumText22L Lt" w:cs="Arial"/>
          <w:i/>
          <w:sz w:val="18"/>
          <w:szCs w:val="18"/>
        </w:rPr>
        <w:t>Privacy Act 1988</w:t>
      </w:r>
      <w:r w:rsidRPr="00DF568E">
        <w:rPr>
          <w:rFonts w:ascii="TitilliumText22L Lt" w:hAnsi="TitilliumText22L Lt" w:cs="Arial"/>
          <w:sz w:val="18"/>
          <w:szCs w:val="18"/>
        </w:rPr>
        <w:t xml:space="preserve"> (</w:t>
      </w:r>
      <w:proofErr w:type="spellStart"/>
      <w:r w:rsidRPr="00DF568E">
        <w:rPr>
          <w:rFonts w:ascii="TitilliumText22L Lt" w:hAnsi="TitilliumText22L Lt" w:cs="Arial"/>
          <w:sz w:val="18"/>
          <w:szCs w:val="18"/>
        </w:rPr>
        <w:t>Cth</w:t>
      </w:r>
      <w:proofErr w:type="spellEnd"/>
      <w:r w:rsidRPr="00DF568E">
        <w:rPr>
          <w:rFonts w:ascii="TitilliumText22L Lt" w:hAnsi="TitilliumText22L Lt" w:cs="Arial"/>
          <w:sz w:val="18"/>
          <w:szCs w:val="18"/>
        </w:rPr>
        <w:t>) and any relevant state/territory laws, and that the information may be made available for medical or public health research only with approval of</w:t>
      </w:r>
      <w:r w:rsidR="006D0226" w:rsidRPr="00DF568E">
        <w:rPr>
          <w:rFonts w:ascii="TitilliumText22L Lt" w:hAnsi="TitilliumText22L Lt" w:cs="Arial"/>
          <w:sz w:val="18"/>
          <w:szCs w:val="18"/>
        </w:rPr>
        <w:t xml:space="preserve"> a</w:t>
      </w:r>
      <w:r w:rsidRPr="00DF568E">
        <w:rPr>
          <w:rFonts w:ascii="TitilliumText22L Lt" w:hAnsi="TitilliumText22L Lt" w:cs="Arial"/>
          <w:sz w:val="18"/>
          <w:szCs w:val="18"/>
        </w:rPr>
        <w:t xml:space="preserve"> properly constituted human r</w:t>
      </w:r>
      <w:r w:rsidR="00246843" w:rsidRPr="00DF568E">
        <w:rPr>
          <w:rFonts w:ascii="TitilliumText22L Lt" w:hAnsi="TitilliumText22L Lt" w:cs="Arial"/>
          <w:sz w:val="18"/>
          <w:szCs w:val="18"/>
        </w:rPr>
        <w:t>esearch ethics committee (HREC)</w:t>
      </w:r>
      <w:r w:rsidR="002B2B7F" w:rsidRPr="00DF568E">
        <w:rPr>
          <w:rFonts w:ascii="TitilliumText22L Lt" w:hAnsi="TitilliumText22L Lt" w:cs="Arial"/>
          <w:sz w:val="18"/>
          <w:szCs w:val="18"/>
        </w:rPr>
        <w:t>.</w:t>
      </w:r>
    </w:p>
    <w:p w:rsidR="00655520" w:rsidRPr="00DF568E" w:rsidRDefault="00655520" w:rsidP="00655520">
      <w:pPr>
        <w:spacing w:before="240"/>
        <w:rPr>
          <w:rFonts w:ascii="TitilliumText22L Lt" w:eastAsiaTheme="minorHAnsi" w:hAnsi="TitilliumText22L Lt" w:cstheme="minorHAnsi"/>
          <w:sz w:val="18"/>
          <w:szCs w:val="18"/>
        </w:rPr>
      </w:pPr>
    </w:p>
    <w:tbl>
      <w:tblPr>
        <w:tblStyle w:val="TableGrid"/>
        <w:tblW w:w="10490" w:type="dxa"/>
        <w:tblInd w:w="108" w:type="dxa"/>
        <w:tblLook w:val="04A0" w:firstRow="1" w:lastRow="0" w:firstColumn="1" w:lastColumn="0" w:noHBand="0" w:noVBand="1"/>
      </w:tblPr>
      <w:tblGrid>
        <w:gridCol w:w="5103"/>
        <w:gridCol w:w="426"/>
        <w:gridCol w:w="2126"/>
        <w:gridCol w:w="2835"/>
      </w:tblGrid>
      <w:tr w:rsidR="00AA174F" w:rsidRPr="00DE7964" w:rsidTr="0049553F">
        <w:tc>
          <w:tcPr>
            <w:tcW w:w="5529" w:type="dxa"/>
            <w:gridSpan w:val="2"/>
            <w:tcBorders>
              <w:top w:val="single" w:sz="4" w:space="0" w:color="auto"/>
              <w:left w:val="single" w:sz="4" w:space="0" w:color="auto"/>
              <w:bottom w:val="single" w:sz="4" w:space="0" w:color="auto"/>
              <w:right w:val="nil"/>
            </w:tcBorders>
          </w:tcPr>
          <w:p w:rsidR="0049553F" w:rsidRDefault="00AA174F" w:rsidP="0049553F">
            <w:pPr>
              <w:pStyle w:val="ListParagraph"/>
              <w:autoSpaceDE w:val="0"/>
              <w:autoSpaceDN w:val="0"/>
              <w:adjustRightInd w:val="0"/>
              <w:spacing w:before="240" w:after="240"/>
              <w:ind w:left="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 xml:space="preserve">Patient Name: </w:t>
            </w:r>
          </w:p>
          <w:p w:rsidR="0049553F" w:rsidRPr="00DF568E" w:rsidRDefault="0049553F" w:rsidP="0049553F">
            <w:pPr>
              <w:pStyle w:val="ListParagraph"/>
              <w:autoSpaceDE w:val="0"/>
              <w:autoSpaceDN w:val="0"/>
              <w:adjustRightInd w:val="0"/>
              <w:spacing w:before="240" w:after="240"/>
              <w:ind w:left="0"/>
              <w:rPr>
                <w:rFonts w:ascii="TitilliumText22L Lt" w:eastAsiaTheme="minorHAnsi" w:hAnsi="TitilliumText22L Lt" w:cstheme="minorHAnsi"/>
                <w:sz w:val="18"/>
                <w:szCs w:val="18"/>
              </w:rPr>
            </w:pPr>
          </w:p>
        </w:tc>
        <w:tc>
          <w:tcPr>
            <w:tcW w:w="2126" w:type="dxa"/>
            <w:tcBorders>
              <w:top w:val="single" w:sz="4" w:space="0" w:color="auto"/>
              <w:left w:val="nil"/>
              <w:bottom w:val="single" w:sz="4" w:space="0" w:color="auto"/>
              <w:right w:val="nil"/>
            </w:tcBorders>
          </w:tcPr>
          <w:p w:rsidR="00AA174F" w:rsidRPr="00DF568E" w:rsidRDefault="00AA174F" w:rsidP="0049553F">
            <w:pPr>
              <w:pStyle w:val="ListParagraph"/>
              <w:autoSpaceDE w:val="0"/>
              <w:autoSpaceDN w:val="0"/>
              <w:adjustRightInd w:val="0"/>
              <w:spacing w:before="240" w:after="240"/>
              <w:ind w:left="0"/>
              <w:rPr>
                <w:rFonts w:ascii="TitilliumText22L Lt" w:eastAsiaTheme="minorHAnsi" w:hAnsi="TitilliumText22L Lt" w:cstheme="minorHAnsi"/>
                <w:sz w:val="18"/>
                <w:szCs w:val="18"/>
              </w:rPr>
            </w:pPr>
            <w:r>
              <w:rPr>
                <w:rFonts w:ascii="TitilliumText22L Lt" w:eastAsiaTheme="minorHAnsi" w:hAnsi="TitilliumText22L Lt" w:cstheme="minorHAnsi"/>
                <w:sz w:val="18"/>
                <w:szCs w:val="18"/>
              </w:rPr>
              <w:t xml:space="preserve">Consultant/Treating Medical Specialist </w:t>
            </w:r>
            <w:r w:rsidRPr="00AA174F">
              <w:rPr>
                <w:rFonts w:ascii="TitilliumText22L Lt" w:eastAsiaTheme="minorHAnsi" w:hAnsi="TitilliumText22L Lt" w:cstheme="minorHAnsi"/>
                <w:b/>
                <w:sz w:val="18"/>
                <w:szCs w:val="18"/>
              </w:rPr>
              <w:t>(</w:t>
            </w:r>
            <w:r w:rsidRPr="00655520">
              <w:rPr>
                <w:rFonts w:ascii="TitilliumText22L Lt" w:eastAsiaTheme="minorHAnsi" w:hAnsi="TitilliumText22L Lt" w:cstheme="minorHAnsi"/>
                <w:sz w:val="18"/>
                <w:szCs w:val="18"/>
              </w:rPr>
              <w:t>required</w:t>
            </w:r>
            <w:r w:rsidRPr="00AA174F">
              <w:rPr>
                <w:rFonts w:ascii="TitilliumText22L Lt" w:eastAsiaTheme="minorHAnsi" w:hAnsi="TitilliumText22L Lt" w:cstheme="minorHAnsi"/>
                <w:b/>
                <w:sz w:val="18"/>
                <w:szCs w:val="18"/>
              </w:rPr>
              <w:t>):</w:t>
            </w:r>
          </w:p>
        </w:tc>
        <w:tc>
          <w:tcPr>
            <w:tcW w:w="2835" w:type="dxa"/>
            <w:tcBorders>
              <w:top w:val="single" w:sz="4" w:space="0" w:color="auto"/>
              <w:left w:val="nil"/>
              <w:bottom w:val="single" w:sz="4" w:space="0" w:color="auto"/>
              <w:right w:val="single" w:sz="4" w:space="0" w:color="auto"/>
            </w:tcBorders>
          </w:tcPr>
          <w:p w:rsidR="00AA174F" w:rsidRPr="00DF568E" w:rsidRDefault="00AA174F" w:rsidP="0049553F">
            <w:pPr>
              <w:pStyle w:val="ListParagraph"/>
              <w:autoSpaceDE w:val="0"/>
              <w:autoSpaceDN w:val="0"/>
              <w:adjustRightInd w:val="0"/>
              <w:spacing w:before="240" w:after="240"/>
              <w:ind w:left="0"/>
              <w:rPr>
                <w:rFonts w:ascii="TitilliumText22L Lt" w:eastAsiaTheme="minorHAnsi" w:hAnsi="TitilliumText22L Lt" w:cstheme="minorHAnsi"/>
                <w:sz w:val="18"/>
                <w:szCs w:val="18"/>
              </w:rPr>
            </w:pPr>
          </w:p>
        </w:tc>
      </w:tr>
      <w:tr w:rsidR="00E9176E" w:rsidRPr="00DF568E" w:rsidTr="006369D5">
        <w:tc>
          <w:tcPr>
            <w:tcW w:w="10490" w:type="dxa"/>
            <w:gridSpan w:val="4"/>
            <w:tcBorders>
              <w:top w:val="nil"/>
              <w:left w:val="single" w:sz="4" w:space="0" w:color="auto"/>
              <w:bottom w:val="single" w:sz="4" w:space="0" w:color="auto"/>
              <w:right w:val="single" w:sz="4" w:space="0" w:color="auto"/>
            </w:tcBorders>
            <w:vAlign w:val="center"/>
          </w:tcPr>
          <w:p w:rsidR="00E9176E" w:rsidRPr="00DF568E" w:rsidRDefault="00E9176E" w:rsidP="00C35973">
            <w:pPr>
              <w:pStyle w:val="ListParagraph"/>
              <w:autoSpaceDE w:val="0"/>
              <w:autoSpaceDN w:val="0"/>
              <w:adjustRightInd w:val="0"/>
              <w:spacing w:before="120" w:after="120"/>
              <w:ind w:left="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Parent/Carer/Guardian:</w:t>
            </w:r>
          </w:p>
        </w:tc>
      </w:tr>
      <w:tr w:rsidR="00C35973" w:rsidRPr="00DF568E" w:rsidTr="006369D5">
        <w:tc>
          <w:tcPr>
            <w:tcW w:w="10490" w:type="dxa"/>
            <w:gridSpan w:val="4"/>
            <w:tcBorders>
              <w:top w:val="nil"/>
              <w:left w:val="single" w:sz="4" w:space="0" w:color="auto"/>
              <w:bottom w:val="single" w:sz="4" w:space="0" w:color="auto"/>
              <w:right w:val="single" w:sz="4" w:space="0" w:color="auto"/>
            </w:tcBorders>
            <w:vAlign w:val="center"/>
          </w:tcPr>
          <w:p w:rsidR="00C35973" w:rsidRPr="00DF568E" w:rsidRDefault="00E9176E" w:rsidP="00C35973">
            <w:pPr>
              <w:pStyle w:val="ListParagraph"/>
              <w:autoSpaceDE w:val="0"/>
              <w:autoSpaceDN w:val="0"/>
              <w:adjustRightInd w:val="0"/>
              <w:spacing w:before="120" w:after="120"/>
              <w:ind w:left="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 xml:space="preserve">Patient’s </w:t>
            </w:r>
            <w:r w:rsidR="00C35973" w:rsidRPr="00DF568E">
              <w:rPr>
                <w:rFonts w:ascii="TitilliumText22L Lt" w:eastAsiaTheme="minorHAnsi" w:hAnsi="TitilliumText22L Lt" w:cstheme="minorHAnsi"/>
                <w:sz w:val="18"/>
                <w:szCs w:val="18"/>
              </w:rPr>
              <w:t xml:space="preserve">Date of Birth:    </w:t>
            </w:r>
            <w:r w:rsidR="0027199B" w:rsidRPr="00DF568E">
              <w:rPr>
                <w:rFonts w:ascii="TitilliumText22L Lt" w:eastAsiaTheme="minorHAnsi" w:hAnsi="TitilliumText22L Lt" w:cstheme="minorHAnsi"/>
                <w:sz w:val="18"/>
                <w:szCs w:val="18"/>
              </w:rPr>
              <w:t xml:space="preserve">                                                                                  </w:t>
            </w:r>
            <w:r w:rsidR="00655520">
              <w:rPr>
                <w:rFonts w:ascii="TitilliumText22L Lt" w:eastAsiaTheme="minorHAnsi" w:hAnsi="TitilliumText22L Lt" w:cstheme="minorHAnsi"/>
                <w:sz w:val="18"/>
                <w:szCs w:val="18"/>
              </w:rPr>
              <w:t xml:space="preserve">     </w:t>
            </w:r>
            <w:r w:rsidR="0027199B" w:rsidRPr="00DF568E">
              <w:rPr>
                <w:rFonts w:ascii="TitilliumText22L Lt" w:eastAsiaTheme="minorHAnsi" w:hAnsi="TitilliumText22L Lt" w:cstheme="minorHAnsi"/>
                <w:sz w:val="18"/>
                <w:szCs w:val="18"/>
              </w:rPr>
              <w:t>MRN/URN:</w:t>
            </w:r>
          </w:p>
        </w:tc>
      </w:tr>
      <w:tr w:rsidR="006369D5" w:rsidRPr="00DE7964" w:rsidTr="0049553F">
        <w:tc>
          <w:tcPr>
            <w:tcW w:w="5103" w:type="dxa"/>
            <w:tcBorders>
              <w:top w:val="nil"/>
              <w:left w:val="single" w:sz="4" w:space="0" w:color="auto"/>
              <w:bottom w:val="single" w:sz="4" w:space="0" w:color="auto"/>
              <w:right w:val="single" w:sz="4" w:space="0" w:color="auto"/>
            </w:tcBorders>
            <w:vAlign w:val="center"/>
          </w:tcPr>
          <w:p w:rsidR="006369D5" w:rsidRDefault="006369D5" w:rsidP="00CC1029">
            <w:pPr>
              <w:pStyle w:val="ListParagraph"/>
              <w:autoSpaceDE w:val="0"/>
              <w:autoSpaceDN w:val="0"/>
              <w:adjustRightInd w:val="0"/>
              <w:spacing w:before="120" w:after="120"/>
              <w:ind w:left="0"/>
              <w:rPr>
                <w:rFonts w:ascii="TitilliumText22L Lt" w:eastAsiaTheme="minorHAnsi" w:hAnsi="TitilliumText22L Lt" w:cstheme="minorHAnsi"/>
                <w:sz w:val="18"/>
                <w:szCs w:val="18"/>
              </w:rPr>
            </w:pPr>
            <w:r>
              <w:rPr>
                <w:rFonts w:ascii="TitilliumText22L Lt" w:eastAsiaTheme="minorHAnsi" w:hAnsi="TitilliumText22L Lt" w:cstheme="minorHAnsi"/>
                <w:sz w:val="18"/>
                <w:szCs w:val="18"/>
              </w:rPr>
              <w:t>Treating facility &amp; address where clinically reviewed (required):</w:t>
            </w:r>
          </w:p>
          <w:p w:rsidR="006369D5" w:rsidRDefault="006369D5" w:rsidP="00CC1029">
            <w:pPr>
              <w:pStyle w:val="ListParagraph"/>
              <w:autoSpaceDE w:val="0"/>
              <w:autoSpaceDN w:val="0"/>
              <w:adjustRightInd w:val="0"/>
              <w:spacing w:before="120" w:after="120"/>
              <w:ind w:left="0"/>
              <w:rPr>
                <w:rFonts w:ascii="TitilliumText22L Lt" w:eastAsiaTheme="minorHAnsi" w:hAnsi="TitilliumText22L Lt" w:cstheme="minorHAnsi"/>
                <w:sz w:val="18"/>
                <w:szCs w:val="18"/>
              </w:rPr>
            </w:pPr>
          </w:p>
          <w:p w:rsidR="006369D5" w:rsidRDefault="006369D5" w:rsidP="00CC1029">
            <w:pPr>
              <w:pStyle w:val="ListParagraph"/>
              <w:autoSpaceDE w:val="0"/>
              <w:autoSpaceDN w:val="0"/>
              <w:adjustRightInd w:val="0"/>
              <w:spacing w:before="120" w:after="120"/>
              <w:ind w:left="0"/>
              <w:rPr>
                <w:rFonts w:ascii="TitilliumText22L Lt" w:eastAsiaTheme="minorHAnsi" w:hAnsi="TitilliumText22L Lt" w:cstheme="minorHAnsi"/>
                <w:sz w:val="18"/>
                <w:szCs w:val="18"/>
              </w:rPr>
            </w:pPr>
          </w:p>
          <w:p w:rsidR="0049553F" w:rsidRDefault="0049553F" w:rsidP="00CC1029">
            <w:pPr>
              <w:pStyle w:val="ListParagraph"/>
              <w:autoSpaceDE w:val="0"/>
              <w:autoSpaceDN w:val="0"/>
              <w:adjustRightInd w:val="0"/>
              <w:spacing w:before="120" w:after="120"/>
              <w:ind w:left="0"/>
              <w:rPr>
                <w:rFonts w:ascii="TitilliumText22L Lt" w:eastAsiaTheme="minorHAnsi" w:hAnsi="TitilliumText22L Lt" w:cstheme="minorHAnsi"/>
                <w:sz w:val="18"/>
                <w:szCs w:val="18"/>
              </w:rPr>
            </w:pPr>
          </w:p>
        </w:tc>
        <w:tc>
          <w:tcPr>
            <w:tcW w:w="5387" w:type="dxa"/>
            <w:gridSpan w:val="3"/>
            <w:tcBorders>
              <w:top w:val="nil"/>
              <w:left w:val="single" w:sz="4" w:space="0" w:color="auto"/>
              <w:bottom w:val="single" w:sz="4" w:space="0" w:color="auto"/>
              <w:right w:val="single" w:sz="4" w:space="0" w:color="auto"/>
            </w:tcBorders>
            <w:vAlign w:val="center"/>
          </w:tcPr>
          <w:p w:rsidR="006369D5" w:rsidRDefault="006369D5" w:rsidP="00CC1029">
            <w:pPr>
              <w:pStyle w:val="ListParagraph"/>
              <w:autoSpaceDE w:val="0"/>
              <w:autoSpaceDN w:val="0"/>
              <w:adjustRightInd w:val="0"/>
              <w:spacing w:after="120"/>
              <w:ind w:left="0"/>
              <w:rPr>
                <w:rFonts w:ascii="TitilliumText22L Lt" w:eastAsiaTheme="minorHAnsi" w:hAnsi="TitilliumText22L Lt" w:cstheme="minorHAnsi"/>
                <w:sz w:val="18"/>
                <w:szCs w:val="18"/>
              </w:rPr>
            </w:pPr>
            <w:r>
              <w:rPr>
                <w:rFonts w:ascii="TitilliumText22L Lt" w:eastAsiaTheme="minorHAnsi" w:hAnsi="TitilliumText22L Lt" w:cstheme="minorHAnsi"/>
                <w:sz w:val="18"/>
                <w:szCs w:val="18"/>
              </w:rPr>
              <w:t xml:space="preserve">Administering facility &amp; address where </w:t>
            </w:r>
            <w:proofErr w:type="spellStart"/>
            <w:r>
              <w:rPr>
                <w:rFonts w:ascii="TitilliumText22L Lt" w:eastAsiaTheme="minorHAnsi" w:hAnsi="TitilliumText22L Lt" w:cstheme="minorHAnsi"/>
                <w:sz w:val="18"/>
                <w:szCs w:val="18"/>
              </w:rPr>
              <w:t>Ig</w:t>
            </w:r>
            <w:proofErr w:type="spellEnd"/>
            <w:r>
              <w:rPr>
                <w:rFonts w:ascii="TitilliumText22L Lt" w:eastAsiaTheme="minorHAnsi" w:hAnsi="TitilliumText22L Lt" w:cstheme="minorHAnsi"/>
                <w:sz w:val="18"/>
                <w:szCs w:val="18"/>
              </w:rPr>
              <w:t xml:space="preserve"> infused/</w:t>
            </w:r>
            <w:r w:rsidR="0049553F">
              <w:rPr>
                <w:rFonts w:ascii="TitilliumText22L Lt" w:eastAsiaTheme="minorHAnsi" w:hAnsi="TitilliumText22L Lt" w:cstheme="minorHAnsi"/>
                <w:sz w:val="18"/>
                <w:szCs w:val="18"/>
              </w:rPr>
              <w:t>given</w:t>
            </w:r>
            <w:r>
              <w:rPr>
                <w:rFonts w:ascii="TitilliumText22L Lt" w:eastAsiaTheme="minorHAnsi" w:hAnsi="TitilliumText22L Lt" w:cstheme="minorHAnsi"/>
                <w:sz w:val="18"/>
                <w:szCs w:val="18"/>
              </w:rPr>
              <w:t xml:space="preserve"> (required):</w:t>
            </w:r>
          </w:p>
          <w:p w:rsidR="0049553F" w:rsidRDefault="0049553F" w:rsidP="00CC1029">
            <w:pPr>
              <w:pStyle w:val="ListParagraph"/>
              <w:autoSpaceDE w:val="0"/>
              <w:autoSpaceDN w:val="0"/>
              <w:adjustRightInd w:val="0"/>
              <w:spacing w:after="120"/>
              <w:ind w:left="0"/>
              <w:rPr>
                <w:rFonts w:ascii="TitilliumText22L Lt" w:eastAsiaTheme="minorHAnsi" w:hAnsi="TitilliumText22L Lt" w:cstheme="minorHAnsi"/>
                <w:sz w:val="18"/>
                <w:szCs w:val="18"/>
              </w:rPr>
            </w:pPr>
          </w:p>
          <w:p w:rsidR="006369D5" w:rsidRPr="00DF568E" w:rsidRDefault="006369D5" w:rsidP="00CC1029">
            <w:pPr>
              <w:pStyle w:val="ListParagraph"/>
              <w:autoSpaceDE w:val="0"/>
              <w:autoSpaceDN w:val="0"/>
              <w:adjustRightInd w:val="0"/>
              <w:spacing w:after="120"/>
              <w:ind w:left="0"/>
              <w:rPr>
                <w:rFonts w:ascii="TitilliumText22L Lt" w:eastAsiaTheme="minorHAnsi" w:hAnsi="TitilliumText22L Lt" w:cstheme="minorHAnsi"/>
                <w:sz w:val="18"/>
                <w:szCs w:val="18"/>
              </w:rPr>
            </w:pPr>
          </w:p>
        </w:tc>
      </w:tr>
      <w:tr w:rsidR="00C35973" w:rsidRPr="00DF568E" w:rsidTr="006369D5">
        <w:tc>
          <w:tcPr>
            <w:tcW w:w="10490" w:type="dxa"/>
            <w:gridSpan w:val="4"/>
            <w:tcBorders>
              <w:top w:val="nil"/>
              <w:left w:val="single" w:sz="4" w:space="0" w:color="auto"/>
              <w:bottom w:val="single" w:sz="4" w:space="0" w:color="auto"/>
              <w:right w:val="single" w:sz="4" w:space="0" w:color="auto"/>
            </w:tcBorders>
            <w:vAlign w:val="center"/>
          </w:tcPr>
          <w:p w:rsidR="00C35973" w:rsidRPr="00DF568E" w:rsidRDefault="00C35973" w:rsidP="00C35973">
            <w:pPr>
              <w:pStyle w:val="ListParagraph"/>
              <w:autoSpaceDE w:val="0"/>
              <w:autoSpaceDN w:val="0"/>
              <w:adjustRightInd w:val="0"/>
              <w:spacing w:before="120" w:after="120"/>
              <w:ind w:left="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Signature:</w:t>
            </w:r>
            <w:r w:rsidR="006447C9" w:rsidRPr="00DF568E">
              <w:rPr>
                <w:rFonts w:ascii="TitilliumText22L Lt" w:eastAsiaTheme="minorHAnsi" w:hAnsi="TitilliumText22L Lt" w:cstheme="minorHAnsi"/>
                <w:sz w:val="18"/>
                <w:szCs w:val="18"/>
              </w:rPr>
              <w:t xml:space="preserve">                                                                                                             </w:t>
            </w:r>
            <w:r w:rsidR="00655520">
              <w:rPr>
                <w:rFonts w:ascii="TitilliumText22L Lt" w:eastAsiaTheme="minorHAnsi" w:hAnsi="TitilliumText22L Lt" w:cstheme="minorHAnsi"/>
                <w:sz w:val="18"/>
                <w:szCs w:val="18"/>
              </w:rPr>
              <w:t xml:space="preserve"> </w:t>
            </w:r>
            <w:r w:rsidR="006447C9" w:rsidRPr="00DF568E">
              <w:rPr>
                <w:rFonts w:ascii="TitilliumText22L Lt" w:eastAsiaTheme="minorHAnsi" w:hAnsi="TitilliumText22L Lt" w:cstheme="minorHAnsi"/>
                <w:sz w:val="18"/>
                <w:szCs w:val="18"/>
              </w:rPr>
              <w:t xml:space="preserve">  </w:t>
            </w:r>
            <w:r w:rsidR="00655520">
              <w:rPr>
                <w:rFonts w:ascii="TitilliumText22L Lt" w:eastAsiaTheme="minorHAnsi" w:hAnsi="TitilliumText22L Lt" w:cstheme="minorHAnsi"/>
                <w:sz w:val="18"/>
                <w:szCs w:val="18"/>
              </w:rPr>
              <w:t xml:space="preserve">                           </w:t>
            </w:r>
            <w:r w:rsidR="006447C9" w:rsidRPr="00DF568E">
              <w:rPr>
                <w:rFonts w:ascii="TitilliumText22L Lt" w:eastAsiaTheme="minorHAnsi" w:hAnsi="TitilliumText22L Lt" w:cstheme="minorHAnsi"/>
                <w:sz w:val="18"/>
                <w:szCs w:val="18"/>
              </w:rPr>
              <w:t>Date:</w:t>
            </w:r>
          </w:p>
        </w:tc>
      </w:tr>
      <w:tr w:rsidR="00EF0CD5" w:rsidRPr="00DF568E" w:rsidTr="006369D5">
        <w:tc>
          <w:tcPr>
            <w:tcW w:w="10490" w:type="dxa"/>
            <w:gridSpan w:val="4"/>
            <w:tcBorders>
              <w:top w:val="single" w:sz="4" w:space="0" w:color="auto"/>
              <w:left w:val="single" w:sz="4" w:space="0" w:color="auto"/>
              <w:bottom w:val="single" w:sz="4" w:space="0" w:color="auto"/>
              <w:right w:val="single" w:sz="4" w:space="0" w:color="auto"/>
            </w:tcBorders>
            <w:vAlign w:val="center"/>
          </w:tcPr>
          <w:p w:rsidR="00EF0CD5" w:rsidRPr="00DF568E" w:rsidRDefault="00934F1D" w:rsidP="00C35973">
            <w:pPr>
              <w:pStyle w:val="ListParagraph"/>
              <w:autoSpaceDE w:val="0"/>
              <w:autoSpaceDN w:val="0"/>
              <w:adjustRightInd w:val="0"/>
              <w:spacing w:before="120" w:after="120"/>
              <w:ind w:left="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Witness Name:</w:t>
            </w:r>
          </w:p>
        </w:tc>
      </w:tr>
      <w:tr w:rsidR="00934F1D" w:rsidRPr="00DF568E" w:rsidTr="006369D5">
        <w:tc>
          <w:tcPr>
            <w:tcW w:w="10490" w:type="dxa"/>
            <w:gridSpan w:val="4"/>
            <w:tcBorders>
              <w:top w:val="single" w:sz="4" w:space="0" w:color="auto"/>
              <w:left w:val="single" w:sz="4" w:space="0" w:color="auto"/>
              <w:bottom w:val="single" w:sz="4" w:space="0" w:color="auto"/>
              <w:right w:val="single" w:sz="4" w:space="0" w:color="auto"/>
            </w:tcBorders>
            <w:vAlign w:val="center"/>
          </w:tcPr>
          <w:p w:rsidR="00934F1D" w:rsidRPr="00DF568E" w:rsidRDefault="00934F1D" w:rsidP="00934F1D">
            <w:pPr>
              <w:pStyle w:val="ListParagraph"/>
              <w:autoSpaceDE w:val="0"/>
              <w:autoSpaceDN w:val="0"/>
              <w:adjustRightInd w:val="0"/>
              <w:spacing w:before="120" w:after="120"/>
              <w:ind w:left="0"/>
              <w:rPr>
                <w:rFonts w:ascii="TitilliumText22L Lt" w:eastAsiaTheme="minorHAnsi" w:hAnsi="TitilliumText22L Lt" w:cstheme="minorHAnsi"/>
                <w:sz w:val="18"/>
                <w:szCs w:val="18"/>
              </w:rPr>
            </w:pPr>
            <w:r w:rsidRPr="00DF568E">
              <w:rPr>
                <w:rFonts w:ascii="TitilliumText22L Lt" w:eastAsiaTheme="minorHAnsi" w:hAnsi="TitilliumText22L Lt" w:cstheme="minorHAnsi"/>
                <w:sz w:val="18"/>
                <w:szCs w:val="18"/>
              </w:rPr>
              <w:t>Witness signature:</w:t>
            </w:r>
            <w:r w:rsidR="006447C9" w:rsidRPr="00DF568E">
              <w:rPr>
                <w:rFonts w:ascii="TitilliumText22L Lt" w:eastAsiaTheme="minorHAnsi" w:hAnsi="TitilliumText22L Lt" w:cstheme="minorHAnsi"/>
                <w:sz w:val="18"/>
                <w:szCs w:val="18"/>
              </w:rPr>
              <w:t xml:space="preserve">                                                                                                 </w:t>
            </w:r>
            <w:r w:rsidR="00655520">
              <w:rPr>
                <w:rFonts w:ascii="TitilliumText22L Lt" w:eastAsiaTheme="minorHAnsi" w:hAnsi="TitilliumText22L Lt" w:cstheme="minorHAnsi"/>
                <w:sz w:val="18"/>
                <w:szCs w:val="18"/>
              </w:rPr>
              <w:t xml:space="preserve">                           </w:t>
            </w:r>
            <w:r w:rsidR="006447C9" w:rsidRPr="00DF568E">
              <w:rPr>
                <w:rFonts w:ascii="TitilliumText22L Lt" w:eastAsiaTheme="minorHAnsi" w:hAnsi="TitilliumText22L Lt" w:cstheme="minorHAnsi"/>
                <w:sz w:val="18"/>
                <w:szCs w:val="18"/>
              </w:rPr>
              <w:t>Date:</w:t>
            </w:r>
          </w:p>
        </w:tc>
      </w:tr>
    </w:tbl>
    <w:p w:rsidR="006F7646" w:rsidRPr="00DF568E" w:rsidRDefault="006F7646" w:rsidP="00047B73">
      <w:pPr>
        <w:pStyle w:val="ListParagraph"/>
        <w:autoSpaceDE w:val="0"/>
        <w:autoSpaceDN w:val="0"/>
        <w:adjustRightInd w:val="0"/>
        <w:spacing w:after="0"/>
        <w:rPr>
          <w:rFonts w:ascii="TitilliumText22L Lt" w:eastAsiaTheme="minorHAnsi" w:hAnsi="TitilliumText22L Lt" w:cstheme="minorHAnsi"/>
          <w:sz w:val="18"/>
          <w:szCs w:val="18"/>
        </w:rPr>
      </w:pPr>
    </w:p>
    <w:sectPr w:rsidR="006F7646" w:rsidRPr="00DF568E" w:rsidSect="006555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49" w:rsidRDefault="004E4D49" w:rsidP="00856708">
      <w:pPr>
        <w:spacing w:after="0"/>
      </w:pPr>
      <w:r>
        <w:separator/>
      </w:r>
    </w:p>
  </w:endnote>
  <w:endnote w:type="continuationSeparator" w:id="0">
    <w:p w:rsidR="004E4D49" w:rsidRDefault="004E4D49"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tilliumText22L Lt">
    <w:altName w:val="TitilliumText22L Lt"/>
    <w:panose1 w:val="00000000000000000000"/>
    <w:charset w:val="00"/>
    <w:family w:val="modern"/>
    <w:notTrueType/>
    <w:pitch w:val="variable"/>
    <w:sig w:usb0="A00000EF" w:usb1="0000004B" w:usb2="00000000" w:usb3="00000000" w:csb0="00000193" w:csb1="00000000"/>
  </w:font>
  <w:font w:name="TitilliumText25L-600wt">
    <w:panose1 w:val="00000000000000000000"/>
    <w:charset w:val="00"/>
    <w:family w:val="swiss"/>
    <w:notTrueType/>
    <w:pitch w:val="default"/>
    <w:sig w:usb0="00000003" w:usb1="00000000" w:usb2="00000000" w:usb3="00000000" w:csb0="00000001" w:csb1="00000000"/>
  </w:font>
  <w:font w:name="TitilliumText22L Xb">
    <w:altName w:val="Arial"/>
    <w:panose1 w:val="00000000000000000000"/>
    <w:charset w:val="00"/>
    <w:family w:val="modern"/>
    <w:notTrueType/>
    <w:pitch w:val="variable"/>
    <w:sig w:usb0="A00000EF" w:usb1="0000004B" w:usb2="00000000" w:usb3="00000000" w:csb0="00000193" w:csb1="00000000"/>
  </w:font>
  <w:font w:name="TitilliumText25L-400wt">
    <w:panose1 w:val="00000000000000000000"/>
    <w:charset w:val="00"/>
    <w:family w:val="swiss"/>
    <w:notTrueType/>
    <w:pitch w:val="default"/>
    <w:sig w:usb0="00000003" w:usb1="00000000" w:usb2="00000000" w:usb3="00000000" w:csb0="00000001" w:csb1="00000000"/>
  </w:font>
  <w:font w:name="TitilliumText25L-250wt">
    <w:panose1 w:val="00000000000000000000"/>
    <w:charset w:val="00"/>
    <w:family w:val="swiss"/>
    <w:notTrueType/>
    <w:pitch w:val="default"/>
    <w:sig w:usb0="00000003" w:usb1="00000000" w:usb2="00000000" w:usb3="00000000" w:csb0="00000001" w:csb1="00000000"/>
  </w:font>
  <w:font w:name="TitilliumText22L Rg">
    <w:altName w:val="Aria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70F" w:rsidRPr="00856708" w:rsidRDefault="00D5170F"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9553F">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49" w:rsidRDefault="004E4D49" w:rsidP="00856708">
      <w:pPr>
        <w:spacing w:after="0"/>
      </w:pPr>
      <w:r>
        <w:separator/>
      </w:r>
    </w:p>
  </w:footnote>
  <w:footnote w:type="continuationSeparator" w:id="0">
    <w:p w:rsidR="004E4D49" w:rsidRDefault="004E4D49" w:rsidP="00856708">
      <w:pPr>
        <w:spacing w:after="0"/>
      </w:pPr>
      <w:r>
        <w:continuationSeparator/>
      </w:r>
    </w:p>
  </w:footnote>
  <w:footnote w:id="1">
    <w:p w:rsidR="00BF383E" w:rsidRDefault="00BF383E" w:rsidP="00BF383E">
      <w:pPr>
        <w:autoSpaceDE w:val="0"/>
        <w:autoSpaceDN w:val="0"/>
        <w:adjustRightInd w:val="0"/>
        <w:spacing w:after="0"/>
        <w:rPr>
          <w:sz w:val="16"/>
          <w:szCs w:val="16"/>
        </w:rPr>
      </w:pPr>
      <w:r w:rsidRPr="00B03C82">
        <w:rPr>
          <w:rStyle w:val="FootnoteReference"/>
          <w:sz w:val="16"/>
          <w:szCs w:val="16"/>
        </w:rPr>
        <w:footnoteRef/>
      </w:r>
      <w:r w:rsidRPr="00B03C82">
        <w:rPr>
          <w:sz w:val="16"/>
          <w:szCs w:val="16"/>
        </w:rPr>
        <w:t xml:space="preserve"> </w:t>
      </w:r>
      <w:proofErr w:type="gramStart"/>
      <w:r w:rsidRPr="00B03C82">
        <w:rPr>
          <w:i/>
          <w:sz w:val="16"/>
          <w:szCs w:val="16"/>
        </w:rPr>
        <w:t>Criteria for the clinical use of intravenous immunoglobulin, Second Edition (July 2012)</w:t>
      </w:r>
      <w:r w:rsidRPr="00B03C82">
        <w:rPr>
          <w:sz w:val="16"/>
          <w:szCs w:val="16"/>
        </w:rPr>
        <w:t>, COAG</w:t>
      </w:r>
      <w:r>
        <w:rPr>
          <w:sz w:val="16"/>
          <w:szCs w:val="16"/>
        </w:rPr>
        <w:t xml:space="preserve"> </w:t>
      </w:r>
      <w:r w:rsidRPr="00B03C82">
        <w:rPr>
          <w:sz w:val="16"/>
          <w:szCs w:val="16"/>
        </w:rPr>
        <w:t>Health Council (</w:t>
      </w:r>
      <w:hyperlink r:id="rId1" w:history="1">
        <w:r w:rsidR="0084652D" w:rsidRPr="00364488">
          <w:rPr>
            <w:rStyle w:val="Hyperlink"/>
            <w:sz w:val="16"/>
            <w:szCs w:val="16"/>
          </w:rPr>
          <w:t>www.blood.gov.au/ivig-criteria</w:t>
        </w:r>
      </w:hyperlink>
      <w:r w:rsidRPr="00B03C82">
        <w:rPr>
          <w:sz w:val="16"/>
          <w:szCs w:val="16"/>
        </w:rPr>
        <w:t>).</w:t>
      </w:r>
      <w:proofErr w:type="gramEnd"/>
    </w:p>
    <w:p w:rsidR="0084652D" w:rsidRPr="00B03C82" w:rsidRDefault="0084652D" w:rsidP="00BF383E">
      <w:pPr>
        <w:autoSpaceDE w:val="0"/>
        <w:autoSpaceDN w:val="0"/>
        <w:adjustRightInd w:val="0"/>
        <w:spacing w:after="0"/>
        <w:rPr>
          <w:sz w:val="16"/>
          <w:szCs w:val="16"/>
        </w:rPr>
      </w:pPr>
      <w:r>
        <w:rPr>
          <w:sz w:val="16"/>
          <w:szCs w:val="16"/>
        </w:rPr>
        <w:t>Form ID – NBA – 301008</w:t>
      </w:r>
      <w:r>
        <w:rPr>
          <w:sz w:val="16"/>
          <w:szCs w:val="16"/>
        </w:rPr>
        <w:tab/>
      </w:r>
      <w:r>
        <w:rPr>
          <w:sz w:val="16"/>
          <w:szCs w:val="16"/>
        </w:rPr>
        <w:tab/>
        <w:t>Effective October 2015</w:t>
      </w:r>
    </w:p>
  </w:footnote>
  <w:footnote w:id="2">
    <w:p w:rsidR="00D5170F" w:rsidRDefault="00D5170F" w:rsidP="00D5170F">
      <w:pPr>
        <w:autoSpaceDE w:val="0"/>
        <w:autoSpaceDN w:val="0"/>
        <w:adjustRightInd w:val="0"/>
        <w:spacing w:after="0"/>
        <w:rPr>
          <w:sz w:val="16"/>
          <w:szCs w:val="16"/>
        </w:rPr>
      </w:pPr>
      <w:r w:rsidRPr="00B03C82">
        <w:rPr>
          <w:rStyle w:val="FootnoteReference"/>
          <w:sz w:val="16"/>
          <w:szCs w:val="16"/>
        </w:rPr>
        <w:footnoteRef/>
      </w:r>
      <w:r w:rsidRPr="00B03C82">
        <w:rPr>
          <w:sz w:val="16"/>
          <w:szCs w:val="16"/>
        </w:rPr>
        <w:t xml:space="preserve"> </w:t>
      </w:r>
      <w:proofErr w:type="gramStart"/>
      <w:r w:rsidRPr="00B03C82">
        <w:rPr>
          <w:i/>
          <w:sz w:val="16"/>
          <w:szCs w:val="16"/>
        </w:rPr>
        <w:t>Criteria for the clinical use of intravenous immunoglobulin, Second Edition (July 2012)</w:t>
      </w:r>
      <w:r w:rsidRPr="00B03C82">
        <w:rPr>
          <w:sz w:val="16"/>
          <w:szCs w:val="16"/>
        </w:rPr>
        <w:t>, COAG</w:t>
      </w:r>
      <w:r>
        <w:rPr>
          <w:sz w:val="16"/>
          <w:szCs w:val="16"/>
        </w:rPr>
        <w:t xml:space="preserve"> </w:t>
      </w:r>
      <w:r w:rsidRPr="00B03C82">
        <w:rPr>
          <w:sz w:val="16"/>
          <w:szCs w:val="16"/>
        </w:rPr>
        <w:t>Health Council (</w:t>
      </w:r>
      <w:hyperlink r:id="rId2" w:history="1">
        <w:r w:rsidR="0084652D" w:rsidRPr="00364488">
          <w:rPr>
            <w:rStyle w:val="Hyperlink"/>
            <w:sz w:val="16"/>
            <w:szCs w:val="16"/>
          </w:rPr>
          <w:t>www.blood.gov.au/ivig-criteria</w:t>
        </w:r>
      </w:hyperlink>
      <w:r w:rsidRPr="00B03C82">
        <w:rPr>
          <w:sz w:val="16"/>
          <w:szCs w:val="16"/>
        </w:rPr>
        <w:t>).</w:t>
      </w:r>
      <w:proofErr w:type="gramEnd"/>
    </w:p>
    <w:p w:rsidR="0084652D" w:rsidRPr="00B03C82" w:rsidRDefault="0084652D" w:rsidP="0084652D">
      <w:pPr>
        <w:autoSpaceDE w:val="0"/>
        <w:autoSpaceDN w:val="0"/>
        <w:adjustRightInd w:val="0"/>
        <w:spacing w:after="0"/>
        <w:rPr>
          <w:sz w:val="16"/>
          <w:szCs w:val="16"/>
        </w:rPr>
      </w:pPr>
      <w:r>
        <w:rPr>
          <w:sz w:val="16"/>
          <w:szCs w:val="16"/>
        </w:rPr>
        <w:t>Form ID – NBA – 301008</w:t>
      </w:r>
      <w:r>
        <w:rPr>
          <w:sz w:val="16"/>
          <w:szCs w:val="16"/>
        </w:rPr>
        <w:tab/>
      </w:r>
      <w:r>
        <w:rPr>
          <w:sz w:val="16"/>
          <w:szCs w:val="16"/>
        </w:rPr>
        <w:tab/>
        <w:t>Effective October 2015</w:t>
      </w:r>
    </w:p>
    <w:p w:rsidR="0084652D" w:rsidRPr="00B03C82" w:rsidRDefault="0084652D" w:rsidP="00D5170F">
      <w:pPr>
        <w:autoSpaceDE w:val="0"/>
        <w:autoSpaceDN w:val="0"/>
        <w:adjustRightInd w:val="0"/>
        <w:spacing w:after="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BC8"/>
    <w:multiLevelType w:val="hybridMultilevel"/>
    <w:tmpl w:val="B0AE96F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
    <w:nsid w:val="1FC040C2"/>
    <w:multiLevelType w:val="hybridMultilevel"/>
    <w:tmpl w:val="13F63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BD6852"/>
    <w:multiLevelType w:val="hybridMultilevel"/>
    <w:tmpl w:val="D33C1F3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nsid w:val="5E8B3EBD"/>
    <w:multiLevelType w:val="hybridMultilevel"/>
    <w:tmpl w:val="2834D23A"/>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40D5880"/>
    <w:multiLevelType w:val="hybridMultilevel"/>
    <w:tmpl w:val="D3C8220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nsid w:val="7D921679"/>
    <w:multiLevelType w:val="hybridMultilevel"/>
    <w:tmpl w:val="3A16ADB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3"/>
  </w:num>
  <w:num w:numId="2">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4"/>
  </w:num>
  <w:num w:numId="4">
    <w:abstractNumId w:val="7"/>
  </w:num>
  <w:num w:numId="5">
    <w:abstractNumId w:val="2"/>
  </w:num>
  <w:num w:numId="6">
    <w:abstractNumId w:val="6"/>
  </w:num>
  <w:num w:numId="7">
    <w:abstractNumId w:val="9"/>
  </w:num>
  <w:num w:numId="8">
    <w:abstractNumId w:val="8"/>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46"/>
    <w:rsid w:val="00005919"/>
    <w:rsid w:val="00021DC6"/>
    <w:rsid w:val="000318AD"/>
    <w:rsid w:val="00036EDC"/>
    <w:rsid w:val="00047B73"/>
    <w:rsid w:val="0005210D"/>
    <w:rsid w:val="00065D4D"/>
    <w:rsid w:val="00092FD9"/>
    <w:rsid w:val="000B4FCB"/>
    <w:rsid w:val="000E16D0"/>
    <w:rsid w:val="00111374"/>
    <w:rsid w:val="00146AC9"/>
    <w:rsid w:val="00150B14"/>
    <w:rsid w:val="00153B66"/>
    <w:rsid w:val="0018125F"/>
    <w:rsid w:val="00181897"/>
    <w:rsid w:val="0018404B"/>
    <w:rsid w:val="001F1287"/>
    <w:rsid w:val="001F2E1E"/>
    <w:rsid w:val="00216D37"/>
    <w:rsid w:val="00246843"/>
    <w:rsid w:val="002537F2"/>
    <w:rsid w:val="0027199B"/>
    <w:rsid w:val="00295CD3"/>
    <w:rsid w:val="00296047"/>
    <w:rsid w:val="002B2B7F"/>
    <w:rsid w:val="002C18F3"/>
    <w:rsid w:val="002F41C6"/>
    <w:rsid w:val="0031160A"/>
    <w:rsid w:val="0038094C"/>
    <w:rsid w:val="003A04B3"/>
    <w:rsid w:val="003D27F1"/>
    <w:rsid w:val="003D420B"/>
    <w:rsid w:val="003F3DC0"/>
    <w:rsid w:val="003F3FDA"/>
    <w:rsid w:val="004012EA"/>
    <w:rsid w:val="0047466E"/>
    <w:rsid w:val="004763AD"/>
    <w:rsid w:val="004834C8"/>
    <w:rsid w:val="0049553F"/>
    <w:rsid w:val="004D4636"/>
    <w:rsid w:val="004E4D49"/>
    <w:rsid w:val="00511822"/>
    <w:rsid w:val="00540020"/>
    <w:rsid w:val="00632349"/>
    <w:rsid w:val="006369D5"/>
    <w:rsid w:val="006447C9"/>
    <w:rsid w:val="00652EE9"/>
    <w:rsid w:val="00655520"/>
    <w:rsid w:val="006573A9"/>
    <w:rsid w:val="006D0226"/>
    <w:rsid w:val="006F7646"/>
    <w:rsid w:val="00734C3E"/>
    <w:rsid w:val="0077483E"/>
    <w:rsid w:val="007D268E"/>
    <w:rsid w:val="007D4EBD"/>
    <w:rsid w:val="007E417E"/>
    <w:rsid w:val="00823502"/>
    <w:rsid w:val="0084652D"/>
    <w:rsid w:val="00856708"/>
    <w:rsid w:val="00893E0A"/>
    <w:rsid w:val="008A3431"/>
    <w:rsid w:val="008E7FA2"/>
    <w:rsid w:val="00934F1D"/>
    <w:rsid w:val="00951B85"/>
    <w:rsid w:val="009A79EC"/>
    <w:rsid w:val="009D36BC"/>
    <w:rsid w:val="009E38CC"/>
    <w:rsid w:val="00A17CBB"/>
    <w:rsid w:val="00A379D4"/>
    <w:rsid w:val="00AA174F"/>
    <w:rsid w:val="00AE6246"/>
    <w:rsid w:val="00B011A7"/>
    <w:rsid w:val="00B07EB8"/>
    <w:rsid w:val="00B27B3C"/>
    <w:rsid w:val="00B3726E"/>
    <w:rsid w:val="00B62C29"/>
    <w:rsid w:val="00BA70ED"/>
    <w:rsid w:val="00BF159D"/>
    <w:rsid w:val="00BF383E"/>
    <w:rsid w:val="00C1581A"/>
    <w:rsid w:val="00C35973"/>
    <w:rsid w:val="00C35E76"/>
    <w:rsid w:val="00C42031"/>
    <w:rsid w:val="00C523FE"/>
    <w:rsid w:val="00C52625"/>
    <w:rsid w:val="00CA255C"/>
    <w:rsid w:val="00CB273D"/>
    <w:rsid w:val="00CE0D86"/>
    <w:rsid w:val="00CF3EBE"/>
    <w:rsid w:val="00D4470C"/>
    <w:rsid w:val="00D5170F"/>
    <w:rsid w:val="00DC1B53"/>
    <w:rsid w:val="00DC50D5"/>
    <w:rsid w:val="00DD224A"/>
    <w:rsid w:val="00DE7964"/>
    <w:rsid w:val="00DF568E"/>
    <w:rsid w:val="00E17699"/>
    <w:rsid w:val="00E21B7C"/>
    <w:rsid w:val="00E277F6"/>
    <w:rsid w:val="00E83F22"/>
    <w:rsid w:val="00E9176E"/>
    <w:rsid w:val="00EC30B0"/>
    <w:rsid w:val="00EF0AA8"/>
    <w:rsid w:val="00EF0CD5"/>
    <w:rsid w:val="00F0004E"/>
    <w:rsid w:val="00F03CA5"/>
    <w:rsid w:val="00F77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BF15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9D"/>
    <w:rPr>
      <w:rFonts w:ascii="Tahoma" w:eastAsia="Dotum" w:hAnsi="Tahoma" w:cs="Tahoma"/>
      <w:sz w:val="16"/>
      <w:szCs w:val="16"/>
    </w:rPr>
  </w:style>
  <w:style w:type="character" w:styleId="FootnoteReference">
    <w:name w:val="footnote reference"/>
    <w:basedOn w:val="DefaultParagraphFont"/>
    <w:uiPriority w:val="99"/>
    <w:semiHidden/>
    <w:unhideWhenUsed/>
    <w:rsid w:val="00D5170F"/>
    <w:rPr>
      <w:vertAlign w:val="superscript"/>
    </w:rPr>
  </w:style>
  <w:style w:type="paragraph" w:styleId="FootnoteText">
    <w:name w:val="footnote text"/>
    <w:basedOn w:val="Normal"/>
    <w:link w:val="FootnoteTextChar"/>
    <w:uiPriority w:val="99"/>
    <w:semiHidden/>
    <w:unhideWhenUsed/>
    <w:rsid w:val="0084652D"/>
    <w:pPr>
      <w:spacing w:after="0"/>
    </w:pPr>
    <w:rPr>
      <w:sz w:val="20"/>
      <w:szCs w:val="20"/>
    </w:rPr>
  </w:style>
  <w:style w:type="character" w:customStyle="1" w:styleId="FootnoteTextChar">
    <w:name w:val="Footnote Text Char"/>
    <w:basedOn w:val="DefaultParagraphFont"/>
    <w:link w:val="FootnoteText"/>
    <w:uiPriority w:val="99"/>
    <w:semiHidden/>
    <w:rsid w:val="0084652D"/>
    <w:rPr>
      <w:rFonts w:ascii="Calibri" w:eastAsia="Dotum" w:hAnsi="Calibri" w:cs="Calibri"/>
      <w:sz w:val="20"/>
      <w:szCs w:val="20"/>
    </w:rPr>
  </w:style>
  <w:style w:type="character" w:styleId="Hyperlink">
    <w:name w:val="Hyperlink"/>
    <w:basedOn w:val="DefaultParagraphFont"/>
    <w:uiPriority w:val="99"/>
    <w:unhideWhenUsed/>
    <w:rsid w:val="008465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BF15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9D"/>
    <w:rPr>
      <w:rFonts w:ascii="Tahoma" w:eastAsia="Dotum" w:hAnsi="Tahoma" w:cs="Tahoma"/>
      <w:sz w:val="16"/>
      <w:szCs w:val="16"/>
    </w:rPr>
  </w:style>
  <w:style w:type="character" w:styleId="FootnoteReference">
    <w:name w:val="footnote reference"/>
    <w:basedOn w:val="DefaultParagraphFont"/>
    <w:uiPriority w:val="99"/>
    <w:semiHidden/>
    <w:unhideWhenUsed/>
    <w:rsid w:val="00D5170F"/>
    <w:rPr>
      <w:vertAlign w:val="superscript"/>
    </w:rPr>
  </w:style>
  <w:style w:type="paragraph" w:styleId="FootnoteText">
    <w:name w:val="footnote text"/>
    <w:basedOn w:val="Normal"/>
    <w:link w:val="FootnoteTextChar"/>
    <w:uiPriority w:val="99"/>
    <w:semiHidden/>
    <w:unhideWhenUsed/>
    <w:rsid w:val="0084652D"/>
    <w:pPr>
      <w:spacing w:after="0"/>
    </w:pPr>
    <w:rPr>
      <w:sz w:val="20"/>
      <w:szCs w:val="20"/>
    </w:rPr>
  </w:style>
  <w:style w:type="character" w:customStyle="1" w:styleId="FootnoteTextChar">
    <w:name w:val="Footnote Text Char"/>
    <w:basedOn w:val="DefaultParagraphFont"/>
    <w:link w:val="FootnoteText"/>
    <w:uiPriority w:val="99"/>
    <w:semiHidden/>
    <w:rsid w:val="0084652D"/>
    <w:rPr>
      <w:rFonts w:ascii="Calibri" w:eastAsia="Dotum" w:hAnsi="Calibri" w:cs="Calibri"/>
      <w:sz w:val="20"/>
      <w:szCs w:val="20"/>
    </w:rPr>
  </w:style>
  <w:style w:type="character" w:styleId="Hyperlink">
    <w:name w:val="Hyperlink"/>
    <w:basedOn w:val="DefaultParagraphFont"/>
    <w:uiPriority w:val="99"/>
    <w:unhideWhenUsed/>
    <w:rsid w:val="00846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blood.gov.au/ivig-criteria" TargetMode="External"/><Relationship Id="rId1" Type="http://schemas.openxmlformats.org/officeDocument/2006/relationships/hyperlink" Target="http://www.blood.gov.au/ivig-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6D62-A130-4E72-A042-4506522F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1103</Words>
  <Characters>6515</Characters>
  <Application>Microsoft Office Word</Application>
  <DocSecurity>4</DocSecurity>
  <Lines>123</Lines>
  <Paragraphs>47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Casey</dc:creator>
  <cp:lastModifiedBy>Petra</cp:lastModifiedBy>
  <cp:revision>2</cp:revision>
  <cp:lastPrinted>2015-07-30T02:24:00Z</cp:lastPrinted>
  <dcterms:created xsi:type="dcterms:W3CDTF">2015-10-15T03:34:00Z</dcterms:created>
  <dcterms:modified xsi:type="dcterms:W3CDTF">2015-10-15T03:34:00Z</dcterms:modified>
</cp:coreProperties>
</file>