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49058" w14:textId="77777777" w:rsidR="006C0017" w:rsidRPr="00F141AE" w:rsidRDefault="004E5A56" w:rsidP="006C0017">
      <w:pPr>
        <w:pStyle w:val="Heading2"/>
        <w:spacing w:before="0" w:after="0"/>
        <w:rPr>
          <w:rFonts w:eastAsia="HYGothic-Extra" w:cs="Calibri"/>
          <w:bCs/>
          <w:color w:val="21265E"/>
          <w:spacing w:val="-20"/>
          <w:sz w:val="30"/>
          <w:szCs w:val="30"/>
        </w:rPr>
      </w:pPr>
      <w:r w:rsidRPr="00F141AE">
        <w:rPr>
          <w:noProof/>
          <w:sz w:val="30"/>
          <w:szCs w:val="30"/>
        </w:rPr>
        <w:drawing>
          <wp:anchor distT="0" distB="0" distL="114300" distR="114300" simplePos="0" relativeHeight="251658241" behindDoc="1" locked="0" layoutInCell="1" allowOverlap="1" wp14:anchorId="18387228" wp14:editId="0A65F84C">
            <wp:simplePos x="0" y="0"/>
            <wp:positionH relativeFrom="column">
              <wp:posOffset>4574694</wp:posOffset>
            </wp:positionH>
            <wp:positionV relativeFrom="page">
              <wp:posOffset>152640</wp:posOffset>
            </wp:positionV>
            <wp:extent cx="2343150" cy="608330"/>
            <wp:effectExtent l="0" t="0" r="0" b="1270"/>
            <wp:wrapTight wrapText="bothSides">
              <wp:wrapPolygon edited="0">
                <wp:start x="0" y="0"/>
                <wp:lineTo x="0" y="20969"/>
                <wp:lineTo x="21424" y="20969"/>
                <wp:lineTo x="214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608330"/>
                    </a:xfrm>
                    <a:prstGeom prst="rect">
                      <a:avLst/>
                    </a:prstGeom>
                    <a:noFill/>
                  </pic:spPr>
                </pic:pic>
              </a:graphicData>
            </a:graphic>
            <wp14:sizeRelH relativeFrom="page">
              <wp14:pctWidth>0</wp14:pctWidth>
            </wp14:sizeRelH>
            <wp14:sizeRelV relativeFrom="page">
              <wp14:pctHeight>0</wp14:pctHeight>
            </wp14:sizeRelV>
          </wp:anchor>
        </w:drawing>
      </w:r>
    </w:p>
    <w:p w14:paraId="4B961C70" w14:textId="74551286" w:rsidR="006A2495" w:rsidRPr="003E4596" w:rsidRDefault="00B751F4" w:rsidP="006C0017">
      <w:pPr>
        <w:pStyle w:val="Heading2"/>
        <w:spacing w:before="0" w:after="0"/>
        <w:rPr>
          <w:rFonts w:eastAsia="HYGothic-Extra" w:cs="Calibri"/>
          <w:bCs/>
          <w:color w:val="21265E"/>
          <w:spacing w:val="-20"/>
          <w:sz w:val="44"/>
          <w:szCs w:val="44"/>
        </w:rPr>
      </w:pPr>
      <w:r w:rsidRPr="003E4596">
        <w:rPr>
          <w:rFonts w:eastAsia="HYGothic-Extra" w:cs="Calibri"/>
          <w:bCs/>
          <w:color w:val="21265E"/>
          <w:spacing w:val="-20"/>
          <w:sz w:val="44"/>
          <w:szCs w:val="44"/>
        </w:rPr>
        <w:t>Guideline for the prophylactic use of Rh D</w:t>
      </w:r>
      <w:r w:rsidR="004E5A56">
        <w:rPr>
          <w:rFonts w:eastAsia="HYGothic-Extra" w:cs="Calibri"/>
          <w:bCs/>
          <w:color w:val="21265E"/>
          <w:spacing w:val="-20"/>
          <w:sz w:val="44"/>
          <w:szCs w:val="44"/>
        </w:rPr>
        <w:t xml:space="preserve"> im</w:t>
      </w:r>
      <w:r w:rsidRPr="003E4596">
        <w:rPr>
          <w:rFonts w:eastAsia="HYGothic-Extra" w:cs="Calibri"/>
          <w:bCs/>
          <w:color w:val="21265E"/>
          <w:spacing w:val="-20"/>
          <w:sz w:val="44"/>
          <w:szCs w:val="44"/>
        </w:rPr>
        <w:t xml:space="preserve">munoglobulin in pregnancy care </w:t>
      </w:r>
    </w:p>
    <w:tbl>
      <w:tblPr>
        <w:tblStyle w:val="TableGrid"/>
        <w:tblpPr w:vertAnchor="text" w:horzAnchor="margin" w:tblpX="-187" w:tblpY="66"/>
        <w:tblW w:w="10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0"/>
      </w:tblGrid>
      <w:tr w:rsidR="003E4596" w14:paraId="0C3A02C3" w14:textId="77777777" w:rsidTr="006C0017">
        <w:tc>
          <w:tcPr>
            <w:tcW w:w="10870" w:type="dxa"/>
            <w:tcBorders>
              <w:top w:val="double" w:sz="12" w:space="0" w:color="C00000"/>
              <w:left w:val="double" w:sz="12" w:space="0" w:color="C00000"/>
              <w:right w:val="double" w:sz="12" w:space="0" w:color="C00000"/>
            </w:tcBorders>
          </w:tcPr>
          <w:p w14:paraId="42BA9D86" w14:textId="59E2CF67" w:rsidR="003E4596" w:rsidRPr="0080280A" w:rsidRDefault="003E4596" w:rsidP="00F141AE">
            <w:pPr>
              <w:pStyle w:val="BodyText"/>
              <w:spacing w:after="0" w:line="252" w:lineRule="auto"/>
              <w:rPr>
                <w:rFonts w:asciiTheme="minorHAnsi" w:eastAsia="Dotum" w:hAnsiTheme="minorHAnsi" w:cs="Arial"/>
                <w:b/>
                <w:noProof/>
                <w:color w:val="648F90"/>
                <w:sz w:val="38"/>
                <w:szCs w:val="38"/>
              </w:rPr>
            </w:pPr>
            <w:r w:rsidRPr="0080280A">
              <w:rPr>
                <w:rFonts w:asciiTheme="minorHAnsi" w:eastAsia="Dotum" w:hAnsiTheme="minorHAnsi" w:cs="Arial"/>
                <w:b/>
                <w:noProof/>
                <w:color w:val="648F90"/>
                <w:sz w:val="38"/>
                <w:szCs w:val="38"/>
              </w:rPr>
              <w:t>What you need to know</w:t>
            </w:r>
          </w:p>
        </w:tc>
      </w:tr>
      <w:tr w:rsidR="003E4596" w14:paraId="0A04F79E" w14:textId="77777777" w:rsidTr="006C0017">
        <w:tc>
          <w:tcPr>
            <w:tcW w:w="10870" w:type="dxa"/>
            <w:tcBorders>
              <w:left w:val="double" w:sz="12" w:space="0" w:color="C00000"/>
              <w:right w:val="double" w:sz="12" w:space="0" w:color="C00000"/>
            </w:tcBorders>
            <w:shd w:val="clear" w:color="auto" w:fill="D9D9D9" w:themeFill="background1" w:themeFillShade="D9"/>
            <w:vAlign w:val="center"/>
          </w:tcPr>
          <w:p w14:paraId="34038D81" w14:textId="77777777" w:rsidR="00642A25" w:rsidRPr="009C0364" w:rsidRDefault="003E4596" w:rsidP="00F141AE">
            <w:pPr>
              <w:pStyle w:val="Tabletext9pt"/>
              <w:spacing w:line="252" w:lineRule="auto"/>
              <w:rPr>
                <w:noProof/>
                <w:sz w:val="22"/>
                <w:szCs w:val="22"/>
              </w:rPr>
            </w:pPr>
            <w:r w:rsidRPr="009C0364">
              <w:rPr>
                <w:noProof/>
                <w:sz w:val="22"/>
                <w:szCs w:val="22"/>
              </w:rPr>
              <w:t xml:space="preserve">The ERG </w:t>
            </w:r>
            <w:r w:rsidRPr="009C0364">
              <w:rPr>
                <w:rFonts w:asciiTheme="minorHAnsi" w:hAnsiTheme="minorHAnsi"/>
                <w:b/>
                <w:bCs/>
                <w:noProof/>
                <w:sz w:val="22"/>
                <w:szCs w:val="22"/>
              </w:rPr>
              <w:t>recommends</w:t>
            </w:r>
            <w:r w:rsidRPr="009C0364">
              <w:rPr>
                <w:noProof/>
                <w:sz w:val="22"/>
                <w:szCs w:val="22"/>
              </w:rPr>
              <w:t xml:space="preserve"> the testing of maternal blood to determine fetal </w:t>
            </w:r>
            <w:r w:rsidRPr="009C0364">
              <w:rPr>
                <w:i/>
                <w:iCs/>
                <w:noProof/>
                <w:sz w:val="22"/>
                <w:szCs w:val="22"/>
              </w:rPr>
              <w:t>RHD</w:t>
            </w:r>
            <w:r w:rsidRPr="009C0364">
              <w:rPr>
                <w:noProof/>
                <w:sz w:val="22"/>
                <w:szCs w:val="22"/>
              </w:rPr>
              <w:t xml:space="preserve"> genotype in all Rh D negative pregnant women to enable targeted antenatal Rh D immunoprophylaxis.</w:t>
            </w:r>
            <w:r w:rsidRPr="009C0364">
              <w:rPr>
                <w:noProof/>
                <w:sz w:val="22"/>
                <w:szCs w:val="22"/>
                <w:vertAlign w:val="superscript"/>
              </w:rPr>
              <w:t>a</w:t>
            </w:r>
            <w:r w:rsidRPr="009C0364">
              <w:rPr>
                <w:noProof/>
                <w:sz w:val="22"/>
                <w:szCs w:val="22"/>
              </w:rPr>
              <w:t xml:space="preserve"> See R</w:t>
            </w:r>
            <w:r w:rsidR="004F44B4" w:rsidRPr="009C0364">
              <w:rPr>
                <w:noProof/>
                <w:sz w:val="22"/>
                <w:szCs w:val="22"/>
              </w:rPr>
              <w:t>9</w:t>
            </w:r>
          </w:p>
          <w:p w14:paraId="1D9220E7" w14:textId="2358077D" w:rsidR="003E4596" w:rsidRPr="00B66DE1" w:rsidRDefault="00F24F11" w:rsidP="00F141AE">
            <w:pPr>
              <w:pStyle w:val="Tabletext9pt"/>
              <w:spacing w:line="252" w:lineRule="auto"/>
              <w:rPr>
                <w:noProof/>
              </w:rPr>
            </w:pPr>
            <w:r>
              <w:rPr>
                <w:noProof/>
                <w:vertAlign w:val="superscript"/>
              </w:rPr>
              <w:t xml:space="preserve">a </w:t>
            </w:r>
            <w:r w:rsidR="003E4596" w:rsidRPr="00B66DE1">
              <w:rPr>
                <w:noProof/>
              </w:rPr>
              <w:t xml:space="preserve">The ERG’s recommendation on the use of NIPT for fetal </w:t>
            </w:r>
            <w:r w:rsidR="003E4596" w:rsidRPr="00B66DE1">
              <w:rPr>
                <w:i/>
                <w:noProof/>
              </w:rPr>
              <w:t>RHD</w:t>
            </w:r>
            <w:r w:rsidR="003E4596" w:rsidRPr="00B66DE1">
              <w:rPr>
                <w:noProof/>
              </w:rPr>
              <w:t xml:space="preserve"> is not a policy statement on funding and supply arrangements for the national provisions of NIPT for blood group genotyping to determine the Rh D status of the fetus.</w:t>
            </w:r>
          </w:p>
        </w:tc>
      </w:tr>
      <w:tr w:rsidR="003E4596" w14:paraId="2E1CFB1A" w14:textId="77777777" w:rsidTr="006C0017">
        <w:tc>
          <w:tcPr>
            <w:tcW w:w="10870" w:type="dxa"/>
            <w:tcBorders>
              <w:left w:val="double" w:sz="12" w:space="0" w:color="C00000"/>
              <w:right w:val="double" w:sz="12" w:space="0" w:color="C00000"/>
            </w:tcBorders>
            <w:vAlign w:val="center"/>
          </w:tcPr>
          <w:p w14:paraId="7B9C16A0" w14:textId="77777777" w:rsidR="003E4596" w:rsidRPr="009C0364" w:rsidRDefault="003E4596" w:rsidP="00F141AE">
            <w:pPr>
              <w:pStyle w:val="BodyText"/>
              <w:spacing w:before="100" w:after="100" w:line="252" w:lineRule="auto"/>
              <w:rPr>
                <w:noProof/>
                <w:szCs w:val="22"/>
              </w:rPr>
            </w:pPr>
            <w:r w:rsidRPr="009C0364">
              <w:rPr>
                <w:noProof/>
                <w:szCs w:val="22"/>
              </w:rPr>
              <w:t xml:space="preserve">The ERG </w:t>
            </w:r>
            <w:r w:rsidRPr="009C0364">
              <w:rPr>
                <w:rStyle w:val="Strong"/>
                <w:szCs w:val="22"/>
              </w:rPr>
              <w:t xml:space="preserve">recommends </w:t>
            </w:r>
            <w:r w:rsidRPr="009C0364">
              <w:rPr>
                <w:noProof/>
                <w:szCs w:val="22"/>
              </w:rPr>
              <w:t xml:space="preserve">that antenatal Rh D immunoprophylaxis in Rh D negative pregnant women with no preformed anti-D antibodies be targeted to those predicted to be carrying an Rh D positive fetus, based on </w:t>
            </w:r>
            <w:r w:rsidRPr="009C0364">
              <w:rPr>
                <w:szCs w:val="22"/>
              </w:rPr>
              <w:t xml:space="preserve">NIPT for fetal </w:t>
            </w:r>
            <w:r w:rsidRPr="009C0364">
              <w:rPr>
                <w:i/>
                <w:iCs/>
                <w:szCs w:val="22"/>
              </w:rPr>
              <w:t>RHD</w:t>
            </w:r>
            <w:r w:rsidRPr="009C0364">
              <w:rPr>
                <w:szCs w:val="22"/>
              </w:rPr>
              <w:t xml:space="preserve">. This applies to both routine and sensitising event </w:t>
            </w:r>
            <w:proofErr w:type="gramStart"/>
            <w:r w:rsidRPr="009C0364">
              <w:rPr>
                <w:szCs w:val="22"/>
              </w:rPr>
              <w:t>immunoprophylaxis, if</w:t>
            </w:r>
            <w:proofErr w:type="gramEnd"/>
            <w:r w:rsidRPr="009C0364">
              <w:rPr>
                <w:szCs w:val="22"/>
              </w:rPr>
              <w:t xml:space="preserve"> the result of fetal </w:t>
            </w:r>
            <w:r w:rsidRPr="009C0364">
              <w:rPr>
                <w:i/>
                <w:szCs w:val="22"/>
              </w:rPr>
              <w:t xml:space="preserve">RHD </w:t>
            </w:r>
            <w:r w:rsidRPr="009C0364">
              <w:rPr>
                <w:szCs w:val="22"/>
              </w:rPr>
              <w:t>genotyping is available. See R6</w:t>
            </w:r>
          </w:p>
        </w:tc>
      </w:tr>
      <w:tr w:rsidR="003E4596" w14:paraId="48C2D8C8" w14:textId="77777777" w:rsidTr="006C0017">
        <w:tc>
          <w:tcPr>
            <w:tcW w:w="10870" w:type="dxa"/>
            <w:tcBorders>
              <w:left w:val="double" w:sz="12" w:space="0" w:color="C00000"/>
              <w:right w:val="double" w:sz="12" w:space="0" w:color="C00000"/>
            </w:tcBorders>
            <w:shd w:val="clear" w:color="auto" w:fill="D9D9D9" w:themeFill="background1" w:themeFillShade="D9"/>
          </w:tcPr>
          <w:p w14:paraId="28D9DB67" w14:textId="77777777" w:rsidR="003E4596" w:rsidRPr="009C0364" w:rsidRDefault="003E4596" w:rsidP="00F141AE">
            <w:pPr>
              <w:pStyle w:val="BodyText"/>
              <w:spacing w:before="100" w:after="100" w:line="252" w:lineRule="auto"/>
              <w:rPr>
                <w:noProof/>
                <w:szCs w:val="22"/>
              </w:rPr>
            </w:pPr>
            <w:r w:rsidRPr="009C0364">
              <w:rPr>
                <w:noProof/>
                <w:szCs w:val="22"/>
              </w:rPr>
              <w:t xml:space="preserve">The ERG </w:t>
            </w:r>
            <w:r w:rsidRPr="009C0364">
              <w:rPr>
                <w:rStyle w:val="Strong"/>
                <w:szCs w:val="22"/>
              </w:rPr>
              <w:t xml:space="preserve">recommends </w:t>
            </w:r>
            <w:r w:rsidRPr="009C0364">
              <w:rPr>
                <w:noProof/>
                <w:szCs w:val="22"/>
              </w:rPr>
              <w:t>that administration of Rh D immunoglobulin 625 IU at 28 and 34 weeks of pregnancy continue in Rh D negative pregnant women with no preformed anti-D antibodies unless NIPT for fetal RHD has predicted that they are not carrying an Rh D positive fetus. The ERG does not currently suggest changing to a single dose of Rh D immunoglobulin 1500 IU. See R2</w:t>
            </w:r>
          </w:p>
        </w:tc>
      </w:tr>
      <w:tr w:rsidR="003E4596" w14:paraId="77A3F7ED" w14:textId="77777777" w:rsidTr="006C0017">
        <w:tc>
          <w:tcPr>
            <w:tcW w:w="10870" w:type="dxa"/>
            <w:tcBorders>
              <w:left w:val="double" w:sz="12" w:space="0" w:color="C00000"/>
              <w:right w:val="double" w:sz="12" w:space="0" w:color="C00000"/>
            </w:tcBorders>
            <w:shd w:val="clear" w:color="auto" w:fill="auto"/>
          </w:tcPr>
          <w:p w14:paraId="76034CBD" w14:textId="66EC860A" w:rsidR="003E4596" w:rsidRPr="009C0364" w:rsidRDefault="003E4596" w:rsidP="00F141AE">
            <w:pPr>
              <w:pStyle w:val="BodyText"/>
              <w:spacing w:before="100" w:after="100" w:line="252" w:lineRule="auto"/>
              <w:rPr>
                <w:noProof/>
                <w:szCs w:val="22"/>
              </w:rPr>
            </w:pPr>
            <w:r w:rsidRPr="009C0364">
              <w:rPr>
                <w:szCs w:val="22"/>
              </w:rPr>
              <w:t>After the following sensitising events in the first 12 weeks of singleton or multiple pregnancy: miscarriage, termination of pregnancy (after 10 weeks gestation), ectopic pregnancy, molar pregnancy and chorionic villus sampling</w:t>
            </w:r>
            <w:r w:rsidRPr="009C0364">
              <w:rPr>
                <w:rFonts w:asciiTheme="minorHAnsi" w:hAnsiTheme="minorHAnsi" w:cstheme="minorHAnsi"/>
                <w:noProof/>
                <w:szCs w:val="22"/>
              </w:rPr>
              <w:t>, the ERG</w:t>
            </w:r>
            <w:r w:rsidRPr="009C0364">
              <w:rPr>
                <w:rFonts w:asciiTheme="minorHAnsi" w:hAnsiTheme="minorHAnsi" w:cstheme="minorHAnsi"/>
                <w:bCs/>
                <w:noProof/>
                <w:szCs w:val="22"/>
              </w:rPr>
              <w:t xml:space="preserve"> </w:t>
            </w:r>
            <w:r w:rsidRPr="009C0364">
              <w:rPr>
                <w:rStyle w:val="Strong"/>
                <w:szCs w:val="22"/>
              </w:rPr>
              <w:t>recommends</w:t>
            </w:r>
            <w:r w:rsidRPr="009C0364">
              <w:rPr>
                <w:rFonts w:asciiTheme="minorHAnsi" w:hAnsiTheme="minorHAnsi" w:cstheme="minorHAnsi"/>
                <w:noProof/>
                <w:szCs w:val="22"/>
              </w:rPr>
              <w:t xml:space="preserve"> that a dose of Rh D immunoglobulin 250 IU be given to all Rh D negative women with no preformed anti-D antibodies to prevent Rh D alloimmunisation. See R3</w:t>
            </w:r>
          </w:p>
        </w:tc>
      </w:tr>
      <w:tr w:rsidR="005D4D32" w14:paraId="49FD10EE" w14:textId="77777777" w:rsidTr="005D4D32">
        <w:tc>
          <w:tcPr>
            <w:tcW w:w="10870" w:type="dxa"/>
            <w:tcBorders>
              <w:left w:val="double" w:sz="12" w:space="0" w:color="C00000"/>
              <w:right w:val="double" w:sz="12" w:space="0" w:color="C00000"/>
            </w:tcBorders>
            <w:shd w:val="clear" w:color="auto" w:fill="D9D9D9" w:themeFill="background1" w:themeFillShade="D9"/>
          </w:tcPr>
          <w:p w14:paraId="573C93C0" w14:textId="69C8C62D" w:rsidR="005D4D32" w:rsidRPr="009C0364" w:rsidRDefault="005D4D32" w:rsidP="00F141AE">
            <w:pPr>
              <w:pStyle w:val="BodyText"/>
              <w:spacing w:before="100" w:after="100" w:line="252" w:lineRule="auto"/>
              <w:rPr>
                <w:szCs w:val="22"/>
              </w:rPr>
            </w:pPr>
            <w:r w:rsidRPr="009C0364">
              <w:rPr>
                <w:szCs w:val="22"/>
              </w:rPr>
              <w:t xml:space="preserve">In the setting of termination of pregnancy before 10 weeks of gestation there is </w:t>
            </w:r>
            <w:r w:rsidRPr="00775484">
              <w:rPr>
                <w:b/>
                <w:bCs/>
                <w:szCs w:val="22"/>
              </w:rPr>
              <w:t>insufficient evidence to suggest</w:t>
            </w:r>
            <w:r w:rsidRPr="009C0364">
              <w:rPr>
                <w:szCs w:val="22"/>
              </w:rPr>
              <w:t xml:space="preserve"> the routine use of Rh D immunoglobulin.</w:t>
            </w:r>
            <w:r w:rsidR="009C0364">
              <w:rPr>
                <w:szCs w:val="22"/>
              </w:rPr>
              <w:t xml:space="preserve"> See R</w:t>
            </w:r>
            <w:r w:rsidR="00C246DD">
              <w:rPr>
                <w:szCs w:val="22"/>
              </w:rPr>
              <w:t>4</w:t>
            </w:r>
          </w:p>
        </w:tc>
      </w:tr>
      <w:tr w:rsidR="006C0017" w14:paraId="6DF8503A" w14:textId="77777777" w:rsidTr="005D4D32">
        <w:tc>
          <w:tcPr>
            <w:tcW w:w="10870" w:type="dxa"/>
            <w:tcBorders>
              <w:left w:val="double" w:sz="12" w:space="0" w:color="C00000"/>
              <w:bottom w:val="double" w:sz="12" w:space="0" w:color="C00000"/>
              <w:right w:val="double" w:sz="12" w:space="0" w:color="C00000"/>
            </w:tcBorders>
            <w:shd w:val="clear" w:color="auto" w:fill="auto"/>
          </w:tcPr>
          <w:p w14:paraId="28B97633" w14:textId="48274839" w:rsidR="006C0017" w:rsidRPr="009C0364" w:rsidRDefault="006C0017" w:rsidP="00F141AE">
            <w:pPr>
              <w:pStyle w:val="BodyText"/>
              <w:spacing w:before="100" w:after="100" w:line="252" w:lineRule="auto"/>
              <w:rPr>
                <w:szCs w:val="22"/>
              </w:rPr>
            </w:pPr>
            <w:r w:rsidRPr="009C0364">
              <w:rPr>
                <w:szCs w:val="22"/>
              </w:rPr>
              <w:t xml:space="preserve">The ERG currently </w:t>
            </w:r>
            <w:r w:rsidRPr="009C0364">
              <w:rPr>
                <w:b/>
                <w:bCs/>
                <w:szCs w:val="22"/>
              </w:rPr>
              <w:t xml:space="preserve">recommends </w:t>
            </w:r>
            <w:r w:rsidRPr="009C0364">
              <w:rPr>
                <w:szCs w:val="22"/>
              </w:rPr>
              <w:t>that postnatal Rh D immunoprophylaxis (Rh D immunoglobulin 625 IU) continue to be administered to all Rh D negative women with no preformed anti-D antibodies who have a baby who is predicted to be Rh D positive based on NIPT for fetal RHD, or cord blood or neonatal Rh D typing. The cord blood or neonatal testing should be performed regardless of the results of NIPT for fetal RHD, but need not delay administration of Rh D immunoprophylaxis when the fetus has been shown to be RHD positive by NIPT testing. If the baby is Rh D positive, administer Rh D immunoglobulin even if the NIPT predicted an Rh D negative baby. See R8</w:t>
            </w:r>
          </w:p>
        </w:tc>
      </w:tr>
    </w:tbl>
    <w:p w14:paraId="429C80BD" w14:textId="2BA8AAD2" w:rsidR="00C44A6F" w:rsidRPr="0072693B" w:rsidRDefault="00C44A6F" w:rsidP="00587E91">
      <w:pPr>
        <w:pStyle w:val="BodyText"/>
        <w:spacing w:before="240"/>
        <w:rPr>
          <w:noProof/>
          <w:sz w:val="21"/>
          <w:szCs w:val="21"/>
        </w:rPr>
      </w:pPr>
      <w:r w:rsidRPr="0072693B">
        <w:rPr>
          <w:noProof/>
          <w:sz w:val="21"/>
          <w:szCs w:val="21"/>
        </w:rPr>
        <w:t xml:space="preserve">The </w:t>
      </w:r>
      <w:r w:rsidRPr="0072693B">
        <w:rPr>
          <w:i/>
          <w:iCs/>
          <w:noProof/>
          <w:sz w:val="21"/>
          <w:szCs w:val="21"/>
        </w:rPr>
        <w:t xml:space="preserve">Guideline for the prophylactic use of Rh D immunoglobulin in pregnancy care </w:t>
      </w:r>
      <w:r w:rsidRPr="0072693B">
        <w:rPr>
          <w:noProof/>
          <w:sz w:val="21"/>
          <w:szCs w:val="21"/>
        </w:rPr>
        <w:t>was</w:t>
      </w:r>
      <w:r w:rsidR="006C0017" w:rsidRPr="0072693B">
        <w:rPr>
          <w:noProof/>
          <w:sz w:val="21"/>
          <w:szCs w:val="21"/>
        </w:rPr>
        <w:t xml:space="preserve"> published online in 2021 and republished in 202</w:t>
      </w:r>
      <w:r w:rsidR="00771B0D">
        <w:rPr>
          <w:noProof/>
          <w:sz w:val="21"/>
          <w:szCs w:val="21"/>
        </w:rPr>
        <w:t>4</w:t>
      </w:r>
      <w:r w:rsidR="006C0017" w:rsidRPr="0072693B">
        <w:rPr>
          <w:noProof/>
          <w:sz w:val="21"/>
          <w:szCs w:val="21"/>
        </w:rPr>
        <w:t xml:space="preserve"> on MAGICapp.</w:t>
      </w:r>
      <w:r w:rsidRPr="0072693B">
        <w:rPr>
          <w:noProof/>
          <w:sz w:val="21"/>
          <w:szCs w:val="21"/>
        </w:rPr>
        <w:t xml:space="preserve"> The </w:t>
      </w:r>
      <w:r w:rsidR="00587E91" w:rsidRPr="0072693B">
        <w:rPr>
          <w:noProof/>
          <w:sz w:val="21"/>
          <w:szCs w:val="21"/>
        </w:rPr>
        <w:t>g</w:t>
      </w:r>
      <w:r w:rsidRPr="0072693B">
        <w:rPr>
          <w:noProof/>
          <w:sz w:val="21"/>
          <w:szCs w:val="21"/>
        </w:rPr>
        <w:t>uideline</w:t>
      </w:r>
      <w:r w:rsidR="006C0017" w:rsidRPr="0072693B">
        <w:rPr>
          <w:noProof/>
          <w:sz w:val="21"/>
          <w:szCs w:val="21"/>
        </w:rPr>
        <w:t xml:space="preserve"> </w:t>
      </w:r>
      <w:r w:rsidR="003A1999" w:rsidRPr="0072693B">
        <w:rPr>
          <w:noProof/>
          <w:sz w:val="21"/>
          <w:szCs w:val="21"/>
        </w:rPr>
        <w:t>has</w:t>
      </w:r>
      <w:r w:rsidRPr="0072693B">
        <w:rPr>
          <w:noProof/>
          <w:sz w:val="21"/>
          <w:szCs w:val="21"/>
        </w:rPr>
        <w:t xml:space="preserve"> recommendations and expert opinion points for health professionals on the appropriate use and timing of:</w:t>
      </w:r>
    </w:p>
    <w:p w14:paraId="1B0A9AB1" w14:textId="67DCEF7C" w:rsidR="00C44A6F" w:rsidRPr="0072693B" w:rsidRDefault="00C44A6F" w:rsidP="003E4596">
      <w:pPr>
        <w:pStyle w:val="BodyText"/>
        <w:numPr>
          <w:ilvl w:val="0"/>
          <w:numId w:val="15"/>
        </w:numPr>
        <w:spacing w:after="0"/>
        <w:rPr>
          <w:noProof/>
          <w:sz w:val="21"/>
          <w:szCs w:val="21"/>
        </w:rPr>
      </w:pPr>
      <w:r w:rsidRPr="0072693B">
        <w:rPr>
          <w:noProof/>
          <w:sz w:val="21"/>
          <w:szCs w:val="21"/>
        </w:rPr>
        <w:t>pathology tests to identify maternal and fetal Rh D status</w:t>
      </w:r>
    </w:p>
    <w:p w14:paraId="207BF132" w14:textId="14D4226D" w:rsidR="00C44A6F" w:rsidRPr="0072693B" w:rsidRDefault="00C44A6F" w:rsidP="003E4596">
      <w:pPr>
        <w:pStyle w:val="BodyText"/>
        <w:numPr>
          <w:ilvl w:val="0"/>
          <w:numId w:val="15"/>
        </w:numPr>
        <w:rPr>
          <w:noProof/>
          <w:sz w:val="21"/>
          <w:szCs w:val="21"/>
        </w:rPr>
      </w:pPr>
      <w:r w:rsidRPr="0072693B">
        <w:rPr>
          <w:noProof/>
          <w:sz w:val="21"/>
          <w:szCs w:val="21"/>
        </w:rPr>
        <w:t>prophylactic Rh D immunoglobulin in Rh D negative pregnant women</w:t>
      </w:r>
    </w:p>
    <w:p w14:paraId="451F3594" w14:textId="2CEF6903" w:rsidR="00C44A6F" w:rsidRPr="0072693B" w:rsidRDefault="006C0017" w:rsidP="00C44A6F">
      <w:pPr>
        <w:pStyle w:val="BodyText"/>
        <w:rPr>
          <w:noProof/>
          <w:sz w:val="21"/>
          <w:szCs w:val="21"/>
        </w:rPr>
      </w:pPr>
      <w:r w:rsidRPr="0072693B">
        <w:rPr>
          <w:noProof/>
          <w:sz w:val="21"/>
          <w:szCs w:val="21"/>
        </w:rPr>
        <w:t xml:space="preserve">The guideline was developed by an expert reference group (ERG) using </w:t>
      </w:r>
      <w:r w:rsidR="00403E22" w:rsidRPr="0072693B">
        <w:rPr>
          <w:noProof/>
          <w:sz w:val="21"/>
          <w:szCs w:val="21"/>
        </w:rPr>
        <w:t>GRADE methodology</w:t>
      </w:r>
      <w:r w:rsidRPr="0072693B">
        <w:rPr>
          <w:noProof/>
          <w:sz w:val="21"/>
          <w:szCs w:val="21"/>
        </w:rPr>
        <w:t xml:space="preserve">. </w:t>
      </w:r>
      <w:r w:rsidR="00C44A6F" w:rsidRPr="0072693B">
        <w:rPr>
          <w:noProof/>
          <w:sz w:val="21"/>
          <w:szCs w:val="21"/>
        </w:rPr>
        <w:t>This summary contains:</w:t>
      </w:r>
    </w:p>
    <w:p w14:paraId="66EAAE2A" w14:textId="6CE7BC24" w:rsidR="00C44A6F" w:rsidRPr="0072693B" w:rsidRDefault="00C44A6F" w:rsidP="00131F4A">
      <w:pPr>
        <w:pStyle w:val="BodyText"/>
        <w:numPr>
          <w:ilvl w:val="0"/>
          <w:numId w:val="15"/>
        </w:numPr>
        <w:spacing w:after="0"/>
        <w:rPr>
          <w:noProof/>
          <w:sz w:val="21"/>
          <w:szCs w:val="21"/>
        </w:rPr>
      </w:pPr>
      <w:r w:rsidRPr="0072693B">
        <w:rPr>
          <w:noProof/>
          <w:sz w:val="21"/>
          <w:szCs w:val="21"/>
        </w:rPr>
        <w:t xml:space="preserve">the </w:t>
      </w:r>
      <w:r w:rsidR="00765FB5" w:rsidRPr="0072693B">
        <w:rPr>
          <w:noProof/>
          <w:sz w:val="21"/>
          <w:szCs w:val="21"/>
        </w:rPr>
        <w:t xml:space="preserve">guideline </w:t>
      </w:r>
      <w:r w:rsidRPr="0072693B">
        <w:rPr>
          <w:noProof/>
          <w:sz w:val="21"/>
          <w:szCs w:val="21"/>
        </w:rPr>
        <w:t>recommendations (R) and expert opinion points (EOP)</w:t>
      </w:r>
      <w:r w:rsidR="0050217D">
        <w:rPr>
          <w:noProof/>
          <w:sz w:val="21"/>
          <w:szCs w:val="21"/>
        </w:rPr>
        <w:t xml:space="preserve"> </w:t>
      </w:r>
      <w:r w:rsidR="00082C02">
        <w:rPr>
          <w:noProof/>
          <w:sz w:val="21"/>
          <w:szCs w:val="21"/>
        </w:rPr>
        <w:t xml:space="preserve">(see </w:t>
      </w:r>
      <w:r w:rsidR="00B353A5">
        <w:rPr>
          <w:noProof/>
          <w:sz w:val="21"/>
          <w:szCs w:val="21"/>
        </w:rPr>
        <w:t xml:space="preserve">Recommendation </w:t>
      </w:r>
      <w:r w:rsidR="00082C02">
        <w:rPr>
          <w:noProof/>
          <w:sz w:val="21"/>
          <w:szCs w:val="21"/>
        </w:rPr>
        <w:t>definition</w:t>
      </w:r>
      <w:r w:rsidR="00B353A5">
        <w:rPr>
          <w:noProof/>
          <w:sz w:val="21"/>
          <w:szCs w:val="21"/>
        </w:rPr>
        <w:t>s</w:t>
      </w:r>
      <w:r w:rsidR="00C10F5C">
        <w:rPr>
          <w:noProof/>
          <w:sz w:val="21"/>
          <w:szCs w:val="21"/>
        </w:rPr>
        <w:t>)</w:t>
      </w:r>
    </w:p>
    <w:p w14:paraId="789B1AEF" w14:textId="77777777" w:rsidR="00C44A6F" w:rsidRPr="0072693B" w:rsidRDefault="00C44A6F" w:rsidP="00131F4A">
      <w:pPr>
        <w:pStyle w:val="BodyText"/>
        <w:numPr>
          <w:ilvl w:val="0"/>
          <w:numId w:val="15"/>
        </w:numPr>
        <w:spacing w:after="0"/>
        <w:rPr>
          <w:noProof/>
          <w:sz w:val="21"/>
          <w:szCs w:val="21"/>
        </w:rPr>
      </w:pPr>
      <w:r w:rsidRPr="0072693B">
        <w:rPr>
          <w:noProof/>
          <w:sz w:val="21"/>
          <w:szCs w:val="21"/>
        </w:rPr>
        <w:t>a summary table on use and timing of pathology testing</w:t>
      </w:r>
    </w:p>
    <w:p w14:paraId="62071309" w14:textId="71F060BA" w:rsidR="00C44A6F" w:rsidRPr="0072693B" w:rsidRDefault="00C44A6F" w:rsidP="00131F4A">
      <w:pPr>
        <w:pStyle w:val="BodyText"/>
        <w:numPr>
          <w:ilvl w:val="0"/>
          <w:numId w:val="15"/>
        </w:numPr>
        <w:spacing w:after="0"/>
        <w:rPr>
          <w:noProof/>
          <w:sz w:val="21"/>
          <w:szCs w:val="21"/>
        </w:rPr>
      </w:pPr>
      <w:r w:rsidRPr="0072693B">
        <w:rPr>
          <w:noProof/>
          <w:sz w:val="21"/>
          <w:szCs w:val="21"/>
        </w:rPr>
        <w:t>routine immunoprophylaxis</w:t>
      </w:r>
      <w:r w:rsidR="004C28C1" w:rsidRPr="0072693B">
        <w:rPr>
          <w:noProof/>
          <w:sz w:val="21"/>
          <w:szCs w:val="21"/>
        </w:rPr>
        <w:t xml:space="preserve"> summary table</w:t>
      </w:r>
    </w:p>
    <w:p w14:paraId="085487DF" w14:textId="384E5591" w:rsidR="00AB6946" w:rsidRPr="0072693B" w:rsidRDefault="00C44A6F" w:rsidP="006C0017">
      <w:pPr>
        <w:pStyle w:val="BodyText"/>
        <w:numPr>
          <w:ilvl w:val="0"/>
          <w:numId w:val="15"/>
        </w:numPr>
        <w:spacing w:after="0"/>
        <w:rPr>
          <w:noProof/>
          <w:sz w:val="21"/>
          <w:szCs w:val="21"/>
        </w:rPr>
      </w:pPr>
      <w:r w:rsidRPr="0072693B">
        <w:rPr>
          <w:noProof/>
          <w:sz w:val="21"/>
          <w:szCs w:val="21"/>
        </w:rPr>
        <w:t>summary table of sensitising event</w:t>
      </w:r>
      <w:r w:rsidR="006C0017" w:rsidRPr="0072693B">
        <w:rPr>
          <w:noProof/>
          <w:sz w:val="21"/>
          <w:szCs w:val="21"/>
        </w:rPr>
        <w:t xml:space="preserve"> </w:t>
      </w:r>
      <w:r w:rsidRPr="0072693B">
        <w:rPr>
          <w:noProof/>
          <w:sz w:val="21"/>
          <w:szCs w:val="21"/>
        </w:rPr>
        <w:t>immunoprophylaxis</w:t>
      </w:r>
    </w:p>
    <w:p w14:paraId="7C4AEC77" w14:textId="3282A4DD" w:rsidR="00C44A6F" w:rsidRPr="0072693B" w:rsidRDefault="003E4596" w:rsidP="00C44A6F">
      <w:pPr>
        <w:pStyle w:val="BodyText"/>
        <w:numPr>
          <w:ilvl w:val="0"/>
          <w:numId w:val="15"/>
        </w:numPr>
        <w:rPr>
          <w:b/>
          <w:bCs/>
          <w:sz w:val="21"/>
          <w:szCs w:val="21"/>
        </w:rPr>
      </w:pPr>
      <w:r w:rsidRPr="0072693B">
        <w:rPr>
          <w:noProof/>
          <w:sz w:val="21"/>
          <w:szCs w:val="21"/>
        </w:rPr>
        <mc:AlternateContent>
          <mc:Choice Requires="wps">
            <w:drawing>
              <wp:anchor distT="45720" distB="45720" distL="114300" distR="114300" simplePos="0" relativeHeight="251658240" behindDoc="1" locked="0" layoutInCell="1" allowOverlap="1" wp14:anchorId="0C2C8DD8" wp14:editId="7DCA8B0A">
                <wp:simplePos x="0" y="0"/>
                <wp:positionH relativeFrom="page">
                  <wp:posOffset>206358</wp:posOffset>
                </wp:positionH>
                <wp:positionV relativeFrom="margin">
                  <wp:posOffset>8984580</wp:posOffset>
                </wp:positionV>
                <wp:extent cx="7239000" cy="678180"/>
                <wp:effectExtent l="0" t="0" r="0" b="0"/>
                <wp:wrapTight wrapText="bothSides">
                  <wp:wrapPolygon edited="0">
                    <wp:start x="171" y="0"/>
                    <wp:lineTo x="171" y="20629"/>
                    <wp:lineTo x="21373" y="20629"/>
                    <wp:lineTo x="21373" y="0"/>
                    <wp:lineTo x="171"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678180"/>
                        </a:xfrm>
                        <a:prstGeom prst="rect">
                          <a:avLst/>
                        </a:prstGeom>
                        <a:noFill/>
                        <a:ln w="9525">
                          <a:noFill/>
                          <a:miter lim="800000"/>
                          <a:headEnd/>
                          <a:tailEnd/>
                        </a:ln>
                      </wps:spPr>
                      <wps:txbx>
                        <w:txbxContent>
                          <w:p w14:paraId="113C0AAE" w14:textId="3746766C" w:rsidR="00CB5705" w:rsidRPr="0072693B" w:rsidRDefault="00CB5705" w:rsidP="001F276F">
                            <w:pPr>
                              <w:spacing w:after="120"/>
                              <w:rPr>
                                <w:sz w:val="16"/>
                                <w:szCs w:val="16"/>
                              </w:rPr>
                            </w:pPr>
                            <w:r w:rsidRPr="0072693B">
                              <w:rPr>
                                <w:sz w:val="16"/>
                                <w:szCs w:val="16"/>
                              </w:rPr>
                              <w:t xml:space="preserve">The </w:t>
                            </w:r>
                            <w:r w:rsidR="00E52E63" w:rsidRPr="0072693B">
                              <w:rPr>
                                <w:sz w:val="16"/>
                                <w:szCs w:val="16"/>
                              </w:rPr>
                              <w:t>g</w:t>
                            </w:r>
                            <w:r w:rsidRPr="0072693B">
                              <w:rPr>
                                <w:sz w:val="16"/>
                                <w:szCs w:val="16"/>
                              </w:rPr>
                              <w:t>uideline was a joint project between the Royal Australian and New Zealand College of Obstetricians and Gynaecologists and the National Blood Authority</w:t>
                            </w:r>
                            <w:r w:rsidR="003C7B19" w:rsidRPr="0072693B">
                              <w:rPr>
                                <w:sz w:val="16"/>
                                <w:szCs w:val="16"/>
                              </w:rPr>
                              <w:t xml:space="preserve"> </w:t>
                            </w:r>
                            <w:r w:rsidRPr="0072693B">
                              <w:rPr>
                                <w:sz w:val="16"/>
                                <w:szCs w:val="16"/>
                              </w:rPr>
                              <w:t xml:space="preserve">(NBA). The NBA provided project management and funded all goods and services associated with </w:t>
                            </w:r>
                            <w:r w:rsidR="00FE5801" w:rsidRPr="0072693B">
                              <w:rPr>
                                <w:sz w:val="16"/>
                                <w:szCs w:val="16"/>
                              </w:rPr>
                              <w:t xml:space="preserve">the </w:t>
                            </w:r>
                            <w:proofErr w:type="gramStart"/>
                            <w:r w:rsidR="000567EA" w:rsidRPr="0072693B">
                              <w:rPr>
                                <w:sz w:val="16"/>
                                <w:szCs w:val="16"/>
                              </w:rPr>
                              <w:t>guidelines</w:t>
                            </w:r>
                            <w:proofErr w:type="gramEnd"/>
                            <w:r w:rsidR="000567EA" w:rsidRPr="0072693B">
                              <w:rPr>
                                <w:sz w:val="16"/>
                                <w:szCs w:val="16"/>
                              </w:rPr>
                              <w:t xml:space="preserve"> </w:t>
                            </w:r>
                            <w:r w:rsidRPr="0072693B">
                              <w:rPr>
                                <w:sz w:val="16"/>
                                <w:szCs w:val="16"/>
                              </w:rPr>
                              <w:t>development</w:t>
                            </w:r>
                            <w:r w:rsidR="000567EA" w:rsidRPr="0072693B">
                              <w:rPr>
                                <w:sz w:val="16"/>
                                <w:szCs w:val="16"/>
                              </w:rPr>
                              <w:t>.</w:t>
                            </w:r>
                            <w:r w:rsidRPr="0072693B">
                              <w:rPr>
                                <w:sz w:val="16"/>
                                <w:szCs w:val="16"/>
                              </w:rPr>
                              <w:t xml:space="preserve"> </w:t>
                            </w:r>
                            <w:r w:rsidR="00747965" w:rsidRPr="0072693B">
                              <w:rPr>
                                <w:sz w:val="16"/>
                                <w:szCs w:val="16"/>
                              </w:rPr>
                              <w:t>Th</w:t>
                            </w:r>
                            <w:r w:rsidR="001F276F" w:rsidRPr="0072693B">
                              <w:rPr>
                                <w:sz w:val="16"/>
                                <w:szCs w:val="16"/>
                              </w:rPr>
                              <w:t xml:space="preserve">e </w:t>
                            </w:r>
                            <w:r w:rsidR="00DA618B" w:rsidRPr="0072693B">
                              <w:rPr>
                                <w:sz w:val="16"/>
                                <w:szCs w:val="16"/>
                              </w:rPr>
                              <w:t>recommendations and expert opinion points were not influenced by the views or interests of the NBA</w:t>
                            </w:r>
                            <w:r w:rsidR="000001F2" w:rsidRPr="0072693B">
                              <w:rPr>
                                <w:rFonts w:ascii="Helvetica" w:hAnsi="Helvetica"/>
                                <w:color w:val="34495E"/>
                                <w:sz w:val="16"/>
                                <w:szCs w:val="16"/>
                                <w:shd w:val="clear" w:color="auto" w:fill="FFFFFF"/>
                              </w:rPr>
                              <w:t>.</w:t>
                            </w:r>
                            <w:r w:rsidR="00027811" w:rsidRPr="0072693B">
                              <w:rPr>
                                <w:sz w:val="16"/>
                                <w:szCs w:val="16"/>
                              </w:rPr>
                              <w:t xml:space="preserve"> </w:t>
                            </w:r>
                            <w:r w:rsidR="00CA3291" w:rsidRPr="0072693B">
                              <w:rPr>
                                <w:sz w:val="16"/>
                                <w:szCs w:val="16"/>
                              </w:rPr>
                              <w:t xml:space="preserve">View the full guideline for more information </w:t>
                            </w:r>
                            <w:hyperlink r:id="rId9" w:history="1">
                              <w:r w:rsidR="00315214" w:rsidRPr="0072693B">
                                <w:rPr>
                                  <w:rStyle w:val="Hyperlink"/>
                                  <w:sz w:val="16"/>
                                  <w:szCs w:val="16"/>
                                </w:rPr>
                                <w:t>www.nba.gov.au/</w:t>
                              </w:r>
                            </w:hyperlink>
                            <w:r w:rsidR="003E4596" w:rsidRPr="0072693B">
                              <w:rPr>
                                <w:rStyle w:val="Hyperlink"/>
                                <w:sz w:val="16"/>
                                <w:szCs w:val="16"/>
                              </w:rPr>
                              <w:t>anti-d-0</w:t>
                            </w:r>
                            <w:r w:rsidRPr="0072693B">
                              <w:rPr>
                                <w:sz w:val="16"/>
                                <w:szCs w:val="16"/>
                              </w:rPr>
                              <w:t xml:space="preserve">. </w:t>
                            </w:r>
                            <w:r w:rsidR="003E4596" w:rsidRPr="0072693B">
                              <w:rPr>
                                <w:sz w:val="16"/>
                                <w:szCs w:val="16"/>
                              </w:rPr>
                              <w:t>Summary last updated {enter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C8DD8" id="_x0000_t202" coordsize="21600,21600" o:spt="202" path="m,l,21600r21600,l21600,xe">
                <v:stroke joinstyle="miter"/>
                <v:path gradientshapeok="t" o:connecttype="rect"/>
              </v:shapetype>
              <v:shape id="Text Box 4" o:spid="_x0000_s1026" type="#_x0000_t202" style="position:absolute;left:0;text-align:left;margin-left:16.25pt;margin-top:707.45pt;width:570pt;height:53.4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" filled="f" stroked="f">
                <v:textbox>
                  <w:txbxContent>
                    <w:p w14:paraId="113C0AAE" w14:textId="3746766C" w:rsidR="00CB5705" w:rsidRPr="0072693B" w:rsidRDefault="00CB5705" w:rsidP="001F276F">
                      <w:pPr>
                        <w:spacing w:after="120"/>
                        <w:rPr>
                          <w:sz w:val="16"/>
                          <w:szCs w:val="16"/>
                        </w:rPr>
                      </w:pPr>
                      <w:r w:rsidRPr="0072693B">
                        <w:rPr>
                          <w:sz w:val="16"/>
                          <w:szCs w:val="16"/>
                        </w:rPr>
                        <w:t xml:space="preserve">The </w:t>
                      </w:r>
                      <w:r w:rsidR="00E52E63" w:rsidRPr="0072693B">
                        <w:rPr>
                          <w:sz w:val="16"/>
                          <w:szCs w:val="16"/>
                        </w:rPr>
                        <w:t>g</w:t>
                      </w:r>
                      <w:r w:rsidRPr="0072693B">
                        <w:rPr>
                          <w:sz w:val="16"/>
                          <w:szCs w:val="16"/>
                        </w:rPr>
                        <w:t>uideline was a joint project between the Royal Australian and New Zealand College of Obstetricians and Gynaecologists and the National Blood Authority</w:t>
                      </w:r>
                      <w:r w:rsidR="003C7B19" w:rsidRPr="0072693B">
                        <w:rPr>
                          <w:sz w:val="16"/>
                          <w:szCs w:val="16"/>
                        </w:rPr>
                        <w:t xml:space="preserve"> </w:t>
                      </w:r>
                      <w:r w:rsidRPr="0072693B">
                        <w:rPr>
                          <w:sz w:val="16"/>
                          <w:szCs w:val="16"/>
                        </w:rPr>
                        <w:t xml:space="preserve">(NBA). The NBA provided project management and funded all goods and services associated with </w:t>
                      </w:r>
                      <w:r w:rsidR="00FE5801" w:rsidRPr="0072693B">
                        <w:rPr>
                          <w:sz w:val="16"/>
                          <w:szCs w:val="16"/>
                        </w:rPr>
                        <w:t xml:space="preserve">the </w:t>
                      </w:r>
                      <w:proofErr w:type="gramStart"/>
                      <w:r w:rsidR="000567EA" w:rsidRPr="0072693B">
                        <w:rPr>
                          <w:sz w:val="16"/>
                          <w:szCs w:val="16"/>
                        </w:rPr>
                        <w:t>guidelines</w:t>
                      </w:r>
                      <w:proofErr w:type="gramEnd"/>
                      <w:r w:rsidR="000567EA" w:rsidRPr="0072693B">
                        <w:rPr>
                          <w:sz w:val="16"/>
                          <w:szCs w:val="16"/>
                        </w:rPr>
                        <w:t xml:space="preserve"> </w:t>
                      </w:r>
                      <w:r w:rsidRPr="0072693B">
                        <w:rPr>
                          <w:sz w:val="16"/>
                          <w:szCs w:val="16"/>
                        </w:rPr>
                        <w:t>development</w:t>
                      </w:r>
                      <w:r w:rsidR="000567EA" w:rsidRPr="0072693B">
                        <w:rPr>
                          <w:sz w:val="16"/>
                          <w:szCs w:val="16"/>
                        </w:rPr>
                        <w:t>.</w:t>
                      </w:r>
                      <w:r w:rsidRPr="0072693B">
                        <w:rPr>
                          <w:sz w:val="16"/>
                          <w:szCs w:val="16"/>
                        </w:rPr>
                        <w:t xml:space="preserve"> </w:t>
                      </w:r>
                      <w:r w:rsidR="00747965" w:rsidRPr="0072693B">
                        <w:rPr>
                          <w:sz w:val="16"/>
                          <w:szCs w:val="16"/>
                        </w:rPr>
                        <w:t>Th</w:t>
                      </w:r>
                      <w:r w:rsidR="001F276F" w:rsidRPr="0072693B">
                        <w:rPr>
                          <w:sz w:val="16"/>
                          <w:szCs w:val="16"/>
                        </w:rPr>
                        <w:t xml:space="preserve">e </w:t>
                      </w:r>
                      <w:r w:rsidR="00DA618B" w:rsidRPr="0072693B">
                        <w:rPr>
                          <w:sz w:val="16"/>
                          <w:szCs w:val="16"/>
                        </w:rPr>
                        <w:t>recommendations and expert opinion points were not influenced by the views or interests of the NBA</w:t>
                      </w:r>
                      <w:r w:rsidR="000001F2" w:rsidRPr="0072693B">
                        <w:rPr>
                          <w:rFonts w:ascii="Helvetica" w:hAnsi="Helvetica"/>
                          <w:color w:val="34495E"/>
                          <w:sz w:val="16"/>
                          <w:szCs w:val="16"/>
                          <w:shd w:val="clear" w:color="auto" w:fill="FFFFFF"/>
                        </w:rPr>
                        <w:t>.</w:t>
                      </w:r>
                      <w:r w:rsidR="00027811" w:rsidRPr="0072693B">
                        <w:rPr>
                          <w:sz w:val="16"/>
                          <w:szCs w:val="16"/>
                        </w:rPr>
                        <w:t xml:space="preserve"> </w:t>
                      </w:r>
                      <w:r w:rsidR="00CA3291" w:rsidRPr="0072693B">
                        <w:rPr>
                          <w:sz w:val="16"/>
                          <w:szCs w:val="16"/>
                        </w:rPr>
                        <w:t xml:space="preserve">View the full guideline for more information </w:t>
                      </w:r>
                      <w:hyperlink r:id="rId10" w:history="1">
                        <w:r w:rsidR="00315214" w:rsidRPr="0072693B">
                          <w:rPr>
                            <w:rStyle w:val="Hyperlink"/>
                            <w:sz w:val="16"/>
                            <w:szCs w:val="16"/>
                          </w:rPr>
                          <w:t>www.nba.gov.au/</w:t>
                        </w:r>
                      </w:hyperlink>
                      <w:r w:rsidR="003E4596" w:rsidRPr="0072693B">
                        <w:rPr>
                          <w:rStyle w:val="Hyperlink"/>
                          <w:sz w:val="16"/>
                          <w:szCs w:val="16"/>
                        </w:rPr>
                        <w:t>anti-d-0</w:t>
                      </w:r>
                      <w:r w:rsidRPr="0072693B">
                        <w:rPr>
                          <w:sz w:val="16"/>
                          <w:szCs w:val="16"/>
                        </w:rPr>
                        <w:t xml:space="preserve">. </w:t>
                      </w:r>
                      <w:r w:rsidR="003E4596" w:rsidRPr="0072693B">
                        <w:rPr>
                          <w:sz w:val="16"/>
                          <w:szCs w:val="16"/>
                        </w:rPr>
                        <w:t>Summary last updated {enter date]</w:t>
                      </w:r>
                    </w:p>
                  </w:txbxContent>
                </v:textbox>
                <w10:wrap type="tight" anchorx="page" anchory="margin"/>
              </v:shape>
            </w:pict>
          </mc:Fallback>
        </mc:AlternateContent>
      </w:r>
      <w:r w:rsidR="00654AE0" w:rsidRPr="0072693B">
        <w:rPr>
          <w:sz w:val="21"/>
          <w:szCs w:val="21"/>
        </w:rPr>
        <w:t>two care pathways that outline the timing of pathology testing and administration of Rh D immunoglobulin</w:t>
      </w:r>
    </w:p>
    <w:p w14:paraId="1A283104" w14:textId="77777777" w:rsidR="00A34103" w:rsidRPr="00B353A5" w:rsidRDefault="00A34103" w:rsidP="00A34103">
      <w:pPr>
        <w:spacing w:after="0"/>
        <w:rPr>
          <w:b/>
          <w:bCs/>
          <w:sz w:val="20"/>
          <w:szCs w:val="20"/>
        </w:rPr>
      </w:pPr>
      <w:bookmarkStart w:id="0" w:name="_Hlk113532106"/>
      <w:bookmarkStart w:id="1" w:name="_Toc46496121"/>
      <w:r w:rsidRPr="00B353A5">
        <w:rPr>
          <w:b/>
          <w:bCs/>
          <w:sz w:val="20"/>
          <w:szCs w:val="20"/>
        </w:rPr>
        <w:lastRenderedPageBreak/>
        <w:t>Recommendation definitions:</w:t>
      </w:r>
    </w:p>
    <w:p w14:paraId="12ED1BF4" w14:textId="77777777" w:rsidR="00A34103" w:rsidRPr="00B353A5" w:rsidRDefault="00A34103" w:rsidP="00A34103">
      <w:pPr>
        <w:spacing w:after="0"/>
        <w:rPr>
          <w:sz w:val="18"/>
          <w:szCs w:val="18"/>
        </w:rPr>
      </w:pPr>
      <w:r w:rsidRPr="00B353A5">
        <w:rPr>
          <w:b/>
          <w:bCs/>
          <w:color w:val="648F90"/>
          <w:sz w:val="18"/>
          <w:szCs w:val="18"/>
        </w:rPr>
        <w:t>Strong recommendation (for)</w:t>
      </w:r>
      <w:r w:rsidRPr="00B353A5">
        <w:rPr>
          <w:sz w:val="18"/>
          <w:szCs w:val="18"/>
        </w:rPr>
        <w:t xml:space="preserve">: the </w:t>
      </w:r>
      <w:r>
        <w:rPr>
          <w:sz w:val="18"/>
          <w:szCs w:val="18"/>
        </w:rPr>
        <w:t xml:space="preserve">ERG </w:t>
      </w:r>
      <w:r w:rsidRPr="00B353A5">
        <w:rPr>
          <w:sz w:val="18"/>
          <w:szCs w:val="18"/>
        </w:rPr>
        <w:t>is confident that the desirable effects of an intervention outweigh its undesirable effects.</w:t>
      </w:r>
    </w:p>
    <w:p w14:paraId="2D562DA4" w14:textId="5571FFA1" w:rsidR="00A34103" w:rsidRPr="00947CB7" w:rsidRDefault="00A34103" w:rsidP="00A34103">
      <w:pPr>
        <w:spacing w:after="0"/>
        <w:rPr>
          <w:b/>
          <w:bCs/>
          <w:color w:val="467ABA"/>
          <w:sz w:val="18"/>
          <w:szCs w:val="18"/>
        </w:rPr>
      </w:pPr>
      <w:r w:rsidRPr="00A34103">
        <w:rPr>
          <w:b/>
          <w:bCs/>
          <w:color w:val="FFC000"/>
          <w:sz w:val="18"/>
          <w:szCs w:val="18"/>
        </w:rPr>
        <w:t>Weak recommendation (for)</w:t>
      </w:r>
      <w:r w:rsidRPr="00A34103">
        <w:rPr>
          <w:color w:val="FFC000"/>
          <w:sz w:val="18"/>
          <w:szCs w:val="18"/>
        </w:rPr>
        <w:t xml:space="preserve">: </w:t>
      </w:r>
      <w:r w:rsidRPr="00B353A5">
        <w:rPr>
          <w:sz w:val="18"/>
          <w:szCs w:val="18"/>
        </w:rPr>
        <w:t xml:space="preserve">the desirable effects probably outweigh the undesirable effects, but appreciable uncertainty exists. </w:t>
      </w:r>
    </w:p>
    <w:p w14:paraId="1168A306" w14:textId="77777777" w:rsidR="00A34103" w:rsidRPr="00B353A5" w:rsidRDefault="00A34103" w:rsidP="00A34103">
      <w:pPr>
        <w:spacing w:after="0"/>
        <w:rPr>
          <w:sz w:val="18"/>
          <w:szCs w:val="18"/>
        </w:rPr>
      </w:pPr>
      <w:r w:rsidRPr="00B353A5">
        <w:rPr>
          <w:sz w:val="18"/>
          <w:szCs w:val="18"/>
        </w:rPr>
        <w:t>Recommendation is influenced by a woman’s values, resources available and/or setting.</w:t>
      </w:r>
    </w:p>
    <w:p w14:paraId="7642E75B" w14:textId="77777777" w:rsidR="00A34103" w:rsidRDefault="00A34103" w:rsidP="00A34103">
      <w:pPr>
        <w:spacing w:after="0"/>
        <w:rPr>
          <w:sz w:val="18"/>
          <w:szCs w:val="18"/>
        </w:rPr>
      </w:pPr>
      <w:r w:rsidRPr="00B353A5">
        <w:rPr>
          <w:b/>
          <w:bCs/>
          <w:color w:val="DE9716"/>
          <w:sz w:val="18"/>
          <w:szCs w:val="18"/>
        </w:rPr>
        <w:t>Weak recommendation (against)</w:t>
      </w:r>
      <w:r w:rsidRPr="00B353A5">
        <w:rPr>
          <w:sz w:val="18"/>
          <w:szCs w:val="18"/>
        </w:rPr>
        <w:t>: the undesirable effects probably outweigh the desirable effects, but appreciable uncertainty exists. Recommendation is influenced by a woman’s values, resources available and/or setting.</w:t>
      </w:r>
    </w:p>
    <w:p w14:paraId="5216F27D" w14:textId="77777777" w:rsidR="00CA53E8" w:rsidRDefault="00CA53E8" w:rsidP="00CA53E8">
      <w:pPr>
        <w:spacing w:after="0"/>
        <w:rPr>
          <w:sz w:val="18"/>
          <w:szCs w:val="18"/>
        </w:rPr>
      </w:pPr>
      <w:r w:rsidRPr="00B353A5">
        <w:rPr>
          <w:b/>
          <w:bCs/>
          <w:color w:val="467ABA"/>
          <w:sz w:val="18"/>
          <w:szCs w:val="18"/>
        </w:rPr>
        <w:t xml:space="preserve">Expert opinion point: </w:t>
      </w:r>
      <w:r w:rsidRPr="00B353A5">
        <w:rPr>
          <w:sz w:val="18"/>
          <w:szCs w:val="18"/>
        </w:rPr>
        <w:t>developed by consensus where there was insufficient quantity or certainty of evidence, but it was considered important to offer guidance.</w:t>
      </w:r>
    </w:p>
    <w:tbl>
      <w:tblPr>
        <w:tblStyle w:val="HTAtableplain1"/>
        <w:tblpPr w:leftFromText="180" w:rightFromText="180" w:vertAnchor="page" w:horzAnchor="margin" w:tblpY="2677"/>
        <w:tblW w:w="5150" w:type="pct"/>
        <w:tblLayout w:type="fixed"/>
        <w:tblCellMar>
          <w:left w:w="28" w:type="dxa"/>
          <w:right w:w="28" w:type="dxa"/>
        </w:tblCellMar>
        <w:tblLook w:val="04A0" w:firstRow="1" w:lastRow="0" w:firstColumn="1" w:lastColumn="0" w:noHBand="0" w:noVBand="1"/>
      </w:tblPr>
      <w:tblGrid>
        <w:gridCol w:w="851"/>
        <w:gridCol w:w="9923"/>
      </w:tblGrid>
      <w:tr w:rsidR="00CA53E8" w:rsidRPr="00145576" w14:paraId="24B6B4C2" w14:textId="77777777" w:rsidTr="00CA53E8">
        <w:trPr>
          <w:cnfStyle w:val="100000000000" w:firstRow="1" w:lastRow="0" w:firstColumn="0" w:lastColumn="0" w:oddVBand="0" w:evenVBand="0" w:oddHBand="0" w:evenHBand="0" w:firstRowFirstColumn="0" w:firstRowLastColumn="0" w:lastRowFirstColumn="0" w:lastRowLastColumn="0"/>
          <w:cantSplit/>
          <w:tblHeader/>
        </w:trPr>
        <w:tc>
          <w:tcPr>
            <w:tcW w:w="10774" w:type="dxa"/>
            <w:gridSpan w:val="2"/>
          </w:tcPr>
          <w:p w14:paraId="0AD1910F" w14:textId="77777777" w:rsidR="00CA53E8" w:rsidRPr="00145576" w:rsidRDefault="00CA53E8" w:rsidP="00CA53E8">
            <w:pPr>
              <w:pStyle w:val="Tabletext"/>
              <w:ind w:left="0"/>
              <w:rPr>
                <w:noProof/>
                <w:sz w:val="26"/>
                <w:szCs w:val="26"/>
              </w:rPr>
            </w:pPr>
            <w:bookmarkStart w:id="2" w:name="_Hlk113531925"/>
            <w:r w:rsidRPr="00145576">
              <w:rPr>
                <w:noProof/>
                <w:sz w:val="26"/>
                <w:szCs w:val="26"/>
              </w:rPr>
              <w:t>Recommendations and expert opionion points</w:t>
            </w:r>
          </w:p>
        </w:tc>
      </w:tr>
      <w:tr w:rsidR="00CA53E8" w:rsidRPr="00FF5337" w14:paraId="30941490" w14:textId="77777777" w:rsidTr="00CA53E8">
        <w:trPr>
          <w:cantSplit/>
        </w:trPr>
        <w:tc>
          <w:tcPr>
            <w:tcW w:w="10774" w:type="dxa"/>
            <w:gridSpan w:val="2"/>
            <w:shd w:val="clear" w:color="auto" w:fill="D2E4EE"/>
          </w:tcPr>
          <w:p w14:paraId="104134D2" w14:textId="77777777" w:rsidR="00CA53E8" w:rsidRPr="001F6EA1" w:rsidRDefault="00CA53E8" w:rsidP="00CA53E8">
            <w:pPr>
              <w:pStyle w:val="TableH1"/>
              <w:rPr>
                <w:b/>
                <w:bCs/>
                <w:noProof/>
                <w:color w:val="auto"/>
                <w:szCs w:val="22"/>
              </w:rPr>
            </w:pPr>
            <w:r w:rsidRPr="001F6EA1">
              <w:rPr>
                <w:b/>
                <w:bCs/>
                <w:noProof/>
                <w:color w:val="auto"/>
                <w:szCs w:val="22"/>
              </w:rPr>
              <w:t>Blood group and antibody screening in all pregnant women</w:t>
            </w:r>
          </w:p>
        </w:tc>
      </w:tr>
      <w:bookmarkEnd w:id="2"/>
      <w:tr w:rsidR="00CA53E8" w:rsidRPr="00C42583" w14:paraId="3E42E154" w14:textId="77777777" w:rsidTr="00CA53E8">
        <w:trPr>
          <w:cantSplit/>
        </w:trPr>
        <w:tc>
          <w:tcPr>
            <w:tcW w:w="851" w:type="dxa"/>
            <w:shd w:val="clear" w:color="auto" w:fill="467ABA"/>
          </w:tcPr>
          <w:p w14:paraId="3BE59B99"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EOP1</w:t>
            </w:r>
          </w:p>
        </w:tc>
        <w:tc>
          <w:tcPr>
            <w:tcW w:w="9923" w:type="dxa"/>
          </w:tcPr>
          <w:p w14:paraId="728F1AC4" w14:textId="77777777" w:rsidR="00CA53E8" w:rsidRPr="006C1F53" w:rsidRDefault="00CA53E8" w:rsidP="00CA53E8">
            <w:pPr>
              <w:pStyle w:val="Tabletext"/>
              <w:rPr>
                <w:noProof/>
                <w:sz w:val="22"/>
                <w:szCs w:val="22"/>
              </w:rPr>
            </w:pPr>
            <w:r w:rsidRPr="006C1F53">
              <w:rPr>
                <w:noProof/>
                <w:sz w:val="22"/>
                <w:szCs w:val="22"/>
              </w:rPr>
              <w:t xml:space="preserve">All </w:t>
            </w:r>
            <w:r w:rsidRPr="006C1F53">
              <w:rPr>
                <w:sz w:val="22"/>
                <w:szCs w:val="22"/>
              </w:rPr>
              <w:t>women</w:t>
            </w:r>
            <w:r w:rsidRPr="006C1F53">
              <w:rPr>
                <w:noProof/>
                <w:sz w:val="22"/>
                <w:szCs w:val="22"/>
              </w:rPr>
              <w:t xml:space="preserve"> should have an ABO / Rh D type and antibody screen performed </w:t>
            </w:r>
            <w:r>
              <w:rPr>
                <w:noProof/>
                <w:sz w:val="22"/>
                <w:szCs w:val="22"/>
              </w:rPr>
              <w:t>no later than 10 weeks gestation</w:t>
            </w:r>
            <w:r w:rsidRPr="006C1F53">
              <w:rPr>
                <w:noProof/>
                <w:sz w:val="22"/>
                <w:szCs w:val="22"/>
              </w:rPr>
              <w:t>. Rh D positive pregnant women do not require Rh D immunoglobulin.</w:t>
            </w:r>
            <w:r>
              <w:rPr>
                <w:noProof/>
                <w:sz w:val="22"/>
                <w:szCs w:val="22"/>
                <w:vertAlign w:val="superscript"/>
              </w:rPr>
              <w:t>*</w:t>
            </w:r>
          </w:p>
          <w:p w14:paraId="7702B767" w14:textId="77777777" w:rsidR="00CA53E8" w:rsidRPr="006C1F53" w:rsidRDefault="00CA53E8" w:rsidP="00CA53E8">
            <w:pPr>
              <w:pStyle w:val="Tabletext"/>
              <w:rPr>
                <w:noProof/>
                <w:szCs w:val="20"/>
              </w:rPr>
            </w:pPr>
            <w:r>
              <w:rPr>
                <w:noProof/>
                <w:szCs w:val="20"/>
                <w:vertAlign w:val="superscript"/>
              </w:rPr>
              <w:t>*</w:t>
            </w:r>
            <w:r w:rsidRPr="006C1F53">
              <w:rPr>
                <w:noProof/>
                <w:szCs w:val="20"/>
              </w:rPr>
              <w:t xml:space="preserve"> If the mother has a weak or variant Rh D type, consult a haematopathologist in regard to interpretation of results and management.</w:t>
            </w:r>
          </w:p>
        </w:tc>
      </w:tr>
      <w:tr w:rsidR="00CA53E8" w:rsidRPr="00C42583" w14:paraId="3A1FD1F4" w14:textId="77777777" w:rsidTr="00CA53E8">
        <w:trPr>
          <w:cantSplit/>
        </w:trPr>
        <w:tc>
          <w:tcPr>
            <w:tcW w:w="851" w:type="dxa"/>
            <w:shd w:val="clear" w:color="auto" w:fill="467ABA"/>
          </w:tcPr>
          <w:p w14:paraId="26CB378C"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EOP2</w:t>
            </w:r>
          </w:p>
        </w:tc>
        <w:tc>
          <w:tcPr>
            <w:tcW w:w="9923" w:type="dxa"/>
          </w:tcPr>
          <w:p w14:paraId="5D1EBC24" w14:textId="77777777" w:rsidR="00CA53E8" w:rsidRPr="00A34103" w:rsidRDefault="00CA53E8" w:rsidP="00CA53E8">
            <w:pPr>
              <w:pStyle w:val="Tabletext"/>
              <w:rPr>
                <w:iCs/>
                <w:noProof/>
                <w:sz w:val="22"/>
                <w:szCs w:val="22"/>
              </w:rPr>
            </w:pPr>
            <w:r w:rsidRPr="006C1F53">
              <w:rPr>
                <w:noProof/>
                <w:sz w:val="22"/>
                <w:szCs w:val="22"/>
              </w:rPr>
              <w:t>If antibody screening identifies anti-D in an Rh D negative pregnant woman, consideration of clinical history and laboratory findings is required to determine whether the anti-D is likely to be preformed (due to sensitisation) or passive (due to administration of Rh D immunoglobulin in the past 12 weeks).</w:t>
            </w:r>
            <w:r>
              <w:rPr>
                <w:noProof/>
                <w:sz w:val="22"/>
                <w:szCs w:val="22"/>
                <w:vertAlign w:val="superscript"/>
              </w:rPr>
              <w:t>*</w:t>
            </w:r>
            <w:r w:rsidRPr="006C1F53">
              <w:rPr>
                <w:rFonts w:eastAsiaTheme="minorHAnsi"/>
                <w:noProof/>
                <w:sz w:val="22"/>
                <w:szCs w:val="22"/>
              </w:rPr>
              <w:t xml:space="preserve"> In cases of likely preformed anti-D antibodies, seek specialist obstetric advice, manage as Rh D sensitised and consider NIPT for fetal </w:t>
            </w:r>
            <w:r w:rsidRPr="00A34103">
              <w:rPr>
                <w:rFonts w:eastAsiaTheme="minorHAnsi"/>
                <w:iCs/>
                <w:noProof/>
                <w:sz w:val="22"/>
                <w:szCs w:val="22"/>
              </w:rPr>
              <w:t xml:space="preserve">Rh D </w:t>
            </w:r>
            <w:r>
              <w:rPr>
                <w:rFonts w:eastAsiaTheme="minorHAnsi"/>
                <w:iCs/>
                <w:noProof/>
                <w:sz w:val="22"/>
                <w:szCs w:val="22"/>
              </w:rPr>
              <w:t>sta</w:t>
            </w:r>
            <w:r w:rsidRPr="00A34103">
              <w:rPr>
                <w:rFonts w:eastAsiaTheme="minorHAnsi"/>
                <w:iCs/>
                <w:noProof/>
                <w:sz w:val="22"/>
                <w:szCs w:val="22"/>
              </w:rPr>
              <w:t>tus.</w:t>
            </w:r>
          </w:p>
          <w:p w14:paraId="7F249973" w14:textId="77777777" w:rsidR="00CA53E8" w:rsidRPr="006C1F53" w:rsidRDefault="00CA53E8" w:rsidP="00CA53E8">
            <w:pPr>
              <w:pStyle w:val="Tabletext"/>
              <w:rPr>
                <w:noProof/>
                <w:szCs w:val="20"/>
              </w:rPr>
            </w:pPr>
            <w:r>
              <w:rPr>
                <w:rFonts w:cstheme="minorHAnsi"/>
                <w:noProof/>
                <w:szCs w:val="20"/>
                <w:vertAlign w:val="superscript"/>
              </w:rPr>
              <w:t>*</w:t>
            </w:r>
            <w:r w:rsidRPr="006C1F53">
              <w:rPr>
                <w:rFonts w:cstheme="minorHAnsi"/>
                <w:noProof/>
                <w:szCs w:val="20"/>
                <w:vertAlign w:val="superscript"/>
              </w:rPr>
              <w:t xml:space="preserve"> </w:t>
            </w:r>
            <w:r w:rsidRPr="006C1F53">
              <w:rPr>
                <w:rFonts w:cstheme="minorHAnsi"/>
                <w:noProof/>
                <w:szCs w:val="20"/>
              </w:rPr>
              <w:t xml:space="preserve">See </w:t>
            </w:r>
            <w:r w:rsidRPr="006C1F53">
              <w:rPr>
                <w:rFonts w:cstheme="minorHAnsi"/>
                <w:szCs w:val="20"/>
              </w:rPr>
              <w:t>EOP3</w:t>
            </w:r>
          </w:p>
        </w:tc>
      </w:tr>
      <w:tr w:rsidR="00CA53E8" w:rsidRPr="00C42583" w14:paraId="01D17B4B" w14:textId="77777777" w:rsidTr="00CA53E8">
        <w:trPr>
          <w:cantSplit/>
        </w:trPr>
        <w:tc>
          <w:tcPr>
            <w:tcW w:w="851" w:type="dxa"/>
            <w:shd w:val="clear" w:color="auto" w:fill="467ABA"/>
          </w:tcPr>
          <w:p w14:paraId="71C65D2C"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EOP3</w:t>
            </w:r>
          </w:p>
        </w:tc>
        <w:tc>
          <w:tcPr>
            <w:tcW w:w="9923" w:type="dxa"/>
          </w:tcPr>
          <w:p w14:paraId="61F15186" w14:textId="77777777" w:rsidR="00CA53E8" w:rsidRPr="006C1F53" w:rsidRDefault="00CA53E8" w:rsidP="00CA53E8">
            <w:pPr>
              <w:pStyle w:val="Tabletext"/>
              <w:rPr>
                <w:noProof/>
                <w:sz w:val="22"/>
                <w:szCs w:val="22"/>
              </w:rPr>
            </w:pPr>
            <w:r w:rsidRPr="006C1F53">
              <w:rPr>
                <w:noProof/>
                <w:sz w:val="22"/>
                <w:szCs w:val="22"/>
              </w:rPr>
              <w:t>Rh D immunoglobulin should not be given to Rh D negative pregnant women with preformed anti-D antibodies. However, if it is unclear whether the anti-D detected in the mother’s blood is preformed (due to sensitisation) or passive (due to administration of Rh D immunoglobulin in the past 12 weeks), the treating clinician should be consulted. If there is continuing doubt, Rh D immunoglobulin should be administered.</w:t>
            </w:r>
          </w:p>
        </w:tc>
      </w:tr>
      <w:tr w:rsidR="00CA53E8" w:rsidRPr="001F6EA1" w14:paraId="59A0FAF1" w14:textId="77777777" w:rsidTr="00CA53E8">
        <w:trPr>
          <w:cantSplit/>
        </w:trPr>
        <w:tc>
          <w:tcPr>
            <w:tcW w:w="10774" w:type="dxa"/>
            <w:gridSpan w:val="2"/>
            <w:shd w:val="clear" w:color="auto" w:fill="D2E4EE"/>
          </w:tcPr>
          <w:p w14:paraId="5C739827" w14:textId="77777777" w:rsidR="00CA53E8" w:rsidRPr="001F6EA1" w:rsidRDefault="00CA53E8" w:rsidP="00CA53E8">
            <w:pPr>
              <w:pStyle w:val="TableH1"/>
              <w:rPr>
                <w:b/>
                <w:bCs/>
                <w:noProof/>
                <w:color w:val="auto"/>
              </w:rPr>
            </w:pPr>
            <w:r w:rsidRPr="001F6EA1">
              <w:rPr>
                <w:b/>
                <w:bCs/>
                <w:noProof/>
                <w:color w:val="auto"/>
              </w:rPr>
              <w:t xml:space="preserve">Non-invasive prenatal testing for fetal </w:t>
            </w:r>
            <w:r w:rsidRPr="001F6EA1">
              <w:rPr>
                <w:b/>
                <w:bCs/>
                <w:i/>
                <w:noProof/>
                <w:color w:val="auto"/>
              </w:rPr>
              <w:t xml:space="preserve">RHD </w:t>
            </w:r>
            <w:r w:rsidRPr="001F6EA1">
              <w:rPr>
                <w:b/>
                <w:bCs/>
                <w:noProof/>
                <w:color w:val="auto"/>
              </w:rPr>
              <w:t>in all Rh D negative pregnant women</w:t>
            </w:r>
          </w:p>
        </w:tc>
      </w:tr>
      <w:tr w:rsidR="00CA53E8" w:rsidRPr="00C42583" w14:paraId="52640DB5" w14:textId="77777777" w:rsidTr="00CA53E8">
        <w:trPr>
          <w:cantSplit/>
        </w:trPr>
        <w:tc>
          <w:tcPr>
            <w:tcW w:w="851" w:type="dxa"/>
            <w:shd w:val="clear" w:color="auto" w:fill="648F90"/>
          </w:tcPr>
          <w:p w14:paraId="0FC7DA2D"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R9</w:t>
            </w:r>
          </w:p>
        </w:tc>
        <w:tc>
          <w:tcPr>
            <w:tcW w:w="9923" w:type="dxa"/>
          </w:tcPr>
          <w:p w14:paraId="0109B609" w14:textId="77777777" w:rsidR="00CA53E8" w:rsidRPr="008252DA" w:rsidRDefault="00CA53E8" w:rsidP="00CA53E8">
            <w:pPr>
              <w:pStyle w:val="Tabletext"/>
              <w:rPr>
                <w:noProof/>
                <w:sz w:val="21"/>
                <w:szCs w:val="21"/>
              </w:rPr>
            </w:pPr>
            <w:r w:rsidRPr="006C1F53">
              <w:rPr>
                <w:noProof/>
                <w:sz w:val="22"/>
                <w:szCs w:val="22"/>
              </w:rPr>
              <w:t xml:space="preserve">The ERG </w:t>
            </w:r>
            <w:r w:rsidRPr="006C1F53">
              <w:rPr>
                <w:rFonts w:asciiTheme="minorHAnsi" w:hAnsiTheme="minorHAnsi" w:cstheme="minorHAnsi"/>
                <w:b/>
                <w:bCs/>
                <w:noProof/>
                <w:sz w:val="22"/>
                <w:szCs w:val="22"/>
              </w:rPr>
              <w:t>recommends</w:t>
            </w:r>
            <w:r w:rsidRPr="006C1F53">
              <w:rPr>
                <w:noProof/>
                <w:sz w:val="22"/>
                <w:szCs w:val="22"/>
              </w:rPr>
              <w:t xml:space="preserve"> the testing of maternal blood to determine fetal </w:t>
            </w:r>
            <w:r w:rsidRPr="006C1F53">
              <w:rPr>
                <w:i/>
                <w:iCs/>
                <w:noProof/>
                <w:sz w:val="22"/>
                <w:szCs w:val="22"/>
              </w:rPr>
              <w:t>RHD</w:t>
            </w:r>
            <w:r w:rsidRPr="006C1F53">
              <w:rPr>
                <w:noProof/>
                <w:sz w:val="22"/>
                <w:szCs w:val="22"/>
              </w:rPr>
              <w:t xml:space="preserve"> genotype in all Rh D negative pregnant women to enable targeted antenatal Rh D immunoprophylaxis.</w:t>
            </w:r>
            <w:r>
              <w:rPr>
                <w:noProof/>
                <w:sz w:val="22"/>
                <w:szCs w:val="22"/>
                <w:vertAlign w:val="superscript"/>
              </w:rPr>
              <w:t>*</w:t>
            </w:r>
            <w:r w:rsidRPr="008252DA">
              <w:rPr>
                <w:noProof/>
                <w:sz w:val="21"/>
                <w:szCs w:val="21"/>
              </w:rPr>
              <w:br/>
            </w:r>
            <w:r w:rsidRPr="0035510A">
              <w:rPr>
                <w:noProof/>
                <w:szCs w:val="20"/>
              </w:rPr>
              <w:t>(</w:t>
            </w:r>
            <w:r w:rsidRPr="0035510A">
              <w:rPr>
                <w:rFonts w:asciiTheme="minorHAnsi" w:hAnsiTheme="minorHAnsi" w:cstheme="minorHAnsi"/>
                <w:i/>
                <w:iCs/>
                <w:noProof/>
                <w:szCs w:val="20"/>
              </w:rPr>
              <w:t>Strong recommendation, high certainty of evidence about the accuracy of the test</w:t>
            </w:r>
            <w:r w:rsidRPr="0035510A">
              <w:rPr>
                <w:noProof/>
                <w:szCs w:val="20"/>
              </w:rPr>
              <w:t>)</w:t>
            </w:r>
          </w:p>
          <w:p w14:paraId="6C9927E5" w14:textId="77777777" w:rsidR="00CA53E8" w:rsidRPr="0035510A" w:rsidRDefault="00CA53E8" w:rsidP="00CA53E8">
            <w:pPr>
              <w:pStyle w:val="Tabletext9pt"/>
              <w:ind w:left="96"/>
              <w:rPr>
                <w:noProof/>
                <w:sz w:val="20"/>
                <w:szCs w:val="20"/>
              </w:rPr>
            </w:pPr>
            <w:r>
              <w:rPr>
                <w:noProof/>
                <w:sz w:val="21"/>
                <w:szCs w:val="21"/>
                <w:vertAlign w:val="superscript"/>
              </w:rPr>
              <w:t>*</w:t>
            </w:r>
            <w:r w:rsidRPr="0035510A">
              <w:rPr>
                <w:noProof/>
                <w:sz w:val="20"/>
                <w:szCs w:val="20"/>
              </w:rPr>
              <w:t xml:space="preserve">The ERG’s recommendation on the use of NIPT for fetal </w:t>
            </w:r>
            <w:r w:rsidRPr="0035510A">
              <w:rPr>
                <w:i/>
                <w:noProof/>
                <w:sz w:val="20"/>
                <w:szCs w:val="20"/>
              </w:rPr>
              <w:t>RHD</w:t>
            </w:r>
            <w:r w:rsidRPr="0035510A">
              <w:rPr>
                <w:noProof/>
                <w:sz w:val="20"/>
                <w:szCs w:val="20"/>
              </w:rPr>
              <w:t xml:space="preserve"> is not a policy statement on funding and supply arrangements for the national provisions of NIPT for blood group genotyping to determine the Rh D status of the fetus.</w:t>
            </w:r>
          </w:p>
          <w:p w14:paraId="4A9C77F9" w14:textId="77777777" w:rsidR="00CA53E8" w:rsidRDefault="00CA53E8" w:rsidP="00CA53E8">
            <w:pPr>
              <w:pStyle w:val="Tabletext"/>
              <w:spacing w:before="120"/>
              <w:rPr>
                <w:rFonts w:eastAsia="Dotum" w:cstheme="minorHAnsi"/>
                <w:noProof/>
                <w:szCs w:val="20"/>
              </w:rPr>
            </w:pPr>
            <w:r w:rsidRPr="00BF4638">
              <w:rPr>
                <w:rFonts w:eastAsia="Dotum" w:cstheme="minorHAnsi"/>
                <w:noProof/>
                <w:szCs w:val="20"/>
              </w:rPr>
              <w:t xml:space="preserve">As of </w:t>
            </w:r>
            <w:r>
              <w:rPr>
                <w:rFonts w:eastAsia="Dotum" w:cstheme="minorHAnsi"/>
                <w:noProof/>
                <w:szCs w:val="20"/>
              </w:rPr>
              <w:t>February 2024</w:t>
            </w:r>
            <w:r w:rsidRPr="00BF4638">
              <w:rPr>
                <w:rFonts w:eastAsia="Dotum" w:cstheme="minorHAnsi"/>
                <w:noProof/>
                <w:szCs w:val="20"/>
              </w:rPr>
              <w:t>, NIPT for fetal RHD status is not widely available in Australia. Universal Rh D immunoprophylaxis should be maintained until NIPT is widely accessible.</w:t>
            </w:r>
          </w:p>
          <w:p w14:paraId="6FB37388" w14:textId="77777777" w:rsidR="00CA53E8" w:rsidRPr="00926446" w:rsidRDefault="00CA53E8" w:rsidP="00CA53E8">
            <w:pPr>
              <w:pStyle w:val="Tabletext"/>
              <w:spacing w:before="120"/>
              <w:rPr>
                <w:noProof/>
                <w:sz w:val="21"/>
                <w:szCs w:val="21"/>
              </w:rPr>
            </w:pPr>
            <w:r>
              <w:rPr>
                <w:rFonts w:eastAsia="Dotum" w:cstheme="minorHAnsi"/>
                <w:noProof/>
                <w:szCs w:val="20"/>
              </w:rPr>
              <w:t>Further details are provided on the NBA website</w:t>
            </w:r>
          </w:p>
        </w:tc>
      </w:tr>
      <w:tr w:rsidR="00CA53E8" w:rsidRPr="00C42583" w14:paraId="5A6B6DDA" w14:textId="77777777" w:rsidTr="00CA53E8">
        <w:trPr>
          <w:cantSplit/>
        </w:trPr>
        <w:tc>
          <w:tcPr>
            <w:tcW w:w="851" w:type="dxa"/>
            <w:shd w:val="clear" w:color="auto" w:fill="648F90"/>
          </w:tcPr>
          <w:p w14:paraId="636EC8C5"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R10</w:t>
            </w:r>
          </w:p>
        </w:tc>
        <w:tc>
          <w:tcPr>
            <w:tcW w:w="9923" w:type="dxa"/>
          </w:tcPr>
          <w:p w14:paraId="2C191C9D" w14:textId="77777777" w:rsidR="00CA53E8" w:rsidRPr="00926446" w:rsidRDefault="00CA53E8" w:rsidP="00CA53E8">
            <w:pPr>
              <w:pStyle w:val="Tabletext"/>
              <w:rPr>
                <w:noProof/>
                <w:sz w:val="21"/>
                <w:szCs w:val="21"/>
              </w:rPr>
            </w:pPr>
            <w:r w:rsidRPr="006C1F53">
              <w:rPr>
                <w:noProof/>
                <w:sz w:val="22"/>
                <w:szCs w:val="22"/>
              </w:rPr>
              <w:t xml:space="preserve">The ERG </w:t>
            </w:r>
            <w:r w:rsidRPr="006C1F53">
              <w:rPr>
                <w:rFonts w:asciiTheme="minorHAnsi" w:hAnsiTheme="minorHAnsi" w:cstheme="minorHAnsi"/>
                <w:b/>
                <w:bCs/>
                <w:noProof/>
                <w:sz w:val="22"/>
                <w:szCs w:val="22"/>
              </w:rPr>
              <w:t>recommends</w:t>
            </w:r>
            <w:r w:rsidRPr="006C1F53">
              <w:rPr>
                <w:noProof/>
                <w:sz w:val="22"/>
                <w:szCs w:val="22"/>
              </w:rPr>
              <w:t xml:space="preserve"> that test sensitivity be at least 99% in order to minimise </w:t>
            </w:r>
            <w:r w:rsidRPr="006C1F53">
              <w:rPr>
                <w:sz w:val="22"/>
                <w:szCs w:val="22"/>
              </w:rPr>
              <w:t xml:space="preserve">the number of Rh D positive </w:t>
            </w:r>
            <w:proofErr w:type="spellStart"/>
            <w:r w:rsidRPr="006C1F53">
              <w:rPr>
                <w:sz w:val="22"/>
                <w:szCs w:val="22"/>
              </w:rPr>
              <w:t>fetuses</w:t>
            </w:r>
            <w:proofErr w:type="spellEnd"/>
            <w:r w:rsidRPr="006C1F53">
              <w:rPr>
                <w:sz w:val="22"/>
                <w:szCs w:val="22"/>
              </w:rPr>
              <w:t xml:space="preserve"> being missed by the test.</w:t>
            </w:r>
            <w:r w:rsidRPr="008252DA">
              <w:rPr>
                <w:noProof/>
                <w:sz w:val="21"/>
                <w:szCs w:val="21"/>
              </w:rPr>
              <w:br/>
            </w:r>
            <w:r w:rsidRPr="0035510A">
              <w:rPr>
                <w:noProof/>
                <w:szCs w:val="20"/>
              </w:rPr>
              <w:t>(</w:t>
            </w:r>
            <w:r w:rsidRPr="0035510A">
              <w:rPr>
                <w:rFonts w:asciiTheme="minorHAnsi" w:hAnsiTheme="minorHAnsi" w:cstheme="minorHAnsi"/>
                <w:i/>
                <w:iCs/>
                <w:noProof/>
                <w:szCs w:val="20"/>
              </w:rPr>
              <w:t>Strong recommendation, high certainty of evidence about the accuracy of the test</w:t>
            </w:r>
            <w:r w:rsidRPr="0035510A">
              <w:rPr>
                <w:noProof/>
                <w:szCs w:val="20"/>
              </w:rPr>
              <w:t>)</w:t>
            </w:r>
          </w:p>
        </w:tc>
      </w:tr>
      <w:tr w:rsidR="00CA53E8" w:rsidRPr="00C42583" w14:paraId="678C4807" w14:textId="77777777" w:rsidTr="00CA53E8">
        <w:trPr>
          <w:cantSplit/>
        </w:trPr>
        <w:tc>
          <w:tcPr>
            <w:tcW w:w="851" w:type="dxa"/>
            <w:shd w:val="clear" w:color="auto" w:fill="648F90"/>
          </w:tcPr>
          <w:p w14:paraId="66623496"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R11</w:t>
            </w:r>
          </w:p>
        </w:tc>
        <w:tc>
          <w:tcPr>
            <w:tcW w:w="9923" w:type="dxa"/>
          </w:tcPr>
          <w:p w14:paraId="60884A03" w14:textId="77777777" w:rsidR="00CA53E8" w:rsidRPr="00926446" w:rsidRDefault="00CA53E8" w:rsidP="00CA53E8">
            <w:pPr>
              <w:pStyle w:val="Tabletext"/>
              <w:rPr>
                <w:color w:val="FFFFFF"/>
                <w:sz w:val="21"/>
                <w:szCs w:val="21"/>
              </w:rPr>
            </w:pPr>
            <w:r w:rsidRPr="006C1F53">
              <w:rPr>
                <w:sz w:val="22"/>
                <w:szCs w:val="22"/>
              </w:rPr>
              <w:t xml:space="preserve">The ERG </w:t>
            </w:r>
            <w:r w:rsidRPr="006C1F53">
              <w:rPr>
                <w:rFonts w:asciiTheme="minorHAnsi" w:hAnsiTheme="minorHAnsi" w:cstheme="minorHAnsi"/>
                <w:b/>
                <w:bCs/>
                <w:sz w:val="22"/>
                <w:szCs w:val="22"/>
              </w:rPr>
              <w:t>recommends</w:t>
            </w:r>
            <w:r w:rsidRPr="006C1F53">
              <w:rPr>
                <w:sz w:val="22"/>
                <w:szCs w:val="22"/>
              </w:rPr>
              <w:t xml:space="preserve"> NIPT for fetal </w:t>
            </w:r>
            <w:r w:rsidRPr="006C1F53">
              <w:rPr>
                <w:i/>
                <w:iCs/>
                <w:sz w:val="22"/>
                <w:szCs w:val="22"/>
              </w:rPr>
              <w:t>RHD</w:t>
            </w:r>
            <w:r w:rsidRPr="006C1F53">
              <w:rPr>
                <w:sz w:val="22"/>
                <w:szCs w:val="22"/>
              </w:rPr>
              <w:t xml:space="preserve"> from 11</w:t>
            </w:r>
            <w:r w:rsidRPr="006C1F53">
              <w:rPr>
                <w:sz w:val="22"/>
                <w:szCs w:val="22"/>
                <w:vertAlign w:val="superscript"/>
              </w:rPr>
              <w:t>+0</w:t>
            </w:r>
            <w:r w:rsidRPr="006C1F53">
              <w:rPr>
                <w:sz w:val="22"/>
                <w:szCs w:val="22"/>
              </w:rPr>
              <w:t xml:space="preserve"> weeks of pregnancy because of higher test accuracy than at earlier weeks.</w:t>
            </w:r>
            <w:r w:rsidRPr="008252DA">
              <w:rPr>
                <w:sz w:val="21"/>
                <w:szCs w:val="21"/>
              </w:rPr>
              <w:br/>
            </w:r>
            <w:r w:rsidRPr="0035510A">
              <w:rPr>
                <w:szCs w:val="20"/>
              </w:rPr>
              <w:t>(</w:t>
            </w:r>
            <w:r w:rsidRPr="0035510A">
              <w:rPr>
                <w:rFonts w:asciiTheme="minorHAnsi" w:hAnsiTheme="minorHAnsi" w:cstheme="minorHAnsi"/>
                <w:i/>
                <w:iCs/>
                <w:szCs w:val="20"/>
              </w:rPr>
              <w:t>Strong recommendation, high certainty of evidence about the accuracy of the test</w:t>
            </w:r>
            <w:r w:rsidRPr="0035510A">
              <w:rPr>
                <w:szCs w:val="20"/>
              </w:rPr>
              <w:t>)</w:t>
            </w:r>
          </w:p>
        </w:tc>
      </w:tr>
      <w:tr w:rsidR="00CA53E8" w:rsidRPr="001F6EA1" w14:paraId="1941AD1E" w14:textId="77777777" w:rsidTr="00CA53E8">
        <w:trPr>
          <w:cantSplit/>
        </w:trPr>
        <w:tc>
          <w:tcPr>
            <w:tcW w:w="10774" w:type="dxa"/>
            <w:gridSpan w:val="2"/>
            <w:shd w:val="clear" w:color="auto" w:fill="D2E4EE"/>
          </w:tcPr>
          <w:p w14:paraId="0BB426D0" w14:textId="77777777" w:rsidR="00CA53E8" w:rsidRPr="001F6EA1" w:rsidRDefault="00CA53E8" w:rsidP="00CA53E8">
            <w:pPr>
              <w:pStyle w:val="TableH1"/>
              <w:rPr>
                <w:b/>
                <w:bCs/>
                <w:noProof/>
                <w:color w:val="auto"/>
              </w:rPr>
            </w:pPr>
            <w:r w:rsidRPr="001F6EA1">
              <w:rPr>
                <w:b/>
                <w:bCs/>
                <w:noProof/>
                <w:color w:val="auto"/>
              </w:rPr>
              <w:t>Targeted immunoprophylaxis in Rh D negative pregnant women</w:t>
            </w:r>
          </w:p>
        </w:tc>
      </w:tr>
      <w:tr w:rsidR="00CA53E8" w:rsidRPr="00C42583" w14:paraId="1AC92227" w14:textId="77777777" w:rsidTr="00CA53E8">
        <w:trPr>
          <w:cantSplit/>
        </w:trPr>
        <w:tc>
          <w:tcPr>
            <w:tcW w:w="851" w:type="dxa"/>
            <w:shd w:val="clear" w:color="auto" w:fill="648F90"/>
          </w:tcPr>
          <w:p w14:paraId="079B0A2E"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R6</w:t>
            </w:r>
          </w:p>
        </w:tc>
        <w:tc>
          <w:tcPr>
            <w:tcW w:w="9923" w:type="dxa"/>
          </w:tcPr>
          <w:p w14:paraId="4872713B" w14:textId="4C4F8F60" w:rsidR="00CA53E8" w:rsidRPr="00CA53E8" w:rsidRDefault="00CA53E8" w:rsidP="00CA53E8">
            <w:pPr>
              <w:pStyle w:val="Tabletext"/>
              <w:rPr>
                <w:sz w:val="22"/>
                <w:szCs w:val="22"/>
              </w:rPr>
            </w:pPr>
            <w:r w:rsidRPr="006C1F53">
              <w:rPr>
                <w:noProof/>
                <w:sz w:val="22"/>
                <w:szCs w:val="22"/>
              </w:rPr>
              <w:t xml:space="preserve">The ERG </w:t>
            </w:r>
            <w:r w:rsidRPr="006C1F53">
              <w:rPr>
                <w:rStyle w:val="Strong"/>
                <w:sz w:val="22"/>
                <w:szCs w:val="22"/>
              </w:rPr>
              <w:t xml:space="preserve">recommends </w:t>
            </w:r>
            <w:r w:rsidRPr="006C1F53">
              <w:rPr>
                <w:noProof/>
                <w:sz w:val="22"/>
                <w:szCs w:val="22"/>
              </w:rPr>
              <w:t xml:space="preserve">that antenatal Rh D immunoprophylaxis in Rh D negative pregnant women with no preformed anti-D antibodies be targeted to those predicted to be carrying an Rh D positive fetus, based on </w:t>
            </w:r>
            <w:r w:rsidRPr="006C1F53">
              <w:rPr>
                <w:sz w:val="22"/>
                <w:szCs w:val="22"/>
              </w:rPr>
              <w:t xml:space="preserve">NIPT for fetal </w:t>
            </w:r>
            <w:r w:rsidRPr="006C1F53">
              <w:rPr>
                <w:i/>
                <w:iCs/>
                <w:sz w:val="22"/>
                <w:szCs w:val="22"/>
              </w:rPr>
              <w:t>RHD</w:t>
            </w:r>
            <w:r w:rsidRPr="006C1F53">
              <w:rPr>
                <w:sz w:val="22"/>
                <w:szCs w:val="22"/>
              </w:rPr>
              <w:t xml:space="preserve">. This applies to both routine and sensitising event immunoprophylaxis, if the result of fetal </w:t>
            </w:r>
            <w:r w:rsidRPr="006C1F53">
              <w:rPr>
                <w:i/>
                <w:sz w:val="22"/>
                <w:szCs w:val="22"/>
              </w:rPr>
              <w:t xml:space="preserve">RHD </w:t>
            </w:r>
            <w:r w:rsidRPr="006C1F53">
              <w:rPr>
                <w:sz w:val="22"/>
                <w:szCs w:val="22"/>
              </w:rPr>
              <w:t>genotyping is available.</w:t>
            </w:r>
            <w:r>
              <w:rPr>
                <w:noProof/>
                <w:sz w:val="22"/>
                <w:szCs w:val="22"/>
                <w:vertAlign w:val="superscript"/>
              </w:rPr>
              <w:t>*</w:t>
            </w:r>
            <w:r w:rsidRPr="00932177">
              <w:rPr>
                <w:noProof/>
                <w:sz w:val="21"/>
                <w:szCs w:val="21"/>
              </w:rPr>
              <w:br/>
            </w:r>
            <w:r w:rsidRPr="00ED4301">
              <w:rPr>
                <w:noProof/>
                <w:szCs w:val="20"/>
              </w:rPr>
              <w:t>(</w:t>
            </w:r>
            <w:r w:rsidRPr="00ED4301">
              <w:rPr>
                <w:rFonts w:asciiTheme="minorHAnsi" w:hAnsiTheme="minorHAnsi" w:cstheme="minorHAnsi"/>
                <w:i/>
                <w:iCs/>
                <w:noProof/>
                <w:szCs w:val="20"/>
              </w:rPr>
              <w:t>Strong recommendation, low certainty of evidence about the size of effect</w:t>
            </w:r>
            <w:r w:rsidRPr="00ED4301">
              <w:rPr>
                <w:noProof/>
                <w:szCs w:val="20"/>
              </w:rPr>
              <w:t>)</w:t>
            </w:r>
          </w:p>
          <w:p w14:paraId="591BCE60" w14:textId="77777777" w:rsidR="00CA53E8" w:rsidRPr="009D755B" w:rsidRDefault="00CA53E8" w:rsidP="00CA53E8">
            <w:pPr>
              <w:pStyle w:val="Tabletext"/>
              <w:rPr>
                <w:rFonts w:asciiTheme="minorHAnsi" w:hAnsiTheme="minorHAnsi" w:cstheme="minorHAnsi"/>
                <w:bCs/>
                <w:noProof/>
                <w:szCs w:val="20"/>
              </w:rPr>
            </w:pPr>
            <w:r>
              <w:rPr>
                <w:noProof/>
                <w:szCs w:val="20"/>
                <w:vertAlign w:val="superscript"/>
              </w:rPr>
              <w:t>*</w:t>
            </w:r>
            <w:r w:rsidRPr="009D755B">
              <w:rPr>
                <w:noProof/>
                <w:szCs w:val="20"/>
                <w:vertAlign w:val="superscript"/>
              </w:rPr>
              <w:t xml:space="preserve"> </w:t>
            </w:r>
            <w:r w:rsidRPr="009D755B">
              <w:rPr>
                <w:noProof/>
                <w:szCs w:val="20"/>
              </w:rPr>
              <w:t xml:space="preserve">See </w:t>
            </w:r>
            <w:r w:rsidRPr="009D755B">
              <w:rPr>
                <w:szCs w:val="20"/>
              </w:rPr>
              <w:t>EOP3</w:t>
            </w:r>
            <w:r w:rsidRPr="009D755B">
              <w:rPr>
                <w:noProof/>
                <w:szCs w:val="20"/>
              </w:rPr>
              <w:t xml:space="preserve"> and EOP</w:t>
            </w:r>
            <w:r>
              <w:rPr>
                <w:noProof/>
                <w:szCs w:val="20"/>
              </w:rPr>
              <w:t>8</w:t>
            </w:r>
          </w:p>
        </w:tc>
      </w:tr>
      <w:tr w:rsidR="00CA53E8" w:rsidRPr="00C42583" w14:paraId="14D1851E" w14:textId="77777777" w:rsidTr="00CA53E8">
        <w:trPr>
          <w:cantSplit/>
          <w:trHeight w:val="808"/>
        </w:trPr>
        <w:tc>
          <w:tcPr>
            <w:tcW w:w="851" w:type="dxa"/>
            <w:shd w:val="clear" w:color="auto" w:fill="648F90"/>
          </w:tcPr>
          <w:p w14:paraId="312FED83" w14:textId="77777777" w:rsidR="00CA53E8" w:rsidRPr="00926446" w:rsidRDefault="00CA53E8" w:rsidP="00CA53E8">
            <w:pPr>
              <w:pStyle w:val="TableH1"/>
              <w:keepLines/>
              <w:rPr>
                <w:b/>
                <w:bCs/>
                <w:noProof/>
                <w:color w:val="FFFFFF" w:themeColor="background1"/>
              </w:rPr>
            </w:pPr>
            <w:r w:rsidRPr="001F6EA1">
              <w:rPr>
                <w:b/>
                <w:bCs/>
                <w:noProof/>
                <w:color w:val="FFFFFF" w:themeColor="background1"/>
                <w:sz w:val="24"/>
                <w:szCs w:val="24"/>
              </w:rPr>
              <w:t>R7</w:t>
            </w:r>
          </w:p>
        </w:tc>
        <w:tc>
          <w:tcPr>
            <w:tcW w:w="9923" w:type="dxa"/>
          </w:tcPr>
          <w:p w14:paraId="1AF71AF2" w14:textId="70242789" w:rsidR="00CA53E8" w:rsidRPr="00926446" w:rsidRDefault="00CA53E8" w:rsidP="00CA53E8">
            <w:pPr>
              <w:pStyle w:val="Tabletext"/>
              <w:rPr>
                <w:rFonts w:asciiTheme="minorHAnsi" w:hAnsiTheme="minorHAnsi" w:cstheme="minorHAnsi"/>
                <w:bCs/>
                <w:noProof/>
                <w:sz w:val="21"/>
                <w:szCs w:val="21"/>
              </w:rPr>
            </w:pPr>
            <w:r w:rsidRPr="006C1F53">
              <w:rPr>
                <w:noProof/>
                <w:sz w:val="22"/>
                <w:szCs w:val="22"/>
              </w:rPr>
              <w:t xml:space="preserve">If fetal </w:t>
            </w:r>
            <w:r w:rsidRPr="006C1F53">
              <w:rPr>
                <w:rFonts w:asciiTheme="minorHAnsi" w:hAnsiTheme="minorHAnsi" w:cstheme="minorHAnsi"/>
                <w:iCs/>
                <w:noProof/>
                <w:sz w:val="22"/>
                <w:szCs w:val="22"/>
              </w:rPr>
              <w:t>Rh D</w:t>
            </w:r>
            <w:r w:rsidRPr="006C1F53">
              <w:rPr>
                <w:noProof/>
                <w:sz w:val="22"/>
                <w:szCs w:val="22"/>
              </w:rPr>
              <w:t xml:space="preserve"> status is not available or is uncertain, the ERG </w:t>
            </w:r>
            <w:r w:rsidRPr="006C1F53">
              <w:rPr>
                <w:rFonts w:asciiTheme="minorHAnsi" w:hAnsiTheme="minorHAnsi" w:cstheme="minorHAnsi"/>
                <w:b/>
                <w:noProof/>
                <w:sz w:val="22"/>
                <w:szCs w:val="22"/>
              </w:rPr>
              <w:t>recommends</w:t>
            </w:r>
            <w:r w:rsidRPr="006C1F53">
              <w:rPr>
                <w:rFonts w:asciiTheme="minorHAnsi" w:hAnsiTheme="minorHAnsi" w:cstheme="minorHAnsi"/>
                <w:bCs/>
                <w:noProof/>
                <w:sz w:val="22"/>
                <w:szCs w:val="22"/>
              </w:rPr>
              <w:t xml:space="preserve"> that </w:t>
            </w:r>
            <w:r w:rsidRPr="006C1F53">
              <w:rPr>
                <w:noProof/>
                <w:sz w:val="22"/>
                <w:szCs w:val="22"/>
              </w:rPr>
              <w:t xml:space="preserve">antenatal Rh D immunoprophylaxis be offered to Rh D negative pregnant women with no preformed anti-D antibodies. </w:t>
            </w:r>
            <w:r w:rsidRPr="00932177">
              <w:rPr>
                <w:noProof/>
                <w:sz w:val="21"/>
                <w:szCs w:val="21"/>
              </w:rPr>
              <w:br/>
            </w:r>
            <w:r w:rsidRPr="00ED4301">
              <w:rPr>
                <w:noProof/>
                <w:szCs w:val="20"/>
              </w:rPr>
              <w:t>(</w:t>
            </w:r>
            <w:r w:rsidRPr="00ED4301">
              <w:rPr>
                <w:rFonts w:asciiTheme="minorHAnsi" w:hAnsiTheme="minorHAnsi" w:cstheme="minorHAnsi"/>
                <w:i/>
                <w:iCs/>
                <w:noProof/>
                <w:szCs w:val="20"/>
              </w:rPr>
              <w:t>Strong recommendation, low certainty of evidence about the size of effect</w:t>
            </w:r>
            <w:r w:rsidRPr="00ED4301">
              <w:rPr>
                <w:noProof/>
                <w:szCs w:val="20"/>
              </w:rPr>
              <w:t xml:space="preserve">) </w:t>
            </w:r>
          </w:p>
        </w:tc>
      </w:tr>
      <w:tr w:rsidR="00CA53E8" w:rsidRPr="001F6EA1" w14:paraId="40702BEF" w14:textId="77777777" w:rsidTr="00CA53E8">
        <w:trPr>
          <w:cantSplit/>
        </w:trPr>
        <w:tc>
          <w:tcPr>
            <w:tcW w:w="10774" w:type="dxa"/>
            <w:gridSpan w:val="2"/>
            <w:shd w:val="clear" w:color="auto" w:fill="D2E4EE"/>
          </w:tcPr>
          <w:p w14:paraId="44EC8326" w14:textId="77777777" w:rsidR="00CA53E8" w:rsidRPr="001F6EA1" w:rsidRDefault="00CA53E8" w:rsidP="00CA53E8">
            <w:pPr>
              <w:pStyle w:val="TableH1"/>
              <w:rPr>
                <w:b/>
                <w:bCs/>
                <w:noProof/>
                <w:color w:val="auto"/>
              </w:rPr>
            </w:pPr>
            <w:bookmarkStart w:id="3" w:name="_Hlk113532085"/>
            <w:r w:rsidRPr="001F6EA1">
              <w:rPr>
                <w:b/>
                <w:bCs/>
                <w:noProof/>
                <w:color w:val="auto"/>
              </w:rPr>
              <w:t>Routine antenatal immunoprophylaxis in Rh D negative pregnant women</w:t>
            </w:r>
          </w:p>
        </w:tc>
      </w:tr>
      <w:bookmarkEnd w:id="3"/>
      <w:tr w:rsidR="00CA53E8" w:rsidRPr="00C42583" w14:paraId="2ED94C29" w14:textId="77777777" w:rsidTr="00CA53E8">
        <w:trPr>
          <w:cantSplit/>
        </w:trPr>
        <w:tc>
          <w:tcPr>
            <w:tcW w:w="851" w:type="dxa"/>
            <w:shd w:val="clear" w:color="auto" w:fill="648F90"/>
          </w:tcPr>
          <w:p w14:paraId="2A525594" w14:textId="77777777" w:rsidR="00CA53E8" w:rsidRPr="001F6EA1" w:rsidRDefault="00CA53E8" w:rsidP="00CA53E8">
            <w:pPr>
              <w:pStyle w:val="TableH1"/>
              <w:keepLines/>
              <w:rPr>
                <w:b/>
                <w:bCs/>
                <w:noProof/>
                <w:color w:val="FFFFFF" w:themeColor="background1"/>
                <w:sz w:val="24"/>
                <w:szCs w:val="24"/>
              </w:rPr>
            </w:pPr>
            <w:r w:rsidRPr="001F6EA1">
              <w:rPr>
                <w:b/>
                <w:bCs/>
                <w:noProof/>
                <w:color w:val="FFFFFF" w:themeColor="background1"/>
                <w:sz w:val="24"/>
                <w:szCs w:val="24"/>
              </w:rPr>
              <w:t>R1</w:t>
            </w:r>
          </w:p>
        </w:tc>
        <w:tc>
          <w:tcPr>
            <w:tcW w:w="9923" w:type="dxa"/>
          </w:tcPr>
          <w:p w14:paraId="33A9DBDE" w14:textId="4766C2E4" w:rsidR="00CA53E8" w:rsidRPr="00671FB3" w:rsidRDefault="00CA53E8" w:rsidP="00CA53E8">
            <w:pPr>
              <w:pStyle w:val="Tabletext"/>
              <w:rPr>
                <w:noProof/>
                <w:szCs w:val="21"/>
              </w:rPr>
            </w:pPr>
            <w:r w:rsidRPr="006C1F53">
              <w:rPr>
                <w:noProof/>
                <w:sz w:val="22"/>
                <w:szCs w:val="22"/>
              </w:rPr>
              <w:t>The ERG</w:t>
            </w:r>
            <w:r w:rsidRPr="006C1F53">
              <w:rPr>
                <w:bCs/>
                <w:noProof/>
                <w:sz w:val="22"/>
                <w:szCs w:val="22"/>
              </w:rPr>
              <w:t xml:space="preserve"> </w:t>
            </w:r>
            <w:r w:rsidRPr="006C1F53">
              <w:rPr>
                <w:rStyle w:val="Strong"/>
                <w:sz w:val="22"/>
                <w:szCs w:val="22"/>
              </w:rPr>
              <w:t>recommend</w:t>
            </w:r>
            <w:r w:rsidRPr="006C1F53">
              <w:rPr>
                <w:b/>
                <w:noProof/>
                <w:sz w:val="22"/>
                <w:szCs w:val="22"/>
              </w:rPr>
              <w:t>s</w:t>
            </w:r>
            <w:r w:rsidRPr="006C1F53">
              <w:rPr>
                <w:noProof/>
                <w:sz w:val="22"/>
                <w:szCs w:val="22"/>
              </w:rPr>
              <w:t xml:space="preserve"> access to antenatal Rh D immunoglobulin for the prevention of Rh D</w:t>
            </w:r>
            <w:r>
              <w:rPr>
                <w:noProof/>
                <w:sz w:val="22"/>
                <w:szCs w:val="22"/>
              </w:rPr>
              <w:t xml:space="preserve"> </w:t>
            </w:r>
            <w:r w:rsidRPr="006C1F53">
              <w:rPr>
                <w:noProof/>
                <w:sz w:val="22"/>
                <w:szCs w:val="22"/>
              </w:rPr>
              <w:t>alloimmunisation in Rh D negative pregnant women with no preformed anti-D antibodies.</w:t>
            </w:r>
            <w:r>
              <w:rPr>
                <w:noProof/>
                <w:sz w:val="22"/>
                <w:szCs w:val="22"/>
                <w:vertAlign w:val="superscript"/>
              </w:rPr>
              <w:t>*</w:t>
            </w:r>
            <w:r w:rsidRPr="00671FB3">
              <w:rPr>
                <w:noProof/>
                <w:szCs w:val="21"/>
              </w:rPr>
              <w:br/>
            </w:r>
            <w:r w:rsidRPr="008606A5">
              <w:rPr>
                <w:noProof/>
                <w:szCs w:val="21"/>
              </w:rPr>
              <w:t>(</w:t>
            </w:r>
            <w:r w:rsidRPr="008606A5">
              <w:rPr>
                <w:rFonts w:asciiTheme="minorHAnsi" w:hAnsiTheme="minorHAnsi" w:cstheme="minorHAnsi"/>
                <w:i/>
                <w:iCs/>
                <w:noProof/>
                <w:szCs w:val="21"/>
              </w:rPr>
              <w:t>Strong recommendation, low to very low certainty of evidence about the size of effect</w:t>
            </w:r>
            <w:r w:rsidRPr="008606A5">
              <w:rPr>
                <w:noProof/>
                <w:szCs w:val="21"/>
              </w:rPr>
              <w:t>)</w:t>
            </w:r>
          </w:p>
          <w:p w14:paraId="1664A9F8" w14:textId="58AE7DC1" w:rsidR="00CA53E8" w:rsidRPr="00AF5A44" w:rsidRDefault="00CA53E8" w:rsidP="00CA53E8">
            <w:pPr>
              <w:pStyle w:val="Tabletext"/>
              <w:rPr>
                <w:noProof/>
              </w:rPr>
            </w:pPr>
            <w:r>
              <w:rPr>
                <w:noProof/>
                <w:vertAlign w:val="superscript"/>
              </w:rPr>
              <w:t>*</w:t>
            </w:r>
            <w:r w:rsidRPr="00C42583">
              <w:rPr>
                <w:noProof/>
                <w:vertAlign w:val="superscript"/>
              </w:rPr>
              <w:t xml:space="preserve"> </w:t>
            </w:r>
            <w:r w:rsidRPr="00C42583">
              <w:t>See</w:t>
            </w:r>
            <w:r w:rsidRPr="00C42583">
              <w:rPr>
                <w:noProof/>
              </w:rPr>
              <w:t xml:space="preserve"> R6</w:t>
            </w:r>
          </w:p>
        </w:tc>
      </w:tr>
    </w:tbl>
    <w:p w14:paraId="11039926" w14:textId="77777777" w:rsidR="00CA53E8" w:rsidRPr="00B353A5" w:rsidRDefault="00CA53E8" w:rsidP="00A34103">
      <w:pPr>
        <w:spacing w:after="0"/>
        <w:rPr>
          <w:sz w:val="18"/>
          <w:szCs w:val="18"/>
        </w:rPr>
      </w:pPr>
    </w:p>
    <w:tbl>
      <w:tblPr>
        <w:tblStyle w:val="HTAtableplain1"/>
        <w:tblpPr w:leftFromText="180" w:rightFromText="180" w:vertAnchor="page" w:horzAnchor="margin" w:tblpY="1171"/>
        <w:tblW w:w="5150" w:type="pct"/>
        <w:tblLayout w:type="fixed"/>
        <w:tblCellMar>
          <w:left w:w="28" w:type="dxa"/>
          <w:right w:w="28" w:type="dxa"/>
        </w:tblCellMar>
        <w:tblLook w:val="04A0" w:firstRow="1" w:lastRow="0" w:firstColumn="1" w:lastColumn="0" w:noHBand="0" w:noVBand="1"/>
      </w:tblPr>
      <w:tblGrid>
        <w:gridCol w:w="851"/>
        <w:gridCol w:w="9923"/>
      </w:tblGrid>
      <w:tr w:rsidR="00CA53E8" w:rsidRPr="00145576" w14:paraId="00BE115C" w14:textId="77777777" w:rsidTr="00CA53E8">
        <w:trPr>
          <w:cnfStyle w:val="100000000000" w:firstRow="1" w:lastRow="0" w:firstColumn="0" w:lastColumn="0" w:oddVBand="0" w:evenVBand="0" w:oddHBand="0" w:evenHBand="0" w:firstRowFirstColumn="0" w:firstRowLastColumn="0" w:lastRowFirstColumn="0" w:lastRowLastColumn="0"/>
          <w:cantSplit/>
          <w:tblHeader/>
        </w:trPr>
        <w:tc>
          <w:tcPr>
            <w:tcW w:w="10774" w:type="dxa"/>
            <w:gridSpan w:val="2"/>
          </w:tcPr>
          <w:p w14:paraId="5B26F627" w14:textId="77777777" w:rsidR="00CA53E8" w:rsidRPr="00145576" w:rsidRDefault="00CA53E8" w:rsidP="00CA53E8">
            <w:pPr>
              <w:pStyle w:val="Tabletext"/>
              <w:ind w:left="0"/>
              <w:rPr>
                <w:noProof/>
                <w:sz w:val="26"/>
                <w:szCs w:val="26"/>
              </w:rPr>
            </w:pPr>
            <w:r w:rsidRPr="00145576">
              <w:rPr>
                <w:noProof/>
                <w:sz w:val="26"/>
                <w:szCs w:val="26"/>
              </w:rPr>
              <w:lastRenderedPageBreak/>
              <w:t>Recommendations and expert opionion points</w:t>
            </w:r>
            <w:r>
              <w:rPr>
                <w:noProof/>
                <w:sz w:val="26"/>
                <w:szCs w:val="26"/>
              </w:rPr>
              <w:t xml:space="preserve"> continued</w:t>
            </w:r>
          </w:p>
        </w:tc>
      </w:tr>
      <w:tr w:rsidR="00CA53E8" w:rsidRPr="00145576" w14:paraId="79520A79" w14:textId="77777777" w:rsidTr="00CA53E8">
        <w:trPr>
          <w:cantSplit/>
        </w:trPr>
        <w:tc>
          <w:tcPr>
            <w:tcW w:w="10774" w:type="dxa"/>
            <w:gridSpan w:val="2"/>
            <w:shd w:val="clear" w:color="auto" w:fill="D2E4EE"/>
          </w:tcPr>
          <w:p w14:paraId="16ACAC13" w14:textId="77777777" w:rsidR="00CA53E8" w:rsidRPr="00145576" w:rsidRDefault="00CA53E8" w:rsidP="00CA53E8">
            <w:pPr>
              <w:pStyle w:val="TableH1"/>
              <w:rPr>
                <w:b/>
                <w:bCs/>
                <w:noProof/>
                <w:color w:val="auto"/>
              </w:rPr>
            </w:pPr>
            <w:r w:rsidRPr="00145576">
              <w:rPr>
                <w:b/>
                <w:bCs/>
                <w:noProof/>
                <w:color w:val="auto"/>
              </w:rPr>
              <w:t>Routine dosage regimens in Rh D negative pregnant women</w:t>
            </w:r>
          </w:p>
        </w:tc>
      </w:tr>
      <w:tr w:rsidR="00CA53E8" w:rsidRPr="00C42583" w14:paraId="65A98F6D" w14:textId="77777777" w:rsidTr="00CA53E8">
        <w:trPr>
          <w:cantSplit/>
          <w:trHeight w:val="2987"/>
        </w:trPr>
        <w:tc>
          <w:tcPr>
            <w:tcW w:w="851" w:type="dxa"/>
            <w:shd w:val="clear" w:color="auto" w:fill="F7DC6F"/>
          </w:tcPr>
          <w:p w14:paraId="5B68CACA"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R2</w:t>
            </w:r>
          </w:p>
        </w:tc>
        <w:tc>
          <w:tcPr>
            <w:tcW w:w="9923" w:type="dxa"/>
          </w:tcPr>
          <w:p w14:paraId="5E388F28" w14:textId="3FB3F849" w:rsidR="00CA53E8" w:rsidRPr="00671FB3" w:rsidRDefault="00CA53E8" w:rsidP="00CA53E8">
            <w:pPr>
              <w:pStyle w:val="Tabletext"/>
              <w:rPr>
                <w:noProof/>
                <w:szCs w:val="21"/>
              </w:rPr>
            </w:pPr>
            <w:r w:rsidRPr="006C1F53">
              <w:rPr>
                <w:noProof/>
                <w:sz w:val="22"/>
                <w:szCs w:val="22"/>
              </w:rPr>
              <w:t xml:space="preserve">The ERG </w:t>
            </w:r>
            <w:r w:rsidRPr="006C1F53">
              <w:rPr>
                <w:rStyle w:val="Strong"/>
                <w:sz w:val="22"/>
                <w:szCs w:val="22"/>
              </w:rPr>
              <w:t xml:space="preserve">recommends </w:t>
            </w:r>
            <w:r w:rsidRPr="006C1F53">
              <w:rPr>
                <w:noProof/>
                <w:sz w:val="22"/>
                <w:szCs w:val="22"/>
              </w:rPr>
              <w:t>that administration of Rh D immunoglobulin 625 IU at 28 and 34 weeks of pregnancy</w:t>
            </w:r>
            <w:r>
              <w:rPr>
                <w:noProof/>
                <w:sz w:val="22"/>
                <w:szCs w:val="22"/>
                <w:vertAlign w:val="superscript"/>
              </w:rPr>
              <w:t>*</w:t>
            </w:r>
            <w:r w:rsidRPr="006C1F53">
              <w:rPr>
                <w:noProof/>
                <w:sz w:val="22"/>
                <w:szCs w:val="22"/>
              </w:rPr>
              <w:t xml:space="preserve"> continue in Rh D negative pregnant women with no preformed anti-D antibodies unless NIPT for fetal </w:t>
            </w:r>
            <w:r w:rsidRPr="006C1F53">
              <w:rPr>
                <w:i/>
                <w:noProof/>
                <w:sz w:val="22"/>
                <w:szCs w:val="22"/>
              </w:rPr>
              <w:t>RHD</w:t>
            </w:r>
            <w:r>
              <w:rPr>
                <w:noProof/>
                <w:sz w:val="22"/>
                <w:szCs w:val="22"/>
                <w:vertAlign w:val="superscript"/>
              </w:rPr>
              <w:t>^</w:t>
            </w:r>
            <w:r w:rsidRPr="006C1F53">
              <w:rPr>
                <w:noProof/>
                <w:sz w:val="22"/>
                <w:szCs w:val="22"/>
              </w:rPr>
              <w:t xml:space="preserve"> has predicted that they are not carrying an Rh D positive fetus. The ERG does not currently suggest changing to a single dose of Rh D immunoglobulin 1500 IU.</w:t>
            </w:r>
            <w:r w:rsidRPr="006C1F53">
              <w:rPr>
                <w:noProof/>
                <w:sz w:val="22"/>
                <w:szCs w:val="22"/>
              </w:rPr>
              <w:br/>
            </w:r>
            <w:r w:rsidRPr="008606A5">
              <w:rPr>
                <w:noProof/>
                <w:szCs w:val="21"/>
              </w:rPr>
              <w:t>(</w:t>
            </w:r>
            <w:r w:rsidRPr="008606A5">
              <w:rPr>
                <w:rFonts w:asciiTheme="minorHAnsi" w:hAnsiTheme="minorHAnsi" w:cstheme="minorHAnsi"/>
                <w:i/>
                <w:iCs/>
                <w:noProof/>
                <w:szCs w:val="21"/>
              </w:rPr>
              <w:t>Weak recommendation, low to very low certainty of evidence about the size of effect</w:t>
            </w:r>
            <w:r w:rsidRPr="008606A5">
              <w:rPr>
                <w:noProof/>
                <w:szCs w:val="21"/>
              </w:rPr>
              <w:t>)</w:t>
            </w:r>
          </w:p>
          <w:p w14:paraId="3AD8E153" w14:textId="7776C1D3" w:rsidR="00CA53E8" w:rsidRPr="003E4596" w:rsidRDefault="00CA53E8" w:rsidP="00CA53E8">
            <w:pPr>
              <w:pStyle w:val="Tabletext9pt"/>
              <w:ind w:left="88"/>
              <w:rPr>
                <w:sz w:val="20"/>
                <w:szCs w:val="20"/>
              </w:rPr>
            </w:pPr>
            <w:r>
              <w:rPr>
                <w:noProof/>
                <w:sz w:val="20"/>
                <w:szCs w:val="20"/>
                <w:vertAlign w:val="superscript"/>
              </w:rPr>
              <w:t>*</w:t>
            </w:r>
            <w:r w:rsidRPr="003E4596">
              <w:rPr>
                <w:sz w:val="20"/>
                <w:szCs w:val="20"/>
              </w:rPr>
              <w:t xml:space="preserve"> A woman’s pregnancy care schedule and clinical discretion may warrant the administration of </w:t>
            </w:r>
            <w:r w:rsidRPr="003E4596">
              <w:rPr>
                <w:sz w:val="20"/>
                <w:szCs w:val="20"/>
              </w:rPr>
              <w:br/>
              <w:t>Rh D immunoglobulin within 2 weeks before or after the recommended 28 and 34 weeks of pregnancy. However, if the second dose of Rh D immunoglobulin is given before 34 weeks and the pregnancy goes beyond the due date, the risk of inadequate anti-D coverage at birth increases.</w:t>
            </w:r>
          </w:p>
          <w:p w14:paraId="2D49074B" w14:textId="131E4076" w:rsidR="00CA53E8" w:rsidRPr="00C42583" w:rsidRDefault="00CA53E8" w:rsidP="00CA53E8">
            <w:pPr>
              <w:pStyle w:val="Tabletext"/>
              <w:ind w:left="88"/>
              <w:rPr>
                <w:rFonts w:asciiTheme="minorHAnsi" w:hAnsiTheme="minorHAnsi" w:cstheme="minorHAnsi"/>
                <w:noProof/>
                <w:szCs w:val="20"/>
              </w:rPr>
            </w:pPr>
            <w:r>
              <w:rPr>
                <w:vertAlign w:val="superscript"/>
              </w:rPr>
              <w:t>^</w:t>
            </w:r>
            <w:r w:rsidRPr="00C42583">
              <w:rPr>
                <w:vertAlign w:val="superscript"/>
              </w:rPr>
              <w:t xml:space="preserve"> </w:t>
            </w:r>
            <w:r w:rsidRPr="00C42583">
              <w:t xml:space="preserve">All women should have an ABO/Rh D type and antibody screen performed </w:t>
            </w:r>
            <w:r>
              <w:t>no later than 10 weeks gestation</w:t>
            </w:r>
            <w:r w:rsidRPr="00C42583">
              <w:t xml:space="preserve">. Women who are Rh D negative should be retested at 28 weeks </w:t>
            </w:r>
            <w:r w:rsidRPr="00C42583">
              <w:rPr>
                <w:noProof/>
              </w:rPr>
              <w:t xml:space="preserve">unless NIPT for fetal </w:t>
            </w:r>
            <w:r w:rsidRPr="00C42583">
              <w:rPr>
                <w:i/>
                <w:noProof/>
              </w:rPr>
              <w:t>RHD</w:t>
            </w:r>
            <w:r w:rsidRPr="00C42583">
              <w:rPr>
                <w:noProof/>
              </w:rPr>
              <w:t xml:space="preserve"> has predicted that they are not carrying an Rh D positive fetus</w:t>
            </w:r>
            <w:r w:rsidRPr="00C42583">
              <w:t>. The specimen should be collected before giving prophylactic Rh D immunoglobulin; however, the immunoglobulin can be given before the results are available</w:t>
            </w:r>
            <w:r>
              <w:t>.</w:t>
            </w:r>
            <w:hyperlink w:anchor="_ENREF_2" w:tooltip="The Royal Australian and New Zealand College of Obstetricians and Gynaecologists (RANZCOG), 2019 #114" w:history="1">
              <w:r>
                <w:rPr>
                  <w:vertAlign w:val="superscript"/>
                </w:rPr>
                <w:t>1</w:t>
              </w:r>
            </w:hyperlink>
          </w:p>
        </w:tc>
      </w:tr>
      <w:tr w:rsidR="00CA53E8" w:rsidRPr="00145576" w14:paraId="7E9C0F5E" w14:textId="77777777" w:rsidTr="00CA53E8">
        <w:trPr>
          <w:cantSplit/>
        </w:trPr>
        <w:tc>
          <w:tcPr>
            <w:tcW w:w="10774" w:type="dxa"/>
            <w:gridSpan w:val="2"/>
            <w:shd w:val="clear" w:color="auto" w:fill="D2E4EE"/>
          </w:tcPr>
          <w:p w14:paraId="34F037DE" w14:textId="77777777" w:rsidR="00CA53E8" w:rsidRPr="00145576" w:rsidRDefault="00CA53E8" w:rsidP="00CA53E8">
            <w:pPr>
              <w:pStyle w:val="TableH1"/>
              <w:rPr>
                <w:b/>
                <w:bCs/>
                <w:noProof/>
                <w:color w:val="auto"/>
              </w:rPr>
            </w:pPr>
            <w:r w:rsidRPr="00145576">
              <w:rPr>
                <w:b/>
                <w:bCs/>
                <w:noProof/>
                <w:color w:val="auto"/>
              </w:rPr>
              <w:t>Sensitising event immunoprophylaxis in the first 12 weeks of pregnancy in Rh D negative women</w:t>
            </w:r>
          </w:p>
        </w:tc>
      </w:tr>
      <w:tr w:rsidR="00CA53E8" w:rsidRPr="00C42583" w14:paraId="63EEF789" w14:textId="77777777" w:rsidTr="00CA53E8">
        <w:trPr>
          <w:cantSplit/>
        </w:trPr>
        <w:tc>
          <w:tcPr>
            <w:tcW w:w="851" w:type="dxa"/>
            <w:shd w:val="clear" w:color="auto" w:fill="648F90"/>
          </w:tcPr>
          <w:p w14:paraId="4406938B"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R3</w:t>
            </w:r>
          </w:p>
        </w:tc>
        <w:tc>
          <w:tcPr>
            <w:tcW w:w="9923" w:type="dxa"/>
          </w:tcPr>
          <w:p w14:paraId="4B5701DA" w14:textId="77777777" w:rsidR="00CA53E8" w:rsidRPr="00926446" w:rsidRDefault="00CA53E8" w:rsidP="00CA53E8">
            <w:pPr>
              <w:pStyle w:val="Tabletext"/>
              <w:rPr>
                <w:rFonts w:asciiTheme="minorHAnsi" w:hAnsiTheme="minorHAnsi" w:cstheme="minorHAnsi"/>
                <w:bCs/>
                <w:noProof/>
                <w:sz w:val="21"/>
                <w:szCs w:val="21"/>
              </w:rPr>
            </w:pPr>
            <w:r w:rsidRPr="006C1F53">
              <w:rPr>
                <w:sz w:val="22"/>
                <w:szCs w:val="22"/>
              </w:rPr>
              <w:t>After the following sensitising events in the first 12 weeks of singleton or multiple pregnancy: miscarriage, termination of pregnancy (after 10 weeks gestation), ectopic pregnancy, molar pregnancy and chorionic villus sampling</w:t>
            </w:r>
            <w:r w:rsidRPr="006C1F53">
              <w:rPr>
                <w:rFonts w:asciiTheme="minorHAnsi" w:hAnsiTheme="minorHAnsi" w:cstheme="minorHAnsi"/>
                <w:noProof/>
                <w:sz w:val="22"/>
                <w:szCs w:val="22"/>
              </w:rPr>
              <w:t>, the ERG</w:t>
            </w:r>
            <w:r w:rsidRPr="006C1F53">
              <w:rPr>
                <w:rFonts w:asciiTheme="minorHAnsi" w:hAnsiTheme="minorHAnsi" w:cstheme="minorHAnsi"/>
                <w:bCs/>
                <w:noProof/>
                <w:sz w:val="22"/>
                <w:szCs w:val="22"/>
              </w:rPr>
              <w:t xml:space="preserve"> </w:t>
            </w:r>
            <w:r w:rsidRPr="006C1F53">
              <w:rPr>
                <w:rStyle w:val="Strong"/>
                <w:sz w:val="22"/>
                <w:szCs w:val="22"/>
              </w:rPr>
              <w:t>recommends</w:t>
            </w:r>
            <w:r w:rsidRPr="006C1F53">
              <w:rPr>
                <w:rFonts w:asciiTheme="minorHAnsi" w:hAnsiTheme="minorHAnsi" w:cstheme="minorHAnsi"/>
                <w:noProof/>
                <w:sz w:val="22"/>
                <w:szCs w:val="22"/>
              </w:rPr>
              <w:t xml:space="preserve"> that a dose of Rh D immunoglobulin 250 IU be given to all Rh D negative women with no preformed anti-D antibodies to prevent Rh D alloimmunisation.</w:t>
            </w:r>
            <w:r w:rsidRPr="00671FB3">
              <w:rPr>
                <w:rFonts w:asciiTheme="minorHAnsi" w:hAnsiTheme="minorHAnsi" w:cstheme="minorHAnsi"/>
                <w:noProof/>
                <w:szCs w:val="21"/>
              </w:rPr>
              <w:br/>
            </w:r>
            <w:r w:rsidRPr="008606A5">
              <w:rPr>
                <w:rFonts w:asciiTheme="minorHAnsi" w:hAnsiTheme="minorHAnsi" w:cstheme="minorHAnsi"/>
                <w:noProof/>
                <w:szCs w:val="21"/>
              </w:rPr>
              <w:t>(</w:t>
            </w:r>
            <w:r w:rsidRPr="008606A5">
              <w:rPr>
                <w:rFonts w:asciiTheme="minorHAnsi" w:hAnsiTheme="minorHAnsi" w:cstheme="minorHAnsi"/>
                <w:i/>
                <w:iCs/>
                <w:noProof/>
                <w:szCs w:val="21"/>
              </w:rPr>
              <w:t>Strong recommendation, very low certainty of evidence about the size of effect</w:t>
            </w:r>
            <w:r w:rsidRPr="008606A5">
              <w:rPr>
                <w:rFonts w:asciiTheme="minorHAnsi" w:hAnsiTheme="minorHAnsi" w:cstheme="minorHAnsi"/>
                <w:noProof/>
                <w:szCs w:val="21"/>
              </w:rPr>
              <w:t>)</w:t>
            </w:r>
          </w:p>
        </w:tc>
      </w:tr>
      <w:tr w:rsidR="00CA53E8" w:rsidRPr="00C42583" w14:paraId="566797F8" w14:textId="77777777" w:rsidTr="00CA53E8">
        <w:trPr>
          <w:cantSplit/>
        </w:trPr>
        <w:tc>
          <w:tcPr>
            <w:tcW w:w="851" w:type="dxa"/>
            <w:shd w:val="clear" w:color="auto" w:fill="DE9716"/>
          </w:tcPr>
          <w:p w14:paraId="619B3FD3"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R4</w:t>
            </w:r>
          </w:p>
        </w:tc>
        <w:tc>
          <w:tcPr>
            <w:tcW w:w="9923" w:type="dxa"/>
          </w:tcPr>
          <w:p w14:paraId="1BEC6190" w14:textId="77777777" w:rsidR="00CA53E8" w:rsidRPr="00926446" w:rsidRDefault="00CA53E8" w:rsidP="00CA53E8">
            <w:pPr>
              <w:pStyle w:val="Tabletext"/>
              <w:rPr>
                <w:rFonts w:asciiTheme="minorHAnsi" w:hAnsiTheme="minorHAnsi" w:cstheme="minorHAnsi"/>
                <w:bCs/>
                <w:noProof/>
                <w:sz w:val="21"/>
                <w:szCs w:val="21"/>
              </w:rPr>
            </w:pPr>
            <w:r w:rsidRPr="00AA4729">
              <w:rPr>
                <w:sz w:val="22"/>
                <w:szCs w:val="22"/>
              </w:rPr>
              <w:t xml:space="preserve">In the setting of termination of pregnancy before 10 weeks of gestation there is </w:t>
            </w:r>
            <w:r w:rsidRPr="00583082">
              <w:rPr>
                <w:b/>
                <w:bCs/>
                <w:sz w:val="22"/>
                <w:szCs w:val="22"/>
              </w:rPr>
              <w:t>insufficient evidence to suggest</w:t>
            </w:r>
            <w:r w:rsidRPr="00AA4729">
              <w:rPr>
                <w:sz w:val="22"/>
                <w:szCs w:val="22"/>
              </w:rPr>
              <w:t xml:space="preserve"> the routine use of Rh D immunoglobulin.</w:t>
            </w:r>
            <w:r>
              <w:rPr>
                <w:sz w:val="22"/>
                <w:szCs w:val="22"/>
                <w:vertAlign w:val="superscript"/>
              </w:rPr>
              <w:t>2, 3,</w:t>
            </w:r>
            <w:r w:rsidRPr="00623516">
              <w:rPr>
                <w:sz w:val="22"/>
                <w:szCs w:val="22"/>
                <w:vertAlign w:val="superscript"/>
              </w:rPr>
              <w:t xml:space="preserve"> </w:t>
            </w:r>
            <w:r w:rsidRPr="00623516">
              <w:rPr>
                <w:sz w:val="21"/>
                <w:szCs w:val="21"/>
                <w:vertAlign w:val="superscript"/>
              </w:rPr>
              <w:t xml:space="preserve">4 </w:t>
            </w:r>
            <w:r w:rsidRPr="0035510A">
              <w:rPr>
                <w:sz w:val="21"/>
                <w:szCs w:val="21"/>
              </w:rPr>
              <w:br/>
            </w:r>
            <w:r w:rsidRPr="008606A5">
              <w:rPr>
                <w:i/>
                <w:iCs/>
                <w:szCs w:val="21"/>
              </w:rPr>
              <w:t xml:space="preserve">(Discretionary </w:t>
            </w:r>
            <w:r>
              <w:rPr>
                <w:i/>
                <w:iCs/>
                <w:szCs w:val="21"/>
              </w:rPr>
              <w:t>[</w:t>
            </w:r>
            <w:r w:rsidRPr="008606A5">
              <w:rPr>
                <w:i/>
                <w:iCs/>
                <w:szCs w:val="21"/>
              </w:rPr>
              <w:t>weak</w:t>
            </w:r>
            <w:r>
              <w:rPr>
                <w:i/>
                <w:iCs/>
                <w:szCs w:val="21"/>
              </w:rPr>
              <w:t>]</w:t>
            </w:r>
            <w:r w:rsidRPr="008606A5">
              <w:rPr>
                <w:i/>
                <w:iCs/>
                <w:szCs w:val="21"/>
              </w:rPr>
              <w:t xml:space="preserve"> recommendation, expert consensus)</w:t>
            </w:r>
          </w:p>
        </w:tc>
      </w:tr>
      <w:tr w:rsidR="00CA53E8" w:rsidRPr="00C42583" w14:paraId="1CBED775" w14:textId="77777777" w:rsidTr="00CA53E8">
        <w:trPr>
          <w:cantSplit/>
        </w:trPr>
        <w:tc>
          <w:tcPr>
            <w:tcW w:w="851" w:type="dxa"/>
            <w:shd w:val="clear" w:color="auto" w:fill="467ABA"/>
          </w:tcPr>
          <w:p w14:paraId="5F3DE9F2"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EOP4</w:t>
            </w:r>
          </w:p>
        </w:tc>
        <w:tc>
          <w:tcPr>
            <w:tcW w:w="9923" w:type="dxa"/>
          </w:tcPr>
          <w:p w14:paraId="6544D57C" w14:textId="77777777" w:rsidR="00CA53E8" w:rsidRPr="00AA4729" w:rsidRDefault="00CA53E8" w:rsidP="00CA53E8">
            <w:pPr>
              <w:pStyle w:val="Tabletext"/>
              <w:rPr>
                <w:sz w:val="22"/>
                <w:szCs w:val="22"/>
              </w:rPr>
            </w:pPr>
            <w:r>
              <w:rPr>
                <w:rFonts w:asciiTheme="minorHAnsi" w:hAnsiTheme="minorHAnsi" w:cstheme="minorHAnsi"/>
                <w:bCs/>
                <w:noProof/>
                <w:sz w:val="22"/>
                <w:szCs w:val="22"/>
              </w:rPr>
              <w:t>For sensitising events in the first 12 weeks of pregnancy where there is any uncertaintly with gestational age, consider Rh D immunoglobulin. Consider ultrasound to confirm gestational age.</w:t>
            </w:r>
          </w:p>
        </w:tc>
      </w:tr>
      <w:tr w:rsidR="00CA53E8" w:rsidRPr="00C42583" w14:paraId="41854783" w14:textId="77777777" w:rsidTr="00CA53E8">
        <w:trPr>
          <w:cantSplit/>
        </w:trPr>
        <w:tc>
          <w:tcPr>
            <w:tcW w:w="851" w:type="dxa"/>
            <w:shd w:val="clear" w:color="auto" w:fill="DE9716"/>
          </w:tcPr>
          <w:p w14:paraId="605C5C13"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R5</w:t>
            </w:r>
          </w:p>
        </w:tc>
        <w:tc>
          <w:tcPr>
            <w:tcW w:w="9923" w:type="dxa"/>
          </w:tcPr>
          <w:p w14:paraId="5245240F" w14:textId="77777777" w:rsidR="00CA53E8" w:rsidRPr="00926446" w:rsidRDefault="00CA53E8" w:rsidP="00CA53E8">
            <w:pPr>
              <w:pStyle w:val="Tabletext"/>
              <w:rPr>
                <w:rFonts w:asciiTheme="minorHAnsi" w:hAnsiTheme="minorHAnsi" w:cstheme="minorHAnsi"/>
                <w:bCs/>
                <w:noProof/>
                <w:sz w:val="21"/>
                <w:szCs w:val="21"/>
              </w:rPr>
            </w:pPr>
            <w:r w:rsidRPr="00AA4729">
              <w:rPr>
                <w:sz w:val="22"/>
                <w:szCs w:val="22"/>
              </w:rPr>
              <w:t>In Rh D negative women with an ongoing pregnancy who have uterine bleeding in the first 12 weeks of pregnancy t</w:t>
            </w:r>
            <w:r w:rsidRPr="00AA4729">
              <w:rPr>
                <w:rFonts w:asciiTheme="minorHAnsi" w:hAnsiTheme="minorHAnsi" w:cstheme="minorHAnsi"/>
                <w:noProof/>
                <w:sz w:val="22"/>
                <w:szCs w:val="22"/>
              </w:rPr>
              <w:t xml:space="preserve">here is </w:t>
            </w:r>
            <w:r w:rsidRPr="00583082">
              <w:rPr>
                <w:rFonts w:asciiTheme="minorHAnsi" w:hAnsiTheme="minorHAnsi" w:cstheme="minorHAnsi"/>
                <w:b/>
                <w:bCs/>
                <w:noProof/>
                <w:sz w:val="22"/>
                <w:szCs w:val="22"/>
              </w:rPr>
              <w:t>insufficient evidence to support</w:t>
            </w:r>
            <w:r w:rsidRPr="00AA4729">
              <w:rPr>
                <w:rFonts w:asciiTheme="minorHAnsi" w:hAnsiTheme="minorHAnsi" w:cstheme="minorHAnsi"/>
                <w:noProof/>
                <w:sz w:val="22"/>
                <w:szCs w:val="22"/>
              </w:rPr>
              <w:t xml:space="preserve"> the routine use of Rh D immunoglobulin. However, </w:t>
            </w:r>
            <w:r w:rsidRPr="00AA4729">
              <w:rPr>
                <w:sz w:val="22"/>
                <w:szCs w:val="22"/>
              </w:rPr>
              <w:t>where the bleeding is repeated, heavy or associated with abdominal pain or significant pelvic trauma</w:t>
            </w:r>
            <w:r w:rsidRPr="00AA4729">
              <w:rPr>
                <w:rFonts w:asciiTheme="minorHAnsi" w:hAnsiTheme="minorHAnsi" w:cstheme="minorHAnsi"/>
                <w:noProof/>
                <w:sz w:val="22"/>
                <w:szCs w:val="22"/>
              </w:rPr>
              <w:t>, immunoprophylaxis may be considered in women with no preformed anti-D antibodies.</w:t>
            </w:r>
            <w:r w:rsidRPr="00C42583">
              <w:rPr>
                <w:rFonts w:asciiTheme="minorHAnsi" w:hAnsiTheme="minorHAnsi" w:cstheme="minorHAnsi"/>
                <w:noProof/>
                <w:szCs w:val="20"/>
              </w:rPr>
              <w:br/>
              <w:t>(</w:t>
            </w:r>
            <w:r w:rsidRPr="00C42583">
              <w:rPr>
                <w:rFonts w:asciiTheme="minorHAnsi" w:hAnsiTheme="minorHAnsi" w:cstheme="minorHAnsi"/>
                <w:i/>
                <w:iCs/>
                <w:noProof/>
                <w:szCs w:val="20"/>
              </w:rPr>
              <w:t xml:space="preserve">Qualified </w:t>
            </w:r>
            <w:r>
              <w:rPr>
                <w:rFonts w:asciiTheme="minorHAnsi" w:hAnsiTheme="minorHAnsi" w:cstheme="minorHAnsi"/>
                <w:i/>
                <w:iCs/>
                <w:noProof/>
                <w:szCs w:val="20"/>
              </w:rPr>
              <w:t>[</w:t>
            </w:r>
            <w:r w:rsidRPr="00C42583">
              <w:rPr>
                <w:rFonts w:asciiTheme="minorHAnsi" w:hAnsiTheme="minorHAnsi" w:cstheme="minorHAnsi"/>
                <w:i/>
                <w:iCs/>
                <w:noProof/>
                <w:szCs w:val="20"/>
              </w:rPr>
              <w:t>weak</w:t>
            </w:r>
            <w:r>
              <w:rPr>
                <w:rFonts w:asciiTheme="minorHAnsi" w:hAnsiTheme="minorHAnsi" w:cstheme="minorHAnsi"/>
                <w:i/>
                <w:iCs/>
                <w:noProof/>
                <w:szCs w:val="20"/>
              </w:rPr>
              <w:t>]</w:t>
            </w:r>
            <w:r w:rsidRPr="00C42583">
              <w:rPr>
                <w:rFonts w:asciiTheme="minorHAnsi" w:hAnsiTheme="minorHAnsi" w:cstheme="minorHAnsi"/>
                <w:i/>
                <w:iCs/>
                <w:noProof/>
                <w:szCs w:val="20"/>
              </w:rPr>
              <w:t xml:space="preserve"> recommendation, expert consensus</w:t>
            </w:r>
            <w:r w:rsidRPr="00C42583">
              <w:rPr>
                <w:rFonts w:asciiTheme="minorHAnsi" w:hAnsiTheme="minorHAnsi" w:cstheme="minorHAnsi"/>
                <w:noProof/>
                <w:szCs w:val="20"/>
              </w:rPr>
              <w:t>)</w:t>
            </w:r>
          </w:p>
        </w:tc>
      </w:tr>
      <w:tr w:rsidR="00CA53E8" w:rsidRPr="00C42583" w14:paraId="777C9503" w14:textId="77777777" w:rsidTr="00CA53E8">
        <w:trPr>
          <w:cantSplit/>
        </w:trPr>
        <w:tc>
          <w:tcPr>
            <w:tcW w:w="851" w:type="dxa"/>
            <w:shd w:val="clear" w:color="auto" w:fill="467ABA"/>
          </w:tcPr>
          <w:p w14:paraId="3115544B"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EOP5</w:t>
            </w:r>
          </w:p>
        </w:tc>
        <w:tc>
          <w:tcPr>
            <w:tcW w:w="9923" w:type="dxa"/>
          </w:tcPr>
          <w:p w14:paraId="1A4F83B6" w14:textId="77777777" w:rsidR="00CA53E8" w:rsidRPr="00AA4729" w:rsidRDefault="00CA53E8" w:rsidP="00CA53E8">
            <w:pPr>
              <w:pStyle w:val="Tabletext"/>
              <w:rPr>
                <w:noProof/>
                <w:sz w:val="22"/>
                <w:szCs w:val="22"/>
              </w:rPr>
            </w:pPr>
            <w:r w:rsidRPr="00AA4729">
              <w:rPr>
                <w:noProof/>
                <w:sz w:val="22"/>
                <w:szCs w:val="22"/>
              </w:rPr>
              <w:t xml:space="preserve">At all times when Rh D immunoglobulin is being administered for a sensitising event, it should be given as soon as practical within 72 hours. </w:t>
            </w:r>
            <w:r w:rsidRPr="00AA4729">
              <w:rPr>
                <w:rFonts w:eastAsiaTheme="minorHAnsi"/>
                <w:noProof/>
                <w:sz w:val="22"/>
                <w:szCs w:val="22"/>
              </w:rPr>
              <w:t>If delayed beyond 72 hours, the dose should be given up to 10 days from the sensitising event, but may have lower efficacy.</w:t>
            </w:r>
          </w:p>
        </w:tc>
      </w:tr>
      <w:tr w:rsidR="00CA53E8" w:rsidRPr="00C42583" w14:paraId="0C742A68" w14:textId="77777777" w:rsidTr="00CA53E8">
        <w:trPr>
          <w:cantSplit/>
        </w:trPr>
        <w:tc>
          <w:tcPr>
            <w:tcW w:w="851" w:type="dxa"/>
            <w:shd w:val="clear" w:color="auto" w:fill="467ABA"/>
          </w:tcPr>
          <w:p w14:paraId="016D8144"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EOP</w:t>
            </w:r>
            <w:r>
              <w:rPr>
                <w:b/>
                <w:bCs/>
                <w:noProof/>
                <w:color w:val="FFFFFF" w:themeColor="background1"/>
                <w:sz w:val="24"/>
                <w:szCs w:val="24"/>
              </w:rPr>
              <w:t>6</w:t>
            </w:r>
          </w:p>
        </w:tc>
        <w:tc>
          <w:tcPr>
            <w:tcW w:w="9923" w:type="dxa"/>
          </w:tcPr>
          <w:p w14:paraId="6104B3D7" w14:textId="77777777" w:rsidR="00CA53E8" w:rsidRPr="0058488D" w:rsidRDefault="00CA53E8" w:rsidP="00CA53E8">
            <w:pPr>
              <w:pStyle w:val="Tabletext"/>
              <w:rPr>
                <w:rFonts w:asciiTheme="minorHAnsi" w:hAnsiTheme="minorHAnsi" w:cstheme="minorHAnsi"/>
                <w:bCs/>
                <w:noProof/>
                <w:sz w:val="22"/>
                <w:szCs w:val="22"/>
                <w:vertAlign w:val="superscript"/>
              </w:rPr>
            </w:pPr>
            <w:r w:rsidRPr="00AA4729">
              <w:rPr>
                <w:noProof/>
                <w:sz w:val="22"/>
                <w:szCs w:val="22"/>
              </w:rPr>
              <w:t>For repeated sensitising events in the first 12 weeks of pregnancy, there is no evidence to guide practice. Specialist obstetric consultation is advised regarding further administration of Rh D immunoprophylaxis. For new sensitising events a repeated dose of Rh D immunoglobulin may be indicated. For ongoing uterine bleeding alone, a repeat dose of Rh D immunoglobulin (250 IU if during the first 12 weeks and 625 IU if after) may be appropriate after an interval of 6 weeks.</w:t>
            </w:r>
            <w:r>
              <w:rPr>
                <w:noProof/>
                <w:sz w:val="22"/>
                <w:szCs w:val="22"/>
                <w:vertAlign w:val="superscript"/>
              </w:rPr>
              <w:t xml:space="preserve">5, </w:t>
            </w:r>
            <w:r>
              <w:rPr>
                <w:rFonts w:asciiTheme="minorHAnsi" w:hAnsiTheme="minorHAnsi" w:cstheme="minorHAnsi"/>
                <w:bCs/>
                <w:noProof/>
                <w:sz w:val="22"/>
                <w:szCs w:val="22"/>
                <w:vertAlign w:val="superscript"/>
              </w:rPr>
              <w:t>6</w:t>
            </w:r>
          </w:p>
        </w:tc>
      </w:tr>
      <w:tr w:rsidR="00CA53E8" w:rsidRPr="00145576" w14:paraId="09C2F99F" w14:textId="77777777" w:rsidTr="00CA53E8">
        <w:trPr>
          <w:cantSplit/>
        </w:trPr>
        <w:tc>
          <w:tcPr>
            <w:tcW w:w="10774" w:type="dxa"/>
            <w:gridSpan w:val="2"/>
            <w:shd w:val="clear" w:color="auto" w:fill="D2E4EE"/>
          </w:tcPr>
          <w:p w14:paraId="5F8B9AEA" w14:textId="77777777" w:rsidR="00CA53E8" w:rsidRPr="00145576" w:rsidRDefault="00CA53E8" w:rsidP="00CA53E8">
            <w:pPr>
              <w:pStyle w:val="TableH1"/>
              <w:rPr>
                <w:b/>
                <w:bCs/>
                <w:noProof/>
              </w:rPr>
            </w:pPr>
            <w:r w:rsidRPr="00145576">
              <w:rPr>
                <w:b/>
                <w:bCs/>
                <w:noProof/>
                <w:color w:val="auto"/>
              </w:rPr>
              <w:t>Sensitisting event immunoprophylaxis beyond the first 12 weeks of pregnancy in Rh D negative women</w:t>
            </w:r>
          </w:p>
        </w:tc>
      </w:tr>
      <w:tr w:rsidR="00CA53E8" w:rsidRPr="00C42583" w14:paraId="15B87344" w14:textId="77777777" w:rsidTr="00CA53E8">
        <w:trPr>
          <w:cantSplit/>
        </w:trPr>
        <w:tc>
          <w:tcPr>
            <w:tcW w:w="851" w:type="dxa"/>
            <w:shd w:val="clear" w:color="auto" w:fill="467ABA"/>
          </w:tcPr>
          <w:p w14:paraId="17EF10D8" w14:textId="77777777" w:rsidR="00CA53E8" w:rsidRPr="00145576" w:rsidRDefault="00CA53E8" w:rsidP="00CA53E8">
            <w:pPr>
              <w:pStyle w:val="TableH1"/>
              <w:rPr>
                <w:b/>
                <w:bCs/>
                <w:noProof/>
                <w:color w:val="FFFFFF" w:themeColor="background1"/>
                <w:sz w:val="24"/>
                <w:szCs w:val="24"/>
              </w:rPr>
            </w:pPr>
            <w:r w:rsidRPr="00145576">
              <w:rPr>
                <w:b/>
                <w:bCs/>
                <w:noProof/>
                <w:color w:val="FFFFFF" w:themeColor="background1"/>
                <w:sz w:val="24"/>
                <w:szCs w:val="24"/>
              </w:rPr>
              <w:t>EOP</w:t>
            </w:r>
            <w:r>
              <w:rPr>
                <w:b/>
                <w:bCs/>
                <w:noProof/>
                <w:color w:val="FFFFFF" w:themeColor="background1"/>
                <w:sz w:val="24"/>
                <w:szCs w:val="24"/>
              </w:rPr>
              <w:t>8</w:t>
            </w:r>
          </w:p>
        </w:tc>
        <w:tc>
          <w:tcPr>
            <w:tcW w:w="9923" w:type="dxa"/>
          </w:tcPr>
          <w:p w14:paraId="4965FE44" w14:textId="77777777" w:rsidR="00CA53E8" w:rsidRPr="00AA4729" w:rsidRDefault="00CA53E8" w:rsidP="00CA53E8">
            <w:pPr>
              <w:pStyle w:val="Tabletext"/>
              <w:rPr>
                <w:noProof/>
                <w:sz w:val="22"/>
                <w:szCs w:val="22"/>
              </w:rPr>
            </w:pPr>
            <w:r w:rsidRPr="00AA4729">
              <w:rPr>
                <w:noProof/>
                <w:sz w:val="22"/>
                <w:szCs w:val="22"/>
              </w:rPr>
              <w:t xml:space="preserve">A dose of Rh D immunoglobulin 625 IU should be offered to every Rh D negative woman with no preformed anti-D antibodies, </w:t>
            </w:r>
            <w:r w:rsidRPr="00AA4729">
              <w:rPr>
                <w:sz w:val="22"/>
                <w:szCs w:val="22"/>
              </w:rPr>
              <w:t xml:space="preserve">unless NIPT for fetal </w:t>
            </w:r>
            <w:r w:rsidRPr="00AA4729">
              <w:rPr>
                <w:i/>
                <w:iCs/>
                <w:sz w:val="22"/>
                <w:szCs w:val="22"/>
              </w:rPr>
              <w:t>RHD</w:t>
            </w:r>
            <w:r w:rsidRPr="00AA4729">
              <w:rPr>
                <w:sz w:val="22"/>
                <w:szCs w:val="22"/>
              </w:rPr>
              <w:t xml:space="preserve"> has predicted the fetus to be Rh D negative, </w:t>
            </w:r>
            <w:r w:rsidRPr="00AA4729">
              <w:rPr>
                <w:noProof/>
                <w:sz w:val="22"/>
                <w:szCs w:val="22"/>
              </w:rPr>
              <w:t>to ensure adequate protection against alloimmunisation for the following indications after 12</w:t>
            </w:r>
            <w:r w:rsidRPr="00AA4729">
              <w:rPr>
                <w:noProof/>
                <w:sz w:val="22"/>
                <w:szCs w:val="22"/>
                <w:vertAlign w:val="superscript"/>
              </w:rPr>
              <w:t>+6</w:t>
            </w:r>
            <w:r w:rsidRPr="00AA4729">
              <w:rPr>
                <w:noProof/>
                <w:sz w:val="22"/>
                <w:szCs w:val="22"/>
              </w:rPr>
              <w:t xml:space="preserve"> weeks of pregnancy:</w:t>
            </w:r>
          </w:p>
          <w:p w14:paraId="68D861B3" w14:textId="77777777" w:rsidR="00CA53E8" w:rsidRPr="00AA4729" w:rsidRDefault="00CA53E8" w:rsidP="00CA53E8">
            <w:pPr>
              <w:pStyle w:val="Tablebullet"/>
              <w:spacing w:before="0" w:after="0"/>
              <w:rPr>
                <w:rFonts w:eastAsia="Calibri"/>
                <w:sz w:val="22"/>
                <w:szCs w:val="22"/>
              </w:rPr>
            </w:pPr>
            <w:r w:rsidRPr="00AA4729">
              <w:rPr>
                <w:rFonts w:eastAsia="Calibri"/>
                <w:sz w:val="22"/>
                <w:szCs w:val="22"/>
              </w:rPr>
              <w:t>genetic studies (chorionic villus sampling, amniocentesis and cordocentesis)</w:t>
            </w:r>
          </w:p>
          <w:p w14:paraId="5028F88D" w14:textId="77777777" w:rsidR="00CA53E8" w:rsidRPr="00AA4729" w:rsidRDefault="00CA53E8" w:rsidP="00CA53E8">
            <w:pPr>
              <w:pStyle w:val="Tablebullet"/>
              <w:spacing w:before="0" w:after="0"/>
              <w:rPr>
                <w:rFonts w:eastAsia="Calibri"/>
                <w:sz w:val="22"/>
                <w:szCs w:val="22"/>
              </w:rPr>
            </w:pPr>
            <w:r w:rsidRPr="00AA4729">
              <w:rPr>
                <w:rFonts w:eastAsia="Calibri"/>
                <w:sz w:val="22"/>
                <w:szCs w:val="22"/>
              </w:rPr>
              <w:t>abdominal trauma considered sufficient to cause FMH, even if FMH testing is negative</w:t>
            </w:r>
          </w:p>
          <w:p w14:paraId="4ED421F9" w14:textId="77777777" w:rsidR="00CA53E8" w:rsidRPr="00AA4729" w:rsidRDefault="00CA53E8" w:rsidP="00CA53E8">
            <w:pPr>
              <w:pStyle w:val="Tablebullet"/>
              <w:spacing w:before="0" w:after="0"/>
              <w:rPr>
                <w:rFonts w:eastAsia="Calibri"/>
                <w:sz w:val="22"/>
                <w:szCs w:val="22"/>
              </w:rPr>
            </w:pPr>
            <w:r w:rsidRPr="00AA4729">
              <w:rPr>
                <w:rFonts w:eastAsia="Calibri"/>
                <w:sz w:val="22"/>
                <w:szCs w:val="22"/>
              </w:rPr>
              <w:t>each occasion of revealed or concealed antepartum haemorrhage. Where the woman suffers unexplained uterine pain the possibility of concealed antepartum haemorrhage (and the need for immunoprophylaxis) should be considered</w:t>
            </w:r>
          </w:p>
          <w:p w14:paraId="3B2824C0" w14:textId="77777777" w:rsidR="00CA53E8" w:rsidRPr="00AA4729" w:rsidRDefault="00CA53E8" w:rsidP="00CA53E8">
            <w:pPr>
              <w:pStyle w:val="Tablebullet"/>
              <w:spacing w:before="0" w:after="0"/>
              <w:rPr>
                <w:rFonts w:eastAsia="Calibri"/>
                <w:sz w:val="22"/>
                <w:szCs w:val="22"/>
              </w:rPr>
            </w:pPr>
            <w:r w:rsidRPr="00AA4729">
              <w:rPr>
                <w:rFonts w:eastAsia="Calibri"/>
                <w:sz w:val="22"/>
                <w:szCs w:val="22"/>
              </w:rPr>
              <w:t>external cephalic version (successful or attempted)</w:t>
            </w:r>
          </w:p>
          <w:p w14:paraId="0E16A4AF" w14:textId="77777777" w:rsidR="00CA53E8" w:rsidRPr="003E4596" w:rsidRDefault="00CA53E8" w:rsidP="00CA53E8">
            <w:pPr>
              <w:pStyle w:val="Tablebullet"/>
              <w:spacing w:before="0" w:after="0"/>
              <w:rPr>
                <w:rFonts w:eastAsia="Calibri"/>
                <w:sz w:val="21"/>
                <w:szCs w:val="21"/>
              </w:rPr>
            </w:pPr>
            <w:r w:rsidRPr="00AA4729">
              <w:rPr>
                <w:rFonts w:eastAsia="Calibri"/>
                <w:sz w:val="22"/>
                <w:szCs w:val="22"/>
              </w:rPr>
              <w:t>miscarriage or termination of pregnancy.</w:t>
            </w:r>
          </w:p>
        </w:tc>
      </w:tr>
    </w:tbl>
    <w:p w14:paraId="163BC468" w14:textId="2917FE1A" w:rsidR="00591BD9" w:rsidRPr="00947CB7" w:rsidRDefault="00591BD9" w:rsidP="00A34103">
      <w:pPr>
        <w:spacing w:after="0"/>
        <w:rPr>
          <w:b/>
          <w:bCs/>
          <w:color w:val="467ABA"/>
          <w:sz w:val="18"/>
          <w:szCs w:val="18"/>
        </w:rPr>
      </w:pPr>
      <w:r w:rsidRPr="00947CB7">
        <w:rPr>
          <w:b/>
          <w:bCs/>
          <w:color w:val="467ABA"/>
          <w:sz w:val="18"/>
          <w:szCs w:val="18"/>
        </w:rPr>
        <w:br w:type="page"/>
      </w:r>
    </w:p>
    <w:bookmarkEnd w:id="0"/>
    <w:p w14:paraId="7D5C13A6" w14:textId="391B2A28" w:rsidR="003E4596" w:rsidRDefault="003E4596"/>
    <w:tbl>
      <w:tblPr>
        <w:tblStyle w:val="HTAtableplain1"/>
        <w:tblW w:w="5150" w:type="pct"/>
        <w:tblInd w:w="-3" w:type="dxa"/>
        <w:tblLayout w:type="fixed"/>
        <w:tblCellMar>
          <w:left w:w="28" w:type="dxa"/>
          <w:right w:w="28" w:type="dxa"/>
        </w:tblCellMar>
        <w:tblLook w:val="04A0" w:firstRow="1" w:lastRow="0" w:firstColumn="1" w:lastColumn="0" w:noHBand="0" w:noVBand="1"/>
      </w:tblPr>
      <w:tblGrid>
        <w:gridCol w:w="851"/>
        <w:gridCol w:w="9923"/>
      </w:tblGrid>
      <w:tr w:rsidR="00AF5A44" w:rsidRPr="004E5A56" w14:paraId="6B3B7223" w14:textId="77777777" w:rsidTr="00A34103">
        <w:trPr>
          <w:cnfStyle w:val="100000000000" w:firstRow="1" w:lastRow="0" w:firstColumn="0" w:lastColumn="0" w:oddVBand="0" w:evenVBand="0" w:oddHBand="0" w:evenHBand="0" w:firstRowFirstColumn="0" w:firstRowLastColumn="0" w:lastRowFirstColumn="0" w:lastRowLastColumn="0"/>
          <w:cantSplit/>
        </w:trPr>
        <w:tc>
          <w:tcPr>
            <w:tcW w:w="10774" w:type="dxa"/>
            <w:gridSpan w:val="2"/>
          </w:tcPr>
          <w:p w14:paraId="3932C1A4" w14:textId="0E5EDC5E" w:rsidR="00AF5A44" w:rsidRPr="004E5A56" w:rsidRDefault="004E5A56" w:rsidP="004E5A56">
            <w:pPr>
              <w:pStyle w:val="Tabletext"/>
              <w:ind w:left="0"/>
              <w:rPr>
                <w:noProof/>
                <w:sz w:val="26"/>
                <w:szCs w:val="26"/>
              </w:rPr>
            </w:pPr>
            <w:r w:rsidRPr="00145576">
              <w:rPr>
                <w:noProof/>
                <w:sz w:val="26"/>
                <w:szCs w:val="26"/>
              </w:rPr>
              <w:t>Recommendations and expert opionion points</w:t>
            </w:r>
            <w:r w:rsidR="00A828AD">
              <w:rPr>
                <w:noProof/>
                <w:sz w:val="26"/>
                <w:szCs w:val="26"/>
              </w:rPr>
              <w:t xml:space="preserve"> continued</w:t>
            </w:r>
          </w:p>
        </w:tc>
      </w:tr>
      <w:tr w:rsidR="004E5A56" w:rsidRPr="00C42583" w14:paraId="01C94A3D" w14:textId="77777777" w:rsidTr="00A34103">
        <w:trPr>
          <w:cantSplit/>
        </w:trPr>
        <w:tc>
          <w:tcPr>
            <w:tcW w:w="10774" w:type="dxa"/>
            <w:gridSpan w:val="2"/>
            <w:shd w:val="clear" w:color="auto" w:fill="D2E4EE"/>
          </w:tcPr>
          <w:p w14:paraId="505C58D9" w14:textId="2433EA4B" w:rsidR="004E5A56" w:rsidRPr="004E5A56" w:rsidRDefault="004E5A56" w:rsidP="00AF5A44">
            <w:pPr>
              <w:pStyle w:val="Tabletext"/>
              <w:rPr>
                <w:b/>
                <w:bCs/>
                <w:noProof/>
                <w:sz w:val="22"/>
                <w:szCs w:val="22"/>
              </w:rPr>
            </w:pPr>
            <w:r w:rsidRPr="004E5A56">
              <w:rPr>
                <w:b/>
                <w:bCs/>
                <w:noProof/>
                <w:sz w:val="22"/>
                <w:szCs w:val="22"/>
              </w:rPr>
              <w:t>Sensitisting event immunoprophylaxis beyond the first 12 weeks of pregnancy in Rh D negative women</w:t>
            </w:r>
          </w:p>
        </w:tc>
      </w:tr>
      <w:tr w:rsidR="006C1F53" w:rsidRPr="00C42583" w14:paraId="0DFDB7C6" w14:textId="77777777" w:rsidTr="00A34103">
        <w:trPr>
          <w:cantSplit/>
        </w:trPr>
        <w:tc>
          <w:tcPr>
            <w:tcW w:w="851" w:type="dxa"/>
            <w:shd w:val="clear" w:color="auto" w:fill="467ABA"/>
          </w:tcPr>
          <w:p w14:paraId="46CA3C0F" w14:textId="2E7030F6"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EOP</w:t>
            </w:r>
            <w:r w:rsidR="000837E7">
              <w:rPr>
                <w:b/>
                <w:bCs/>
                <w:noProof/>
                <w:color w:val="FFFFFF" w:themeColor="background1"/>
                <w:sz w:val="24"/>
                <w:szCs w:val="24"/>
              </w:rPr>
              <w:t>9</w:t>
            </w:r>
          </w:p>
        </w:tc>
        <w:tc>
          <w:tcPr>
            <w:tcW w:w="9923" w:type="dxa"/>
          </w:tcPr>
          <w:p w14:paraId="7624A90F" w14:textId="39514401" w:rsidR="006C1F53" w:rsidRPr="004E5A56" w:rsidRDefault="006C1F53" w:rsidP="00962939">
            <w:pPr>
              <w:pStyle w:val="Tabletext"/>
              <w:rPr>
                <w:noProof/>
                <w:sz w:val="22"/>
                <w:szCs w:val="22"/>
              </w:rPr>
            </w:pPr>
            <w:r w:rsidRPr="004E5A56">
              <w:rPr>
                <w:noProof/>
                <w:sz w:val="22"/>
                <w:szCs w:val="22"/>
              </w:rPr>
              <w:t>For sensitising events after 20 weeks of pregnancy, the magnitude of FMH should be assessed, and further doses of Rh D immunoglobulin administered if required.</w:t>
            </w:r>
            <w:r w:rsidR="00881A44">
              <w:rPr>
                <w:noProof/>
                <w:sz w:val="22"/>
                <w:szCs w:val="22"/>
                <w:vertAlign w:val="superscript"/>
              </w:rPr>
              <w:t>*</w:t>
            </w:r>
          </w:p>
          <w:p w14:paraId="7776931E" w14:textId="2244B71B" w:rsidR="006C1F53" w:rsidRPr="007E201A" w:rsidRDefault="00881A44" w:rsidP="00E52E63">
            <w:pPr>
              <w:pStyle w:val="Tabletext9pt"/>
              <w:ind w:left="88"/>
              <w:rPr>
                <w:noProof/>
                <w:sz w:val="20"/>
                <w:szCs w:val="20"/>
              </w:rPr>
            </w:pPr>
            <w:r>
              <w:rPr>
                <w:noProof/>
                <w:sz w:val="21"/>
                <w:szCs w:val="21"/>
                <w:vertAlign w:val="superscript"/>
              </w:rPr>
              <w:t>*</w:t>
            </w:r>
            <w:r w:rsidR="006C1F53" w:rsidRPr="007E201A">
              <w:rPr>
                <w:noProof/>
                <w:sz w:val="20"/>
                <w:szCs w:val="20"/>
              </w:rPr>
              <w:t>The first dose of the Rh D immunoglobulin should be given without waiting for the result of the test for FMH.</w:t>
            </w:r>
          </w:p>
          <w:p w14:paraId="063152C0" w14:textId="77777777" w:rsidR="00881A44" w:rsidRDefault="00881A44" w:rsidP="00E52E63">
            <w:pPr>
              <w:pStyle w:val="Tabletext9pt"/>
              <w:ind w:left="88"/>
              <w:rPr>
                <w:i/>
                <w:iCs/>
                <w:sz w:val="20"/>
                <w:szCs w:val="20"/>
              </w:rPr>
            </w:pPr>
            <w:r>
              <w:rPr>
                <w:rFonts w:eastAsiaTheme="minorHAnsi"/>
                <w:noProof/>
                <w:sz w:val="20"/>
                <w:szCs w:val="20"/>
                <w:vertAlign w:val="superscript"/>
              </w:rPr>
              <w:t xml:space="preserve"> </w:t>
            </w:r>
            <w:r>
              <w:rPr>
                <w:sz w:val="20"/>
                <w:szCs w:val="20"/>
              </w:rPr>
              <w:t xml:space="preserve"> </w:t>
            </w:r>
            <w:r w:rsidR="006C1F53" w:rsidRPr="007E201A">
              <w:rPr>
                <w:sz w:val="20"/>
                <w:szCs w:val="20"/>
              </w:rPr>
              <w:t xml:space="preserve">See Point 4.3 of the British Committee for Standards in Haematology </w:t>
            </w:r>
            <w:r w:rsidR="006C1F53" w:rsidRPr="007E201A">
              <w:rPr>
                <w:i/>
                <w:iCs/>
                <w:sz w:val="20"/>
                <w:szCs w:val="20"/>
              </w:rPr>
              <w:t xml:space="preserve">Guidelines for the estimation of fetomaternal </w:t>
            </w:r>
            <w:r>
              <w:rPr>
                <w:i/>
                <w:iCs/>
                <w:sz w:val="20"/>
                <w:szCs w:val="20"/>
              </w:rPr>
              <w:t xml:space="preserve">    </w:t>
            </w:r>
          </w:p>
          <w:p w14:paraId="1AF6CAAE" w14:textId="2D4051D7" w:rsidR="006C1F53" w:rsidRPr="007E201A" w:rsidRDefault="00881A44" w:rsidP="00E52E63">
            <w:pPr>
              <w:pStyle w:val="Tabletext9pt"/>
              <w:ind w:left="88"/>
              <w:rPr>
                <w:rFonts w:eastAsiaTheme="minorHAnsi"/>
                <w:noProof/>
                <w:sz w:val="20"/>
                <w:szCs w:val="20"/>
              </w:rPr>
            </w:pPr>
            <w:r>
              <w:rPr>
                <w:i/>
                <w:iCs/>
                <w:sz w:val="20"/>
                <w:szCs w:val="20"/>
              </w:rPr>
              <w:t xml:space="preserve"> </w:t>
            </w:r>
            <w:r w:rsidR="006C1F53" w:rsidRPr="007E201A">
              <w:rPr>
                <w:i/>
                <w:iCs/>
                <w:sz w:val="20"/>
                <w:szCs w:val="20"/>
              </w:rPr>
              <w:t>haemorrhage.</w:t>
            </w:r>
            <w:r w:rsidR="00623516">
              <w:rPr>
                <w:vertAlign w:val="superscript"/>
              </w:rPr>
              <w:t>7</w:t>
            </w:r>
            <w:r w:rsidR="0058488D" w:rsidRPr="007E201A">
              <w:rPr>
                <w:rFonts w:eastAsiaTheme="minorHAnsi"/>
                <w:noProof/>
                <w:sz w:val="20"/>
                <w:szCs w:val="20"/>
              </w:rPr>
              <w:t xml:space="preserve"> </w:t>
            </w:r>
          </w:p>
          <w:p w14:paraId="54EFC8F8" w14:textId="46E72B51" w:rsidR="006C1F53" w:rsidRPr="00A4021C" w:rsidRDefault="00881A44" w:rsidP="00962939">
            <w:pPr>
              <w:pStyle w:val="Tabletext"/>
              <w:rPr>
                <w:noProof/>
                <w:sz w:val="21"/>
                <w:szCs w:val="21"/>
              </w:rPr>
            </w:pPr>
            <w:r>
              <w:rPr>
                <w:noProof/>
                <w:szCs w:val="20"/>
                <w:vertAlign w:val="superscript"/>
              </w:rPr>
              <w:t xml:space="preserve"> </w:t>
            </w:r>
            <w:r>
              <w:rPr>
                <w:noProof/>
                <w:szCs w:val="20"/>
              </w:rPr>
              <w:t xml:space="preserve"> </w:t>
            </w:r>
            <w:r w:rsidR="006C1F53" w:rsidRPr="007E201A">
              <w:rPr>
                <w:noProof/>
                <w:szCs w:val="20"/>
              </w:rPr>
              <w:t xml:space="preserve">See </w:t>
            </w:r>
            <w:r w:rsidRPr="00881A44">
              <w:rPr>
                <w:rFonts w:asciiTheme="minorHAnsi" w:hAnsiTheme="minorHAnsi" w:cstheme="minorHAnsi"/>
                <w:i/>
                <w:iCs/>
                <w:szCs w:val="20"/>
                <w:bdr w:val="none" w:sz="0" w:space="0" w:color="auto" w:frame="1"/>
                <w:shd w:val="clear" w:color="auto" w:fill="FFFFFF"/>
              </w:rPr>
              <w:t>Dosing of Rh D immunoglobulin following fetomaternal haemorrhage quantitation</w:t>
            </w:r>
          </w:p>
        </w:tc>
      </w:tr>
      <w:tr w:rsidR="006C1F53" w:rsidRPr="00C42583" w14:paraId="5606F07C" w14:textId="77777777" w:rsidTr="00A34103">
        <w:trPr>
          <w:cantSplit/>
        </w:trPr>
        <w:tc>
          <w:tcPr>
            <w:tcW w:w="851" w:type="dxa"/>
            <w:shd w:val="clear" w:color="auto" w:fill="467ABA"/>
          </w:tcPr>
          <w:p w14:paraId="597FED10" w14:textId="59774DD5"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EOP</w:t>
            </w:r>
            <w:r w:rsidR="000837E7">
              <w:rPr>
                <w:b/>
                <w:bCs/>
                <w:noProof/>
                <w:color w:val="FFFFFF" w:themeColor="background1"/>
                <w:sz w:val="24"/>
                <w:szCs w:val="24"/>
              </w:rPr>
              <w:t>10</w:t>
            </w:r>
          </w:p>
        </w:tc>
        <w:tc>
          <w:tcPr>
            <w:tcW w:w="9923" w:type="dxa"/>
          </w:tcPr>
          <w:p w14:paraId="09AA4A33" w14:textId="054044C3" w:rsidR="006C1F53" w:rsidRPr="00AA4729" w:rsidRDefault="006C1F53" w:rsidP="00962939">
            <w:pPr>
              <w:pStyle w:val="Tabletext"/>
              <w:rPr>
                <w:noProof/>
                <w:sz w:val="22"/>
                <w:szCs w:val="22"/>
                <w:vertAlign w:val="superscript"/>
              </w:rPr>
            </w:pPr>
            <w:r w:rsidRPr="00AA4729">
              <w:rPr>
                <w:sz w:val="22"/>
                <w:szCs w:val="22"/>
              </w:rPr>
              <w:t>For ongoing uterine bleeding alone beyond 12 weeks gestation a further dose of Rh D immunoglobulin (625 IU) may be appropriate at 6 weekly intervals.</w:t>
            </w:r>
            <w:hyperlink w:anchor="_ENREF_8" w:tooltip="Qureshi, 2014 #98" w:history="1">
              <w:r w:rsidR="00623516">
                <w:rPr>
                  <w:sz w:val="22"/>
                  <w:szCs w:val="22"/>
                  <w:vertAlign w:val="superscript"/>
                </w:rPr>
                <w:t>8</w:t>
              </w:r>
            </w:hyperlink>
            <w:r w:rsidRPr="00AA4729">
              <w:rPr>
                <w:sz w:val="22"/>
                <w:szCs w:val="22"/>
              </w:rPr>
              <w:t xml:space="preserve"> New sensitising events should be managed with a further dose of Rh D immunoglobulin (625 IU) and assessment of FMH (after 20 weeks or where otherwise indicated) with additional dosing to cover large volume FMH if required (100 IU for each mL of fetal red cells beyond 6 mL).</w:t>
            </w:r>
            <w:r w:rsidR="00881A44">
              <w:rPr>
                <w:noProof/>
                <w:sz w:val="22"/>
                <w:szCs w:val="22"/>
                <w:vertAlign w:val="superscript"/>
              </w:rPr>
              <w:t>*</w:t>
            </w:r>
          </w:p>
          <w:p w14:paraId="113FC220" w14:textId="7E2DAA4E" w:rsidR="006C1F53" w:rsidRPr="00A4021C" w:rsidRDefault="00881A44" w:rsidP="00962939">
            <w:pPr>
              <w:pStyle w:val="Tabletext"/>
              <w:rPr>
                <w:noProof/>
                <w:sz w:val="21"/>
                <w:szCs w:val="21"/>
              </w:rPr>
            </w:pPr>
            <w:r>
              <w:rPr>
                <w:noProof/>
                <w:szCs w:val="20"/>
                <w:vertAlign w:val="superscript"/>
              </w:rPr>
              <w:t>*</w:t>
            </w:r>
            <w:r w:rsidR="006C1F53" w:rsidRPr="007E201A">
              <w:rPr>
                <w:noProof/>
                <w:szCs w:val="20"/>
              </w:rPr>
              <w:t xml:space="preserve">See </w:t>
            </w:r>
            <w:r w:rsidRPr="00881A44">
              <w:rPr>
                <w:rFonts w:asciiTheme="minorHAnsi" w:hAnsiTheme="minorHAnsi" w:cstheme="minorHAnsi"/>
                <w:i/>
                <w:iCs/>
                <w:szCs w:val="20"/>
                <w:bdr w:val="none" w:sz="0" w:space="0" w:color="auto" w:frame="1"/>
                <w:shd w:val="clear" w:color="auto" w:fill="FFFFFF"/>
              </w:rPr>
              <w:t>Dosing of Rh D immunoglobulin following fetomaternal haemorrhage quantitation</w:t>
            </w:r>
            <w:r w:rsidR="006C1F53" w:rsidRPr="007E201A">
              <w:rPr>
                <w:noProof/>
                <w:szCs w:val="20"/>
              </w:rPr>
              <w:t>.</w:t>
            </w:r>
          </w:p>
        </w:tc>
      </w:tr>
      <w:tr w:rsidR="006C1F53" w:rsidRPr="00C42583" w14:paraId="503E637D" w14:textId="77777777" w:rsidTr="00A34103">
        <w:trPr>
          <w:cantSplit/>
        </w:trPr>
        <w:tc>
          <w:tcPr>
            <w:tcW w:w="851" w:type="dxa"/>
            <w:shd w:val="clear" w:color="auto" w:fill="467ABA"/>
          </w:tcPr>
          <w:p w14:paraId="63449AFD" w14:textId="693D0C6C" w:rsidR="006C1F53" w:rsidRPr="00145576" w:rsidRDefault="006C1F53" w:rsidP="001F6EA1">
            <w:pPr>
              <w:pStyle w:val="TableH1"/>
              <w:keepLines/>
              <w:rPr>
                <w:b/>
                <w:bCs/>
                <w:noProof/>
                <w:color w:val="FFFFFF" w:themeColor="background1"/>
                <w:sz w:val="24"/>
                <w:szCs w:val="24"/>
              </w:rPr>
            </w:pPr>
            <w:r w:rsidRPr="00145576">
              <w:rPr>
                <w:b/>
                <w:bCs/>
                <w:noProof/>
                <w:color w:val="FFFFFF" w:themeColor="background1"/>
                <w:sz w:val="24"/>
                <w:szCs w:val="24"/>
              </w:rPr>
              <w:t>EOP1</w:t>
            </w:r>
            <w:r w:rsidR="000837E7">
              <w:rPr>
                <w:b/>
                <w:bCs/>
                <w:noProof/>
                <w:color w:val="FFFFFF" w:themeColor="background1"/>
                <w:sz w:val="24"/>
                <w:szCs w:val="24"/>
              </w:rPr>
              <w:t>1</w:t>
            </w:r>
          </w:p>
        </w:tc>
        <w:tc>
          <w:tcPr>
            <w:tcW w:w="9923" w:type="dxa"/>
          </w:tcPr>
          <w:p w14:paraId="041261CB" w14:textId="738EB792" w:rsidR="006C1F53" w:rsidRPr="00AA4729" w:rsidRDefault="006C1F53" w:rsidP="00962939">
            <w:pPr>
              <w:pStyle w:val="Tabletext"/>
              <w:rPr>
                <w:noProof/>
                <w:sz w:val="22"/>
                <w:szCs w:val="22"/>
              </w:rPr>
            </w:pPr>
            <w:r w:rsidRPr="00AA4729">
              <w:rPr>
                <w:noProof/>
                <w:sz w:val="22"/>
                <w:szCs w:val="22"/>
              </w:rPr>
              <w:t>In reference to antenatal sensitising events after 20 weeks of pregnancy and after giving birth, a maternal sample to assess the volume of FMH should be taken before administration of Rh D immunoglobulin. At no time should Rh D immunoglobulin be delayed based on, or pending, the results of testing to quantitate FMH. Between 13 and 20 weeks of pregnancy, the magnitude of FMH may be assessed at clinical discretion.</w:t>
            </w:r>
          </w:p>
        </w:tc>
      </w:tr>
      <w:tr w:rsidR="006C1F53" w:rsidRPr="00C42583" w14:paraId="4B902249" w14:textId="77777777" w:rsidTr="00A34103">
        <w:trPr>
          <w:cantSplit/>
          <w:trHeight w:val="1134"/>
        </w:trPr>
        <w:tc>
          <w:tcPr>
            <w:tcW w:w="851" w:type="dxa"/>
            <w:shd w:val="clear" w:color="auto" w:fill="467ABA"/>
          </w:tcPr>
          <w:p w14:paraId="39F6FEEB" w14:textId="6D5CFD4F"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EOP1</w:t>
            </w:r>
            <w:r w:rsidR="000837E7">
              <w:rPr>
                <w:b/>
                <w:bCs/>
                <w:noProof/>
                <w:color w:val="FFFFFF" w:themeColor="background1"/>
                <w:sz w:val="24"/>
                <w:szCs w:val="24"/>
              </w:rPr>
              <w:t>2</w:t>
            </w:r>
          </w:p>
        </w:tc>
        <w:tc>
          <w:tcPr>
            <w:tcW w:w="9923" w:type="dxa"/>
          </w:tcPr>
          <w:p w14:paraId="1D8C52B9" w14:textId="18D3D018" w:rsidR="006C1F53" w:rsidRPr="00AA4729" w:rsidRDefault="006C1F53" w:rsidP="00962939">
            <w:pPr>
              <w:pStyle w:val="Tabletext"/>
              <w:rPr>
                <w:noProof/>
                <w:sz w:val="22"/>
                <w:szCs w:val="22"/>
              </w:rPr>
            </w:pPr>
            <w:r w:rsidRPr="00AA4729">
              <w:rPr>
                <w:noProof/>
                <w:sz w:val="22"/>
                <w:szCs w:val="22"/>
              </w:rPr>
              <w:t xml:space="preserve">The magnitude of the FMH should be assessed by a method capable of quantifying a haemorrhage of ≥ 6 mL of fetal red cells (equivalent to 12 mL of whole blood). Flow cytometry is accepted as the most accurate quantitative test for FMH and is the method of choice for quantitation if readily available. Where FMH quantitation shows that FMH greater than that covered by the dose already administered has occurred, an additional </w:t>
            </w:r>
            <w:r w:rsidRPr="00AA4729">
              <w:rPr>
                <w:sz w:val="22"/>
                <w:szCs w:val="22"/>
              </w:rPr>
              <w:t>dose</w:t>
            </w:r>
            <w:r w:rsidRPr="00AA4729">
              <w:rPr>
                <w:noProof/>
                <w:sz w:val="22"/>
                <w:szCs w:val="22"/>
              </w:rPr>
              <w:t xml:space="preserve"> or doses of Rh D immunoglobulin sufficient to provide immunoprophylaxis must be administered as soon as practical within 72 hours.</w:t>
            </w:r>
            <w:r w:rsidR="00881A44">
              <w:rPr>
                <w:noProof/>
                <w:sz w:val="22"/>
                <w:szCs w:val="22"/>
                <w:vertAlign w:val="superscript"/>
              </w:rPr>
              <w:t>*</w:t>
            </w:r>
            <w:r w:rsidRPr="00AA4729">
              <w:rPr>
                <w:noProof/>
                <w:sz w:val="22"/>
                <w:szCs w:val="22"/>
              </w:rPr>
              <w:t xml:space="preserve"> If delayed beyond 72 hours, the dose should be given up to 10 days from the sensitising event, but may have lower efficacy.</w:t>
            </w:r>
          </w:p>
          <w:p w14:paraId="7D3DEBE8" w14:textId="6D9B9400" w:rsidR="006C1F53" w:rsidRPr="00A4021C" w:rsidRDefault="00881A44" w:rsidP="00962939">
            <w:pPr>
              <w:pStyle w:val="Tabletext"/>
              <w:rPr>
                <w:rFonts w:asciiTheme="minorHAnsi" w:hAnsiTheme="minorHAnsi" w:cstheme="minorHAnsi"/>
                <w:bCs/>
                <w:noProof/>
                <w:sz w:val="21"/>
                <w:szCs w:val="21"/>
              </w:rPr>
            </w:pPr>
            <w:r>
              <w:rPr>
                <w:noProof/>
                <w:vertAlign w:val="superscript"/>
              </w:rPr>
              <w:t>*</w:t>
            </w:r>
            <w:r w:rsidR="006C1F53" w:rsidRPr="00C42583">
              <w:rPr>
                <w:noProof/>
                <w:vertAlign w:val="superscript"/>
              </w:rPr>
              <w:t xml:space="preserve"> </w:t>
            </w:r>
            <w:r w:rsidR="006C1F53" w:rsidRPr="00C42583">
              <w:rPr>
                <w:noProof/>
              </w:rPr>
              <w:t xml:space="preserve">See </w:t>
            </w:r>
            <w:r w:rsidRPr="00881A44">
              <w:rPr>
                <w:rFonts w:asciiTheme="minorHAnsi" w:hAnsiTheme="minorHAnsi" w:cstheme="minorHAnsi"/>
                <w:i/>
                <w:iCs/>
                <w:szCs w:val="20"/>
                <w:bdr w:val="none" w:sz="0" w:space="0" w:color="auto" w:frame="1"/>
                <w:shd w:val="clear" w:color="auto" w:fill="FFFFFF"/>
              </w:rPr>
              <w:t>Dosing of Rh D immunoglobulin following fetomaternal haemorrhage quantitation</w:t>
            </w:r>
            <w:r w:rsidR="006C1F53" w:rsidRPr="00C42583">
              <w:rPr>
                <w:noProof/>
              </w:rPr>
              <w:t>.</w:t>
            </w:r>
          </w:p>
        </w:tc>
      </w:tr>
      <w:tr w:rsidR="006C1F53" w:rsidRPr="00C42583" w14:paraId="7911FAB3" w14:textId="77777777" w:rsidTr="00A34103">
        <w:trPr>
          <w:cantSplit/>
        </w:trPr>
        <w:tc>
          <w:tcPr>
            <w:tcW w:w="851" w:type="dxa"/>
            <w:shd w:val="clear" w:color="auto" w:fill="467ABA"/>
          </w:tcPr>
          <w:p w14:paraId="360CC4F9" w14:textId="69EA5C7E"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EOP1</w:t>
            </w:r>
            <w:r w:rsidR="000837E7">
              <w:rPr>
                <w:b/>
                <w:bCs/>
                <w:noProof/>
                <w:color w:val="FFFFFF" w:themeColor="background1"/>
                <w:sz w:val="24"/>
                <w:szCs w:val="24"/>
              </w:rPr>
              <w:t>3</w:t>
            </w:r>
          </w:p>
        </w:tc>
        <w:tc>
          <w:tcPr>
            <w:tcW w:w="9923" w:type="dxa"/>
          </w:tcPr>
          <w:p w14:paraId="0B3143AF" w14:textId="7E61705D" w:rsidR="006C1F53" w:rsidRPr="00AA4729" w:rsidRDefault="006C1F53" w:rsidP="00962939">
            <w:pPr>
              <w:pStyle w:val="Tabletext"/>
              <w:rPr>
                <w:rFonts w:asciiTheme="minorHAnsi" w:eastAsiaTheme="minorHAnsi" w:hAnsiTheme="minorHAnsi" w:cstheme="minorHAnsi"/>
                <w:noProof/>
                <w:sz w:val="22"/>
                <w:szCs w:val="22"/>
              </w:rPr>
            </w:pPr>
            <w:r w:rsidRPr="00AA4729">
              <w:rPr>
                <w:noProof/>
                <w:sz w:val="22"/>
                <w:szCs w:val="22"/>
              </w:rPr>
              <w:t xml:space="preserve">For large bleeds ≥ 6 mL of fetal red cells (equivalent to 12 mL of whole blood), follow-up testing should be performed on a sample collected 48 hours post intravenous Rh D immunoglobulin administration or 72 hours post intramuscular Rh D immunoglobulin administration, to determine whether further dosing is required. Supplemental Rh D immunoglobulin should be administered if the test for </w:t>
            </w:r>
            <w:r w:rsidRPr="00AA4729">
              <w:rPr>
                <w:rFonts w:asciiTheme="minorHAnsi" w:eastAsiaTheme="minorHAnsi" w:hAnsiTheme="minorHAnsi" w:cstheme="minorHAnsi"/>
                <w:noProof/>
                <w:sz w:val="22"/>
                <w:szCs w:val="22"/>
              </w:rPr>
              <w:t>FMH is still positive.</w:t>
            </w:r>
            <w:r w:rsidR="00881A44">
              <w:rPr>
                <w:rFonts w:asciiTheme="minorHAnsi" w:eastAsiaTheme="minorHAnsi" w:hAnsiTheme="minorHAnsi" w:cstheme="minorHAnsi"/>
                <w:noProof/>
                <w:sz w:val="22"/>
                <w:szCs w:val="22"/>
                <w:vertAlign w:val="superscript"/>
              </w:rPr>
              <w:t>*</w:t>
            </w:r>
            <w:r w:rsidRPr="00AA4729">
              <w:rPr>
                <w:rFonts w:asciiTheme="minorHAnsi" w:eastAsiaTheme="minorHAnsi" w:hAnsiTheme="minorHAnsi" w:cstheme="minorHAnsi"/>
                <w:noProof/>
                <w:sz w:val="22"/>
                <w:szCs w:val="22"/>
              </w:rPr>
              <w:t xml:space="preserve"> If testing for fetal cells is negative on a follow-up sample, no further testing is required.</w:t>
            </w:r>
          </w:p>
          <w:p w14:paraId="06DA2033" w14:textId="33A9171B" w:rsidR="006C1F53" w:rsidRPr="00A4021C" w:rsidRDefault="00881A44" w:rsidP="00962939">
            <w:pPr>
              <w:pStyle w:val="Tabletext"/>
              <w:rPr>
                <w:rFonts w:asciiTheme="minorHAnsi" w:hAnsiTheme="minorHAnsi" w:cstheme="minorHAnsi"/>
                <w:bCs/>
                <w:noProof/>
                <w:sz w:val="21"/>
                <w:szCs w:val="21"/>
              </w:rPr>
            </w:pPr>
            <w:r>
              <w:rPr>
                <w:noProof/>
                <w:vertAlign w:val="superscript"/>
              </w:rPr>
              <w:t>*</w:t>
            </w:r>
            <w:r w:rsidR="006C1F53" w:rsidRPr="00C42583">
              <w:rPr>
                <w:noProof/>
                <w:vertAlign w:val="superscript"/>
              </w:rPr>
              <w:t xml:space="preserve"> </w:t>
            </w:r>
            <w:r w:rsidR="006C1F53" w:rsidRPr="00C42583">
              <w:rPr>
                <w:noProof/>
              </w:rPr>
              <w:t xml:space="preserve">See </w:t>
            </w:r>
            <w:r w:rsidRPr="00881A44">
              <w:rPr>
                <w:rFonts w:asciiTheme="minorHAnsi" w:hAnsiTheme="minorHAnsi" w:cstheme="minorHAnsi"/>
                <w:i/>
                <w:iCs/>
                <w:szCs w:val="20"/>
                <w:bdr w:val="none" w:sz="0" w:space="0" w:color="auto" w:frame="1"/>
                <w:shd w:val="clear" w:color="auto" w:fill="FFFFFF"/>
              </w:rPr>
              <w:t>Dosing of Rh D immunoglobulin following fetomaternal haemorrhage quantitation</w:t>
            </w:r>
            <w:r w:rsidR="006C1F53" w:rsidRPr="00C42583">
              <w:rPr>
                <w:noProof/>
              </w:rPr>
              <w:t>.</w:t>
            </w:r>
          </w:p>
        </w:tc>
      </w:tr>
      <w:tr w:rsidR="00A4021C" w:rsidRPr="00145576" w14:paraId="684B7B20" w14:textId="77777777" w:rsidTr="00A34103">
        <w:trPr>
          <w:cantSplit/>
        </w:trPr>
        <w:tc>
          <w:tcPr>
            <w:tcW w:w="10774" w:type="dxa"/>
            <w:gridSpan w:val="2"/>
            <w:shd w:val="clear" w:color="auto" w:fill="D2E4EE"/>
          </w:tcPr>
          <w:p w14:paraId="6FC15E4C" w14:textId="77777777" w:rsidR="00A4021C" w:rsidRPr="00145576" w:rsidRDefault="00A4021C" w:rsidP="00962939">
            <w:pPr>
              <w:pStyle w:val="TableH1"/>
              <w:rPr>
                <w:b/>
                <w:bCs/>
                <w:noProof/>
                <w:color w:val="auto"/>
                <w:szCs w:val="21"/>
              </w:rPr>
            </w:pPr>
            <w:bookmarkStart w:id="4" w:name="_Hlk127788505"/>
            <w:r w:rsidRPr="00145576">
              <w:rPr>
                <w:b/>
                <w:bCs/>
                <w:noProof/>
                <w:color w:val="auto"/>
                <w:szCs w:val="21"/>
              </w:rPr>
              <w:t>Targeted immunoprophylaxis in postnatal Rh D negative women</w:t>
            </w:r>
          </w:p>
        </w:tc>
      </w:tr>
      <w:bookmarkEnd w:id="4"/>
      <w:tr w:rsidR="006C1F53" w:rsidRPr="00C42583" w14:paraId="7837C824" w14:textId="77777777" w:rsidTr="00A34103">
        <w:trPr>
          <w:cantSplit/>
        </w:trPr>
        <w:tc>
          <w:tcPr>
            <w:tcW w:w="851" w:type="dxa"/>
            <w:shd w:val="clear" w:color="auto" w:fill="648F90"/>
          </w:tcPr>
          <w:p w14:paraId="32BF5BA9" w14:textId="77777777"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R8</w:t>
            </w:r>
          </w:p>
        </w:tc>
        <w:tc>
          <w:tcPr>
            <w:tcW w:w="9923" w:type="dxa"/>
          </w:tcPr>
          <w:p w14:paraId="66A6F201" w14:textId="2EFF6F24" w:rsidR="006C1F53" w:rsidRPr="00AA4729" w:rsidRDefault="006C1F53" w:rsidP="00962939">
            <w:pPr>
              <w:pStyle w:val="Tabletext"/>
              <w:rPr>
                <w:rFonts w:asciiTheme="minorHAnsi" w:hAnsiTheme="minorHAnsi" w:cstheme="minorHAnsi"/>
                <w:i/>
                <w:iCs/>
                <w:szCs w:val="20"/>
              </w:rPr>
            </w:pPr>
            <w:r w:rsidRPr="00AA4729">
              <w:rPr>
                <w:sz w:val="22"/>
                <w:szCs w:val="22"/>
              </w:rPr>
              <w:t xml:space="preserve">The ERG currently </w:t>
            </w:r>
            <w:r w:rsidRPr="00AA4729">
              <w:rPr>
                <w:b/>
                <w:bCs/>
                <w:sz w:val="22"/>
                <w:szCs w:val="22"/>
              </w:rPr>
              <w:t>recommends</w:t>
            </w:r>
            <w:r w:rsidRPr="00AA4729">
              <w:rPr>
                <w:sz w:val="22"/>
                <w:szCs w:val="22"/>
              </w:rPr>
              <w:t xml:space="preserve"> that postnatal Rh D immunoprophylaxis (Rh D immunoglobulin 625 IU) continue to be administered to all Rh D negative women with no preformed anti-D antibodies who have a baby who is predicted to be Rh D positive based on NIPT for fetal </w:t>
            </w:r>
            <w:r w:rsidRPr="00AA4729">
              <w:rPr>
                <w:i/>
                <w:sz w:val="22"/>
                <w:szCs w:val="22"/>
              </w:rPr>
              <w:t>RHD</w:t>
            </w:r>
            <w:r w:rsidRPr="00AA4729">
              <w:rPr>
                <w:sz w:val="22"/>
                <w:szCs w:val="22"/>
              </w:rPr>
              <w:t>, or cord blood or neonatal Rh D typing.</w:t>
            </w:r>
            <w:r w:rsidR="00881A44">
              <w:rPr>
                <w:sz w:val="22"/>
                <w:szCs w:val="22"/>
                <w:vertAlign w:val="superscript"/>
              </w:rPr>
              <w:t>*</w:t>
            </w:r>
            <w:r w:rsidRPr="00AA4729">
              <w:rPr>
                <w:sz w:val="22"/>
                <w:szCs w:val="22"/>
              </w:rPr>
              <w:t xml:space="preserve"> The cord blood or neonatal testing should be performed regardless of the results of NIPT for fetal </w:t>
            </w:r>
            <w:r w:rsidRPr="00AA4729">
              <w:rPr>
                <w:i/>
                <w:iCs/>
                <w:sz w:val="22"/>
                <w:szCs w:val="22"/>
              </w:rPr>
              <w:t>RHD</w:t>
            </w:r>
            <w:r w:rsidRPr="00AA4729">
              <w:rPr>
                <w:sz w:val="22"/>
                <w:szCs w:val="22"/>
              </w:rPr>
              <w:t xml:space="preserve">, but need not delay administration of Rh D immunoprophylaxis when the fetus has been shown to be </w:t>
            </w:r>
            <w:r w:rsidRPr="00AA4729">
              <w:rPr>
                <w:i/>
                <w:iCs/>
                <w:sz w:val="22"/>
                <w:szCs w:val="22"/>
              </w:rPr>
              <w:t>RHD</w:t>
            </w:r>
            <w:r w:rsidRPr="00AA4729">
              <w:rPr>
                <w:sz w:val="22"/>
                <w:szCs w:val="22"/>
              </w:rPr>
              <w:t xml:space="preserve"> positive by NIPT testing. If the baby is Rh D positive, administer Rh D immunoglobulin even if the NIPT predicted an Rh D negative baby.</w:t>
            </w:r>
            <w:r w:rsidRPr="00AA4729">
              <w:rPr>
                <w:sz w:val="22"/>
                <w:szCs w:val="22"/>
              </w:rPr>
              <w:br/>
            </w:r>
            <w:r w:rsidRPr="00AA4729">
              <w:rPr>
                <w:rFonts w:asciiTheme="minorHAnsi" w:hAnsiTheme="minorHAnsi" w:cstheme="minorHAnsi"/>
                <w:i/>
                <w:iCs/>
                <w:szCs w:val="20"/>
              </w:rPr>
              <w:t>(Strong recommendation, high certainty of evidence)</w:t>
            </w:r>
          </w:p>
          <w:p w14:paraId="3C99ED77" w14:textId="6E63E5A2" w:rsidR="006C1F53" w:rsidRPr="00C42583" w:rsidRDefault="00881A44" w:rsidP="00962939">
            <w:pPr>
              <w:spacing w:before="20" w:after="20"/>
              <w:ind w:left="57" w:right="57"/>
              <w:rPr>
                <w:rFonts w:asciiTheme="minorHAnsi" w:eastAsia="Calibri" w:hAnsiTheme="minorHAnsi" w:cstheme="minorHAnsi"/>
                <w:bCs/>
                <w:noProof/>
                <w:szCs w:val="20"/>
              </w:rPr>
            </w:pPr>
            <w:r>
              <w:rPr>
                <w:noProof/>
                <w:sz w:val="20"/>
                <w:szCs w:val="20"/>
                <w:vertAlign w:val="superscript"/>
              </w:rPr>
              <w:t>*</w:t>
            </w:r>
            <w:r w:rsidR="006C1F53" w:rsidRPr="00AA4729">
              <w:rPr>
                <w:noProof/>
                <w:sz w:val="20"/>
                <w:szCs w:val="20"/>
              </w:rPr>
              <w:t xml:space="preserve"> If the newborn has a weak or variant Rh D type, consult a haematopathologist in regard to interpretation of results and management.</w:t>
            </w:r>
          </w:p>
        </w:tc>
      </w:tr>
      <w:tr w:rsidR="00A4021C" w:rsidRPr="00145576" w14:paraId="760A56F8" w14:textId="77777777" w:rsidTr="00A34103">
        <w:trPr>
          <w:cantSplit/>
        </w:trPr>
        <w:tc>
          <w:tcPr>
            <w:tcW w:w="10774" w:type="dxa"/>
            <w:gridSpan w:val="2"/>
            <w:shd w:val="clear" w:color="auto" w:fill="D2E4EE"/>
          </w:tcPr>
          <w:p w14:paraId="0F060C16" w14:textId="77777777" w:rsidR="00A4021C" w:rsidRPr="00145576" w:rsidRDefault="00A4021C" w:rsidP="00962939">
            <w:pPr>
              <w:pStyle w:val="TableH1"/>
              <w:rPr>
                <w:b/>
                <w:bCs/>
                <w:noProof/>
                <w:color w:val="auto"/>
              </w:rPr>
            </w:pPr>
            <w:r w:rsidRPr="00145576">
              <w:rPr>
                <w:b/>
                <w:bCs/>
                <w:noProof/>
                <w:color w:val="auto"/>
                <w:szCs w:val="21"/>
              </w:rPr>
              <w:t>High body mass index (BMI)</w:t>
            </w:r>
          </w:p>
        </w:tc>
      </w:tr>
      <w:tr w:rsidR="006C1F53" w:rsidRPr="00C42583" w14:paraId="63709D4E" w14:textId="77777777" w:rsidTr="00A34103">
        <w:trPr>
          <w:cantSplit/>
        </w:trPr>
        <w:tc>
          <w:tcPr>
            <w:tcW w:w="851" w:type="dxa"/>
            <w:shd w:val="clear" w:color="auto" w:fill="DE9716"/>
          </w:tcPr>
          <w:p w14:paraId="05B76407" w14:textId="77777777"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R12</w:t>
            </w:r>
          </w:p>
        </w:tc>
        <w:tc>
          <w:tcPr>
            <w:tcW w:w="9923" w:type="dxa"/>
          </w:tcPr>
          <w:p w14:paraId="79E1B884" w14:textId="68961CA6" w:rsidR="006C1F53" w:rsidRPr="00C42583" w:rsidRDefault="006C1F53" w:rsidP="00962939">
            <w:pPr>
              <w:spacing w:before="20" w:after="20"/>
              <w:ind w:left="57" w:right="57"/>
              <w:rPr>
                <w:rFonts w:asciiTheme="minorHAnsi" w:eastAsia="Calibri" w:hAnsiTheme="minorHAnsi" w:cstheme="minorHAnsi"/>
                <w:bCs/>
                <w:noProof/>
                <w:szCs w:val="20"/>
              </w:rPr>
            </w:pPr>
            <w:r w:rsidRPr="00AA4729">
              <w:rPr>
                <w:noProof/>
              </w:rPr>
              <w:t xml:space="preserve">The ERG </w:t>
            </w:r>
            <w:r w:rsidRPr="00AA4729">
              <w:rPr>
                <w:b/>
                <w:bCs/>
                <w:noProof/>
              </w:rPr>
              <w:t xml:space="preserve">does not currently support </w:t>
            </w:r>
            <w:r w:rsidRPr="00AA4729">
              <w:rPr>
                <w:bCs/>
                <w:noProof/>
              </w:rPr>
              <w:t xml:space="preserve">an increased dose of Rh D immunoglobulin or changes in </w:t>
            </w:r>
            <w:r w:rsidRPr="00AA4729">
              <w:rPr>
                <w:noProof/>
              </w:rPr>
              <w:t>laboratory testing on the basis of high BMI in Rh D negative pregnant women.</w:t>
            </w:r>
            <w:r w:rsidRPr="00C42583">
              <w:rPr>
                <w:noProof/>
              </w:rPr>
              <w:br/>
            </w:r>
            <w:r w:rsidRPr="00AA4729">
              <w:rPr>
                <w:i/>
                <w:iCs/>
                <w:noProof/>
                <w:sz w:val="20"/>
                <w:szCs w:val="20"/>
              </w:rPr>
              <w:t>(Weak recommendation, very low certainty of evidence about the size of effect)</w:t>
            </w:r>
          </w:p>
        </w:tc>
      </w:tr>
      <w:tr w:rsidR="006C1F53" w:rsidRPr="00C42583" w14:paraId="00237F9D" w14:textId="77777777" w:rsidTr="00A34103">
        <w:trPr>
          <w:cantSplit/>
        </w:trPr>
        <w:tc>
          <w:tcPr>
            <w:tcW w:w="851" w:type="dxa"/>
            <w:shd w:val="clear" w:color="auto" w:fill="467ABA"/>
          </w:tcPr>
          <w:p w14:paraId="724FB531" w14:textId="00470D99" w:rsidR="006C1F53" w:rsidRPr="00145576" w:rsidRDefault="006C1F53" w:rsidP="00962939">
            <w:pPr>
              <w:pStyle w:val="TableH1"/>
              <w:rPr>
                <w:b/>
                <w:bCs/>
                <w:noProof/>
                <w:color w:val="FFFFFF" w:themeColor="background1"/>
                <w:sz w:val="24"/>
                <w:szCs w:val="24"/>
              </w:rPr>
            </w:pPr>
            <w:r w:rsidRPr="00145576">
              <w:rPr>
                <w:b/>
                <w:bCs/>
                <w:noProof/>
                <w:color w:val="FFFFFF" w:themeColor="background1"/>
                <w:sz w:val="24"/>
                <w:szCs w:val="24"/>
              </w:rPr>
              <w:t>EOP</w:t>
            </w:r>
            <w:r w:rsidR="000837E7">
              <w:rPr>
                <w:b/>
                <w:bCs/>
                <w:noProof/>
                <w:color w:val="FFFFFF" w:themeColor="background1"/>
                <w:sz w:val="24"/>
                <w:szCs w:val="24"/>
              </w:rPr>
              <w:t>7</w:t>
            </w:r>
          </w:p>
        </w:tc>
        <w:tc>
          <w:tcPr>
            <w:tcW w:w="9923" w:type="dxa"/>
          </w:tcPr>
          <w:p w14:paraId="166A1E92" w14:textId="3B7C219A" w:rsidR="006C1F53" w:rsidRPr="00AA4729" w:rsidRDefault="006C1F53" w:rsidP="0052109B">
            <w:pPr>
              <w:ind w:left="88"/>
              <w:rPr>
                <w:rFonts w:asciiTheme="minorHAnsi" w:eastAsia="Calibri" w:hAnsiTheme="minorHAnsi" w:cstheme="minorHAnsi"/>
              </w:rPr>
            </w:pPr>
            <w:r w:rsidRPr="00AA4729">
              <w:rPr>
                <w:noProof/>
              </w:rPr>
              <w:t>Rh D immunoglobulin must be given by deep intramuscular injection. For women with a BMI of more than 30, particular consideration should be given to factors that may affect the adequacy of the injection (e.g. the site of administration and the length of the needle used).</w:t>
            </w:r>
          </w:p>
        </w:tc>
      </w:tr>
    </w:tbl>
    <w:p w14:paraId="65DA0316" w14:textId="320A5171" w:rsidR="0052109B" w:rsidRPr="0052109B" w:rsidRDefault="00881A44" w:rsidP="00957A5D">
      <w:pPr>
        <w:pStyle w:val="CommentText"/>
        <w:spacing w:after="60"/>
        <w:rPr>
          <w:sz w:val="18"/>
          <w:szCs w:val="18"/>
        </w:rPr>
      </w:pPr>
      <w:r>
        <w:rPr>
          <w:sz w:val="18"/>
          <w:szCs w:val="18"/>
        </w:rPr>
        <w:t xml:space="preserve">ABO: ABO blood group system; </w:t>
      </w:r>
      <w:r w:rsidR="0052109B" w:rsidRPr="0052109B">
        <w:rPr>
          <w:sz w:val="18"/>
          <w:szCs w:val="18"/>
        </w:rPr>
        <w:t xml:space="preserve">BMI: body mass index; EOP: expert opinion point; ERG: Expert Reference Group; FMH: fetomaternal haemorrhage; IU: international units; NIPT: non-invasive prenatal testing; R: recommendation. </w:t>
      </w:r>
    </w:p>
    <w:p w14:paraId="77B552A2" w14:textId="77777777" w:rsidR="0052109B" w:rsidRPr="0052109B" w:rsidRDefault="0052109B" w:rsidP="0052109B">
      <w:pPr>
        <w:pStyle w:val="CommentText"/>
        <w:spacing w:after="0"/>
        <w:rPr>
          <w:sz w:val="18"/>
          <w:szCs w:val="18"/>
        </w:rPr>
      </w:pPr>
      <w:r w:rsidRPr="0052109B">
        <w:rPr>
          <w:sz w:val="18"/>
          <w:szCs w:val="18"/>
        </w:rPr>
        <w:t>anti-D - refers to circulating antibodies; RHD - refers to genotype; Rh D immunoglobulin - refers to the product; Rh D positive/negative - refers to blood type.</w:t>
      </w:r>
    </w:p>
    <w:p w14:paraId="115B0999" w14:textId="04D516FD" w:rsidR="00AA4729" w:rsidRDefault="00AA4729" w:rsidP="006C1F53"/>
    <w:p w14:paraId="3576419E" w14:textId="0DA01F78" w:rsidR="00A5685C" w:rsidRPr="004E5A56" w:rsidRDefault="00A5685C" w:rsidP="003465E7">
      <w:pPr>
        <w:pStyle w:val="Heading2"/>
        <w:rPr>
          <w:noProof/>
          <w:sz w:val="36"/>
        </w:rPr>
      </w:pPr>
      <w:r w:rsidRPr="004E5A56">
        <w:rPr>
          <w:noProof/>
          <w:sz w:val="36"/>
        </w:rPr>
        <w:t>Summary of guidance on the use and timing of pathology testing</w:t>
      </w:r>
      <w:bookmarkEnd w:id="1"/>
      <w:r w:rsidRPr="004E5A56">
        <w:rPr>
          <w:noProof/>
          <w:sz w:val="36"/>
        </w:rPr>
        <w:t xml:space="preserve"> </w:t>
      </w:r>
    </w:p>
    <w:tbl>
      <w:tblPr>
        <w:tblStyle w:val="TableGrid"/>
        <w:tblW w:w="10661" w:type="dxa"/>
        <w:tblInd w:w="-34" w:type="dxa"/>
        <w:tblLayout w:type="fixed"/>
        <w:tblLook w:val="04A0" w:firstRow="1" w:lastRow="0" w:firstColumn="1" w:lastColumn="0" w:noHBand="0" w:noVBand="1"/>
      </w:tblPr>
      <w:tblGrid>
        <w:gridCol w:w="2581"/>
        <w:gridCol w:w="3685"/>
        <w:gridCol w:w="4395"/>
      </w:tblGrid>
      <w:tr w:rsidR="001544D2" w:rsidRPr="005A6BDA" w14:paraId="30100057" w14:textId="77777777" w:rsidTr="0052109B">
        <w:trPr>
          <w:trHeight w:val="159"/>
        </w:trPr>
        <w:tc>
          <w:tcPr>
            <w:tcW w:w="2581" w:type="dxa"/>
            <w:tcBorders>
              <w:bottom w:val="single" w:sz="4" w:space="0" w:color="auto"/>
            </w:tcBorders>
            <w:shd w:val="clear" w:color="auto" w:fill="336A89"/>
            <w:vAlign w:val="center"/>
          </w:tcPr>
          <w:p w14:paraId="14C00898" w14:textId="77777777" w:rsidR="001544D2" w:rsidRPr="00E575BC" w:rsidRDefault="001544D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Test</w:t>
            </w:r>
          </w:p>
        </w:tc>
        <w:tc>
          <w:tcPr>
            <w:tcW w:w="3685" w:type="dxa"/>
            <w:tcBorders>
              <w:bottom w:val="single" w:sz="4" w:space="0" w:color="auto"/>
            </w:tcBorders>
            <w:shd w:val="clear" w:color="auto" w:fill="336A89"/>
            <w:vAlign w:val="center"/>
          </w:tcPr>
          <w:p w14:paraId="2616598E" w14:textId="77777777" w:rsidR="001544D2" w:rsidRPr="00E575BC" w:rsidRDefault="001544D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Timing</w:t>
            </w:r>
          </w:p>
        </w:tc>
        <w:tc>
          <w:tcPr>
            <w:tcW w:w="4395" w:type="dxa"/>
            <w:tcBorders>
              <w:bottom w:val="single" w:sz="4" w:space="0" w:color="auto"/>
            </w:tcBorders>
            <w:shd w:val="clear" w:color="auto" w:fill="336A89"/>
            <w:vAlign w:val="center"/>
          </w:tcPr>
          <w:p w14:paraId="4276681D" w14:textId="77777777" w:rsidR="001544D2" w:rsidRPr="00E575BC" w:rsidRDefault="001544D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Target group</w:t>
            </w:r>
          </w:p>
        </w:tc>
      </w:tr>
      <w:tr w:rsidR="001544D2" w:rsidRPr="005A6BDA" w14:paraId="0701830A" w14:textId="77777777" w:rsidTr="0052109B">
        <w:tc>
          <w:tcPr>
            <w:tcW w:w="2581" w:type="dxa"/>
          </w:tcPr>
          <w:p w14:paraId="70E9DCFF"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ABO/Rh D type and antibody screen</w:t>
            </w:r>
          </w:p>
        </w:tc>
        <w:tc>
          <w:tcPr>
            <w:tcW w:w="3685" w:type="dxa"/>
          </w:tcPr>
          <w:p w14:paraId="56D02935" w14:textId="33614E00"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First visit (</w:t>
            </w:r>
            <w:r w:rsidR="004B37AD">
              <w:rPr>
                <w:rFonts w:asciiTheme="minorHAnsi" w:hAnsiTheme="minorHAnsi" w:cstheme="minorHAnsi"/>
                <w:noProof/>
                <w:sz w:val="22"/>
                <w:szCs w:val="22"/>
              </w:rPr>
              <w:t>no later than</w:t>
            </w:r>
            <w:r w:rsidRPr="00E575BC">
              <w:rPr>
                <w:rFonts w:asciiTheme="minorHAnsi" w:hAnsiTheme="minorHAnsi" w:cstheme="minorHAnsi"/>
                <w:noProof/>
                <w:sz w:val="22"/>
                <w:szCs w:val="22"/>
              </w:rPr>
              <w:t xml:space="preserve"> 10 weeks)</w:t>
            </w:r>
          </w:p>
        </w:tc>
        <w:tc>
          <w:tcPr>
            <w:tcW w:w="4395" w:type="dxa"/>
          </w:tcPr>
          <w:p w14:paraId="0AC9B8CA"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All pregnant women</w:t>
            </w:r>
          </w:p>
        </w:tc>
      </w:tr>
      <w:tr w:rsidR="001544D2" w:rsidRPr="005A6BDA" w14:paraId="678E39F9" w14:textId="77777777" w:rsidTr="0052109B">
        <w:tc>
          <w:tcPr>
            <w:tcW w:w="2581" w:type="dxa"/>
          </w:tcPr>
          <w:p w14:paraId="600CC3AA"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 xml:space="preserve">NIPT </w:t>
            </w:r>
            <w:r w:rsidRPr="00E575BC">
              <w:rPr>
                <w:rFonts w:asciiTheme="minorHAnsi" w:hAnsiTheme="minorHAnsi" w:cstheme="minorHAnsi"/>
                <w:sz w:val="22"/>
                <w:szCs w:val="22"/>
              </w:rPr>
              <w:t xml:space="preserve">for fetal </w:t>
            </w:r>
            <w:r w:rsidRPr="00E575BC">
              <w:rPr>
                <w:rFonts w:asciiTheme="minorHAnsi" w:hAnsiTheme="minorHAnsi" w:cstheme="minorHAnsi"/>
                <w:i/>
                <w:iCs/>
                <w:sz w:val="22"/>
                <w:szCs w:val="22"/>
              </w:rPr>
              <w:t>RHD</w:t>
            </w:r>
          </w:p>
        </w:tc>
        <w:tc>
          <w:tcPr>
            <w:tcW w:w="3685" w:type="dxa"/>
          </w:tcPr>
          <w:p w14:paraId="64BB30F7" w14:textId="77777777" w:rsidR="001544D2" w:rsidRPr="00E575BC" w:rsidRDefault="001544D2" w:rsidP="00241494">
            <w:pPr>
              <w:pStyle w:val="Tabletext"/>
              <w:rPr>
                <w:noProof/>
                <w:sz w:val="22"/>
                <w:szCs w:val="22"/>
              </w:rPr>
            </w:pPr>
            <w:r w:rsidRPr="00E575BC">
              <w:rPr>
                <w:noProof/>
                <w:sz w:val="22"/>
                <w:szCs w:val="22"/>
              </w:rPr>
              <w:t>From 11</w:t>
            </w:r>
            <w:r w:rsidRPr="00E575BC">
              <w:rPr>
                <w:sz w:val="22"/>
                <w:szCs w:val="22"/>
                <w:vertAlign w:val="superscript"/>
              </w:rPr>
              <w:t>+0</w:t>
            </w:r>
            <w:r w:rsidRPr="00E575BC">
              <w:rPr>
                <w:noProof/>
                <w:sz w:val="22"/>
                <w:szCs w:val="22"/>
              </w:rPr>
              <w:t xml:space="preserve"> weeks of pregnancy</w:t>
            </w:r>
          </w:p>
        </w:tc>
        <w:tc>
          <w:tcPr>
            <w:tcW w:w="4395" w:type="dxa"/>
          </w:tcPr>
          <w:p w14:paraId="7C525642"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 xml:space="preserve">All Rh D negative pregnant women </w:t>
            </w:r>
          </w:p>
        </w:tc>
      </w:tr>
      <w:tr w:rsidR="001544D2" w:rsidRPr="005A6BDA" w14:paraId="7DAAA101" w14:textId="77777777" w:rsidTr="0052109B">
        <w:tc>
          <w:tcPr>
            <w:tcW w:w="2581" w:type="dxa"/>
          </w:tcPr>
          <w:p w14:paraId="5652E6CA" w14:textId="589BBA7A" w:rsidR="001544D2" w:rsidRPr="00E575BC" w:rsidRDefault="001544D2" w:rsidP="00241494">
            <w:pPr>
              <w:pStyle w:val="Tabletext"/>
              <w:widowControl w:val="0"/>
              <w:rPr>
                <w:rFonts w:asciiTheme="minorHAnsi" w:hAnsiTheme="minorHAnsi" w:cstheme="minorHAnsi"/>
                <w:noProof/>
                <w:sz w:val="22"/>
                <w:szCs w:val="22"/>
              </w:rPr>
            </w:pPr>
            <w:r w:rsidRPr="00E575BC">
              <w:rPr>
                <w:rFonts w:asciiTheme="minorHAnsi" w:hAnsiTheme="minorHAnsi" w:cstheme="minorHAnsi"/>
                <w:noProof/>
                <w:sz w:val="22"/>
                <w:szCs w:val="22"/>
              </w:rPr>
              <w:t>Magnitude of FMH</w:t>
            </w:r>
            <w:r>
              <w:rPr>
                <w:rFonts w:asciiTheme="minorHAnsi" w:hAnsiTheme="minorHAnsi" w:cstheme="minorHAnsi"/>
                <w:noProof/>
                <w:sz w:val="22"/>
                <w:szCs w:val="22"/>
                <w:vertAlign w:val="superscript"/>
              </w:rPr>
              <w:t>*</w:t>
            </w:r>
            <w:r w:rsidRPr="00E575BC">
              <w:rPr>
                <w:rFonts w:asciiTheme="minorHAnsi" w:hAnsiTheme="minorHAnsi" w:cstheme="minorHAnsi"/>
                <w:noProof/>
                <w:sz w:val="22"/>
                <w:szCs w:val="22"/>
              </w:rPr>
              <w:t xml:space="preserve"> </w:t>
            </w:r>
          </w:p>
        </w:tc>
        <w:tc>
          <w:tcPr>
            <w:tcW w:w="3685" w:type="dxa"/>
          </w:tcPr>
          <w:p w14:paraId="456CAB59" w14:textId="77777777" w:rsidR="001544D2" w:rsidRPr="00E575BC" w:rsidRDefault="001544D2" w:rsidP="00A5685C">
            <w:pPr>
              <w:pStyle w:val="Tabletext"/>
              <w:keepNext w:val="0"/>
              <w:widowControl w:val="0"/>
              <w:numPr>
                <w:ilvl w:val="0"/>
                <w:numId w:val="9"/>
              </w:numPr>
              <w:ind w:left="171" w:hanging="171"/>
              <w:rPr>
                <w:rFonts w:asciiTheme="minorHAnsi" w:hAnsiTheme="minorHAnsi" w:cstheme="minorHAnsi"/>
                <w:noProof/>
                <w:sz w:val="22"/>
                <w:szCs w:val="22"/>
              </w:rPr>
            </w:pPr>
            <w:r w:rsidRPr="00E575BC">
              <w:rPr>
                <w:rFonts w:asciiTheme="minorHAnsi" w:hAnsiTheme="minorHAnsi" w:cstheme="minorHAnsi"/>
                <w:noProof/>
                <w:sz w:val="22"/>
                <w:szCs w:val="22"/>
              </w:rPr>
              <w:t>After 20 weeks of pregnancy</w:t>
            </w:r>
          </w:p>
          <w:p w14:paraId="74F6589C" w14:textId="77777777" w:rsidR="001544D2" w:rsidRPr="00E575BC" w:rsidRDefault="001544D2" w:rsidP="00A5685C">
            <w:pPr>
              <w:pStyle w:val="Tabletext"/>
              <w:keepNext w:val="0"/>
              <w:widowControl w:val="0"/>
              <w:numPr>
                <w:ilvl w:val="0"/>
                <w:numId w:val="9"/>
              </w:numPr>
              <w:spacing w:before="120"/>
              <w:ind w:left="171" w:hanging="171"/>
              <w:rPr>
                <w:rFonts w:asciiTheme="minorHAnsi" w:hAnsiTheme="minorHAnsi" w:cstheme="minorHAnsi"/>
                <w:noProof/>
                <w:sz w:val="22"/>
                <w:szCs w:val="22"/>
              </w:rPr>
            </w:pPr>
            <w:r w:rsidRPr="00E575BC">
              <w:rPr>
                <w:rFonts w:asciiTheme="minorHAnsi" w:hAnsiTheme="minorHAnsi" w:cstheme="minorHAnsi"/>
                <w:noProof/>
                <w:sz w:val="22"/>
                <w:szCs w:val="22"/>
              </w:rPr>
              <w:t xml:space="preserve">At delivery </w:t>
            </w:r>
          </w:p>
        </w:tc>
        <w:tc>
          <w:tcPr>
            <w:tcW w:w="4395" w:type="dxa"/>
          </w:tcPr>
          <w:p w14:paraId="29B24C5D" w14:textId="77777777" w:rsidR="001544D2" w:rsidRPr="00E575BC" w:rsidRDefault="001544D2" w:rsidP="00241494">
            <w:pPr>
              <w:pStyle w:val="Tabletext"/>
              <w:rPr>
                <w:i/>
                <w:noProof/>
                <w:sz w:val="22"/>
                <w:szCs w:val="22"/>
              </w:rPr>
            </w:pPr>
            <w:r w:rsidRPr="00E575BC">
              <w:rPr>
                <w:noProof/>
                <w:sz w:val="22"/>
                <w:szCs w:val="22"/>
              </w:rPr>
              <w:t xml:space="preserve">Rh D negative women following </w:t>
            </w:r>
            <w:r w:rsidRPr="00E575BC">
              <w:rPr>
                <w:sz w:val="22"/>
                <w:szCs w:val="22"/>
              </w:rPr>
              <w:t>birth</w:t>
            </w:r>
            <w:r w:rsidRPr="00E575BC">
              <w:rPr>
                <w:noProof/>
                <w:sz w:val="22"/>
                <w:szCs w:val="22"/>
              </w:rPr>
              <w:t xml:space="preserve"> or a sensitising event during pregnancy (after 20 weeks)</w:t>
            </w:r>
          </w:p>
        </w:tc>
      </w:tr>
      <w:tr w:rsidR="001544D2" w:rsidRPr="005A6BDA" w14:paraId="2B1119E7" w14:textId="77777777" w:rsidTr="0052109B">
        <w:tc>
          <w:tcPr>
            <w:tcW w:w="2581" w:type="dxa"/>
          </w:tcPr>
          <w:p w14:paraId="15EFA61E" w14:textId="77777777" w:rsidR="001544D2" w:rsidRPr="00E575BC" w:rsidRDefault="001544D2" w:rsidP="00241494">
            <w:pPr>
              <w:pStyle w:val="Tabletext"/>
              <w:widowControl w:val="0"/>
              <w:rPr>
                <w:rFonts w:asciiTheme="minorHAnsi" w:hAnsiTheme="minorHAnsi" w:cstheme="minorHAnsi"/>
                <w:noProof/>
                <w:sz w:val="22"/>
                <w:szCs w:val="22"/>
              </w:rPr>
            </w:pPr>
            <w:r w:rsidRPr="00E575BC">
              <w:rPr>
                <w:rFonts w:asciiTheme="minorHAnsi" w:hAnsiTheme="minorHAnsi" w:cstheme="minorHAnsi"/>
                <w:noProof/>
                <w:sz w:val="22"/>
                <w:szCs w:val="22"/>
              </w:rPr>
              <w:t>Rh D type and antibody screen (Retest)</w:t>
            </w:r>
          </w:p>
        </w:tc>
        <w:tc>
          <w:tcPr>
            <w:tcW w:w="3685" w:type="dxa"/>
          </w:tcPr>
          <w:p w14:paraId="25C47F07"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28 weeks (prior to administration of Rh D immunoglobulin)</w:t>
            </w:r>
          </w:p>
        </w:tc>
        <w:tc>
          <w:tcPr>
            <w:tcW w:w="4395" w:type="dxa"/>
          </w:tcPr>
          <w:p w14:paraId="7E49F6DF" w14:textId="77777777" w:rsidR="001544D2" w:rsidRPr="00E575BC" w:rsidRDefault="001544D2" w:rsidP="00241494">
            <w:pPr>
              <w:pStyle w:val="Tabletext"/>
              <w:keepNext w:val="0"/>
              <w:widowControl w:val="0"/>
              <w:rPr>
                <w:rFonts w:asciiTheme="minorHAnsi" w:hAnsiTheme="minorHAnsi" w:cstheme="minorHAnsi"/>
                <w:i/>
                <w:noProof/>
                <w:sz w:val="22"/>
                <w:szCs w:val="22"/>
              </w:rPr>
            </w:pPr>
            <w:r w:rsidRPr="00E575BC">
              <w:rPr>
                <w:rFonts w:asciiTheme="minorHAnsi" w:hAnsiTheme="minorHAnsi" w:cstheme="minorHAnsi"/>
                <w:noProof/>
                <w:sz w:val="22"/>
                <w:szCs w:val="22"/>
              </w:rPr>
              <w:t xml:space="preserve">Rh D negative pregnant women (unless NIPT for fetal </w:t>
            </w:r>
            <w:r w:rsidRPr="00E575BC">
              <w:rPr>
                <w:rFonts w:asciiTheme="minorHAnsi" w:hAnsiTheme="minorHAnsi" w:cstheme="minorHAnsi"/>
                <w:i/>
                <w:noProof/>
                <w:sz w:val="22"/>
                <w:szCs w:val="22"/>
              </w:rPr>
              <w:t>RHD</w:t>
            </w:r>
            <w:r w:rsidRPr="00E575BC">
              <w:rPr>
                <w:rFonts w:asciiTheme="minorHAnsi" w:hAnsiTheme="minorHAnsi" w:cstheme="minorHAnsi"/>
                <w:noProof/>
                <w:sz w:val="22"/>
                <w:szCs w:val="22"/>
              </w:rPr>
              <w:t xml:space="preserve"> has predicted that they are not carrying an Rh D positive fetus)</w:t>
            </w:r>
          </w:p>
        </w:tc>
      </w:tr>
      <w:tr w:rsidR="001544D2" w:rsidRPr="005A6BDA" w14:paraId="54CF72B7" w14:textId="77777777" w:rsidTr="0052109B">
        <w:tc>
          <w:tcPr>
            <w:tcW w:w="2581" w:type="dxa"/>
          </w:tcPr>
          <w:p w14:paraId="4A1B7860" w14:textId="77777777" w:rsidR="001544D2" w:rsidRPr="00E575BC" w:rsidRDefault="001544D2" w:rsidP="00241494">
            <w:pPr>
              <w:pStyle w:val="Tabletext"/>
              <w:widowControl w:val="0"/>
              <w:rPr>
                <w:rFonts w:asciiTheme="minorHAnsi" w:hAnsiTheme="minorHAnsi" w:cstheme="minorHAnsi"/>
                <w:noProof/>
                <w:sz w:val="22"/>
                <w:szCs w:val="22"/>
              </w:rPr>
            </w:pPr>
            <w:r w:rsidRPr="00E575BC">
              <w:rPr>
                <w:rFonts w:asciiTheme="minorHAnsi" w:hAnsiTheme="minorHAnsi" w:cstheme="minorHAnsi"/>
                <w:noProof/>
                <w:sz w:val="22"/>
                <w:szCs w:val="22"/>
              </w:rPr>
              <w:t>Cord blood or neonatal testing for Rh D ty</w:t>
            </w:r>
            <w:r>
              <w:rPr>
                <w:rFonts w:asciiTheme="minorHAnsi" w:hAnsiTheme="minorHAnsi" w:cstheme="minorHAnsi"/>
                <w:noProof/>
                <w:sz w:val="22"/>
                <w:szCs w:val="22"/>
              </w:rPr>
              <w:t>pe and direct antiglobulin test</w:t>
            </w:r>
          </w:p>
        </w:tc>
        <w:tc>
          <w:tcPr>
            <w:tcW w:w="3685" w:type="dxa"/>
          </w:tcPr>
          <w:p w14:paraId="1AE5E354" w14:textId="77777777"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At delivery</w:t>
            </w:r>
          </w:p>
        </w:tc>
        <w:tc>
          <w:tcPr>
            <w:tcW w:w="4395" w:type="dxa"/>
          </w:tcPr>
          <w:p w14:paraId="004EC8F0" w14:textId="77777777" w:rsidR="001544D2" w:rsidRPr="00E575BC" w:rsidRDefault="001544D2" w:rsidP="00241494">
            <w:pPr>
              <w:pStyle w:val="Tabletext"/>
              <w:keepNext w:val="0"/>
              <w:widowControl w:val="0"/>
              <w:rPr>
                <w:rFonts w:asciiTheme="minorHAnsi" w:hAnsiTheme="minorHAnsi" w:cstheme="minorHAnsi"/>
                <w:sz w:val="22"/>
                <w:szCs w:val="22"/>
              </w:rPr>
            </w:pPr>
            <w:r w:rsidRPr="00E575BC">
              <w:rPr>
                <w:rFonts w:asciiTheme="minorHAnsi" w:hAnsiTheme="minorHAnsi" w:cstheme="minorHAnsi"/>
                <w:noProof/>
                <w:sz w:val="22"/>
                <w:szCs w:val="22"/>
              </w:rPr>
              <w:t>All babies of Rh D negative women</w:t>
            </w:r>
          </w:p>
        </w:tc>
      </w:tr>
      <w:tr w:rsidR="001544D2" w:rsidRPr="005A6BDA" w14:paraId="681384F0" w14:textId="77777777" w:rsidTr="0052109B">
        <w:tc>
          <w:tcPr>
            <w:tcW w:w="2581" w:type="dxa"/>
          </w:tcPr>
          <w:p w14:paraId="3570B471" w14:textId="730A7481" w:rsidR="001544D2" w:rsidRPr="00E575BC" w:rsidRDefault="001544D2" w:rsidP="00241494">
            <w:pPr>
              <w:pStyle w:val="Tabletext"/>
              <w:keepNext w:val="0"/>
              <w:widowControl w:val="0"/>
              <w:ind w:right="39"/>
              <w:rPr>
                <w:rFonts w:asciiTheme="minorHAnsi" w:hAnsiTheme="minorHAnsi" w:cstheme="minorHAnsi"/>
                <w:noProof/>
                <w:sz w:val="22"/>
                <w:szCs w:val="22"/>
              </w:rPr>
            </w:pPr>
            <w:r w:rsidRPr="00E575BC">
              <w:rPr>
                <w:rFonts w:asciiTheme="minorHAnsi" w:hAnsiTheme="minorHAnsi" w:cstheme="minorHAnsi"/>
                <w:noProof/>
                <w:sz w:val="22"/>
                <w:szCs w:val="22"/>
              </w:rPr>
              <w:t>Follow up testing for large FMH</w:t>
            </w:r>
            <w:r>
              <w:rPr>
                <w:rFonts w:asciiTheme="minorHAnsi" w:hAnsiTheme="minorHAnsi" w:cstheme="minorHAnsi"/>
                <w:noProof/>
                <w:sz w:val="22"/>
                <w:szCs w:val="22"/>
                <w:vertAlign w:val="superscript"/>
              </w:rPr>
              <w:t>*</w:t>
            </w:r>
            <w:r w:rsidRPr="00E575BC">
              <w:rPr>
                <w:rFonts w:asciiTheme="minorHAnsi" w:hAnsiTheme="minorHAnsi" w:cstheme="minorHAnsi"/>
                <w:noProof/>
                <w:sz w:val="22"/>
                <w:szCs w:val="22"/>
              </w:rPr>
              <w:t xml:space="preserve"> </w:t>
            </w:r>
          </w:p>
        </w:tc>
        <w:tc>
          <w:tcPr>
            <w:tcW w:w="3685" w:type="dxa"/>
          </w:tcPr>
          <w:p w14:paraId="3FC72459" w14:textId="40304D41" w:rsidR="001544D2" w:rsidRPr="00E575BC" w:rsidRDefault="001544D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48 hours post IV Rh D immunoglobulin admin</w:t>
            </w:r>
            <w:r w:rsidR="00957A5D">
              <w:rPr>
                <w:rFonts w:asciiTheme="minorHAnsi" w:hAnsiTheme="minorHAnsi" w:cstheme="minorHAnsi"/>
                <w:noProof/>
                <w:sz w:val="22"/>
                <w:szCs w:val="22"/>
              </w:rPr>
              <w:t>i</w:t>
            </w:r>
            <w:r w:rsidRPr="00E575BC">
              <w:rPr>
                <w:rFonts w:asciiTheme="minorHAnsi" w:hAnsiTheme="minorHAnsi" w:cstheme="minorHAnsi"/>
                <w:noProof/>
                <w:sz w:val="22"/>
                <w:szCs w:val="22"/>
              </w:rPr>
              <w:t>s</w:t>
            </w:r>
            <w:r w:rsidR="00957A5D">
              <w:rPr>
                <w:rFonts w:asciiTheme="minorHAnsi" w:hAnsiTheme="minorHAnsi" w:cstheme="minorHAnsi"/>
                <w:noProof/>
                <w:sz w:val="22"/>
                <w:szCs w:val="22"/>
              </w:rPr>
              <w:t>trat</w:t>
            </w:r>
            <w:r w:rsidRPr="00E575BC">
              <w:rPr>
                <w:rFonts w:asciiTheme="minorHAnsi" w:hAnsiTheme="minorHAnsi" w:cstheme="minorHAnsi"/>
                <w:noProof/>
                <w:sz w:val="22"/>
                <w:szCs w:val="22"/>
              </w:rPr>
              <w:t>ion (or 72 hours post IM Rh D immunoglobulin administration)</w:t>
            </w:r>
          </w:p>
        </w:tc>
        <w:tc>
          <w:tcPr>
            <w:tcW w:w="4395" w:type="dxa"/>
          </w:tcPr>
          <w:p w14:paraId="55CA473E" w14:textId="77777777" w:rsidR="001544D2" w:rsidRPr="00E575BC" w:rsidRDefault="001544D2" w:rsidP="00241494">
            <w:pPr>
              <w:pStyle w:val="Tabletext"/>
              <w:keepNext w:val="0"/>
              <w:widowControl w:val="0"/>
              <w:rPr>
                <w:rFonts w:asciiTheme="minorHAnsi" w:hAnsiTheme="minorHAnsi" w:cstheme="minorHAnsi"/>
                <w:i/>
                <w:noProof/>
                <w:sz w:val="22"/>
                <w:szCs w:val="22"/>
              </w:rPr>
            </w:pPr>
            <w:r w:rsidRPr="00E575BC">
              <w:rPr>
                <w:rFonts w:asciiTheme="minorHAnsi" w:hAnsiTheme="minorHAnsi" w:cstheme="minorHAnsi"/>
                <w:noProof/>
                <w:sz w:val="22"/>
                <w:szCs w:val="22"/>
              </w:rPr>
              <w:t xml:space="preserve">Rh D negative women following FMH </w:t>
            </w:r>
            <w:r w:rsidRPr="00E575BC">
              <w:rPr>
                <w:rFonts w:asciiTheme="minorHAnsi" w:eastAsiaTheme="minorHAnsi" w:hAnsiTheme="minorHAnsi" w:cstheme="minorHAnsi"/>
                <w:noProof/>
                <w:sz w:val="22"/>
                <w:szCs w:val="22"/>
              </w:rPr>
              <w:t xml:space="preserve">≥ </w:t>
            </w:r>
            <w:r w:rsidRPr="00E575BC">
              <w:rPr>
                <w:rFonts w:asciiTheme="minorHAnsi" w:hAnsiTheme="minorHAnsi" w:cstheme="minorHAnsi"/>
                <w:noProof/>
                <w:sz w:val="22"/>
                <w:szCs w:val="22"/>
              </w:rPr>
              <w:t xml:space="preserve">6 mL of fetal red cells </w:t>
            </w:r>
            <w:r w:rsidRPr="00E575BC">
              <w:rPr>
                <w:sz w:val="22"/>
                <w:szCs w:val="22"/>
              </w:rPr>
              <w:t>(equivalent to 12 mL of whole fetal blood)</w:t>
            </w:r>
          </w:p>
        </w:tc>
      </w:tr>
    </w:tbl>
    <w:p w14:paraId="4FDFC8C6" w14:textId="77777777" w:rsidR="001D0DEE" w:rsidRPr="00060586" w:rsidRDefault="001D0DEE" w:rsidP="00957A5D">
      <w:pPr>
        <w:pStyle w:val="Tablefignotes"/>
        <w:spacing w:before="0" w:after="60"/>
        <w:ind w:left="0"/>
        <w:rPr>
          <w:rFonts w:asciiTheme="minorHAnsi" w:hAnsiTheme="minorHAnsi" w:cstheme="minorHAnsi"/>
          <w:i/>
          <w:noProof/>
          <w:color w:val="auto"/>
          <w:sz w:val="18"/>
          <w:szCs w:val="18"/>
        </w:rPr>
      </w:pPr>
      <w:r w:rsidRPr="00060586">
        <w:rPr>
          <w:rFonts w:asciiTheme="minorHAnsi" w:hAnsiTheme="minorHAnsi" w:cstheme="minorHAnsi"/>
          <w:noProof/>
          <w:color w:val="auto"/>
          <w:sz w:val="18"/>
          <w:szCs w:val="18"/>
        </w:rPr>
        <w:t>FMH: fetomaternal haemorrhage</w:t>
      </w:r>
      <w:r w:rsidR="00060586">
        <w:rPr>
          <w:rFonts w:asciiTheme="minorHAnsi" w:hAnsiTheme="minorHAnsi" w:cstheme="minorHAnsi"/>
          <w:noProof/>
          <w:color w:val="auto"/>
          <w:sz w:val="18"/>
          <w:szCs w:val="18"/>
        </w:rPr>
        <w:t>,</w:t>
      </w:r>
      <w:r w:rsidRPr="00060586">
        <w:rPr>
          <w:rFonts w:asciiTheme="minorHAnsi" w:hAnsiTheme="minorHAnsi" w:cstheme="minorHAnsi"/>
          <w:noProof/>
          <w:color w:val="auto"/>
          <w:sz w:val="18"/>
          <w:szCs w:val="18"/>
        </w:rPr>
        <w:t xml:space="preserve"> IM: intramuscular</w:t>
      </w:r>
      <w:r w:rsidR="00060586">
        <w:rPr>
          <w:rFonts w:asciiTheme="minorHAnsi" w:hAnsiTheme="minorHAnsi" w:cstheme="minorHAnsi"/>
          <w:noProof/>
          <w:color w:val="auto"/>
          <w:sz w:val="18"/>
          <w:szCs w:val="18"/>
        </w:rPr>
        <w:t>,</w:t>
      </w:r>
      <w:r w:rsidRPr="00060586">
        <w:rPr>
          <w:rFonts w:asciiTheme="minorHAnsi" w:hAnsiTheme="minorHAnsi" w:cstheme="minorHAnsi"/>
          <w:noProof/>
          <w:color w:val="auto"/>
          <w:sz w:val="18"/>
          <w:szCs w:val="18"/>
        </w:rPr>
        <w:t xml:space="preserve"> IV: intravenous</w:t>
      </w:r>
      <w:r w:rsidR="00060586">
        <w:rPr>
          <w:rFonts w:asciiTheme="minorHAnsi" w:hAnsiTheme="minorHAnsi" w:cstheme="minorHAnsi"/>
          <w:noProof/>
          <w:color w:val="auto"/>
          <w:sz w:val="18"/>
          <w:szCs w:val="18"/>
        </w:rPr>
        <w:t>,</w:t>
      </w:r>
      <w:r w:rsidRPr="00060586">
        <w:rPr>
          <w:rFonts w:asciiTheme="minorHAnsi" w:hAnsiTheme="minorHAnsi" w:cstheme="minorHAnsi"/>
          <w:noProof/>
          <w:color w:val="auto"/>
          <w:sz w:val="18"/>
          <w:szCs w:val="18"/>
        </w:rPr>
        <w:t xml:space="preserve"> NIPT: non-invasive prenatal testing </w:t>
      </w:r>
    </w:p>
    <w:p w14:paraId="572628BF" w14:textId="15B13A75" w:rsidR="001D0DEE" w:rsidRPr="00060586" w:rsidRDefault="001D0DEE" w:rsidP="00957A5D">
      <w:pPr>
        <w:pStyle w:val="Tablefignotes"/>
        <w:spacing w:before="0" w:after="0"/>
        <w:ind w:left="0"/>
        <w:rPr>
          <w:rFonts w:asciiTheme="minorHAnsi" w:eastAsiaTheme="minorHAnsi" w:hAnsiTheme="minorHAnsi" w:cstheme="minorHAnsi"/>
          <w:color w:val="000000"/>
          <w:sz w:val="18"/>
          <w:szCs w:val="18"/>
        </w:rPr>
      </w:pPr>
      <w:r w:rsidRPr="00060586">
        <w:rPr>
          <w:rFonts w:asciiTheme="minorHAnsi" w:eastAsiaTheme="minorHAnsi" w:hAnsiTheme="minorHAnsi" w:cstheme="minorHAnsi"/>
          <w:i/>
          <w:iCs/>
          <w:color w:val="000000"/>
          <w:sz w:val="18"/>
          <w:szCs w:val="18"/>
        </w:rPr>
        <w:t>RHD -</w:t>
      </w:r>
      <w:r w:rsidR="00060586">
        <w:rPr>
          <w:rFonts w:asciiTheme="minorHAnsi" w:eastAsiaTheme="minorHAnsi" w:hAnsiTheme="minorHAnsi" w:cstheme="minorHAnsi"/>
          <w:color w:val="000000"/>
          <w:sz w:val="18"/>
          <w:szCs w:val="18"/>
        </w:rPr>
        <w:t xml:space="preserve"> refers to genotype,</w:t>
      </w:r>
      <w:r w:rsidRPr="00060586">
        <w:rPr>
          <w:rFonts w:asciiTheme="minorHAnsi" w:eastAsiaTheme="minorHAnsi" w:hAnsiTheme="minorHAnsi" w:cstheme="minorHAnsi"/>
          <w:color w:val="000000"/>
          <w:sz w:val="18"/>
          <w:szCs w:val="18"/>
        </w:rPr>
        <w:t xml:space="preserve"> Rh D immunoglobulin - refers to the product</w:t>
      </w:r>
      <w:r w:rsidR="00060586">
        <w:rPr>
          <w:rFonts w:asciiTheme="minorHAnsi" w:eastAsiaTheme="minorHAnsi" w:hAnsiTheme="minorHAnsi" w:cstheme="minorHAnsi"/>
          <w:color w:val="000000"/>
          <w:sz w:val="18"/>
          <w:szCs w:val="18"/>
        </w:rPr>
        <w:t>,</w:t>
      </w:r>
      <w:r w:rsidRPr="00060586">
        <w:rPr>
          <w:rFonts w:asciiTheme="minorHAnsi" w:eastAsiaTheme="minorHAnsi" w:hAnsiTheme="minorHAnsi" w:cstheme="minorHAnsi"/>
          <w:color w:val="000000"/>
          <w:sz w:val="18"/>
          <w:szCs w:val="18"/>
        </w:rPr>
        <w:t xml:space="preserve"> Rh D positive/negative - refers to blood type.</w:t>
      </w:r>
    </w:p>
    <w:p w14:paraId="6DF618E7" w14:textId="36FA13E4" w:rsidR="00A5685C" w:rsidRPr="001D0DEE" w:rsidRDefault="009E19CC" w:rsidP="001D0DEE">
      <w:pPr>
        <w:pStyle w:val="Tablefignotes"/>
        <w:spacing w:before="80" w:after="0"/>
        <w:ind w:left="0"/>
        <w:rPr>
          <w:color w:val="auto"/>
          <w:lang w:val="en-US" w:eastAsia="ja-JP"/>
        </w:rPr>
      </w:pPr>
      <w:r>
        <w:rPr>
          <w:rFonts w:asciiTheme="minorHAnsi" w:hAnsiTheme="minorHAnsi" w:cstheme="minorHAnsi"/>
          <w:noProof/>
          <w:color w:val="auto"/>
          <w:sz w:val="18"/>
          <w:szCs w:val="18"/>
          <w:vertAlign w:val="superscript"/>
        </w:rPr>
        <w:t>*</w:t>
      </w:r>
      <w:r w:rsidR="001D0DEE" w:rsidRPr="00060586">
        <w:rPr>
          <w:rFonts w:asciiTheme="minorHAnsi" w:hAnsiTheme="minorHAnsi" w:cstheme="minorHAnsi"/>
          <w:noProof/>
          <w:color w:val="auto"/>
          <w:sz w:val="18"/>
          <w:szCs w:val="18"/>
        </w:rPr>
        <w:t xml:space="preserve"> The magnitude of FMH should be assessed by a method capable of quantifying a haemorrhage of ≥6 mL of fetal red cells (equivalent to 12 mL of whole blood). Flow cytometry is accepted as the most accurate quantitative test for FMH and is the method of choice for quantitation if readily available (Refer to EOP1</w:t>
      </w:r>
      <w:r w:rsidR="00F3729F">
        <w:rPr>
          <w:rFonts w:asciiTheme="minorHAnsi" w:hAnsiTheme="minorHAnsi" w:cstheme="minorHAnsi"/>
          <w:noProof/>
          <w:color w:val="auto"/>
          <w:sz w:val="18"/>
          <w:szCs w:val="18"/>
        </w:rPr>
        <w:t>2</w:t>
      </w:r>
      <w:r w:rsidR="001D0DEE" w:rsidRPr="00060586">
        <w:rPr>
          <w:rFonts w:asciiTheme="minorHAnsi" w:hAnsiTheme="minorHAnsi" w:cstheme="minorHAnsi"/>
          <w:noProof/>
          <w:color w:val="auto"/>
          <w:sz w:val="18"/>
          <w:szCs w:val="18"/>
        </w:rPr>
        <w:t>).</w:t>
      </w:r>
      <w:r w:rsidR="00A5685C" w:rsidRPr="00060586">
        <w:rPr>
          <w:rFonts w:asciiTheme="minorHAnsi" w:hAnsiTheme="minorHAnsi" w:cstheme="minorHAnsi"/>
          <w:noProof/>
          <w:sz w:val="18"/>
          <w:szCs w:val="18"/>
        </w:rPr>
        <w:t>quantitatio</w:t>
      </w:r>
      <w:r w:rsidR="00A5685C" w:rsidRPr="00F8017B">
        <w:rPr>
          <w:noProof/>
        </w:rPr>
        <w:t>n if readily available</w:t>
      </w:r>
      <w:r w:rsidR="00A5685C">
        <w:rPr>
          <w:noProof/>
        </w:rPr>
        <w:t xml:space="preserve"> (Refer to EOP11)</w:t>
      </w:r>
      <w:r w:rsidR="00A5685C" w:rsidRPr="00F8017B">
        <w:rPr>
          <w:noProof/>
        </w:rPr>
        <w:t>.</w:t>
      </w:r>
    </w:p>
    <w:p w14:paraId="14681AA7" w14:textId="77777777" w:rsidR="00E31D3B" w:rsidRPr="00E31D3B" w:rsidRDefault="00E31D3B" w:rsidP="003465E7">
      <w:pPr>
        <w:pStyle w:val="Heading2"/>
        <w:rPr>
          <w:noProof/>
          <w:sz w:val="30"/>
          <w:szCs w:val="30"/>
        </w:rPr>
      </w:pPr>
      <w:bookmarkStart w:id="5" w:name="_Toc46496122"/>
    </w:p>
    <w:p w14:paraId="76140B02" w14:textId="28C7A20A" w:rsidR="00A5685C" w:rsidRPr="004E5A56" w:rsidRDefault="00A5685C" w:rsidP="003465E7">
      <w:pPr>
        <w:pStyle w:val="Heading2"/>
        <w:rPr>
          <w:noProof/>
          <w:sz w:val="36"/>
        </w:rPr>
      </w:pPr>
      <w:r w:rsidRPr="004E5A56">
        <w:rPr>
          <w:noProof/>
          <w:sz w:val="36"/>
        </w:rPr>
        <w:t>Summary of guidance on the use and timing of Rh D immunoglobulin</w:t>
      </w:r>
      <w:bookmarkEnd w:id="5"/>
    </w:p>
    <w:tbl>
      <w:tblPr>
        <w:tblStyle w:val="TableGrid"/>
        <w:tblW w:w="5084" w:type="pct"/>
        <w:tblInd w:w="-5" w:type="dxa"/>
        <w:tblLayout w:type="fixed"/>
        <w:tblLook w:val="04A0" w:firstRow="1" w:lastRow="0" w:firstColumn="1" w:lastColumn="0" w:noHBand="0" w:noVBand="1"/>
      </w:tblPr>
      <w:tblGrid>
        <w:gridCol w:w="2127"/>
        <w:gridCol w:w="2268"/>
        <w:gridCol w:w="6237"/>
      </w:tblGrid>
      <w:tr w:rsidR="00873042" w:rsidRPr="00E575BC" w14:paraId="5D8430F9" w14:textId="77777777" w:rsidTr="0052109B">
        <w:trPr>
          <w:trHeight w:val="441"/>
          <w:tblHeader/>
        </w:trPr>
        <w:tc>
          <w:tcPr>
            <w:tcW w:w="2127" w:type="dxa"/>
            <w:tcBorders>
              <w:bottom w:val="single" w:sz="4" w:space="0" w:color="auto"/>
            </w:tcBorders>
            <w:shd w:val="clear" w:color="auto" w:fill="336A89"/>
            <w:vAlign w:val="center"/>
          </w:tcPr>
          <w:p w14:paraId="79F7518C" w14:textId="77777777" w:rsidR="00873042" w:rsidRPr="00E575BC" w:rsidRDefault="0087304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Clinical indication</w:t>
            </w:r>
          </w:p>
        </w:tc>
        <w:tc>
          <w:tcPr>
            <w:tcW w:w="2268" w:type="dxa"/>
            <w:tcBorders>
              <w:bottom w:val="single" w:sz="4" w:space="0" w:color="auto"/>
            </w:tcBorders>
            <w:shd w:val="clear" w:color="auto" w:fill="336A89"/>
            <w:vAlign w:val="center"/>
          </w:tcPr>
          <w:p w14:paraId="20005196" w14:textId="77777777" w:rsidR="00873042" w:rsidRPr="00E575BC" w:rsidRDefault="0087304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Rh D immunoglobulin dose and timing</w:t>
            </w:r>
          </w:p>
        </w:tc>
        <w:tc>
          <w:tcPr>
            <w:tcW w:w="6237" w:type="dxa"/>
            <w:tcBorders>
              <w:bottom w:val="single" w:sz="4" w:space="0" w:color="auto"/>
            </w:tcBorders>
            <w:shd w:val="clear" w:color="auto" w:fill="336A89"/>
            <w:vAlign w:val="center"/>
          </w:tcPr>
          <w:p w14:paraId="4746A65B" w14:textId="77777777" w:rsidR="00873042" w:rsidRPr="00E575BC" w:rsidRDefault="00873042" w:rsidP="004B027E">
            <w:pPr>
              <w:pStyle w:val="BodyText"/>
              <w:widowControl w:val="0"/>
              <w:spacing w:before="40" w:after="40"/>
              <w:rPr>
                <w:rFonts w:asciiTheme="minorHAnsi" w:hAnsiTheme="minorHAnsi" w:cstheme="minorHAnsi"/>
                <w:b/>
                <w:noProof/>
                <w:color w:val="FFFFFF" w:themeColor="background1"/>
                <w:szCs w:val="22"/>
              </w:rPr>
            </w:pPr>
            <w:r w:rsidRPr="00E575BC">
              <w:rPr>
                <w:rFonts w:asciiTheme="minorHAnsi" w:hAnsiTheme="minorHAnsi" w:cstheme="minorHAnsi"/>
                <w:b/>
                <w:noProof/>
                <w:color w:val="FFFFFF" w:themeColor="background1"/>
                <w:szCs w:val="22"/>
              </w:rPr>
              <w:t>Target group</w:t>
            </w:r>
          </w:p>
        </w:tc>
      </w:tr>
      <w:tr w:rsidR="00873042" w:rsidRPr="005A6BDA" w14:paraId="6B15B044" w14:textId="77777777" w:rsidTr="0052109B">
        <w:tc>
          <w:tcPr>
            <w:tcW w:w="10632" w:type="dxa"/>
            <w:gridSpan w:val="3"/>
            <w:shd w:val="clear" w:color="auto" w:fill="D2E4EE"/>
          </w:tcPr>
          <w:p w14:paraId="3357A157" w14:textId="77777777" w:rsidR="00873042" w:rsidRPr="00E575BC" w:rsidRDefault="00873042" w:rsidP="00241494">
            <w:pPr>
              <w:pStyle w:val="Tabletext"/>
              <w:keepNext w:val="0"/>
              <w:widowControl w:val="0"/>
              <w:rPr>
                <w:rFonts w:asciiTheme="minorHAnsi" w:hAnsiTheme="minorHAnsi" w:cstheme="minorHAnsi"/>
                <w:b/>
                <w:bCs/>
                <w:noProof/>
                <w:sz w:val="22"/>
                <w:szCs w:val="22"/>
              </w:rPr>
            </w:pPr>
            <w:r w:rsidRPr="00E575BC">
              <w:rPr>
                <w:rFonts w:asciiTheme="minorHAnsi" w:hAnsiTheme="minorHAnsi" w:cstheme="minorHAnsi"/>
                <w:b/>
                <w:bCs/>
                <w:noProof/>
                <w:sz w:val="22"/>
                <w:szCs w:val="22"/>
              </w:rPr>
              <w:t>Routine immunoprophylaxis</w:t>
            </w:r>
          </w:p>
        </w:tc>
      </w:tr>
      <w:tr w:rsidR="00873042" w:rsidRPr="005A6BDA" w14:paraId="7A1FDDD3" w14:textId="77777777" w:rsidTr="0052109B">
        <w:trPr>
          <w:trHeight w:val="829"/>
        </w:trPr>
        <w:tc>
          <w:tcPr>
            <w:tcW w:w="2127" w:type="dxa"/>
          </w:tcPr>
          <w:p w14:paraId="3A181225" w14:textId="77777777" w:rsidR="00873042" w:rsidRPr="00E575BC" w:rsidRDefault="00873042" w:rsidP="00241494">
            <w:pPr>
              <w:pStyle w:val="Tabletext"/>
              <w:keepNext w:val="0"/>
              <w:widowControl w:val="0"/>
              <w:rPr>
                <w:rFonts w:asciiTheme="minorHAnsi" w:hAnsiTheme="minorHAnsi" w:cstheme="minorHAnsi"/>
                <w:b/>
                <w:noProof/>
                <w:color w:val="FFFFFF" w:themeColor="background1"/>
                <w:sz w:val="22"/>
                <w:szCs w:val="22"/>
              </w:rPr>
            </w:pPr>
            <w:r w:rsidRPr="00E575BC">
              <w:rPr>
                <w:rFonts w:asciiTheme="minorHAnsi" w:hAnsiTheme="minorHAnsi" w:cstheme="minorHAnsi"/>
                <w:noProof/>
                <w:sz w:val="22"/>
                <w:szCs w:val="22"/>
              </w:rPr>
              <w:t xml:space="preserve">Routine antenatal </w:t>
            </w:r>
            <w:r w:rsidRPr="00E575BC">
              <w:rPr>
                <w:rFonts w:asciiTheme="minorHAnsi" w:hAnsiTheme="minorHAnsi" w:cstheme="minorHAnsi"/>
                <w:sz w:val="22"/>
                <w:szCs w:val="22"/>
              </w:rPr>
              <w:t>immunoprophylaxis</w:t>
            </w:r>
          </w:p>
        </w:tc>
        <w:tc>
          <w:tcPr>
            <w:tcW w:w="2268" w:type="dxa"/>
          </w:tcPr>
          <w:p w14:paraId="487CEF94" w14:textId="77777777" w:rsidR="00873042" w:rsidRPr="00E575BC" w:rsidRDefault="0087304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625 IU</w:t>
            </w:r>
          </w:p>
          <w:p w14:paraId="7BFFEE4F" w14:textId="77777777" w:rsidR="00873042" w:rsidRPr="00E575BC" w:rsidRDefault="00873042" w:rsidP="00E575BC">
            <w:pPr>
              <w:pStyle w:val="Tabletext"/>
              <w:rPr>
                <w:b/>
                <w:noProof/>
                <w:color w:val="FFFFFF" w:themeColor="background1"/>
                <w:sz w:val="22"/>
                <w:szCs w:val="22"/>
              </w:rPr>
            </w:pPr>
            <w:r w:rsidRPr="00E575BC">
              <w:rPr>
                <w:noProof/>
                <w:sz w:val="22"/>
                <w:szCs w:val="22"/>
              </w:rPr>
              <w:t xml:space="preserve">At 28 and 34 weeks of </w:t>
            </w:r>
            <w:r w:rsidRPr="00E575BC">
              <w:rPr>
                <w:sz w:val="22"/>
                <w:szCs w:val="22"/>
              </w:rPr>
              <w:t>pregnancy</w:t>
            </w:r>
          </w:p>
        </w:tc>
        <w:tc>
          <w:tcPr>
            <w:tcW w:w="6237" w:type="dxa"/>
          </w:tcPr>
          <w:p w14:paraId="24663BF8" w14:textId="77777777" w:rsidR="00873042" w:rsidRPr="00E575BC" w:rsidRDefault="00873042" w:rsidP="00241494">
            <w:pPr>
              <w:pStyle w:val="Tabletext"/>
              <w:keepNext w:val="0"/>
              <w:widowControl w:val="0"/>
              <w:rPr>
                <w:rFonts w:asciiTheme="minorHAnsi" w:hAnsiTheme="minorHAnsi" w:cstheme="minorHAnsi"/>
                <w:b/>
                <w:noProof/>
                <w:color w:val="FFFFFF" w:themeColor="background1"/>
                <w:sz w:val="22"/>
                <w:szCs w:val="22"/>
              </w:rPr>
            </w:pPr>
            <w:r w:rsidRPr="00E575BC">
              <w:rPr>
                <w:rFonts w:asciiTheme="minorHAnsi" w:hAnsiTheme="minorHAnsi" w:cstheme="minorHAnsi"/>
                <w:noProof/>
                <w:sz w:val="22"/>
                <w:szCs w:val="22"/>
              </w:rPr>
              <w:t xml:space="preserve">Rh D negative pregnant women with no preformed anti-D antibodies (unless NIPT for fetal </w:t>
            </w:r>
            <w:r w:rsidRPr="00E575BC">
              <w:rPr>
                <w:rFonts w:asciiTheme="minorHAnsi" w:hAnsiTheme="minorHAnsi" w:cstheme="minorHAnsi"/>
                <w:i/>
                <w:noProof/>
                <w:sz w:val="22"/>
                <w:szCs w:val="22"/>
              </w:rPr>
              <w:t>RHD</w:t>
            </w:r>
            <w:r w:rsidRPr="00E575BC">
              <w:rPr>
                <w:rFonts w:asciiTheme="minorHAnsi" w:hAnsiTheme="minorHAnsi" w:cstheme="minorHAnsi"/>
                <w:noProof/>
                <w:sz w:val="22"/>
                <w:szCs w:val="22"/>
              </w:rPr>
              <w:t xml:space="preserve"> has predicted that they are not carrying an Rh D positive fetus) </w:t>
            </w:r>
          </w:p>
        </w:tc>
      </w:tr>
      <w:tr w:rsidR="00873042" w:rsidRPr="005A6BDA" w14:paraId="6224EE52" w14:textId="77777777" w:rsidTr="0052109B">
        <w:trPr>
          <w:trHeight w:val="93"/>
        </w:trPr>
        <w:tc>
          <w:tcPr>
            <w:tcW w:w="2127" w:type="dxa"/>
          </w:tcPr>
          <w:p w14:paraId="338DD02E" w14:textId="77777777" w:rsidR="00873042" w:rsidRPr="00E575BC" w:rsidRDefault="0087304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 xml:space="preserve">Routine postnatal </w:t>
            </w:r>
            <w:r w:rsidRPr="00E575BC">
              <w:rPr>
                <w:rFonts w:asciiTheme="minorHAnsi" w:hAnsiTheme="minorHAnsi" w:cstheme="minorHAnsi"/>
                <w:sz w:val="22"/>
                <w:szCs w:val="22"/>
              </w:rPr>
              <w:t>immunoprophylaxis</w:t>
            </w:r>
          </w:p>
        </w:tc>
        <w:tc>
          <w:tcPr>
            <w:tcW w:w="2268" w:type="dxa"/>
          </w:tcPr>
          <w:p w14:paraId="627842B6" w14:textId="77777777" w:rsidR="00873042" w:rsidRPr="00E575BC" w:rsidRDefault="0087304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625 IU</w:t>
            </w:r>
          </w:p>
          <w:p w14:paraId="3AA41D54" w14:textId="77777777" w:rsidR="00873042" w:rsidRPr="00E575BC" w:rsidRDefault="00873042" w:rsidP="00E575BC">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After giving birth</w:t>
            </w:r>
          </w:p>
        </w:tc>
        <w:tc>
          <w:tcPr>
            <w:tcW w:w="6237" w:type="dxa"/>
          </w:tcPr>
          <w:p w14:paraId="01A61180" w14:textId="34BD7FAA" w:rsidR="00F42923" w:rsidRDefault="0087304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All Rh D negative women with no preformed anti-D antibodies after giving birth to an Rh D positive baby (based on cord blood or neonatal Rh D typing</w:t>
            </w:r>
            <w:r w:rsidR="00376D70">
              <w:rPr>
                <w:rFonts w:asciiTheme="minorHAnsi" w:hAnsiTheme="minorHAnsi" w:cstheme="minorHAnsi"/>
                <w:noProof/>
                <w:sz w:val="22"/>
                <w:szCs w:val="22"/>
                <w:vertAlign w:val="superscript"/>
              </w:rPr>
              <w:t>*</w:t>
            </w:r>
            <w:r w:rsidRPr="00E575BC">
              <w:rPr>
                <w:rFonts w:asciiTheme="minorHAnsi" w:hAnsiTheme="minorHAnsi" w:cstheme="minorHAnsi"/>
                <w:noProof/>
                <w:sz w:val="22"/>
                <w:szCs w:val="22"/>
              </w:rPr>
              <w:t xml:space="preserve">). </w:t>
            </w:r>
          </w:p>
          <w:p w14:paraId="19C44456" w14:textId="77777777" w:rsidR="00F42923" w:rsidRDefault="00F42923" w:rsidP="00241494">
            <w:pPr>
              <w:pStyle w:val="Tabletext"/>
              <w:keepNext w:val="0"/>
              <w:widowControl w:val="0"/>
              <w:rPr>
                <w:rFonts w:asciiTheme="minorHAnsi" w:hAnsiTheme="minorHAnsi" w:cstheme="minorHAnsi"/>
                <w:noProof/>
                <w:sz w:val="22"/>
                <w:szCs w:val="22"/>
              </w:rPr>
            </w:pPr>
          </w:p>
          <w:p w14:paraId="4505F7DB" w14:textId="569E80E9" w:rsidR="00873042" w:rsidRDefault="00873042" w:rsidP="00241494">
            <w:pPr>
              <w:pStyle w:val="Tabletext"/>
              <w:keepNext w:val="0"/>
              <w:widowControl w:val="0"/>
              <w:rPr>
                <w:rFonts w:asciiTheme="minorHAnsi" w:hAnsiTheme="minorHAnsi" w:cstheme="minorHAnsi"/>
                <w:noProof/>
                <w:sz w:val="22"/>
                <w:szCs w:val="22"/>
              </w:rPr>
            </w:pPr>
            <w:r w:rsidRPr="00E575BC">
              <w:rPr>
                <w:rFonts w:asciiTheme="minorHAnsi" w:hAnsiTheme="minorHAnsi" w:cstheme="minorHAnsi"/>
                <w:noProof/>
                <w:sz w:val="22"/>
                <w:szCs w:val="22"/>
              </w:rPr>
              <w:t>If the baby is Rh D postive, administer Rh D immunoglobulin even if the NIPT predicted an Rh D negative baby</w:t>
            </w:r>
            <w:r w:rsidR="00B4571F">
              <w:rPr>
                <w:rFonts w:asciiTheme="minorHAnsi" w:hAnsiTheme="minorHAnsi" w:cstheme="minorHAnsi"/>
                <w:noProof/>
                <w:sz w:val="22"/>
                <w:szCs w:val="22"/>
              </w:rPr>
              <w:t>.</w:t>
            </w:r>
          </w:p>
          <w:p w14:paraId="5E895DD5" w14:textId="77777777" w:rsidR="00F42923" w:rsidRPr="00E575BC" w:rsidRDefault="00F42923" w:rsidP="00241494">
            <w:pPr>
              <w:pStyle w:val="Tabletext"/>
              <w:keepNext w:val="0"/>
              <w:widowControl w:val="0"/>
              <w:rPr>
                <w:rFonts w:asciiTheme="minorHAnsi" w:hAnsiTheme="minorHAnsi" w:cstheme="minorHAnsi"/>
                <w:noProof/>
                <w:sz w:val="22"/>
                <w:szCs w:val="22"/>
              </w:rPr>
            </w:pPr>
          </w:p>
          <w:p w14:paraId="5EF9CB02" w14:textId="3EB8660B" w:rsidR="00F3729F" w:rsidRPr="00E575BC" w:rsidRDefault="00F3729F" w:rsidP="00241494">
            <w:pPr>
              <w:pStyle w:val="Tabletext"/>
              <w:keepNext w:val="0"/>
              <w:widowControl w:val="0"/>
              <w:rPr>
                <w:rFonts w:asciiTheme="minorHAnsi" w:hAnsiTheme="minorHAnsi" w:cstheme="minorHAnsi"/>
                <w:noProof/>
                <w:sz w:val="22"/>
                <w:szCs w:val="22"/>
              </w:rPr>
            </w:pPr>
            <w:r w:rsidRPr="00F42923">
              <w:rPr>
                <w:rFonts w:asciiTheme="minorHAnsi" w:hAnsiTheme="minorHAnsi" w:cstheme="minorHAnsi"/>
                <w:noProof/>
                <w:sz w:val="22"/>
                <w:szCs w:val="22"/>
              </w:rPr>
              <w:t>If the baby is Rh D positive and is born preterm, give the postnatal dose even if the birth is within 72 hours of a dose given for routine antenatal immunoprophylaxis or for a sensitising event.</w:t>
            </w:r>
          </w:p>
          <w:p w14:paraId="11026C52" w14:textId="7F9E9C98" w:rsidR="00873042" w:rsidRPr="0084233D" w:rsidRDefault="00376D70" w:rsidP="00241494">
            <w:pPr>
              <w:pStyle w:val="Tabletext"/>
              <w:keepNext w:val="0"/>
              <w:widowControl w:val="0"/>
              <w:spacing w:before="60"/>
              <w:rPr>
                <w:rFonts w:asciiTheme="minorHAnsi" w:hAnsiTheme="minorHAnsi" w:cstheme="minorHAnsi"/>
                <w:noProof/>
                <w:sz w:val="16"/>
              </w:rPr>
            </w:pPr>
            <w:r>
              <w:rPr>
                <w:rFonts w:ascii="Corbel" w:eastAsiaTheme="minorHAnsi" w:hAnsi="Corbel" w:cs="Corbel"/>
                <w:color w:val="000000"/>
                <w:sz w:val="16"/>
                <w:vertAlign w:val="superscript"/>
              </w:rPr>
              <w:t xml:space="preserve">* </w:t>
            </w:r>
            <w:r w:rsidR="00873042" w:rsidRPr="00836053">
              <w:rPr>
                <w:rFonts w:ascii="Corbel" w:eastAsiaTheme="minorHAnsi" w:hAnsi="Corbel" w:cs="Corbel"/>
                <w:color w:val="000000"/>
                <w:sz w:val="14"/>
                <w:szCs w:val="14"/>
              </w:rPr>
              <w:t xml:space="preserve">Cord blood or neonatal testing should be performed regardless of NIPT results for fetal </w:t>
            </w:r>
            <w:r w:rsidR="00873042" w:rsidRPr="00836053">
              <w:rPr>
                <w:rFonts w:ascii="Corbel" w:eastAsiaTheme="minorHAnsi" w:hAnsi="Corbel" w:cs="Corbel"/>
                <w:i/>
                <w:iCs/>
                <w:color w:val="000000"/>
                <w:sz w:val="14"/>
                <w:szCs w:val="14"/>
              </w:rPr>
              <w:t>RHD</w:t>
            </w:r>
            <w:r w:rsidR="00873042" w:rsidRPr="00836053">
              <w:rPr>
                <w:rFonts w:ascii="Corbel" w:eastAsiaTheme="minorHAnsi" w:hAnsi="Corbel" w:cs="Corbel"/>
                <w:color w:val="000000"/>
                <w:sz w:val="14"/>
                <w:szCs w:val="14"/>
              </w:rPr>
              <w:t>.</w:t>
            </w:r>
          </w:p>
        </w:tc>
      </w:tr>
    </w:tbl>
    <w:p w14:paraId="3DD7AB9D" w14:textId="77777777" w:rsidR="00E575BC" w:rsidRPr="00674FBC" w:rsidRDefault="00E575BC" w:rsidP="00957A5D">
      <w:pPr>
        <w:pStyle w:val="Tablefignotes"/>
        <w:spacing w:before="0" w:after="60"/>
        <w:ind w:left="0"/>
        <w:rPr>
          <w:color w:val="auto"/>
          <w:sz w:val="18"/>
          <w:szCs w:val="18"/>
        </w:rPr>
      </w:pPr>
      <w:r w:rsidRPr="00674FBC">
        <w:rPr>
          <w:noProof/>
          <w:color w:val="auto"/>
          <w:sz w:val="18"/>
          <w:szCs w:val="18"/>
        </w:rPr>
        <w:t>FMH: fetomaternal haemorrhage</w:t>
      </w:r>
      <w:r w:rsidR="0028747C">
        <w:rPr>
          <w:noProof/>
          <w:color w:val="auto"/>
          <w:sz w:val="18"/>
          <w:szCs w:val="18"/>
        </w:rPr>
        <w:t>,</w:t>
      </w:r>
      <w:r w:rsidRPr="00674FBC">
        <w:rPr>
          <w:noProof/>
          <w:color w:val="auto"/>
          <w:sz w:val="18"/>
          <w:szCs w:val="18"/>
        </w:rPr>
        <w:t xml:space="preserve"> IM: intramuscular</w:t>
      </w:r>
      <w:r w:rsidR="0028747C">
        <w:rPr>
          <w:noProof/>
          <w:color w:val="auto"/>
          <w:sz w:val="18"/>
          <w:szCs w:val="18"/>
        </w:rPr>
        <w:t>,</w:t>
      </w:r>
      <w:r w:rsidRPr="00674FBC">
        <w:rPr>
          <w:noProof/>
          <w:color w:val="auto"/>
          <w:sz w:val="18"/>
          <w:szCs w:val="18"/>
        </w:rPr>
        <w:t xml:space="preserve"> </w:t>
      </w:r>
      <w:r w:rsidR="007C2438" w:rsidRPr="00674FBC">
        <w:rPr>
          <w:noProof/>
          <w:color w:val="auto"/>
          <w:sz w:val="18"/>
          <w:szCs w:val="18"/>
        </w:rPr>
        <w:t>IU: international units</w:t>
      </w:r>
      <w:r w:rsidR="0028747C">
        <w:rPr>
          <w:noProof/>
          <w:color w:val="auto"/>
          <w:sz w:val="18"/>
          <w:szCs w:val="18"/>
        </w:rPr>
        <w:t>,</w:t>
      </w:r>
      <w:r w:rsidR="007C2438" w:rsidRPr="00674FBC">
        <w:rPr>
          <w:noProof/>
          <w:color w:val="auto"/>
          <w:sz w:val="18"/>
          <w:szCs w:val="18"/>
        </w:rPr>
        <w:t xml:space="preserve"> </w:t>
      </w:r>
      <w:r w:rsidRPr="00674FBC">
        <w:rPr>
          <w:noProof/>
          <w:color w:val="auto"/>
          <w:sz w:val="18"/>
          <w:szCs w:val="18"/>
        </w:rPr>
        <w:t>NIPT: non-invasive prenatal testing</w:t>
      </w:r>
      <w:r w:rsidRPr="00674FBC">
        <w:rPr>
          <w:color w:val="auto"/>
          <w:sz w:val="18"/>
          <w:szCs w:val="18"/>
        </w:rPr>
        <w:t xml:space="preserve"> </w:t>
      </w:r>
    </w:p>
    <w:p w14:paraId="15DF6820" w14:textId="77777777" w:rsidR="007C2438" w:rsidRPr="00674FBC" w:rsidRDefault="007C2438" w:rsidP="007C2438">
      <w:pPr>
        <w:pStyle w:val="Tablefignotes"/>
        <w:spacing w:before="80" w:after="0"/>
        <w:ind w:left="0"/>
        <w:rPr>
          <w:rFonts w:ascii="Corbel" w:eastAsiaTheme="minorHAnsi" w:hAnsi="Corbel" w:cs="Corbel"/>
          <w:color w:val="000000"/>
          <w:sz w:val="18"/>
          <w:szCs w:val="18"/>
        </w:rPr>
      </w:pPr>
      <w:r w:rsidRPr="00674FBC">
        <w:rPr>
          <w:rFonts w:ascii="Corbel" w:eastAsiaTheme="minorHAnsi" w:hAnsi="Corbel" w:cs="Corbel"/>
          <w:color w:val="000000"/>
          <w:sz w:val="18"/>
          <w:szCs w:val="18"/>
        </w:rPr>
        <w:t>anti-D - refers to circulating antibodies</w:t>
      </w:r>
      <w:r w:rsidR="0028747C">
        <w:rPr>
          <w:rFonts w:ascii="Corbel" w:eastAsiaTheme="minorHAnsi" w:hAnsi="Corbel" w:cs="Corbel"/>
          <w:color w:val="000000"/>
          <w:sz w:val="18"/>
          <w:szCs w:val="18"/>
        </w:rPr>
        <w:t>,</w:t>
      </w:r>
      <w:r w:rsidRPr="00674FBC">
        <w:rPr>
          <w:rFonts w:ascii="Corbel" w:eastAsiaTheme="minorHAnsi" w:hAnsi="Corbel" w:cs="Corbel"/>
          <w:color w:val="000000"/>
          <w:sz w:val="18"/>
          <w:szCs w:val="18"/>
        </w:rPr>
        <w:t xml:space="preserve"> </w:t>
      </w:r>
      <w:r w:rsidRPr="00674FBC">
        <w:rPr>
          <w:rFonts w:ascii="Corbel" w:eastAsiaTheme="minorHAnsi" w:hAnsi="Corbel" w:cs="Corbel"/>
          <w:i/>
          <w:iCs/>
          <w:color w:val="000000"/>
          <w:sz w:val="18"/>
          <w:szCs w:val="18"/>
        </w:rPr>
        <w:t>RHD -</w:t>
      </w:r>
      <w:r w:rsidRPr="00674FBC">
        <w:rPr>
          <w:rFonts w:ascii="Corbel" w:eastAsiaTheme="minorHAnsi" w:hAnsi="Corbel" w:cs="Corbel"/>
          <w:color w:val="000000"/>
          <w:sz w:val="18"/>
          <w:szCs w:val="18"/>
        </w:rPr>
        <w:t xml:space="preserve"> refers to genotype</w:t>
      </w:r>
      <w:r w:rsidR="0028747C">
        <w:rPr>
          <w:rFonts w:ascii="Corbel" w:eastAsiaTheme="minorHAnsi" w:hAnsi="Corbel" w:cs="Corbel"/>
          <w:color w:val="000000"/>
          <w:sz w:val="18"/>
          <w:szCs w:val="18"/>
        </w:rPr>
        <w:t>,</w:t>
      </w:r>
      <w:r w:rsidRPr="00674FBC">
        <w:rPr>
          <w:rFonts w:ascii="Corbel" w:eastAsiaTheme="minorHAnsi" w:hAnsi="Corbel" w:cs="Corbel"/>
          <w:color w:val="000000"/>
          <w:sz w:val="18"/>
          <w:szCs w:val="18"/>
        </w:rPr>
        <w:t xml:space="preserve"> Rh D immunoglobulin - refers to the product</w:t>
      </w:r>
      <w:r w:rsidR="0028747C">
        <w:rPr>
          <w:rFonts w:ascii="Corbel" w:eastAsiaTheme="minorHAnsi" w:hAnsi="Corbel" w:cs="Corbel"/>
          <w:color w:val="000000"/>
          <w:sz w:val="18"/>
          <w:szCs w:val="18"/>
        </w:rPr>
        <w:t>,</w:t>
      </w:r>
      <w:r w:rsidRPr="00674FBC">
        <w:rPr>
          <w:rFonts w:ascii="Corbel" w:eastAsiaTheme="minorHAnsi" w:hAnsi="Corbel" w:cs="Corbel"/>
          <w:color w:val="000000"/>
          <w:sz w:val="18"/>
          <w:szCs w:val="18"/>
        </w:rPr>
        <w:t xml:space="preserve"> Rh D positive/negative - refers to blood type.</w:t>
      </w:r>
    </w:p>
    <w:p w14:paraId="36AA4F0B" w14:textId="77777777" w:rsidR="007C2438" w:rsidRPr="00E575BC" w:rsidRDefault="007C2438" w:rsidP="00E575BC">
      <w:pPr>
        <w:pStyle w:val="Tablefignotes"/>
        <w:spacing w:before="120"/>
        <w:rPr>
          <w:color w:val="auto"/>
        </w:rPr>
      </w:pPr>
    </w:p>
    <w:p w14:paraId="3EA73469" w14:textId="77777777" w:rsidR="00E575BC" w:rsidRDefault="00E575BC">
      <w:pPr>
        <w:spacing w:line="276" w:lineRule="auto"/>
        <w:rPr>
          <w:rFonts w:asciiTheme="minorHAnsi" w:eastAsia="HYGothic-Extra" w:hAnsiTheme="minorHAnsi"/>
          <w:b/>
          <w:bCs/>
          <w:noProof/>
          <w:color w:val="21265E"/>
          <w:spacing w:val="-20"/>
          <w:sz w:val="36"/>
          <w:szCs w:val="72"/>
        </w:rPr>
      </w:pPr>
      <w:r>
        <w:rPr>
          <w:noProof/>
        </w:rPr>
        <w:br w:type="page"/>
      </w:r>
    </w:p>
    <w:p w14:paraId="2F926AB3" w14:textId="4CB86498" w:rsidR="00E575BC" w:rsidRPr="004E5A56" w:rsidRDefault="00E575BC" w:rsidP="003465E7">
      <w:pPr>
        <w:pStyle w:val="Heading2"/>
        <w:rPr>
          <w:noProof/>
          <w:sz w:val="36"/>
        </w:rPr>
      </w:pPr>
      <w:r w:rsidRPr="004E5A56">
        <w:rPr>
          <w:noProof/>
          <w:sz w:val="36"/>
        </w:rPr>
        <w:lastRenderedPageBreak/>
        <w:t>Summary of</w:t>
      </w:r>
      <w:r w:rsidR="00414BFD" w:rsidRPr="004E5A56">
        <w:rPr>
          <w:noProof/>
          <w:sz w:val="36"/>
        </w:rPr>
        <w:t xml:space="preserve"> guidance on the use and timing of Rh D immunoglobulin for sensitising event immu</w:t>
      </w:r>
      <w:r w:rsidR="00A16A1B">
        <w:rPr>
          <w:noProof/>
          <w:sz w:val="36"/>
        </w:rPr>
        <w:t>n</w:t>
      </w:r>
      <w:r w:rsidR="00414BFD" w:rsidRPr="004E5A56">
        <w:rPr>
          <w:noProof/>
          <w:sz w:val="36"/>
        </w:rPr>
        <w:t>oprophylaxis</w:t>
      </w:r>
    </w:p>
    <w:tbl>
      <w:tblPr>
        <w:tblStyle w:val="HTAtableplain1"/>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558"/>
        <w:gridCol w:w="2692"/>
        <w:gridCol w:w="2693"/>
      </w:tblGrid>
      <w:tr w:rsidR="00B51835" w:rsidRPr="00D6701A" w14:paraId="07963D57" w14:textId="77777777" w:rsidTr="00D1176D">
        <w:trPr>
          <w:cnfStyle w:val="100000000000" w:firstRow="1" w:lastRow="0" w:firstColumn="0" w:lastColumn="0" w:oddVBand="0" w:evenVBand="0" w:oddHBand="0" w:evenHBand="0" w:firstRowFirstColumn="0" w:firstRowLastColumn="0" w:lastRowFirstColumn="0" w:lastRowLastColumn="0"/>
          <w:trHeight w:val="338"/>
          <w:tblHeader/>
        </w:trPr>
        <w:tc>
          <w:tcPr>
            <w:tcW w:w="3683" w:type="dxa"/>
            <w:vMerge w:val="restart"/>
            <w:shd w:val="clear" w:color="auto" w:fill="0F6A89"/>
          </w:tcPr>
          <w:p w14:paraId="1EB26A2A" w14:textId="77777777" w:rsidR="00B51835" w:rsidRPr="00D6701A" w:rsidRDefault="00B51835" w:rsidP="0013067C">
            <w:pPr>
              <w:pStyle w:val="Tabletext"/>
              <w:rPr>
                <w:b w:val="0"/>
                <w:noProof/>
                <w:sz w:val="21"/>
                <w:szCs w:val="21"/>
              </w:rPr>
            </w:pPr>
            <w:bookmarkStart w:id="6" w:name="_Hlk108608685"/>
            <w:r w:rsidRPr="00D6701A">
              <w:rPr>
                <w:noProof/>
                <w:sz w:val="21"/>
                <w:szCs w:val="21"/>
              </w:rPr>
              <w:t>Clinical indication</w:t>
            </w:r>
          </w:p>
        </w:tc>
        <w:tc>
          <w:tcPr>
            <w:tcW w:w="4252" w:type="dxa"/>
            <w:gridSpan w:val="2"/>
            <w:shd w:val="clear" w:color="auto" w:fill="0F6A89"/>
          </w:tcPr>
          <w:p w14:paraId="3D9F9D95" w14:textId="77777777" w:rsidR="00B51835" w:rsidRPr="00D6701A" w:rsidRDefault="00B51835" w:rsidP="0013067C">
            <w:pPr>
              <w:pStyle w:val="Tabletext"/>
              <w:rPr>
                <w:b w:val="0"/>
                <w:noProof/>
                <w:sz w:val="21"/>
                <w:szCs w:val="21"/>
              </w:rPr>
            </w:pPr>
            <w:r w:rsidRPr="00D6701A">
              <w:rPr>
                <w:noProof/>
                <w:sz w:val="21"/>
                <w:szCs w:val="21"/>
              </w:rPr>
              <w:t>Rh D immunoglobulin</w:t>
            </w:r>
          </w:p>
        </w:tc>
        <w:tc>
          <w:tcPr>
            <w:tcW w:w="2694" w:type="dxa"/>
            <w:vMerge w:val="restart"/>
            <w:shd w:val="clear" w:color="auto" w:fill="0F6A89"/>
          </w:tcPr>
          <w:p w14:paraId="2F6D2C2E" w14:textId="77777777" w:rsidR="00B51835" w:rsidRPr="00D6701A" w:rsidRDefault="00B51835" w:rsidP="0013067C">
            <w:pPr>
              <w:pStyle w:val="Tabletext"/>
              <w:rPr>
                <w:b w:val="0"/>
                <w:noProof/>
                <w:sz w:val="21"/>
                <w:szCs w:val="21"/>
              </w:rPr>
            </w:pPr>
            <w:r w:rsidRPr="00D6701A">
              <w:rPr>
                <w:noProof/>
                <w:sz w:val="21"/>
                <w:szCs w:val="21"/>
              </w:rPr>
              <w:t>Target group</w:t>
            </w:r>
          </w:p>
        </w:tc>
      </w:tr>
      <w:bookmarkEnd w:id="6"/>
      <w:tr w:rsidR="00B51835" w:rsidRPr="00D6701A" w14:paraId="58125381" w14:textId="77777777" w:rsidTr="00D1176D">
        <w:trPr>
          <w:cnfStyle w:val="100000000000" w:firstRow="1" w:lastRow="0" w:firstColumn="0" w:lastColumn="0" w:oddVBand="0" w:evenVBand="0" w:oddHBand="0" w:evenHBand="0" w:firstRowFirstColumn="0" w:firstRowLastColumn="0" w:lastRowFirstColumn="0" w:lastRowLastColumn="0"/>
          <w:trHeight w:val="332"/>
          <w:tblHeader/>
        </w:trPr>
        <w:tc>
          <w:tcPr>
            <w:tcW w:w="3683" w:type="dxa"/>
            <w:vMerge/>
            <w:shd w:val="clear" w:color="auto" w:fill="0F6A89"/>
          </w:tcPr>
          <w:p w14:paraId="29BBF13F" w14:textId="77777777" w:rsidR="00B51835" w:rsidRPr="00D6701A" w:rsidRDefault="00B51835" w:rsidP="0013067C">
            <w:pPr>
              <w:pStyle w:val="Tabletext"/>
              <w:rPr>
                <w:noProof/>
                <w:sz w:val="21"/>
                <w:szCs w:val="21"/>
              </w:rPr>
            </w:pPr>
          </w:p>
        </w:tc>
        <w:tc>
          <w:tcPr>
            <w:tcW w:w="1559" w:type="dxa"/>
            <w:shd w:val="clear" w:color="auto" w:fill="0F6A89"/>
          </w:tcPr>
          <w:p w14:paraId="2A22D208" w14:textId="77777777" w:rsidR="00B51835" w:rsidRPr="00D6701A" w:rsidRDefault="00B51835" w:rsidP="0013067C">
            <w:pPr>
              <w:pStyle w:val="Tabletext"/>
              <w:rPr>
                <w:noProof/>
                <w:sz w:val="21"/>
                <w:szCs w:val="21"/>
              </w:rPr>
            </w:pPr>
            <w:r w:rsidRPr="00D6701A">
              <w:rPr>
                <w:noProof/>
                <w:sz w:val="21"/>
                <w:szCs w:val="21"/>
              </w:rPr>
              <w:t>Dose</w:t>
            </w:r>
          </w:p>
        </w:tc>
        <w:tc>
          <w:tcPr>
            <w:tcW w:w="2693" w:type="dxa"/>
            <w:shd w:val="clear" w:color="auto" w:fill="0F6A89"/>
          </w:tcPr>
          <w:p w14:paraId="14E05613" w14:textId="77777777" w:rsidR="00B51835" w:rsidRPr="00D6701A" w:rsidRDefault="00B51835" w:rsidP="0013067C">
            <w:pPr>
              <w:pStyle w:val="Tabletext"/>
              <w:rPr>
                <w:noProof/>
                <w:sz w:val="21"/>
                <w:szCs w:val="21"/>
              </w:rPr>
            </w:pPr>
            <w:r w:rsidRPr="00D6701A">
              <w:rPr>
                <w:noProof/>
                <w:sz w:val="21"/>
                <w:szCs w:val="21"/>
              </w:rPr>
              <w:t>Timing</w:t>
            </w:r>
          </w:p>
        </w:tc>
        <w:tc>
          <w:tcPr>
            <w:tcW w:w="2694" w:type="dxa"/>
            <w:vMerge/>
            <w:shd w:val="clear" w:color="auto" w:fill="0F6A89"/>
          </w:tcPr>
          <w:p w14:paraId="7D52D038" w14:textId="77777777" w:rsidR="00B51835" w:rsidRPr="00D6701A" w:rsidRDefault="00B51835" w:rsidP="0013067C">
            <w:pPr>
              <w:pStyle w:val="Tabletext"/>
              <w:rPr>
                <w:noProof/>
                <w:sz w:val="21"/>
                <w:szCs w:val="21"/>
              </w:rPr>
            </w:pPr>
          </w:p>
        </w:tc>
      </w:tr>
      <w:tr w:rsidR="00B51835" w:rsidRPr="00D6701A" w14:paraId="3B005B1D" w14:textId="77777777" w:rsidTr="00D1176D">
        <w:tc>
          <w:tcPr>
            <w:tcW w:w="3683" w:type="dxa"/>
          </w:tcPr>
          <w:p w14:paraId="521A6762" w14:textId="77777777" w:rsidR="00B51835" w:rsidRPr="00D6701A" w:rsidRDefault="00B51835" w:rsidP="0013067C">
            <w:pPr>
              <w:pStyle w:val="Tablebullet"/>
              <w:numPr>
                <w:ilvl w:val="0"/>
                <w:numId w:val="0"/>
              </w:numPr>
              <w:ind w:left="227" w:hanging="170"/>
              <w:rPr>
                <w:b/>
                <w:bCs w:val="0"/>
                <w:sz w:val="21"/>
                <w:szCs w:val="21"/>
              </w:rPr>
            </w:pPr>
            <w:r w:rsidRPr="00D6701A">
              <w:rPr>
                <w:b/>
                <w:bCs w:val="0"/>
                <w:sz w:val="21"/>
                <w:szCs w:val="21"/>
              </w:rPr>
              <w:t>First 12 weeks of pregnancy:</w:t>
            </w:r>
          </w:p>
          <w:p w14:paraId="59FD0D8A" w14:textId="77777777" w:rsidR="00B51835" w:rsidRPr="00D6701A" w:rsidRDefault="00B51835" w:rsidP="00B51835">
            <w:pPr>
              <w:pStyle w:val="Tablebullet"/>
              <w:spacing w:before="0" w:after="0"/>
              <w:rPr>
                <w:sz w:val="21"/>
                <w:szCs w:val="21"/>
              </w:rPr>
            </w:pPr>
            <w:r w:rsidRPr="00D6701A">
              <w:rPr>
                <w:sz w:val="21"/>
                <w:szCs w:val="21"/>
              </w:rPr>
              <w:t>miscarriage</w:t>
            </w:r>
          </w:p>
          <w:p w14:paraId="5BFD5966" w14:textId="751665B2" w:rsidR="00B51835" w:rsidRPr="00D6701A" w:rsidRDefault="00B51835" w:rsidP="00B51835">
            <w:pPr>
              <w:pStyle w:val="Tablebullet"/>
              <w:spacing w:before="0" w:after="0"/>
              <w:rPr>
                <w:sz w:val="21"/>
                <w:szCs w:val="21"/>
              </w:rPr>
            </w:pPr>
            <w:r w:rsidRPr="00D6701A">
              <w:rPr>
                <w:sz w:val="21"/>
                <w:szCs w:val="21"/>
              </w:rPr>
              <w:t>termination of pregnancy (after 10 weeks gestation)</w:t>
            </w:r>
          </w:p>
          <w:p w14:paraId="215B77F9" w14:textId="77777777" w:rsidR="00B51835" w:rsidRPr="00D6701A" w:rsidRDefault="00B51835" w:rsidP="00B51835">
            <w:pPr>
              <w:pStyle w:val="Tablebullet"/>
              <w:spacing w:before="0" w:after="0"/>
              <w:rPr>
                <w:sz w:val="21"/>
                <w:szCs w:val="21"/>
              </w:rPr>
            </w:pPr>
            <w:r w:rsidRPr="00D6701A">
              <w:rPr>
                <w:sz w:val="21"/>
                <w:szCs w:val="21"/>
              </w:rPr>
              <w:t>ectopic pregnancy</w:t>
            </w:r>
          </w:p>
          <w:p w14:paraId="4D163DBC" w14:textId="77777777" w:rsidR="00B51835" w:rsidRPr="00D6701A" w:rsidRDefault="00B51835" w:rsidP="00B51835">
            <w:pPr>
              <w:pStyle w:val="Tablebullet"/>
              <w:spacing w:before="0" w:after="0"/>
              <w:rPr>
                <w:sz w:val="21"/>
                <w:szCs w:val="21"/>
              </w:rPr>
            </w:pPr>
            <w:r w:rsidRPr="00D6701A">
              <w:rPr>
                <w:sz w:val="21"/>
                <w:szCs w:val="21"/>
              </w:rPr>
              <w:t>molar pregnancy</w:t>
            </w:r>
          </w:p>
          <w:p w14:paraId="694B2A90" w14:textId="77777777" w:rsidR="00B51835" w:rsidRPr="00D6701A" w:rsidRDefault="00B51835" w:rsidP="0013067C">
            <w:pPr>
              <w:pStyle w:val="Tablebullet"/>
              <w:spacing w:before="0" w:after="240"/>
              <w:ind w:left="419" w:hanging="357"/>
              <w:rPr>
                <w:sz w:val="21"/>
                <w:szCs w:val="21"/>
              </w:rPr>
            </w:pPr>
            <w:r w:rsidRPr="00D6701A">
              <w:rPr>
                <w:sz w:val="21"/>
                <w:szCs w:val="21"/>
              </w:rPr>
              <w:t>chorionic villus sampling</w:t>
            </w:r>
          </w:p>
        </w:tc>
        <w:tc>
          <w:tcPr>
            <w:tcW w:w="1559" w:type="dxa"/>
          </w:tcPr>
          <w:p w14:paraId="03ACCB48" w14:textId="77777777" w:rsidR="00B51835" w:rsidRPr="00D6701A" w:rsidRDefault="00B51835" w:rsidP="0013067C">
            <w:pPr>
              <w:pStyle w:val="Tabletext"/>
              <w:ind w:left="227" w:right="0" w:hanging="170"/>
              <w:rPr>
                <w:noProof/>
                <w:sz w:val="21"/>
                <w:szCs w:val="21"/>
              </w:rPr>
            </w:pPr>
            <w:r w:rsidRPr="00D6701A">
              <w:rPr>
                <w:noProof/>
                <w:sz w:val="21"/>
                <w:szCs w:val="21"/>
              </w:rPr>
              <w:t>250 IU</w:t>
            </w:r>
          </w:p>
        </w:tc>
        <w:tc>
          <w:tcPr>
            <w:tcW w:w="2693" w:type="dxa"/>
          </w:tcPr>
          <w:p w14:paraId="16FF2B07" w14:textId="77777777" w:rsidR="00B51835" w:rsidRPr="00D6701A" w:rsidRDefault="00B51835" w:rsidP="0013067C">
            <w:pPr>
              <w:pStyle w:val="Tabletext"/>
              <w:spacing w:after="0"/>
              <w:rPr>
                <w:noProof/>
                <w:sz w:val="21"/>
                <w:szCs w:val="21"/>
              </w:rPr>
            </w:pPr>
            <w:r w:rsidRPr="00D6701A">
              <w:rPr>
                <w:rFonts w:eastAsiaTheme="minorHAnsi"/>
                <w:noProof/>
                <w:sz w:val="21"/>
                <w:szCs w:val="21"/>
              </w:rPr>
              <w:t>As soon as practical</w:t>
            </w:r>
            <w:r w:rsidRPr="00D6701A">
              <w:rPr>
                <w:noProof/>
                <w:sz w:val="21"/>
                <w:szCs w:val="21"/>
              </w:rPr>
              <w:t xml:space="preserve"> within 72 hours</w:t>
            </w:r>
            <w:r w:rsidRPr="00D6701A">
              <w:rPr>
                <w:rFonts w:eastAsiaTheme="minorHAnsi"/>
                <w:noProof/>
                <w:sz w:val="21"/>
                <w:szCs w:val="21"/>
              </w:rPr>
              <w:t>. If delayed beyond 72 hours, the dose should be given up to 10 days from the sensitising event, but may have lower efficacy</w:t>
            </w:r>
          </w:p>
        </w:tc>
        <w:tc>
          <w:tcPr>
            <w:tcW w:w="2694" w:type="dxa"/>
          </w:tcPr>
          <w:p w14:paraId="562262EA" w14:textId="77777777" w:rsidR="00B51835" w:rsidRPr="00D6701A" w:rsidRDefault="00B51835" w:rsidP="0013067C">
            <w:pPr>
              <w:pStyle w:val="Tabletext"/>
              <w:spacing w:after="0"/>
              <w:rPr>
                <w:noProof/>
                <w:sz w:val="21"/>
                <w:szCs w:val="21"/>
              </w:rPr>
            </w:pPr>
            <w:r w:rsidRPr="00D6701A">
              <w:rPr>
                <w:noProof/>
                <w:sz w:val="21"/>
                <w:szCs w:val="21"/>
              </w:rPr>
              <w:t>All Rh D negative women with no preformed anti-D antibodies</w:t>
            </w:r>
          </w:p>
        </w:tc>
      </w:tr>
      <w:tr w:rsidR="00B51835" w:rsidRPr="00D6701A" w14:paraId="059EC6B0" w14:textId="77777777" w:rsidTr="00D1176D">
        <w:tc>
          <w:tcPr>
            <w:tcW w:w="3683" w:type="dxa"/>
          </w:tcPr>
          <w:p w14:paraId="17B4493F" w14:textId="7A620B02" w:rsidR="00B51835" w:rsidRPr="00D6701A" w:rsidRDefault="00B51835" w:rsidP="00B51835">
            <w:pPr>
              <w:pStyle w:val="Tablebullet"/>
              <w:spacing w:before="0"/>
              <w:rPr>
                <w:sz w:val="21"/>
                <w:szCs w:val="21"/>
              </w:rPr>
            </w:pPr>
            <w:r w:rsidRPr="00D6701A">
              <w:rPr>
                <w:sz w:val="21"/>
                <w:szCs w:val="21"/>
              </w:rPr>
              <w:t>ongoing uterine bleeding alone</w:t>
            </w:r>
          </w:p>
        </w:tc>
        <w:tc>
          <w:tcPr>
            <w:tcW w:w="1559" w:type="dxa"/>
          </w:tcPr>
          <w:p w14:paraId="7A6AB25A" w14:textId="77777777" w:rsidR="00B51835" w:rsidRPr="00D6701A" w:rsidRDefault="00B51835" w:rsidP="0013067C">
            <w:pPr>
              <w:pStyle w:val="Tabletext"/>
              <w:spacing w:after="0"/>
              <w:rPr>
                <w:noProof/>
                <w:sz w:val="21"/>
                <w:szCs w:val="21"/>
              </w:rPr>
            </w:pPr>
            <w:r w:rsidRPr="00D6701A">
              <w:rPr>
                <w:noProof/>
                <w:sz w:val="21"/>
                <w:szCs w:val="21"/>
              </w:rPr>
              <w:t>250 IU</w:t>
            </w:r>
          </w:p>
        </w:tc>
        <w:tc>
          <w:tcPr>
            <w:tcW w:w="2693" w:type="dxa"/>
          </w:tcPr>
          <w:p w14:paraId="6A4916F0" w14:textId="77777777" w:rsidR="00B51835" w:rsidRPr="00D6701A" w:rsidRDefault="00B51835" w:rsidP="0013067C">
            <w:pPr>
              <w:pStyle w:val="Tabletext"/>
              <w:rPr>
                <w:rFonts w:eastAsiaTheme="minorHAnsi"/>
                <w:noProof/>
                <w:sz w:val="21"/>
                <w:szCs w:val="21"/>
              </w:rPr>
            </w:pPr>
            <w:r w:rsidRPr="00D6701A">
              <w:rPr>
                <w:rFonts w:eastAsiaTheme="minorHAnsi"/>
                <w:noProof/>
                <w:sz w:val="21"/>
                <w:szCs w:val="21"/>
              </w:rPr>
              <w:t xml:space="preserve">Where bleeding is repeated, or heavy, a </w:t>
            </w:r>
            <w:r w:rsidRPr="00D6701A">
              <w:rPr>
                <w:noProof/>
                <w:sz w:val="21"/>
                <w:szCs w:val="21"/>
              </w:rPr>
              <w:t>repeat dose may be appropriate after an interval of 6 weeks</w:t>
            </w:r>
          </w:p>
        </w:tc>
        <w:tc>
          <w:tcPr>
            <w:tcW w:w="2694" w:type="dxa"/>
          </w:tcPr>
          <w:p w14:paraId="1101D2ED" w14:textId="77777777" w:rsidR="00B51835" w:rsidRPr="00D6701A" w:rsidRDefault="00B51835" w:rsidP="0013067C">
            <w:pPr>
              <w:pStyle w:val="Tabletext"/>
              <w:rPr>
                <w:noProof/>
                <w:sz w:val="21"/>
                <w:szCs w:val="21"/>
              </w:rPr>
            </w:pPr>
          </w:p>
        </w:tc>
      </w:tr>
      <w:tr w:rsidR="00B51835" w:rsidRPr="00D6701A" w14:paraId="56FA5F1B" w14:textId="77777777" w:rsidTr="00D1176D">
        <w:tc>
          <w:tcPr>
            <w:tcW w:w="3683" w:type="dxa"/>
          </w:tcPr>
          <w:p w14:paraId="37390948" w14:textId="77777777" w:rsidR="00B51835" w:rsidRPr="00D6701A" w:rsidRDefault="00B51835" w:rsidP="0013067C">
            <w:pPr>
              <w:pStyle w:val="Tablebullet"/>
              <w:numPr>
                <w:ilvl w:val="0"/>
                <w:numId w:val="0"/>
              </w:numPr>
              <w:ind w:left="227" w:hanging="170"/>
              <w:rPr>
                <w:b/>
                <w:bCs w:val="0"/>
                <w:sz w:val="21"/>
                <w:szCs w:val="21"/>
              </w:rPr>
            </w:pPr>
            <w:r w:rsidRPr="00D6701A">
              <w:rPr>
                <w:b/>
                <w:bCs w:val="0"/>
                <w:sz w:val="21"/>
                <w:szCs w:val="21"/>
              </w:rPr>
              <w:t>After 12</w:t>
            </w:r>
            <w:r w:rsidRPr="00D6701A">
              <w:rPr>
                <w:b/>
                <w:bCs w:val="0"/>
                <w:sz w:val="21"/>
                <w:szCs w:val="21"/>
                <w:vertAlign w:val="superscript"/>
              </w:rPr>
              <w:t>+6</w:t>
            </w:r>
            <w:r w:rsidRPr="00D6701A">
              <w:rPr>
                <w:b/>
                <w:bCs w:val="0"/>
                <w:sz w:val="21"/>
                <w:szCs w:val="21"/>
              </w:rPr>
              <w:t xml:space="preserve"> weeks of pregnancy:</w:t>
            </w:r>
          </w:p>
          <w:p w14:paraId="2225E39A" w14:textId="77777777" w:rsidR="00B51835" w:rsidRPr="00D6701A" w:rsidRDefault="00B51835" w:rsidP="0013067C">
            <w:pPr>
              <w:pStyle w:val="Tablebullet"/>
              <w:spacing w:before="0"/>
              <w:ind w:left="419" w:hanging="357"/>
              <w:rPr>
                <w:sz w:val="21"/>
                <w:szCs w:val="21"/>
              </w:rPr>
            </w:pPr>
            <w:r w:rsidRPr="00D6701A">
              <w:rPr>
                <w:sz w:val="21"/>
                <w:szCs w:val="21"/>
              </w:rPr>
              <w:t>genetic studies (chorionic villus sampling, amniocentesis and cordocentesis)</w:t>
            </w:r>
          </w:p>
          <w:p w14:paraId="2299599F" w14:textId="77777777" w:rsidR="00B51835" w:rsidRPr="00D6701A" w:rsidRDefault="00B51835" w:rsidP="0013067C">
            <w:pPr>
              <w:pStyle w:val="Tablebullet"/>
              <w:spacing w:before="0"/>
              <w:ind w:left="419" w:hanging="357"/>
              <w:rPr>
                <w:sz w:val="21"/>
                <w:szCs w:val="21"/>
              </w:rPr>
            </w:pPr>
            <w:r w:rsidRPr="00D6701A">
              <w:rPr>
                <w:sz w:val="21"/>
                <w:szCs w:val="21"/>
              </w:rPr>
              <w:t>abdominal trauma considered sufficient to cause FMH, even if FMH testing is negative</w:t>
            </w:r>
          </w:p>
          <w:p w14:paraId="700FF7F5" w14:textId="77777777" w:rsidR="00B51835" w:rsidRPr="00D6701A" w:rsidRDefault="00B51835" w:rsidP="0013067C">
            <w:pPr>
              <w:pStyle w:val="Tablebullet"/>
              <w:spacing w:before="0"/>
              <w:ind w:left="419" w:hanging="357"/>
              <w:rPr>
                <w:sz w:val="21"/>
                <w:szCs w:val="21"/>
              </w:rPr>
            </w:pPr>
            <w:r w:rsidRPr="00D6701A">
              <w:rPr>
                <w:sz w:val="21"/>
                <w:szCs w:val="21"/>
              </w:rPr>
              <w:t>each occasion of revealed or concealed antepartum haemorrhage. Where the woman suffers unexplained uterine pain the possibility of concealed antepartum haemorrhage (and the need for immunoprophylaxis) should be considered</w:t>
            </w:r>
          </w:p>
          <w:p w14:paraId="2FA871FC" w14:textId="77777777" w:rsidR="00B51835" w:rsidRPr="00D6701A" w:rsidRDefault="00B51835" w:rsidP="0013067C">
            <w:pPr>
              <w:pStyle w:val="Tablebullet"/>
              <w:spacing w:before="0"/>
              <w:ind w:left="419" w:hanging="357"/>
              <w:rPr>
                <w:sz w:val="21"/>
                <w:szCs w:val="21"/>
              </w:rPr>
            </w:pPr>
            <w:r w:rsidRPr="00D6701A">
              <w:rPr>
                <w:sz w:val="21"/>
                <w:szCs w:val="21"/>
              </w:rPr>
              <w:t>external cephalic version (successful or attempted)</w:t>
            </w:r>
          </w:p>
          <w:p w14:paraId="6C298D50" w14:textId="77777777" w:rsidR="00B51835" w:rsidRPr="00D6701A" w:rsidRDefault="00B51835" w:rsidP="0013067C">
            <w:pPr>
              <w:pStyle w:val="Tablebullet"/>
              <w:spacing w:after="240"/>
              <w:ind w:left="419" w:hanging="357"/>
              <w:rPr>
                <w:sz w:val="21"/>
                <w:szCs w:val="21"/>
              </w:rPr>
            </w:pPr>
            <w:r w:rsidRPr="00D6701A">
              <w:rPr>
                <w:sz w:val="21"/>
                <w:szCs w:val="21"/>
              </w:rPr>
              <w:t>miscarriage or termination of pregnancy</w:t>
            </w:r>
          </w:p>
        </w:tc>
        <w:tc>
          <w:tcPr>
            <w:tcW w:w="1559" w:type="dxa"/>
          </w:tcPr>
          <w:p w14:paraId="111F1BD1" w14:textId="77777777" w:rsidR="00B51835" w:rsidRPr="00D6701A" w:rsidRDefault="00B51835" w:rsidP="0013067C">
            <w:pPr>
              <w:pStyle w:val="Tabletext"/>
              <w:ind w:left="227" w:right="0" w:hanging="170"/>
              <w:rPr>
                <w:noProof/>
                <w:sz w:val="21"/>
                <w:szCs w:val="21"/>
              </w:rPr>
            </w:pPr>
            <w:r w:rsidRPr="00D6701A">
              <w:rPr>
                <w:noProof/>
                <w:sz w:val="21"/>
                <w:szCs w:val="21"/>
              </w:rPr>
              <w:t>625 IU</w:t>
            </w:r>
          </w:p>
        </w:tc>
        <w:tc>
          <w:tcPr>
            <w:tcW w:w="2693" w:type="dxa"/>
          </w:tcPr>
          <w:p w14:paraId="717AEE2D" w14:textId="77777777" w:rsidR="00B51835" w:rsidRPr="00D6701A" w:rsidRDefault="00B51835" w:rsidP="0013067C">
            <w:pPr>
              <w:pStyle w:val="Tabletext"/>
              <w:rPr>
                <w:rFonts w:eastAsiaTheme="minorHAnsi"/>
                <w:noProof/>
                <w:sz w:val="21"/>
                <w:szCs w:val="21"/>
              </w:rPr>
            </w:pPr>
            <w:r w:rsidRPr="00D6701A">
              <w:rPr>
                <w:rFonts w:eastAsiaTheme="minorHAnsi"/>
                <w:noProof/>
                <w:sz w:val="21"/>
                <w:szCs w:val="21"/>
              </w:rPr>
              <w:t>As soon as practical</w:t>
            </w:r>
            <w:r w:rsidRPr="00D6701A">
              <w:rPr>
                <w:noProof/>
                <w:sz w:val="21"/>
                <w:szCs w:val="21"/>
              </w:rPr>
              <w:t xml:space="preserve"> within 72 hours</w:t>
            </w:r>
            <w:r w:rsidRPr="00D6701A">
              <w:rPr>
                <w:rFonts w:eastAsiaTheme="minorHAnsi"/>
                <w:noProof/>
                <w:sz w:val="21"/>
                <w:szCs w:val="21"/>
              </w:rPr>
              <w:t>. If delayed beyond 72 hours, the dose should be given up to 10 days from the sensitising event, but may have lower efficacy</w:t>
            </w:r>
          </w:p>
        </w:tc>
        <w:tc>
          <w:tcPr>
            <w:tcW w:w="2694" w:type="dxa"/>
          </w:tcPr>
          <w:p w14:paraId="1410189B" w14:textId="77777777" w:rsidR="00B51835" w:rsidRPr="00D6701A" w:rsidRDefault="00B51835" w:rsidP="0013067C">
            <w:pPr>
              <w:pStyle w:val="Tabletext"/>
              <w:rPr>
                <w:noProof/>
                <w:sz w:val="21"/>
                <w:szCs w:val="21"/>
              </w:rPr>
            </w:pPr>
            <w:r w:rsidRPr="00D6701A">
              <w:rPr>
                <w:noProof/>
                <w:sz w:val="21"/>
                <w:szCs w:val="21"/>
              </w:rPr>
              <w:t xml:space="preserve">All Rh D negative women with no preformed anti-D antibodies (unless NIPT for fetal </w:t>
            </w:r>
            <w:r w:rsidRPr="00D6701A">
              <w:rPr>
                <w:i/>
                <w:noProof/>
                <w:sz w:val="21"/>
                <w:szCs w:val="21"/>
              </w:rPr>
              <w:t>RHD</w:t>
            </w:r>
            <w:r w:rsidRPr="00D6701A">
              <w:rPr>
                <w:noProof/>
                <w:sz w:val="21"/>
                <w:szCs w:val="21"/>
              </w:rPr>
              <w:t xml:space="preserve"> has predicted the fetus to be Rh D negative)</w:t>
            </w:r>
          </w:p>
        </w:tc>
      </w:tr>
      <w:tr w:rsidR="00B51835" w:rsidRPr="00D6701A" w14:paraId="15A59A1F" w14:textId="77777777" w:rsidTr="00D1176D">
        <w:tc>
          <w:tcPr>
            <w:tcW w:w="3683" w:type="dxa"/>
          </w:tcPr>
          <w:p w14:paraId="5E1F6281" w14:textId="77777777" w:rsidR="00B51835" w:rsidRPr="00D6701A" w:rsidRDefault="00B51835" w:rsidP="00B51835">
            <w:pPr>
              <w:pStyle w:val="Tablebullet"/>
              <w:spacing w:before="0"/>
              <w:rPr>
                <w:sz w:val="21"/>
                <w:szCs w:val="21"/>
              </w:rPr>
            </w:pPr>
            <w:r w:rsidRPr="00D6701A">
              <w:rPr>
                <w:sz w:val="21"/>
                <w:szCs w:val="21"/>
              </w:rPr>
              <w:t>ongoing uterine bleeding alone</w:t>
            </w:r>
          </w:p>
        </w:tc>
        <w:tc>
          <w:tcPr>
            <w:tcW w:w="1559" w:type="dxa"/>
          </w:tcPr>
          <w:p w14:paraId="7512C494" w14:textId="77777777" w:rsidR="00B51835" w:rsidRPr="00D6701A" w:rsidRDefault="00B51835" w:rsidP="0013067C">
            <w:pPr>
              <w:pStyle w:val="Tabletext"/>
              <w:spacing w:after="0"/>
              <w:rPr>
                <w:noProof/>
                <w:sz w:val="21"/>
                <w:szCs w:val="21"/>
              </w:rPr>
            </w:pPr>
            <w:r w:rsidRPr="00D6701A">
              <w:rPr>
                <w:noProof/>
                <w:sz w:val="21"/>
                <w:szCs w:val="21"/>
              </w:rPr>
              <w:t>625 IU</w:t>
            </w:r>
          </w:p>
        </w:tc>
        <w:tc>
          <w:tcPr>
            <w:tcW w:w="2693" w:type="dxa"/>
          </w:tcPr>
          <w:p w14:paraId="6C0C5A2C" w14:textId="75CB04EA" w:rsidR="00B51835" w:rsidRPr="00D6701A" w:rsidRDefault="00B51835" w:rsidP="0013067C">
            <w:pPr>
              <w:pStyle w:val="Tabletext"/>
              <w:rPr>
                <w:rFonts w:eastAsiaTheme="minorHAnsi"/>
                <w:noProof/>
                <w:sz w:val="21"/>
                <w:szCs w:val="21"/>
              </w:rPr>
            </w:pPr>
            <w:r w:rsidRPr="00D6701A">
              <w:rPr>
                <w:rFonts w:eastAsiaTheme="minorHAnsi"/>
                <w:noProof/>
                <w:sz w:val="21"/>
                <w:szCs w:val="21"/>
              </w:rPr>
              <w:t>Where bleeding is repeated, or heavy, a repeat dose, may be appropriate at 6 weekly intervals</w:t>
            </w:r>
          </w:p>
        </w:tc>
        <w:tc>
          <w:tcPr>
            <w:tcW w:w="2694" w:type="dxa"/>
          </w:tcPr>
          <w:p w14:paraId="30EC464B" w14:textId="77777777" w:rsidR="00B51835" w:rsidRPr="00D6701A" w:rsidRDefault="00B51835" w:rsidP="0013067C">
            <w:pPr>
              <w:pStyle w:val="Tabletext"/>
              <w:rPr>
                <w:noProof/>
                <w:sz w:val="21"/>
                <w:szCs w:val="21"/>
              </w:rPr>
            </w:pPr>
          </w:p>
        </w:tc>
      </w:tr>
      <w:tr w:rsidR="00B51835" w:rsidRPr="00D6701A" w14:paraId="06CBBC65" w14:textId="77777777" w:rsidTr="00D1176D">
        <w:trPr>
          <w:trHeight w:val="338"/>
        </w:trPr>
        <w:tc>
          <w:tcPr>
            <w:tcW w:w="3683" w:type="dxa"/>
          </w:tcPr>
          <w:p w14:paraId="0D164E0A" w14:textId="77777777" w:rsidR="00B51835" w:rsidRPr="00D6701A" w:rsidRDefault="00B51835" w:rsidP="0013067C">
            <w:pPr>
              <w:pStyle w:val="Tabletext"/>
              <w:rPr>
                <w:b/>
                <w:bCs/>
                <w:noProof/>
                <w:sz w:val="21"/>
                <w:szCs w:val="21"/>
              </w:rPr>
            </w:pPr>
            <w:r w:rsidRPr="00D6701A">
              <w:rPr>
                <w:b/>
                <w:bCs/>
                <w:noProof/>
                <w:sz w:val="21"/>
                <w:szCs w:val="21"/>
              </w:rPr>
              <w:t xml:space="preserve">Large FMH </w:t>
            </w:r>
            <w:r w:rsidRPr="00D6701A">
              <w:rPr>
                <w:b/>
                <w:bCs/>
                <w:sz w:val="21"/>
                <w:szCs w:val="21"/>
              </w:rPr>
              <w:t>≥ </w:t>
            </w:r>
            <w:r w:rsidRPr="00D6701A">
              <w:rPr>
                <w:b/>
                <w:bCs/>
                <w:noProof/>
                <w:sz w:val="21"/>
                <w:szCs w:val="21"/>
              </w:rPr>
              <w:t>6mL of fetal red cells (equivalent to 12mL of whole blood):</w:t>
            </w:r>
          </w:p>
          <w:p w14:paraId="2BBC80A5" w14:textId="77777777" w:rsidR="00B51835" w:rsidRPr="00D6701A" w:rsidRDefault="00B51835" w:rsidP="00EC2D03">
            <w:pPr>
              <w:pStyle w:val="Tablebullet"/>
              <w:spacing w:before="0"/>
              <w:ind w:left="419" w:hanging="357"/>
              <w:rPr>
                <w:sz w:val="21"/>
                <w:szCs w:val="21"/>
              </w:rPr>
            </w:pPr>
            <w:r w:rsidRPr="00D6701A">
              <w:rPr>
                <w:sz w:val="21"/>
                <w:szCs w:val="21"/>
              </w:rPr>
              <w:t>antepartum</w:t>
            </w:r>
          </w:p>
          <w:p w14:paraId="799FF774" w14:textId="77777777" w:rsidR="00B51835" w:rsidRPr="00D6701A" w:rsidRDefault="00B51835" w:rsidP="00EC2D03">
            <w:pPr>
              <w:pStyle w:val="Tablebullet"/>
              <w:spacing w:before="0"/>
              <w:ind w:left="419" w:hanging="357"/>
              <w:rPr>
                <w:b/>
                <w:sz w:val="21"/>
                <w:szCs w:val="21"/>
              </w:rPr>
            </w:pPr>
            <w:r w:rsidRPr="00D6701A">
              <w:rPr>
                <w:sz w:val="21"/>
                <w:szCs w:val="21"/>
              </w:rPr>
              <w:t>postpartum</w:t>
            </w:r>
          </w:p>
        </w:tc>
        <w:tc>
          <w:tcPr>
            <w:tcW w:w="1559" w:type="dxa"/>
          </w:tcPr>
          <w:p w14:paraId="08E52238" w14:textId="77777777" w:rsidR="00B51835" w:rsidRPr="00D6701A" w:rsidRDefault="00B51835" w:rsidP="0013067C">
            <w:pPr>
              <w:pStyle w:val="Tabletext"/>
              <w:spacing w:after="0"/>
              <w:rPr>
                <w:noProof/>
                <w:sz w:val="21"/>
                <w:szCs w:val="21"/>
              </w:rPr>
            </w:pPr>
            <w:r w:rsidRPr="00D6701A">
              <w:rPr>
                <w:noProof/>
                <w:sz w:val="21"/>
                <w:szCs w:val="21"/>
              </w:rPr>
              <w:t>625 IU as initial dose with follow up dose according to FMH quantitation</w:t>
            </w:r>
          </w:p>
        </w:tc>
        <w:tc>
          <w:tcPr>
            <w:tcW w:w="2693" w:type="dxa"/>
          </w:tcPr>
          <w:p w14:paraId="595E623C" w14:textId="77777777" w:rsidR="00B51835" w:rsidRPr="00D6701A" w:rsidRDefault="00B51835" w:rsidP="0013067C">
            <w:pPr>
              <w:pStyle w:val="Tabletext"/>
              <w:rPr>
                <w:rFonts w:eastAsiaTheme="minorHAnsi"/>
                <w:noProof/>
                <w:sz w:val="21"/>
                <w:szCs w:val="21"/>
              </w:rPr>
            </w:pPr>
            <w:r w:rsidRPr="00D6701A">
              <w:rPr>
                <w:rFonts w:eastAsiaTheme="minorHAnsi"/>
                <w:noProof/>
                <w:sz w:val="21"/>
                <w:szCs w:val="21"/>
              </w:rPr>
              <w:t>As soon as possible.</w:t>
            </w:r>
          </w:p>
          <w:p w14:paraId="14EB71DD" w14:textId="77777777" w:rsidR="00B51835" w:rsidRPr="00D6701A" w:rsidRDefault="00B51835" w:rsidP="0013067C">
            <w:pPr>
              <w:pStyle w:val="Tabletext"/>
              <w:rPr>
                <w:rFonts w:eastAsiaTheme="minorHAnsi"/>
                <w:noProof/>
                <w:sz w:val="21"/>
                <w:szCs w:val="21"/>
              </w:rPr>
            </w:pPr>
            <w:r w:rsidRPr="00D6701A">
              <w:rPr>
                <w:rFonts w:eastAsiaTheme="minorHAnsi"/>
                <w:noProof/>
                <w:sz w:val="21"/>
                <w:szCs w:val="21"/>
              </w:rPr>
              <w:t>Follow laboratory or specialist obstetric advice for additional doses of IM Rh D immunoglobulin or IV Rh D immunoglobulin, and for follow-up testing</w:t>
            </w:r>
          </w:p>
        </w:tc>
        <w:tc>
          <w:tcPr>
            <w:tcW w:w="2694" w:type="dxa"/>
          </w:tcPr>
          <w:p w14:paraId="277BEB80" w14:textId="77777777" w:rsidR="00B51835" w:rsidRPr="00D6701A" w:rsidRDefault="00B51835" w:rsidP="0013067C">
            <w:pPr>
              <w:pStyle w:val="Tabletext"/>
              <w:rPr>
                <w:noProof/>
                <w:sz w:val="21"/>
                <w:szCs w:val="21"/>
              </w:rPr>
            </w:pPr>
            <w:r w:rsidRPr="00D6701A">
              <w:rPr>
                <w:noProof/>
                <w:sz w:val="21"/>
                <w:szCs w:val="21"/>
              </w:rPr>
              <w:t xml:space="preserve">All Rh D negative women with no preformed anti-D antibodies (unless NIPT for fetal </w:t>
            </w:r>
            <w:r w:rsidRPr="00D6701A">
              <w:rPr>
                <w:i/>
                <w:iCs/>
                <w:noProof/>
                <w:sz w:val="21"/>
                <w:szCs w:val="21"/>
              </w:rPr>
              <w:t>RHD</w:t>
            </w:r>
            <w:r w:rsidRPr="00D6701A">
              <w:rPr>
                <w:noProof/>
                <w:sz w:val="21"/>
                <w:szCs w:val="21"/>
              </w:rPr>
              <w:t xml:space="preserve"> has predicted the fetus to be Rh D negative)</w:t>
            </w:r>
          </w:p>
        </w:tc>
      </w:tr>
    </w:tbl>
    <w:p w14:paraId="6BFADBC9" w14:textId="77777777" w:rsidR="007C2438" w:rsidRPr="00674FBC" w:rsidRDefault="007C2438" w:rsidP="00957A5D">
      <w:pPr>
        <w:spacing w:after="60"/>
        <w:rPr>
          <w:rFonts w:asciiTheme="minorHAnsi" w:hAnsiTheme="minorHAnsi" w:cstheme="minorHAnsi"/>
          <w:sz w:val="18"/>
          <w:szCs w:val="18"/>
        </w:rPr>
      </w:pPr>
      <w:r w:rsidRPr="00674FBC">
        <w:rPr>
          <w:rFonts w:asciiTheme="minorHAnsi" w:hAnsiTheme="minorHAnsi" w:cstheme="minorHAnsi"/>
          <w:sz w:val="18"/>
          <w:szCs w:val="18"/>
        </w:rPr>
        <w:t xml:space="preserve">FMH: fetomaternal haemorrhage, IM: intramuscular, </w:t>
      </w:r>
      <w:r w:rsidR="00B70176" w:rsidRPr="00674FBC">
        <w:rPr>
          <w:noProof/>
          <w:sz w:val="18"/>
          <w:szCs w:val="18"/>
        </w:rPr>
        <w:t xml:space="preserve">IU: international units; </w:t>
      </w:r>
      <w:r w:rsidRPr="00674FBC">
        <w:rPr>
          <w:rFonts w:asciiTheme="minorHAnsi" w:hAnsiTheme="minorHAnsi" w:cstheme="minorHAnsi"/>
          <w:sz w:val="18"/>
          <w:szCs w:val="18"/>
        </w:rPr>
        <w:t xml:space="preserve">IV: intravenous, NIPT: non-invasive prenatal testing </w:t>
      </w:r>
    </w:p>
    <w:p w14:paraId="11CEA948" w14:textId="2D5476E2" w:rsidR="00A5685C" w:rsidRDefault="00B70176" w:rsidP="00B70176">
      <w:pPr>
        <w:spacing w:before="80" w:after="0"/>
        <w:rPr>
          <w:rFonts w:asciiTheme="minorHAnsi" w:eastAsiaTheme="minorHAnsi" w:hAnsiTheme="minorHAnsi" w:cstheme="minorHAnsi"/>
          <w:color w:val="000000"/>
          <w:sz w:val="18"/>
          <w:szCs w:val="18"/>
        </w:rPr>
      </w:pPr>
      <w:r w:rsidRPr="00674FBC">
        <w:rPr>
          <w:rFonts w:asciiTheme="minorHAnsi" w:eastAsiaTheme="minorHAnsi" w:hAnsiTheme="minorHAnsi" w:cstheme="minorHAnsi"/>
          <w:color w:val="000000"/>
          <w:sz w:val="18"/>
          <w:szCs w:val="18"/>
        </w:rPr>
        <w:t>anti-D - refers to circulating antibodies</w:t>
      </w:r>
      <w:r w:rsidR="00674FBC">
        <w:rPr>
          <w:rFonts w:asciiTheme="minorHAnsi" w:eastAsiaTheme="minorHAnsi" w:hAnsiTheme="minorHAnsi" w:cstheme="minorHAnsi"/>
          <w:color w:val="000000"/>
          <w:sz w:val="18"/>
          <w:szCs w:val="18"/>
        </w:rPr>
        <w:t xml:space="preserve">, </w:t>
      </w:r>
      <w:r w:rsidRPr="00674FBC">
        <w:rPr>
          <w:rFonts w:asciiTheme="minorHAnsi" w:eastAsiaTheme="minorHAnsi" w:hAnsiTheme="minorHAnsi" w:cstheme="minorHAnsi"/>
          <w:i/>
          <w:iCs/>
          <w:color w:val="000000"/>
          <w:sz w:val="18"/>
          <w:szCs w:val="18"/>
        </w:rPr>
        <w:t>RHD -</w:t>
      </w:r>
      <w:r w:rsidRPr="00674FBC">
        <w:rPr>
          <w:rFonts w:asciiTheme="minorHAnsi" w:eastAsiaTheme="minorHAnsi" w:hAnsiTheme="minorHAnsi" w:cstheme="minorHAnsi"/>
          <w:color w:val="000000"/>
          <w:sz w:val="18"/>
          <w:szCs w:val="18"/>
        </w:rPr>
        <w:t xml:space="preserve"> refers to genotype</w:t>
      </w:r>
      <w:r w:rsidR="00674FBC">
        <w:rPr>
          <w:rFonts w:asciiTheme="minorHAnsi" w:eastAsiaTheme="minorHAnsi" w:hAnsiTheme="minorHAnsi" w:cstheme="minorHAnsi"/>
          <w:color w:val="000000"/>
          <w:sz w:val="18"/>
          <w:szCs w:val="18"/>
        </w:rPr>
        <w:t>,</w:t>
      </w:r>
      <w:r w:rsidRPr="00674FBC">
        <w:rPr>
          <w:rFonts w:asciiTheme="minorHAnsi" w:eastAsiaTheme="minorHAnsi" w:hAnsiTheme="minorHAnsi" w:cstheme="minorHAnsi"/>
          <w:color w:val="000000"/>
          <w:sz w:val="18"/>
          <w:szCs w:val="18"/>
        </w:rPr>
        <w:t xml:space="preserve"> Rh D immunoglobulin - refers to the </w:t>
      </w:r>
      <w:r w:rsidR="00674FBC">
        <w:rPr>
          <w:rFonts w:asciiTheme="minorHAnsi" w:eastAsiaTheme="minorHAnsi" w:hAnsiTheme="minorHAnsi" w:cstheme="minorHAnsi"/>
          <w:color w:val="000000"/>
          <w:sz w:val="18"/>
          <w:szCs w:val="18"/>
        </w:rPr>
        <w:t>product,</w:t>
      </w:r>
      <w:r w:rsidRPr="00674FBC">
        <w:rPr>
          <w:rFonts w:asciiTheme="minorHAnsi" w:eastAsiaTheme="minorHAnsi" w:hAnsiTheme="minorHAnsi" w:cstheme="minorHAnsi"/>
          <w:color w:val="000000"/>
          <w:sz w:val="18"/>
          <w:szCs w:val="18"/>
        </w:rPr>
        <w:t xml:space="preserve"> Rh D positive/negative - refers to blood type</w:t>
      </w:r>
    </w:p>
    <w:p w14:paraId="1EAD2754" w14:textId="73CA88C5" w:rsidR="001544D2" w:rsidRDefault="001544D2" w:rsidP="00B70176">
      <w:pPr>
        <w:spacing w:before="80" w:after="0"/>
        <w:rPr>
          <w:rFonts w:asciiTheme="minorHAnsi" w:eastAsiaTheme="minorHAnsi" w:hAnsiTheme="minorHAnsi" w:cstheme="minorHAnsi"/>
          <w:color w:val="000000"/>
          <w:sz w:val="18"/>
          <w:szCs w:val="18"/>
        </w:rPr>
      </w:pPr>
    </w:p>
    <w:p w14:paraId="41ADB9DF" w14:textId="77777777" w:rsidR="007936A5" w:rsidRDefault="007936A5" w:rsidP="001544D2">
      <w:pPr>
        <w:pStyle w:val="Heading2"/>
        <w:rPr>
          <w:noProof/>
          <w:sz w:val="36"/>
        </w:rPr>
      </w:pPr>
    </w:p>
    <w:p w14:paraId="7F6E6C5F" w14:textId="64F5B856" w:rsidR="001544D2" w:rsidRPr="004E5A56" w:rsidRDefault="001544D2" w:rsidP="001544D2">
      <w:pPr>
        <w:pStyle w:val="Heading2"/>
        <w:rPr>
          <w:noProof/>
          <w:sz w:val="36"/>
        </w:rPr>
      </w:pPr>
      <w:r w:rsidRPr="004E5A56">
        <w:rPr>
          <w:noProof/>
          <w:sz w:val="36"/>
        </w:rPr>
        <w:lastRenderedPageBreak/>
        <w:t xml:space="preserve">Dosing of Rh D immunoglobulin after fetomaternal haemorrahge quantitation </w:t>
      </w:r>
    </w:p>
    <w:p w14:paraId="3665EF5C" w14:textId="682DD1E6" w:rsidR="00054060" w:rsidRDefault="00054060" w:rsidP="00054060">
      <w:pPr>
        <w:pStyle w:val="BodyText"/>
      </w:pPr>
      <w:r>
        <w:t xml:space="preserve">For Rh D negative pregnant women, a maternal blood sample </w:t>
      </w:r>
      <w:r w:rsidR="00F3729F">
        <w:t>should be collected</w:t>
      </w:r>
      <w:r>
        <w:t xml:space="preserve"> for quantitation of FMH following sensitising events after 20 weeks of pregnancy and after giving birth; the routine dose of Rh D immunoglobulin of 625 IU should be administered. This dose is sufficient to cover FMH of up to 6 mL Rh D positive fetal red cells (equivalent to about 12 mL of fetal whole blood), which will account for 99% of FMH.</w:t>
      </w:r>
    </w:p>
    <w:p w14:paraId="7F9C8026" w14:textId="77777777" w:rsidR="00054060" w:rsidRDefault="00054060" w:rsidP="00054060">
      <w:pPr>
        <w:pStyle w:val="BodyText"/>
      </w:pPr>
      <w:r>
        <w:t>For FMH volumes greater than 6 mL fetal red cells, an additional dose of Rh D immunoglobulin is required, and should be calculated at 100 IU per mL of fetal red cells in excess of 6 mL covered by the standard initial 625 IU dose. The required dose should be rounded up to the nearest full vial or vials.</w:t>
      </w:r>
    </w:p>
    <w:p w14:paraId="31ED28F1" w14:textId="77777777" w:rsidR="00054060" w:rsidRDefault="00054060" w:rsidP="00054060">
      <w:pPr>
        <w:pStyle w:val="BodyText"/>
      </w:pPr>
      <w:r>
        <w:t>Doses that require intramuscular injection of a volume of Rh D immunoglobulin of more than 5 mL should be divided and administered in separate intramuscular injections. Intravenous Rh D immunoglobulin may be used for the management of large FMH where administration of intramuscular Rh D immunoglobulin is either contraindicated or not practical.</w:t>
      </w:r>
    </w:p>
    <w:p w14:paraId="72487832" w14:textId="77777777" w:rsidR="00054060" w:rsidRDefault="00054060" w:rsidP="00054060">
      <w:pPr>
        <w:pStyle w:val="BodyText"/>
      </w:pPr>
      <w:r>
        <w:t xml:space="preserve">For very large FMH volumes that would require more than two intramuscular injections, use of the intravenous product </w:t>
      </w:r>
      <w:proofErr w:type="spellStart"/>
      <w:r>
        <w:t>Rhophylac</w:t>
      </w:r>
      <w:proofErr w:type="spellEnd"/>
      <w:r>
        <w:t xml:space="preserve"> 1500 IU is recommended, at a dose of 100 IU/1 mL fetal red cells in excess of the 6 mL that is covered by the standard initial 625 IU dose.</w:t>
      </w:r>
    </w:p>
    <w:p w14:paraId="6137FD6A" w14:textId="77777777" w:rsidR="00054060" w:rsidRDefault="00054060" w:rsidP="00054060">
      <w:pPr>
        <w:pStyle w:val="BodyText"/>
      </w:pPr>
      <w:r w:rsidRPr="00375645">
        <w:t xml:space="preserve">After the initial 625 IU standard dose for sensitising events and following birth, </w:t>
      </w:r>
      <w:r>
        <w:t xml:space="preserve">the following table </w:t>
      </w:r>
      <w:r w:rsidRPr="00375645">
        <w:t xml:space="preserve">guides the additional Rh D immunoglobulin dosing for </w:t>
      </w:r>
      <w:r w:rsidRPr="00706D95">
        <w:t xml:space="preserve">large FMH </w:t>
      </w:r>
      <w:r w:rsidRPr="00706D95">
        <w:rPr>
          <w:rFonts w:asciiTheme="minorHAnsi" w:eastAsiaTheme="minorHAnsi" w:hAnsiTheme="minorHAnsi" w:cstheme="minorHAnsi"/>
          <w:noProof/>
          <w:sz w:val="20"/>
        </w:rPr>
        <w:t>≥</w:t>
      </w:r>
      <w:r w:rsidRPr="00706D95">
        <w:t>6</w:t>
      </w:r>
      <w:r>
        <w:t>mL</w:t>
      </w:r>
      <w:r w:rsidRPr="00706D95">
        <w:t>.</w:t>
      </w:r>
    </w:p>
    <w:p w14:paraId="57319491" w14:textId="77777777" w:rsidR="001544D2" w:rsidRPr="004A3876" w:rsidRDefault="001544D2" w:rsidP="001544D2">
      <w:pPr>
        <w:keepNext/>
        <w:spacing w:before="120" w:after="120"/>
        <w:ind w:right="57"/>
        <w:rPr>
          <w:rFonts w:eastAsia="Calibri"/>
          <w:b/>
        </w:rPr>
      </w:pPr>
      <w:bookmarkStart w:id="7" w:name="_Ref113886251"/>
      <w:r w:rsidRPr="004A3876">
        <w:rPr>
          <w:rFonts w:eastAsia="Calibri"/>
          <w:b/>
          <w:lang w:eastAsia="ja-JP"/>
        </w:rPr>
        <w:t xml:space="preserve">Dosing of Rh D immunoglobulin </w:t>
      </w:r>
      <w:r>
        <w:rPr>
          <w:rFonts w:eastAsia="Calibri"/>
          <w:b/>
          <w:lang w:eastAsia="ja-JP"/>
        </w:rPr>
        <w:t>after</w:t>
      </w:r>
      <w:r w:rsidRPr="004A3876">
        <w:rPr>
          <w:rFonts w:eastAsia="Calibri"/>
          <w:b/>
          <w:lang w:eastAsia="ja-JP"/>
        </w:rPr>
        <w:t xml:space="preserve"> fetomaternal haemorrhage quantitation</w:t>
      </w:r>
    </w:p>
    <w:tbl>
      <w:tblPr>
        <w:tblStyle w:val="HTAtableplain1"/>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100"/>
        <w:gridCol w:w="2262"/>
        <w:gridCol w:w="2262"/>
        <w:gridCol w:w="2401"/>
      </w:tblGrid>
      <w:tr w:rsidR="001544D2" w:rsidRPr="00D6701A" w14:paraId="3FEB1C41" w14:textId="77777777" w:rsidTr="0052109B">
        <w:trPr>
          <w:cnfStyle w:val="100000000000" w:firstRow="1" w:lastRow="0" w:firstColumn="0" w:lastColumn="0" w:oddVBand="0" w:evenVBand="0" w:oddHBand="0" w:evenHBand="0" w:firstRowFirstColumn="0" w:firstRowLastColumn="0" w:lastRowFirstColumn="0" w:lastRowLastColumn="0"/>
        </w:trPr>
        <w:tc>
          <w:tcPr>
            <w:tcW w:w="1614" w:type="dxa"/>
          </w:tcPr>
          <w:bookmarkEnd w:id="7"/>
          <w:p w14:paraId="241D5EE3" w14:textId="77777777" w:rsidR="001544D2" w:rsidRPr="00D6701A" w:rsidRDefault="001544D2" w:rsidP="00E579F9">
            <w:pPr>
              <w:spacing w:before="60" w:after="20"/>
              <w:jc w:val="center"/>
              <w:rPr>
                <w:rFonts w:cstheme="minorHAnsi"/>
              </w:rPr>
            </w:pPr>
            <w:r w:rsidRPr="00D6701A">
              <w:rPr>
                <w:rFonts w:cstheme="minorHAnsi"/>
              </w:rPr>
              <w:t>FMH volume (fetal red cells)</w:t>
            </w:r>
          </w:p>
        </w:tc>
        <w:tc>
          <w:tcPr>
            <w:tcW w:w="2067" w:type="dxa"/>
          </w:tcPr>
          <w:p w14:paraId="15CDE6A3" w14:textId="77777777" w:rsidR="001544D2" w:rsidRPr="00D6701A" w:rsidRDefault="001544D2" w:rsidP="00E579F9">
            <w:pPr>
              <w:tabs>
                <w:tab w:val="left" w:pos="147"/>
              </w:tabs>
              <w:spacing w:before="60" w:after="20"/>
              <w:jc w:val="center"/>
              <w:rPr>
                <w:rFonts w:cstheme="minorHAnsi"/>
              </w:rPr>
            </w:pPr>
            <w:r w:rsidRPr="00D6701A">
              <w:rPr>
                <w:rFonts w:cstheme="minorHAnsi"/>
              </w:rPr>
              <w:t>Total dose of Rh D immunoglobulin required</w:t>
            </w:r>
          </w:p>
        </w:tc>
        <w:tc>
          <w:tcPr>
            <w:tcW w:w="2268" w:type="dxa"/>
          </w:tcPr>
          <w:p w14:paraId="1715A939" w14:textId="77777777" w:rsidR="001544D2" w:rsidRPr="00D6701A" w:rsidRDefault="001544D2" w:rsidP="00E579F9">
            <w:pPr>
              <w:tabs>
                <w:tab w:val="left" w:pos="147"/>
              </w:tabs>
              <w:spacing w:before="60" w:after="20"/>
              <w:jc w:val="center"/>
              <w:rPr>
                <w:rFonts w:cstheme="minorHAnsi"/>
              </w:rPr>
            </w:pPr>
            <w:r w:rsidRPr="00D6701A">
              <w:rPr>
                <w:rFonts w:cstheme="minorHAnsi"/>
              </w:rPr>
              <w:t>Initial dose of IM</w:t>
            </w:r>
          </w:p>
          <w:p w14:paraId="3509B76A" w14:textId="77777777" w:rsidR="001544D2" w:rsidRPr="00D6701A" w:rsidRDefault="001544D2" w:rsidP="00E579F9">
            <w:pPr>
              <w:tabs>
                <w:tab w:val="left" w:pos="147"/>
              </w:tabs>
              <w:spacing w:before="60" w:after="20"/>
              <w:jc w:val="center"/>
              <w:rPr>
                <w:rFonts w:cstheme="minorHAnsi"/>
              </w:rPr>
            </w:pPr>
            <w:r w:rsidRPr="00D6701A">
              <w:rPr>
                <w:rFonts w:cstheme="minorHAnsi"/>
              </w:rPr>
              <w:t>Rh D immunoglobulin</w:t>
            </w:r>
          </w:p>
          <w:p w14:paraId="50CE30D4" w14:textId="77777777" w:rsidR="001544D2" w:rsidRPr="00D6701A" w:rsidRDefault="001544D2" w:rsidP="00E579F9">
            <w:pPr>
              <w:tabs>
                <w:tab w:val="left" w:pos="147"/>
              </w:tabs>
              <w:spacing w:before="60" w:after="20"/>
              <w:jc w:val="center"/>
              <w:rPr>
                <w:rFonts w:cstheme="minorHAnsi"/>
              </w:rPr>
            </w:pPr>
            <w:r w:rsidRPr="00D6701A">
              <w:rPr>
                <w:rFonts w:cstheme="minorHAnsi"/>
              </w:rPr>
              <w:t>(625 IU) for sensitising event or birth</w:t>
            </w:r>
          </w:p>
        </w:tc>
        <w:tc>
          <w:tcPr>
            <w:tcW w:w="2268" w:type="dxa"/>
          </w:tcPr>
          <w:p w14:paraId="11340E42" w14:textId="77777777" w:rsidR="001544D2" w:rsidRPr="00D6701A" w:rsidRDefault="001544D2" w:rsidP="00E579F9">
            <w:pPr>
              <w:tabs>
                <w:tab w:val="left" w:pos="147"/>
              </w:tabs>
              <w:spacing w:before="60" w:after="20"/>
              <w:jc w:val="center"/>
              <w:rPr>
                <w:rFonts w:cstheme="minorHAnsi"/>
              </w:rPr>
            </w:pPr>
            <w:r w:rsidRPr="00D6701A">
              <w:rPr>
                <w:rFonts w:cstheme="minorHAnsi"/>
              </w:rPr>
              <w:t>Additional vials of</w:t>
            </w:r>
          </w:p>
          <w:p w14:paraId="1513BA45" w14:textId="77777777" w:rsidR="001544D2" w:rsidRPr="00D6701A" w:rsidRDefault="001544D2" w:rsidP="00E579F9">
            <w:pPr>
              <w:tabs>
                <w:tab w:val="left" w:pos="147"/>
              </w:tabs>
              <w:spacing w:before="60" w:after="20"/>
              <w:jc w:val="center"/>
              <w:rPr>
                <w:rFonts w:cstheme="minorHAnsi"/>
              </w:rPr>
            </w:pPr>
            <w:r w:rsidRPr="00D6701A">
              <w:rPr>
                <w:rFonts w:cstheme="minorHAnsi"/>
              </w:rPr>
              <w:t>Rh D immunoglobulin (625 IU) for IM injection</w:t>
            </w:r>
          </w:p>
        </w:tc>
        <w:tc>
          <w:tcPr>
            <w:tcW w:w="2410" w:type="dxa"/>
          </w:tcPr>
          <w:p w14:paraId="30DD96B3" w14:textId="77777777" w:rsidR="001544D2" w:rsidRPr="00D6701A" w:rsidRDefault="001544D2" w:rsidP="00E579F9">
            <w:pPr>
              <w:tabs>
                <w:tab w:val="left" w:pos="147"/>
              </w:tabs>
              <w:spacing w:before="60" w:after="20"/>
              <w:jc w:val="center"/>
              <w:rPr>
                <w:rFonts w:cstheme="minorHAnsi"/>
              </w:rPr>
            </w:pPr>
            <w:r w:rsidRPr="00D6701A">
              <w:rPr>
                <w:rFonts w:cstheme="minorHAnsi"/>
              </w:rPr>
              <w:t xml:space="preserve">Additional vials of </w:t>
            </w:r>
            <w:proofErr w:type="spellStart"/>
            <w:r w:rsidRPr="00D6701A">
              <w:rPr>
                <w:rFonts w:cstheme="minorHAnsi"/>
              </w:rPr>
              <w:t>Rhophylac</w:t>
            </w:r>
            <w:proofErr w:type="spellEnd"/>
            <w:r w:rsidRPr="00D6701A">
              <w:rPr>
                <w:rFonts w:cstheme="minorHAnsi"/>
              </w:rPr>
              <w:t xml:space="preserve"> (1500 IU) for IV injection</w:t>
            </w:r>
          </w:p>
        </w:tc>
      </w:tr>
      <w:tr w:rsidR="001544D2" w:rsidRPr="00D6701A" w14:paraId="576CA3B2" w14:textId="77777777" w:rsidTr="0052109B">
        <w:tc>
          <w:tcPr>
            <w:tcW w:w="1614" w:type="dxa"/>
          </w:tcPr>
          <w:p w14:paraId="39A7D18A" w14:textId="77777777" w:rsidR="001544D2" w:rsidRPr="00D6701A" w:rsidRDefault="001544D2" w:rsidP="00E579F9">
            <w:pPr>
              <w:tabs>
                <w:tab w:val="left" w:pos="147"/>
              </w:tabs>
              <w:spacing w:before="60" w:after="20"/>
              <w:ind w:left="113" w:hanging="113"/>
              <w:rPr>
                <w:rFonts w:cstheme="minorHAnsi"/>
                <w:highlight w:val="yellow"/>
              </w:rPr>
            </w:pPr>
            <w:r w:rsidRPr="00D6701A">
              <w:rPr>
                <w:rFonts w:cstheme="minorHAnsi"/>
              </w:rPr>
              <w:t>&lt; 6 mL</w:t>
            </w:r>
          </w:p>
        </w:tc>
        <w:tc>
          <w:tcPr>
            <w:tcW w:w="2067" w:type="dxa"/>
          </w:tcPr>
          <w:p w14:paraId="761E727F"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600 IU</w:t>
            </w:r>
          </w:p>
        </w:tc>
        <w:tc>
          <w:tcPr>
            <w:tcW w:w="2268" w:type="dxa"/>
          </w:tcPr>
          <w:p w14:paraId="091B6A66"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7BCD930F"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0</w:t>
            </w:r>
          </w:p>
        </w:tc>
        <w:tc>
          <w:tcPr>
            <w:tcW w:w="2410" w:type="dxa"/>
          </w:tcPr>
          <w:p w14:paraId="188F95A5"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rPr>
              <w:t>-</w:t>
            </w:r>
          </w:p>
        </w:tc>
      </w:tr>
      <w:tr w:rsidR="001544D2" w:rsidRPr="00D6701A" w14:paraId="390C5CC4" w14:textId="77777777" w:rsidTr="0052109B">
        <w:tc>
          <w:tcPr>
            <w:tcW w:w="1614" w:type="dxa"/>
          </w:tcPr>
          <w:p w14:paraId="7DD0CBD0" w14:textId="77777777" w:rsidR="001544D2" w:rsidRPr="00D6701A" w:rsidRDefault="001544D2" w:rsidP="00E579F9">
            <w:pPr>
              <w:tabs>
                <w:tab w:val="left" w:pos="147"/>
              </w:tabs>
              <w:spacing w:before="60" w:after="20"/>
              <w:ind w:left="113" w:hanging="113"/>
              <w:rPr>
                <w:rFonts w:cstheme="minorHAnsi"/>
                <w:highlight w:val="yellow"/>
              </w:rPr>
            </w:pPr>
            <w:r w:rsidRPr="00D6701A">
              <w:rPr>
                <w:rFonts w:cstheme="minorHAnsi"/>
              </w:rPr>
              <w:t>≥ 6 to &lt; 12 mL</w:t>
            </w:r>
          </w:p>
        </w:tc>
        <w:tc>
          <w:tcPr>
            <w:tcW w:w="2067" w:type="dxa"/>
          </w:tcPr>
          <w:p w14:paraId="4E27D6D5"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1200 IU</w:t>
            </w:r>
          </w:p>
        </w:tc>
        <w:tc>
          <w:tcPr>
            <w:tcW w:w="2268" w:type="dxa"/>
          </w:tcPr>
          <w:p w14:paraId="69699559"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12936DB9"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410" w:type="dxa"/>
          </w:tcPr>
          <w:p w14:paraId="3CE50562"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rPr>
              <w:t>-</w:t>
            </w:r>
          </w:p>
        </w:tc>
      </w:tr>
      <w:tr w:rsidR="001544D2" w:rsidRPr="00D6701A" w14:paraId="37BBF212" w14:textId="77777777" w:rsidTr="0052109B">
        <w:tc>
          <w:tcPr>
            <w:tcW w:w="1614" w:type="dxa"/>
            <w:vMerge w:val="restart"/>
          </w:tcPr>
          <w:p w14:paraId="2A4F8EB7" w14:textId="77777777" w:rsidR="001544D2" w:rsidRPr="00D6701A" w:rsidRDefault="001544D2" w:rsidP="00E579F9">
            <w:pPr>
              <w:tabs>
                <w:tab w:val="left" w:pos="147"/>
              </w:tabs>
              <w:spacing w:before="60" w:after="20"/>
              <w:ind w:left="113" w:hanging="113"/>
              <w:rPr>
                <w:rFonts w:cstheme="minorHAnsi"/>
                <w:highlight w:val="yellow"/>
              </w:rPr>
            </w:pPr>
            <w:r w:rsidRPr="00D6701A">
              <w:rPr>
                <w:rFonts w:cstheme="minorHAnsi"/>
              </w:rPr>
              <w:t>≥ 12 to &lt; 18 mL</w:t>
            </w:r>
          </w:p>
        </w:tc>
        <w:tc>
          <w:tcPr>
            <w:tcW w:w="2067" w:type="dxa"/>
            <w:vMerge w:val="restart"/>
          </w:tcPr>
          <w:p w14:paraId="4922CF35"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1800 IU</w:t>
            </w:r>
          </w:p>
        </w:tc>
        <w:tc>
          <w:tcPr>
            <w:tcW w:w="2268" w:type="dxa"/>
          </w:tcPr>
          <w:p w14:paraId="5773FE18"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17E7B065"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2*</w:t>
            </w:r>
          </w:p>
        </w:tc>
        <w:tc>
          <w:tcPr>
            <w:tcW w:w="2410" w:type="dxa"/>
          </w:tcPr>
          <w:p w14:paraId="2E66C5B8"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w:t>
            </w:r>
          </w:p>
        </w:tc>
      </w:tr>
      <w:tr w:rsidR="001544D2" w:rsidRPr="00D6701A" w14:paraId="15A7A666" w14:textId="77777777" w:rsidTr="0052109B">
        <w:tc>
          <w:tcPr>
            <w:tcW w:w="1614" w:type="dxa"/>
            <w:vMerge/>
          </w:tcPr>
          <w:p w14:paraId="4042684B" w14:textId="77777777" w:rsidR="001544D2" w:rsidRPr="00D6701A" w:rsidRDefault="001544D2" w:rsidP="00E579F9">
            <w:pPr>
              <w:tabs>
                <w:tab w:val="left" w:pos="147"/>
              </w:tabs>
              <w:spacing w:before="60" w:after="20"/>
              <w:ind w:left="113" w:hanging="113"/>
              <w:rPr>
                <w:rFonts w:eastAsiaTheme="minorHAnsi" w:cstheme="minorHAnsi"/>
                <w:highlight w:val="yellow"/>
              </w:rPr>
            </w:pPr>
          </w:p>
        </w:tc>
        <w:tc>
          <w:tcPr>
            <w:tcW w:w="2067" w:type="dxa"/>
            <w:vMerge/>
            <w:hideMark/>
          </w:tcPr>
          <w:p w14:paraId="4EA7D139" w14:textId="77777777" w:rsidR="001544D2" w:rsidRPr="00D6701A" w:rsidRDefault="001544D2" w:rsidP="00E579F9">
            <w:pPr>
              <w:tabs>
                <w:tab w:val="left" w:pos="147"/>
              </w:tabs>
              <w:spacing w:before="60" w:after="20"/>
              <w:ind w:left="113" w:hanging="113"/>
              <w:jc w:val="center"/>
              <w:rPr>
                <w:rFonts w:eastAsiaTheme="minorHAnsi" w:cstheme="minorHAnsi"/>
              </w:rPr>
            </w:pPr>
          </w:p>
        </w:tc>
        <w:tc>
          <w:tcPr>
            <w:tcW w:w="2268" w:type="dxa"/>
          </w:tcPr>
          <w:p w14:paraId="17125898"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35DD6D60"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w:t>
            </w:r>
          </w:p>
        </w:tc>
        <w:tc>
          <w:tcPr>
            <w:tcW w:w="2410" w:type="dxa"/>
          </w:tcPr>
          <w:p w14:paraId="0AB9D186"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r>
      <w:tr w:rsidR="001544D2" w:rsidRPr="00D6701A" w14:paraId="533A1A77" w14:textId="77777777" w:rsidTr="0036121F">
        <w:tc>
          <w:tcPr>
            <w:tcW w:w="1614" w:type="dxa"/>
          </w:tcPr>
          <w:p w14:paraId="5BA74AAE" w14:textId="77777777" w:rsidR="001544D2" w:rsidRPr="00D6701A" w:rsidRDefault="001544D2" w:rsidP="00E579F9">
            <w:pPr>
              <w:tabs>
                <w:tab w:val="left" w:pos="147"/>
              </w:tabs>
              <w:spacing w:before="60" w:after="20"/>
              <w:ind w:left="113" w:hanging="113"/>
              <w:rPr>
                <w:rFonts w:cstheme="minorHAnsi"/>
                <w:highlight w:val="yellow"/>
              </w:rPr>
            </w:pPr>
            <w:r w:rsidRPr="00D6701A">
              <w:rPr>
                <w:rFonts w:cstheme="minorHAnsi"/>
              </w:rPr>
              <w:t>≥ 18 to &lt; 21 mL</w:t>
            </w:r>
          </w:p>
        </w:tc>
        <w:tc>
          <w:tcPr>
            <w:tcW w:w="2067" w:type="dxa"/>
          </w:tcPr>
          <w:p w14:paraId="3BE8D4D2"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2100 IU</w:t>
            </w:r>
          </w:p>
        </w:tc>
        <w:tc>
          <w:tcPr>
            <w:tcW w:w="2268" w:type="dxa"/>
          </w:tcPr>
          <w:p w14:paraId="6E394D6F"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275C90AA"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w:t>
            </w:r>
          </w:p>
        </w:tc>
        <w:tc>
          <w:tcPr>
            <w:tcW w:w="2410" w:type="dxa"/>
            <w:vAlign w:val="center"/>
          </w:tcPr>
          <w:p w14:paraId="25268E9E" w14:textId="77777777" w:rsidR="001544D2" w:rsidRPr="00D6701A" w:rsidRDefault="001544D2" w:rsidP="0036121F">
            <w:pPr>
              <w:tabs>
                <w:tab w:val="left" w:pos="147"/>
              </w:tabs>
              <w:spacing w:before="60" w:after="20"/>
              <w:ind w:left="113" w:hanging="113"/>
              <w:jc w:val="center"/>
              <w:rPr>
                <w:rFonts w:cstheme="minorHAnsi"/>
              </w:rPr>
            </w:pPr>
            <w:r w:rsidRPr="00D6701A">
              <w:rPr>
                <w:rFonts w:cstheme="minorHAnsi"/>
                <w:bCs/>
              </w:rPr>
              <w:t>1</w:t>
            </w:r>
          </w:p>
        </w:tc>
      </w:tr>
      <w:tr w:rsidR="001544D2" w:rsidRPr="00D6701A" w14:paraId="06F2AD91" w14:textId="77777777" w:rsidTr="0052109B">
        <w:tc>
          <w:tcPr>
            <w:tcW w:w="1614" w:type="dxa"/>
          </w:tcPr>
          <w:p w14:paraId="7716239D" w14:textId="77777777" w:rsidR="001544D2" w:rsidRPr="00D6701A" w:rsidRDefault="001544D2" w:rsidP="00E579F9">
            <w:pPr>
              <w:tabs>
                <w:tab w:val="left" w:pos="147"/>
              </w:tabs>
              <w:spacing w:before="60" w:after="20"/>
              <w:ind w:left="113" w:hanging="113"/>
              <w:rPr>
                <w:rFonts w:cstheme="minorHAnsi"/>
                <w:highlight w:val="yellow"/>
              </w:rPr>
            </w:pPr>
            <w:r w:rsidRPr="00D6701A">
              <w:rPr>
                <w:rFonts w:cstheme="minorHAnsi"/>
              </w:rPr>
              <w:t>≥ 21 to &lt; 36 mL</w:t>
            </w:r>
          </w:p>
        </w:tc>
        <w:tc>
          <w:tcPr>
            <w:tcW w:w="2067" w:type="dxa"/>
          </w:tcPr>
          <w:p w14:paraId="27613CD1"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3600 IU</w:t>
            </w:r>
          </w:p>
        </w:tc>
        <w:tc>
          <w:tcPr>
            <w:tcW w:w="2268" w:type="dxa"/>
          </w:tcPr>
          <w:p w14:paraId="5866DE4A"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1</w:t>
            </w:r>
          </w:p>
        </w:tc>
        <w:tc>
          <w:tcPr>
            <w:tcW w:w="2268" w:type="dxa"/>
          </w:tcPr>
          <w:p w14:paraId="7D6A97D8"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w:t>
            </w:r>
          </w:p>
        </w:tc>
        <w:tc>
          <w:tcPr>
            <w:tcW w:w="2410" w:type="dxa"/>
          </w:tcPr>
          <w:p w14:paraId="7D5026F0" w14:textId="77777777" w:rsidR="001544D2" w:rsidRPr="00D6701A" w:rsidRDefault="001544D2" w:rsidP="00E579F9">
            <w:pPr>
              <w:tabs>
                <w:tab w:val="left" w:pos="147"/>
              </w:tabs>
              <w:spacing w:before="60" w:after="20"/>
              <w:ind w:left="113" w:hanging="113"/>
              <w:jc w:val="center"/>
              <w:rPr>
                <w:rFonts w:cstheme="minorHAnsi"/>
              </w:rPr>
            </w:pPr>
            <w:r w:rsidRPr="00D6701A">
              <w:rPr>
                <w:rFonts w:cstheme="minorHAnsi"/>
                <w:bCs/>
              </w:rPr>
              <w:t>2</w:t>
            </w:r>
          </w:p>
        </w:tc>
      </w:tr>
      <w:tr w:rsidR="001544D2" w:rsidRPr="00D6701A" w14:paraId="3B7D20E0" w14:textId="77777777" w:rsidTr="0052109B">
        <w:tc>
          <w:tcPr>
            <w:tcW w:w="1614" w:type="dxa"/>
          </w:tcPr>
          <w:p w14:paraId="26F94834" w14:textId="77777777" w:rsidR="001544D2" w:rsidRPr="00D6701A" w:rsidRDefault="001544D2" w:rsidP="00E579F9">
            <w:pPr>
              <w:tabs>
                <w:tab w:val="left" w:pos="147"/>
              </w:tabs>
              <w:spacing w:before="60" w:after="20"/>
              <w:rPr>
                <w:rFonts w:cstheme="minorHAnsi"/>
                <w:highlight w:val="yellow"/>
              </w:rPr>
            </w:pPr>
            <w:r w:rsidRPr="00D6701A">
              <w:rPr>
                <w:rFonts w:cstheme="minorHAnsi"/>
              </w:rPr>
              <w:t>≥ 36 mL</w:t>
            </w:r>
          </w:p>
        </w:tc>
        <w:tc>
          <w:tcPr>
            <w:tcW w:w="2067" w:type="dxa"/>
          </w:tcPr>
          <w:p w14:paraId="4453B308" w14:textId="77777777" w:rsidR="001544D2" w:rsidRPr="00D6701A" w:rsidRDefault="001544D2" w:rsidP="00E579F9">
            <w:pPr>
              <w:tabs>
                <w:tab w:val="left" w:pos="147"/>
              </w:tabs>
              <w:spacing w:before="60" w:after="20"/>
              <w:jc w:val="center"/>
              <w:rPr>
                <w:rFonts w:cstheme="minorHAnsi"/>
                <w:bCs/>
              </w:rPr>
            </w:pPr>
            <w:r w:rsidRPr="00D6701A">
              <w:rPr>
                <w:rFonts w:cstheme="minorHAnsi"/>
                <w:bCs/>
              </w:rPr>
              <w:t>FMH volume in mL fetal red cells multiplied by 100 IU</w:t>
            </w:r>
          </w:p>
        </w:tc>
        <w:tc>
          <w:tcPr>
            <w:tcW w:w="2268" w:type="dxa"/>
          </w:tcPr>
          <w:p w14:paraId="5A07FFF7" w14:textId="77777777" w:rsidR="001544D2" w:rsidRPr="00D6701A" w:rsidRDefault="001544D2" w:rsidP="00E579F9">
            <w:pPr>
              <w:tabs>
                <w:tab w:val="left" w:pos="147"/>
              </w:tabs>
              <w:spacing w:before="60" w:after="20"/>
              <w:jc w:val="center"/>
              <w:rPr>
                <w:rFonts w:cstheme="minorHAnsi"/>
                <w:bCs/>
              </w:rPr>
            </w:pPr>
            <w:r w:rsidRPr="00D6701A">
              <w:rPr>
                <w:rFonts w:cstheme="minorHAnsi"/>
                <w:bCs/>
              </w:rPr>
              <w:t>1</w:t>
            </w:r>
          </w:p>
        </w:tc>
        <w:tc>
          <w:tcPr>
            <w:tcW w:w="2268" w:type="dxa"/>
          </w:tcPr>
          <w:p w14:paraId="7FF37A32" w14:textId="77777777" w:rsidR="001544D2" w:rsidRPr="00D6701A" w:rsidRDefault="001544D2" w:rsidP="00E579F9">
            <w:pPr>
              <w:tabs>
                <w:tab w:val="left" w:pos="147"/>
              </w:tabs>
              <w:spacing w:before="60" w:after="20"/>
              <w:jc w:val="center"/>
              <w:rPr>
                <w:rFonts w:cstheme="minorHAnsi"/>
                <w:bCs/>
              </w:rPr>
            </w:pPr>
            <w:r w:rsidRPr="00D6701A">
              <w:rPr>
                <w:rFonts w:cstheme="minorHAnsi"/>
                <w:bCs/>
              </w:rPr>
              <w:t>-</w:t>
            </w:r>
          </w:p>
        </w:tc>
        <w:tc>
          <w:tcPr>
            <w:tcW w:w="2410" w:type="dxa"/>
          </w:tcPr>
          <w:p w14:paraId="3AA3DDB4" w14:textId="77777777" w:rsidR="001544D2" w:rsidRPr="00D6701A" w:rsidRDefault="001544D2" w:rsidP="00E579F9">
            <w:pPr>
              <w:tabs>
                <w:tab w:val="left" w:pos="147"/>
              </w:tabs>
              <w:spacing w:before="60" w:after="20"/>
              <w:jc w:val="center"/>
              <w:rPr>
                <w:rFonts w:cstheme="minorHAnsi"/>
                <w:bCs/>
              </w:rPr>
            </w:pPr>
            <w:r w:rsidRPr="00D6701A">
              <w:rPr>
                <w:rFonts w:cstheme="minorHAnsi"/>
                <w:bCs/>
              </w:rPr>
              <w:t xml:space="preserve">Total dose of Rh D immunoglobulin required </w:t>
            </w:r>
            <w:r w:rsidRPr="00D6701A">
              <w:rPr>
                <w:rFonts w:cstheme="minorHAnsi"/>
                <w:bCs/>
              </w:rPr>
              <w:br/>
              <w:t>(less 600 IU if already given initial dose) divided by 1500 IU (round up to a full vial)</w:t>
            </w:r>
          </w:p>
        </w:tc>
      </w:tr>
    </w:tbl>
    <w:p w14:paraId="4A630D16" w14:textId="77777777" w:rsidR="001544D2" w:rsidRPr="00040B58" w:rsidRDefault="001544D2" w:rsidP="00957A5D">
      <w:pPr>
        <w:spacing w:after="60" w:line="276" w:lineRule="auto"/>
        <w:ind w:left="284" w:hanging="284"/>
        <w:contextualSpacing/>
        <w:rPr>
          <w:sz w:val="18"/>
        </w:rPr>
      </w:pPr>
      <w:r w:rsidRPr="00040B58">
        <w:rPr>
          <w:sz w:val="18"/>
        </w:rPr>
        <w:t>FMH: fetomaternal haemorrhage; IM: intramuscular; IU: international units; IV: intravenous</w:t>
      </w:r>
    </w:p>
    <w:p w14:paraId="54F9EB6B" w14:textId="5E23A11B" w:rsidR="001544D2" w:rsidRDefault="001544D2" w:rsidP="00957A5D">
      <w:pPr>
        <w:spacing w:after="360" w:line="276" w:lineRule="auto"/>
        <w:contextualSpacing/>
        <w:rPr>
          <w:sz w:val="18"/>
        </w:rPr>
      </w:pPr>
      <w:r w:rsidRPr="00040B58">
        <w:rPr>
          <w:sz w:val="18"/>
        </w:rPr>
        <w:t xml:space="preserve">*2 vials of 625 IU can be administered as a single injection or as separate injections, </w:t>
      </w:r>
      <w:proofErr w:type="gramStart"/>
      <w:r w:rsidRPr="00040B58">
        <w:rPr>
          <w:sz w:val="18"/>
        </w:rPr>
        <w:t>however</w:t>
      </w:r>
      <w:proofErr w:type="gramEnd"/>
      <w:r w:rsidRPr="00040B58">
        <w:rPr>
          <w:sz w:val="18"/>
        </w:rPr>
        <w:t xml:space="preserve"> </w:t>
      </w:r>
      <w:r>
        <w:rPr>
          <w:sz w:val="18"/>
        </w:rPr>
        <w:t>to</w:t>
      </w:r>
      <w:r w:rsidRPr="00040B58">
        <w:rPr>
          <w:sz w:val="18"/>
        </w:rPr>
        <w:t xml:space="preserve"> avoid discomfort</w:t>
      </w:r>
      <w:r>
        <w:rPr>
          <w:sz w:val="18"/>
        </w:rPr>
        <w:t xml:space="preserve"> </w:t>
      </w:r>
      <w:r w:rsidRPr="00040B58">
        <w:rPr>
          <w:sz w:val="18"/>
        </w:rPr>
        <w:t>associated with a larger</w:t>
      </w:r>
      <w:r w:rsidR="00957A5D">
        <w:rPr>
          <w:sz w:val="18"/>
        </w:rPr>
        <w:t xml:space="preserve"> </w:t>
      </w:r>
      <w:r w:rsidRPr="00040B58">
        <w:rPr>
          <w:sz w:val="18"/>
        </w:rPr>
        <w:t xml:space="preserve">volume IM injection or 2 additional injections, it may be more practical to offer IV </w:t>
      </w:r>
      <w:proofErr w:type="spellStart"/>
      <w:r w:rsidRPr="00040B58">
        <w:rPr>
          <w:sz w:val="18"/>
        </w:rPr>
        <w:t>Rhophylac</w:t>
      </w:r>
      <w:proofErr w:type="spellEnd"/>
      <w:r w:rsidR="00AA74C0">
        <w:rPr>
          <w:sz w:val="18"/>
        </w:rPr>
        <w:t xml:space="preserve"> 1500 IU instead</w:t>
      </w:r>
      <w:r>
        <w:rPr>
          <w:sz w:val="18"/>
        </w:rPr>
        <w:t>.</w:t>
      </w:r>
    </w:p>
    <w:p w14:paraId="5FF92997" w14:textId="74BD5F2B" w:rsidR="005A5DE4" w:rsidRPr="00040B58" w:rsidRDefault="005A5DE4" w:rsidP="005A5DE4">
      <w:pPr>
        <w:spacing w:line="276" w:lineRule="auto"/>
        <w:rPr>
          <w:sz w:val="18"/>
        </w:rPr>
      </w:pPr>
      <w:r>
        <w:rPr>
          <w:sz w:val="18"/>
        </w:rPr>
        <w:br w:type="page"/>
      </w:r>
    </w:p>
    <w:p w14:paraId="58246721" w14:textId="77777777" w:rsidR="00220B28" w:rsidRDefault="00220B28" w:rsidP="00C57F15">
      <w:pPr>
        <w:pStyle w:val="Tablefignotes"/>
        <w:spacing w:before="80" w:after="0"/>
        <w:ind w:left="0"/>
        <w:rPr>
          <w:rFonts w:asciiTheme="minorHAnsi" w:eastAsia="Dotum" w:hAnsiTheme="minorHAnsi" w:cs="Arial"/>
          <w:b/>
          <w:noProof/>
          <w:color w:val="648F90"/>
          <w:sz w:val="28"/>
          <w:szCs w:val="36"/>
        </w:rPr>
        <w:sectPr w:rsidR="00220B28" w:rsidSect="006B77F3">
          <w:headerReference w:type="even" r:id="rId11"/>
          <w:footerReference w:type="even" r:id="rId12"/>
          <w:footerReference w:type="default" r:id="rId13"/>
          <w:headerReference w:type="first" r:id="rId14"/>
          <w:footerReference w:type="first" r:id="rId15"/>
          <w:pgSz w:w="11906" w:h="16838"/>
          <w:pgMar w:top="720" w:right="720" w:bottom="720" w:left="720" w:header="708" w:footer="283" w:gutter="0"/>
          <w:cols w:space="708"/>
          <w:docGrid w:linePitch="360"/>
        </w:sectPr>
      </w:pPr>
    </w:p>
    <w:p w14:paraId="648D877B" w14:textId="473E3557" w:rsidR="00220B28" w:rsidRDefault="00F17ABD" w:rsidP="00C57F15">
      <w:pPr>
        <w:pStyle w:val="Tablefignotes"/>
        <w:spacing w:before="80" w:after="0"/>
        <w:ind w:left="0"/>
        <w:rPr>
          <w:rFonts w:asciiTheme="minorHAnsi" w:eastAsia="Dotum" w:hAnsiTheme="minorHAnsi" w:cs="Arial"/>
          <w:b/>
          <w:noProof/>
          <w:color w:val="648F90"/>
          <w:sz w:val="28"/>
          <w:szCs w:val="36"/>
        </w:rPr>
      </w:pPr>
      <w:r>
        <w:object w:dxaOrig="11446" w:dyaOrig="16335" w14:anchorId="48D8E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8pt;height:737.55pt" o:ole="">
            <v:imagedata r:id="rId16" o:title=""/>
          </v:shape>
          <o:OLEObject Type="Embed" ProgID="Visio.Drawing.15" ShapeID="_x0000_i1025" DrawAspect="Content" ObjectID="_1771225807" r:id="rId17"/>
        </w:object>
      </w:r>
    </w:p>
    <w:p w14:paraId="17AD8CB8" w14:textId="5DC67294" w:rsidR="00E62079" w:rsidRDefault="00E62079" w:rsidP="00E62079">
      <w:pPr>
        <w:rPr>
          <w:rFonts w:asciiTheme="minorHAnsi" w:hAnsiTheme="minorHAnsi" w:cs="Arial"/>
          <w:b/>
          <w:noProof/>
          <w:color w:val="648F90"/>
          <w:sz w:val="28"/>
          <w:szCs w:val="36"/>
        </w:rPr>
      </w:pPr>
    </w:p>
    <w:p w14:paraId="1FD728CA" w14:textId="77777777" w:rsidR="00E62079" w:rsidRDefault="00E62079" w:rsidP="00E62079">
      <w:pPr>
        <w:rPr>
          <w:rFonts w:asciiTheme="minorHAnsi" w:hAnsiTheme="minorHAnsi" w:cs="Arial"/>
          <w:b/>
          <w:noProof/>
          <w:color w:val="648F90"/>
          <w:sz w:val="28"/>
          <w:szCs w:val="36"/>
        </w:rPr>
      </w:pPr>
    </w:p>
    <w:p w14:paraId="1F63A1F4" w14:textId="77777777" w:rsidR="00F17ABD" w:rsidRDefault="00E72607" w:rsidP="00E62079">
      <w:r>
        <w:rPr>
          <w:noProof/>
        </w:rPr>
        <w:object w:dxaOrig="1440" w:dyaOrig="1440" w14:anchorId="6335A221">
          <v:shape id="_x0000_s2052" type="#_x0000_t75" style="position:absolute;margin-left:0;margin-top:0;width:489pt;height:714.75pt;z-index:251658242;mso-position-horizontal:left;mso-position-horizontal-relative:text;mso-position-vertical-relative:text">
            <v:imagedata r:id="rId18" o:title=""/>
            <w10:wrap type="square" side="right"/>
          </v:shape>
          <o:OLEObject Type="Embed" ProgID="Visio.Drawing.15" ShapeID="_x0000_s2052" DrawAspect="Content" ObjectID="_1771225808" r:id="rId19"/>
        </w:object>
      </w:r>
    </w:p>
    <w:p w14:paraId="2027F66C" w14:textId="77777777" w:rsidR="00F17ABD" w:rsidRPr="00F17ABD" w:rsidRDefault="00F17ABD" w:rsidP="00F17ABD"/>
    <w:p w14:paraId="0C8E857C" w14:textId="77777777" w:rsidR="00F17ABD" w:rsidRPr="00F17ABD" w:rsidRDefault="00F17ABD" w:rsidP="00F17ABD"/>
    <w:p w14:paraId="6A6D8E07" w14:textId="77777777" w:rsidR="00F17ABD" w:rsidRPr="00F17ABD" w:rsidRDefault="00F17ABD" w:rsidP="00F17ABD"/>
    <w:p w14:paraId="6876301A" w14:textId="77777777" w:rsidR="00F17ABD" w:rsidRPr="00F17ABD" w:rsidRDefault="00F17ABD" w:rsidP="00F17ABD"/>
    <w:p w14:paraId="03C8696D" w14:textId="77777777" w:rsidR="00F17ABD" w:rsidRPr="00F17ABD" w:rsidRDefault="00F17ABD" w:rsidP="00F17ABD"/>
    <w:p w14:paraId="0A0AB27B" w14:textId="77777777" w:rsidR="00F17ABD" w:rsidRPr="00F17ABD" w:rsidRDefault="00F17ABD" w:rsidP="00F17ABD"/>
    <w:p w14:paraId="2BD92013" w14:textId="77777777" w:rsidR="00F17ABD" w:rsidRPr="00F17ABD" w:rsidRDefault="00F17ABD" w:rsidP="00F17ABD"/>
    <w:p w14:paraId="5C3E0D65" w14:textId="77777777" w:rsidR="00F17ABD" w:rsidRPr="00F17ABD" w:rsidRDefault="00F17ABD" w:rsidP="00F17ABD"/>
    <w:p w14:paraId="0DED7296" w14:textId="77777777" w:rsidR="00F17ABD" w:rsidRPr="00F17ABD" w:rsidRDefault="00F17ABD" w:rsidP="00F17ABD"/>
    <w:p w14:paraId="7B342BC5" w14:textId="77777777" w:rsidR="00F17ABD" w:rsidRPr="00F17ABD" w:rsidRDefault="00F17ABD" w:rsidP="00F17ABD"/>
    <w:p w14:paraId="1D3D94D5" w14:textId="77777777" w:rsidR="00F17ABD" w:rsidRPr="00F17ABD" w:rsidRDefault="00F17ABD" w:rsidP="00F17ABD"/>
    <w:p w14:paraId="7290D06D" w14:textId="77777777" w:rsidR="00F17ABD" w:rsidRPr="00F17ABD" w:rsidRDefault="00F17ABD" w:rsidP="00F17ABD"/>
    <w:p w14:paraId="58FD45F3" w14:textId="77777777" w:rsidR="00F17ABD" w:rsidRPr="00F17ABD" w:rsidRDefault="00F17ABD" w:rsidP="00F17ABD"/>
    <w:p w14:paraId="24FD2D7E" w14:textId="77777777" w:rsidR="00F17ABD" w:rsidRPr="00F17ABD" w:rsidRDefault="00F17ABD" w:rsidP="00F17ABD"/>
    <w:p w14:paraId="2DC8BDC2" w14:textId="77777777" w:rsidR="00F17ABD" w:rsidRPr="00F17ABD" w:rsidRDefault="00F17ABD" w:rsidP="00F17ABD"/>
    <w:p w14:paraId="5BA0B4AC" w14:textId="77777777" w:rsidR="00F17ABD" w:rsidRPr="00F17ABD" w:rsidRDefault="00F17ABD" w:rsidP="00F17ABD"/>
    <w:p w14:paraId="1A95E06A" w14:textId="77777777" w:rsidR="00F17ABD" w:rsidRPr="00F17ABD" w:rsidRDefault="00F17ABD" w:rsidP="00F17ABD"/>
    <w:p w14:paraId="5C548CF6" w14:textId="77777777" w:rsidR="00F17ABD" w:rsidRPr="00F17ABD" w:rsidRDefault="00F17ABD" w:rsidP="00F17ABD"/>
    <w:p w14:paraId="3F30F135" w14:textId="77777777" w:rsidR="00F17ABD" w:rsidRPr="00F17ABD" w:rsidRDefault="00F17ABD" w:rsidP="00F17ABD"/>
    <w:p w14:paraId="16C11AE4" w14:textId="77777777" w:rsidR="00F17ABD" w:rsidRPr="00F17ABD" w:rsidRDefault="00F17ABD" w:rsidP="00F17ABD"/>
    <w:p w14:paraId="483DDFD4" w14:textId="77777777" w:rsidR="00F17ABD" w:rsidRPr="00F17ABD" w:rsidRDefault="00F17ABD" w:rsidP="00F17ABD"/>
    <w:p w14:paraId="62D44BCC" w14:textId="77777777" w:rsidR="00F17ABD" w:rsidRPr="00F17ABD" w:rsidRDefault="00F17ABD" w:rsidP="00F17ABD"/>
    <w:p w14:paraId="34FDFCEA" w14:textId="77777777" w:rsidR="00F17ABD" w:rsidRPr="00F17ABD" w:rsidRDefault="00F17ABD" w:rsidP="00F17ABD"/>
    <w:p w14:paraId="3B85EBF8" w14:textId="77777777" w:rsidR="00F17ABD" w:rsidRPr="00F17ABD" w:rsidRDefault="00F17ABD" w:rsidP="00F17ABD"/>
    <w:p w14:paraId="57DCC338" w14:textId="77777777" w:rsidR="00F17ABD" w:rsidRPr="00F17ABD" w:rsidRDefault="00F17ABD" w:rsidP="00F17ABD"/>
    <w:p w14:paraId="119897BA" w14:textId="77777777" w:rsidR="00F17ABD" w:rsidRPr="00F17ABD" w:rsidRDefault="00F17ABD" w:rsidP="00F17ABD"/>
    <w:p w14:paraId="223D7922" w14:textId="77777777" w:rsidR="00F17ABD" w:rsidRPr="00F17ABD" w:rsidRDefault="00F17ABD" w:rsidP="00F17ABD"/>
    <w:p w14:paraId="2412EC03" w14:textId="77777777" w:rsidR="00F17ABD" w:rsidRPr="00F17ABD" w:rsidRDefault="00F17ABD" w:rsidP="00F17ABD"/>
    <w:p w14:paraId="44BE02A7" w14:textId="77777777" w:rsidR="00F17ABD" w:rsidRDefault="00F17ABD" w:rsidP="00E62079"/>
    <w:p w14:paraId="2272AFF6" w14:textId="04F4F740" w:rsidR="00E62079" w:rsidRPr="00E62079" w:rsidRDefault="00F17ABD" w:rsidP="00E62079">
      <w:pPr>
        <w:sectPr w:rsidR="00E62079" w:rsidRPr="00E62079" w:rsidSect="006B77F3">
          <w:pgSz w:w="11906" w:h="16838"/>
          <w:pgMar w:top="720" w:right="720" w:bottom="720" w:left="720" w:header="708" w:footer="283" w:gutter="0"/>
          <w:cols w:space="708"/>
          <w:docGrid w:linePitch="360"/>
        </w:sectPr>
      </w:pPr>
      <w:r>
        <w:br w:type="textWrapping" w:clear="all"/>
      </w:r>
    </w:p>
    <w:p w14:paraId="4040DAFD" w14:textId="0275C96E" w:rsidR="00C57F15" w:rsidRPr="004E5A56" w:rsidRDefault="00C57F15" w:rsidP="00C57F15">
      <w:pPr>
        <w:pStyle w:val="Tablefignotes"/>
        <w:spacing w:before="80" w:after="0"/>
        <w:ind w:left="0"/>
        <w:rPr>
          <w:rFonts w:asciiTheme="minorHAnsi" w:eastAsia="Dotum" w:hAnsiTheme="minorHAnsi" w:cs="Arial"/>
          <w:b/>
          <w:noProof/>
          <w:color w:val="648F90"/>
          <w:sz w:val="36"/>
          <w:szCs w:val="36"/>
        </w:rPr>
      </w:pPr>
      <w:r w:rsidRPr="004E5A56">
        <w:rPr>
          <w:rFonts w:asciiTheme="minorHAnsi" w:eastAsia="Dotum" w:hAnsiTheme="minorHAnsi" w:cs="Arial"/>
          <w:b/>
          <w:noProof/>
          <w:color w:val="648F90"/>
          <w:sz w:val="36"/>
          <w:szCs w:val="36"/>
        </w:rPr>
        <w:lastRenderedPageBreak/>
        <w:t>References</w:t>
      </w:r>
    </w:p>
    <w:p w14:paraId="131DFFB8" w14:textId="77777777" w:rsidR="00312704" w:rsidRPr="00312704" w:rsidRDefault="00312704" w:rsidP="00312704">
      <w:pPr>
        <w:pStyle w:val="Tablefignotes"/>
        <w:spacing w:before="80" w:after="0"/>
        <w:ind w:left="360"/>
        <w:rPr>
          <w:rFonts w:asciiTheme="minorHAnsi" w:eastAsia="Dotum" w:hAnsiTheme="minorHAnsi" w:cs="Arial"/>
          <w:noProof/>
          <w:color w:val="auto"/>
          <w:sz w:val="22"/>
          <w:szCs w:val="22"/>
        </w:rPr>
      </w:pPr>
    </w:p>
    <w:p w14:paraId="00E7E73A" w14:textId="77777777" w:rsidR="00312704" w:rsidRPr="00F40E3D" w:rsidRDefault="00312704" w:rsidP="00312704">
      <w:pPr>
        <w:pStyle w:val="EndNoteBibliography"/>
        <w:numPr>
          <w:ilvl w:val="0"/>
          <w:numId w:val="7"/>
        </w:numPr>
        <w:spacing w:after="240"/>
        <w:rPr>
          <w:color w:val="000000" w:themeColor="text1"/>
        </w:rPr>
      </w:pPr>
      <w:r w:rsidRPr="00F40E3D">
        <w:rPr>
          <w:color w:val="000000" w:themeColor="text1"/>
        </w:rPr>
        <w:t>The Royal Australian and New Zealand Colege of Obstetricians and Gynaecologists (RANZCOG) (2019). Routine antenatal assessment in the absence of pregnancy complications (c-obs 3b). (</w:t>
      </w:r>
      <w:hyperlink r:id="rId20" w:history="1">
        <w:r w:rsidRPr="00F40E3D">
          <w:rPr>
            <w:rStyle w:val="Hyperlink"/>
            <w:color w:val="000000" w:themeColor="text1"/>
          </w:rPr>
          <w:t>https://ranzcog.edu.au/RANZCOG_SITE/media/RANZCOG-MEDIA/Women%27s%20Health/Statement%20and%20guidelines/Clinical-Obstetrics/Routine-antenatal-assessment-in-the-absence-of-pregnancy-complications-(C-Obs-3b)_2.pdf?ext=.pdf</w:t>
        </w:r>
      </w:hyperlink>
      <w:r w:rsidRPr="00F40E3D">
        <w:rPr>
          <w:color w:val="000000" w:themeColor="text1"/>
        </w:rPr>
        <w:t>)</w:t>
      </w:r>
    </w:p>
    <w:p w14:paraId="5B9E4415" w14:textId="77777777" w:rsidR="00312704" w:rsidRPr="00F40E3D" w:rsidRDefault="00312704" w:rsidP="00312704">
      <w:pPr>
        <w:pStyle w:val="EndNoteBibliography"/>
        <w:numPr>
          <w:ilvl w:val="0"/>
          <w:numId w:val="7"/>
        </w:numPr>
        <w:spacing w:after="0"/>
        <w:ind w:left="357" w:hanging="357"/>
        <w:rPr>
          <w:color w:val="000000" w:themeColor="text1"/>
        </w:rPr>
      </w:pPr>
      <w:r w:rsidRPr="00F40E3D">
        <w:rPr>
          <w:color w:val="000000" w:themeColor="text1"/>
        </w:rPr>
        <w:t>National Institute of Health and Care Excellence (NICE) (2019). Abortion care. NICE guideline [NG140] [Internet]</w:t>
      </w:r>
    </w:p>
    <w:p w14:paraId="61A6B351" w14:textId="77777777" w:rsidR="00312704" w:rsidRPr="00F40E3D" w:rsidRDefault="00312704" w:rsidP="00312704">
      <w:pPr>
        <w:pStyle w:val="EndNoteBibliography"/>
        <w:spacing w:after="240"/>
        <w:ind w:left="360"/>
        <w:rPr>
          <w:color w:val="000000" w:themeColor="text1"/>
        </w:rPr>
      </w:pPr>
      <w:r w:rsidRPr="00F40E3D">
        <w:rPr>
          <w:color w:val="000000" w:themeColor="text1"/>
        </w:rPr>
        <w:t>(</w:t>
      </w:r>
      <w:hyperlink r:id="rId21" w:history="1">
        <w:r w:rsidRPr="00F40E3D">
          <w:rPr>
            <w:rStyle w:val="Hyperlink"/>
            <w:color w:val="000000" w:themeColor="text1"/>
          </w:rPr>
          <w:t>https://www.nice.org.uk/guidance/ng140</w:t>
        </w:r>
      </w:hyperlink>
      <w:r w:rsidRPr="00F40E3D">
        <w:rPr>
          <w:color w:val="000000" w:themeColor="text1"/>
        </w:rPr>
        <w:t>)</w:t>
      </w:r>
    </w:p>
    <w:p w14:paraId="533A1FFD" w14:textId="6BFBB200" w:rsidR="00312704" w:rsidRPr="00F40E3D" w:rsidRDefault="00312704" w:rsidP="00C66023">
      <w:pPr>
        <w:pStyle w:val="EndNoteBibliography"/>
        <w:numPr>
          <w:ilvl w:val="0"/>
          <w:numId w:val="7"/>
        </w:numPr>
        <w:spacing w:after="240"/>
        <w:rPr>
          <w:color w:val="000000" w:themeColor="text1"/>
          <w:lang w:val="en-AU"/>
        </w:rPr>
      </w:pPr>
      <w:r w:rsidRPr="00F40E3D">
        <w:rPr>
          <w:color w:val="000000" w:themeColor="text1"/>
        </w:rPr>
        <w:t xml:space="preserve">Mark A, Foster AM, Grossman D, Prager SW, Reeves M, Velásquez CV, et al. (2019). Foregoing rh testing and anti-d immunoglobulin for women presenting for early abortion: A recommendation from the national abortion federation's clinical policies committee. </w:t>
      </w:r>
      <w:r w:rsidRPr="00F40E3D">
        <w:rPr>
          <w:i/>
          <w:color w:val="000000" w:themeColor="text1"/>
        </w:rPr>
        <w:t>Contraception</w:t>
      </w:r>
      <w:r w:rsidRPr="00F40E3D">
        <w:rPr>
          <w:color w:val="000000" w:themeColor="text1"/>
        </w:rPr>
        <w:t>. 99(5):265-6 (</w:t>
      </w:r>
      <w:r w:rsidR="00C66023" w:rsidRPr="00F40E3D">
        <w:rPr>
          <w:color w:val="000000" w:themeColor="text1"/>
          <w:lang w:val="en-AU"/>
        </w:rPr>
        <w:t>doi: </w:t>
      </w:r>
      <w:hyperlink r:id="rId22" w:tgtFrame="_blank" w:history="1">
        <w:r w:rsidR="00C66023" w:rsidRPr="00F40E3D">
          <w:rPr>
            <w:rStyle w:val="Hyperlink"/>
            <w:color w:val="000000" w:themeColor="text1"/>
            <w:lang w:val="en-AU"/>
          </w:rPr>
          <w:t>10.1016/j.contraception.2019.02.008</w:t>
        </w:r>
      </w:hyperlink>
      <w:r w:rsidRPr="00F40E3D">
        <w:rPr>
          <w:color w:val="000000" w:themeColor="text1"/>
        </w:rPr>
        <w:t>)</w:t>
      </w:r>
    </w:p>
    <w:p w14:paraId="4C3879CF" w14:textId="351A3117" w:rsidR="00B06F17" w:rsidRPr="00F40E3D" w:rsidRDefault="008C710A" w:rsidP="00784883">
      <w:pPr>
        <w:pStyle w:val="EndNoteBibliography"/>
        <w:numPr>
          <w:ilvl w:val="0"/>
          <w:numId w:val="7"/>
        </w:numPr>
        <w:spacing w:after="240"/>
        <w:rPr>
          <w:color w:val="000000" w:themeColor="text1"/>
          <w:lang w:val="en-AU"/>
        </w:rPr>
      </w:pPr>
      <w:r w:rsidRPr="00F40E3D">
        <w:rPr>
          <w:color w:val="000000" w:themeColor="text1"/>
        </w:rPr>
        <w:t>Horvath</w:t>
      </w:r>
      <w:r w:rsidR="003F5FD7" w:rsidRPr="00F40E3D">
        <w:rPr>
          <w:color w:val="000000" w:themeColor="text1"/>
        </w:rPr>
        <w:t xml:space="preserve"> S, Goyal V, Traxler S, Prager S</w:t>
      </w:r>
      <w:r w:rsidR="006420E1" w:rsidRPr="00F40E3D">
        <w:rPr>
          <w:color w:val="000000" w:themeColor="text1"/>
        </w:rPr>
        <w:t xml:space="preserve"> (2022).</w:t>
      </w:r>
      <w:r w:rsidR="0009063A" w:rsidRPr="00F40E3D">
        <w:rPr>
          <w:color w:val="000000" w:themeColor="text1"/>
        </w:rPr>
        <w:t xml:space="preserve"> Society of Family Planning committee consensus on Rh testing in early pregnancy</w:t>
      </w:r>
      <w:r w:rsidR="008054F5" w:rsidRPr="00F40E3D">
        <w:rPr>
          <w:color w:val="000000" w:themeColor="text1"/>
        </w:rPr>
        <w:t xml:space="preserve">. </w:t>
      </w:r>
      <w:r w:rsidR="008054F5" w:rsidRPr="00F40E3D">
        <w:rPr>
          <w:i/>
          <w:iCs/>
          <w:color w:val="000000" w:themeColor="text1"/>
        </w:rPr>
        <w:t>Contraception</w:t>
      </w:r>
      <w:r w:rsidR="008054F5" w:rsidRPr="00F40E3D">
        <w:rPr>
          <w:color w:val="000000" w:themeColor="text1"/>
        </w:rPr>
        <w:t xml:space="preserve">. </w:t>
      </w:r>
      <w:r w:rsidR="00B42892" w:rsidRPr="00F40E3D">
        <w:rPr>
          <w:color w:val="000000" w:themeColor="text1"/>
        </w:rPr>
        <w:t>114:1-5</w:t>
      </w:r>
      <w:r w:rsidR="00784883" w:rsidRPr="00F40E3D">
        <w:rPr>
          <w:color w:val="000000" w:themeColor="text1"/>
        </w:rPr>
        <w:t xml:space="preserve"> (</w:t>
      </w:r>
      <w:r w:rsidR="00001B90" w:rsidRPr="00F40E3D">
        <w:rPr>
          <w:color w:val="000000" w:themeColor="text1"/>
          <w:lang w:val="en-AU"/>
        </w:rPr>
        <w:t>doi</w:t>
      </w:r>
      <w:r w:rsidR="00784883" w:rsidRPr="00F40E3D">
        <w:rPr>
          <w:color w:val="000000" w:themeColor="text1"/>
          <w:lang w:val="en-AU"/>
        </w:rPr>
        <w:t>: </w:t>
      </w:r>
      <w:hyperlink r:id="rId23" w:tgtFrame="_blank" w:history="1">
        <w:r w:rsidR="00784883" w:rsidRPr="00F40E3D">
          <w:rPr>
            <w:rStyle w:val="Hyperlink"/>
            <w:color w:val="000000" w:themeColor="text1"/>
            <w:lang w:val="en-AU"/>
          </w:rPr>
          <w:t>10.1016/j.contraception.2022.07.002</w:t>
        </w:r>
      </w:hyperlink>
      <w:r w:rsidR="00784883" w:rsidRPr="00F40E3D">
        <w:rPr>
          <w:color w:val="000000" w:themeColor="text1"/>
          <w:lang w:val="en-AU"/>
        </w:rPr>
        <w:t>)</w:t>
      </w:r>
    </w:p>
    <w:p w14:paraId="77EA0685" w14:textId="16E628F9" w:rsidR="00312704" w:rsidRPr="00F40E3D" w:rsidRDefault="00312704" w:rsidP="00702E2C">
      <w:pPr>
        <w:pStyle w:val="EndNoteBibliography"/>
        <w:numPr>
          <w:ilvl w:val="0"/>
          <w:numId w:val="7"/>
        </w:numPr>
        <w:spacing w:after="240"/>
        <w:rPr>
          <w:color w:val="000000" w:themeColor="text1"/>
          <w:lang w:val="en-AU"/>
        </w:rPr>
      </w:pPr>
      <w:r w:rsidRPr="00F40E3D">
        <w:rPr>
          <w:color w:val="000000" w:themeColor="text1"/>
        </w:rPr>
        <w:t xml:space="preserve">Lee D, Contreras M, Robson SC, Rodeck CH, Whittle MJ (1999). Recommendations for the use of anti-d immunoglobulin for rh prophylaxis. British blood transfusion society and the royal college of obstetricians and gynaecologists. </w:t>
      </w:r>
      <w:r w:rsidRPr="00F40E3D">
        <w:rPr>
          <w:i/>
          <w:color w:val="000000" w:themeColor="text1"/>
        </w:rPr>
        <w:t>Transfus Med</w:t>
      </w:r>
      <w:r w:rsidRPr="00F40E3D">
        <w:rPr>
          <w:color w:val="000000" w:themeColor="text1"/>
        </w:rPr>
        <w:t>. 9(1):93-7 (</w:t>
      </w:r>
      <w:r w:rsidR="00702E2C" w:rsidRPr="00F40E3D">
        <w:rPr>
          <w:color w:val="000000" w:themeColor="text1"/>
          <w:lang w:val="en-AU"/>
        </w:rPr>
        <w:t>doi: </w:t>
      </w:r>
      <w:hyperlink r:id="rId24" w:tgtFrame="_blank" w:history="1">
        <w:r w:rsidR="00702E2C" w:rsidRPr="00F40E3D">
          <w:rPr>
            <w:rStyle w:val="Hyperlink"/>
            <w:color w:val="000000" w:themeColor="text1"/>
            <w:lang w:val="en-AU"/>
          </w:rPr>
          <w:t>10.1046/j.1365-3148.1999.009001093.x</w:t>
        </w:r>
      </w:hyperlink>
      <w:r w:rsidRPr="00F40E3D">
        <w:rPr>
          <w:color w:val="000000" w:themeColor="text1"/>
        </w:rPr>
        <w:t>)</w:t>
      </w:r>
    </w:p>
    <w:p w14:paraId="680925CF" w14:textId="7099CE9B" w:rsidR="00312704" w:rsidRPr="00F40E3D" w:rsidRDefault="00312704" w:rsidP="00BE0D20">
      <w:pPr>
        <w:pStyle w:val="EndNoteBibliography"/>
        <w:numPr>
          <w:ilvl w:val="0"/>
          <w:numId w:val="7"/>
        </w:numPr>
        <w:spacing w:after="240"/>
        <w:rPr>
          <w:color w:val="000000" w:themeColor="text1"/>
          <w:lang w:val="en-AU"/>
        </w:rPr>
      </w:pPr>
      <w:r w:rsidRPr="00F40E3D">
        <w:rPr>
          <w:color w:val="000000" w:themeColor="text1"/>
        </w:rPr>
        <w:t xml:space="preserve">Weinberg L (2001). Use of anti-d immunoglobulin in the treatment of threatened miscarriage in the accident and emergency department. </w:t>
      </w:r>
      <w:r w:rsidRPr="00F40E3D">
        <w:rPr>
          <w:i/>
          <w:color w:val="000000" w:themeColor="text1"/>
        </w:rPr>
        <w:t>Emergency medicine journal : EMJ</w:t>
      </w:r>
      <w:r w:rsidRPr="00F40E3D">
        <w:rPr>
          <w:color w:val="000000" w:themeColor="text1"/>
        </w:rPr>
        <w:t>. 18(6):444-7 (</w:t>
      </w:r>
      <w:r w:rsidR="00BE0D20" w:rsidRPr="00F40E3D">
        <w:rPr>
          <w:color w:val="000000" w:themeColor="text1"/>
          <w:lang w:val="en-AU"/>
        </w:rPr>
        <w:t>doi: </w:t>
      </w:r>
      <w:hyperlink r:id="rId25" w:tgtFrame="_blank" w:history="1">
        <w:r w:rsidR="00BE0D20" w:rsidRPr="00F40E3D">
          <w:rPr>
            <w:rStyle w:val="Hyperlink"/>
            <w:color w:val="000000" w:themeColor="text1"/>
            <w:lang w:val="en-AU"/>
          </w:rPr>
          <w:t>10.1136/emj.18.6.444</w:t>
        </w:r>
      </w:hyperlink>
      <w:r w:rsidRPr="00F40E3D">
        <w:rPr>
          <w:color w:val="000000" w:themeColor="text1"/>
        </w:rPr>
        <w:t>)</w:t>
      </w:r>
    </w:p>
    <w:p w14:paraId="41FC5C07" w14:textId="77777777" w:rsidR="002805D2" w:rsidRPr="00F40E3D" w:rsidRDefault="002805D2" w:rsidP="002805D2">
      <w:pPr>
        <w:pStyle w:val="EndNoteBibliography"/>
        <w:numPr>
          <w:ilvl w:val="0"/>
          <w:numId w:val="7"/>
        </w:numPr>
        <w:spacing w:after="0"/>
        <w:ind w:left="357" w:hanging="357"/>
        <w:rPr>
          <w:color w:val="000000" w:themeColor="text1"/>
        </w:rPr>
      </w:pPr>
      <w:r w:rsidRPr="00F40E3D">
        <w:rPr>
          <w:color w:val="000000" w:themeColor="text1"/>
        </w:rPr>
        <w:t xml:space="preserve">Austin E, Bates S, de Silva M, Howarth D, Lubenko A, Rowley M, et al. (2009). Guidelines for the estimation of fetomaternal haemorrhage. London: Working Party of the British Committee for Standards in Haematology (BCSH), Transfusion Taskforce </w:t>
      </w:r>
    </w:p>
    <w:p w14:paraId="09634C9E" w14:textId="77777777" w:rsidR="002805D2" w:rsidRPr="00F40E3D" w:rsidRDefault="002805D2" w:rsidP="002805D2">
      <w:pPr>
        <w:pStyle w:val="EndNoteBibliography"/>
        <w:spacing w:after="240"/>
        <w:ind w:left="360"/>
        <w:rPr>
          <w:color w:val="000000" w:themeColor="text1"/>
        </w:rPr>
      </w:pPr>
      <w:r w:rsidRPr="00F40E3D">
        <w:rPr>
          <w:color w:val="000000" w:themeColor="text1"/>
        </w:rPr>
        <w:t>(</w:t>
      </w:r>
      <w:hyperlink r:id="rId26" w:history="1">
        <w:r w:rsidRPr="00F40E3D">
          <w:rPr>
            <w:rStyle w:val="Hyperlink"/>
            <w:color w:val="000000" w:themeColor="text1"/>
          </w:rPr>
          <w:t>https://b-s-h.org.uk/media/15705/transfusion-austin-the-estimation-of-fetomaternal-haemorrhage.pdf</w:t>
        </w:r>
      </w:hyperlink>
      <w:r w:rsidRPr="00F40E3D">
        <w:rPr>
          <w:color w:val="000000" w:themeColor="text1"/>
        </w:rPr>
        <w:t>)</w:t>
      </w:r>
    </w:p>
    <w:p w14:paraId="3E92BC3D" w14:textId="7F10BD8E" w:rsidR="00C57F15" w:rsidRPr="00F40E3D" w:rsidRDefault="002805D2" w:rsidP="00AF1F28">
      <w:pPr>
        <w:pStyle w:val="Tablefignotes"/>
        <w:numPr>
          <w:ilvl w:val="0"/>
          <w:numId w:val="7"/>
        </w:numPr>
        <w:spacing w:before="80" w:after="0"/>
        <w:rPr>
          <w:rFonts w:asciiTheme="minorHAnsi" w:eastAsia="Dotum" w:hAnsiTheme="minorHAnsi" w:cs="Arial"/>
          <w:noProof/>
          <w:color w:val="000000" w:themeColor="text1"/>
          <w:sz w:val="22"/>
          <w:szCs w:val="22"/>
        </w:rPr>
      </w:pPr>
      <w:r w:rsidRPr="00F40E3D">
        <w:rPr>
          <w:color w:val="000000" w:themeColor="text1"/>
          <w:sz w:val="22"/>
          <w:szCs w:val="22"/>
        </w:rPr>
        <w:t xml:space="preserve">Qureshi H, Massey E, Kirwan D, Davies T, Robson S, White J, et al. (2014). BCSH guideline for the use of anti-d immunoglobulin for the prevention of haemolytic disease of the fetus and newborn. </w:t>
      </w:r>
      <w:r w:rsidRPr="00F40E3D">
        <w:rPr>
          <w:i/>
          <w:color w:val="000000" w:themeColor="text1"/>
          <w:sz w:val="22"/>
          <w:szCs w:val="22"/>
        </w:rPr>
        <w:t>Transfus Med</w:t>
      </w:r>
      <w:r w:rsidRPr="00F40E3D">
        <w:rPr>
          <w:color w:val="000000" w:themeColor="text1"/>
          <w:sz w:val="22"/>
          <w:szCs w:val="22"/>
        </w:rPr>
        <w:t>. 24(1):8-20</w:t>
      </w:r>
      <w:r w:rsidR="004F6E25" w:rsidRPr="00F40E3D">
        <w:rPr>
          <w:color w:val="000000" w:themeColor="text1"/>
          <w:sz w:val="22"/>
          <w:szCs w:val="22"/>
        </w:rPr>
        <w:t xml:space="preserve"> (doi</w:t>
      </w:r>
      <w:r w:rsidR="004F6E25" w:rsidRPr="00F40E3D">
        <w:rPr>
          <w:color w:val="000000" w:themeColor="text1"/>
          <w:sz w:val="20"/>
          <w:szCs w:val="20"/>
        </w:rPr>
        <w:t xml:space="preserve">: </w:t>
      </w:r>
      <w:hyperlink r:id="rId27" w:tgtFrame="_blank" w:history="1">
        <w:r w:rsidR="00AF1F28" w:rsidRPr="00F40E3D">
          <w:rPr>
            <w:rStyle w:val="Hyperlink"/>
            <w:color w:val="000000" w:themeColor="text1"/>
            <w:sz w:val="20"/>
            <w:szCs w:val="20"/>
          </w:rPr>
          <w:t>10.1111/tme.12091</w:t>
        </w:r>
      </w:hyperlink>
      <w:r w:rsidRPr="00F40E3D">
        <w:rPr>
          <w:color w:val="000000" w:themeColor="text1"/>
          <w:sz w:val="22"/>
          <w:szCs w:val="22"/>
        </w:rPr>
        <w:t>)</w:t>
      </w:r>
    </w:p>
    <w:p w14:paraId="54853205" w14:textId="14DCD32B" w:rsidR="00B13F43" w:rsidRPr="00F40E3D" w:rsidRDefault="00B13F43" w:rsidP="002805D2">
      <w:pPr>
        <w:pStyle w:val="Tablefignotes"/>
        <w:spacing w:before="80" w:after="0"/>
        <w:ind w:left="360"/>
        <w:rPr>
          <w:color w:val="000000" w:themeColor="text1"/>
          <w:sz w:val="22"/>
          <w:szCs w:val="22"/>
        </w:rPr>
      </w:pPr>
    </w:p>
    <w:p w14:paraId="769DDAEE" w14:textId="20E4D326" w:rsidR="00B13F43" w:rsidRPr="00F40E3D" w:rsidRDefault="00B13F43" w:rsidP="002805D2">
      <w:pPr>
        <w:pStyle w:val="Tablefignotes"/>
        <w:spacing w:before="80" w:after="0"/>
        <w:ind w:left="360"/>
        <w:rPr>
          <w:color w:val="000000" w:themeColor="text1"/>
          <w:sz w:val="22"/>
          <w:szCs w:val="22"/>
        </w:rPr>
      </w:pPr>
    </w:p>
    <w:p w14:paraId="058527DC" w14:textId="6056C83C" w:rsidR="00B13F43" w:rsidRPr="00F40E3D" w:rsidRDefault="00B13F43" w:rsidP="002805D2">
      <w:pPr>
        <w:pStyle w:val="Tablefignotes"/>
        <w:spacing w:before="80" w:after="0"/>
        <w:ind w:left="360"/>
        <w:rPr>
          <w:color w:val="000000" w:themeColor="text1"/>
          <w:sz w:val="22"/>
          <w:szCs w:val="22"/>
        </w:rPr>
      </w:pPr>
    </w:p>
    <w:sectPr w:rsidR="00B13F43" w:rsidRPr="00F40E3D" w:rsidSect="006B77F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FFC2" w14:textId="77777777" w:rsidR="006B77F3" w:rsidRDefault="006B77F3" w:rsidP="00856708">
      <w:pPr>
        <w:spacing w:after="0"/>
      </w:pPr>
      <w:r>
        <w:separator/>
      </w:r>
    </w:p>
  </w:endnote>
  <w:endnote w:type="continuationSeparator" w:id="0">
    <w:p w14:paraId="7DAE4238" w14:textId="77777777" w:rsidR="006B77F3" w:rsidRDefault="006B77F3" w:rsidP="00856708">
      <w:pPr>
        <w:spacing w:after="0"/>
      </w:pPr>
      <w:r>
        <w:continuationSeparator/>
      </w:r>
    </w:p>
  </w:endnote>
  <w:endnote w:type="continuationNotice" w:id="1">
    <w:p w14:paraId="2F7F074D" w14:textId="77777777" w:rsidR="006B77F3" w:rsidRDefault="006B77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6EFE" w14:textId="77777777" w:rsidR="00954B6F" w:rsidRPr="00856708" w:rsidRDefault="00954B6F" w:rsidP="006D6FB6">
    <w:pPr>
      <w:pStyle w:val="Footer"/>
      <w:tabs>
        <w:tab w:val="clear" w:pos="9026"/>
        <w:tab w:val="right" w:pos="9356"/>
      </w:tabs>
      <w:jc w:val="right"/>
      <w:rPr>
        <w:sz w:val="20"/>
        <w:szCs w:val="20"/>
      </w:rPr>
    </w:pPr>
    <w:r w:rsidRPr="00856708">
      <w:rPr>
        <w:sz w:val="20"/>
        <w:szCs w:val="20"/>
      </w:rPr>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3F4945">
      <w:rPr>
        <w:noProof/>
        <w:sz w:val="20"/>
        <w:szCs w:val="20"/>
      </w:rPr>
      <w:t>2</w:t>
    </w:r>
    <w:r w:rsidRPr="00856708">
      <w:rPr>
        <w:sz w:val="20"/>
        <w:szCs w:val="20"/>
      </w:rPr>
      <w:fldChar w:fldCharType="end"/>
    </w:r>
  </w:p>
  <w:p w14:paraId="0258D986" w14:textId="77777777" w:rsidR="00954B6F" w:rsidRDefault="00954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8645" w14:textId="5B31158F" w:rsidR="00856708" w:rsidRPr="003E4596" w:rsidRDefault="00F92674" w:rsidP="003E4596">
    <w:pPr>
      <w:pStyle w:val="Footer"/>
      <w:rPr>
        <w:color w:val="C00000"/>
        <w:sz w:val="24"/>
        <w:szCs w:val="24"/>
      </w:rPr>
    </w:pPr>
    <w:r>
      <w:rPr>
        <w:noProof/>
      </w:rPr>
      <w:drawing>
        <wp:anchor distT="0" distB="0" distL="114300" distR="114300" simplePos="0" relativeHeight="251658242" behindDoc="1" locked="0" layoutInCell="1" allowOverlap="1" wp14:anchorId="25715852" wp14:editId="028939E4">
          <wp:simplePos x="0" y="0"/>
          <wp:positionH relativeFrom="page">
            <wp:posOffset>2745105</wp:posOffset>
          </wp:positionH>
          <wp:positionV relativeFrom="paragraph">
            <wp:posOffset>-187704</wp:posOffset>
          </wp:positionV>
          <wp:extent cx="2406650" cy="789940"/>
          <wp:effectExtent l="0" t="0" r="0" b="0"/>
          <wp:wrapTight wrapText="bothSides">
            <wp:wrapPolygon edited="0">
              <wp:start x="0" y="0"/>
              <wp:lineTo x="0" y="20836"/>
              <wp:lineTo x="21372" y="20836"/>
              <wp:lineTo x="213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6650" cy="789940"/>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sidR="003E4596" w:rsidRPr="003E4596">
        <w:rPr>
          <w:rStyle w:val="Hyperlink"/>
          <w:color w:val="C00000"/>
          <w:sz w:val="24"/>
          <w:szCs w:val="24"/>
        </w:rPr>
        <w:t>www.blood.gov.au/anti-d-0</w:t>
      </w:r>
    </w:hyperlink>
    <w:r w:rsidR="00A34103">
      <w:rPr>
        <w:rStyle w:val="Hyperlink"/>
        <w:color w:val="C00000"/>
        <w:sz w:val="24"/>
        <w:szCs w:val="24"/>
      </w:rPr>
      <w:t xml:space="preserve">        </w:t>
    </w:r>
    <w:r w:rsidR="00A34103">
      <w:rPr>
        <w:noProof/>
      </w:rPr>
      <w:drawing>
        <wp:inline distT="0" distB="0" distL="0" distR="0" wp14:anchorId="0514E918" wp14:editId="0E3EDE8A">
          <wp:extent cx="989635" cy="341640"/>
          <wp:effectExtent l="0" t="0" r="1270" b="1270"/>
          <wp:docPr id="2123538578" name="Picture 21235385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0452" cy="35573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46203"/>
      <w:docPartObj>
        <w:docPartGallery w:val="Page Numbers (Bottom of Page)"/>
        <w:docPartUnique/>
      </w:docPartObj>
    </w:sdtPr>
    <w:sdtEndPr>
      <w:rPr>
        <w:noProof/>
      </w:rPr>
    </w:sdtEndPr>
    <w:sdtContent>
      <w:p w14:paraId="0811A10F" w14:textId="2235B224" w:rsidR="002E1424" w:rsidRDefault="002E14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38B885" w14:textId="646B6BC0" w:rsidR="006D6FB6" w:rsidRPr="00D33FC0" w:rsidRDefault="006D6FB6" w:rsidP="00D33FC0">
    <w:pPr>
      <w:pStyle w:val="Tabletext9pt"/>
      <w:rPr>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80E1E" w14:textId="77777777" w:rsidR="006B77F3" w:rsidRDefault="006B77F3" w:rsidP="00856708">
      <w:pPr>
        <w:spacing w:after="0"/>
      </w:pPr>
      <w:r>
        <w:separator/>
      </w:r>
    </w:p>
  </w:footnote>
  <w:footnote w:type="continuationSeparator" w:id="0">
    <w:p w14:paraId="2F2406AD" w14:textId="77777777" w:rsidR="006B77F3" w:rsidRDefault="006B77F3" w:rsidP="00856708">
      <w:pPr>
        <w:spacing w:after="0"/>
      </w:pPr>
      <w:r>
        <w:continuationSeparator/>
      </w:r>
    </w:p>
  </w:footnote>
  <w:footnote w:type="continuationNotice" w:id="1">
    <w:p w14:paraId="4D63AC1D" w14:textId="77777777" w:rsidR="006B77F3" w:rsidRDefault="006B77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CE39" w14:textId="1609F950" w:rsidR="00B01BB1" w:rsidRDefault="00B01BB1">
    <w:pPr>
      <w:pStyle w:val="Header"/>
    </w:pPr>
    <w:r>
      <w:rPr>
        <w:noProof/>
      </w:rPr>
      <mc:AlternateContent>
        <mc:Choice Requires="wps">
          <w:drawing>
            <wp:anchor distT="0" distB="0" distL="0" distR="0" simplePos="0" relativeHeight="251658241" behindDoc="0" locked="0" layoutInCell="1" allowOverlap="1" wp14:anchorId="13FD21A9" wp14:editId="39FAF909">
              <wp:simplePos x="635" y="635"/>
              <wp:positionH relativeFrom="column">
                <wp:align>center</wp:align>
              </wp:positionH>
              <wp:positionV relativeFrom="paragraph">
                <wp:posOffset>635</wp:posOffset>
              </wp:positionV>
              <wp:extent cx="443865" cy="443865"/>
              <wp:effectExtent l="0" t="0" r="635" b="1079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F6560E" w14:textId="044FFF67" w:rsidR="00B01BB1" w:rsidRPr="00B01BB1" w:rsidRDefault="00B01BB1">
                          <w:pPr>
                            <w:rPr>
                              <w:rFonts w:eastAsia="Calibri"/>
                              <w:color w:val="FF0000"/>
                              <w:sz w:val="24"/>
                              <w:szCs w:val="24"/>
                            </w:rPr>
                          </w:pPr>
                          <w:r w:rsidRPr="00B01BB1">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FD21A9"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BF6560E" w14:textId="044FFF67" w:rsidR="00B01BB1" w:rsidRPr="00B01BB1" w:rsidRDefault="00B01BB1">
                    <w:pPr>
                      <w:rPr>
                        <w:rFonts w:eastAsia="Calibri"/>
                        <w:color w:val="FF0000"/>
                        <w:sz w:val="24"/>
                        <w:szCs w:val="24"/>
                      </w:rPr>
                    </w:pPr>
                    <w:r w:rsidRPr="00B01BB1">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F36A" w14:textId="12490322" w:rsidR="00B01BB1" w:rsidRDefault="00B01BB1">
    <w:pPr>
      <w:pStyle w:val="Header"/>
    </w:pPr>
    <w:r>
      <w:rPr>
        <w:noProof/>
      </w:rPr>
      <mc:AlternateContent>
        <mc:Choice Requires="wps">
          <w:drawing>
            <wp:anchor distT="0" distB="0" distL="0" distR="0" simplePos="0" relativeHeight="251658240" behindDoc="0" locked="0" layoutInCell="1" allowOverlap="1" wp14:anchorId="6E350A96" wp14:editId="41B6D484">
              <wp:simplePos x="635" y="635"/>
              <wp:positionH relativeFrom="column">
                <wp:align>center</wp:align>
              </wp:positionH>
              <wp:positionV relativeFrom="paragraph">
                <wp:posOffset>635</wp:posOffset>
              </wp:positionV>
              <wp:extent cx="443865" cy="443865"/>
              <wp:effectExtent l="0" t="0" r="635" b="1079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5DA215" w14:textId="631FDB90" w:rsidR="00B01BB1" w:rsidRPr="00B01BB1" w:rsidRDefault="00B01BB1">
                          <w:pPr>
                            <w:rPr>
                              <w:rFonts w:eastAsia="Calibri"/>
                              <w:color w:val="FF0000"/>
                              <w:sz w:val="24"/>
                              <w:szCs w:val="24"/>
                            </w:rPr>
                          </w:pPr>
                          <w:r w:rsidRPr="00B01BB1">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350A96"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MkKGdAjAgAATQQAAA4AAAAAAAAAAAAAAAAALgIAAGRycy9lMm9Eb2MueG1sUEsBAi0A&#10;FAAGAAgAAAAhAISw0yjWAAAAAwEAAA8AAAAAAAAAAAAAAAAAfQQAAGRycy9kb3ducmV2LnhtbFBL&#10;BQYAAAAABAAEAPMAAACABQAAAAA=&#10;" filled="f" stroked="f">
              <v:textbox style="mso-fit-shape-to-text:t" inset="0,0,0,0">
                <w:txbxContent>
                  <w:p w14:paraId="405DA215" w14:textId="631FDB90" w:rsidR="00B01BB1" w:rsidRPr="00B01BB1" w:rsidRDefault="00B01BB1">
                    <w:pPr>
                      <w:rPr>
                        <w:rFonts w:eastAsia="Calibri"/>
                        <w:color w:val="FF0000"/>
                        <w:sz w:val="24"/>
                        <w:szCs w:val="24"/>
                      </w:rPr>
                    </w:pPr>
                    <w:r w:rsidRPr="00B01BB1">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43777"/>
    <w:multiLevelType w:val="hybridMultilevel"/>
    <w:tmpl w:val="1C5C6C82"/>
    <w:lvl w:ilvl="0" w:tplc="0F0A6E9E">
      <w:start w:val="1"/>
      <w:numFmt w:val="bullet"/>
      <w:lvlText w:val=""/>
      <w:lvlJc w:val="left"/>
      <w:pPr>
        <w:ind w:left="417" w:hanging="360"/>
      </w:pPr>
      <w:rPr>
        <w:rFonts w:ascii="Symbol" w:hAnsi="Symbol" w:hint="default"/>
        <w:sz w:val="16"/>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 w15:restartNumberingAfterBreak="0">
    <w:nsid w:val="0FE45C40"/>
    <w:multiLevelType w:val="multilevel"/>
    <w:tmpl w:val="86C8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663E6"/>
    <w:multiLevelType w:val="hybridMultilevel"/>
    <w:tmpl w:val="72E40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4C29BE"/>
    <w:multiLevelType w:val="hybridMultilevel"/>
    <w:tmpl w:val="1DB2A0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075766"/>
    <w:multiLevelType w:val="hybridMultilevel"/>
    <w:tmpl w:val="5ACCA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494382"/>
    <w:multiLevelType w:val="multilevel"/>
    <w:tmpl w:val="301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6B143A"/>
    <w:multiLevelType w:val="hybridMultilevel"/>
    <w:tmpl w:val="B65EE5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46332AF"/>
    <w:multiLevelType w:val="hybridMultilevel"/>
    <w:tmpl w:val="75E8C89C"/>
    <w:lvl w:ilvl="0" w:tplc="803CF162">
      <w:start w:val="1"/>
      <w:numFmt w:val="bullet"/>
      <w:pStyle w:val="Tablebullet"/>
      <w:lvlText w:val=""/>
      <w:lvlJc w:val="left"/>
      <w:pPr>
        <w:ind w:left="425" w:hanging="360"/>
      </w:pPr>
      <w:rPr>
        <w:rFonts w:ascii="Symbol" w:hAnsi="Symbol" w:hint="default"/>
      </w:rPr>
    </w:lvl>
    <w:lvl w:ilvl="1" w:tplc="0C090003">
      <w:start w:val="1"/>
      <w:numFmt w:val="bullet"/>
      <w:lvlText w:val="o"/>
      <w:lvlJc w:val="left"/>
      <w:pPr>
        <w:ind w:left="1145" w:hanging="360"/>
      </w:pPr>
      <w:rPr>
        <w:rFonts w:ascii="Courier New" w:hAnsi="Courier New" w:cs="Courier New" w:hint="default"/>
      </w:rPr>
    </w:lvl>
    <w:lvl w:ilvl="2" w:tplc="0C090005" w:tentative="1">
      <w:start w:val="1"/>
      <w:numFmt w:val="bullet"/>
      <w:lvlText w:val=""/>
      <w:lvlJc w:val="left"/>
      <w:pPr>
        <w:ind w:left="1865" w:hanging="360"/>
      </w:pPr>
      <w:rPr>
        <w:rFonts w:ascii="Wingdings" w:hAnsi="Wingdings" w:hint="default"/>
      </w:rPr>
    </w:lvl>
    <w:lvl w:ilvl="3" w:tplc="0C090001" w:tentative="1">
      <w:start w:val="1"/>
      <w:numFmt w:val="bullet"/>
      <w:lvlText w:val=""/>
      <w:lvlJc w:val="left"/>
      <w:pPr>
        <w:ind w:left="2585" w:hanging="360"/>
      </w:pPr>
      <w:rPr>
        <w:rFonts w:ascii="Symbol" w:hAnsi="Symbol" w:hint="default"/>
      </w:rPr>
    </w:lvl>
    <w:lvl w:ilvl="4" w:tplc="0C090003" w:tentative="1">
      <w:start w:val="1"/>
      <w:numFmt w:val="bullet"/>
      <w:lvlText w:val="o"/>
      <w:lvlJc w:val="left"/>
      <w:pPr>
        <w:ind w:left="3305" w:hanging="360"/>
      </w:pPr>
      <w:rPr>
        <w:rFonts w:ascii="Courier New" w:hAnsi="Courier New" w:cs="Courier New" w:hint="default"/>
      </w:rPr>
    </w:lvl>
    <w:lvl w:ilvl="5" w:tplc="0C090005" w:tentative="1">
      <w:start w:val="1"/>
      <w:numFmt w:val="bullet"/>
      <w:lvlText w:val=""/>
      <w:lvlJc w:val="left"/>
      <w:pPr>
        <w:ind w:left="4025" w:hanging="360"/>
      </w:pPr>
      <w:rPr>
        <w:rFonts w:ascii="Wingdings" w:hAnsi="Wingdings" w:hint="default"/>
      </w:rPr>
    </w:lvl>
    <w:lvl w:ilvl="6" w:tplc="0C090001" w:tentative="1">
      <w:start w:val="1"/>
      <w:numFmt w:val="bullet"/>
      <w:lvlText w:val=""/>
      <w:lvlJc w:val="left"/>
      <w:pPr>
        <w:ind w:left="4745" w:hanging="360"/>
      </w:pPr>
      <w:rPr>
        <w:rFonts w:ascii="Symbol" w:hAnsi="Symbol" w:hint="default"/>
      </w:rPr>
    </w:lvl>
    <w:lvl w:ilvl="7" w:tplc="0C090003" w:tentative="1">
      <w:start w:val="1"/>
      <w:numFmt w:val="bullet"/>
      <w:lvlText w:val="o"/>
      <w:lvlJc w:val="left"/>
      <w:pPr>
        <w:ind w:left="5465" w:hanging="360"/>
      </w:pPr>
      <w:rPr>
        <w:rFonts w:ascii="Courier New" w:hAnsi="Courier New" w:cs="Courier New" w:hint="default"/>
      </w:rPr>
    </w:lvl>
    <w:lvl w:ilvl="8" w:tplc="0C090005" w:tentative="1">
      <w:start w:val="1"/>
      <w:numFmt w:val="bullet"/>
      <w:lvlText w:val=""/>
      <w:lvlJc w:val="left"/>
      <w:pPr>
        <w:ind w:left="6185" w:hanging="360"/>
      </w:pPr>
      <w:rPr>
        <w:rFonts w:ascii="Wingdings" w:hAnsi="Wingdings" w:hint="default"/>
      </w:rPr>
    </w:lvl>
  </w:abstractNum>
  <w:abstractNum w:abstractNumId="11" w15:restartNumberingAfterBreak="0">
    <w:nsid w:val="595606E1"/>
    <w:multiLevelType w:val="hybridMultilevel"/>
    <w:tmpl w:val="9A66A66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DD370B"/>
    <w:multiLevelType w:val="hybridMultilevel"/>
    <w:tmpl w:val="D66451C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C4C07D9"/>
    <w:multiLevelType w:val="hybridMultilevel"/>
    <w:tmpl w:val="8C1A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570D5D"/>
    <w:multiLevelType w:val="multilevel"/>
    <w:tmpl w:val="C50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2A255F"/>
    <w:multiLevelType w:val="multilevel"/>
    <w:tmpl w:val="CF1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17FA2"/>
    <w:multiLevelType w:val="hybridMultilevel"/>
    <w:tmpl w:val="5DC2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7B31B9"/>
    <w:multiLevelType w:val="multilevel"/>
    <w:tmpl w:val="7F34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7755D0"/>
    <w:multiLevelType w:val="hybridMultilevel"/>
    <w:tmpl w:val="49FE2C0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5"/>
  </w:num>
  <w:num w:numId="2">
    <w:abstractNumId w:val="5"/>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6"/>
  </w:num>
  <w:num w:numId="4">
    <w:abstractNumId w:val="17"/>
  </w:num>
  <w:num w:numId="5">
    <w:abstractNumId w:val="4"/>
  </w:num>
  <w:num w:numId="6">
    <w:abstractNumId w:val="19"/>
  </w:num>
  <w:num w:numId="7">
    <w:abstractNumId w:val="9"/>
  </w:num>
  <w:num w:numId="8">
    <w:abstractNumId w:val="10"/>
  </w:num>
  <w:num w:numId="9">
    <w:abstractNumId w:val="0"/>
  </w:num>
  <w:num w:numId="10">
    <w:abstractNumId w:val="3"/>
  </w:num>
  <w:num w:numId="11">
    <w:abstractNumId w:val="13"/>
  </w:num>
  <w:num w:numId="12">
    <w:abstractNumId w:val="7"/>
  </w:num>
  <w:num w:numId="13">
    <w:abstractNumId w:val="2"/>
  </w:num>
  <w:num w:numId="14">
    <w:abstractNumId w:val="16"/>
  </w:num>
  <w:num w:numId="15">
    <w:abstractNumId w:val="11"/>
  </w:num>
  <w:num w:numId="16">
    <w:abstractNumId w:val="12"/>
  </w:num>
  <w:num w:numId="17">
    <w:abstractNumId w:val="10"/>
  </w:num>
  <w:num w:numId="18">
    <w:abstractNumId w:val="18"/>
  </w:num>
  <w:num w:numId="19">
    <w:abstractNumId w:val="1"/>
  </w:num>
  <w:num w:numId="20">
    <w:abstractNumId w:val="14"/>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544"/>
    <w:rsid w:val="000001F2"/>
    <w:rsid w:val="00000EF1"/>
    <w:rsid w:val="00001B90"/>
    <w:rsid w:val="00006E04"/>
    <w:rsid w:val="0002778A"/>
    <w:rsid w:val="00027811"/>
    <w:rsid w:val="00036EDC"/>
    <w:rsid w:val="00037197"/>
    <w:rsid w:val="00040B58"/>
    <w:rsid w:val="00052544"/>
    <w:rsid w:val="00054060"/>
    <w:rsid w:val="000567EA"/>
    <w:rsid w:val="0006029D"/>
    <w:rsid w:val="00060586"/>
    <w:rsid w:val="00060BEE"/>
    <w:rsid w:val="000648C5"/>
    <w:rsid w:val="000649A9"/>
    <w:rsid w:val="000742A0"/>
    <w:rsid w:val="00076D23"/>
    <w:rsid w:val="00082C02"/>
    <w:rsid w:val="000837E7"/>
    <w:rsid w:val="0009063A"/>
    <w:rsid w:val="0009297E"/>
    <w:rsid w:val="000962F9"/>
    <w:rsid w:val="000B02BE"/>
    <w:rsid w:val="000B0E27"/>
    <w:rsid w:val="000C5F77"/>
    <w:rsid w:val="000C7422"/>
    <w:rsid w:val="000D29F5"/>
    <w:rsid w:val="000D3358"/>
    <w:rsid w:val="000D4AA1"/>
    <w:rsid w:val="000D70A3"/>
    <w:rsid w:val="000E5576"/>
    <w:rsid w:val="000E6E6A"/>
    <w:rsid w:val="000F33EC"/>
    <w:rsid w:val="000F52C0"/>
    <w:rsid w:val="00101F49"/>
    <w:rsid w:val="001104D3"/>
    <w:rsid w:val="00111BFB"/>
    <w:rsid w:val="001209BC"/>
    <w:rsid w:val="00120A4F"/>
    <w:rsid w:val="00121DDB"/>
    <w:rsid w:val="001250EE"/>
    <w:rsid w:val="00127DA1"/>
    <w:rsid w:val="00131F4A"/>
    <w:rsid w:val="00143B4A"/>
    <w:rsid w:val="00143D81"/>
    <w:rsid w:val="00145576"/>
    <w:rsid w:val="00146411"/>
    <w:rsid w:val="001527DB"/>
    <w:rsid w:val="001544D2"/>
    <w:rsid w:val="001550D5"/>
    <w:rsid w:val="00156267"/>
    <w:rsid w:val="001649BD"/>
    <w:rsid w:val="00182AF6"/>
    <w:rsid w:val="00192332"/>
    <w:rsid w:val="00193BB2"/>
    <w:rsid w:val="001B2484"/>
    <w:rsid w:val="001B2EE4"/>
    <w:rsid w:val="001C2AA2"/>
    <w:rsid w:val="001D014A"/>
    <w:rsid w:val="001D0DEE"/>
    <w:rsid w:val="001D59E2"/>
    <w:rsid w:val="001E3F49"/>
    <w:rsid w:val="001E455C"/>
    <w:rsid w:val="001F1413"/>
    <w:rsid w:val="001F276F"/>
    <w:rsid w:val="001F35BA"/>
    <w:rsid w:val="001F3ED7"/>
    <w:rsid w:val="001F6EA1"/>
    <w:rsid w:val="00211D84"/>
    <w:rsid w:val="00213A44"/>
    <w:rsid w:val="0021586C"/>
    <w:rsid w:val="002159D2"/>
    <w:rsid w:val="00220B28"/>
    <w:rsid w:val="00220C90"/>
    <w:rsid w:val="00226E6A"/>
    <w:rsid w:val="00235966"/>
    <w:rsid w:val="002537F2"/>
    <w:rsid w:val="00254638"/>
    <w:rsid w:val="002800B2"/>
    <w:rsid w:val="002805D2"/>
    <w:rsid w:val="00281DFF"/>
    <w:rsid w:val="0028747C"/>
    <w:rsid w:val="00294C9C"/>
    <w:rsid w:val="00295CD3"/>
    <w:rsid w:val="00297373"/>
    <w:rsid w:val="002A161C"/>
    <w:rsid w:val="002B4B35"/>
    <w:rsid w:val="002B5321"/>
    <w:rsid w:val="002C2EB5"/>
    <w:rsid w:val="002E1424"/>
    <w:rsid w:val="002E73AF"/>
    <w:rsid w:val="002E7B9D"/>
    <w:rsid w:val="002F076E"/>
    <w:rsid w:val="002F0FAB"/>
    <w:rsid w:val="0030530E"/>
    <w:rsid w:val="00312704"/>
    <w:rsid w:val="003131B0"/>
    <w:rsid w:val="00315214"/>
    <w:rsid w:val="00315EFB"/>
    <w:rsid w:val="00325072"/>
    <w:rsid w:val="003431C4"/>
    <w:rsid w:val="003465E7"/>
    <w:rsid w:val="00353725"/>
    <w:rsid w:val="00354C41"/>
    <w:rsid w:val="0035510A"/>
    <w:rsid w:val="0035675E"/>
    <w:rsid w:val="0036121F"/>
    <w:rsid w:val="00365FE4"/>
    <w:rsid w:val="00376D70"/>
    <w:rsid w:val="003838EB"/>
    <w:rsid w:val="00391A3B"/>
    <w:rsid w:val="00393C64"/>
    <w:rsid w:val="00397DC1"/>
    <w:rsid w:val="003A1999"/>
    <w:rsid w:val="003A3E01"/>
    <w:rsid w:val="003B0381"/>
    <w:rsid w:val="003B1CDA"/>
    <w:rsid w:val="003C221B"/>
    <w:rsid w:val="003C7B19"/>
    <w:rsid w:val="003D27F1"/>
    <w:rsid w:val="003D5D9B"/>
    <w:rsid w:val="003E0D1A"/>
    <w:rsid w:val="003E3EC4"/>
    <w:rsid w:val="003E4596"/>
    <w:rsid w:val="003F1685"/>
    <w:rsid w:val="003F4945"/>
    <w:rsid w:val="003F5FD7"/>
    <w:rsid w:val="003F71E2"/>
    <w:rsid w:val="00403E22"/>
    <w:rsid w:val="00412CD7"/>
    <w:rsid w:val="00414BFD"/>
    <w:rsid w:val="004157A1"/>
    <w:rsid w:val="00430CAA"/>
    <w:rsid w:val="00435A57"/>
    <w:rsid w:val="00435D0F"/>
    <w:rsid w:val="00436DB9"/>
    <w:rsid w:val="004447DE"/>
    <w:rsid w:val="00457116"/>
    <w:rsid w:val="00464953"/>
    <w:rsid w:val="00466E0F"/>
    <w:rsid w:val="00467297"/>
    <w:rsid w:val="00474997"/>
    <w:rsid w:val="004811D7"/>
    <w:rsid w:val="00485699"/>
    <w:rsid w:val="004876B0"/>
    <w:rsid w:val="00487B26"/>
    <w:rsid w:val="0049750E"/>
    <w:rsid w:val="004A2315"/>
    <w:rsid w:val="004A3876"/>
    <w:rsid w:val="004A471D"/>
    <w:rsid w:val="004A5CD7"/>
    <w:rsid w:val="004B027E"/>
    <w:rsid w:val="004B3799"/>
    <w:rsid w:val="004B37AD"/>
    <w:rsid w:val="004C0A64"/>
    <w:rsid w:val="004C28C1"/>
    <w:rsid w:val="004D21F3"/>
    <w:rsid w:val="004D4636"/>
    <w:rsid w:val="004E5A56"/>
    <w:rsid w:val="004F44B4"/>
    <w:rsid w:val="004F4BB2"/>
    <w:rsid w:val="004F6E25"/>
    <w:rsid w:val="004F6EA3"/>
    <w:rsid w:val="0050217D"/>
    <w:rsid w:val="00511428"/>
    <w:rsid w:val="00512AEE"/>
    <w:rsid w:val="0052109B"/>
    <w:rsid w:val="00540020"/>
    <w:rsid w:val="00540132"/>
    <w:rsid w:val="0054469D"/>
    <w:rsid w:val="00546685"/>
    <w:rsid w:val="00555E6B"/>
    <w:rsid w:val="005564DE"/>
    <w:rsid w:val="00556F99"/>
    <w:rsid w:val="00560BCF"/>
    <w:rsid w:val="00573BBB"/>
    <w:rsid w:val="00583082"/>
    <w:rsid w:val="0058488D"/>
    <w:rsid w:val="00587E91"/>
    <w:rsid w:val="00591BD9"/>
    <w:rsid w:val="005A00E7"/>
    <w:rsid w:val="005A0449"/>
    <w:rsid w:val="005A3985"/>
    <w:rsid w:val="005A3F20"/>
    <w:rsid w:val="005A4251"/>
    <w:rsid w:val="005A5DE4"/>
    <w:rsid w:val="005B1B07"/>
    <w:rsid w:val="005B5E9F"/>
    <w:rsid w:val="005C14EC"/>
    <w:rsid w:val="005C6AFB"/>
    <w:rsid w:val="005D0D1A"/>
    <w:rsid w:val="005D4D32"/>
    <w:rsid w:val="005D7535"/>
    <w:rsid w:val="005E29EC"/>
    <w:rsid w:val="005E38DF"/>
    <w:rsid w:val="005F537B"/>
    <w:rsid w:val="005F6E61"/>
    <w:rsid w:val="00610DFD"/>
    <w:rsid w:val="006229BE"/>
    <w:rsid w:val="00623516"/>
    <w:rsid w:val="006243E2"/>
    <w:rsid w:val="00633A64"/>
    <w:rsid w:val="00641425"/>
    <w:rsid w:val="006420E1"/>
    <w:rsid w:val="00642A25"/>
    <w:rsid w:val="00654AE0"/>
    <w:rsid w:val="00673519"/>
    <w:rsid w:val="00674FBC"/>
    <w:rsid w:val="00695B8F"/>
    <w:rsid w:val="006A2495"/>
    <w:rsid w:val="006A3CB0"/>
    <w:rsid w:val="006B295E"/>
    <w:rsid w:val="006B77F3"/>
    <w:rsid w:val="006C0017"/>
    <w:rsid w:val="006C1C6B"/>
    <w:rsid w:val="006C1F53"/>
    <w:rsid w:val="006C7979"/>
    <w:rsid w:val="006C7BFA"/>
    <w:rsid w:val="006D6FB6"/>
    <w:rsid w:val="006E07E0"/>
    <w:rsid w:val="006E475B"/>
    <w:rsid w:val="006F2273"/>
    <w:rsid w:val="006F5F4B"/>
    <w:rsid w:val="00702E2C"/>
    <w:rsid w:val="0071194C"/>
    <w:rsid w:val="0071507D"/>
    <w:rsid w:val="00721A30"/>
    <w:rsid w:val="007243AE"/>
    <w:rsid w:val="0072693B"/>
    <w:rsid w:val="00735277"/>
    <w:rsid w:val="0073659D"/>
    <w:rsid w:val="00740CFB"/>
    <w:rsid w:val="007440F3"/>
    <w:rsid w:val="007449DB"/>
    <w:rsid w:val="00747965"/>
    <w:rsid w:val="00765FB5"/>
    <w:rsid w:val="00771B0D"/>
    <w:rsid w:val="00775484"/>
    <w:rsid w:val="00784883"/>
    <w:rsid w:val="0078650D"/>
    <w:rsid w:val="007936A5"/>
    <w:rsid w:val="00793E88"/>
    <w:rsid w:val="007A1332"/>
    <w:rsid w:val="007B4594"/>
    <w:rsid w:val="007C07A1"/>
    <w:rsid w:val="007C2438"/>
    <w:rsid w:val="007D62CB"/>
    <w:rsid w:val="007E201A"/>
    <w:rsid w:val="007F31E6"/>
    <w:rsid w:val="00801B07"/>
    <w:rsid w:val="008054F5"/>
    <w:rsid w:val="00806637"/>
    <w:rsid w:val="00812935"/>
    <w:rsid w:val="00823FC9"/>
    <w:rsid w:val="008252DA"/>
    <w:rsid w:val="00825623"/>
    <w:rsid w:val="00836053"/>
    <w:rsid w:val="0084233D"/>
    <w:rsid w:val="00847AD6"/>
    <w:rsid w:val="00850AF4"/>
    <w:rsid w:val="00851FC3"/>
    <w:rsid w:val="00855EA2"/>
    <w:rsid w:val="00856708"/>
    <w:rsid w:val="00862BE5"/>
    <w:rsid w:val="00864CA5"/>
    <w:rsid w:val="00867B71"/>
    <w:rsid w:val="00873042"/>
    <w:rsid w:val="00874A8F"/>
    <w:rsid w:val="0087720D"/>
    <w:rsid w:val="00881A44"/>
    <w:rsid w:val="00893E0A"/>
    <w:rsid w:val="008A1A8F"/>
    <w:rsid w:val="008A3413"/>
    <w:rsid w:val="008A4D32"/>
    <w:rsid w:val="008A535A"/>
    <w:rsid w:val="008A7264"/>
    <w:rsid w:val="008A7280"/>
    <w:rsid w:val="008B3EAF"/>
    <w:rsid w:val="008C45AF"/>
    <w:rsid w:val="008C710A"/>
    <w:rsid w:val="008D337A"/>
    <w:rsid w:val="008D796A"/>
    <w:rsid w:val="008E1DB9"/>
    <w:rsid w:val="008E1F37"/>
    <w:rsid w:val="008E336F"/>
    <w:rsid w:val="008E57F2"/>
    <w:rsid w:val="008F3DE4"/>
    <w:rsid w:val="00906E9F"/>
    <w:rsid w:val="0090732F"/>
    <w:rsid w:val="0092513E"/>
    <w:rsid w:val="00926314"/>
    <w:rsid w:val="00926446"/>
    <w:rsid w:val="00932177"/>
    <w:rsid w:val="00936A99"/>
    <w:rsid w:val="00937FF9"/>
    <w:rsid w:val="00942DC7"/>
    <w:rsid w:val="00946674"/>
    <w:rsid w:val="00947CB7"/>
    <w:rsid w:val="00951B85"/>
    <w:rsid w:val="00954B6F"/>
    <w:rsid w:val="00957A5D"/>
    <w:rsid w:val="00962939"/>
    <w:rsid w:val="00963F27"/>
    <w:rsid w:val="009865B9"/>
    <w:rsid w:val="00986FFE"/>
    <w:rsid w:val="00990C52"/>
    <w:rsid w:val="009952EF"/>
    <w:rsid w:val="009A1C4D"/>
    <w:rsid w:val="009A56E1"/>
    <w:rsid w:val="009B10E9"/>
    <w:rsid w:val="009B7BED"/>
    <w:rsid w:val="009C0364"/>
    <w:rsid w:val="009C260C"/>
    <w:rsid w:val="009C28B4"/>
    <w:rsid w:val="009D510C"/>
    <w:rsid w:val="009D612C"/>
    <w:rsid w:val="009D755B"/>
    <w:rsid w:val="009D7FFA"/>
    <w:rsid w:val="009E19CC"/>
    <w:rsid w:val="009E360C"/>
    <w:rsid w:val="009E38CC"/>
    <w:rsid w:val="009F08A5"/>
    <w:rsid w:val="009F45D3"/>
    <w:rsid w:val="00A02FD1"/>
    <w:rsid w:val="00A0627F"/>
    <w:rsid w:val="00A072DF"/>
    <w:rsid w:val="00A16A1B"/>
    <w:rsid w:val="00A17B2F"/>
    <w:rsid w:val="00A202D8"/>
    <w:rsid w:val="00A22D9D"/>
    <w:rsid w:val="00A231FC"/>
    <w:rsid w:val="00A32A3B"/>
    <w:rsid w:val="00A34103"/>
    <w:rsid w:val="00A4021C"/>
    <w:rsid w:val="00A439D9"/>
    <w:rsid w:val="00A504C5"/>
    <w:rsid w:val="00A51754"/>
    <w:rsid w:val="00A519CC"/>
    <w:rsid w:val="00A528A7"/>
    <w:rsid w:val="00A53126"/>
    <w:rsid w:val="00A555B0"/>
    <w:rsid w:val="00A5685C"/>
    <w:rsid w:val="00A7234D"/>
    <w:rsid w:val="00A828AD"/>
    <w:rsid w:val="00A8320F"/>
    <w:rsid w:val="00A90931"/>
    <w:rsid w:val="00AA4729"/>
    <w:rsid w:val="00AA74C0"/>
    <w:rsid w:val="00AB05A9"/>
    <w:rsid w:val="00AB20B3"/>
    <w:rsid w:val="00AB6946"/>
    <w:rsid w:val="00AC695A"/>
    <w:rsid w:val="00AD302C"/>
    <w:rsid w:val="00AE41EC"/>
    <w:rsid w:val="00AF0694"/>
    <w:rsid w:val="00AF1F28"/>
    <w:rsid w:val="00AF5A44"/>
    <w:rsid w:val="00B01BB1"/>
    <w:rsid w:val="00B0416B"/>
    <w:rsid w:val="00B0436E"/>
    <w:rsid w:val="00B06F17"/>
    <w:rsid w:val="00B07FD1"/>
    <w:rsid w:val="00B10F1D"/>
    <w:rsid w:val="00B11288"/>
    <w:rsid w:val="00B12EA0"/>
    <w:rsid w:val="00B13F43"/>
    <w:rsid w:val="00B2322E"/>
    <w:rsid w:val="00B24ECA"/>
    <w:rsid w:val="00B30398"/>
    <w:rsid w:val="00B34408"/>
    <w:rsid w:val="00B353A5"/>
    <w:rsid w:val="00B37111"/>
    <w:rsid w:val="00B3726E"/>
    <w:rsid w:val="00B42892"/>
    <w:rsid w:val="00B42C08"/>
    <w:rsid w:val="00B44313"/>
    <w:rsid w:val="00B4571F"/>
    <w:rsid w:val="00B51835"/>
    <w:rsid w:val="00B51EDE"/>
    <w:rsid w:val="00B54853"/>
    <w:rsid w:val="00B57901"/>
    <w:rsid w:val="00B621DC"/>
    <w:rsid w:val="00B65A1C"/>
    <w:rsid w:val="00B65EF9"/>
    <w:rsid w:val="00B66783"/>
    <w:rsid w:val="00B66DE1"/>
    <w:rsid w:val="00B70176"/>
    <w:rsid w:val="00B751F4"/>
    <w:rsid w:val="00BB03D7"/>
    <w:rsid w:val="00BB0941"/>
    <w:rsid w:val="00BB618F"/>
    <w:rsid w:val="00BC32E0"/>
    <w:rsid w:val="00BD2E3D"/>
    <w:rsid w:val="00BE0D20"/>
    <w:rsid w:val="00BE3A98"/>
    <w:rsid w:val="00BE6500"/>
    <w:rsid w:val="00BF1D4C"/>
    <w:rsid w:val="00BF4638"/>
    <w:rsid w:val="00C01330"/>
    <w:rsid w:val="00C0238F"/>
    <w:rsid w:val="00C06A8B"/>
    <w:rsid w:val="00C06EEB"/>
    <w:rsid w:val="00C10F5C"/>
    <w:rsid w:val="00C1229E"/>
    <w:rsid w:val="00C1259F"/>
    <w:rsid w:val="00C163D1"/>
    <w:rsid w:val="00C246DD"/>
    <w:rsid w:val="00C328F6"/>
    <w:rsid w:val="00C369EC"/>
    <w:rsid w:val="00C40871"/>
    <w:rsid w:val="00C40FEF"/>
    <w:rsid w:val="00C4296C"/>
    <w:rsid w:val="00C436CA"/>
    <w:rsid w:val="00C44A6F"/>
    <w:rsid w:val="00C46ABB"/>
    <w:rsid w:val="00C50926"/>
    <w:rsid w:val="00C51B25"/>
    <w:rsid w:val="00C54F3E"/>
    <w:rsid w:val="00C57F15"/>
    <w:rsid w:val="00C66023"/>
    <w:rsid w:val="00C74A74"/>
    <w:rsid w:val="00C82319"/>
    <w:rsid w:val="00C9286F"/>
    <w:rsid w:val="00C957D8"/>
    <w:rsid w:val="00CA3291"/>
    <w:rsid w:val="00CA53E8"/>
    <w:rsid w:val="00CA7C9D"/>
    <w:rsid w:val="00CB0013"/>
    <w:rsid w:val="00CB0A6B"/>
    <w:rsid w:val="00CB4CD6"/>
    <w:rsid w:val="00CB5705"/>
    <w:rsid w:val="00CC0B94"/>
    <w:rsid w:val="00CC1F28"/>
    <w:rsid w:val="00CD440C"/>
    <w:rsid w:val="00CD4E76"/>
    <w:rsid w:val="00CE49CB"/>
    <w:rsid w:val="00CF4BE0"/>
    <w:rsid w:val="00CF4F47"/>
    <w:rsid w:val="00D05A55"/>
    <w:rsid w:val="00D06E99"/>
    <w:rsid w:val="00D1176D"/>
    <w:rsid w:val="00D2035F"/>
    <w:rsid w:val="00D313FF"/>
    <w:rsid w:val="00D331FB"/>
    <w:rsid w:val="00D33FC0"/>
    <w:rsid w:val="00D35B62"/>
    <w:rsid w:val="00D36F9E"/>
    <w:rsid w:val="00D37B2E"/>
    <w:rsid w:val="00D45FF7"/>
    <w:rsid w:val="00D47714"/>
    <w:rsid w:val="00D47E8B"/>
    <w:rsid w:val="00D6701A"/>
    <w:rsid w:val="00D7012F"/>
    <w:rsid w:val="00D75C8B"/>
    <w:rsid w:val="00D76C29"/>
    <w:rsid w:val="00D809F9"/>
    <w:rsid w:val="00D928A6"/>
    <w:rsid w:val="00D9302D"/>
    <w:rsid w:val="00D94F87"/>
    <w:rsid w:val="00D962ED"/>
    <w:rsid w:val="00DA618B"/>
    <w:rsid w:val="00DB498B"/>
    <w:rsid w:val="00DC7B96"/>
    <w:rsid w:val="00DD48D8"/>
    <w:rsid w:val="00DF104B"/>
    <w:rsid w:val="00DF3985"/>
    <w:rsid w:val="00DF62C5"/>
    <w:rsid w:val="00DF705D"/>
    <w:rsid w:val="00E04759"/>
    <w:rsid w:val="00E175BA"/>
    <w:rsid w:val="00E179C9"/>
    <w:rsid w:val="00E17AA0"/>
    <w:rsid w:val="00E17B84"/>
    <w:rsid w:val="00E31D3B"/>
    <w:rsid w:val="00E346A2"/>
    <w:rsid w:val="00E35748"/>
    <w:rsid w:val="00E47F28"/>
    <w:rsid w:val="00E52E63"/>
    <w:rsid w:val="00E54F25"/>
    <w:rsid w:val="00E55944"/>
    <w:rsid w:val="00E575BC"/>
    <w:rsid w:val="00E57909"/>
    <w:rsid w:val="00E62079"/>
    <w:rsid w:val="00E6243E"/>
    <w:rsid w:val="00E636E4"/>
    <w:rsid w:val="00E66163"/>
    <w:rsid w:val="00E66858"/>
    <w:rsid w:val="00E66CD7"/>
    <w:rsid w:val="00E72607"/>
    <w:rsid w:val="00E733BC"/>
    <w:rsid w:val="00E83FF0"/>
    <w:rsid w:val="00E96A99"/>
    <w:rsid w:val="00EA071E"/>
    <w:rsid w:val="00EA4DC3"/>
    <w:rsid w:val="00EC2D03"/>
    <w:rsid w:val="00EC7FB9"/>
    <w:rsid w:val="00ED2757"/>
    <w:rsid w:val="00ED4301"/>
    <w:rsid w:val="00EE0EBD"/>
    <w:rsid w:val="00F0033C"/>
    <w:rsid w:val="00F0569E"/>
    <w:rsid w:val="00F07809"/>
    <w:rsid w:val="00F079EF"/>
    <w:rsid w:val="00F11FD2"/>
    <w:rsid w:val="00F141AE"/>
    <w:rsid w:val="00F17ABD"/>
    <w:rsid w:val="00F21245"/>
    <w:rsid w:val="00F24F11"/>
    <w:rsid w:val="00F33737"/>
    <w:rsid w:val="00F3729F"/>
    <w:rsid w:val="00F40E3D"/>
    <w:rsid w:val="00F42923"/>
    <w:rsid w:val="00F4679B"/>
    <w:rsid w:val="00F476AC"/>
    <w:rsid w:val="00F53F6D"/>
    <w:rsid w:val="00F605FB"/>
    <w:rsid w:val="00F62FC8"/>
    <w:rsid w:val="00F67ADE"/>
    <w:rsid w:val="00F70F35"/>
    <w:rsid w:val="00F81A88"/>
    <w:rsid w:val="00F857E1"/>
    <w:rsid w:val="00F92674"/>
    <w:rsid w:val="00F928E0"/>
    <w:rsid w:val="00F92D46"/>
    <w:rsid w:val="00FA0A4F"/>
    <w:rsid w:val="00FB1463"/>
    <w:rsid w:val="00FB25B1"/>
    <w:rsid w:val="00FD10A5"/>
    <w:rsid w:val="00FD53DB"/>
    <w:rsid w:val="00FE0557"/>
    <w:rsid w:val="00FE145F"/>
    <w:rsid w:val="00FE22D2"/>
    <w:rsid w:val="00FE5801"/>
    <w:rsid w:val="00FE72A4"/>
    <w:rsid w:val="00FF17F5"/>
    <w:rsid w:val="00FF2836"/>
    <w:rsid w:val="00FF424B"/>
    <w:rsid w:val="00FF5337"/>
    <w:rsid w:val="00FF70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AE8206C"/>
  <w15:chartTrackingRefBased/>
  <w15:docId w15:val="{741CA8B5-0287-42D7-896A-63E8B4DB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544"/>
    <w:pPr>
      <w:spacing w:line="240" w:lineRule="auto"/>
    </w:pPr>
    <w:rPr>
      <w:rFonts w:ascii="Calibri" w:eastAsia="Dotum" w:hAnsi="Calibri" w:cs="Calibri"/>
    </w:rPr>
  </w:style>
  <w:style w:type="paragraph" w:styleId="Heading1">
    <w:name w:val="heading 1"/>
    <w:next w:val="Normal"/>
    <w:link w:val="Heading1Char"/>
    <w:uiPriority w:val="9"/>
    <w:qFormat/>
    <w:rsid w:val="002B4B35"/>
    <w:pPr>
      <w:widowControl w:val="0"/>
      <w:spacing w:before="360" w:after="120" w:line="240" w:lineRule="auto"/>
      <w:ind w:right="6"/>
      <w:outlineLvl w:val="0"/>
    </w:pPr>
    <w:rPr>
      <w:rFonts w:eastAsia="HYGothic-Extra" w:cs="Calibri"/>
      <w:b/>
      <w:bCs/>
      <w:color w:val="21265E"/>
      <w:spacing w:val="-20"/>
      <w:sz w:val="36"/>
      <w:szCs w:val="72"/>
    </w:rPr>
  </w:style>
  <w:style w:type="paragraph" w:styleId="Heading2">
    <w:name w:val="heading 2"/>
    <w:next w:val="Normal"/>
    <w:link w:val="Heading2Char"/>
    <w:uiPriority w:val="9"/>
    <w:unhideWhenUsed/>
    <w:qFormat/>
    <w:rsid w:val="002B4B35"/>
    <w:pPr>
      <w:spacing w:before="120" w:after="120" w:line="240" w:lineRule="auto"/>
      <w:contextualSpacing/>
      <w:outlineLvl w:val="1"/>
    </w:pPr>
    <w:rPr>
      <w:rFonts w:eastAsia="Dotum" w:cs="Arial"/>
      <w:b/>
      <w:color w:val="648F90"/>
      <w:sz w:val="28"/>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B35"/>
    <w:rPr>
      <w:rFonts w:eastAsia="HYGothic-Extra" w:cs="Calibri"/>
      <w:b/>
      <w:bCs/>
      <w:color w:val="21265E"/>
      <w:spacing w:val="-20"/>
      <w:sz w:val="36"/>
      <w:szCs w:val="72"/>
    </w:rPr>
  </w:style>
  <w:style w:type="character" w:customStyle="1" w:styleId="Heading2Char">
    <w:name w:val="Heading 2 Char"/>
    <w:basedOn w:val="DefaultParagraphFont"/>
    <w:link w:val="Heading2"/>
    <w:uiPriority w:val="9"/>
    <w:rsid w:val="002B4B35"/>
    <w:rPr>
      <w:rFonts w:eastAsia="Dotum" w:cs="Arial"/>
      <w:b/>
      <w:color w:val="648F90"/>
      <w:sz w:val="28"/>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aliases w:val="HTAtableplain"/>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CommentReference">
    <w:name w:val="annotation reference"/>
    <w:basedOn w:val="DefaultParagraphFont"/>
    <w:uiPriority w:val="99"/>
    <w:unhideWhenUsed/>
    <w:rsid w:val="00052544"/>
    <w:rPr>
      <w:sz w:val="16"/>
      <w:szCs w:val="16"/>
    </w:rPr>
  </w:style>
  <w:style w:type="character" w:styleId="Emphasis">
    <w:name w:val="Emphasis"/>
    <w:basedOn w:val="DefaultParagraphFont"/>
    <w:uiPriority w:val="20"/>
    <w:qFormat/>
    <w:rsid w:val="00052544"/>
    <w:rPr>
      <w:i/>
      <w:iCs/>
    </w:rPr>
  </w:style>
  <w:style w:type="character" w:styleId="Strong">
    <w:name w:val="Strong"/>
    <w:uiPriority w:val="22"/>
    <w:qFormat/>
    <w:rsid w:val="00052544"/>
    <w:rPr>
      <w:b/>
      <w:bCs/>
    </w:rPr>
  </w:style>
  <w:style w:type="paragraph" w:customStyle="1" w:styleId="TableH1">
    <w:name w:val="Table H1"/>
    <w:basedOn w:val="BodyText"/>
    <w:link w:val="TableH1Char"/>
    <w:uiPriority w:val="4"/>
    <w:qFormat/>
    <w:rsid w:val="002B4B35"/>
    <w:pPr>
      <w:keepNext/>
      <w:spacing w:before="20" w:after="20" w:line="240" w:lineRule="auto"/>
      <w:ind w:left="57" w:right="57"/>
    </w:pPr>
    <w:rPr>
      <w:color w:val="FFFFFF"/>
      <w:szCs w:val="16"/>
    </w:rPr>
  </w:style>
  <w:style w:type="paragraph" w:styleId="BodyText">
    <w:name w:val="Body Text"/>
    <w:link w:val="BodyTextChar"/>
    <w:qFormat/>
    <w:rsid w:val="00052544"/>
    <w:pPr>
      <w:spacing w:after="120"/>
    </w:pPr>
    <w:rPr>
      <w:rFonts w:ascii="Calibri" w:eastAsia="Calibri" w:hAnsi="Calibri" w:cs="Calibri"/>
      <w:szCs w:val="20"/>
    </w:rPr>
  </w:style>
  <w:style w:type="character" w:customStyle="1" w:styleId="BodyTextChar">
    <w:name w:val="Body Text Char"/>
    <w:basedOn w:val="DefaultParagraphFont"/>
    <w:link w:val="BodyText"/>
    <w:rsid w:val="00052544"/>
    <w:rPr>
      <w:rFonts w:ascii="Calibri" w:eastAsia="Calibri" w:hAnsi="Calibri" w:cs="Calibri"/>
      <w:szCs w:val="20"/>
    </w:rPr>
  </w:style>
  <w:style w:type="character" w:customStyle="1" w:styleId="TableH1Char">
    <w:name w:val="Table H1 Char"/>
    <w:basedOn w:val="DefaultParagraphFont"/>
    <w:link w:val="TableH1"/>
    <w:uiPriority w:val="4"/>
    <w:locked/>
    <w:rsid w:val="002B4B35"/>
    <w:rPr>
      <w:rFonts w:ascii="Calibri" w:eastAsia="Calibri" w:hAnsi="Calibri" w:cs="Calibri"/>
      <w:color w:val="FFFFFF"/>
      <w:szCs w:val="16"/>
    </w:rPr>
  </w:style>
  <w:style w:type="paragraph" w:customStyle="1" w:styleId="Tablefignotes">
    <w:name w:val="Tablefignotes"/>
    <w:basedOn w:val="TableH1"/>
    <w:qFormat/>
    <w:rsid w:val="00052544"/>
    <w:pPr>
      <w:spacing w:after="120"/>
    </w:pPr>
    <w:rPr>
      <w:sz w:val="16"/>
    </w:rPr>
  </w:style>
  <w:style w:type="paragraph" w:customStyle="1" w:styleId="Tabletext9pt">
    <w:name w:val="Table text 9pt"/>
    <w:basedOn w:val="Normal"/>
    <w:link w:val="Tabletext9ptChar"/>
    <w:qFormat/>
    <w:rsid w:val="00052544"/>
    <w:pPr>
      <w:tabs>
        <w:tab w:val="left" w:pos="147"/>
      </w:tabs>
      <w:spacing w:before="60" w:after="20"/>
    </w:pPr>
    <w:rPr>
      <w:rFonts w:cstheme="minorHAnsi"/>
      <w:sz w:val="18"/>
      <w:szCs w:val="18"/>
    </w:rPr>
  </w:style>
  <w:style w:type="character" w:customStyle="1" w:styleId="Tabletext9ptChar">
    <w:name w:val="Table text 9pt Char"/>
    <w:basedOn w:val="TableH1Char"/>
    <w:link w:val="Tabletext9pt"/>
    <w:rsid w:val="00052544"/>
    <w:rPr>
      <w:rFonts w:ascii="Calibri" w:eastAsia="Dotum" w:hAnsi="Calibri" w:cstheme="minorHAnsi"/>
      <w:color w:val="FFFFFF"/>
      <w:sz w:val="18"/>
      <w:szCs w:val="18"/>
    </w:rPr>
  </w:style>
  <w:style w:type="paragraph" w:customStyle="1" w:styleId="TableH2">
    <w:name w:val="Table H2"/>
    <w:basedOn w:val="TableH1"/>
    <w:link w:val="TableH2Char"/>
    <w:qFormat/>
    <w:rsid w:val="002B4B35"/>
    <w:pPr>
      <w:keepNext w:val="0"/>
      <w:spacing w:before="40" w:after="40"/>
    </w:pPr>
    <w:rPr>
      <w:rFonts w:asciiTheme="minorHAnsi" w:hAnsiTheme="minorHAnsi" w:cstheme="minorHAnsi"/>
      <w:b/>
      <w:noProof/>
      <w:color w:val="auto"/>
      <w:szCs w:val="20"/>
    </w:rPr>
  </w:style>
  <w:style w:type="character" w:styleId="Hyperlink">
    <w:name w:val="Hyperlink"/>
    <w:uiPriority w:val="99"/>
    <w:unhideWhenUsed/>
    <w:rsid w:val="00312704"/>
    <w:rPr>
      <w:strike w:val="0"/>
      <w:dstrike w:val="0"/>
      <w:color w:val="004276"/>
      <w:u w:val="none"/>
      <w:effect w:val="none"/>
    </w:rPr>
  </w:style>
  <w:style w:type="character" w:customStyle="1" w:styleId="TableH2Char">
    <w:name w:val="Table H2 Char"/>
    <w:basedOn w:val="TableH1Char"/>
    <w:link w:val="TableH2"/>
    <w:rsid w:val="002B4B35"/>
    <w:rPr>
      <w:rFonts w:ascii="Calibri" w:eastAsia="Calibri" w:hAnsi="Calibri" w:cstheme="minorHAnsi"/>
      <w:b/>
      <w:noProof/>
      <w:color w:val="FFFFFF"/>
      <w:szCs w:val="20"/>
    </w:rPr>
  </w:style>
  <w:style w:type="paragraph" w:customStyle="1" w:styleId="EndNoteBibliography">
    <w:name w:val="EndNote Bibliography"/>
    <w:basedOn w:val="Normal"/>
    <w:link w:val="EndNoteBibliographyChar"/>
    <w:rsid w:val="00312704"/>
    <w:rPr>
      <w:noProof/>
      <w:szCs w:val="20"/>
      <w:lang w:val="en-US"/>
    </w:rPr>
  </w:style>
  <w:style w:type="character" w:customStyle="1" w:styleId="EndNoteBibliographyChar">
    <w:name w:val="EndNote Bibliography Char"/>
    <w:basedOn w:val="BodyTextChar"/>
    <w:link w:val="EndNoteBibliography"/>
    <w:rsid w:val="00312704"/>
    <w:rPr>
      <w:rFonts w:ascii="Calibri" w:eastAsia="Dotum" w:hAnsi="Calibri" w:cs="Calibri"/>
      <w:noProof/>
      <w:szCs w:val="20"/>
      <w:lang w:val="en-US"/>
    </w:rPr>
  </w:style>
  <w:style w:type="character" w:styleId="FollowedHyperlink">
    <w:name w:val="FollowedHyperlink"/>
    <w:basedOn w:val="DefaultParagraphFont"/>
    <w:uiPriority w:val="99"/>
    <w:semiHidden/>
    <w:unhideWhenUsed/>
    <w:rsid w:val="00312704"/>
    <w:rPr>
      <w:color w:val="800080" w:themeColor="followedHyperlink"/>
      <w:u w:val="single"/>
    </w:rPr>
  </w:style>
  <w:style w:type="paragraph" w:styleId="BalloonText">
    <w:name w:val="Balloon Text"/>
    <w:basedOn w:val="Normal"/>
    <w:link w:val="BalloonTextChar"/>
    <w:uiPriority w:val="99"/>
    <w:semiHidden/>
    <w:unhideWhenUsed/>
    <w:rsid w:val="00FE22D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2D2"/>
    <w:rPr>
      <w:rFonts w:ascii="Segoe UI" w:eastAsia="Dotum" w:hAnsi="Segoe UI" w:cs="Segoe UI"/>
      <w:sz w:val="18"/>
      <w:szCs w:val="18"/>
    </w:rPr>
  </w:style>
  <w:style w:type="paragraph" w:customStyle="1" w:styleId="Tabletext">
    <w:name w:val="Table text"/>
    <w:basedOn w:val="BodyText"/>
    <w:link w:val="TabletextChar"/>
    <w:uiPriority w:val="4"/>
    <w:qFormat/>
    <w:rsid w:val="00A5685C"/>
    <w:pPr>
      <w:keepNext/>
      <w:spacing w:before="20" w:after="20" w:line="240" w:lineRule="auto"/>
      <w:ind w:left="57" w:right="57"/>
    </w:pPr>
    <w:rPr>
      <w:sz w:val="20"/>
      <w:szCs w:val="16"/>
    </w:rPr>
  </w:style>
  <w:style w:type="paragraph" w:customStyle="1" w:styleId="Tablebullet">
    <w:name w:val="Table bullet"/>
    <w:uiPriority w:val="4"/>
    <w:rsid w:val="00A5685C"/>
    <w:pPr>
      <w:numPr>
        <w:numId w:val="8"/>
      </w:numPr>
      <w:spacing w:before="40" w:after="60" w:line="240" w:lineRule="auto"/>
    </w:pPr>
    <w:rPr>
      <w:rFonts w:ascii="Calibri" w:eastAsia="Times New Roman" w:hAnsi="Calibri" w:cs="Calibri"/>
      <w:bCs/>
      <w:noProof/>
      <w:color w:val="000000"/>
      <w:sz w:val="20"/>
      <w:szCs w:val="20"/>
    </w:rPr>
  </w:style>
  <w:style w:type="paragraph" w:customStyle="1" w:styleId="TableFigNotes18">
    <w:name w:val="TableFigNotes+18"/>
    <w:basedOn w:val="Normal"/>
    <w:next w:val="BodyText"/>
    <w:link w:val="TableFigNotes18Char"/>
    <w:uiPriority w:val="4"/>
    <w:qFormat/>
    <w:rsid w:val="00A5685C"/>
    <w:pPr>
      <w:spacing w:after="360"/>
      <w:ind w:left="284" w:hanging="284"/>
      <w:contextualSpacing/>
    </w:pPr>
    <w:rPr>
      <w:sz w:val="16"/>
    </w:rPr>
  </w:style>
  <w:style w:type="character" w:customStyle="1" w:styleId="TabletextChar">
    <w:name w:val="Table text Char"/>
    <w:basedOn w:val="DefaultParagraphFont"/>
    <w:link w:val="Tabletext"/>
    <w:uiPriority w:val="4"/>
    <w:locked/>
    <w:rsid w:val="00A5685C"/>
    <w:rPr>
      <w:rFonts w:ascii="Calibri" w:eastAsia="Calibri" w:hAnsi="Calibri" w:cs="Calibri"/>
      <w:sz w:val="20"/>
      <w:szCs w:val="16"/>
    </w:rPr>
  </w:style>
  <w:style w:type="character" w:customStyle="1" w:styleId="TableFigNotes18Char">
    <w:name w:val="TableFigNotes+18 Char"/>
    <w:basedOn w:val="DefaultParagraphFont"/>
    <w:link w:val="TableFigNotes18"/>
    <w:uiPriority w:val="4"/>
    <w:locked/>
    <w:rsid w:val="00A5685C"/>
    <w:rPr>
      <w:rFonts w:ascii="Calibri" w:eastAsia="Dotum" w:hAnsi="Calibri" w:cs="Calibri"/>
      <w:sz w:val="16"/>
    </w:rPr>
  </w:style>
  <w:style w:type="character" w:styleId="HTMLCite">
    <w:name w:val="HTML Cite"/>
    <w:basedOn w:val="DefaultParagraphFont"/>
    <w:uiPriority w:val="99"/>
    <w:semiHidden/>
    <w:unhideWhenUsed/>
    <w:rsid w:val="00936A99"/>
    <w:rPr>
      <w:i/>
      <w:iCs/>
    </w:rPr>
  </w:style>
  <w:style w:type="table" w:customStyle="1" w:styleId="HTAtableplain1">
    <w:name w:val="HTAtableplain1"/>
    <w:basedOn w:val="TableNormal"/>
    <w:uiPriority w:val="59"/>
    <w:rsid w:val="00BB618F"/>
    <w:pPr>
      <w:spacing w:after="0" w:line="240" w:lineRule="auto"/>
    </w:pPr>
    <w:tblPr>
      <w:tblBorders>
        <w:top w:val="single" w:sz="2" w:space="0" w:color="336A89"/>
        <w:left w:val="single" w:sz="2" w:space="0" w:color="336A89"/>
        <w:bottom w:val="single" w:sz="2" w:space="0" w:color="336A89"/>
        <w:right w:val="single" w:sz="2" w:space="0" w:color="336A89"/>
        <w:insideH w:val="single" w:sz="2" w:space="0" w:color="336A89"/>
        <w:insideV w:val="single" w:sz="2" w:space="0" w:color="336A89"/>
      </w:tblBorders>
      <w:tblCellMar>
        <w:left w:w="57" w:type="dxa"/>
        <w:right w:w="57" w:type="dxa"/>
      </w:tblCellMar>
    </w:tblPr>
    <w:tblStylePr w:type="firstRow">
      <w:rPr>
        <w:b/>
        <w:color w:val="FFFFFF" w:themeColor="background1"/>
      </w:rPr>
      <w:tblPr/>
      <w:tcPr>
        <w:shd w:val="clear" w:color="auto" w:fill="336A89"/>
      </w:tcPr>
    </w:tblStylePr>
    <w:tblStylePr w:type="lastCol">
      <w:pPr>
        <w:jc w:val="center"/>
      </w:pPr>
    </w:tblStylePr>
  </w:style>
  <w:style w:type="paragraph" w:styleId="CommentText">
    <w:name w:val="annotation text"/>
    <w:basedOn w:val="Normal"/>
    <w:link w:val="CommentTextChar"/>
    <w:uiPriority w:val="99"/>
    <w:unhideWhenUsed/>
    <w:rsid w:val="002E1424"/>
    <w:rPr>
      <w:sz w:val="20"/>
      <w:szCs w:val="20"/>
    </w:rPr>
  </w:style>
  <w:style w:type="character" w:customStyle="1" w:styleId="CommentTextChar">
    <w:name w:val="Comment Text Char"/>
    <w:basedOn w:val="DefaultParagraphFont"/>
    <w:link w:val="CommentText"/>
    <w:uiPriority w:val="99"/>
    <w:rsid w:val="002E1424"/>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2E1424"/>
    <w:rPr>
      <w:b/>
      <w:bCs/>
    </w:rPr>
  </w:style>
  <w:style w:type="character" w:customStyle="1" w:styleId="CommentSubjectChar">
    <w:name w:val="Comment Subject Char"/>
    <w:basedOn w:val="CommentTextChar"/>
    <w:link w:val="CommentSubject"/>
    <w:uiPriority w:val="99"/>
    <w:semiHidden/>
    <w:rsid w:val="002E1424"/>
    <w:rPr>
      <w:rFonts w:ascii="Calibri" w:eastAsia="Dotum" w:hAnsi="Calibri" w:cs="Calibri"/>
      <w:b/>
      <w:bCs/>
      <w:sz w:val="20"/>
      <w:szCs w:val="20"/>
    </w:rPr>
  </w:style>
  <w:style w:type="character" w:styleId="UnresolvedMention">
    <w:name w:val="Unresolved Mention"/>
    <w:basedOn w:val="DefaultParagraphFont"/>
    <w:uiPriority w:val="99"/>
    <w:semiHidden/>
    <w:unhideWhenUsed/>
    <w:rsid w:val="00CB5705"/>
    <w:rPr>
      <w:color w:val="605E5C"/>
      <w:shd w:val="clear" w:color="auto" w:fill="E1DFDD"/>
    </w:rPr>
  </w:style>
  <w:style w:type="paragraph" w:styleId="Revision">
    <w:name w:val="Revision"/>
    <w:hidden/>
    <w:uiPriority w:val="99"/>
    <w:semiHidden/>
    <w:rsid w:val="00C01330"/>
    <w:pPr>
      <w:spacing w:after="0" w:line="240" w:lineRule="auto"/>
    </w:pPr>
    <w:rPr>
      <w:rFonts w:ascii="Calibri" w:eastAsia="Dotum"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618">
      <w:bodyDiv w:val="1"/>
      <w:marLeft w:val="0"/>
      <w:marRight w:val="0"/>
      <w:marTop w:val="0"/>
      <w:marBottom w:val="0"/>
      <w:divBdr>
        <w:top w:val="none" w:sz="0" w:space="0" w:color="auto"/>
        <w:left w:val="none" w:sz="0" w:space="0" w:color="auto"/>
        <w:bottom w:val="none" w:sz="0" w:space="0" w:color="auto"/>
        <w:right w:val="none" w:sz="0" w:space="0" w:color="auto"/>
      </w:divBdr>
    </w:div>
    <w:div w:id="715856873">
      <w:bodyDiv w:val="1"/>
      <w:marLeft w:val="0"/>
      <w:marRight w:val="0"/>
      <w:marTop w:val="0"/>
      <w:marBottom w:val="0"/>
      <w:divBdr>
        <w:top w:val="none" w:sz="0" w:space="0" w:color="auto"/>
        <w:left w:val="none" w:sz="0" w:space="0" w:color="auto"/>
        <w:bottom w:val="none" w:sz="0" w:space="0" w:color="auto"/>
        <w:right w:val="none" w:sz="0" w:space="0" w:color="auto"/>
      </w:divBdr>
    </w:div>
    <w:div w:id="784350746">
      <w:bodyDiv w:val="1"/>
      <w:marLeft w:val="0"/>
      <w:marRight w:val="0"/>
      <w:marTop w:val="0"/>
      <w:marBottom w:val="0"/>
      <w:divBdr>
        <w:top w:val="none" w:sz="0" w:space="0" w:color="auto"/>
        <w:left w:val="none" w:sz="0" w:space="0" w:color="auto"/>
        <w:bottom w:val="none" w:sz="0" w:space="0" w:color="auto"/>
        <w:right w:val="none" w:sz="0" w:space="0" w:color="auto"/>
      </w:divBdr>
    </w:div>
    <w:div w:id="1043794524">
      <w:bodyDiv w:val="1"/>
      <w:marLeft w:val="0"/>
      <w:marRight w:val="0"/>
      <w:marTop w:val="0"/>
      <w:marBottom w:val="0"/>
      <w:divBdr>
        <w:top w:val="none" w:sz="0" w:space="0" w:color="auto"/>
        <w:left w:val="none" w:sz="0" w:space="0" w:color="auto"/>
        <w:bottom w:val="none" w:sz="0" w:space="0" w:color="auto"/>
        <w:right w:val="none" w:sz="0" w:space="0" w:color="auto"/>
      </w:divBdr>
    </w:div>
    <w:div w:id="1081177331">
      <w:bodyDiv w:val="1"/>
      <w:marLeft w:val="0"/>
      <w:marRight w:val="0"/>
      <w:marTop w:val="0"/>
      <w:marBottom w:val="0"/>
      <w:divBdr>
        <w:top w:val="none" w:sz="0" w:space="0" w:color="auto"/>
        <w:left w:val="none" w:sz="0" w:space="0" w:color="auto"/>
        <w:bottom w:val="none" w:sz="0" w:space="0" w:color="auto"/>
        <w:right w:val="none" w:sz="0" w:space="0" w:color="auto"/>
      </w:divBdr>
    </w:div>
    <w:div w:id="1658608369">
      <w:bodyDiv w:val="1"/>
      <w:marLeft w:val="0"/>
      <w:marRight w:val="0"/>
      <w:marTop w:val="0"/>
      <w:marBottom w:val="0"/>
      <w:divBdr>
        <w:top w:val="none" w:sz="0" w:space="0" w:color="auto"/>
        <w:left w:val="none" w:sz="0" w:space="0" w:color="auto"/>
        <w:bottom w:val="none" w:sz="0" w:space="0" w:color="auto"/>
        <w:right w:val="none" w:sz="0" w:space="0" w:color="auto"/>
      </w:divBdr>
    </w:div>
    <w:div w:id="170945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hyperlink" Target="https://b-s-h.org.uk/media/15705/transfusion-austin-the-estimation-of-fetomaternal-haemorrhage.pdf" TargetMode="External"/><Relationship Id="rId3" Type="http://schemas.openxmlformats.org/officeDocument/2006/relationships/styles" Target="styles.xml"/><Relationship Id="rId21" Type="http://schemas.openxmlformats.org/officeDocument/2006/relationships/hyperlink" Target="https://www.nice.org.uk/guidance/ng14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Microsoft_Visio_Drawing.vsdx"/><Relationship Id="rId25" Type="http://schemas.openxmlformats.org/officeDocument/2006/relationships/hyperlink" Target="https://doi.org/10.1136/emj.18.6.444"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ranzcog.edu.au/RANZCOG_SITE/media/RANZCOG-MEDIA/Women%27s%20Health/Statement%20and%20guidelines/Clinical-Obstetrics/Routine-antenatal-assessment-in-the-absence-of-pregnancy-complications-(C-Obs-3b)_2.pdf?ex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046/j.1365-3148.1999.009001093.x"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1016/j.contraception.2022.07.002" TargetMode="External"/><Relationship Id="rId28" Type="http://schemas.openxmlformats.org/officeDocument/2006/relationships/fontTable" Target="fontTable.xml"/><Relationship Id="rId10" Type="http://schemas.openxmlformats.org/officeDocument/2006/relationships/hyperlink" Target="http://www.nba.gov.au/" TargetMode="External"/><Relationship Id="rId19" Type="http://schemas.openxmlformats.org/officeDocument/2006/relationships/package" Target="embeddings/Microsoft_Visio_Drawing1.vsdx"/><Relationship Id="rId4" Type="http://schemas.openxmlformats.org/officeDocument/2006/relationships/settings" Target="settings.xml"/><Relationship Id="rId9" Type="http://schemas.openxmlformats.org/officeDocument/2006/relationships/hyperlink" Target="http://www.nba.gov.au/" TargetMode="External"/><Relationship Id="rId14" Type="http://schemas.openxmlformats.org/officeDocument/2006/relationships/header" Target="header2.xml"/><Relationship Id="rId22" Type="http://schemas.openxmlformats.org/officeDocument/2006/relationships/hyperlink" Target="https://doi.org/10.1016/j.contraception.2019.02.008" TargetMode="External"/><Relationship Id="rId27" Type="http://schemas.openxmlformats.org/officeDocument/2006/relationships/hyperlink" Target="https://doi.org/10.1111/tme.12091"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blood.gov.au/anti-d-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61C85-1019-442F-8621-9B401F18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4072</Words>
  <Characters>24028</Characters>
  <Application>Microsoft Office Word</Application>
  <DocSecurity>0</DocSecurity>
  <Lines>471</Lines>
  <Paragraphs>302</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27798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Cassoni, Donna</dc:creator>
  <cp:keywords/>
  <dc:description/>
  <cp:lastModifiedBy>Tran, Alice</cp:lastModifiedBy>
  <cp:revision>2</cp:revision>
  <cp:lastPrinted>2020-08-26T05:44:00Z</cp:lastPrinted>
  <dcterms:created xsi:type="dcterms:W3CDTF">2024-03-05T23:23:00Z</dcterms:created>
  <dcterms:modified xsi:type="dcterms:W3CDTF">2024-03-05T23:23:00Z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2023-02-17T05:52:47Z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5d77cca6-3bfe-4de2-902f-423308357527</vt:lpwstr>
  </property>
  <property fmtid="{D5CDD505-2E9C-101B-9397-08002B2CF9AE}" pid="11" name="MSIP_Label_11d3a1ea-a727-4720-a216-7dae13a61c56_ContentBits">
    <vt:lpwstr>1</vt:lpwstr>
  </property>
</Properties>
</file>