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AF" w:rsidRDefault="00D229AF" w:rsidP="00D229AF">
      <w:pPr>
        <w:widowControl w:val="0"/>
        <w:spacing w:after="240" w:line="580" w:lineRule="exact"/>
        <w:ind w:right="6"/>
        <w:outlineLvl w:val="0"/>
        <w:rPr>
          <w:rFonts w:eastAsia="HYGothic-Extra"/>
          <w:color w:val="1E1E1E"/>
          <w:spacing w:val="-20"/>
          <w:sz w:val="56"/>
          <w:szCs w:val="56"/>
        </w:rPr>
      </w:pPr>
      <w:bookmarkStart w:id="0" w:name="_Toc364243335"/>
      <w:bookmarkStart w:id="1" w:name="_GoBack"/>
      <w:bookmarkEnd w:id="1"/>
      <w:r w:rsidRPr="00D229AF">
        <w:rPr>
          <w:rFonts w:eastAsia="HYGothic-Extra"/>
          <w:color w:val="1E1E1E"/>
          <w:spacing w:val="-20"/>
          <w:sz w:val="56"/>
          <w:szCs w:val="56"/>
        </w:rPr>
        <w:t>Appendix 1: Transfer Establishment and Review Checklist</w:t>
      </w:r>
      <w:bookmarkEnd w:id="0"/>
    </w:p>
    <w:p w:rsidR="00D229AF" w:rsidRPr="00D229AF" w:rsidRDefault="00D229AF" w:rsidP="00D229AF">
      <w:pPr>
        <w:widowControl w:val="0"/>
        <w:spacing w:after="240" w:line="580" w:lineRule="exact"/>
        <w:ind w:right="6"/>
        <w:outlineLvl w:val="0"/>
        <w:rPr>
          <w:rFonts w:eastAsia="HYGothic-Extra"/>
          <w:color w:val="1E1E1E"/>
          <w:spacing w:val="-20"/>
          <w:sz w:val="56"/>
          <w:szCs w:val="56"/>
        </w:rPr>
      </w:pPr>
    </w:p>
    <w:tbl>
      <w:tblPr>
        <w:tblStyle w:val="TableGrid1"/>
        <w:tblW w:w="0" w:type="auto"/>
        <w:tblBorders>
          <w:top w:val="dotted" w:sz="18" w:space="0" w:color="FFFFFF" w:themeColor="background1"/>
          <w:left w:val="dotted" w:sz="18" w:space="0" w:color="FFFFFF" w:themeColor="background1"/>
          <w:bottom w:val="dotted" w:sz="18" w:space="0" w:color="FFFFFF" w:themeColor="background1"/>
          <w:right w:val="dotted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36"/>
        <w:gridCol w:w="1313"/>
      </w:tblGrid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C00000"/>
          </w:tcPr>
          <w:p w:rsidR="00D229AF" w:rsidRPr="00BF446A" w:rsidRDefault="00D229AF" w:rsidP="00BF446A">
            <w:pPr>
              <w:spacing w:before="120" w:after="120"/>
              <w:ind w:left="357"/>
              <w:rPr>
                <w:b/>
                <w:color w:val="FFFFFF" w:themeColor="background1"/>
              </w:rPr>
            </w:pPr>
            <w:r w:rsidRPr="00BF446A">
              <w:rPr>
                <w:b/>
                <w:color w:val="FFFFFF" w:themeColor="background1"/>
                <w:sz w:val="28"/>
              </w:rPr>
              <w:t>Procedure</w:t>
            </w:r>
          </w:p>
        </w:tc>
        <w:tc>
          <w:tcPr>
            <w:tcW w:w="1219" w:type="dxa"/>
            <w:shd w:val="clear" w:color="auto" w:fill="C00000"/>
          </w:tcPr>
          <w:p w:rsidR="00D229AF" w:rsidRPr="00BF446A" w:rsidRDefault="00D229AF" w:rsidP="00BF446A">
            <w:pPr>
              <w:spacing w:before="120" w:after="120"/>
              <w:rPr>
                <w:color w:val="FFFFFF" w:themeColor="background1"/>
              </w:rPr>
            </w:pPr>
            <w:r w:rsidRPr="00BF446A">
              <w:rPr>
                <w:b/>
                <w:color w:val="FFFFFF" w:themeColor="background1"/>
                <w:sz w:val="28"/>
              </w:rPr>
              <w:t>Attended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Identify sites you could transfer to/from.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Review what blood and blood product you could transfer in/out.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Review courier or transport possibilities.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Contact potential participating sites to gauge interest.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Set up initial meeting with managers and scientists in charge to discuss transferring options.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Go through the MOU to make it specific for your situation.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Agree to storage, transport, package, documentation and training requirements.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Outline acceptable days until expiry that units should be identified for transfer.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Sign off on agreed MOU.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Educate staff on arrangements.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Set start date for transfer arrangement to commence.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Set date to meet and review transfer arrangement.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D229AF" w:rsidRPr="00D229AF" w:rsidTr="00BF446A">
        <w:trPr>
          <w:trHeight w:val="591"/>
        </w:trPr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D229AF" w:rsidRPr="00BF446A" w:rsidRDefault="00D229AF" w:rsidP="00BF446A">
            <w:pPr>
              <w:numPr>
                <w:ilvl w:val="0"/>
                <w:numId w:val="6"/>
              </w:numPr>
              <w:spacing w:before="120" w:after="120"/>
              <w:rPr>
                <w:sz w:val="22"/>
              </w:rPr>
            </w:pPr>
            <w:r w:rsidRPr="00BF446A">
              <w:rPr>
                <w:sz w:val="22"/>
              </w:rPr>
              <w:t>Review MOU arrangement to ensure working for all health providers involved.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D229AF" w:rsidRPr="00BF446A" w:rsidRDefault="00D229AF" w:rsidP="00BF446A">
            <w:pPr>
              <w:spacing w:before="120" w:after="120"/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</w:tbl>
    <w:p w:rsidR="00B3726E" w:rsidRPr="009E38CC" w:rsidRDefault="00B3726E" w:rsidP="00D229AF">
      <w:pPr>
        <w:spacing w:after="0"/>
      </w:pPr>
    </w:p>
    <w:sectPr w:rsidR="00B3726E" w:rsidRPr="009E38CC" w:rsidSect="00856708">
      <w:footerReference w:type="default" r:id="rId8"/>
      <w:footerReference w:type="firs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46" w:rsidRDefault="00954846" w:rsidP="00856708">
      <w:pPr>
        <w:spacing w:after="0"/>
      </w:pPr>
      <w:r>
        <w:separator/>
      </w:r>
    </w:p>
  </w:endnote>
  <w:endnote w:type="continuationSeparator" w:id="0">
    <w:p w:rsidR="00954846" w:rsidRDefault="0095484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D229AF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  <w:p w:rsidR="004739C9" w:rsidRDefault="004739C9"/>
  <w:p w:rsidR="004739C9" w:rsidRDefault="004739C9"/>
  <w:p w:rsidR="004739C9" w:rsidRDefault="004739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F" w:rsidRDefault="00D229AF">
    <w:pPr>
      <w:pStyle w:val="Footer"/>
    </w:pPr>
    <w:r>
      <w:t>National Blood Authority 2014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46" w:rsidRDefault="00954846" w:rsidP="00856708">
      <w:pPr>
        <w:spacing w:after="0"/>
      </w:pPr>
      <w:r>
        <w:separator/>
      </w:r>
    </w:p>
  </w:footnote>
  <w:footnote w:type="continuationSeparator" w:id="0">
    <w:p w:rsidR="00954846" w:rsidRDefault="00954846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900"/>
    <w:multiLevelType w:val="hybridMultilevel"/>
    <w:tmpl w:val="0330C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AF"/>
    <w:rsid w:val="00036EDC"/>
    <w:rsid w:val="002537F2"/>
    <w:rsid w:val="00295CD3"/>
    <w:rsid w:val="003D27F1"/>
    <w:rsid w:val="004739C9"/>
    <w:rsid w:val="004C5721"/>
    <w:rsid w:val="004D4636"/>
    <w:rsid w:val="00540020"/>
    <w:rsid w:val="00856708"/>
    <w:rsid w:val="00893E0A"/>
    <w:rsid w:val="00951B85"/>
    <w:rsid w:val="00954846"/>
    <w:rsid w:val="009E38CC"/>
    <w:rsid w:val="00B3726E"/>
    <w:rsid w:val="00BF446A"/>
    <w:rsid w:val="00D229AF"/>
    <w:rsid w:val="00D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6138D227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Lyndsay</dc:creator>
  <cp:lastModifiedBy>Wall, Lyndsay</cp:lastModifiedBy>
  <cp:revision>2</cp:revision>
  <dcterms:created xsi:type="dcterms:W3CDTF">2014-03-03T04:47:00Z</dcterms:created>
  <dcterms:modified xsi:type="dcterms:W3CDTF">2014-03-03T04:47:00Z</dcterms:modified>
</cp:coreProperties>
</file>