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2B" w:rsidRDefault="007024D9" w:rsidP="006155AE">
      <w:pPr>
        <w:pStyle w:val="Heading1"/>
      </w:pPr>
      <w:r>
        <w:t>Considerations and guidance for i</w:t>
      </w:r>
      <w:r w:rsidR="002F7AE6">
        <w:t>mplementation</w:t>
      </w:r>
      <w:r w:rsidR="007B4797">
        <w:t xml:space="preserve"> of single unit transfusion</w:t>
      </w:r>
      <w:r w:rsidR="002F7AE6">
        <w:t xml:space="preserve"> </w:t>
      </w:r>
    </w:p>
    <w:p w:rsidR="006155AE" w:rsidRPr="006155AE" w:rsidRDefault="006155AE" w:rsidP="00782C7C">
      <w:pPr>
        <w:pStyle w:val="Heading3"/>
      </w:pPr>
      <w:r>
        <w:t>Supporting material for</w:t>
      </w:r>
      <w:r w:rsidRPr="006155AE">
        <w:t xml:space="preserve"> key champions within hospitals </w:t>
      </w:r>
      <w:r>
        <w:t>to</w:t>
      </w:r>
      <w:r w:rsidRPr="006155AE">
        <w:t xml:space="preserve"> present to relevant hospital governance committees seeking agreement to </w:t>
      </w:r>
      <w:r w:rsidR="00966209">
        <w:t xml:space="preserve">a single unit transfusion </w:t>
      </w:r>
      <w:r w:rsidR="0087272B">
        <w:t>guideline</w:t>
      </w:r>
      <w:r>
        <w:t xml:space="preserve"> and its implementation</w:t>
      </w:r>
    </w:p>
    <w:p w:rsidR="009D685C" w:rsidRDefault="006155AE" w:rsidP="00825E1A">
      <w:pPr>
        <w:spacing w:after="120" w:line="276" w:lineRule="auto"/>
        <w:rPr>
          <w:rFonts w:ascii="Arial" w:eastAsiaTheme="minorHAnsi" w:hAnsi="Arial" w:cs="Arial"/>
        </w:rPr>
      </w:pPr>
      <w:r w:rsidRPr="006155AE">
        <w:rPr>
          <w:rStyle w:val="Heading4Char"/>
        </w:rPr>
        <w:t>Key Champions</w:t>
      </w:r>
      <w:r w:rsidR="009D685C">
        <w:rPr>
          <w:rFonts w:ascii="Arial" w:eastAsiaTheme="minorHAnsi" w:hAnsi="Arial" w:cs="Arial"/>
        </w:rPr>
        <w:t xml:space="preserve"> </w:t>
      </w:r>
    </w:p>
    <w:p w:rsidR="001C1298" w:rsidRPr="001C1298" w:rsidRDefault="001C1298" w:rsidP="00825E1A">
      <w:pPr>
        <w:spacing w:after="120" w:line="276" w:lineRule="auto"/>
        <w:rPr>
          <w:rFonts w:asciiTheme="minorHAnsi" w:eastAsiaTheme="minorHAnsi" w:hAnsiTheme="minorHAnsi" w:cstheme="minorHAnsi"/>
        </w:rPr>
      </w:pPr>
      <w:r w:rsidRPr="001C1298">
        <w:rPr>
          <w:rFonts w:asciiTheme="minorHAnsi" w:eastAsiaTheme="minorHAnsi" w:hAnsiTheme="minorHAnsi" w:cstheme="minorHAnsi"/>
        </w:rPr>
        <w:t>Director Medical Service/Clinical Operations, Director of Nursing, Director Clinical Governance, Patient Safety/Quality Managers, Blood Management Medical and Nursing staff</w:t>
      </w:r>
    </w:p>
    <w:p w:rsidR="001C1298" w:rsidRDefault="001C1298" w:rsidP="00825E1A">
      <w:pPr>
        <w:spacing w:after="120" w:line="276" w:lineRule="auto"/>
        <w:rPr>
          <w:rFonts w:asciiTheme="minorHAnsi" w:eastAsiaTheme="minorHAnsi" w:hAnsiTheme="minorHAnsi" w:cstheme="minorHAnsi"/>
        </w:rPr>
      </w:pPr>
      <w:r>
        <w:rPr>
          <w:rFonts w:asciiTheme="minorHAnsi" w:eastAsiaTheme="minorHAnsi" w:hAnsiTheme="minorHAnsi" w:cstheme="minorHAnsi"/>
        </w:rPr>
        <w:t xml:space="preserve">Consider senior medical clinicians from: </w:t>
      </w:r>
      <w:r w:rsidR="006155AE" w:rsidRPr="00756BE4">
        <w:rPr>
          <w:rFonts w:asciiTheme="minorHAnsi" w:eastAsiaTheme="minorHAnsi" w:hAnsiTheme="minorHAnsi" w:cstheme="minorHAnsi"/>
        </w:rPr>
        <w:t>Haematolog</w:t>
      </w:r>
      <w:r>
        <w:rPr>
          <w:rFonts w:asciiTheme="minorHAnsi" w:eastAsiaTheme="minorHAnsi" w:hAnsiTheme="minorHAnsi" w:cstheme="minorHAnsi"/>
        </w:rPr>
        <w:t>y</w:t>
      </w:r>
      <w:r w:rsidR="006155AE" w:rsidRPr="00756BE4">
        <w:rPr>
          <w:rFonts w:asciiTheme="minorHAnsi" w:eastAsiaTheme="minorHAnsi" w:hAnsiTheme="minorHAnsi" w:cstheme="minorHAnsi"/>
        </w:rPr>
        <w:t>, Anaestheti</w:t>
      </w:r>
      <w:r>
        <w:rPr>
          <w:rFonts w:asciiTheme="minorHAnsi" w:eastAsiaTheme="minorHAnsi" w:hAnsiTheme="minorHAnsi" w:cstheme="minorHAnsi"/>
        </w:rPr>
        <w:t>cs</w:t>
      </w:r>
      <w:r w:rsidR="006155AE" w:rsidRPr="00756BE4">
        <w:rPr>
          <w:rFonts w:asciiTheme="minorHAnsi" w:eastAsiaTheme="minorHAnsi" w:hAnsiTheme="minorHAnsi" w:cstheme="minorHAnsi"/>
        </w:rPr>
        <w:t>, Surge</w:t>
      </w:r>
      <w:r>
        <w:rPr>
          <w:rFonts w:asciiTheme="minorHAnsi" w:eastAsiaTheme="minorHAnsi" w:hAnsiTheme="minorHAnsi" w:cstheme="minorHAnsi"/>
        </w:rPr>
        <w:t>ry</w:t>
      </w:r>
      <w:r w:rsidR="006155AE" w:rsidRPr="00756BE4">
        <w:rPr>
          <w:rFonts w:asciiTheme="minorHAnsi" w:eastAsiaTheme="minorHAnsi" w:hAnsiTheme="minorHAnsi" w:cstheme="minorHAnsi"/>
        </w:rPr>
        <w:t xml:space="preserve">, Renal, </w:t>
      </w:r>
      <w:r w:rsidRPr="00756BE4">
        <w:rPr>
          <w:rFonts w:asciiTheme="minorHAnsi" w:eastAsiaTheme="minorHAnsi" w:hAnsiTheme="minorHAnsi" w:cstheme="minorHAnsi"/>
        </w:rPr>
        <w:t>Oncolog</w:t>
      </w:r>
      <w:r>
        <w:rPr>
          <w:rFonts w:asciiTheme="minorHAnsi" w:eastAsiaTheme="minorHAnsi" w:hAnsiTheme="minorHAnsi" w:cstheme="minorHAnsi"/>
        </w:rPr>
        <w:t>y</w:t>
      </w:r>
      <w:r w:rsidR="006155AE" w:rsidRPr="00756BE4">
        <w:rPr>
          <w:rFonts w:asciiTheme="minorHAnsi" w:eastAsiaTheme="minorHAnsi" w:hAnsiTheme="minorHAnsi" w:cstheme="minorHAnsi"/>
        </w:rPr>
        <w:t xml:space="preserve">, </w:t>
      </w:r>
      <w:r w:rsidRPr="00756BE4">
        <w:rPr>
          <w:rFonts w:asciiTheme="minorHAnsi" w:eastAsiaTheme="minorHAnsi" w:hAnsiTheme="minorHAnsi" w:cstheme="minorHAnsi"/>
        </w:rPr>
        <w:t>Intensiv</w:t>
      </w:r>
      <w:r>
        <w:rPr>
          <w:rFonts w:asciiTheme="minorHAnsi" w:eastAsiaTheme="minorHAnsi" w:hAnsiTheme="minorHAnsi" w:cstheme="minorHAnsi"/>
        </w:rPr>
        <w:t>e care</w:t>
      </w:r>
      <w:r w:rsidR="00966209">
        <w:rPr>
          <w:rFonts w:asciiTheme="minorHAnsi" w:eastAsiaTheme="minorHAnsi" w:hAnsiTheme="minorHAnsi" w:cstheme="minorHAnsi"/>
        </w:rPr>
        <w:t>.</w:t>
      </w:r>
    </w:p>
    <w:p w:rsidR="006155AE" w:rsidRPr="00756BE4" w:rsidRDefault="006155AE" w:rsidP="00825E1A">
      <w:pPr>
        <w:spacing w:after="120" w:line="276" w:lineRule="auto"/>
        <w:rPr>
          <w:rFonts w:asciiTheme="minorHAnsi" w:eastAsiaTheme="minorHAnsi" w:hAnsiTheme="minorHAnsi" w:cstheme="minorHAnsi"/>
        </w:rPr>
      </w:pPr>
      <w:r w:rsidRPr="00756BE4">
        <w:rPr>
          <w:rFonts w:asciiTheme="minorHAnsi" w:eastAsiaTheme="minorHAnsi" w:hAnsiTheme="minorHAnsi" w:cstheme="minorHAnsi"/>
        </w:rPr>
        <w:t>Chair of Transfusion Governance Committee</w:t>
      </w:r>
      <w:r w:rsidR="002B4227">
        <w:rPr>
          <w:rFonts w:asciiTheme="minorHAnsi" w:eastAsiaTheme="minorHAnsi" w:hAnsiTheme="minorHAnsi" w:cstheme="minorHAnsi"/>
        </w:rPr>
        <w:t xml:space="preserve"> / Patient Blood Management Committee</w:t>
      </w:r>
    </w:p>
    <w:p w:rsidR="009D685C" w:rsidRDefault="006155AE" w:rsidP="00825E1A">
      <w:pPr>
        <w:spacing w:after="120" w:line="276" w:lineRule="auto"/>
        <w:rPr>
          <w:rFonts w:ascii="Arial" w:eastAsiaTheme="minorHAnsi" w:hAnsi="Arial" w:cs="Arial"/>
        </w:rPr>
      </w:pPr>
      <w:r w:rsidRPr="009D685C">
        <w:rPr>
          <w:rStyle w:val="Heading4Char"/>
        </w:rPr>
        <w:t>Hospital Governance committees</w:t>
      </w:r>
      <w:r w:rsidRPr="006155AE">
        <w:rPr>
          <w:rFonts w:ascii="Arial" w:eastAsiaTheme="minorHAnsi" w:hAnsi="Arial" w:cs="Arial"/>
        </w:rPr>
        <w:t xml:space="preserve"> </w:t>
      </w:r>
    </w:p>
    <w:p w:rsidR="006155AE" w:rsidRPr="00756BE4" w:rsidRDefault="006155AE" w:rsidP="00825E1A">
      <w:pPr>
        <w:spacing w:after="120" w:line="276" w:lineRule="auto"/>
        <w:rPr>
          <w:rFonts w:asciiTheme="minorHAnsi" w:eastAsiaTheme="minorHAnsi" w:hAnsiTheme="minorHAnsi" w:cstheme="minorHAnsi"/>
        </w:rPr>
      </w:pPr>
      <w:r w:rsidRPr="00756BE4">
        <w:rPr>
          <w:rFonts w:asciiTheme="minorHAnsi" w:eastAsiaTheme="minorHAnsi" w:hAnsiTheme="minorHAnsi" w:cstheme="minorHAnsi"/>
        </w:rPr>
        <w:t>Clinical Governance, Policy and Procedure directors, CEOs, Hospital Boards / Directors / Executive, Quality Systems management</w:t>
      </w:r>
    </w:p>
    <w:p w:rsidR="006155AE" w:rsidRPr="006155AE" w:rsidRDefault="006155AE" w:rsidP="00825E1A">
      <w:pPr>
        <w:pStyle w:val="Heading4"/>
        <w:spacing w:after="120" w:line="276" w:lineRule="auto"/>
      </w:pPr>
      <w:r w:rsidRPr="006155AE">
        <w:t>OUTLINE:</w:t>
      </w:r>
    </w:p>
    <w:p w:rsidR="00320FD2" w:rsidRDefault="00320FD2" w:rsidP="00825E1A">
      <w:pPr>
        <w:numPr>
          <w:ilvl w:val="0"/>
          <w:numId w:val="37"/>
        </w:numPr>
        <w:spacing w:after="120" w:line="276" w:lineRule="auto"/>
        <w:contextualSpacing/>
        <w:rPr>
          <w:rFonts w:asciiTheme="minorHAnsi" w:eastAsiaTheme="minorHAnsi" w:hAnsiTheme="minorHAnsi" w:cstheme="minorHAnsi"/>
        </w:rPr>
      </w:pPr>
      <w:r>
        <w:rPr>
          <w:rFonts w:asciiTheme="minorHAnsi" w:eastAsiaTheme="minorHAnsi" w:hAnsiTheme="minorHAnsi" w:cstheme="minorHAnsi"/>
        </w:rPr>
        <w:t>Introduction</w:t>
      </w:r>
    </w:p>
    <w:p w:rsidR="006155AE" w:rsidRPr="00756BE4" w:rsidRDefault="006155AE" w:rsidP="00825E1A">
      <w:pPr>
        <w:numPr>
          <w:ilvl w:val="0"/>
          <w:numId w:val="37"/>
        </w:numPr>
        <w:spacing w:after="120" w:line="276" w:lineRule="auto"/>
        <w:contextualSpacing/>
        <w:rPr>
          <w:rFonts w:asciiTheme="minorHAnsi" w:eastAsiaTheme="minorHAnsi" w:hAnsiTheme="minorHAnsi" w:cstheme="minorHAnsi"/>
        </w:rPr>
      </w:pPr>
      <w:r w:rsidRPr="00756BE4">
        <w:rPr>
          <w:rFonts w:asciiTheme="minorHAnsi" w:eastAsiaTheme="minorHAnsi" w:hAnsiTheme="minorHAnsi" w:cstheme="minorHAnsi"/>
        </w:rPr>
        <w:t>Implementation Plan</w:t>
      </w:r>
    </w:p>
    <w:p w:rsidR="006155AE" w:rsidRPr="00756BE4" w:rsidRDefault="006155AE" w:rsidP="00825E1A">
      <w:pPr>
        <w:numPr>
          <w:ilvl w:val="0"/>
          <w:numId w:val="37"/>
        </w:numPr>
        <w:spacing w:after="120" w:line="276" w:lineRule="auto"/>
        <w:contextualSpacing/>
        <w:rPr>
          <w:rFonts w:asciiTheme="minorHAnsi" w:eastAsiaTheme="minorHAnsi" w:hAnsiTheme="minorHAnsi" w:cstheme="minorHAnsi"/>
        </w:rPr>
      </w:pPr>
      <w:r w:rsidRPr="00756BE4">
        <w:rPr>
          <w:rFonts w:asciiTheme="minorHAnsi" w:eastAsiaTheme="minorHAnsi" w:hAnsiTheme="minorHAnsi" w:cstheme="minorHAnsi"/>
        </w:rPr>
        <w:t>Resources required</w:t>
      </w:r>
    </w:p>
    <w:p w:rsidR="006155AE" w:rsidRPr="00756BE4" w:rsidRDefault="006155AE" w:rsidP="00825E1A">
      <w:pPr>
        <w:numPr>
          <w:ilvl w:val="0"/>
          <w:numId w:val="37"/>
        </w:numPr>
        <w:spacing w:after="120" w:line="276" w:lineRule="auto"/>
        <w:contextualSpacing/>
        <w:rPr>
          <w:rFonts w:asciiTheme="minorHAnsi" w:eastAsiaTheme="minorHAnsi" w:hAnsiTheme="minorHAnsi" w:cstheme="minorHAnsi"/>
        </w:rPr>
      </w:pPr>
      <w:r w:rsidRPr="00756BE4">
        <w:rPr>
          <w:rFonts w:asciiTheme="minorHAnsi" w:eastAsiaTheme="minorHAnsi" w:hAnsiTheme="minorHAnsi" w:cstheme="minorHAnsi"/>
        </w:rPr>
        <w:t>Plan for monitoring and tracking compliance / success</w:t>
      </w:r>
    </w:p>
    <w:p w:rsidR="006155AE" w:rsidRPr="00756BE4" w:rsidRDefault="006155AE" w:rsidP="00825E1A">
      <w:pPr>
        <w:numPr>
          <w:ilvl w:val="0"/>
          <w:numId w:val="37"/>
        </w:numPr>
        <w:spacing w:after="120" w:line="276" w:lineRule="auto"/>
        <w:contextualSpacing/>
        <w:rPr>
          <w:rFonts w:asciiTheme="minorHAnsi" w:eastAsiaTheme="minorHAnsi" w:hAnsiTheme="minorHAnsi" w:cstheme="minorHAnsi"/>
        </w:rPr>
      </w:pPr>
      <w:r w:rsidRPr="00756BE4">
        <w:rPr>
          <w:rFonts w:asciiTheme="minorHAnsi" w:eastAsiaTheme="minorHAnsi" w:hAnsiTheme="minorHAnsi" w:cstheme="minorHAnsi"/>
        </w:rPr>
        <w:t xml:space="preserve">Examples of promotional material </w:t>
      </w:r>
    </w:p>
    <w:p w:rsidR="006155AE" w:rsidRPr="00756BE4" w:rsidRDefault="006155AE" w:rsidP="00825E1A">
      <w:pPr>
        <w:numPr>
          <w:ilvl w:val="0"/>
          <w:numId w:val="37"/>
        </w:numPr>
        <w:spacing w:after="120" w:line="276" w:lineRule="auto"/>
        <w:contextualSpacing/>
        <w:rPr>
          <w:rFonts w:asciiTheme="minorHAnsi" w:eastAsiaTheme="minorHAnsi" w:hAnsiTheme="minorHAnsi" w:cstheme="minorHAnsi"/>
        </w:rPr>
      </w:pPr>
      <w:r w:rsidRPr="00756BE4">
        <w:rPr>
          <w:rFonts w:asciiTheme="minorHAnsi" w:eastAsiaTheme="minorHAnsi" w:hAnsiTheme="minorHAnsi" w:cstheme="minorHAnsi"/>
        </w:rPr>
        <w:t>Other successful Programs</w:t>
      </w:r>
    </w:p>
    <w:p w:rsidR="006155AE" w:rsidRPr="006155AE" w:rsidRDefault="006155AE" w:rsidP="007B14C1">
      <w:pPr>
        <w:spacing w:line="276" w:lineRule="auto"/>
        <w:ind w:left="1080"/>
        <w:contextualSpacing/>
        <w:rPr>
          <w:rFonts w:ascii="Arial" w:eastAsiaTheme="minorHAnsi" w:hAnsi="Arial" w:cs="Arial"/>
        </w:rPr>
      </w:pPr>
      <w:r w:rsidRPr="006155AE">
        <w:rPr>
          <w:rFonts w:ascii="Arial" w:eastAsiaTheme="minorHAnsi" w:hAnsi="Arial" w:cs="Arial"/>
        </w:rPr>
        <w:br w:type="page"/>
      </w:r>
    </w:p>
    <w:p w:rsidR="006155AE" w:rsidRPr="006155AE" w:rsidRDefault="00966209" w:rsidP="009D685C">
      <w:pPr>
        <w:pStyle w:val="Heading4"/>
        <w:numPr>
          <w:ilvl w:val="0"/>
          <w:numId w:val="18"/>
        </w:numPr>
      </w:pPr>
      <w:r>
        <w:lastRenderedPageBreak/>
        <w:t>Introduction</w:t>
      </w:r>
    </w:p>
    <w:p w:rsidR="006155AE" w:rsidRPr="00756BE4" w:rsidRDefault="006155AE" w:rsidP="003E4083">
      <w:pPr>
        <w:numPr>
          <w:ilvl w:val="0"/>
          <w:numId w:val="19"/>
        </w:numPr>
        <w:spacing w:after="120" w:line="276" w:lineRule="auto"/>
        <w:ind w:left="714" w:hanging="357"/>
        <w:rPr>
          <w:rFonts w:asciiTheme="minorHAnsi" w:eastAsiaTheme="minorHAnsi" w:hAnsiTheme="minorHAnsi" w:cstheme="minorHAnsi"/>
        </w:rPr>
      </w:pPr>
      <w:r w:rsidRPr="00756BE4">
        <w:rPr>
          <w:rFonts w:asciiTheme="minorHAnsi" w:eastAsiaTheme="minorHAnsi" w:hAnsiTheme="minorHAnsi" w:cstheme="minorHAnsi"/>
        </w:rPr>
        <w:t>Reasons modern health systems need to shift from product-focused transfusion practice to patient blood management.</w:t>
      </w:r>
      <w:r w:rsidR="00050411">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"DOI" : "10.1634/theoncologist.2011-S3-3", "abstract" : "The objective of this paper is to introduce clinicians and health care professionals to the concept of patient blood management (PBM) and to explain the difference between PBM and the concept of \"appropriate use\" of blood products. The five reasons why modern health systems need to shift from product-focused transfusion practice to PBM are also presented. These are: the aging population with a leveraged demand for blood products opposed to a shrinking donor base; the growing awareness that transfusion is a complex service involving many different cost centers within a hospital and representing a multiple of the blood product cost; the continuous effort to protect blood pools from known, new, or re-emerging pathogens while facing uncertainty over their potentially long silent carrier states; the emerging evidence that transfusion is an independent risk factor for adverse outcomes; and finally, a lack of evidence for benefit of transfusion for the vast majority of recipients.", "author" : [ { "dropping-particle" : "", "family" : "Hofmann", "given" : "Axel", "non-dropping-particle" : "", "parse-names" : false, "suffix" : "" }, { "dropping-particle" : "", "family" : "Farmer", "given" : "Shannon", "non-dropping-particle" : "", "parse-names" : false, "suffix" : "" }, { "dropping-particle" : "", "family" : "Shander", "given" : "Aryeh", "non-dropping-particle" : "", "parse-names" : false, "suffix" : "" } ], "container-title" : "The oncologist", "id" : "ITEM-1", "issued" : { "date-parts" : [ [ "2011" ] ] }, "page" : "3-11", "title" : "Five drivers shifting the paradigm from product-focused transfusion practice to patient blood management.", "type" : "article-journal", "volume" : "16 Suppl 3" }, "uris" : [ "http://www.mendeley.com/documents/?uuid=3a94e34c-9f7b-496c-af50-99a9cf529f48" ] } ], "mendeley" : { "previouslyFormattedCitation" : "&lt;sup&gt;1&lt;/sup&gt;" }, "properties" : { "noteIndex" : 0 }, "schema" : "https://github.com/citation-style-language/schema/raw/master/csl-citation.json" }</w:instrText>
      </w:r>
      <w:r w:rsidR="00050411">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1</w:t>
      </w:r>
      <w:r w:rsidR="00050411">
        <w:rPr>
          <w:rFonts w:asciiTheme="minorHAnsi" w:eastAsiaTheme="minorHAnsi" w:hAnsiTheme="minorHAnsi" w:cstheme="minorHAnsi"/>
        </w:rPr>
        <w:fldChar w:fldCharType="end"/>
      </w:r>
    </w:p>
    <w:p w:rsidR="006155AE" w:rsidRPr="00756BE4" w:rsidRDefault="006155AE" w:rsidP="00135038">
      <w:pPr>
        <w:numPr>
          <w:ilvl w:val="2"/>
          <w:numId w:val="15"/>
        </w:numPr>
        <w:spacing w:after="120" w:line="276" w:lineRule="auto"/>
        <w:ind w:left="1440"/>
        <w:contextualSpacing/>
        <w:rPr>
          <w:rFonts w:asciiTheme="minorHAnsi" w:eastAsiaTheme="minorHAnsi" w:hAnsiTheme="minorHAnsi" w:cstheme="minorHAnsi"/>
        </w:rPr>
      </w:pPr>
      <w:r w:rsidRPr="00756BE4">
        <w:rPr>
          <w:rFonts w:asciiTheme="minorHAnsi" w:eastAsiaTheme="minorHAnsi" w:hAnsiTheme="minorHAnsi" w:cstheme="minorHAnsi"/>
        </w:rPr>
        <w:t>Patient blood management has been shown to be a more effective concept than “appropriate use” in pre-empting the need for blood components, reducing overall use, and improving patient outcomes.</w:t>
      </w:r>
    </w:p>
    <w:p w:rsidR="006155AE" w:rsidRPr="00756BE4" w:rsidRDefault="006155AE" w:rsidP="00135038">
      <w:pPr>
        <w:numPr>
          <w:ilvl w:val="2"/>
          <w:numId w:val="15"/>
        </w:numPr>
        <w:spacing w:after="120" w:line="276" w:lineRule="auto"/>
        <w:ind w:left="1440"/>
        <w:contextualSpacing/>
        <w:rPr>
          <w:rFonts w:asciiTheme="minorHAnsi" w:eastAsiaTheme="minorHAnsi" w:hAnsiTheme="minorHAnsi" w:cstheme="minorHAnsi"/>
        </w:rPr>
      </w:pPr>
      <w:r w:rsidRPr="00756BE4">
        <w:rPr>
          <w:rFonts w:asciiTheme="minorHAnsi" w:eastAsiaTheme="minorHAnsi" w:hAnsiTheme="minorHAnsi" w:cstheme="minorHAnsi"/>
        </w:rPr>
        <w:t>The ageing population – increased demand for blood products and a reduced donor pool available.</w:t>
      </w:r>
    </w:p>
    <w:p w:rsidR="006155AE" w:rsidRPr="00756BE4" w:rsidRDefault="006155AE" w:rsidP="00135038">
      <w:pPr>
        <w:numPr>
          <w:ilvl w:val="2"/>
          <w:numId w:val="15"/>
        </w:numPr>
        <w:spacing w:after="120" w:line="276" w:lineRule="auto"/>
        <w:ind w:left="1440"/>
        <w:contextualSpacing/>
        <w:rPr>
          <w:rFonts w:asciiTheme="minorHAnsi" w:eastAsiaTheme="minorHAnsi" w:hAnsiTheme="minorHAnsi" w:cstheme="minorHAnsi"/>
        </w:rPr>
      </w:pPr>
      <w:r w:rsidRPr="00756BE4">
        <w:rPr>
          <w:rFonts w:asciiTheme="minorHAnsi" w:eastAsiaTheme="minorHAnsi" w:hAnsiTheme="minorHAnsi" w:cstheme="minorHAnsi"/>
        </w:rPr>
        <w:t xml:space="preserve">Increasing pressure on the cost of </w:t>
      </w:r>
      <w:r w:rsidR="000714B2">
        <w:rPr>
          <w:rFonts w:asciiTheme="minorHAnsi" w:eastAsiaTheme="minorHAnsi" w:hAnsiTheme="minorHAnsi" w:cstheme="minorHAnsi"/>
        </w:rPr>
        <w:t xml:space="preserve">red </w:t>
      </w:r>
      <w:r w:rsidRPr="00756BE4">
        <w:rPr>
          <w:rFonts w:asciiTheme="minorHAnsi" w:eastAsiaTheme="minorHAnsi" w:hAnsiTheme="minorHAnsi" w:cstheme="minorHAnsi"/>
        </w:rPr>
        <w:t>blood</w:t>
      </w:r>
      <w:r w:rsidR="000714B2">
        <w:rPr>
          <w:rFonts w:asciiTheme="minorHAnsi" w:eastAsiaTheme="minorHAnsi" w:hAnsiTheme="minorHAnsi" w:cstheme="minorHAnsi"/>
        </w:rPr>
        <w:t xml:space="preserve"> cell</w:t>
      </w:r>
      <w:r w:rsidRPr="00756BE4">
        <w:rPr>
          <w:rFonts w:asciiTheme="minorHAnsi" w:eastAsiaTheme="minorHAnsi" w:hAnsiTheme="minorHAnsi" w:cstheme="minorHAnsi"/>
        </w:rPr>
        <w:t xml:space="preserve"> transfusion – </w:t>
      </w:r>
      <w:r w:rsidR="003E4083">
        <w:rPr>
          <w:rFonts w:asciiTheme="minorHAnsi" w:eastAsiaTheme="minorHAnsi" w:hAnsiTheme="minorHAnsi" w:cstheme="minorHAnsi"/>
        </w:rPr>
        <w:t xml:space="preserve">there are </w:t>
      </w:r>
      <w:r w:rsidRPr="00756BE4">
        <w:rPr>
          <w:rFonts w:asciiTheme="minorHAnsi" w:eastAsiaTheme="minorHAnsi" w:hAnsiTheme="minorHAnsi" w:cstheme="minorHAnsi"/>
        </w:rPr>
        <w:t xml:space="preserve">many different costs in </w:t>
      </w:r>
      <w:r w:rsidR="007B4797">
        <w:rPr>
          <w:rFonts w:asciiTheme="minorHAnsi" w:eastAsiaTheme="minorHAnsi" w:hAnsiTheme="minorHAnsi" w:cstheme="minorHAnsi"/>
        </w:rPr>
        <w:t xml:space="preserve">the </w:t>
      </w:r>
      <w:r w:rsidRPr="00756BE4">
        <w:rPr>
          <w:rFonts w:asciiTheme="minorHAnsi" w:eastAsiaTheme="minorHAnsi" w:hAnsiTheme="minorHAnsi" w:cstheme="minorHAnsi"/>
        </w:rPr>
        <w:t xml:space="preserve">provision </w:t>
      </w:r>
      <w:r w:rsidR="003E4083">
        <w:rPr>
          <w:rFonts w:asciiTheme="minorHAnsi" w:eastAsiaTheme="minorHAnsi" w:hAnsiTheme="minorHAnsi" w:cstheme="minorHAnsi"/>
        </w:rPr>
        <w:t xml:space="preserve">of a unit of blood </w:t>
      </w:r>
      <w:r w:rsidRPr="00756BE4">
        <w:rPr>
          <w:rFonts w:asciiTheme="minorHAnsi" w:eastAsiaTheme="minorHAnsi" w:hAnsiTheme="minorHAnsi" w:cstheme="minorHAnsi"/>
        </w:rPr>
        <w:t xml:space="preserve">from collection to transfusion – </w:t>
      </w:r>
      <w:r w:rsidR="003E4083">
        <w:rPr>
          <w:rFonts w:asciiTheme="minorHAnsi" w:eastAsiaTheme="minorHAnsi" w:hAnsiTheme="minorHAnsi" w:cstheme="minorHAnsi"/>
        </w:rPr>
        <w:t xml:space="preserve">the </w:t>
      </w:r>
      <w:r w:rsidRPr="00756BE4">
        <w:rPr>
          <w:rFonts w:asciiTheme="minorHAnsi" w:eastAsiaTheme="minorHAnsi" w:hAnsiTheme="minorHAnsi" w:cstheme="minorHAnsi"/>
        </w:rPr>
        <w:t>real cost is a multiple of the actual product cost.</w:t>
      </w:r>
    </w:p>
    <w:p w:rsidR="006155AE" w:rsidRPr="00756BE4" w:rsidRDefault="006155AE" w:rsidP="00135038">
      <w:pPr>
        <w:numPr>
          <w:ilvl w:val="2"/>
          <w:numId w:val="15"/>
        </w:numPr>
        <w:spacing w:after="120" w:line="276" w:lineRule="auto"/>
        <w:ind w:left="1440"/>
        <w:contextualSpacing/>
        <w:rPr>
          <w:rFonts w:asciiTheme="minorHAnsi" w:eastAsiaTheme="minorHAnsi" w:hAnsiTheme="minorHAnsi" w:cstheme="minorHAnsi"/>
        </w:rPr>
      </w:pPr>
      <w:r w:rsidRPr="00756BE4">
        <w:rPr>
          <w:rFonts w:asciiTheme="minorHAnsi" w:eastAsiaTheme="minorHAnsi" w:hAnsiTheme="minorHAnsi" w:cstheme="minorHAnsi"/>
        </w:rPr>
        <w:t>Th</w:t>
      </w:r>
      <w:r w:rsidR="00320FD2">
        <w:rPr>
          <w:rFonts w:asciiTheme="minorHAnsi" w:eastAsiaTheme="minorHAnsi" w:hAnsiTheme="minorHAnsi" w:cstheme="minorHAnsi"/>
        </w:rPr>
        <w:t>e th</w:t>
      </w:r>
      <w:r w:rsidRPr="00756BE4">
        <w:rPr>
          <w:rFonts w:asciiTheme="minorHAnsi" w:eastAsiaTheme="minorHAnsi" w:hAnsiTheme="minorHAnsi" w:cstheme="minorHAnsi"/>
        </w:rPr>
        <w:t>reat from known, new or re-emerging pathogens while facing uncertainty over their potentially long silent carrier states.</w:t>
      </w:r>
    </w:p>
    <w:p w:rsidR="006155AE" w:rsidRPr="00756BE4" w:rsidRDefault="006155AE" w:rsidP="003E4083">
      <w:pPr>
        <w:numPr>
          <w:ilvl w:val="2"/>
          <w:numId w:val="15"/>
        </w:numPr>
        <w:spacing w:line="276" w:lineRule="auto"/>
        <w:ind w:left="1440" w:hanging="181"/>
        <w:contextualSpacing/>
        <w:rPr>
          <w:rFonts w:asciiTheme="minorHAnsi" w:eastAsiaTheme="minorHAnsi" w:hAnsiTheme="minorHAnsi" w:cstheme="minorHAnsi"/>
        </w:rPr>
      </w:pPr>
      <w:r w:rsidRPr="00756BE4">
        <w:rPr>
          <w:rFonts w:asciiTheme="minorHAnsi" w:eastAsiaTheme="minorHAnsi" w:hAnsiTheme="minorHAnsi" w:cstheme="minorHAnsi"/>
        </w:rPr>
        <w:t xml:space="preserve">Emerging evidence that transfusion </w:t>
      </w:r>
      <w:r w:rsidR="005D5E2C">
        <w:rPr>
          <w:rFonts w:asciiTheme="minorHAnsi" w:eastAsiaTheme="minorHAnsi" w:hAnsiTheme="minorHAnsi" w:cstheme="minorHAnsi"/>
        </w:rPr>
        <w:t>may be</w:t>
      </w:r>
      <w:r w:rsidR="005D5E2C" w:rsidRPr="00756BE4">
        <w:rPr>
          <w:rFonts w:asciiTheme="minorHAnsi" w:eastAsiaTheme="minorHAnsi" w:hAnsiTheme="minorHAnsi" w:cstheme="minorHAnsi"/>
        </w:rPr>
        <w:t xml:space="preserve"> </w:t>
      </w:r>
      <w:r w:rsidRPr="00756BE4">
        <w:rPr>
          <w:rFonts w:asciiTheme="minorHAnsi" w:eastAsiaTheme="minorHAnsi" w:hAnsiTheme="minorHAnsi" w:cstheme="minorHAnsi"/>
        </w:rPr>
        <w:t>an independent risk factor for adverse outcomes including increased morbidity, mortality and hospital length of stay.</w:t>
      </w:r>
      <w:r w:rsidR="00050411">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"DOI" : "10.1097/ACO.0b013e32834eb726", "abstract" : "PURPOSE OF REVIEW: Evidence-based patient blood management (PBM) is aimed at achieving better patient outcomes by relying on a patient's own blood rather than on donor blood. This review covers the rationale behind PBM, the treatment modalities involved and the drivers to adopt PBM as a new standard of care. RECENT FINDINGS: Transfusion rates vary significantly between comparable countries; they also vary between centers for matched patients in standardized elective surgical interventions. Preoperative anemia, perioperative blood loss and liberal transfusion triggers are the main predictors for transfusion and pose risks to the patient. PBM is mitigating these risks by optimizing the patient's native red cell mass, minimizing blood loss, optimizing the physiological reserve of anemia and preempting transfusions. A growing number of studies show that transfusion is associated in a dose-dependent relationship with increased morbidity, mortality and hospital length of stay. Evidence suggests that this relationship is not merely associative but causal. Furthermore, the over-ageing population of the developed world leads to a growing gap between supply and demand of blood, the safety of donor blood remains unpredictable and the cost of transfusion is much higher than previously estimated. SUMMARY: High transfusion variability, adverse transfusion outcomes, limited evidence for the benefit of transfusion particularly in elective patients and high cost of transfusion are challenging the traditional transfusion paradigm. National and state-wide initiatives are underway in Australia to broadly implement PBM and PBM programs as a new and cost-effective standard of care in the public health system.", "author" : [ { "dropping-particle" : "", "family" : "Hofmann", "given" : "Axel", "non-dropping-particle" : "", "parse-names" : false, "suffix" : "" }, { "dropping-particle" : "", "family" : "Farmer", "given" : "Shannon", "non-dropping-particle" : "", "parse-names" : false, "suffix" : "" }, { "dropping-particle" : "", "family" : "Towler", "given" : "Simon C", "non-dropping-particle" : "", "parse-names" : false, "suffix" : "" } ], "container-title" : "Current opinion in anaesthesiology", "id" : "ITEM-1", "issue" : "1", "issued" : { "date-parts" : [ [ "2012" ] ] }, "page" : "66-73", "title" : "Strategies to preempt and reduce the use of blood products: an Australian perspective.", "type" : "article-journal", "volume" : "25" }, "uris" : [ "http://www.mendeley.com/documents/?uuid=bd9ad883-c5dd-465f-bd70-928259714a47" ] } ], "mendeley" : { "previouslyFormattedCitation" : "&lt;sup&gt;2&lt;/sup&gt;" }, "properties" : { "noteIndex" : 0 }, "schema" : "https://github.com/citation-style-language/schema/raw/master/csl-citation.json" }</w:instrText>
      </w:r>
      <w:r w:rsidR="00050411">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2</w:t>
      </w:r>
      <w:r w:rsidR="00050411">
        <w:rPr>
          <w:rFonts w:asciiTheme="minorHAnsi" w:eastAsiaTheme="minorHAnsi" w:hAnsiTheme="minorHAnsi" w:cstheme="minorHAnsi"/>
        </w:rPr>
        <w:fldChar w:fldCharType="end"/>
      </w:r>
    </w:p>
    <w:p w:rsidR="006155AE" w:rsidRPr="00756BE4" w:rsidRDefault="00294E0D" w:rsidP="00013FEB">
      <w:pPr>
        <w:numPr>
          <w:ilvl w:val="0"/>
          <w:numId w:val="19"/>
        </w:numPr>
        <w:spacing w:before="240" w:after="120" w:line="276" w:lineRule="auto"/>
        <w:ind w:left="714" w:hanging="357"/>
        <w:rPr>
          <w:rFonts w:asciiTheme="minorHAnsi" w:eastAsiaTheme="minorHAnsi" w:hAnsiTheme="minorHAnsi" w:cstheme="minorHAnsi"/>
        </w:rPr>
      </w:pPr>
      <w:r>
        <w:rPr>
          <w:rFonts w:asciiTheme="minorHAnsi" w:eastAsiaTheme="minorHAnsi" w:hAnsiTheme="minorHAnsi" w:cstheme="minorHAnsi"/>
        </w:rPr>
        <w:t>A</w:t>
      </w:r>
      <w:r w:rsidRPr="00756BE4">
        <w:rPr>
          <w:rFonts w:asciiTheme="minorHAnsi" w:eastAsiaTheme="minorHAnsi" w:hAnsiTheme="minorHAnsi" w:cstheme="minorHAnsi"/>
        </w:rPr>
        <w:t xml:space="preserve"> </w:t>
      </w:r>
      <w:r>
        <w:rPr>
          <w:rFonts w:asciiTheme="minorHAnsi" w:eastAsiaTheme="minorHAnsi" w:hAnsiTheme="minorHAnsi" w:cstheme="minorHAnsi"/>
        </w:rPr>
        <w:t>s</w:t>
      </w:r>
      <w:r w:rsidRPr="00756BE4">
        <w:rPr>
          <w:rFonts w:asciiTheme="minorHAnsi" w:eastAsiaTheme="minorHAnsi" w:hAnsiTheme="minorHAnsi" w:cstheme="minorHAnsi"/>
        </w:rPr>
        <w:t xml:space="preserve">ingle </w:t>
      </w:r>
      <w:r>
        <w:rPr>
          <w:rFonts w:asciiTheme="minorHAnsi" w:eastAsiaTheme="minorHAnsi" w:hAnsiTheme="minorHAnsi" w:cstheme="minorHAnsi"/>
        </w:rPr>
        <w:t>u</w:t>
      </w:r>
      <w:r w:rsidRPr="00756BE4">
        <w:rPr>
          <w:rFonts w:asciiTheme="minorHAnsi" w:eastAsiaTheme="minorHAnsi" w:hAnsiTheme="minorHAnsi" w:cstheme="minorHAnsi"/>
        </w:rPr>
        <w:t xml:space="preserve">nit </w:t>
      </w:r>
      <w:r>
        <w:rPr>
          <w:rFonts w:asciiTheme="minorHAnsi" w:eastAsiaTheme="minorHAnsi" w:hAnsiTheme="minorHAnsi" w:cstheme="minorHAnsi"/>
        </w:rPr>
        <w:t>t</w:t>
      </w:r>
      <w:r w:rsidRPr="00756BE4">
        <w:rPr>
          <w:rFonts w:asciiTheme="minorHAnsi" w:eastAsiaTheme="minorHAnsi" w:hAnsiTheme="minorHAnsi" w:cstheme="minorHAnsi"/>
        </w:rPr>
        <w:t xml:space="preserve">ransfusion </w:t>
      </w:r>
      <w:r>
        <w:rPr>
          <w:rFonts w:asciiTheme="minorHAnsi" w:eastAsiaTheme="minorHAnsi" w:hAnsiTheme="minorHAnsi" w:cstheme="minorHAnsi"/>
        </w:rPr>
        <w:t>g</w:t>
      </w:r>
      <w:r w:rsidRPr="00756BE4">
        <w:rPr>
          <w:rFonts w:asciiTheme="minorHAnsi" w:eastAsiaTheme="minorHAnsi" w:hAnsiTheme="minorHAnsi" w:cstheme="minorHAnsi"/>
        </w:rPr>
        <w:t xml:space="preserve">uideline </w:t>
      </w:r>
      <w:r w:rsidR="006155AE" w:rsidRPr="00756BE4">
        <w:rPr>
          <w:rFonts w:asciiTheme="minorHAnsi" w:eastAsiaTheme="minorHAnsi" w:hAnsiTheme="minorHAnsi" w:cstheme="minorHAnsi"/>
        </w:rPr>
        <w:t>and patient blood management will align with State</w:t>
      </w:r>
      <w:r w:rsidR="00825E1A">
        <w:rPr>
          <w:rFonts w:asciiTheme="minorHAnsi" w:eastAsiaTheme="minorHAnsi" w:hAnsiTheme="minorHAnsi" w:cstheme="minorHAnsi"/>
        </w:rPr>
        <w:t xml:space="preserve"> and Territory</w:t>
      </w:r>
      <w:r w:rsidR="006155AE" w:rsidRPr="00756BE4">
        <w:rPr>
          <w:rFonts w:asciiTheme="minorHAnsi" w:eastAsiaTheme="minorHAnsi" w:hAnsiTheme="minorHAnsi" w:cstheme="minorHAnsi"/>
        </w:rPr>
        <w:t xml:space="preserve"> Governments’ Health Service Strategic Plans, and Hospital organisational values and mission statements.</w:t>
      </w:r>
    </w:p>
    <w:p w:rsidR="006155AE" w:rsidRPr="005E21A9" w:rsidRDefault="006155AE" w:rsidP="00135038">
      <w:pPr>
        <w:numPr>
          <w:ilvl w:val="0"/>
          <w:numId w:val="19"/>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Queensland, Victoria, N</w:t>
      </w:r>
      <w:r w:rsidR="003E4083">
        <w:rPr>
          <w:rFonts w:asciiTheme="minorHAnsi" w:eastAsiaTheme="minorHAnsi" w:hAnsiTheme="minorHAnsi" w:cstheme="minorHAnsi"/>
        </w:rPr>
        <w:t xml:space="preserve">ew </w:t>
      </w:r>
      <w:r w:rsidRPr="00756BE4">
        <w:rPr>
          <w:rFonts w:asciiTheme="minorHAnsi" w:eastAsiaTheme="minorHAnsi" w:hAnsiTheme="minorHAnsi" w:cstheme="minorHAnsi"/>
        </w:rPr>
        <w:t>S</w:t>
      </w:r>
      <w:r w:rsidR="003E4083">
        <w:rPr>
          <w:rFonts w:asciiTheme="minorHAnsi" w:eastAsiaTheme="minorHAnsi" w:hAnsiTheme="minorHAnsi" w:cstheme="minorHAnsi"/>
        </w:rPr>
        <w:t>outh Wales</w:t>
      </w:r>
      <w:r w:rsidRPr="00756BE4">
        <w:rPr>
          <w:rFonts w:asciiTheme="minorHAnsi" w:eastAsiaTheme="minorHAnsi" w:hAnsiTheme="minorHAnsi" w:cstheme="minorHAnsi"/>
        </w:rPr>
        <w:t xml:space="preserve"> and S</w:t>
      </w:r>
      <w:r w:rsidR="003E4083">
        <w:rPr>
          <w:rFonts w:asciiTheme="minorHAnsi" w:eastAsiaTheme="minorHAnsi" w:hAnsiTheme="minorHAnsi" w:cstheme="minorHAnsi"/>
        </w:rPr>
        <w:t xml:space="preserve">outh </w:t>
      </w:r>
      <w:r w:rsidRPr="00756BE4">
        <w:rPr>
          <w:rFonts w:asciiTheme="minorHAnsi" w:eastAsiaTheme="minorHAnsi" w:hAnsiTheme="minorHAnsi" w:cstheme="minorHAnsi"/>
        </w:rPr>
        <w:t>A</w:t>
      </w:r>
      <w:r w:rsidR="003E4083">
        <w:rPr>
          <w:rFonts w:asciiTheme="minorHAnsi" w:eastAsiaTheme="minorHAnsi" w:hAnsiTheme="minorHAnsi" w:cstheme="minorHAnsi"/>
        </w:rPr>
        <w:t>ustralia</w:t>
      </w:r>
      <w:r w:rsidRPr="00756BE4">
        <w:rPr>
          <w:rFonts w:asciiTheme="minorHAnsi" w:eastAsiaTheme="minorHAnsi" w:hAnsiTheme="minorHAnsi" w:cstheme="minorHAnsi"/>
        </w:rPr>
        <w:t xml:space="preserve"> Health Departments have strategic plans that have elements aligning with </w:t>
      </w:r>
      <w:r w:rsidR="00320FD2">
        <w:rPr>
          <w:rFonts w:asciiTheme="minorHAnsi" w:eastAsiaTheme="minorHAnsi" w:hAnsiTheme="minorHAnsi" w:cstheme="minorHAnsi"/>
        </w:rPr>
        <w:t>patient blood management</w:t>
      </w:r>
      <w:r w:rsidR="00320FD2" w:rsidRPr="00756BE4">
        <w:rPr>
          <w:rFonts w:asciiTheme="minorHAnsi" w:eastAsiaTheme="minorHAnsi" w:hAnsiTheme="minorHAnsi" w:cstheme="minorHAnsi"/>
        </w:rPr>
        <w:t xml:space="preserve"> </w:t>
      </w:r>
      <w:r w:rsidRPr="00756BE4">
        <w:rPr>
          <w:rFonts w:asciiTheme="minorHAnsi" w:eastAsiaTheme="minorHAnsi" w:hAnsiTheme="minorHAnsi" w:cstheme="minorHAnsi"/>
        </w:rPr>
        <w:t xml:space="preserve">principles. They variously mention health services focused on the patient, providing value, innovation, quality initiatives, and response to the aging population. (Western Australia already has </w:t>
      </w:r>
      <w:r w:rsidR="003E4083">
        <w:rPr>
          <w:rFonts w:asciiTheme="minorHAnsi" w:eastAsiaTheme="minorHAnsi" w:hAnsiTheme="minorHAnsi" w:cstheme="minorHAnsi"/>
        </w:rPr>
        <w:t xml:space="preserve">a </w:t>
      </w:r>
      <w:r w:rsidRPr="00756BE4">
        <w:rPr>
          <w:rFonts w:asciiTheme="minorHAnsi" w:eastAsiaTheme="minorHAnsi" w:hAnsiTheme="minorHAnsi" w:cstheme="minorHAnsi"/>
        </w:rPr>
        <w:t>patient blood management program in place</w:t>
      </w:r>
      <w:r w:rsidR="00630D6C">
        <w:rPr>
          <w:rFonts w:asciiTheme="minorHAnsi" w:eastAsiaTheme="minorHAnsi" w:hAnsiTheme="minorHAnsi" w:cstheme="minorHAnsi"/>
        </w:rPr>
        <w:t>)</w:t>
      </w:r>
      <w:r w:rsidRPr="00756BE4">
        <w:rPr>
          <w:rFonts w:asciiTheme="minorHAnsi" w:eastAsiaTheme="minorHAnsi" w:hAnsiTheme="minorHAnsi" w:cstheme="minorHAnsi"/>
        </w:rPr>
        <w:t xml:space="preserve">. This is true also of individual hospitals and hospital groups. </w:t>
      </w:r>
    </w:p>
    <w:p w:rsidR="00582EBC" w:rsidRPr="00756BE4" w:rsidRDefault="00966209" w:rsidP="00135038">
      <w:pPr>
        <w:numPr>
          <w:ilvl w:val="0"/>
          <w:numId w:val="19"/>
        </w:numPr>
        <w:spacing w:after="120" w:line="276" w:lineRule="auto"/>
        <w:ind w:left="717" w:hanging="357"/>
        <w:rPr>
          <w:rFonts w:asciiTheme="minorHAnsi" w:eastAsiaTheme="minorHAnsi" w:hAnsiTheme="minorHAnsi" w:cstheme="minorHAnsi"/>
        </w:rPr>
      </w:pPr>
      <w:r>
        <w:rPr>
          <w:rFonts w:asciiTheme="minorHAnsi" w:eastAsiaTheme="minorHAnsi" w:hAnsiTheme="minorHAnsi" w:cstheme="minorHAnsi"/>
        </w:rPr>
        <w:t>A</w:t>
      </w:r>
      <w:r w:rsidRPr="00756BE4">
        <w:rPr>
          <w:rFonts w:asciiTheme="minorHAnsi" w:eastAsiaTheme="minorHAnsi" w:hAnsiTheme="minorHAnsi" w:cstheme="minorHAnsi"/>
        </w:rPr>
        <w:t xml:space="preserve"> </w:t>
      </w:r>
      <w:r w:rsidR="00630D6C">
        <w:rPr>
          <w:rFonts w:asciiTheme="minorHAnsi" w:eastAsiaTheme="minorHAnsi" w:hAnsiTheme="minorHAnsi" w:cstheme="minorHAnsi"/>
        </w:rPr>
        <w:t>s</w:t>
      </w:r>
      <w:r w:rsidR="008F12E7" w:rsidRPr="00756BE4">
        <w:rPr>
          <w:rFonts w:asciiTheme="minorHAnsi" w:eastAsiaTheme="minorHAnsi" w:hAnsiTheme="minorHAnsi" w:cstheme="minorHAnsi"/>
        </w:rPr>
        <w:t xml:space="preserve">ingle </w:t>
      </w:r>
      <w:r w:rsidR="00630D6C">
        <w:rPr>
          <w:rFonts w:asciiTheme="minorHAnsi" w:eastAsiaTheme="minorHAnsi" w:hAnsiTheme="minorHAnsi" w:cstheme="minorHAnsi"/>
        </w:rPr>
        <w:t>u</w:t>
      </w:r>
      <w:r w:rsidR="008F12E7" w:rsidRPr="00756BE4">
        <w:rPr>
          <w:rFonts w:asciiTheme="minorHAnsi" w:eastAsiaTheme="minorHAnsi" w:hAnsiTheme="minorHAnsi" w:cstheme="minorHAnsi"/>
        </w:rPr>
        <w:t xml:space="preserve">nit </w:t>
      </w:r>
      <w:r w:rsidR="00630D6C">
        <w:rPr>
          <w:rFonts w:asciiTheme="minorHAnsi" w:eastAsiaTheme="minorHAnsi" w:hAnsiTheme="minorHAnsi" w:cstheme="minorHAnsi"/>
        </w:rPr>
        <w:t>t</w:t>
      </w:r>
      <w:r w:rsidR="008F12E7" w:rsidRPr="00756BE4">
        <w:rPr>
          <w:rFonts w:asciiTheme="minorHAnsi" w:eastAsiaTheme="minorHAnsi" w:hAnsiTheme="minorHAnsi" w:cstheme="minorHAnsi"/>
        </w:rPr>
        <w:t xml:space="preserve">ransfusion </w:t>
      </w:r>
      <w:r w:rsidR="00630D6C">
        <w:rPr>
          <w:rFonts w:asciiTheme="minorHAnsi" w:eastAsiaTheme="minorHAnsi" w:hAnsiTheme="minorHAnsi" w:cstheme="minorHAnsi"/>
        </w:rPr>
        <w:t>g</w:t>
      </w:r>
      <w:r w:rsidR="006155AE" w:rsidRPr="00756BE4">
        <w:rPr>
          <w:rFonts w:asciiTheme="minorHAnsi" w:eastAsiaTheme="minorHAnsi" w:hAnsiTheme="minorHAnsi" w:cstheme="minorHAnsi"/>
        </w:rPr>
        <w:t>uide</w:t>
      </w:r>
      <w:r w:rsidR="00294E0D">
        <w:rPr>
          <w:rFonts w:asciiTheme="minorHAnsi" w:eastAsiaTheme="minorHAnsi" w:hAnsiTheme="minorHAnsi" w:cstheme="minorHAnsi"/>
        </w:rPr>
        <w:t>line</w:t>
      </w:r>
      <w:r w:rsidR="006155AE" w:rsidRPr="00756BE4">
        <w:rPr>
          <w:rFonts w:asciiTheme="minorHAnsi" w:eastAsiaTheme="minorHAnsi" w:hAnsiTheme="minorHAnsi" w:cstheme="minorHAnsi"/>
        </w:rPr>
        <w:t xml:space="preserve"> has</w:t>
      </w:r>
      <w:r w:rsidR="00294E0D">
        <w:rPr>
          <w:rFonts w:asciiTheme="minorHAnsi" w:eastAsiaTheme="minorHAnsi" w:hAnsiTheme="minorHAnsi" w:cstheme="minorHAnsi"/>
        </w:rPr>
        <w:t xml:space="preserve"> the</w:t>
      </w:r>
      <w:r w:rsidR="006155AE" w:rsidRPr="00756BE4">
        <w:rPr>
          <w:rFonts w:asciiTheme="minorHAnsi" w:eastAsiaTheme="minorHAnsi" w:hAnsiTheme="minorHAnsi" w:cstheme="minorHAnsi"/>
        </w:rPr>
        <w:t xml:space="preserve"> potential to reduce red blood cell utilisation and preserv</w:t>
      </w:r>
      <w:r w:rsidR="001B3F3A">
        <w:rPr>
          <w:rFonts w:asciiTheme="minorHAnsi" w:eastAsiaTheme="minorHAnsi" w:hAnsiTheme="minorHAnsi" w:cstheme="minorHAnsi"/>
        </w:rPr>
        <w:t>e the</w:t>
      </w:r>
      <w:r w:rsidR="006155AE" w:rsidRPr="00756BE4">
        <w:rPr>
          <w:rFonts w:asciiTheme="minorHAnsi" w:eastAsiaTheme="minorHAnsi" w:hAnsiTheme="minorHAnsi" w:cstheme="minorHAnsi"/>
        </w:rPr>
        <w:t xml:space="preserve"> blood supply.</w:t>
      </w:r>
      <w:r w:rsidR="00050411">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"DOI" : "10.3324/haematol.2011.047035", "author" : [ { "dropping-particle" : "", "family" : "Berger", "given" : "Martin David", "non-dropping-particle" : "", "parse-names" : false, "suffix" : "" }, { "dropping-particle" : "", "family" : "Gerber", "given" : "Bernhard", "non-dropping-particle" : "", "parse-names" : false, "suffix" : "" }, { "dropping-particle" : "", "family" : "Arn", "given" : "Kornelius", "non-dropping-particle" : "", "parse-names" : false, "suffix" : "" }, { "dropping-particle" : "", "family" : "Senn", "given" : "Oliver", "non-dropping-particle" : "", "parse-names" : false, "suffix" : "" }, { "dropping-particle" : "", "family" : "Schanz", "given" : "Urs", "non-dropping-particle" : "", "parse-names" : false, "suffix" : "" }, { "dropping-particle" : "", "family" : "Stussi", "given" : "Georg", "non-dropping-particle" : "", "parse-names" : false, "suffix" : "" } ], "container-title" : "haematologica", "id" : "ITEM-1", "issue" : "1", "issued" : { "date-parts" : [ [ "2012" ] ] }, "page" : "116-122", "title" : "Significant reduction of red blood cell transfusion requirements by changing from a double-unit to a single-unit transfusion policy in patients receiving intensive chemotherapy or stem cell transplantation", "type" : "article-journal", "volume" : "97" }, "uris" : [ "http://www.mendeley.com/documents/?uuid=e3206e28-32bb-4aa7-9a73-14d547dcc572" ] }, { "id" : "ITEM-2", "itemData" : { "author" : [ { "dropping-particle" : "", "family" : "H\u00e9bert", "given" : "Paul C.", "non-dropping-particle" : "", "parse-names" : false, "suffix" : "" }, { "dropping-particle" : "", "family" : "Wells", "given" : "George", "non-dropping-particle" : "", "parse-names" : false, "suffix" : "" }, { "dropping-particle" : "", "family" : "Blajchman", "given" : "Morris A.", "non-dropping-particle" : "", "parse-names" : false, "suffix" : "" }, { "dropping-particle" : "", "family" : "Marshall", "given" : "John", "non-dropping-particle" : "", "parse-names" : false, "suffix" : "" }, { "dropping-particle" : "", "family" : "Martin", "given" : "Claudio", "non-dropping-particle" : "", "parse-names" : false, "suffix" : "" }, { "dropping-particle" : "", "family" : "Pagliarello", "given" : "Giuseppe", "non-dropping-particle" : "", "parse-names" : false, "suffix" : "" }, { "dropping-particle" : "", "family" : "Tweeddale", "given" : "Martin", "non-dropping-particle" : "", "parse-names" : false, "suffix" : "" }, { "dropping-particle" : "", "family" : "Schweitzer", "given" : "Irwin", "non-dropping-particle" : "", "parse-names" : false, "suffix" : "" }, { "dropping-particle" : "", "family" : "Yetisir", "given" : "Elizabeth", "non-dropping-particle" : "", "parse-names" : false, "suffix" : "" } ], "container-title" : "N Engl J Med", "id" : "ITEM-2", "issued" : { "date-parts" : [ [ "1999" ] ] }, "page" : "409-417", "title" : "A multicenter , randomized, controlled clinical trial of transfusion requirements in critical care", "type" : "article-journal", "volume" : "340" }, "uris" : [ "http://www.mendeley.com/documents/?uuid=ebab5060-09e5-47dc-8884-d2c57f5ed4b6" ] } ], "mendeley" : { "previouslyFormattedCitation" : "&lt;sup&gt;3,4&lt;/sup&gt;" }, "properties" : { "noteIndex" : 0 }, "schema" : "https://github.com/citation-style-language/schema/raw/master/csl-citation.json" }</w:instrText>
      </w:r>
      <w:r w:rsidR="00050411">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3,4</w:t>
      </w:r>
      <w:r w:rsidR="00050411">
        <w:rPr>
          <w:rFonts w:asciiTheme="minorHAnsi" w:eastAsiaTheme="minorHAnsi" w:hAnsiTheme="minorHAnsi" w:cstheme="minorHAnsi"/>
        </w:rPr>
        <w:fldChar w:fldCharType="end"/>
      </w:r>
    </w:p>
    <w:p w:rsidR="006155AE" w:rsidRDefault="006155AE" w:rsidP="009D685C">
      <w:pPr>
        <w:pStyle w:val="Heading4"/>
        <w:numPr>
          <w:ilvl w:val="0"/>
          <w:numId w:val="18"/>
        </w:numPr>
      </w:pPr>
      <w:r w:rsidRPr="006155AE">
        <w:t>Implementation Plan</w:t>
      </w:r>
    </w:p>
    <w:p w:rsidR="00F521F5" w:rsidRPr="00F521F5" w:rsidRDefault="00F521F5" w:rsidP="00F521F5">
      <w:r>
        <w:t>The following steps have been adapted from the Western Australia Government Single Unit Rule</w:t>
      </w:r>
      <w:r>
        <w:fldChar w:fldCharType="begin" w:fldLock="1"/>
      </w:r>
      <w:r>
        <w:instrText>ADDIN CSL_CITATION { "citationItems" : [ { "id" : "ITEM-1", "itemData" : { "author" : [ { "dropping-particle" : "", "family" : "Western Australia Government", "given" : "", "non-dropping-particle" : "", "parse-names" : false, "suffix" : "" } ], "id" : "ITEM-1", "issued" : { "date-parts" : [ [ "2012" ] ] }, "title" : "Single Unit Rule: A Quick Start Guide to Transfusion Reduction", "type" : "article-journal" }, "uris" : [ "http://www.mendeley.com/documents/?uuid=248e6614-4e99-4662-8633-f3534d49d192" ] } ], "mendeley" : { "previouslyFormattedCitation" : "&lt;sup&gt;5&lt;/sup&gt;" }, "properties" : { "noteIndex" : 0 }, "schema" : "https://github.com/citation-style-language/schema/raw/master/csl-citation.json" }</w:instrText>
      </w:r>
      <w:r>
        <w:fldChar w:fldCharType="separate"/>
      </w:r>
      <w:r w:rsidRPr="00F521F5">
        <w:rPr>
          <w:noProof/>
          <w:vertAlign w:val="superscript"/>
        </w:rPr>
        <w:t>5</w:t>
      </w:r>
      <w:r>
        <w:fldChar w:fldCharType="end"/>
      </w:r>
    </w:p>
    <w:p w:rsidR="006155AE" w:rsidRPr="005E21A9" w:rsidRDefault="008F12E7" w:rsidP="00135038">
      <w:pPr>
        <w:numPr>
          <w:ilvl w:val="0"/>
          <w:numId w:val="29"/>
        </w:numPr>
        <w:spacing w:after="120" w:line="276" w:lineRule="auto"/>
        <w:ind w:left="720"/>
        <w:rPr>
          <w:rFonts w:asciiTheme="minorHAnsi" w:eastAsiaTheme="minorHAnsi" w:hAnsiTheme="minorHAnsi" w:cstheme="minorHAnsi"/>
        </w:rPr>
      </w:pPr>
      <w:r w:rsidRPr="00756BE4">
        <w:rPr>
          <w:rFonts w:asciiTheme="minorHAnsi" w:eastAsiaTheme="minorHAnsi" w:hAnsiTheme="minorHAnsi" w:cstheme="minorHAnsi"/>
        </w:rPr>
        <w:t>Gain approval from executive management, medical director (or equivalent) for hospital or h</w:t>
      </w:r>
      <w:r w:rsidR="006155AE" w:rsidRPr="00756BE4">
        <w:rPr>
          <w:rFonts w:asciiTheme="minorHAnsi" w:eastAsiaTheme="minorHAnsi" w:hAnsiTheme="minorHAnsi" w:cstheme="minorHAnsi"/>
        </w:rPr>
        <w:t xml:space="preserve">ealth </w:t>
      </w:r>
      <w:r w:rsidRPr="00756BE4">
        <w:rPr>
          <w:rFonts w:asciiTheme="minorHAnsi" w:eastAsiaTheme="minorHAnsi" w:hAnsiTheme="minorHAnsi" w:cstheme="minorHAnsi"/>
        </w:rPr>
        <w:t>group. Involve hospital quality m</w:t>
      </w:r>
      <w:r w:rsidR="006155AE" w:rsidRPr="00756BE4">
        <w:rPr>
          <w:rFonts w:asciiTheme="minorHAnsi" w:eastAsiaTheme="minorHAnsi" w:hAnsiTheme="minorHAnsi" w:cstheme="minorHAnsi"/>
        </w:rPr>
        <w:t xml:space="preserve">anagers, </w:t>
      </w:r>
      <w:r w:rsidRPr="00756BE4">
        <w:rPr>
          <w:rFonts w:asciiTheme="minorHAnsi" w:eastAsiaTheme="minorHAnsi" w:hAnsiTheme="minorHAnsi" w:cstheme="minorHAnsi"/>
        </w:rPr>
        <w:t xml:space="preserve">Transfusion Governance Committee </w:t>
      </w:r>
      <w:r w:rsidR="006155AE" w:rsidRPr="00756BE4">
        <w:rPr>
          <w:rFonts w:asciiTheme="minorHAnsi" w:eastAsiaTheme="minorHAnsi" w:hAnsiTheme="minorHAnsi" w:cstheme="minorHAnsi"/>
        </w:rPr>
        <w:t>and Clinical Governance</w:t>
      </w:r>
      <w:r w:rsidR="001B3F3A">
        <w:rPr>
          <w:rFonts w:asciiTheme="minorHAnsi" w:eastAsiaTheme="minorHAnsi" w:hAnsiTheme="minorHAnsi" w:cstheme="minorHAnsi"/>
        </w:rPr>
        <w:t xml:space="preserve"> / Patient blood Management Committee</w:t>
      </w:r>
      <w:r w:rsidR="006155AE" w:rsidRPr="00756BE4">
        <w:rPr>
          <w:rFonts w:asciiTheme="minorHAnsi" w:eastAsiaTheme="minorHAnsi" w:hAnsiTheme="minorHAnsi" w:cstheme="minorHAnsi"/>
        </w:rPr>
        <w:t xml:space="preserve"> where possible.</w:t>
      </w:r>
    </w:p>
    <w:p w:rsidR="006155AE" w:rsidRDefault="008F12E7" w:rsidP="00135038">
      <w:pPr>
        <w:numPr>
          <w:ilvl w:val="0"/>
          <w:numId w:val="29"/>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Identify and recruit c</w:t>
      </w:r>
      <w:r w:rsidR="006155AE" w:rsidRPr="00756BE4">
        <w:rPr>
          <w:rFonts w:asciiTheme="minorHAnsi" w:eastAsiaTheme="minorHAnsi" w:hAnsiTheme="minorHAnsi" w:cstheme="minorHAnsi"/>
        </w:rPr>
        <w:t xml:space="preserve">hampions from medical staff to assist in </w:t>
      </w:r>
      <w:r w:rsidR="007B4797">
        <w:rPr>
          <w:rFonts w:asciiTheme="minorHAnsi" w:eastAsiaTheme="minorHAnsi" w:hAnsiTheme="minorHAnsi" w:cstheme="minorHAnsi"/>
        </w:rPr>
        <w:t xml:space="preserve">creation, </w:t>
      </w:r>
      <w:r w:rsidR="006155AE" w:rsidRPr="00756BE4">
        <w:rPr>
          <w:rFonts w:asciiTheme="minorHAnsi" w:eastAsiaTheme="minorHAnsi" w:hAnsiTheme="minorHAnsi" w:cstheme="minorHAnsi"/>
        </w:rPr>
        <w:t>p</w:t>
      </w:r>
      <w:r w:rsidRPr="00756BE4">
        <w:rPr>
          <w:rFonts w:asciiTheme="minorHAnsi" w:eastAsiaTheme="minorHAnsi" w:hAnsiTheme="minorHAnsi" w:cstheme="minorHAnsi"/>
        </w:rPr>
        <w:t xml:space="preserve">romotion and implementation of </w:t>
      </w:r>
      <w:r w:rsidR="00FA1A86">
        <w:rPr>
          <w:rFonts w:asciiTheme="minorHAnsi" w:eastAsiaTheme="minorHAnsi" w:hAnsiTheme="minorHAnsi" w:cstheme="minorHAnsi"/>
        </w:rPr>
        <w:t>a</w:t>
      </w:r>
      <w:r w:rsidR="00FA1A86" w:rsidRPr="00756BE4">
        <w:rPr>
          <w:rFonts w:asciiTheme="minorHAnsi" w:eastAsiaTheme="minorHAnsi" w:hAnsiTheme="minorHAnsi" w:cstheme="minorHAnsi"/>
        </w:rPr>
        <w:t xml:space="preserve"> </w:t>
      </w:r>
      <w:r w:rsidR="00FA1A86">
        <w:rPr>
          <w:rFonts w:asciiTheme="minorHAnsi" w:eastAsiaTheme="minorHAnsi" w:hAnsiTheme="minorHAnsi" w:cstheme="minorHAnsi"/>
        </w:rPr>
        <w:t>s</w:t>
      </w:r>
      <w:r w:rsidR="00FA1A86" w:rsidRPr="00756BE4">
        <w:rPr>
          <w:rFonts w:asciiTheme="minorHAnsi" w:eastAsiaTheme="minorHAnsi" w:hAnsiTheme="minorHAnsi" w:cstheme="minorHAnsi"/>
        </w:rPr>
        <w:t xml:space="preserve">ingle </w:t>
      </w:r>
      <w:r w:rsidR="00FA1A86">
        <w:rPr>
          <w:rFonts w:asciiTheme="minorHAnsi" w:eastAsiaTheme="minorHAnsi" w:hAnsiTheme="minorHAnsi" w:cstheme="minorHAnsi"/>
        </w:rPr>
        <w:t>u</w:t>
      </w:r>
      <w:r w:rsidR="00FA1A86" w:rsidRPr="00756BE4">
        <w:rPr>
          <w:rFonts w:asciiTheme="minorHAnsi" w:eastAsiaTheme="minorHAnsi" w:hAnsiTheme="minorHAnsi" w:cstheme="minorHAnsi"/>
        </w:rPr>
        <w:t xml:space="preserve">nit </w:t>
      </w:r>
      <w:r w:rsidR="00FA1A86">
        <w:rPr>
          <w:rFonts w:asciiTheme="minorHAnsi" w:eastAsiaTheme="minorHAnsi" w:hAnsiTheme="minorHAnsi" w:cstheme="minorHAnsi"/>
        </w:rPr>
        <w:t>t</w:t>
      </w:r>
      <w:r w:rsidR="00FA1A86" w:rsidRPr="00756BE4">
        <w:rPr>
          <w:rFonts w:asciiTheme="minorHAnsi" w:eastAsiaTheme="minorHAnsi" w:hAnsiTheme="minorHAnsi" w:cstheme="minorHAnsi"/>
        </w:rPr>
        <w:t xml:space="preserve">ransfusion </w:t>
      </w:r>
      <w:r w:rsidR="00FA1A86">
        <w:rPr>
          <w:rFonts w:asciiTheme="minorHAnsi" w:eastAsiaTheme="minorHAnsi" w:hAnsiTheme="minorHAnsi" w:cstheme="minorHAnsi"/>
        </w:rPr>
        <w:t>g</w:t>
      </w:r>
      <w:r w:rsidR="00FA1A86" w:rsidRPr="00756BE4">
        <w:rPr>
          <w:rFonts w:asciiTheme="minorHAnsi" w:eastAsiaTheme="minorHAnsi" w:hAnsiTheme="minorHAnsi" w:cstheme="minorHAnsi"/>
        </w:rPr>
        <w:t>uide</w:t>
      </w:r>
      <w:r w:rsidR="006155AE" w:rsidRPr="00756BE4">
        <w:rPr>
          <w:rFonts w:asciiTheme="minorHAnsi" w:eastAsiaTheme="minorHAnsi" w:hAnsiTheme="minorHAnsi" w:cstheme="minorHAnsi"/>
        </w:rPr>
        <w:t>.</w:t>
      </w:r>
    </w:p>
    <w:p w:rsidR="007B4797" w:rsidRPr="005E21A9" w:rsidRDefault="007B4797" w:rsidP="00135038">
      <w:pPr>
        <w:numPr>
          <w:ilvl w:val="0"/>
          <w:numId w:val="29"/>
        </w:numPr>
        <w:spacing w:after="120" w:line="276" w:lineRule="auto"/>
        <w:ind w:left="717" w:hanging="357"/>
        <w:rPr>
          <w:rFonts w:asciiTheme="minorHAnsi" w:eastAsiaTheme="minorHAnsi" w:hAnsiTheme="minorHAnsi" w:cstheme="minorHAnsi"/>
        </w:rPr>
      </w:pPr>
      <w:r>
        <w:rPr>
          <w:rFonts w:asciiTheme="minorHAnsi" w:eastAsiaTheme="minorHAnsi" w:hAnsiTheme="minorHAnsi" w:cstheme="minorHAnsi"/>
        </w:rPr>
        <w:t>Develop timelines and an education plan.</w:t>
      </w:r>
    </w:p>
    <w:p w:rsidR="006155AE" w:rsidRPr="00756BE4" w:rsidRDefault="006155AE" w:rsidP="00135038">
      <w:pPr>
        <w:numPr>
          <w:ilvl w:val="0"/>
          <w:numId w:val="29"/>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Identify staff for education and promotional roles, and/o</w:t>
      </w:r>
      <w:r w:rsidR="008F12E7" w:rsidRPr="00756BE4">
        <w:rPr>
          <w:rFonts w:asciiTheme="minorHAnsi" w:eastAsiaTheme="minorHAnsi" w:hAnsiTheme="minorHAnsi" w:cstheme="minorHAnsi"/>
        </w:rPr>
        <w:t>r utilise transfusion nurse specialists, hospital e</w:t>
      </w:r>
      <w:r w:rsidRPr="00756BE4">
        <w:rPr>
          <w:rFonts w:asciiTheme="minorHAnsi" w:eastAsiaTheme="minorHAnsi" w:hAnsiTheme="minorHAnsi" w:cstheme="minorHAnsi"/>
        </w:rPr>
        <w:t>ducators or equivalent if available.</w:t>
      </w:r>
    </w:p>
    <w:p w:rsidR="006155AE" w:rsidRPr="00756BE4" w:rsidRDefault="006155AE" w:rsidP="00135038">
      <w:pPr>
        <w:numPr>
          <w:ilvl w:val="0"/>
          <w:numId w:val="29"/>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 xml:space="preserve">Utilise existing Transfusion Governance Committee to promote patient blood management and </w:t>
      </w:r>
      <w:r w:rsidR="00FA1A86" w:rsidRPr="00756BE4">
        <w:rPr>
          <w:rFonts w:asciiTheme="minorHAnsi" w:eastAsiaTheme="minorHAnsi" w:hAnsiTheme="minorHAnsi" w:cstheme="minorHAnsi"/>
        </w:rPr>
        <w:t xml:space="preserve"> </w:t>
      </w:r>
      <w:r w:rsidR="00FA1A86">
        <w:rPr>
          <w:rFonts w:asciiTheme="minorHAnsi" w:eastAsiaTheme="minorHAnsi" w:hAnsiTheme="minorHAnsi" w:cstheme="minorHAnsi"/>
        </w:rPr>
        <w:t>s</w:t>
      </w:r>
      <w:r w:rsidR="00FA1A86" w:rsidRPr="00756BE4">
        <w:rPr>
          <w:rFonts w:asciiTheme="minorHAnsi" w:eastAsiaTheme="minorHAnsi" w:hAnsiTheme="minorHAnsi" w:cstheme="minorHAnsi"/>
        </w:rPr>
        <w:t xml:space="preserve">ingle </w:t>
      </w:r>
      <w:r w:rsidR="00FA1A86">
        <w:rPr>
          <w:rFonts w:asciiTheme="minorHAnsi" w:eastAsiaTheme="minorHAnsi" w:hAnsiTheme="minorHAnsi" w:cstheme="minorHAnsi"/>
        </w:rPr>
        <w:t>u</w:t>
      </w:r>
      <w:r w:rsidR="00FA1A86" w:rsidRPr="00756BE4">
        <w:rPr>
          <w:rFonts w:asciiTheme="minorHAnsi" w:eastAsiaTheme="minorHAnsi" w:hAnsiTheme="minorHAnsi" w:cstheme="minorHAnsi"/>
        </w:rPr>
        <w:t xml:space="preserve">nit </w:t>
      </w:r>
      <w:r w:rsidR="00FA1A86">
        <w:rPr>
          <w:rFonts w:asciiTheme="minorHAnsi" w:eastAsiaTheme="minorHAnsi" w:hAnsiTheme="minorHAnsi" w:cstheme="minorHAnsi"/>
        </w:rPr>
        <w:t>t</w:t>
      </w:r>
      <w:r w:rsidR="00FA1A86" w:rsidRPr="00756BE4">
        <w:rPr>
          <w:rFonts w:asciiTheme="minorHAnsi" w:eastAsiaTheme="minorHAnsi" w:hAnsiTheme="minorHAnsi" w:cstheme="minorHAnsi"/>
        </w:rPr>
        <w:t xml:space="preserve">ransfusion </w:t>
      </w:r>
      <w:r w:rsidRPr="00756BE4">
        <w:rPr>
          <w:rFonts w:asciiTheme="minorHAnsi" w:eastAsiaTheme="minorHAnsi" w:hAnsiTheme="minorHAnsi" w:cstheme="minorHAnsi"/>
        </w:rPr>
        <w:t>through this group. Introduce patient blood management into Terms of Reference, local literature, and single unit transfusion into all hospital policies and procedures around transfusion practices.</w:t>
      </w:r>
    </w:p>
    <w:p w:rsidR="006155AE" w:rsidRPr="00756BE4" w:rsidRDefault="006155AE" w:rsidP="00135038">
      <w:pPr>
        <w:numPr>
          <w:ilvl w:val="0"/>
          <w:numId w:val="29"/>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Education should ensure clarification that single</w:t>
      </w:r>
      <w:r w:rsidR="00FA1A86">
        <w:rPr>
          <w:rFonts w:asciiTheme="minorHAnsi" w:eastAsiaTheme="minorHAnsi" w:hAnsiTheme="minorHAnsi" w:cstheme="minorHAnsi"/>
        </w:rPr>
        <w:t xml:space="preserve"> </w:t>
      </w:r>
      <w:r w:rsidRPr="00756BE4">
        <w:rPr>
          <w:rFonts w:asciiTheme="minorHAnsi" w:eastAsiaTheme="minorHAnsi" w:hAnsiTheme="minorHAnsi" w:cstheme="minorHAnsi"/>
        </w:rPr>
        <w:t xml:space="preserve">unit </w:t>
      </w:r>
      <w:r w:rsidR="00FA1A86">
        <w:rPr>
          <w:rFonts w:asciiTheme="minorHAnsi" w:eastAsiaTheme="minorHAnsi" w:hAnsiTheme="minorHAnsi" w:cstheme="minorHAnsi"/>
        </w:rPr>
        <w:t>transfusion</w:t>
      </w:r>
      <w:r w:rsidR="00FA1A86" w:rsidRPr="00756BE4">
        <w:rPr>
          <w:rFonts w:asciiTheme="minorHAnsi" w:eastAsiaTheme="minorHAnsi" w:hAnsiTheme="minorHAnsi" w:cstheme="minorHAnsi"/>
        </w:rPr>
        <w:t xml:space="preserve"> </w:t>
      </w:r>
      <w:r w:rsidRPr="00756BE4">
        <w:rPr>
          <w:rFonts w:asciiTheme="minorHAnsi" w:eastAsiaTheme="minorHAnsi" w:hAnsiTheme="minorHAnsi" w:cstheme="minorHAnsi"/>
        </w:rPr>
        <w:t xml:space="preserve">does not apply to patients </w:t>
      </w:r>
      <w:r w:rsidR="00FA1A86">
        <w:rPr>
          <w:rFonts w:asciiTheme="minorHAnsi" w:eastAsiaTheme="minorHAnsi" w:hAnsiTheme="minorHAnsi" w:cstheme="minorHAnsi"/>
        </w:rPr>
        <w:t>with clinically significant</w:t>
      </w:r>
      <w:r w:rsidRPr="00756BE4">
        <w:rPr>
          <w:rFonts w:asciiTheme="minorHAnsi" w:eastAsiaTheme="minorHAnsi" w:hAnsiTheme="minorHAnsi" w:cstheme="minorHAnsi"/>
        </w:rPr>
        <w:t xml:space="preserve"> bleeding</w:t>
      </w:r>
      <w:r w:rsidR="00135038">
        <w:rPr>
          <w:rFonts w:asciiTheme="minorHAnsi" w:eastAsiaTheme="minorHAnsi" w:hAnsiTheme="minorHAnsi" w:cstheme="minorHAnsi"/>
        </w:rPr>
        <w:t>.</w:t>
      </w:r>
      <w:r w:rsidR="00135038">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"author" : [ { "dropping-particle" : "", "family" : "Webert", "given" : "Kathryn E", "non-dropping-particle" : "", "parse-names" : false, "suffix" : "" }, { "dropping-particle" : "", "family" : "Arnold", "given" : "Donald M", "non-dropping-particle" : "", "parse-names" : false, "suffix" : "" }, { "dropping-particle" : "", "family" : "Lui", "given" : "Yang", "non-dropping-particle" : "", "parse-names" : false, "suffix" : "" }, { "dropping-particle" : "", "family" : "Carruthers", "given" : "Julie", "non-dropping-particle" : "", "parse-names" : false, "suffix" : "" }, { "dropping-particle" : "", "family" : "Arnold", "given" : "Emmy", "non-dropping-particle" : "", "parse-names" : false, "suffix" : "" }, { "dropping-particle" : "", "family" : "Heddle", "given" : "Nancy M", "non-dropping-particle" : "", "parse-names" : false, "suffix" : "" } ], "container-title" : "Transfusion Practice", "id" : "ITEM-1", "issue" : "November", "issued" : { "date-parts" : [ [ "2012" ] ] }, "page" : "2466-2474", "title" : "A new tool to assess bleeding severity in patients with chemotherapy-induced thrmbocytopaenia", "type" : "article-journal", "volume" : "52" }, "uris" : [ "http://www.mendeley.com/documents/?uuid=562c39d6-8041-4e1e-a9c8-0be872a1e516" ] } ], "mendeley" : { "previouslyFormattedCitation" : "&lt;sup&gt;6&lt;/sup&gt;" }, "properties" : { "noteIndex" : 0 }, "schema" : "https://github.com/citation-style-language/schema/raw/master/csl-citation.json" }</w:instrText>
      </w:r>
      <w:r w:rsidR="00135038">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6</w:t>
      </w:r>
      <w:r w:rsidR="00135038">
        <w:rPr>
          <w:rFonts w:asciiTheme="minorHAnsi" w:eastAsiaTheme="minorHAnsi" w:hAnsiTheme="minorHAnsi" w:cstheme="minorHAnsi"/>
        </w:rPr>
        <w:fldChar w:fldCharType="end"/>
      </w:r>
      <w:r w:rsidRPr="00756BE4">
        <w:rPr>
          <w:rFonts w:asciiTheme="minorHAnsi" w:eastAsiaTheme="minorHAnsi" w:hAnsiTheme="minorHAnsi" w:cstheme="minorHAnsi"/>
        </w:rPr>
        <w:t xml:space="preserve"> If not already available, create a </w:t>
      </w:r>
      <w:hyperlink r:id="rId9" w:history="1">
        <w:r w:rsidRPr="00756BE4">
          <w:rPr>
            <w:rStyle w:val="Hyperlink"/>
            <w:rFonts w:asciiTheme="minorHAnsi" w:eastAsiaTheme="minorHAnsi" w:hAnsiTheme="minorHAnsi" w:cstheme="minorHAnsi"/>
          </w:rPr>
          <w:t>Massive Transfusion Protocol</w:t>
        </w:r>
      </w:hyperlink>
      <w:r w:rsidRPr="00756BE4">
        <w:rPr>
          <w:rFonts w:asciiTheme="minorHAnsi" w:eastAsiaTheme="minorHAnsi" w:hAnsiTheme="minorHAnsi" w:cstheme="minorHAnsi"/>
        </w:rPr>
        <w:t>.</w:t>
      </w:r>
      <w:r w:rsidR="00050411">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"author" : [ { "dropping-particle" : "", "family" : "National Blood Authority", "given" : "", "non-dropping-particle" : "", "parse-names" : false, "suffix" : "" } ], "id" : "ITEM-1", "issued" : { "date-parts" : [ [ "2011" ] ] }, "publisher-place" : "Canberra, Australia", "title" : "Patient Blood Management Guidelines: Module 1 - Critical Bleeding / Massive Transfusion", "type" : "book" }, "uris" : [ "http://www.mendeley.com/documents/?uuid=50da7b99-4c47-42eb-82ba-94405ba2c947" ] } ], "mendeley" : { "previouslyFormattedCitation" : "&lt;sup&gt;7&lt;/sup&gt;" }, "properties" : { "noteIndex" : 0 }, "schema" : "https://github.com/citation-style-language/schema/raw/master/csl-citation.json" }</w:instrText>
      </w:r>
      <w:r w:rsidR="00050411">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7</w:t>
      </w:r>
      <w:r w:rsidR="00050411">
        <w:rPr>
          <w:rFonts w:asciiTheme="minorHAnsi" w:eastAsiaTheme="minorHAnsi" w:hAnsiTheme="minorHAnsi" w:cstheme="minorHAnsi"/>
        </w:rPr>
        <w:fldChar w:fldCharType="end"/>
      </w:r>
    </w:p>
    <w:p w:rsidR="006155AE" w:rsidRPr="00756BE4" w:rsidRDefault="00320FD2" w:rsidP="00135038">
      <w:pPr>
        <w:numPr>
          <w:ilvl w:val="0"/>
          <w:numId w:val="29"/>
        </w:numPr>
        <w:spacing w:after="120" w:line="276" w:lineRule="auto"/>
        <w:ind w:left="717" w:hanging="357"/>
        <w:rPr>
          <w:rFonts w:asciiTheme="minorHAnsi" w:eastAsiaTheme="minorHAnsi" w:hAnsiTheme="minorHAnsi" w:cstheme="minorHAnsi"/>
        </w:rPr>
      </w:pPr>
      <w:r>
        <w:rPr>
          <w:rFonts w:asciiTheme="minorHAnsi" w:eastAsiaTheme="minorHAnsi" w:hAnsiTheme="minorHAnsi" w:cstheme="minorHAnsi"/>
        </w:rPr>
        <w:lastRenderedPageBreak/>
        <w:t xml:space="preserve">Educate medical staff </w:t>
      </w:r>
      <w:r w:rsidR="006155AE" w:rsidRPr="00756BE4">
        <w:rPr>
          <w:rFonts w:asciiTheme="minorHAnsi" w:eastAsiaTheme="minorHAnsi" w:hAnsiTheme="minorHAnsi" w:cstheme="minorHAnsi"/>
        </w:rPr>
        <w:t>on th</w:t>
      </w:r>
      <w:r w:rsidR="00135038">
        <w:rPr>
          <w:rFonts w:asciiTheme="minorHAnsi" w:eastAsiaTheme="minorHAnsi" w:hAnsiTheme="minorHAnsi" w:cstheme="minorHAnsi"/>
        </w:rPr>
        <w:t>e material provided to patients</w:t>
      </w:r>
      <w:r w:rsidR="006155AE" w:rsidRPr="00756BE4">
        <w:rPr>
          <w:rFonts w:asciiTheme="minorHAnsi" w:eastAsiaTheme="minorHAnsi" w:hAnsiTheme="minorHAnsi" w:cstheme="minorHAnsi"/>
        </w:rPr>
        <w:t xml:space="preserve"> and the questions patients will be encouraged to ask. Ensure awareness of real risks of transfusion. </w:t>
      </w:r>
    </w:p>
    <w:p w:rsidR="006155AE" w:rsidRPr="00756BE4" w:rsidRDefault="006155AE" w:rsidP="00135038">
      <w:pPr>
        <w:numPr>
          <w:ilvl w:val="0"/>
          <w:numId w:val="29"/>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 xml:space="preserve">If available, modify </w:t>
      </w:r>
      <w:r w:rsidR="008F12E7" w:rsidRPr="00756BE4">
        <w:rPr>
          <w:rFonts w:asciiTheme="minorHAnsi" w:eastAsiaTheme="minorHAnsi" w:hAnsiTheme="minorHAnsi" w:cstheme="minorHAnsi"/>
        </w:rPr>
        <w:t xml:space="preserve">computerised physician </w:t>
      </w:r>
      <w:r w:rsidR="00A17AB3" w:rsidRPr="00756BE4">
        <w:rPr>
          <w:rFonts w:asciiTheme="minorHAnsi" w:eastAsiaTheme="minorHAnsi" w:hAnsiTheme="minorHAnsi" w:cstheme="minorHAnsi"/>
        </w:rPr>
        <w:t>order entry (CPOE)</w:t>
      </w:r>
      <w:r w:rsidRPr="00756BE4">
        <w:rPr>
          <w:rFonts w:asciiTheme="minorHAnsi" w:eastAsiaTheme="minorHAnsi" w:hAnsiTheme="minorHAnsi" w:cstheme="minorHAnsi"/>
        </w:rPr>
        <w:t xml:space="preserve"> software to guide decision to transfuse, and prescription of red cells</w:t>
      </w:r>
      <w:r w:rsidR="00A17AB3" w:rsidRPr="00756BE4">
        <w:rPr>
          <w:rFonts w:asciiTheme="minorHAnsi" w:eastAsiaTheme="minorHAnsi" w:hAnsiTheme="minorHAnsi" w:cstheme="minorHAnsi"/>
        </w:rPr>
        <w:t xml:space="preserve"> to ensure compliance with the Single Unit Transfusion g</w:t>
      </w:r>
      <w:r w:rsidR="00320FD2">
        <w:rPr>
          <w:rFonts w:asciiTheme="minorHAnsi" w:eastAsiaTheme="minorHAnsi" w:hAnsiTheme="minorHAnsi" w:cstheme="minorHAnsi"/>
        </w:rPr>
        <w:t xml:space="preserve">uideline. </w:t>
      </w:r>
      <w:r w:rsidRPr="00756BE4">
        <w:rPr>
          <w:rFonts w:asciiTheme="minorHAnsi" w:eastAsiaTheme="minorHAnsi" w:hAnsiTheme="minorHAnsi" w:cstheme="minorHAnsi"/>
        </w:rPr>
        <w:t xml:space="preserve">Create distinction between “actively bleeding? – </w:t>
      </w:r>
      <w:r w:rsidR="003E4083" w:rsidRPr="00756BE4">
        <w:rPr>
          <w:rFonts w:asciiTheme="minorHAnsi" w:eastAsiaTheme="minorHAnsi" w:hAnsiTheme="minorHAnsi" w:cstheme="minorHAnsi"/>
        </w:rPr>
        <w:t>Y</w:t>
      </w:r>
      <w:r w:rsidR="003E4083">
        <w:rPr>
          <w:rFonts w:asciiTheme="minorHAnsi" w:eastAsiaTheme="minorHAnsi" w:hAnsiTheme="minorHAnsi" w:cstheme="minorHAnsi"/>
        </w:rPr>
        <w:t>ES</w:t>
      </w:r>
      <w:r w:rsidR="003E4083" w:rsidRPr="00756BE4">
        <w:rPr>
          <w:rFonts w:asciiTheme="minorHAnsi" w:eastAsiaTheme="minorHAnsi" w:hAnsiTheme="minorHAnsi" w:cstheme="minorHAnsi"/>
        </w:rPr>
        <w:t xml:space="preserve"> </w:t>
      </w:r>
      <w:r w:rsidRPr="00756BE4">
        <w:rPr>
          <w:rFonts w:asciiTheme="minorHAnsi" w:eastAsiaTheme="minorHAnsi" w:hAnsiTheme="minorHAnsi" w:cstheme="minorHAnsi"/>
        </w:rPr>
        <w:t>or NO” If No, only allow order for 1 unit at a time, with explanations required for over-rides.</w:t>
      </w:r>
    </w:p>
    <w:p w:rsidR="006155AE" w:rsidRPr="00756BE4" w:rsidRDefault="006155AE" w:rsidP="00135038">
      <w:pPr>
        <w:numPr>
          <w:ilvl w:val="0"/>
          <w:numId w:val="29"/>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Hospital wide education to all staff: Use</w:t>
      </w:r>
      <w:r w:rsidR="006D6D79">
        <w:rPr>
          <w:rFonts w:asciiTheme="minorHAnsi" w:eastAsiaTheme="minorHAnsi" w:hAnsiTheme="minorHAnsi" w:cstheme="minorHAnsi"/>
        </w:rPr>
        <w:t xml:space="preserve"> a</w:t>
      </w:r>
      <w:r w:rsidRPr="00756BE4">
        <w:rPr>
          <w:rFonts w:asciiTheme="minorHAnsi" w:eastAsiaTheme="minorHAnsi" w:hAnsiTheme="minorHAnsi" w:cstheme="minorHAnsi"/>
        </w:rPr>
        <w:t xml:space="preserve"> catch-phrase : </w:t>
      </w:r>
      <w:r w:rsidR="00966209">
        <w:rPr>
          <w:rFonts w:asciiTheme="minorHAnsi" w:eastAsiaTheme="minorHAnsi" w:hAnsiTheme="minorHAnsi" w:cstheme="minorHAnsi"/>
        </w:rPr>
        <w:t xml:space="preserve">for example </w:t>
      </w:r>
      <w:r w:rsidR="00D25F16">
        <w:rPr>
          <w:rFonts w:asciiTheme="minorHAnsi" w:eastAsiaTheme="minorHAnsi" w:hAnsiTheme="minorHAnsi" w:cstheme="minorHAnsi"/>
        </w:rPr>
        <w:t>“</w:t>
      </w:r>
      <w:r w:rsidR="00D25F16" w:rsidRPr="00FA1A86">
        <w:rPr>
          <w:rFonts w:asciiTheme="minorHAnsi" w:eastAsiaTheme="minorHAnsi" w:hAnsiTheme="minorHAnsi" w:cstheme="minorHAnsi"/>
          <w:b/>
        </w:rPr>
        <w:t xml:space="preserve">Every </w:t>
      </w:r>
      <w:r w:rsidR="00D25F16" w:rsidRPr="00FA1A86">
        <w:rPr>
          <w:rFonts w:asciiTheme="minorHAnsi" w:eastAsiaTheme="minorHAnsi" w:hAnsiTheme="minorHAnsi" w:cstheme="minorHAnsi"/>
          <w:b/>
          <w:color w:val="FF0000"/>
        </w:rPr>
        <w:t>ONE</w:t>
      </w:r>
      <w:r w:rsidR="00D25F16" w:rsidRPr="00FA1A86">
        <w:rPr>
          <w:rFonts w:asciiTheme="minorHAnsi" w:eastAsiaTheme="minorHAnsi" w:hAnsiTheme="minorHAnsi" w:cstheme="minorHAnsi"/>
          <w:b/>
        </w:rPr>
        <w:t xml:space="preserve"> matters</w:t>
      </w:r>
      <w:r w:rsidR="00D25F16">
        <w:rPr>
          <w:rFonts w:asciiTheme="minorHAnsi" w:eastAsiaTheme="minorHAnsi" w:hAnsiTheme="minorHAnsi" w:cstheme="minorHAnsi"/>
        </w:rPr>
        <w:t xml:space="preserve">”, </w:t>
      </w:r>
      <w:r w:rsidR="006D6D79" w:rsidRPr="006D6D79">
        <w:rPr>
          <w:rFonts w:asciiTheme="minorHAnsi" w:eastAsiaTheme="minorHAnsi" w:hAnsiTheme="minorHAnsi" w:cstheme="minorHAnsi"/>
        </w:rPr>
        <w:t>“</w:t>
      </w:r>
      <w:r w:rsidR="006D6D79" w:rsidRPr="00630D6C">
        <w:rPr>
          <w:rFonts w:asciiTheme="minorHAnsi" w:eastAsiaTheme="minorHAnsi" w:hAnsiTheme="minorHAnsi" w:cstheme="minorHAnsi"/>
          <w:b/>
          <w:color w:val="FF0000"/>
        </w:rPr>
        <w:t>ONE</w:t>
      </w:r>
      <w:r w:rsidR="006D6D79" w:rsidRPr="00630D6C">
        <w:rPr>
          <w:rFonts w:asciiTheme="minorHAnsi" w:eastAsiaTheme="minorHAnsi" w:hAnsiTheme="minorHAnsi" w:cstheme="minorHAnsi"/>
          <w:b/>
        </w:rPr>
        <w:t xml:space="preserve"> bag is best - then reassess</w:t>
      </w:r>
      <w:r w:rsidR="00D25F16">
        <w:rPr>
          <w:rFonts w:asciiTheme="minorHAnsi" w:eastAsiaTheme="minorHAnsi" w:hAnsiTheme="minorHAnsi" w:cstheme="minorHAnsi"/>
        </w:rPr>
        <w:t>”</w:t>
      </w:r>
      <w:r w:rsidR="006D6D79" w:rsidRPr="006D6D79">
        <w:rPr>
          <w:rFonts w:asciiTheme="minorHAnsi" w:eastAsiaTheme="minorHAnsi" w:hAnsiTheme="minorHAnsi" w:cstheme="minorHAnsi"/>
        </w:rPr>
        <w:t xml:space="preserve"> and </w:t>
      </w:r>
      <w:r w:rsidR="00D25F16" w:rsidRPr="00756BE4">
        <w:rPr>
          <w:rFonts w:asciiTheme="minorHAnsi" w:eastAsiaTheme="minorHAnsi" w:hAnsiTheme="minorHAnsi" w:cstheme="minorHAnsi"/>
        </w:rPr>
        <w:t>“</w:t>
      </w:r>
      <w:r w:rsidR="00D25F16" w:rsidRPr="00FA1A86">
        <w:rPr>
          <w:rFonts w:asciiTheme="minorHAnsi" w:eastAsiaTheme="minorHAnsi" w:hAnsiTheme="minorHAnsi" w:cstheme="minorHAnsi"/>
          <w:b/>
        </w:rPr>
        <w:t xml:space="preserve">Be </w:t>
      </w:r>
      <w:r w:rsidR="00D25F16" w:rsidRPr="00FA1A86">
        <w:rPr>
          <w:rFonts w:asciiTheme="minorHAnsi" w:eastAsiaTheme="minorHAnsi" w:hAnsiTheme="minorHAnsi" w:cstheme="minorHAnsi"/>
          <w:b/>
          <w:color w:val="FF0000"/>
        </w:rPr>
        <w:t xml:space="preserve">Single </w:t>
      </w:r>
      <w:r w:rsidR="00D25F16" w:rsidRPr="00FA1A86">
        <w:rPr>
          <w:rFonts w:asciiTheme="minorHAnsi" w:eastAsiaTheme="minorHAnsi" w:hAnsiTheme="minorHAnsi" w:cstheme="minorHAnsi"/>
          <w:b/>
        </w:rPr>
        <w:t>minded</w:t>
      </w:r>
      <w:r w:rsidR="00D25F16" w:rsidRPr="00756BE4">
        <w:rPr>
          <w:rFonts w:asciiTheme="minorHAnsi" w:eastAsiaTheme="minorHAnsi" w:hAnsiTheme="minorHAnsi" w:cstheme="minorHAnsi"/>
        </w:rPr>
        <w:t>”</w:t>
      </w:r>
      <w:r w:rsidR="00D25F16">
        <w:rPr>
          <w:rFonts w:asciiTheme="minorHAnsi" w:eastAsiaTheme="minorHAnsi" w:hAnsiTheme="minorHAnsi" w:cstheme="minorHAnsi"/>
        </w:rPr>
        <w:t xml:space="preserve">. </w:t>
      </w:r>
      <w:r w:rsidR="00D25F16">
        <w:rPr>
          <w:rFonts w:asciiTheme="minorHAnsi" w:eastAsiaTheme="minorHAnsi" w:hAnsiTheme="minorHAnsi" w:cstheme="minorHAnsi"/>
          <w:i/>
        </w:rPr>
        <w:t xml:space="preserve">Every ONE matters </w:t>
      </w:r>
      <w:r w:rsidR="00966209">
        <w:rPr>
          <w:rFonts w:asciiTheme="minorHAnsi" w:eastAsiaTheme="minorHAnsi" w:hAnsiTheme="minorHAnsi" w:cstheme="minorHAnsi"/>
        </w:rPr>
        <w:t>has been used in the support documents but you may wish to substitute it with another catch-phrase</w:t>
      </w:r>
      <w:r w:rsidR="00825E1A">
        <w:rPr>
          <w:rFonts w:asciiTheme="minorHAnsi" w:eastAsiaTheme="minorHAnsi" w:hAnsiTheme="minorHAnsi" w:cstheme="minorHAnsi"/>
        </w:rPr>
        <w:t>.</w:t>
      </w:r>
      <w:r w:rsidR="007B4797">
        <w:rPr>
          <w:rFonts w:asciiTheme="minorHAnsi" w:eastAsiaTheme="minorHAnsi" w:hAnsiTheme="minorHAnsi" w:cstheme="minorHAnsi"/>
        </w:rPr>
        <w:t xml:space="preserve"> Consider:</w:t>
      </w:r>
    </w:p>
    <w:p w:rsidR="006155AE" w:rsidRPr="00756BE4" w:rsidRDefault="006155AE" w:rsidP="007B4797">
      <w:pPr>
        <w:numPr>
          <w:ilvl w:val="0"/>
          <w:numId w:val="33"/>
        </w:numPr>
        <w:spacing w:after="120" w:line="276" w:lineRule="auto"/>
        <w:ind w:left="1443"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Grand Rounds, Morbidity and Mortality (M&amp;M) meetings, Division/specialty regular meetings or seminars</w:t>
      </w:r>
    </w:p>
    <w:p w:rsidR="006155AE" w:rsidRPr="00756BE4" w:rsidRDefault="006155AE" w:rsidP="007B4797">
      <w:pPr>
        <w:numPr>
          <w:ilvl w:val="0"/>
          <w:numId w:val="33"/>
        </w:numPr>
        <w:spacing w:after="120" w:line="276" w:lineRule="auto"/>
        <w:ind w:left="1443"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Intranet and website features, internal magazines, regular internal publications including electronic communications. Cycle eye-catching and variable promotional material, repeat exposure regularly</w:t>
      </w:r>
    </w:p>
    <w:p w:rsidR="006155AE" w:rsidRPr="00756BE4" w:rsidRDefault="006155AE" w:rsidP="00013FEB">
      <w:pPr>
        <w:numPr>
          <w:ilvl w:val="0"/>
          <w:numId w:val="33"/>
        </w:numPr>
        <w:spacing w:after="120" w:line="276" w:lineRule="auto"/>
        <w:ind w:left="1443"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Laboratory staff meetings, education seminars, notice boards</w:t>
      </w:r>
    </w:p>
    <w:p w:rsidR="006155AE" w:rsidRPr="00756BE4" w:rsidRDefault="006155AE" w:rsidP="00013FEB">
      <w:pPr>
        <w:numPr>
          <w:ilvl w:val="0"/>
          <w:numId w:val="33"/>
        </w:numPr>
        <w:spacing w:after="120" w:line="276" w:lineRule="auto"/>
        <w:ind w:left="1443"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Display boards in medical specialty areas, staff rooms, conference rooms</w:t>
      </w:r>
    </w:p>
    <w:p w:rsidR="006155AE" w:rsidRPr="00756BE4" w:rsidRDefault="006155AE" w:rsidP="00013FEB">
      <w:pPr>
        <w:numPr>
          <w:ilvl w:val="0"/>
          <w:numId w:val="33"/>
        </w:numPr>
        <w:spacing w:after="120" w:line="276" w:lineRule="auto"/>
        <w:ind w:left="1443"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Information incorporated into orientation education for medical, nursing and laboratory staff</w:t>
      </w:r>
    </w:p>
    <w:p w:rsidR="006155AE" w:rsidRPr="00756BE4" w:rsidRDefault="006155AE" w:rsidP="00013FEB">
      <w:pPr>
        <w:numPr>
          <w:ilvl w:val="0"/>
          <w:numId w:val="33"/>
        </w:numPr>
        <w:spacing w:after="120" w:line="276" w:lineRule="auto"/>
        <w:ind w:left="1443"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Information provided with every red blood cell issue from Labor</w:t>
      </w:r>
      <w:r w:rsidR="00320FD2">
        <w:rPr>
          <w:rFonts w:asciiTheme="minorHAnsi" w:eastAsiaTheme="minorHAnsi" w:hAnsiTheme="minorHAnsi" w:cstheme="minorHAnsi"/>
          <w:szCs w:val="20"/>
        </w:rPr>
        <w:t xml:space="preserve">atory for introductory period. </w:t>
      </w:r>
      <w:r w:rsidRPr="00756BE4">
        <w:rPr>
          <w:rFonts w:asciiTheme="minorHAnsi" w:eastAsiaTheme="minorHAnsi" w:hAnsiTheme="minorHAnsi" w:cstheme="minorHAnsi"/>
          <w:szCs w:val="20"/>
        </w:rPr>
        <w:t>P</w:t>
      </w:r>
      <w:r w:rsidR="00320FD2">
        <w:rPr>
          <w:rFonts w:asciiTheme="minorHAnsi" w:eastAsiaTheme="minorHAnsi" w:hAnsiTheme="minorHAnsi" w:cstheme="minorHAnsi"/>
          <w:szCs w:val="20"/>
        </w:rPr>
        <w:t>resent it p</w:t>
      </w:r>
      <w:r w:rsidRPr="00756BE4">
        <w:rPr>
          <w:rFonts w:asciiTheme="minorHAnsi" w:eastAsiaTheme="minorHAnsi" w:hAnsiTheme="minorHAnsi" w:cstheme="minorHAnsi"/>
          <w:szCs w:val="20"/>
        </w:rPr>
        <w:t xml:space="preserve">rinted on </w:t>
      </w:r>
      <w:r w:rsidR="00320FD2">
        <w:rPr>
          <w:rFonts w:asciiTheme="minorHAnsi" w:eastAsiaTheme="minorHAnsi" w:hAnsiTheme="minorHAnsi" w:cstheme="minorHAnsi"/>
          <w:szCs w:val="20"/>
        </w:rPr>
        <w:t xml:space="preserve">the </w:t>
      </w:r>
      <w:r w:rsidRPr="00756BE4">
        <w:rPr>
          <w:rFonts w:asciiTheme="minorHAnsi" w:eastAsiaTheme="minorHAnsi" w:hAnsiTheme="minorHAnsi" w:cstheme="minorHAnsi"/>
          <w:szCs w:val="20"/>
        </w:rPr>
        <w:t>release report if possible with</w:t>
      </w:r>
      <w:r w:rsidR="00320FD2">
        <w:rPr>
          <w:rFonts w:asciiTheme="minorHAnsi" w:eastAsiaTheme="minorHAnsi" w:hAnsiTheme="minorHAnsi" w:cstheme="minorHAnsi"/>
          <w:szCs w:val="20"/>
        </w:rPr>
        <w:t xml:space="preserve"> IT system in use, or leaflets</w:t>
      </w:r>
    </w:p>
    <w:p w:rsidR="006155AE" w:rsidRPr="00756BE4" w:rsidRDefault="006155AE" w:rsidP="00013FEB">
      <w:pPr>
        <w:numPr>
          <w:ilvl w:val="0"/>
          <w:numId w:val="33"/>
        </w:numPr>
        <w:spacing w:after="120" w:line="276" w:lineRule="auto"/>
        <w:ind w:left="1445"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Training manuals in laboratories to reflect patient blood management principles and single</w:t>
      </w:r>
      <w:r w:rsidR="00320FD2">
        <w:rPr>
          <w:rFonts w:asciiTheme="minorHAnsi" w:eastAsiaTheme="minorHAnsi" w:hAnsiTheme="minorHAnsi" w:cstheme="minorHAnsi"/>
          <w:szCs w:val="20"/>
        </w:rPr>
        <w:t xml:space="preserve"> </w:t>
      </w:r>
      <w:r w:rsidRPr="00756BE4">
        <w:rPr>
          <w:rFonts w:asciiTheme="minorHAnsi" w:eastAsiaTheme="minorHAnsi" w:hAnsiTheme="minorHAnsi" w:cstheme="minorHAnsi"/>
          <w:szCs w:val="20"/>
        </w:rPr>
        <w:t>unit transfusion guideline information</w:t>
      </w:r>
    </w:p>
    <w:p w:rsidR="006155AE" w:rsidRPr="00756BE4" w:rsidRDefault="006155AE" w:rsidP="00013FEB">
      <w:pPr>
        <w:numPr>
          <w:ilvl w:val="0"/>
          <w:numId w:val="29"/>
        </w:numPr>
        <w:spacing w:before="240" w:after="120" w:line="276" w:lineRule="auto"/>
        <w:ind w:left="714" w:hanging="357"/>
        <w:rPr>
          <w:rFonts w:asciiTheme="minorHAnsi" w:eastAsiaTheme="minorHAnsi" w:hAnsiTheme="minorHAnsi" w:cstheme="minorHAnsi"/>
        </w:rPr>
      </w:pPr>
      <w:r w:rsidRPr="00756BE4">
        <w:rPr>
          <w:rFonts w:asciiTheme="minorHAnsi" w:eastAsiaTheme="minorHAnsi" w:hAnsiTheme="minorHAnsi" w:cstheme="minorHAnsi"/>
        </w:rPr>
        <w:t xml:space="preserve">Patient / consumer education material available for pre-operative clinics, medical clinics, outpatient areas, emergency rooms, treatment rooms, and on public access websites. </w:t>
      </w:r>
    </w:p>
    <w:p w:rsidR="006155AE" w:rsidRPr="00756BE4" w:rsidRDefault="006155AE" w:rsidP="00013FEB">
      <w:pPr>
        <w:numPr>
          <w:ilvl w:val="0"/>
          <w:numId w:val="29"/>
        </w:numPr>
        <w:spacing w:after="120" w:line="276" w:lineRule="auto"/>
        <w:ind w:left="714" w:hanging="357"/>
        <w:rPr>
          <w:rFonts w:asciiTheme="minorHAnsi" w:eastAsiaTheme="minorHAnsi" w:hAnsiTheme="minorHAnsi" w:cstheme="minorHAnsi"/>
        </w:rPr>
      </w:pPr>
      <w:r w:rsidRPr="00756BE4">
        <w:rPr>
          <w:rFonts w:asciiTheme="minorHAnsi" w:eastAsiaTheme="minorHAnsi" w:hAnsiTheme="minorHAnsi" w:cstheme="minorHAnsi"/>
        </w:rPr>
        <w:t>Empower</w:t>
      </w:r>
      <w:r w:rsidR="00B3271B">
        <w:rPr>
          <w:rFonts w:asciiTheme="minorHAnsi" w:eastAsiaTheme="minorHAnsi" w:hAnsiTheme="minorHAnsi" w:cstheme="minorHAnsi"/>
        </w:rPr>
        <w:t xml:space="preserve"> and support</w:t>
      </w:r>
      <w:r w:rsidRPr="00756BE4">
        <w:rPr>
          <w:rFonts w:asciiTheme="minorHAnsi" w:eastAsiaTheme="minorHAnsi" w:hAnsiTheme="minorHAnsi" w:cstheme="minorHAnsi"/>
        </w:rPr>
        <w:t xml:space="preserve"> transfusion nursing </w:t>
      </w:r>
      <w:r w:rsidR="00B3271B">
        <w:rPr>
          <w:rFonts w:asciiTheme="minorHAnsi" w:eastAsiaTheme="minorHAnsi" w:hAnsiTheme="minorHAnsi" w:cstheme="minorHAnsi"/>
        </w:rPr>
        <w:t xml:space="preserve">and </w:t>
      </w:r>
      <w:r w:rsidR="00B3271B" w:rsidRPr="00756BE4">
        <w:rPr>
          <w:rFonts w:asciiTheme="minorHAnsi" w:eastAsiaTheme="minorHAnsi" w:hAnsiTheme="minorHAnsi" w:cstheme="minorHAnsi"/>
        </w:rPr>
        <w:t>laboratory staff</w:t>
      </w:r>
      <w:r w:rsidRPr="00756BE4">
        <w:rPr>
          <w:rFonts w:asciiTheme="minorHAnsi" w:eastAsiaTheme="minorHAnsi" w:hAnsiTheme="minorHAnsi" w:cstheme="minorHAnsi"/>
        </w:rPr>
        <w:t xml:space="preserve"> to </w:t>
      </w:r>
      <w:r w:rsidR="001B3F3A">
        <w:rPr>
          <w:rFonts w:asciiTheme="minorHAnsi" w:eastAsiaTheme="minorHAnsi" w:hAnsiTheme="minorHAnsi" w:cstheme="minorHAnsi"/>
        </w:rPr>
        <w:t>monitor</w:t>
      </w:r>
      <w:r w:rsidRPr="00756BE4">
        <w:rPr>
          <w:rFonts w:asciiTheme="minorHAnsi" w:eastAsiaTheme="minorHAnsi" w:hAnsiTheme="minorHAnsi" w:cstheme="minorHAnsi"/>
        </w:rPr>
        <w:t xml:space="preserve"> compliance to </w:t>
      </w:r>
      <w:r w:rsidR="00FA1A86">
        <w:rPr>
          <w:rFonts w:asciiTheme="minorHAnsi" w:eastAsiaTheme="minorHAnsi" w:hAnsiTheme="minorHAnsi" w:cstheme="minorHAnsi"/>
        </w:rPr>
        <w:t>a</w:t>
      </w:r>
      <w:r w:rsidR="00FA1A86" w:rsidRPr="00756BE4">
        <w:rPr>
          <w:rFonts w:asciiTheme="minorHAnsi" w:eastAsiaTheme="minorHAnsi" w:hAnsiTheme="minorHAnsi" w:cstheme="minorHAnsi"/>
        </w:rPr>
        <w:t xml:space="preserve"> </w:t>
      </w:r>
      <w:r w:rsidR="00FA1A86">
        <w:rPr>
          <w:rFonts w:asciiTheme="minorHAnsi" w:eastAsiaTheme="minorHAnsi" w:hAnsiTheme="minorHAnsi" w:cstheme="minorHAnsi"/>
        </w:rPr>
        <w:t>s</w:t>
      </w:r>
      <w:r w:rsidR="00FA1A86" w:rsidRPr="00756BE4">
        <w:rPr>
          <w:rFonts w:asciiTheme="minorHAnsi" w:eastAsiaTheme="minorHAnsi" w:hAnsiTheme="minorHAnsi" w:cstheme="minorHAnsi"/>
        </w:rPr>
        <w:t xml:space="preserve">ingle </w:t>
      </w:r>
      <w:r w:rsidR="00FA1A86">
        <w:rPr>
          <w:rFonts w:asciiTheme="minorHAnsi" w:eastAsiaTheme="minorHAnsi" w:hAnsiTheme="minorHAnsi" w:cstheme="minorHAnsi"/>
        </w:rPr>
        <w:t>u</w:t>
      </w:r>
      <w:r w:rsidR="00FA1A86" w:rsidRPr="00756BE4">
        <w:rPr>
          <w:rFonts w:asciiTheme="minorHAnsi" w:eastAsiaTheme="minorHAnsi" w:hAnsiTheme="minorHAnsi" w:cstheme="minorHAnsi"/>
        </w:rPr>
        <w:t xml:space="preserve">nit </w:t>
      </w:r>
      <w:r w:rsidR="00FA1A86">
        <w:rPr>
          <w:rFonts w:asciiTheme="minorHAnsi" w:eastAsiaTheme="minorHAnsi" w:hAnsiTheme="minorHAnsi" w:cstheme="minorHAnsi"/>
        </w:rPr>
        <w:t>t</w:t>
      </w:r>
      <w:r w:rsidR="00FA1A86" w:rsidRPr="00756BE4">
        <w:rPr>
          <w:rFonts w:asciiTheme="minorHAnsi" w:eastAsiaTheme="minorHAnsi" w:hAnsiTheme="minorHAnsi" w:cstheme="minorHAnsi"/>
        </w:rPr>
        <w:t xml:space="preserve">ransfusion </w:t>
      </w:r>
      <w:r w:rsidR="00FA1A86">
        <w:rPr>
          <w:rFonts w:asciiTheme="minorHAnsi" w:eastAsiaTheme="minorHAnsi" w:hAnsiTheme="minorHAnsi" w:cstheme="minorHAnsi"/>
        </w:rPr>
        <w:t>g</w:t>
      </w:r>
      <w:r w:rsidR="00FA1A86" w:rsidRPr="00756BE4">
        <w:rPr>
          <w:rFonts w:asciiTheme="minorHAnsi" w:eastAsiaTheme="minorHAnsi" w:hAnsiTheme="minorHAnsi" w:cstheme="minorHAnsi"/>
        </w:rPr>
        <w:t>uideline</w:t>
      </w:r>
      <w:r w:rsidRPr="00756BE4">
        <w:rPr>
          <w:rFonts w:asciiTheme="minorHAnsi" w:eastAsiaTheme="minorHAnsi" w:hAnsiTheme="minorHAnsi" w:cstheme="minorHAnsi"/>
        </w:rPr>
        <w:t xml:space="preserve">. </w:t>
      </w:r>
    </w:p>
    <w:p w:rsidR="006155AE" w:rsidRPr="00756BE4" w:rsidRDefault="006155AE" w:rsidP="00013FEB">
      <w:pPr>
        <w:numPr>
          <w:ilvl w:val="0"/>
          <w:numId w:val="22"/>
        </w:numPr>
        <w:spacing w:after="120" w:line="276" w:lineRule="auto"/>
        <w:ind w:left="1445"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 xml:space="preserve">Provide copy of the </w:t>
      </w:r>
      <w:r w:rsidR="00320FD2">
        <w:rPr>
          <w:rFonts w:asciiTheme="minorHAnsi" w:eastAsiaTheme="minorHAnsi" w:hAnsiTheme="minorHAnsi" w:cstheme="minorHAnsi"/>
          <w:szCs w:val="20"/>
        </w:rPr>
        <w:t>guideline</w:t>
      </w:r>
      <w:r w:rsidRPr="00756BE4">
        <w:rPr>
          <w:rFonts w:asciiTheme="minorHAnsi" w:eastAsiaTheme="minorHAnsi" w:hAnsiTheme="minorHAnsi" w:cstheme="minorHAnsi"/>
          <w:szCs w:val="20"/>
        </w:rPr>
        <w:t xml:space="preserve"> and scripts of questions </w:t>
      </w:r>
      <w:r w:rsidR="003E4083">
        <w:rPr>
          <w:rFonts w:asciiTheme="minorHAnsi" w:eastAsiaTheme="minorHAnsi" w:hAnsiTheme="minorHAnsi" w:cstheme="minorHAnsi"/>
          <w:szCs w:val="20"/>
        </w:rPr>
        <w:t xml:space="preserve">and answers </w:t>
      </w:r>
      <w:r w:rsidRPr="00756BE4">
        <w:rPr>
          <w:rFonts w:asciiTheme="minorHAnsi" w:eastAsiaTheme="minorHAnsi" w:hAnsiTheme="minorHAnsi" w:cstheme="minorHAnsi"/>
          <w:szCs w:val="20"/>
        </w:rPr>
        <w:t xml:space="preserve">to assess prescription or request is compliant </w:t>
      </w:r>
      <w:r w:rsidR="003E4083">
        <w:rPr>
          <w:rFonts w:asciiTheme="minorHAnsi" w:eastAsiaTheme="minorHAnsi" w:hAnsiTheme="minorHAnsi" w:cstheme="minorHAnsi"/>
          <w:szCs w:val="20"/>
        </w:rPr>
        <w:t>with</w:t>
      </w:r>
      <w:r w:rsidR="003E4083" w:rsidRPr="00756BE4">
        <w:rPr>
          <w:rFonts w:asciiTheme="minorHAnsi" w:eastAsiaTheme="minorHAnsi" w:hAnsiTheme="minorHAnsi" w:cstheme="minorHAnsi"/>
          <w:szCs w:val="20"/>
        </w:rPr>
        <w:t xml:space="preserve"> </w:t>
      </w:r>
      <w:r w:rsidR="00320FD2">
        <w:rPr>
          <w:rFonts w:asciiTheme="minorHAnsi" w:eastAsiaTheme="minorHAnsi" w:hAnsiTheme="minorHAnsi" w:cstheme="minorHAnsi"/>
          <w:szCs w:val="20"/>
        </w:rPr>
        <w:t>the guideline parameters. P</w:t>
      </w:r>
      <w:r w:rsidRPr="00756BE4">
        <w:rPr>
          <w:rFonts w:asciiTheme="minorHAnsi" w:eastAsiaTheme="minorHAnsi" w:hAnsiTheme="minorHAnsi" w:cstheme="minorHAnsi"/>
          <w:szCs w:val="20"/>
        </w:rPr>
        <w:t>rovide a mechanism to document requests and challenges.</w:t>
      </w:r>
    </w:p>
    <w:p w:rsidR="006155AE" w:rsidRPr="00756BE4" w:rsidRDefault="006155AE" w:rsidP="00013FEB">
      <w:pPr>
        <w:numPr>
          <w:ilvl w:val="0"/>
          <w:numId w:val="22"/>
        </w:numPr>
        <w:spacing w:after="120" w:line="276" w:lineRule="auto"/>
        <w:ind w:left="1445"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Ensure appropriate medical staff (</w:t>
      </w:r>
      <w:r w:rsidR="00A17AB3" w:rsidRPr="00756BE4">
        <w:rPr>
          <w:rFonts w:asciiTheme="minorHAnsi" w:eastAsiaTheme="minorHAnsi" w:hAnsiTheme="minorHAnsi" w:cstheme="minorHAnsi"/>
          <w:szCs w:val="20"/>
        </w:rPr>
        <w:t>h</w:t>
      </w:r>
      <w:r w:rsidRPr="00756BE4">
        <w:rPr>
          <w:rFonts w:asciiTheme="minorHAnsi" w:eastAsiaTheme="minorHAnsi" w:hAnsiTheme="minorHAnsi" w:cstheme="minorHAnsi"/>
          <w:szCs w:val="20"/>
        </w:rPr>
        <w:t xml:space="preserve">aematology, clinician </w:t>
      </w:r>
      <w:r w:rsidR="00320FD2">
        <w:rPr>
          <w:rFonts w:asciiTheme="minorHAnsi" w:eastAsiaTheme="minorHAnsi" w:hAnsiTheme="minorHAnsi" w:cstheme="minorHAnsi"/>
          <w:szCs w:val="20"/>
        </w:rPr>
        <w:t>c</w:t>
      </w:r>
      <w:r w:rsidRPr="00756BE4">
        <w:rPr>
          <w:rFonts w:asciiTheme="minorHAnsi" w:eastAsiaTheme="minorHAnsi" w:hAnsiTheme="minorHAnsi" w:cstheme="minorHAnsi"/>
          <w:szCs w:val="20"/>
        </w:rPr>
        <w:t>hampion) are available to support challenges to requests.</w:t>
      </w:r>
    </w:p>
    <w:p w:rsidR="006155AE" w:rsidRPr="00756BE4" w:rsidRDefault="006155AE" w:rsidP="00013FEB">
      <w:pPr>
        <w:numPr>
          <w:ilvl w:val="0"/>
          <w:numId w:val="22"/>
        </w:numPr>
        <w:spacing w:after="120" w:line="276" w:lineRule="auto"/>
        <w:ind w:left="1445" w:hanging="181"/>
        <w:contextualSpacing/>
        <w:rPr>
          <w:rFonts w:asciiTheme="minorHAnsi" w:eastAsiaTheme="minorHAnsi" w:hAnsiTheme="minorHAnsi" w:cstheme="minorHAnsi"/>
          <w:szCs w:val="20"/>
        </w:rPr>
      </w:pPr>
      <w:r w:rsidRPr="00756BE4">
        <w:rPr>
          <w:rFonts w:asciiTheme="minorHAnsi" w:eastAsiaTheme="minorHAnsi" w:hAnsiTheme="minorHAnsi" w:cstheme="minorHAnsi"/>
          <w:szCs w:val="20"/>
        </w:rPr>
        <w:t>Provide easy access to educational material that the laboratory or nursing staff can share with prescribers, if necessary.</w:t>
      </w:r>
    </w:p>
    <w:p w:rsidR="006155AE" w:rsidRPr="006155AE" w:rsidRDefault="006155AE" w:rsidP="00825E1A">
      <w:pPr>
        <w:pStyle w:val="Heading4"/>
        <w:numPr>
          <w:ilvl w:val="0"/>
          <w:numId w:val="18"/>
        </w:numPr>
        <w:spacing w:line="276" w:lineRule="auto"/>
        <w:contextualSpacing/>
      </w:pPr>
      <w:r w:rsidRPr="006155AE">
        <w:t>Resources Required</w:t>
      </w:r>
    </w:p>
    <w:p w:rsidR="006155AE" w:rsidRPr="00756BE4" w:rsidRDefault="006155AE" w:rsidP="00135038">
      <w:pPr>
        <w:numPr>
          <w:ilvl w:val="0"/>
          <w:numId w:val="38"/>
        </w:numPr>
        <w:spacing w:after="120" w:line="276" w:lineRule="auto"/>
        <w:rPr>
          <w:rFonts w:asciiTheme="minorHAnsi" w:eastAsiaTheme="minorHAnsi" w:hAnsiTheme="minorHAnsi" w:cstheme="minorHAnsi"/>
        </w:rPr>
      </w:pPr>
      <w:r w:rsidRPr="00756BE4">
        <w:rPr>
          <w:rFonts w:asciiTheme="minorHAnsi" w:eastAsiaTheme="minorHAnsi" w:hAnsiTheme="minorHAnsi" w:cstheme="minorHAnsi"/>
        </w:rPr>
        <w:t>Clinical Champions</w:t>
      </w:r>
      <w:r w:rsidR="00FA1A86">
        <w:rPr>
          <w:rFonts w:asciiTheme="minorHAnsi" w:eastAsiaTheme="minorHAnsi" w:hAnsiTheme="minorHAnsi" w:cstheme="minorHAnsi"/>
        </w:rPr>
        <w:t xml:space="preserve"> - clinical champions can be any interested health professional </w:t>
      </w:r>
    </w:p>
    <w:p w:rsidR="006155AE" w:rsidRPr="00756BE4" w:rsidRDefault="006155AE" w:rsidP="00135038">
      <w:pPr>
        <w:numPr>
          <w:ilvl w:val="0"/>
          <w:numId w:val="38"/>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Nominated staff to provide education, promotion, monitoring and data collection</w:t>
      </w:r>
    </w:p>
    <w:p w:rsidR="006155AE" w:rsidRPr="00756BE4" w:rsidRDefault="006155AE" w:rsidP="00135038">
      <w:pPr>
        <w:numPr>
          <w:ilvl w:val="0"/>
          <w:numId w:val="38"/>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Printed promotional material; posters, leaflets, brochures</w:t>
      </w:r>
    </w:p>
    <w:p w:rsidR="006155AE" w:rsidRPr="00756BE4" w:rsidRDefault="006155AE" w:rsidP="00135038">
      <w:pPr>
        <w:numPr>
          <w:ilvl w:val="0"/>
          <w:numId w:val="38"/>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 xml:space="preserve">Electronic promotional material – IT support for access to local systems </w:t>
      </w:r>
    </w:p>
    <w:p w:rsidR="006155AE" w:rsidRPr="00756BE4" w:rsidRDefault="006155AE" w:rsidP="00135038">
      <w:pPr>
        <w:numPr>
          <w:ilvl w:val="0"/>
          <w:numId w:val="38"/>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 xml:space="preserve">Ability to modify existing </w:t>
      </w:r>
      <w:r w:rsidR="00320FD2">
        <w:rPr>
          <w:rFonts w:asciiTheme="minorHAnsi" w:eastAsiaTheme="minorHAnsi" w:hAnsiTheme="minorHAnsi" w:cstheme="minorHAnsi"/>
        </w:rPr>
        <w:t>e</w:t>
      </w:r>
      <w:r w:rsidRPr="00756BE4">
        <w:rPr>
          <w:rFonts w:asciiTheme="minorHAnsi" w:eastAsiaTheme="minorHAnsi" w:hAnsiTheme="minorHAnsi" w:cstheme="minorHAnsi"/>
        </w:rPr>
        <w:t xml:space="preserve">lectronic </w:t>
      </w:r>
      <w:r w:rsidR="00320FD2">
        <w:rPr>
          <w:rFonts w:asciiTheme="minorHAnsi" w:eastAsiaTheme="minorHAnsi" w:hAnsiTheme="minorHAnsi" w:cstheme="minorHAnsi"/>
        </w:rPr>
        <w:t>o</w:t>
      </w:r>
      <w:r w:rsidRPr="00756BE4">
        <w:rPr>
          <w:rFonts w:asciiTheme="minorHAnsi" w:eastAsiaTheme="minorHAnsi" w:hAnsiTheme="minorHAnsi" w:cstheme="minorHAnsi"/>
        </w:rPr>
        <w:t xml:space="preserve">rdering software if available </w:t>
      </w:r>
    </w:p>
    <w:p w:rsidR="007B4797" w:rsidRDefault="007B4797" w:rsidP="00013FEB">
      <w:pPr>
        <w:pStyle w:val="Heading4"/>
        <w:spacing w:line="276" w:lineRule="auto"/>
        <w:ind w:left="360"/>
        <w:contextualSpacing/>
      </w:pPr>
    </w:p>
    <w:p w:rsidR="006155AE" w:rsidRPr="006155AE" w:rsidRDefault="006155AE" w:rsidP="00825E1A">
      <w:pPr>
        <w:pStyle w:val="Heading4"/>
        <w:numPr>
          <w:ilvl w:val="0"/>
          <w:numId w:val="18"/>
        </w:numPr>
        <w:spacing w:line="276" w:lineRule="auto"/>
        <w:contextualSpacing/>
      </w:pPr>
      <w:r w:rsidRPr="006155AE">
        <w:t>Plan for monitoring and tracking compliance / success</w:t>
      </w:r>
    </w:p>
    <w:p w:rsidR="006155AE" w:rsidRPr="00756BE4" w:rsidRDefault="006155AE" w:rsidP="00135038">
      <w:pPr>
        <w:numPr>
          <w:ilvl w:val="0"/>
          <w:numId w:val="30"/>
        </w:numPr>
        <w:spacing w:after="120" w:line="276" w:lineRule="auto"/>
        <w:ind w:left="720"/>
        <w:rPr>
          <w:rFonts w:asciiTheme="minorHAnsi" w:eastAsiaTheme="minorHAnsi" w:hAnsiTheme="minorHAnsi" w:cstheme="minorHAnsi"/>
        </w:rPr>
      </w:pPr>
      <w:r w:rsidRPr="00756BE4">
        <w:rPr>
          <w:rFonts w:asciiTheme="minorHAnsi" w:eastAsiaTheme="minorHAnsi" w:hAnsiTheme="minorHAnsi" w:cstheme="minorHAnsi"/>
        </w:rPr>
        <w:lastRenderedPageBreak/>
        <w:t xml:space="preserve">Collect data to monitor compliance to </w:t>
      </w:r>
      <w:r w:rsidR="00FA1A86">
        <w:rPr>
          <w:rFonts w:asciiTheme="minorHAnsi" w:eastAsiaTheme="minorHAnsi" w:hAnsiTheme="minorHAnsi" w:cstheme="minorHAnsi"/>
        </w:rPr>
        <w:t xml:space="preserve">the </w:t>
      </w:r>
      <w:r w:rsidR="006D6D79">
        <w:rPr>
          <w:rFonts w:asciiTheme="minorHAnsi" w:eastAsiaTheme="minorHAnsi" w:hAnsiTheme="minorHAnsi" w:cstheme="minorHAnsi"/>
        </w:rPr>
        <w:t>guideline</w:t>
      </w:r>
      <w:r w:rsidR="006D6D79" w:rsidRPr="00756BE4">
        <w:rPr>
          <w:rFonts w:asciiTheme="minorHAnsi" w:eastAsiaTheme="minorHAnsi" w:hAnsiTheme="minorHAnsi" w:cstheme="minorHAnsi"/>
        </w:rPr>
        <w:t xml:space="preserve"> </w:t>
      </w:r>
      <w:r w:rsidRPr="00756BE4">
        <w:rPr>
          <w:rFonts w:asciiTheme="minorHAnsi" w:eastAsiaTheme="minorHAnsi" w:hAnsiTheme="minorHAnsi" w:cstheme="minorHAnsi"/>
        </w:rPr>
        <w:t>and provide feedback to Hospital Executive / Quality Managers, Transfusion Governance Committee</w:t>
      </w:r>
      <w:r w:rsidR="001B3F3A">
        <w:rPr>
          <w:rFonts w:asciiTheme="minorHAnsi" w:eastAsiaTheme="minorHAnsi" w:hAnsiTheme="minorHAnsi" w:cstheme="minorHAnsi"/>
        </w:rPr>
        <w:t xml:space="preserve"> / Patient Blood Management Committee</w:t>
      </w:r>
      <w:r w:rsidRPr="00756BE4">
        <w:rPr>
          <w:rFonts w:asciiTheme="minorHAnsi" w:eastAsiaTheme="minorHAnsi" w:hAnsiTheme="minorHAnsi" w:cstheme="minorHAnsi"/>
        </w:rPr>
        <w:t xml:space="preserve">, Medical Specialties/ Divisions, </w:t>
      </w:r>
      <w:r w:rsidR="00B3271B">
        <w:rPr>
          <w:rFonts w:asciiTheme="minorHAnsi" w:eastAsiaTheme="minorHAnsi" w:hAnsiTheme="minorHAnsi" w:cstheme="minorHAnsi"/>
        </w:rPr>
        <w:t>Nursing Unit Managers,</w:t>
      </w:r>
      <w:r w:rsidRPr="00756BE4">
        <w:rPr>
          <w:rFonts w:asciiTheme="minorHAnsi" w:eastAsiaTheme="minorHAnsi" w:hAnsiTheme="minorHAnsi" w:cstheme="minorHAnsi"/>
        </w:rPr>
        <w:t xml:space="preserve"> Educators, Laboratory managers and senior staff.</w:t>
      </w:r>
    </w:p>
    <w:p w:rsidR="006155AE" w:rsidRPr="00756BE4" w:rsidRDefault="006155AE" w:rsidP="00135038">
      <w:pPr>
        <w:numPr>
          <w:ilvl w:val="0"/>
          <w:numId w:val="30"/>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Data may include:</w:t>
      </w:r>
    </w:p>
    <w:p w:rsidR="006155AE" w:rsidRPr="005E21A9" w:rsidRDefault="006155AE" w:rsidP="00135038">
      <w:pPr>
        <w:numPr>
          <w:ilvl w:val="0"/>
          <w:numId w:val="31"/>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A log of requests submitted that do not fall within the policy criteria.</w:t>
      </w:r>
    </w:p>
    <w:p w:rsidR="006155AE" w:rsidRPr="005E21A9" w:rsidRDefault="006155AE" w:rsidP="00135038">
      <w:pPr>
        <w:numPr>
          <w:ilvl w:val="0"/>
          <w:numId w:val="31"/>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The number of red blood cell units ordered into inventory daily (BloodNet statistics)</w:t>
      </w:r>
      <w:r w:rsidR="00320FD2">
        <w:rPr>
          <w:rFonts w:asciiTheme="minorHAnsi" w:eastAsiaTheme="minorHAnsi" w:hAnsiTheme="minorHAnsi" w:cstheme="minorHAnsi"/>
          <w:szCs w:val="20"/>
        </w:rPr>
        <w:t>.</w:t>
      </w:r>
    </w:p>
    <w:p w:rsidR="006155AE" w:rsidRPr="005E21A9" w:rsidRDefault="006155AE" w:rsidP="00135038">
      <w:pPr>
        <w:numPr>
          <w:ilvl w:val="0"/>
          <w:numId w:val="31"/>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 xml:space="preserve">The number of </w:t>
      </w:r>
      <w:r w:rsidR="000714B2">
        <w:rPr>
          <w:rFonts w:asciiTheme="minorHAnsi" w:eastAsiaTheme="minorHAnsi" w:hAnsiTheme="minorHAnsi" w:cstheme="minorHAnsi"/>
          <w:szCs w:val="20"/>
        </w:rPr>
        <w:t xml:space="preserve">red blood cell </w:t>
      </w:r>
      <w:r w:rsidRPr="005E21A9">
        <w:rPr>
          <w:rFonts w:asciiTheme="minorHAnsi" w:eastAsiaTheme="minorHAnsi" w:hAnsiTheme="minorHAnsi" w:cstheme="minorHAnsi"/>
          <w:szCs w:val="20"/>
        </w:rPr>
        <w:t>units transfused per patient.</w:t>
      </w:r>
    </w:p>
    <w:p w:rsidR="006155AE" w:rsidRPr="005E21A9" w:rsidRDefault="006155AE" w:rsidP="00135038">
      <w:pPr>
        <w:numPr>
          <w:ilvl w:val="0"/>
          <w:numId w:val="31"/>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 xml:space="preserve">The number of patients who received a single </w:t>
      </w:r>
      <w:r w:rsidR="000714B2">
        <w:rPr>
          <w:rFonts w:asciiTheme="minorHAnsi" w:eastAsiaTheme="minorHAnsi" w:hAnsiTheme="minorHAnsi" w:cstheme="minorHAnsi"/>
          <w:szCs w:val="20"/>
        </w:rPr>
        <w:t xml:space="preserve">red blood cell </w:t>
      </w:r>
      <w:r w:rsidRPr="005E21A9">
        <w:rPr>
          <w:rFonts w:asciiTheme="minorHAnsi" w:eastAsiaTheme="minorHAnsi" w:hAnsiTheme="minorHAnsi" w:cstheme="minorHAnsi"/>
          <w:szCs w:val="20"/>
        </w:rPr>
        <w:t xml:space="preserve">unit transfusion per </w:t>
      </w:r>
      <w:r w:rsidR="00F01E10">
        <w:rPr>
          <w:rFonts w:asciiTheme="minorHAnsi" w:eastAsiaTheme="minorHAnsi" w:hAnsiTheme="minorHAnsi" w:cstheme="minorHAnsi"/>
          <w:szCs w:val="20"/>
        </w:rPr>
        <w:t>24 hours</w:t>
      </w:r>
      <w:r w:rsidRPr="005E21A9">
        <w:rPr>
          <w:rFonts w:asciiTheme="minorHAnsi" w:eastAsiaTheme="minorHAnsi" w:hAnsiTheme="minorHAnsi" w:cstheme="minorHAnsi"/>
          <w:szCs w:val="20"/>
        </w:rPr>
        <w:t>.</w:t>
      </w:r>
    </w:p>
    <w:p w:rsidR="00582EBC" w:rsidRPr="005E21A9" w:rsidRDefault="006155AE" w:rsidP="00135038">
      <w:pPr>
        <w:numPr>
          <w:ilvl w:val="0"/>
          <w:numId w:val="31"/>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Audits of patient medical records</w:t>
      </w:r>
      <w:r w:rsidR="00320FD2">
        <w:rPr>
          <w:rFonts w:asciiTheme="minorHAnsi" w:eastAsiaTheme="minorHAnsi" w:hAnsiTheme="minorHAnsi" w:cstheme="minorHAnsi"/>
          <w:szCs w:val="20"/>
        </w:rPr>
        <w:t xml:space="preserve"> and </w:t>
      </w:r>
      <w:r w:rsidRPr="005E21A9">
        <w:rPr>
          <w:rFonts w:asciiTheme="minorHAnsi" w:eastAsiaTheme="minorHAnsi" w:hAnsiTheme="minorHAnsi" w:cstheme="minorHAnsi"/>
          <w:szCs w:val="20"/>
        </w:rPr>
        <w:t xml:space="preserve">transfusion episodes assessing compliance to </w:t>
      </w:r>
      <w:r w:rsidR="00825E1A">
        <w:rPr>
          <w:rFonts w:asciiTheme="minorHAnsi" w:eastAsiaTheme="minorHAnsi" w:hAnsiTheme="minorHAnsi" w:cstheme="minorHAnsi"/>
          <w:szCs w:val="20"/>
        </w:rPr>
        <w:t>the s</w:t>
      </w:r>
      <w:r w:rsidRPr="005E21A9">
        <w:rPr>
          <w:rFonts w:asciiTheme="minorHAnsi" w:eastAsiaTheme="minorHAnsi" w:hAnsiTheme="minorHAnsi" w:cstheme="minorHAnsi"/>
          <w:szCs w:val="20"/>
        </w:rPr>
        <w:t xml:space="preserve">ingle </w:t>
      </w:r>
      <w:r w:rsidR="00825E1A">
        <w:rPr>
          <w:rFonts w:asciiTheme="minorHAnsi" w:eastAsiaTheme="minorHAnsi" w:hAnsiTheme="minorHAnsi" w:cstheme="minorHAnsi"/>
          <w:szCs w:val="20"/>
        </w:rPr>
        <w:t>u</w:t>
      </w:r>
      <w:r w:rsidR="00CF78B3" w:rsidRPr="005E21A9">
        <w:rPr>
          <w:rFonts w:asciiTheme="minorHAnsi" w:eastAsiaTheme="minorHAnsi" w:hAnsiTheme="minorHAnsi" w:cstheme="minorHAnsi"/>
          <w:szCs w:val="20"/>
        </w:rPr>
        <w:t xml:space="preserve">nit </w:t>
      </w:r>
      <w:r w:rsidR="00825E1A">
        <w:rPr>
          <w:rFonts w:asciiTheme="minorHAnsi" w:eastAsiaTheme="minorHAnsi" w:hAnsiTheme="minorHAnsi" w:cstheme="minorHAnsi"/>
          <w:szCs w:val="20"/>
        </w:rPr>
        <w:t>t</w:t>
      </w:r>
      <w:r w:rsidR="00CF78B3" w:rsidRPr="005E21A9">
        <w:rPr>
          <w:rFonts w:asciiTheme="minorHAnsi" w:eastAsiaTheme="minorHAnsi" w:hAnsiTheme="minorHAnsi" w:cstheme="minorHAnsi"/>
          <w:szCs w:val="20"/>
        </w:rPr>
        <w:t xml:space="preserve">ransfusion </w:t>
      </w:r>
      <w:r w:rsidR="00825E1A">
        <w:rPr>
          <w:rFonts w:asciiTheme="minorHAnsi" w:eastAsiaTheme="minorHAnsi" w:hAnsiTheme="minorHAnsi" w:cstheme="minorHAnsi"/>
          <w:szCs w:val="20"/>
        </w:rPr>
        <w:t>g</w:t>
      </w:r>
      <w:r w:rsidR="00CF78B3" w:rsidRPr="005E21A9">
        <w:rPr>
          <w:rFonts w:asciiTheme="minorHAnsi" w:eastAsiaTheme="minorHAnsi" w:hAnsiTheme="minorHAnsi" w:cstheme="minorHAnsi"/>
          <w:szCs w:val="20"/>
        </w:rPr>
        <w:t>uideline</w:t>
      </w:r>
      <w:r w:rsidRPr="005E21A9">
        <w:rPr>
          <w:rFonts w:asciiTheme="minorHAnsi" w:eastAsiaTheme="minorHAnsi" w:hAnsiTheme="minorHAnsi" w:cstheme="minorHAnsi"/>
          <w:szCs w:val="20"/>
        </w:rPr>
        <w:t xml:space="preserve">. </w:t>
      </w:r>
    </w:p>
    <w:p w:rsidR="00A17AB3" w:rsidRPr="00756BE4" w:rsidRDefault="00A17AB3" w:rsidP="00135038">
      <w:pPr>
        <w:spacing w:after="120" w:line="276" w:lineRule="auto"/>
        <w:rPr>
          <w:rFonts w:asciiTheme="minorHAnsi" w:eastAsiaTheme="minorHAnsi" w:hAnsiTheme="minorHAnsi" w:cstheme="minorHAnsi"/>
          <w:sz w:val="2"/>
        </w:rPr>
      </w:pPr>
    </w:p>
    <w:p w:rsidR="006155AE" w:rsidRPr="00756BE4" w:rsidRDefault="006155AE" w:rsidP="00135038">
      <w:pPr>
        <w:numPr>
          <w:ilvl w:val="0"/>
          <w:numId w:val="30"/>
        </w:numPr>
        <w:spacing w:after="120" w:line="276" w:lineRule="auto"/>
        <w:ind w:left="717" w:hanging="357"/>
        <w:rPr>
          <w:rFonts w:asciiTheme="minorHAnsi" w:eastAsiaTheme="minorHAnsi" w:hAnsiTheme="minorHAnsi" w:cstheme="minorHAnsi"/>
        </w:rPr>
      </w:pPr>
      <w:r w:rsidRPr="00756BE4">
        <w:rPr>
          <w:rFonts w:asciiTheme="minorHAnsi" w:eastAsiaTheme="minorHAnsi" w:hAnsiTheme="minorHAnsi" w:cstheme="minorHAnsi"/>
        </w:rPr>
        <w:t>Provide feedback:</w:t>
      </w:r>
    </w:p>
    <w:p w:rsidR="006155AE" w:rsidRPr="005E21A9" w:rsidRDefault="006155AE" w:rsidP="00135038">
      <w:pPr>
        <w:numPr>
          <w:ilvl w:val="0"/>
          <w:numId w:val="32"/>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 xml:space="preserve">Introduce this data collection and analysis as a standing item on the Transfusion Governance Committee </w:t>
      </w:r>
      <w:r w:rsidR="001B3F3A" w:rsidRPr="005E21A9">
        <w:rPr>
          <w:rFonts w:asciiTheme="minorHAnsi" w:eastAsiaTheme="minorHAnsi" w:hAnsiTheme="minorHAnsi" w:cstheme="minorHAnsi"/>
          <w:szCs w:val="20"/>
        </w:rPr>
        <w:t xml:space="preserve">/ Patient Blood Management Committee </w:t>
      </w:r>
      <w:r w:rsidRPr="005E21A9">
        <w:rPr>
          <w:rFonts w:asciiTheme="minorHAnsi" w:eastAsiaTheme="minorHAnsi" w:hAnsiTheme="minorHAnsi" w:cstheme="minorHAnsi"/>
          <w:szCs w:val="20"/>
        </w:rPr>
        <w:t>agenda</w:t>
      </w:r>
      <w:r w:rsidR="00320FD2">
        <w:rPr>
          <w:rFonts w:asciiTheme="minorHAnsi" w:eastAsiaTheme="minorHAnsi" w:hAnsiTheme="minorHAnsi" w:cstheme="minorHAnsi"/>
          <w:szCs w:val="20"/>
        </w:rPr>
        <w:t>.</w:t>
      </w:r>
    </w:p>
    <w:p w:rsidR="006155AE" w:rsidRPr="005E21A9" w:rsidRDefault="006155AE" w:rsidP="00135038">
      <w:pPr>
        <w:numPr>
          <w:ilvl w:val="0"/>
          <w:numId w:val="32"/>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Report results to wards and divisions regularly, and to quality managers</w:t>
      </w:r>
      <w:r w:rsidR="007B4797">
        <w:rPr>
          <w:rFonts w:asciiTheme="minorHAnsi" w:eastAsiaTheme="minorHAnsi" w:hAnsiTheme="minorHAnsi" w:cstheme="minorHAnsi"/>
          <w:szCs w:val="20"/>
        </w:rPr>
        <w:t>, for example with regular clinical meetings or newsletters</w:t>
      </w:r>
      <w:r w:rsidR="00320FD2">
        <w:rPr>
          <w:rFonts w:asciiTheme="minorHAnsi" w:eastAsiaTheme="minorHAnsi" w:hAnsiTheme="minorHAnsi" w:cstheme="minorHAnsi"/>
          <w:szCs w:val="20"/>
        </w:rPr>
        <w:t>.</w:t>
      </w:r>
    </w:p>
    <w:p w:rsidR="006155AE" w:rsidRPr="005E21A9" w:rsidRDefault="006155AE" w:rsidP="00135038">
      <w:pPr>
        <w:numPr>
          <w:ilvl w:val="0"/>
          <w:numId w:val="32"/>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 xml:space="preserve">Share statistics with transfusion staff to highlight the impact of the introduction of the single unit </w:t>
      </w:r>
      <w:r w:rsidR="00FA1A86">
        <w:rPr>
          <w:rFonts w:asciiTheme="minorHAnsi" w:eastAsiaTheme="minorHAnsi" w:hAnsiTheme="minorHAnsi" w:cstheme="minorHAnsi"/>
          <w:szCs w:val="20"/>
        </w:rPr>
        <w:t xml:space="preserve">transfusion </w:t>
      </w:r>
      <w:r w:rsidR="00B53404">
        <w:rPr>
          <w:rFonts w:asciiTheme="minorHAnsi" w:eastAsiaTheme="minorHAnsi" w:hAnsiTheme="minorHAnsi" w:cstheme="minorHAnsi"/>
          <w:szCs w:val="20"/>
        </w:rPr>
        <w:t>guideline</w:t>
      </w:r>
      <w:r w:rsidR="00320FD2">
        <w:rPr>
          <w:rFonts w:asciiTheme="minorHAnsi" w:eastAsiaTheme="minorHAnsi" w:hAnsiTheme="minorHAnsi" w:cstheme="minorHAnsi"/>
          <w:szCs w:val="20"/>
        </w:rPr>
        <w:t>.</w:t>
      </w:r>
    </w:p>
    <w:p w:rsidR="006155AE" w:rsidRPr="005E21A9" w:rsidRDefault="006155AE" w:rsidP="00135038">
      <w:pPr>
        <w:numPr>
          <w:ilvl w:val="0"/>
          <w:numId w:val="32"/>
        </w:numPr>
        <w:spacing w:after="120" w:line="276" w:lineRule="auto"/>
        <w:ind w:left="1443"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Provide a forum for problems or difficulties to be aired, discussed and resolved</w:t>
      </w:r>
      <w:r w:rsidR="00320FD2">
        <w:rPr>
          <w:rFonts w:asciiTheme="minorHAnsi" w:eastAsiaTheme="minorHAnsi" w:hAnsiTheme="minorHAnsi" w:cstheme="minorHAnsi"/>
          <w:szCs w:val="20"/>
        </w:rPr>
        <w:t>.</w:t>
      </w:r>
    </w:p>
    <w:p w:rsidR="006155AE" w:rsidRPr="005E21A9" w:rsidRDefault="006155AE" w:rsidP="003E4083">
      <w:pPr>
        <w:numPr>
          <w:ilvl w:val="0"/>
          <w:numId w:val="32"/>
        </w:numPr>
        <w:spacing w:after="240" w:line="276" w:lineRule="auto"/>
        <w:ind w:left="1445" w:hanging="181"/>
        <w:contextualSpacing/>
        <w:rPr>
          <w:rFonts w:asciiTheme="minorHAnsi" w:eastAsiaTheme="minorHAnsi" w:hAnsiTheme="minorHAnsi" w:cstheme="minorHAnsi"/>
          <w:szCs w:val="20"/>
        </w:rPr>
      </w:pPr>
      <w:r w:rsidRPr="005E21A9">
        <w:rPr>
          <w:rFonts w:asciiTheme="minorHAnsi" w:eastAsiaTheme="minorHAnsi" w:hAnsiTheme="minorHAnsi" w:cstheme="minorHAnsi"/>
          <w:szCs w:val="20"/>
        </w:rPr>
        <w:t xml:space="preserve">Provide access to further information regarding </w:t>
      </w:r>
      <w:r w:rsidR="00FA1A86">
        <w:rPr>
          <w:rFonts w:asciiTheme="minorHAnsi" w:eastAsiaTheme="minorHAnsi" w:hAnsiTheme="minorHAnsi" w:cstheme="minorHAnsi"/>
          <w:szCs w:val="20"/>
        </w:rPr>
        <w:t>a</w:t>
      </w:r>
      <w:r w:rsidR="00FA1A86" w:rsidRPr="005E21A9">
        <w:rPr>
          <w:rFonts w:asciiTheme="minorHAnsi" w:eastAsiaTheme="minorHAnsi" w:hAnsiTheme="minorHAnsi" w:cstheme="minorHAnsi"/>
          <w:szCs w:val="20"/>
        </w:rPr>
        <w:t xml:space="preserve"> </w:t>
      </w:r>
      <w:r w:rsidR="00FA1A86">
        <w:rPr>
          <w:rFonts w:asciiTheme="minorHAnsi" w:eastAsiaTheme="minorHAnsi" w:hAnsiTheme="minorHAnsi" w:cstheme="minorHAnsi"/>
          <w:szCs w:val="20"/>
        </w:rPr>
        <w:t>s</w:t>
      </w:r>
      <w:r w:rsidR="00FA1A86" w:rsidRPr="005E21A9">
        <w:rPr>
          <w:rFonts w:asciiTheme="minorHAnsi" w:eastAsiaTheme="minorHAnsi" w:hAnsiTheme="minorHAnsi" w:cstheme="minorHAnsi"/>
          <w:szCs w:val="20"/>
        </w:rPr>
        <w:t xml:space="preserve">ingle </w:t>
      </w:r>
      <w:r w:rsidR="00FA1A86">
        <w:rPr>
          <w:rFonts w:asciiTheme="minorHAnsi" w:eastAsiaTheme="minorHAnsi" w:hAnsiTheme="minorHAnsi" w:cstheme="minorHAnsi"/>
          <w:szCs w:val="20"/>
        </w:rPr>
        <w:t>u</w:t>
      </w:r>
      <w:r w:rsidR="00FA1A86" w:rsidRPr="005E21A9">
        <w:rPr>
          <w:rFonts w:asciiTheme="minorHAnsi" w:eastAsiaTheme="minorHAnsi" w:hAnsiTheme="minorHAnsi" w:cstheme="minorHAnsi"/>
          <w:szCs w:val="20"/>
        </w:rPr>
        <w:t xml:space="preserve">nit </w:t>
      </w:r>
      <w:r w:rsidR="00FA1A86">
        <w:rPr>
          <w:rFonts w:asciiTheme="minorHAnsi" w:eastAsiaTheme="minorHAnsi" w:hAnsiTheme="minorHAnsi" w:cstheme="minorHAnsi"/>
          <w:szCs w:val="20"/>
        </w:rPr>
        <w:t>t</w:t>
      </w:r>
      <w:r w:rsidR="00FA1A86" w:rsidRPr="005E21A9">
        <w:rPr>
          <w:rFonts w:asciiTheme="minorHAnsi" w:eastAsiaTheme="minorHAnsi" w:hAnsiTheme="minorHAnsi" w:cstheme="minorHAnsi"/>
          <w:szCs w:val="20"/>
        </w:rPr>
        <w:t xml:space="preserve">ransfusion </w:t>
      </w:r>
      <w:r w:rsidR="00FA1A86">
        <w:rPr>
          <w:rFonts w:asciiTheme="minorHAnsi" w:eastAsiaTheme="minorHAnsi" w:hAnsiTheme="minorHAnsi" w:cstheme="minorHAnsi"/>
          <w:szCs w:val="20"/>
        </w:rPr>
        <w:t>g</w:t>
      </w:r>
      <w:r w:rsidR="00FA1A86" w:rsidRPr="005E21A9">
        <w:rPr>
          <w:rFonts w:asciiTheme="minorHAnsi" w:eastAsiaTheme="minorHAnsi" w:hAnsiTheme="minorHAnsi" w:cstheme="minorHAnsi"/>
          <w:szCs w:val="20"/>
        </w:rPr>
        <w:t>uideline</w:t>
      </w:r>
      <w:r w:rsidRPr="005E21A9">
        <w:rPr>
          <w:rFonts w:asciiTheme="minorHAnsi" w:eastAsiaTheme="minorHAnsi" w:hAnsiTheme="minorHAnsi" w:cstheme="minorHAnsi"/>
          <w:szCs w:val="20"/>
        </w:rPr>
        <w:t xml:space="preserve"> and patient blood management.</w:t>
      </w:r>
    </w:p>
    <w:p w:rsidR="006155AE" w:rsidRPr="00756BE4" w:rsidRDefault="006155AE" w:rsidP="00013FEB">
      <w:pPr>
        <w:numPr>
          <w:ilvl w:val="0"/>
          <w:numId w:val="30"/>
        </w:numPr>
        <w:spacing w:before="360" w:after="120" w:line="276" w:lineRule="auto"/>
        <w:ind w:left="714" w:hanging="357"/>
        <w:rPr>
          <w:rFonts w:asciiTheme="minorHAnsi" w:eastAsiaTheme="minorHAnsi" w:hAnsiTheme="minorHAnsi" w:cstheme="minorHAnsi"/>
        </w:rPr>
      </w:pPr>
      <w:r w:rsidRPr="00756BE4">
        <w:rPr>
          <w:rFonts w:asciiTheme="minorHAnsi" w:eastAsiaTheme="minorHAnsi" w:hAnsiTheme="minorHAnsi" w:cstheme="minorHAnsi"/>
        </w:rPr>
        <w:t xml:space="preserve">Benchmark data within local wards and divisions, and between health facility groups and clusters, and with external facilities. Benchmark within states and territories, and </w:t>
      </w:r>
      <w:r w:rsidR="00F01E10">
        <w:rPr>
          <w:rFonts w:asciiTheme="minorHAnsi" w:eastAsiaTheme="minorHAnsi" w:hAnsiTheme="minorHAnsi" w:cstheme="minorHAnsi"/>
        </w:rPr>
        <w:t>n</w:t>
      </w:r>
      <w:r w:rsidR="00F01E10" w:rsidRPr="00756BE4">
        <w:rPr>
          <w:rFonts w:asciiTheme="minorHAnsi" w:eastAsiaTheme="minorHAnsi" w:hAnsiTheme="minorHAnsi" w:cstheme="minorHAnsi"/>
        </w:rPr>
        <w:t>ationally</w:t>
      </w:r>
      <w:r w:rsidRPr="00756BE4">
        <w:rPr>
          <w:rFonts w:asciiTheme="minorHAnsi" w:eastAsiaTheme="minorHAnsi" w:hAnsiTheme="minorHAnsi" w:cstheme="minorHAnsi"/>
        </w:rPr>
        <w:t>.</w:t>
      </w:r>
    </w:p>
    <w:p w:rsidR="006155AE" w:rsidRPr="00825E1A" w:rsidRDefault="006155AE" w:rsidP="00135038">
      <w:pPr>
        <w:numPr>
          <w:ilvl w:val="0"/>
          <w:numId w:val="30"/>
        </w:numPr>
        <w:spacing w:after="120" w:line="276" w:lineRule="auto"/>
        <w:ind w:left="717" w:hanging="357"/>
        <w:rPr>
          <w:rFonts w:asciiTheme="minorHAnsi" w:eastAsiaTheme="minorHAnsi" w:hAnsiTheme="minorHAnsi" w:cstheme="minorHAnsi"/>
          <w:vertAlign w:val="superscript"/>
        </w:rPr>
      </w:pPr>
      <w:r w:rsidRPr="00756BE4">
        <w:rPr>
          <w:rFonts w:asciiTheme="minorHAnsi" w:eastAsiaTheme="minorHAnsi" w:hAnsiTheme="minorHAnsi" w:cstheme="minorHAnsi"/>
        </w:rPr>
        <w:t>This activity will demonstrate compliance with National Health and Safety in Health Care Standard 7: Blood and Blood Products:</w:t>
      </w:r>
      <w:r w:rsidR="00050411">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"author" : [ { "dropping-particle" : "", "family" : "Australian Commission on Safety and Quality in Healthcare", "given" : "", "non-dropping-particle" : "", "parse-names" : false, "suffix" : "" } ], "container-title" : "ACSQHC", "id" : "ITEM-1", "issued" : { "date-parts" : [ [ "2012" ] ] }, "title" : "Safety and Quality Improvement Guide Standard 7: Blood and Blood Products", "type" : "book" }, "uris" : [ "http://www.mendeley.com/documents/?uuid=bc00cee3-5cc2-41e6-8c61-bd93566fb71a" ] } ], "mendeley" : { "previouslyFormattedCitation" : "&lt;sup&gt;8&lt;/sup&gt;" }, "properties" : { "noteIndex" : 0 }, "schema" : "https://github.com/citation-style-language/schema/raw/master/csl-citation.json" }</w:instrText>
      </w:r>
      <w:r w:rsidR="00050411">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8</w:t>
      </w:r>
      <w:r w:rsidR="00050411">
        <w:rPr>
          <w:rFonts w:asciiTheme="minorHAnsi" w:eastAsiaTheme="minorHAnsi" w:hAnsiTheme="minorHAnsi" w:cstheme="minorHAnsi"/>
        </w:rPr>
        <w:fldChar w:fldCharType="end"/>
      </w:r>
    </w:p>
    <w:p w:rsidR="006155AE" w:rsidRPr="006155AE" w:rsidRDefault="006155AE" w:rsidP="00135038">
      <w:pPr>
        <w:spacing w:after="120" w:line="276" w:lineRule="auto"/>
        <w:ind w:firstLine="720"/>
        <w:rPr>
          <w:rFonts w:ascii="Arial" w:eastAsiaTheme="minorHAnsi" w:hAnsi="Arial" w:cs="Arial"/>
        </w:rPr>
      </w:pPr>
      <w:r w:rsidRPr="00756BE4">
        <w:rPr>
          <w:rFonts w:asciiTheme="minorHAnsi" w:eastAsiaTheme="minorHAnsi" w:hAnsiTheme="minorHAnsi" w:cstheme="minorHAnsi"/>
        </w:rPr>
        <w:t>7.1.2 The use of policies, procedures and/or protocols is regularly monitored.</w:t>
      </w:r>
    </w:p>
    <w:p w:rsidR="006155AE" w:rsidRPr="009D685C" w:rsidRDefault="006155AE" w:rsidP="00825E1A">
      <w:pPr>
        <w:pStyle w:val="Heading4"/>
        <w:numPr>
          <w:ilvl w:val="0"/>
          <w:numId w:val="18"/>
        </w:numPr>
        <w:spacing w:line="276" w:lineRule="auto"/>
        <w:contextualSpacing/>
        <w:rPr>
          <w:rFonts w:eastAsiaTheme="minorHAnsi"/>
          <w:b w:val="0"/>
        </w:rPr>
      </w:pPr>
      <w:r w:rsidRPr="006155AE">
        <w:t>Examples of promotional material</w:t>
      </w:r>
      <w:r w:rsidRPr="006155AE">
        <w:rPr>
          <w:rFonts w:eastAsiaTheme="minorHAnsi"/>
        </w:rPr>
        <w:t xml:space="preserve"> </w:t>
      </w:r>
      <w:r w:rsidRPr="00756BE4">
        <w:rPr>
          <w:rFonts w:asciiTheme="minorHAnsi" w:eastAsiaTheme="minorHAnsi" w:hAnsiTheme="minorHAnsi" w:cstheme="minorHAnsi"/>
          <w:b w:val="0"/>
        </w:rPr>
        <w:t xml:space="preserve">– see </w:t>
      </w:r>
      <w:r w:rsidR="00A17AB3" w:rsidRPr="00756BE4">
        <w:rPr>
          <w:rFonts w:asciiTheme="minorHAnsi" w:eastAsiaTheme="minorHAnsi" w:hAnsiTheme="minorHAnsi" w:cstheme="minorHAnsi"/>
          <w:b w:val="0"/>
        </w:rPr>
        <w:t>supporting</w:t>
      </w:r>
      <w:r w:rsidRPr="00756BE4">
        <w:rPr>
          <w:rFonts w:asciiTheme="minorHAnsi" w:eastAsiaTheme="minorHAnsi" w:hAnsiTheme="minorHAnsi" w:cstheme="minorHAnsi"/>
          <w:b w:val="0"/>
        </w:rPr>
        <w:t xml:space="preserve"> material</w:t>
      </w:r>
    </w:p>
    <w:p w:rsidR="006155AE" w:rsidRPr="00756BE4" w:rsidRDefault="006155AE" w:rsidP="00135038">
      <w:pPr>
        <w:numPr>
          <w:ilvl w:val="0"/>
          <w:numId w:val="17"/>
        </w:numPr>
        <w:spacing w:after="120" w:line="276" w:lineRule="auto"/>
        <w:ind w:left="709" w:hanging="357"/>
        <w:rPr>
          <w:rFonts w:asciiTheme="minorHAnsi" w:eastAsiaTheme="minorHAnsi" w:hAnsiTheme="minorHAnsi" w:cstheme="minorHAnsi"/>
        </w:rPr>
      </w:pPr>
      <w:r w:rsidRPr="00756BE4">
        <w:rPr>
          <w:rFonts w:asciiTheme="minorHAnsi" w:eastAsiaTheme="minorHAnsi" w:hAnsiTheme="minorHAnsi" w:cstheme="minorHAnsi"/>
        </w:rPr>
        <w:t xml:space="preserve">Posters </w:t>
      </w:r>
    </w:p>
    <w:p w:rsidR="006155AE" w:rsidRDefault="006155AE" w:rsidP="00135038">
      <w:pPr>
        <w:numPr>
          <w:ilvl w:val="0"/>
          <w:numId w:val="17"/>
        </w:numPr>
        <w:spacing w:after="120" w:line="276" w:lineRule="auto"/>
        <w:ind w:left="709" w:hanging="357"/>
        <w:rPr>
          <w:rFonts w:asciiTheme="minorHAnsi" w:eastAsiaTheme="minorHAnsi" w:hAnsiTheme="minorHAnsi" w:cstheme="minorHAnsi"/>
        </w:rPr>
      </w:pPr>
      <w:r w:rsidRPr="00756BE4">
        <w:rPr>
          <w:rFonts w:asciiTheme="minorHAnsi" w:eastAsiaTheme="minorHAnsi" w:hAnsiTheme="minorHAnsi" w:cstheme="minorHAnsi"/>
        </w:rPr>
        <w:t>PowerPoint Presentation</w:t>
      </w:r>
    </w:p>
    <w:p w:rsidR="00FA1A86" w:rsidRPr="005E21A9" w:rsidRDefault="00FA1A86" w:rsidP="00135038">
      <w:pPr>
        <w:numPr>
          <w:ilvl w:val="0"/>
          <w:numId w:val="17"/>
        </w:numPr>
        <w:spacing w:after="120" w:line="276" w:lineRule="auto"/>
        <w:ind w:left="709" w:hanging="357"/>
        <w:rPr>
          <w:rFonts w:asciiTheme="minorHAnsi" w:eastAsiaTheme="minorHAnsi" w:hAnsiTheme="minorHAnsi" w:cstheme="minorHAnsi"/>
        </w:rPr>
      </w:pPr>
      <w:r>
        <w:rPr>
          <w:rFonts w:asciiTheme="minorHAnsi" w:eastAsiaTheme="minorHAnsi" w:hAnsiTheme="minorHAnsi" w:cstheme="minorHAnsi"/>
        </w:rPr>
        <w:t>Handout for staff</w:t>
      </w:r>
    </w:p>
    <w:p w:rsidR="006155AE" w:rsidRPr="006155AE" w:rsidRDefault="006155AE" w:rsidP="009D685C">
      <w:pPr>
        <w:pStyle w:val="Heading4"/>
        <w:numPr>
          <w:ilvl w:val="0"/>
          <w:numId w:val="18"/>
        </w:numPr>
      </w:pPr>
      <w:r w:rsidRPr="006155AE">
        <w:t>Other Successful Programs</w:t>
      </w:r>
    </w:p>
    <w:p w:rsidR="006155AE" w:rsidRPr="00756BE4" w:rsidRDefault="00FF434A" w:rsidP="00135038">
      <w:pPr>
        <w:spacing w:after="120" w:line="276" w:lineRule="auto"/>
        <w:rPr>
          <w:rFonts w:asciiTheme="minorHAnsi" w:eastAsiaTheme="minorHAnsi" w:hAnsiTheme="minorHAnsi" w:cstheme="minorHAnsi"/>
          <w:vertAlign w:val="superscript"/>
        </w:rPr>
      </w:pPr>
      <w:r w:rsidRPr="00825E1A">
        <w:rPr>
          <w:rFonts w:asciiTheme="minorHAnsi" w:eastAsiaTheme="minorHAnsi" w:hAnsiTheme="minorHAnsi" w:cstheme="minorHAnsi"/>
          <w:b/>
        </w:rPr>
        <w:t>Australia:</w:t>
      </w:r>
      <w:r>
        <w:rPr>
          <w:rFonts w:asciiTheme="minorHAnsi" w:eastAsiaTheme="minorHAnsi" w:hAnsiTheme="minorHAnsi" w:cstheme="minorHAnsi"/>
        </w:rPr>
        <w:t xml:space="preserve"> </w:t>
      </w:r>
      <w:r w:rsidR="006155AE" w:rsidRPr="00756BE4">
        <w:rPr>
          <w:rFonts w:asciiTheme="minorHAnsi" w:eastAsiaTheme="minorHAnsi" w:hAnsiTheme="minorHAnsi" w:cstheme="minorHAnsi"/>
        </w:rPr>
        <w:t xml:space="preserve">The Western </w:t>
      </w:r>
      <w:r w:rsidR="006155AE" w:rsidRPr="00825E1A">
        <w:rPr>
          <w:rFonts w:asciiTheme="minorHAnsi" w:eastAsiaTheme="minorHAnsi" w:hAnsiTheme="minorHAnsi" w:cstheme="minorHAnsi"/>
        </w:rPr>
        <w:t>Australian</w:t>
      </w:r>
      <w:r w:rsidR="006155AE" w:rsidRPr="00756BE4">
        <w:rPr>
          <w:rFonts w:asciiTheme="minorHAnsi" w:eastAsiaTheme="minorHAnsi" w:hAnsiTheme="minorHAnsi" w:cstheme="minorHAnsi"/>
        </w:rPr>
        <w:t xml:space="preserve"> Government implemented the Patient Blood Management Project, with a single unit transfusion “rule” in 2011.</w:t>
      </w:r>
      <w:r w:rsidR="00050411">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"author" : [ { "dropping-particle" : "", "family" : "Western Australia Government", "given" : "", "non-dropping-particle" : "", "parse-names" : false, "suffix" : "" } ], "id" : "ITEM-1", "issued" : { "date-parts" : [ [ "2012" ] ] }, "title" : "Single Unit Rule: A Quick Start Guide to Transfusion Reduction", "type" : "article-journal" }, "uris" : [ "http://www.mendeley.com/documents/?uuid=248e6614-4e99-4662-8633-f3534d49d192" ] } ], "mendeley" : { "previouslyFormattedCitation" : "&lt;sup&gt;5&lt;/sup&gt;" }, "properties" : { "noteIndex" : 0 }, "schema" : "https://github.com/citation-style-language/schema/raw/master/csl-citation.json" }</w:instrText>
      </w:r>
      <w:r w:rsidR="00050411">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5</w:t>
      </w:r>
      <w:r w:rsidR="00050411">
        <w:rPr>
          <w:rFonts w:asciiTheme="minorHAnsi" w:eastAsiaTheme="minorHAnsi" w:hAnsiTheme="minorHAnsi" w:cstheme="minorHAnsi"/>
        </w:rPr>
        <w:fldChar w:fldCharType="end"/>
      </w:r>
      <w:r w:rsidR="00050411" w:rsidRPr="00756BE4" w:rsidDel="00050411">
        <w:rPr>
          <w:rFonts w:asciiTheme="minorHAnsi" w:eastAsiaTheme="minorHAnsi" w:hAnsiTheme="minorHAnsi" w:cstheme="minorHAnsi"/>
          <w:vertAlign w:val="superscript"/>
        </w:rPr>
        <w:t xml:space="preserve"> </w:t>
      </w:r>
    </w:p>
    <w:p w:rsidR="006155AE" w:rsidRPr="00756BE4" w:rsidRDefault="006155AE" w:rsidP="00135038">
      <w:pPr>
        <w:spacing w:after="120" w:line="276" w:lineRule="auto"/>
        <w:rPr>
          <w:rFonts w:asciiTheme="minorHAnsi" w:eastAsiaTheme="minorHAnsi" w:hAnsiTheme="minorHAnsi" w:cstheme="minorHAnsi"/>
        </w:rPr>
      </w:pPr>
      <w:r w:rsidRPr="00756BE4">
        <w:rPr>
          <w:rFonts w:asciiTheme="minorHAnsi" w:eastAsiaTheme="minorHAnsi" w:hAnsiTheme="minorHAnsi" w:cstheme="minorHAnsi"/>
          <w:b/>
        </w:rPr>
        <w:t>New Zealand</w:t>
      </w:r>
      <w:r w:rsidR="00FF434A">
        <w:rPr>
          <w:rFonts w:asciiTheme="minorHAnsi" w:eastAsiaTheme="minorHAnsi" w:hAnsiTheme="minorHAnsi" w:cstheme="minorHAnsi"/>
        </w:rPr>
        <w:t>:</w:t>
      </w:r>
      <w:r w:rsidRPr="00756BE4">
        <w:rPr>
          <w:rFonts w:asciiTheme="minorHAnsi" w:eastAsiaTheme="minorHAnsi" w:hAnsiTheme="minorHAnsi" w:cstheme="minorHAnsi"/>
        </w:rPr>
        <w:t xml:space="preserve"> </w:t>
      </w:r>
      <w:r w:rsidR="00FF434A">
        <w:rPr>
          <w:rFonts w:asciiTheme="minorHAnsi" w:eastAsiaTheme="minorHAnsi" w:hAnsiTheme="minorHAnsi" w:cstheme="minorHAnsi"/>
        </w:rPr>
        <w:t xml:space="preserve">The </w:t>
      </w:r>
      <w:r w:rsidRPr="00756BE4">
        <w:rPr>
          <w:rFonts w:asciiTheme="minorHAnsi" w:eastAsiaTheme="minorHAnsi" w:hAnsiTheme="minorHAnsi" w:cstheme="minorHAnsi"/>
        </w:rPr>
        <w:t xml:space="preserve">Auckland District Health Board </w:t>
      </w:r>
      <w:r w:rsidR="00050411">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"author" : [ { "dropping-particle" : "", "family" : "Ombler", "given" : "Kathy", "non-dropping-particle" : "", "parse-names" : false, "suffix" : "" } ], "container-title" : "Public Sector", "id" : "ITEM-1", "issued" : { "date-parts" : [ [ "2013" ] ] }, "title" : "Blood is a Gift. Project of Auckland District Health Board Transfusion Committee", "type" : "article-journal", "volume" : "36:1" }, "uris" : [ "http://www.mendeley.com/documents/?uuid=6e73276e-0f8a-413a-823d-f82367ec4b71" ] } ], "mendeley" : { "previouslyFormattedCitation" : "&lt;sup&gt;9&lt;/sup&gt;" }, "properties" : { "noteIndex" : 0 }, "schema" : "https://github.com/citation-style-language/schema/raw/master/csl-citation.json" }</w:instrText>
      </w:r>
      <w:r w:rsidR="00050411">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9</w:t>
      </w:r>
      <w:r w:rsidR="00050411">
        <w:rPr>
          <w:rFonts w:asciiTheme="minorHAnsi" w:eastAsiaTheme="minorHAnsi" w:hAnsiTheme="minorHAnsi" w:cstheme="minorHAnsi"/>
        </w:rPr>
        <w:fldChar w:fldCharType="end"/>
      </w:r>
      <w:r w:rsidRPr="00756BE4">
        <w:rPr>
          <w:rFonts w:asciiTheme="minorHAnsi" w:eastAsiaTheme="minorHAnsi" w:hAnsiTheme="minorHAnsi" w:cstheme="minorHAnsi"/>
          <w:vertAlign w:val="superscript"/>
        </w:rPr>
        <w:t xml:space="preserve"> </w:t>
      </w:r>
      <w:r w:rsidR="00FF434A">
        <w:rPr>
          <w:rFonts w:asciiTheme="minorHAnsi" w:eastAsiaTheme="minorHAnsi" w:hAnsiTheme="minorHAnsi" w:cstheme="minorHAnsi"/>
        </w:rPr>
        <w:t>introduced patient blood management</w:t>
      </w:r>
      <w:r w:rsidRPr="00756BE4">
        <w:rPr>
          <w:rFonts w:asciiTheme="minorHAnsi" w:eastAsiaTheme="minorHAnsi" w:hAnsiTheme="minorHAnsi" w:cstheme="minorHAnsi"/>
        </w:rPr>
        <w:t xml:space="preserve"> and </w:t>
      </w:r>
      <w:r w:rsidR="00FF434A">
        <w:rPr>
          <w:rFonts w:asciiTheme="minorHAnsi" w:eastAsiaTheme="minorHAnsi" w:hAnsiTheme="minorHAnsi" w:cstheme="minorHAnsi"/>
        </w:rPr>
        <w:t xml:space="preserve">a </w:t>
      </w:r>
      <w:r w:rsidRPr="00756BE4">
        <w:rPr>
          <w:rFonts w:asciiTheme="minorHAnsi" w:eastAsiaTheme="minorHAnsi" w:hAnsiTheme="minorHAnsi" w:cstheme="minorHAnsi"/>
        </w:rPr>
        <w:t>single</w:t>
      </w:r>
      <w:r w:rsidR="00FF434A">
        <w:rPr>
          <w:rFonts w:asciiTheme="minorHAnsi" w:eastAsiaTheme="minorHAnsi" w:hAnsiTheme="minorHAnsi" w:cstheme="minorHAnsi"/>
        </w:rPr>
        <w:t xml:space="preserve"> </w:t>
      </w:r>
      <w:r w:rsidRPr="00756BE4">
        <w:rPr>
          <w:rFonts w:asciiTheme="minorHAnsi" w:eastAsiaTheme="minorHAnsi" w:hAnsiTheme="minorHAnsi" w:cstheme="minorHAnsi"/>
        </w:rPr>
        <w:t>unit transfusion policy</w:t>
      </w:r>
      <w:r w:rsidR="00FF434A">
        <w:rPr>
          <w:rFonts w:asciiTheme="minorHAnsi" w:eastAsiaTheme="minorHAnsi" w:hAnsiTheme="minorHAnsi" w:cstheme="minorHAnsi"/>
        </w:rPr>
        <w:t xml:space="preserve"> in 2010</w:t>
      </w:r>
      <w:r w:rsidRPr="00756BE4">
        <w:rPr>
          <w:rFonts w:asciiTheme="minorHAnsi" w:eastAsiaTheme="minorHAnsi" w:hAnsiTheme="minorHAnsi" w:cstheme="minorHAnsi"/>
        </w:rPr>
        <w:t xml:space="preserve">. </w:t>
      </w:r>
    </w:p>
    <w:p w:rsidR="006155AE" w:rsidRPr="00756BE4" w:rsidRDefault="00FF434A" w:rsidP="00135038">
      <w:pPr>
        <w:spacing w:after="120" w:line="276" w:lineRule="auto"/>
        <w:rPr>
          <w:rFonts w:asciiTheme="minorHAnsi" w:eastAsia="Times New Roman" w:hAnsiTheme="minorHAnsi" w:cstheme="minorHAnsi"/>
          <w:lang w:eastAsia="en-AU"/>
        </w:rPr>
      </w:pPr>
      <w:r w:rsidRPr="00825E1A">
        <w:rPr>
          <w:rFonts w:asciiTheme="minorHAnsi" w:eastAsia="Times New Roman" w:hAnsiTheme="minorHAnsi" w:cstheme="minorHAnsi"/>
          <w:b/>
          <w:lang w:eastAsia="en-AU"/>
        </w:rPr>
        <w:t>Canada</w:t>
      </w:r>
      <w:r>
        <w:rPr>
          <w:rFonts w:asciiTheme="minorHAnsi" w:eastAsia="Times New Roman" w:hAnsiTheme="minorHAnsi" w:cstheme="minorHAnsi"/>
          <w:lang w:eastAsia="en-AU"/>
        </w:rPr>
        <w:t xml:space="preserve">: </w:t>
      </w:r>
      <w:r w:rsidR="006155AE" w:rsidRPr="00756BE4">
        <w:rPr>
          <w:rFonts w:asciiTheme="minorHAnsi" w:eastAsia="Times New Roman" w:hAnsiTheme="minorHAnsi" w:cstheme="minorHAnsi"/>
          <w:lang w:eastAsia="en-AU"/>
        </w:rPr>
        <w:t xml:space="preserve">St. Michael’s Hospital </w:t>
      </w:r>
      <w:r>
        <w:rPr>
          <w:rFonts w:asciiTheme="minorHAnsi" w:eastAsia="Times New Roman" w:hAnsiTheme="minorHAnsi" w:cstheme="minorHAnsi"/>
          <w:lang w:eastAsia="en-AU"/>
        </w:rPr>
        <w:t>in Toronto,</w:t>
      </w:r>
      <w:r>
        <w:rPr>
          <w:rFonts w:asciiTheme="minorHAnsi" w:eastAsia="Times New Roman" w:hAnsiTheme="minorHAnsi" w:cstheme="minorHAnsi"/>
          <w:b/>
          <w:lang w:eastAsia="en-AU"/>
        </w:rPr>
        <w:fldChar w:fldCharType="begin" w:fldLock="1"/>
      </w:r>
      <w:r w:rsidR="00F521F5">
        <w:rPr>
          <w:rFonts w:asciiTheme="minorHAnsi" w:eastAsia="Times New Roman" w:hAnsiTheme="minorHAnsi" w:cstheme="minorHAnsi"/>
          <w:b/>
          <w:lang w:eastAsia="en-AU"/>
        </w:rPr>
        <w:instrText>ADDIN CSL_CITATION { "citationItems" : [ { "id" : "ITEM-1", "itemData" : { "URL" : "http://www.stmichaelshospital.com/media/detail.php?source=hospital_news/2012/20120913a_hn", "author" : [ { "dropping-particle" : "", "family" : "Shepherd", "given" : "Leslie", "non-dropping-particle" : "", "parse-names" : false, "suffix" : "" } ], "container-title" : "St Michael's Hospital, Toronto Canada", "id" : "ITEM-1", "issued" : { "date-parts" : [ [ "0" ] ] }, "title" : "St. Michael\u2019s to create centre for patient blood management", "type" : "webpage" }, "uris" : [ "http://www.mendeley.com/documents/?uuid=e515e749-0352-48e2-bc02-b6350dc2deae" ] } ], "mendeley" : { "previouslyFormattedCitation" : "&lt;sup&gt;10&lt;/sup&gt;" }, "properties" : { "noteIndex" : 0 }, "schema" : "https://github.com/citation-style-language/schema/raw/master/csl-citation.json" }</w:instrText>
      </w:r>
      <w:r>
        <w:rPr>
          <w:rFonts w:asciiTheme="minorHAnsi" w:eastAsia="Times New Roman" w:hAnsiTheme="minorHAnsi" w:cstheme="minorHAnsi"/>
          <w:b/>
          <w:lang w:eastAsia="en-AU"/>
        </w:rPr>
        <w:fldChar w:fldCharType="separate"/>
      </w:r>
      <w:r w:rsidR="00F521F5" w:rsidRPr="00F521F5">
        <w:rPr>
          <w:rFonts w:asciiTheme="minorHAnsi" w:eastAsia="Times New Roman" w:hAnsiTheme="minorHAnsi" w:cstheme="minorHAnsi"/>
          <w:noProof/>
          <w:vertAlign w:val="superscript"/>
          <w:lang w:eastAsia="en-AU"/>
        </w:rPr>
        <w:t>10</w:t>
      </w:r>
      <w:r>
        <w:rPr>
          <w:rFonts w:asciiTheme="minorHAnsi" w:eastAsia="Times New Roman" w:hAnsiTheme="minorHAnsi" w:cstheme="minorHAnsi"/>
          <w:b/>
          <w:lang w:eastAsia="en-AU"/>
        </w:rPr>
        <w:fldChar w:fldCharType="end"/>
      </w:r>
      <w:r w:rsidRPr="00756BE4">
        <w:rPr>
          <w:rFonts w:asciiTheme="minorHAnsi" w:eastAsia="Times New Roman" w:hAnsiTheme="minorHAnsi" w:cstheme="minorHAnsi"/>
          <w:lang w:eastAsia="en-AU"/>
        </w:rPr>
        <w:t xml:space="preserve"> </w:t>
      </w:r>
      <w:r w:rsidR="006155AE" w:rsidRPr="00756BE4">
        <w:rPr>
          <w:rFonts w:asciiTheme="minorHAnsi" w:eastAsia="Times New Roman" w:hAnsiTheme="minorHAnsi" w:cstheme="minorHAnsi"/>
          <w:lang w:eastAsia="en-AU"/>
        </w:rPr>
        <w:t>became one of the first in Canada to implement a blood conservation program</w:t>
      </w:r>
      <w:r>
        <w:rPr>
          <w:rFonts w:asciiTheme="minorHAnsi" w:eastAsia="Times New Roman" w:hAnsiTheme="minorHAnsi" w:cstheme="minorHAnsi"/>
          <w:lang w:eastAsia="en-AU"/>
        </w:rPr>
        <w:t xml:space="preserve"> i</w:t>
      </w:r>
      <w:r w:rsidRPr="00756BE4">
        <w:rPr>
          <w:rFonts w:asciiTheme="minorHAnsi" w:eastAsia="Times New Roman" w:hAnsiTheme="minorHAnsi" w:cstheme="minorHAnsi"/>
          <w:lang w:eastAsia="en-AU"/>
        </w:rPr>
        <w:t>n 1998</w:t>
      </w:r>
      <w:r w:rsidR="006155AE" w:rsidRPr="00756BE4">
        <w:rPr>
          <w:rFonts w:asciiTheme="minorHAnsi" w:eastAsia="Times New Roman" w:hAnsiTheme="minorHAnsi" w:cstheme="minorHAnsi"/>
          <w:lang w:eastAsia="en-AU"/>
        </w:rPr>
        <w:t xml:space="preserve">. The Ontario Transfusion Coordinators (ONTraC) program administered through St. Michael’s sets the standard in the province for patient blood management. </w:t>
      </w:r>
    </w:p>
    <w:p w:rsidR="006155AE" w:rsidRPr="005E21A9" w:rsidRDefault="006155AE" w:rsidP="00135038">
      <w:pPr>
        <w:spacing w:after="120" w:line="276" w:lineRule="auto"/>
        <w:rPr>
          <w:rFonts w:asciiTheme="minorHAnsi" w:eastAsiaTheme="minorHAnsi" w:hAnsiTheme="minorHAnsi" w:cstheme="minorHAnsi"/>
          <w:vertAlign w:val="superscript"/>
        </w:rPr>
      </w:pPr>
      <w:r w:rsidRPr="00756BE4">
        <w:rPr>
          <w:rFonts w:asciiTheme="minorHAnsi" w:eastAsiaTheme="minorHAnsi" w:hAnsiTheme="minorHAnsi" w:cstheme="minorHAnsi"/>
          <w:b/>
        </w:rPr>
        <w:t>USA</w:t>
      </w:r>
      <w:r w:rsidR="00FF434A">
        <w:rPr>
          <w:rFonts w:asciiTheme="minorHAnsi" w:eastAsiaTheme="minorHAnsi" w:hAnsiTheme="minorHAnsi" w:cstheme="minorHAnsi"/>
          <w:b/>
        </w:rPr>
        <w:t>:</w:t>
      </w:r>
      <w:r w:rsidRPr="00756BE4">
        <w:rPr>
          <w:rFonts w:asciiTheme="minorHAnsi" w:eastAsiaTheme="minorHAnsi" w:hAnsiTheme="minorHAnsi" w:cstheme="minorHAnsi"/>
        </w:rPr>
        <w:t xml:space="preserve"> Eastern Maine Medical Centre, </w:t>
      </w:r>
      <w:r w:rsidRPr="005E21A9">
        <w:rPr>
          <w:rFonts w:asciiTheme="minorHAnsi" w:eastAsiaTheme="minorHAnsi" w:hAnsiTheme="minorHAnsi" w:cstheme="minorHAnsi"/>
        </w:rPr>
        <w:t>Bangor.</w:t>
      </w:r>
      <w:r w:rsidR="00050411" w:rsidRPr="005E21A9">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"URL" : "http://www.emmc.org/blood_management.aspx?id=36102", "author" : [ { "dropping-particle" : "", "family" : "Eastern Maine Medical Center", "given" : "", "non-dropping-particle" : "", "parse-names" : false, "suffix" : "" } ], "id" : "ITEM-1", "issued" : { "date-parts" : [ [ "2007" ] ] }, "title" : "Patient Blood Management Program", "type" : "webpage" }, "uris" : [ "http://www.mendeley.com/documents/?uuid=13ad8daa-fc37-484a-89d3-42ad996b0702" ] } ], "mendeley" : { "previouslyFormattedCitation" : "&lt;sup&gt;11&lt;/sup&gt;" }, "properties" : { "noteIndex" : 0 }, "schema" : "https://github.com/citation-style-language/schema/raw/master/csl-citation.json" }</w:instrText>
      </w:r>
      <w:r w:rsidR="00050411" w:rsidRPr="005E21A9">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11</w:t>
      </w:r>
      <w:r w:rsidR="00050411" w:rsidRPr="005E21A9">
        <w:rPr>
          <w:rFonts w:asciiTheme="minorHAnsi" w:eastAsiaTheme="minorHAnsi" w:hAnsiTheme="minorHAnsi" w:cstheme="minorHAnsi"/>
        </w:rPr>
        <w:fldChar w:fldCharType="end"/>
      </w:r>
    </w:p>
    <w:p w:rsidR="006155AE" w:rsidRPr="00825E1A" w:rsidRDefault="006155AE" w:rsidP="00135038">
      <w:pPr>
        <w:spacing w:after="120" w:line="276" w:lineRule="auto"/>
        <w:rPr>
          <w:rFonts w:asciiTheme="minorHAnsi" w:eastAsiaTheme="minorHAnsi" w:hAnsiTheme="minorHAnsi" w:cstheme="minorHAnsi"/>
          <w:b/>
          <w:vertAlign w:val="superscript"/>
        </w:rPr>
      </w:pPr>
      <w:r w:rsidRPr="00756BE4">
        <w:rPr>
          <w:rFonts w:asciiTheme="minorHAnsi" w:eastAsiaTheme="minorHAnsi" w:hAnsiTheme="minorHAnsi" w:cstheme="minorHAnsi"/>
          <w:b/>
        </w:rPr>
        <w:lastRenderedPageBreak/>
        <w:t>Europe:</w:t>
      </w:r>
      <w:r w:rsidR="00050411">
        <w:rPr>
          <w:rFonts w:asciiTheme="minorHAnsi" w:eastAsiaTheme="minorHAnsi" w:hAnsiTheme="minorHAnsi" w:cstheme="minorHAnsi"/>
          <w:b/>
        </w:rPr>
        <w:fldChar w:fldCharType="begin" w:fldLock="1"/>
      </w:r>
      <w:r w:rsidR="00F521F5">
        <w:rPr>
          <w:rFonts w:asciiTheme="minorHAnsi" w:eastAsiaTheme="minorHAnsi" w:hAnsiTheme="minorHAnsi" w:cstheme="minorHAnsi"/>
          <w:b/>
        </w:rPr>
        <w:instrText>ADDIN CSL_CITATION { "citationItems" : [ { "id" : "ITEM-1", "itemData" : { "DOI" : "10.1093/bja/aes139", "author" : [ { "dropping-particle" : "", "family" : "Shander", "given" : "A", "non-dropping-particle" : "", "parse-names" : false, "suffix" : "" }, { "dropping-particle" : "Van", "family" : "Aken", "given" : "H", "non-dropping-particle" : "", "parse-names" : false, "suffix" : "" }, { "dropping-particle" : "", "family" : "Colomina", "given" : "M J", "non-dropping-particle" : "", "parse-names" : false, "suffix" : "" }, { "dropping-particle" : "", "family" : "Gombotz", "given" : "H", "non-dropping-particle" : "", "parse-names" : false, "suffix" : "" }, { "dropping-particle" : "", "family" : "Hofmann", "given" : "A", "non-dropping-particle" : "", "parse-names" : false, "suffix" : "" }, { "dropping-particle" : "", "family" : "Krauspe", "given" : "R", "non-dropping-particle" : "", "parse-names" : false, "suffix" : "" }, { "dropping-particle" : "", "family" : "Lasocki", "given" : "S", "non-dropping-particle" : "", "parse-names" : false, "suffix" : "" }, { "dropping-particle" : "", "family" : "Richards", "given" : "T", "non-dropping-particle" : "", "parse-names" : false, "suffix" : "" }, { "dropping-particle" : "", "family" : "Slappendel", "given" : "R", "non-dropping-particle" : "", "parse-names" : false, "suffix" : "" }, { "dropping-particle" : "", "family" : "Spahn", "given" : "D R", "non-dropping-particle" : "", "parse-names" : false, "suffix" : "" } ], "id" : "ITEM-1", "issue" : "May", "issued" : { "date-parts" : [ [ "2012" ] ] }, "page" : "55-68", "title" : "Patient blood management in Europe", "type" : "article-journal", "volume" : "109" }, "uris" : [ "http://www.mendeley.com/documents/?uuid=1d21447f-1cb5-4790-bcb0-3e57753fd18a" ] } ], "mendeley" : { "previouslyFormattedCitation" : "&lt;sup&gt;12&lt;/sup&gt;" }, "properties" : { "noteIndex" : 0 }, "schema" : "https://github.com/citation-style-language/schema/raw/master/csl-citation.json" }</w:instrText>
      </w:r>
      <w:r w:rsidR="00050411">
        <w:rPr>
          <w:rFonts w:asciiTheme="minorHAnsi" w:eastAsiaTheme="minorHAnsi" w:hAnsiTheme="minorHAnsi" w:cstheme="minorHAnsi"/>
          <w:b/>
        </w:rPr>
        <w:fldChar w:fldCharType="separate"/>
      </w:r>
      <w:r w:rsidR="00F521F5" w:rsidRPr="00F521F5">
        <w:rPr>
          <w:rFonts w:asciiTheme="minorHAnsi" w:eastAsiaTheme="minorHAnsi" w:hAnsiTheme="minorHAnsi" w:cstheme="minorHAnsi"/>
          <w:noProof/>
          <w:vertAlign w:val="superscript"/>
        </w:rPr>
        <w:t>12</w:t>
      </w:r>
      <w:r w:rsidR="00050411">
        <w:rPr>
          <w:rFonts w:asciiTheme="minorHAnsi" w:eastAsiaTheme="minorHAnsi" w:hAnsiTheme="minorHAnsi" w:cstheme="minorHAnsi"/>
          <w:b/>
        </w:rPr>
        <w:fldChar w:fldCharType="end"/>
      </w:r>
      <w:r w:rsidRPr="00756BE4">
        <w:rPr>
          <w:rFonts w:asciiTheme="minorHAnsi" w:eastAsiaTheme="minorHAnsi" w:hAnsiTheme="minorHAnsi" w:cstheme="minorHAnsi"/>
          <w:color w:val="00B050"/>
          <w:vertAlign w:val="superscript"/>
        </w:rPr>
        <w:t xml:space="preserve"> </w:t>
      </w:r>
      <w:r w:rsidR="00FF434A">
        <w:rPr>
          <w:rFonts w:asciiTheme="minorHAnsi" w:eastAsiaTheme="minorHAnsi" w:hAnsiTheme="minorHAnsi" w:cstheme="minorHAnsi"/>
        </w:rPr>
        <w:t>Patient blood management</w:t>
      </w:r>
      <w:r w:rsidR="00FF434A" w:rsidRPr="00756BE4">
        <w:rPr>
          <w:rFonts w:asciiTheme="minorHAnsi" w:eastAsiaTheme="minorHAnsi" w:hAnsiTheme="minorHAnsi" w:cstheme="minorHAnsi"/>
        </w:rPr>
        <w:t xml:space="preserve"> strategies </w:t>
      </w:r>
      <w:r w:rsidR="00FF434A">
        <w:rPr>
          <w:rFonts w:asciiTheme="minorHAnsi" w:eastAsiaTheme="minorHAnsi" w:hAnsiTheme="minorHAnsi" w:cstheme="minorHAnsi"/>
        </w:rPr>
        <w:t xml:space="preserve">have been </w:t>
      </w:r>
      <w:r w:rsidR="00FF434A" w:rsidRPr="00756BE4">
        <w:rPr>
          <w:rFonts w:asciiTheme="minorHAnsi" w:eastAsiaTheme="minorHAnsi" w:hAnsiTheme="minorHAnsi" w:cstheme="minorHAnsi"/>
        </w:rPr>
        <w:t xml:space="preserve">established in </w:t>
      </w:r>
      <w:r w:rsidR="00FF434A">
        <w:rPr>
          <w:rFonts w:asciiTheme="minorHAnsi" w:eastAsiaTheme="minorHAnsi" w:hAnsiTheme="minorHAnsi" w:cstheme="minorHAnsi"/>
        </w:rPr>
        <w:t>some</w:t>
      </w:r>
      <w:r w:rsidR="00FF434A" w:rsidRPr="00756BE4">
        <w:rPr>
          <w:rFonts w:asciiTheme="minorHAnsi" w:eastAsiaTheme="minorHAnsi" w:hAnsiTheme="minorHAnsi" w:cstheme="minorHAnsi"/>
        </w:rPr>
        <w:t xml:space="preserve"> hospitals </w:t>
      </w:r>
      <w:r w:rsidR="00FF434A">
        <w:rPr>
          <w:rFonts w:asciiTheme="minorHAnsi" w:eastAsiaTheme="minorHAnsi" w:hAnsiTheme="minorHAnsi" w:cstheme="minorHAnsi"/>
        </w:rPr>
        <w:t xml:space="preserve">in </w:t>
      </w:r>
      <w:r w:rsidRPr="00756BE4">
        <w:rPr>
          <w:rFonts w:asciiTheme="minorHAnsi" w:eastAsiaTheme="minorHAnsi" w:hAnsiTheme="minorHAnsi" w:cstheme="minorHAnsi"/>
        </w:rPr>
        <w:t>Austria</w:t>
      </w:r>
      <w:r w:rsidR="00FF434A">
        <w:rPr>
          <w:rFonts w:asciiTheme="minorHAnsi" w:eastAsiaTheme="minorHAnsi" w:hAnsiTheme="minorHAnsi" w:cstheme="minorHAnsi"/>
        </w:rPr>
        <w:t xml:space="preserve"> and</w:t>
      </w:r>
      <w:r w:rsidRPr="00756BE4">
        <w:rPr>
          <w:rFonts w:asciiTheme="minorHAnsi" w:eastAsiaTheme="minorHAnsi" w:hAnsiTheme="minorHAnsi" w:cstheme="minorHAnsi"/>
        </w:rPr>
        <w:t xml:space="preserve"> Switzerland.</w:t>
      </w:r>
      <w:r w:rsidRPr="00756BE4">
        <w:rPr>
          <w:rFonts w:asciiTheme="minorHAnsi" w:eastAsiaTheme="minorHAnsi" w:hAnsiTheme="minorHAnsi" w:cstheme="minorHAnsi"/>
          <w:b/>
          <w:vertAlign w:val="superscript"/>
        </w:rPr>
        <w:t xml:space="preserve"> </w:t>
      </w:r>
      <w:r w:rsidR="00FF434A" w:rsidRPr="00825E1A">
        <w:rPr>
          <w:rFonts w:asciiTheme="minorHAnsi" w:eastAsiaTheme="minorHAnsi" w:hAnsiTheme="minorHAnsi" w:cstheme="minorHAnsi"/>
        </w:rPr>
        <w:t xml:space="preserve">The </w:t>
      </w:r>
      <w:r w:rsidRPr="00756BE4">
        <w:rPr>
          <w:rFonts w:asciiTheme="minorHAnsi" w:eastAsiaTheme="minorHAnsi" w:hAnsiTheme="minorHAnsi" w:cstheme="minorHAnsi"/>
        </w:rPr>
        <w:t xml:space="preserve">Netherlands </w:t>
      </w:r>
      <w:r w:rsidR="00FF434A">
        <w:rPr>
          <w:rFonts w:asciiTheme="minorHAnsi" w:eastAsiaTheme="minorHAnsi" w:hAnsiTheme="minorHAnsi" w:cstheme="minorHAnsi"/>
        </w:rPr>
        <w:t>have had a patient blood management program</w:t>
      </w:r>
      <w:r w:rsidRPr="00756BE4">
        <w:rPr>
          <w:rFonts w:asciiTheme="minorHAnsi" w:eastAsiaTheme="minorHAnsi" w:hAnsiTheme="minorHAnsi" w:cstheme="minorHAnsi"/>
        </w:rPr>
        <w:t xml:space="preserve"> for ten years.</w:t>
      </w:r>
    </w:p>
    <w:p w:rsidR="00943A9E" w:rsidRDefault="00FF434A" w:rsidP="00135038">
      <w:pPr>
        <w:spacing w:after="120" w:line="276" w:lineRule="auto"/>
        <w:rPr>
          <w:u w:val="single"/>
        </w:rPr>
      </w:pPr>
      <w:r>
        <w:rPr>
          <w:rFonts w:eastAsia="Calibri"/>
          <w:spacing w:val="2"/>
          <w:szCs w:val="19"/>
          <w:lang w:val="en-US"/>
        </w:rPr>
        <w:t>The United Kingdom Blood Transfusion &amp; Tissue Transplantation Services “</w:t>
      </w:r>
      <w:r w:rsidR="000C366B" w:rsidRPr="00825E1A">
        <w:rPr>
          <w:rFonts w:asciiTheme="minorHAnsi" w:eastAsiaTheme="minorHAnsi" w:hAnsiTheme="minorHAnsi" w:cstheme="minorHAnsi"/>
          <w:i/>
        </w:rPr>
        <w:t>Better Blood Transfusion</w:t>
      </w:r>
      <w:r>
        <w:rPr>
          <w:rFonts w:asciiTheme="minorHAnsi" w:eastAsiaTheme="minorHAnsi" w:hAnsiTheme="minorHAnsi" w:cstheme="minorHAnsi"/>
        </w:rPr>
        <w:t>”</w:t>
      </w:r>
      <w:r w:rsidR="000C366B" w:rsidRPr="00825E1A">
        <w:rPr>
          <w:rFonts w:asciiTheme="minorHAnsi" w:eastAsiaTheme="minorHAnsi" w:hAnsiTheme="minorHAnsi" w:cstheme="minorHAnsi"/>
        </w:rPr>
        <w:t xml:space="preserve"> </w:t>
      </w:r>
      <w:r>
        <w:rPr>
          <w:rFonts w:asciiTheme="minorHAnsi" w:eastAsiaTheme="minorHAnsi" w:hAnsiTheme="minorHAnsi" w:cstheme="minorHAnsi"/>
        </w:rPr>
        <w:t>Toolkit</w:t>
      </w:r>
      <w:r w:rsidR="009A5DE2">
        <w:rPr>
          <w:rFonts w:asciiTheme="minorHAnsi" w:eastAsiaTheme="minorHAnsi" w:hAnsiTheme="minorHAnsi" w:cstheme="minorHAnsi"/>
        </w:rPr>
        <w:fldChar w:fldCharType="begin" w:fldLock="1"/>
      </w:r>
      <w:r w:rsidR="00F521F5">
        <w:rPr>
          <w:rFonts w:asciiTheme="minorHAnsi" w:eastAsiaTheme="minorHAnsi" w:hAnsiTheme="minorHAnsi" w:cstheme="minorHAnsi"/>
        </w:rPr>
        <w:instrText>ADDIN CSL_CITATION { "citationItems" : [ { "id" : "ITEM-1", "itemData" : { "URL" : "http://www.transfusionguidelines.org.uk/index.aspx?Publication=BBT&amp;Section=22", "author" : [ { "dropping-particle" : "", "family" : "UK Blood Transfusion Services", "given" : "", "non-dropping-particle" : "", "parse-names" : false, "suffix" : "" }, { "dropping-particle" : "", "family" : "Department of Health", "given" : "", "non-dropping-particle" : "", "parse-names" : false, "suffix" : "" } ], "id" : "ITEM-1", "issued" : { "date-parts" : [ [ "2011" ] ] }, "title" : "UK Better Blood Transfusion Toolkit", "type" : "webpage" }, "uris" : [ "http://www.mendeley.com/documents/?uuid=60205c29-8f3b-4ca5-b58c-bf328f4f24c3" ] } ], "mendeley" : { "previouslyFormattedCitation" : "&lt;sup&gt;13&lt;/sup&gt;" }, "properties" : { "noteIndex" : 0 }, "schema" : "https://github.com/citation-style-language/schema/raw/master/csl-citation.json" }</w:instrText>
      </w:r>
      <w:r w:rsidR="009A5DE2">
        <w:rPr>
          <w:rFonts w:asciiTheme="minorHAnsi" w:eastAsiaTheme="minorHAnsi" w:hAnsiTheme="minorHAnsi" w:cstheme="minorHAnsi"/>
        </w:rPr>
        <w:fldChar w:fldCharType="separate"/>
      </w:r>
      <w:r w:rsidR="00F521F5" w:rsidRPr="00F521F5">
        <w:rPr>
          <w:rFonts w:asciiTheme="minorHAnsi" w:eastAsiaTheme="minorHAnsi" w:hAnsiTheme="minorHAnsi" w:cstheme="minorHAnsi"/>
          <w:noProof/>
          <w:vertAlign w:val="superscript"/>
        </w:rPr>
        <w:t>13</w:t>
      </w:r>
      <w:r w:rsidR="009A5DE2">
        <w:rPr>
          <w:rFonts w:asciiTheme="minorHAnsi" w:eastAsiaTheme="minorHAnsi" w:hAnsiTheme="minorHAnsi" w:cstheme="minorHAnsi"/>
        </w:rPr>
        <w:fldChar w:fldCharType="end"/>
      </w:r>
      <w:r>
        <w:rPr>
          <w:rFonts w:asciiTheme="minorHAnsi" w:eastAsiaTheme="minorHAnsi" w:hAnsiTheme="minorHAnsi" w:cstheme="minorHAnsi"/>
        </w:rPr>
        <w:t xml:space="preserve"> </w:t>
      </w:r>
      <w:r w:rsidR="00922BE7" w:rsidRPr="00825E1A">
        <w:rPr>
          <w:rFonts w:asciiTheme="minorHAnsi" w:eastAsiaTheme="minorHAnsi" w:hAnsiTheme="minorHAnsi" w:cstheme="minorHAnsi"/>
        </w:rPr>
        <w:t>include</w:t>
      </w:r>
      <w:r>
        <w:rPr>
          <w:rFonts w:asciiTheme="minorHAnsi" w:eastAsiaTheme="minorHAnsi" w:hAnsiTheme="minorHAnsi" w:cstheme="minorHAnsi"/>
        </w:rPr>
        <w:t>s</w:t>
      </w:r>
      <w:r w:rsidR="00922BE7" w:rsidRPr="00825E1A">
        <w:rPr>
          <w:rFonts w:asciiTheme="minorHAnsi" w:eastAsiaTheme="minorHAnsi" w:hAnsiTheme="minorHAnsi" w:cstheme="minorHAnsi"/>
        </w:rPr>
        <w:t xml:space="preserve"> statement</w:t>
      </w:r>
      <w:r>
        <w:rPr>
          <w:rFonts w:asciiTheme="minorHAnsi" w:eastAsiaTheme="minorHAnsi" w:hAnsiTheme="minorHAnsi" w:cstheme="minorHAnsi"/>
        </w:rPr>
        <w:t>s</w:t>
      </w:r>
      <w:r w:rsidR="00922BE7" w:rsidRPr="00825E1A">
        <w:rPr>
          <w:rFonts w:asciiTheme="minorHAnsi" w:eastAsiaTheme="minorHAnsi" w:hAnsiTheme="minorHAnsi" w:cstheme="minorHAnsi"/>
        </w:rPr>
        <w:t xml:space="preserve"> on single unit red blood c</w:t>
      </w:r>
      <w:r>
        <w:rPr>
          <w:rFonts w:asciiTheme="minorHAnsi" w:eastAsiaTheme="minorHAnsi" w:hAnsiTheme="minorHAnsi" w:cstheme="minorHAnsi"/>
        </w:rPr>
        <w:t>ell transfusion</w:t>
      </w:r>
      <w:r w:rsidR="00922BE7" w:rsidRPr="00825E1A">
        <w:rPr>
          <w:rFonts w:asciiTheme="minorHAnsi" w:eastAsiaTheme="minorHAnsi" w:hAnsiTheme="minorHAnsi" w:cstheme="minorHAnsi"/>
        </w:rPr>
        <w:t>.</w:t>
      </w:r>
      <w:r w:rsidR="00943A9E" w:rsidRPr="00943A9E">
        <w:rPr>
          <w:u w:val="single"/>
        </w:rPr>
        <w:t xml:space="preserve"> </w:t>
      </w:r>
    </w:p>
    <w:p w:rsidR="007B4797" w:rsidRDefault="007B4797" w:rsidP="007B4797">
      <w:pPr>
        <w:pStyle w:val="Heading4"/>
      </w:pPr>
      <w:r w:rsidRPr="005722E2">
        <w:t>Further Reading</w:t>
      </w:r>
    </w:p>
    <w:p w:rsidR="007B4797" w:rsidRPr="005722E2" w:rsidRDefault="007B4797" w:rsidP="007B4797">
      <w:r>
        <w:t>The following list has been provided as a starting point for further reading:</w:t>
      </w:r>
    </w:p>
    <w:p w:rsidR="007B4797" w:rsidRPr="00943A9E" w:rsidRDefault="007B4797" w:rsidP="007B4797">
      <w:pPr>
        <w:numPr>
          <w:ilvl w:val="0"/>
          <w:numId w:val="36"/>
        </w:numPr>
      </w:pPr>
      <w:r w:rsidRPr="00943A9E">
        <w:t>National Blood A</w:t>
      </w:r>
      <w:r>
        <w:t>uthority (NBA) (2012). Patient Blood Management G</w:t>
      </w:r>
      <w:r w:rsidRPr="00943A9E">
        <w:t xml:space="preserve">uidelines NBA, Canberra, Australia. </w:t>
      </w:r>
      <w:hyperlink r:id="rId10" w:history="1">
        <w:r w:rsidRPr="00157A1C">
          <w:rPr>
            <w:rStyle w:val="Hyperlink"/>
          </w:rPr>
          <w:t>http://www.blood.gov.au/pbm-guidelines</w:t>
        </w:r>
      </w:hyperlink>
      <w:r>
        <w:t xml:space="preserve"> </w:t>
      </w:r>
    </w:p>
    <w:p w:rsidR="007B4797" w:rsidRPr="00943A9E" w:rsidRDefault="007B4797" w:rsidP="007B4797">
      <w:pPr>
        <w:numPr>
          <w:ilvl w:val="0"/>
          <w:numId w:val="36"/>
        </w:numPr>
        <w:rPr>
          <w:u w:val="single"/>
        </w:rPr>
      </w:pPr>
      <w:r w:rsidRPr="00943A9E">
        <w:t>World Health Organisation, World Health Assembly, 2010, 63</w:t>
      </w:r>
      <w:r w:rsidRPr="00943A9E">
        <w:rPr>
          <w:vertAlign w:val="superscript"/>
        </w:rPr>
        <w:t>rd</w:t>
      </w:r>
      <w:r w:rsidRPr="00943A9E">
        <w:t xml:space="preserve"> Assembly. WHA63.12 Agenda item 11.17: Availability, safety and quality of blood products. 21 May 2010.Page 3: </w:t>
      </w:r>
      <w:hyperlink r:id="rId11" w:history="1">
        <w:r w:rsidRPr="00943A9E">
          <w:rPr>
            <w:rStyle w:val="Hyperlink"/>
          </w:rPr>
          <w:t>www.who.int/bloodsafety/BTS_Resolutionsadopted.pdf</w:t>
        </w:r>
      </w:hyperlink>
    </w:p>
    <w:p w:rsidR="007B4797" w:rsidRDefault="007B4797" w:rsidP="007B4797">
      <w:pPr>
        <w:numPr>
          <w:ilvl w:val="0"/>
          <w:numId w:val="36"/>
        </w:numPr>
      </w:pPr>
      <w:r w:rsidRPr="00294E0D">
        <w:t xml:space="preserve">Hajjar LA Vincent JL et al. Transfusion requirements after cardiac surgery: the TRACS randomised controlled trial. </w:t>
      </w:r>
      <w:r w:rsidRPr="00294E0D">
        <w:rPr>
          <w:i/>
          <w:iCs/>
        </w:rPr>
        <w:t>JAMA - Journal of the American Medical Association</w:t>
      </w:r>
      <w:r w:rsidRPr="00294E0D">
        <w:t xml:space="preserve"> </w:t>
      </w:r>
      <w:r w:rsidRPr="00294E0D">
        <w:rPr>
          <w:b/>
          <w:bCs/>
        </w:rPr>
        <w:t>304</w:t>
      </w:r>
      <w:r w:rsidRPr="00294E0D">
        <w:t>, 304:1559–1567</w:t>
      </w:r>
    </w:p>
    <w:p w:rsidR="007B4797" w:rsidRPr="00943A9E" w:rsidRDefault="007B4797" w:rsidP="007B4797">
      <w:pPr>
        <w:numPr>
          <w:ilvl w:val="0"/>
          <w:numId w:val="36"/>
        </w:numPr>
      </w:pPr>
      <w:r w:rsidRPr="00943A9E">
        <w:t>Shander A, et al.</w:t>
      </w:r>
      <w:r>
        <w:t xml:space="preserve"> </w:t>
      </w:r>
      <w:r w:rsidRPr="00943A9E">
        <w:t xml:space="preserve">Review. (2012). A new perspective on best transfusion practices. </w:t>
      </w:r>
      <w:r w:rsidRPr="00943A9E">
        <w:rPr>
          <w:i/>
        </w:rPr>
        <w:t xml:space="preserve">Blood Transfus </w:t>
      </w:r>
      <w:r w:rsidRPr="00943A9E">
        <w:t>DOI 1032450/2012.0195-12</w:t>
      </w:r>
    </w:p>
    <w:p w:rsidR="007B4797" w:rsidRPr="00943A9E" w:rsidRDefault="007B4797" w:rsidP="007B4797">
      <w:pPr>
        <w:numPr>
          <w:ilvl w:val="0"/>
          <w:numId w:val="36"/>
        </w:numPr>
      </w:pPr>
      <w:r w:rsidRPr="00943A9E">
        <w:t>Herbert PC, Wells G et al (1999). A Multicenter, Randomised, Controlled Clinical Trial of Transfusion Requirements in Critical Care</w:t>
      </w:r>
      <w:r>
        <w:t xml:space="preserve"> (TRICC)</w:t>
      </w:r>
      <w:r w:rsidRPr="00943A9E">
        <w:t xml:space="preserve">. </w:t>
      </w:r>
      <w:r w:rsidRPr="00943A9E">
        <w:rPr>
          <w:i/>
        </w:rPr>
        <w:t>N Engl J Med</w:t>
      </w:r>
      <w:r w:rsidRPr="00943A9E">
        <w:t xml:space="preserve"> 1999;340 (6):409-17</w:t>
      </w:r>
    </w:p>
    <w:p w:rsidR="007B4797" w:rsidRPr="00943A9E" w:rsidRDefault="007B4797" w:rsidP="007B4797">
      <w:pPr>
        <w:numPr>
          <w:ilvl w:val="0"/>
          <w:numId w:val="36"/>
        </w:numPr>
      </w:pPr>
      <w:r w:rsidRPr="00943A9E">
        <w:t>Transfusion requirements after cardiac surgery. JAMA 2010;304:1559-67.</w:t>
      </w:r>
    </w:p>
    <w:p w:rsidR="007B4797" w:rsidRPr="00943A9E" w:rsidRDefault="007B4797" w:rsidP="007B4797">
      <w:pPr>
        <w:numPr>
          <w:ilvl w:val="0"/>
          <w:numId w:val="36"/>
        </w:numPr>
      </w:pPr>
      <w:r w:rsidRPr="00943A9E">
        <w:t xml:space="preserve">Carson JL et al. (2011). Liberal or restrictive transfusion in high-risk patients after hip surgery. </w:t>
      </w:r>
      <w:r w:rsidRPr="00943A9E">
        <w:rPr>
          <w:i/>
        </w:rPr>
        <w:t xml:space="preserve">N Engl J Med </w:t>
      </w:r>
      <w:r w:rsidRPr="00943A9E">
        <w:t>2011;365(26):2453-62.</w:t>
      </w:r>
    </w:p>
    <w:p w:rsidR="007B4797" w:rsidRPr="00943A9E" w:rsidRDefault="007B4797" w:rsidP="007B4797">
      <w:pPr>
        <w:numPr>
          <w:ilvl w:val="0"/>
          <w:numId w:val="36"/>
        </w:numPr>
      </w:pPr>
      <w:r w:rsidRPr="00943A9E">
        <w:t xml:space="preserve">Carson JL et al. (2012). Transfusion thresholds and other strategies for guiding allogeneic red blood cell transfusion – Cochrane Review. Cochrane Database of Systematic Reviews 2012: Issue4   </w:t>
      </w:r>
    </w:p>
    <w:p w:rsidR="007B4797" w:rsidRPr="00943A9E" w:rsidRDefault="007B4797" w:rsidP="007B4797">
      <w:pPr>
        <w:numPr>
          <w:ilvl w:val="0"/>
          <w:numId w:val="36"/>
        </w:numPr>
      </w:pPr>
      <w:r w:rsidRPr="00943A9E">
        <w:t>Shander A, et al</w:t>
      </w:r>
      <w:r w:rsidRPr="00943A9E" w:rsidDel="006D43D8">
        <w:t xml:space="preserve"> </w:t>
      </w:r>
      <w:r w:rsidRPr="00943A9E">
        <w:t xml:space="preserve">(2011). Appropriateness of allogeneic red blood cell transfusion: the international consensus conference on transfusion outcomes.. </w:t>
      </w:r>
      <w:r w:rsidRPr="00943A9E">
        <w:rPr>
          <w:i/>
        </w:rPr>
        <w:t>Transfus Med Rev</w:t>
      </w:r>
      <w:r w:rsidRPr="00943A9E">
        <w:t>. 2011 Jul;25(3):232-246.e53 (15 Collaborators).</w:t>
      </w:r>
    </w:p>
    <w:p w:rsidR="007B4797" w:rsidRPr="00943A9E" w:rsidRDefault="007B4797" w:rsidP="007B4797">
      <w:pPr>
        <w:numPr>
          <w:ilvl w:val="0"/>
          <w:numId w:val="36"/>
        </w:numPr>
      </w:pPr>
      <w:r w:rsidRPr="00943A9E">
        <w:t>Warwick R. et al</w:t>
      </w:r>
      <w:r w:rsidRPr="00943A9E" w:rsidDel="00AA5242">
        <w:t xml:space="preserve"> </w:t>
      </w:r>
      <w:r w:rsidRPr="00943A9E">
        <w:t xml:space="preserve">(2013). Is single-unit blood transfusion bad post-coronary artery bypass surgery? </w:t>
      </w:r>
      <w:r w:rsidRPr="00943A9E">
        <w:rPr>
          <w:i/>
        </w:rPr>
        <w:t>Interact Cardiovasc Thorac Surg</w:t>
      </w:r>
      <w:r w:rsidRPr="00943A9E">
        <w:t xml:space="preserve"> 2013 Jun;16(6):765-71.</w:t>
      </w:r>
    </w:p>
    <w:p w:rsidR="007B4797" w:rsidRPr="00943A9E" w:rsidRDefault="007B4797" w:rsidP="007B4797">
      <w:pPr>
        <w:numPr>
          <w:ilvl w:val="0"/>
          <w:numId w:val="36"/>
        </w:numPr>
      </w:pPr>
      <w:r w:rsidRPr="00943A9E">
        <w:t xml:space="preserve">Galas F, Almeida J et al. 2013.  Blood transfusion in cardiac surgery is a risk factor for increased hospital length of stay in adult patients. </w:t>
      </w:r>
      <w:r w:rsidRPr="00943A9E">
        <w:rPr>
          <w:i/>
        </w:rPr>
        <w:t>Journal of Cardiothoracic Surgery</w:t>
      </w:r>
      <w:r w:rsidRPr="00943A9E">
        <w:t xml:space="preserve"> 2013, 8:54.</w:t>
      </w:r>
    </w:p>
    <w:p w:rsidR="007B4797" w:rsidRPr="00943A9E" w:rsidRDefault="007B4797" w:rsidP="007B4797">
      <w:pPr>
        <w:numPr>
          <w:ilvl w:val="0"/>
          <w:numId w:val="36"/>
        </w:numPr>
      </w:pPr>
      <w:r w:rsidRPr="00943A9E">
        <w:t>Villanueva C, Colomo</w:t>
      </w:r>
      <w:bookmarkStart w:id="0" w:name="_GoBack"/>
      <w:bookmarkEnd w:id="0"/>
      <w:r w:rsidRPr="00943A9E">
        <w:t xml:space="preserve"> A 2013.Transfusion Strategies for Acute Upper Gastrointestinal Bleeding. </w:t>
      </w:r>
      <w:r w:rsidRPr="00943A9E">
        <w:rPr>
          <w:i/>
        </w:rPr>
        <w:t>N Engl J Med</w:t>
      </w:r>
      <w:r w:rsidRPr="00943A9E">
        <w:t xml:space="preserve"> 2013 Jan;368;1:11-21.</w:t>
      </w:r>
    </w:p>
    <w:p w:rsidR="007B4797" w:rsidRPr="00825E1A" w:rsidRDefault="007B4797" w:rsidP="007B4797">
      <w:pPr>
        <w:pStyle w:val="NormalWeb"/>
        <w:numPr>
          <w:ilvl w:val="0"/>
          <w:numId w:val="36"/>
        </w:numPr>
        <w:rPr>
          <w:rFonts w:asciiTheme="minorHAnsi" w:eastAsiaTheme="minorHAnsi" w:hAnsiTheme="minorHAnsi" w:cstheme="minorHAnsi"/>
          <w:sz w:val="22"/>
        </w:rPr>
      </w:pPr>
      <w:r w:rsidRPr="00825E1A">
        <w:rPr>
          <w:rFonts w:asciiTheme="minorHAnsi" w:eastAsia="Calibri" w:hAnsiTheme="minorHAnsi" w:cstheme="minorHAnsi"/>
          <w:sz w:val="22"/>
        </w:rPr>
        <w:t>The British Committee for Standards in Haematology(BCSH) (2012). Guidelines on the Administration of Blood Components.  Addendum to Administration of Blood Components, August 2012 pdf.</w:t>
      </w:r>
      <w:hyperlink r:id="rId12" w:history="1">
        <w:r w:rsidRPr="00825E1A">
          <w:rPr>
            <w:rStyle w:val="Hyperlink"/>
            <w:rFonts w:asciiTheme="minorHAnsi" w:eastAsia="Calibri" w:hAnsiTheme="minorHAnsi" w:cstheme="minorHAnsi"/>
            <w:sz w:val="22"/>
          </w:rPr>
          <w:t>http://www.bcshguidelines.com/documents/BCSH_Blood_Admin_-_addendum_August_2012.pdf</w:t>
        </w:r>
      </w:hyperlink>
    </w:p>
    <w:p w:rsidR="007B4797" w:rsidRPr="00825E1A" w:rsidRDefault="007B4797" w:rsidP="00135038">
      <w:pPr>
        <w:spacing w:after="120" w:line="276" w:lineRule="auto"/>
        <w:rPr>
          <w:rFonts w:asciiTheme="minorHAnsi" w:eastAsiaTheme="minorHAnsi" w:hAnsiTheme="minorHAnsi" w:cstheme="minorHAnsi"/>
        </w:rPr>
      </w:pPr>
    </w:p>
    <w:p w:rsidR="006155AE" w:rsidRPr="006155AE" w:rsidRDefault="006155AE">
      <w:pPr>
        <w:pStyle w:val="Heading2"/>
      </w:pPr>
      <w:r w:rsidRPr="006155AE">
        <w:t>REFERENCES:</w:t>
      </w:r>
    </w:p>
    <w:p w:rsidR="00F521F5" w:rsidRPr="00F521F5" w:rsidRDefault="005637F0">
      <w:pPr>
        <w:pStyle w:val="NormalWeb"/>
        <w:ind w:left="640" w:hanging="640"/>
        <w:divId w:val="846015752"/>
        <w:rPr>
          <w:rFonts w:ascii="Calibri" w:eastAsiaTheme="minorEastAsia" w:hAnsi="Calibri" w:cs="Calibri"/>
          <w:noProof/>
          <w:sz w:val="22"/>
        </w:rPr>
      </w:pPr>
      <w:r>
        <w:rPr>
          <w:rFonts w:asciiTheme="minorHAnsi" w:eastAsiaTheme="minorHAnsi" w:hAnsiTheme="minorHAnsi" w:cstheme="minorHAnsi"/>
        </w:rPr>
        <w:fldChar w:fldCharType="begin" w:fldLock="1"/>
      </w:r>
      <w:r>
        <w:rPr>
          <w:rFonts w:asciiTheme="minorHAnsi" w:eastAsiaTheme="minorHAnsi" w:hAnsiTheme="minorHAnsi" w:cstheme="minorHAnsi"/>
        </w:rPr>
        <w:instrText xml:space="preserve">ADDIN Mendeley Bibliography CSL_BIBLIOGRAPHY </w:instrText>
      </w:r>
      <w:r>
        <w:rPr>
          <w:rFonts w:asciiTheme="minorHAnsi" w:eastAsiaTheme="minorHAnsi" w:hAnsiTheme="minorHAnsi" w:cstheme="minorHAnsi"/>
        </w:rPr>
        <w:fldChar w:fldCharType="separate"/>
      </w:r>
      <w:r w:rsidR="00F521F5" w:rsidRPr="00F521F5">
        <w:rPr>
          <w:rFonts w:ascii="Calibri" w:hAnsi="Calibri" w:cs="Calibri"/>
          <w:noProof/>
          <w:sz w:val="22"/>
        </w:rPr>
        <w:t>1.</w:t>
      </w:r>
      <w:r w:rsidR="00F521F5" w:rsidRPr="00F521F5">
        <w:rPr>
          <w:rFonts w:ascii="Calibri" w:hAnsi="Calibri" w:cs="Calibri"/>
          <w:noProof/>
          <w:sz w:val="22"/>
        </w:rPr>
        <w:tab/>
        <w:t xml:space="preserve">Hofmann, A., Farmer, S. &amp; Shander, A. Five drivers shifting the paradigm from product-focused transfusion practice to patient blood management. </w:t>
      </w:r>
      <w:r w:rsidR="00F521F5" w:rsidRPr="00F521F5">
        <w:rPr>
          <w:rFonts w:ascii="Calibri" w:hAnsi="Calibri" w:cs="Calibri"/>
          <w:i/>
          <w:iCs/>
          <w:noProof/>
          <w:sz w:val="22"/>
        </w:rPr>
        <w:t>The oncologist</w:t>
      </w:r>
      <w:r w:rsidR="00F521F5" w:rsidRPr="00F521F5">
        <w:rPr>
          <w:rFonts w:ascii="Calibri" w:hAnsi="Calibri" w:cs="Calibri"/>
          <w:noProof/>
          <w:sz w:val="22"/>
        </w:rPr>
        <w:t xml:space="preserve"> </w:t>
      </w:r>
      <w:r w:rsidR="00F521F5" w:rsidRPr="00F521F5">
        <w:rPr>
          <w:rFonts w:ascii="Calibri" w:hAnsi="Calibri" w:cs="Calibri"/>
          <w:b/>
          <w:bCs/>
          <w:noProof/>
          <w:sz w:val="22"/>
        </w:rPr>
        <w:t>16 Suppl 3</w:t>
      </w:r>
      <w:r w:rsidR="00F521F5" w:rsidRPr="00F521F5">
        <w:rPr>
          <w:rFonts w:ascii="Calibri" w:hAnsi="Calibri" w:cs="Calibri"/>
          <w:noProof/>
          <w:sz w:val="22"/>
        </w:rPr>
        <w:t>, 3–11 (2011).</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2.</w:t>
      </w:r>
      <w:r w:rsidRPr="00F521F5">
        <w:rPr>
          <w:rFonts w:ascii="Calibri" w:hAnsi="Calibri" w:cs="Calibri"/>
          <w:noProof/>
          <w:sz w:val="22"/>
        </w:rPr>
        <w:tab/>
        <w:t xml:space="preserve">Hofmann, A., Farmer, S. &amp; Towler, S. C. Strategies to preempt and reduce the use of blood products: an Australian perspective. </w:t>
      </w:r>
      <w:r w:rsidRPr="00F521F5">
        <w:rPr>
          <w:rFonts w:ascii="Calibri" w:hAnsi="Calibri" w:cs="Calibri"/>
          <w:i/>
          <w:iCs/>
          <w:noProof/>
          <w:sz w:val="22"/>
        </w:rPr>
        <w:t>Current opinion in anaesthesiology</w:t>
      </w:r>
      <w:r w:rsidRPr="00F521F5">
        <w:rPr>
          <w:rFonts w:ascii="Calibri" w:hAnsi="Calibri" w:cs="Calibri"/>
          <w:noProof/>
          <w:sz w:val="22"/>
        </w:rPr>
        <w:t xml:space="preserve"> </w:t>
      </w:r>
      <w:r w:rsidRPr="00F521F5">
        <w:rPr>
          <w:rFonts w:ascii="Calibri" w:hAnsi="Calibri" w:cs="Calibri"/>
          <w:b/>
          <w:bCs/>
          <w:noProof/>
          <w:sz w:val="22"/>
        </w:rPr>
        <w:t>25</w:t>
      </w:r>
      <w:r w:rsidRPr="00F521F5">
        <w:rPr>
          <w:rFonts w:ascii="Calibri" w:hAnsi="Calibri" w:cs="Calibri"/>
          <w:noProof/>
          <w:sz w:val="22"/>
        </w:rPr>
        <w:t>, 66–73 (2012).</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3.</w:t>
      </w:r>
      <w:r w:rsidRPr="00F521F5">
        <w:rPr>
          <w:rFonts w:ascii="Calibri" w:hAnsi="Calibri" w:cs="Calibri"/>
          <w:noProof/>
          <w:sz w:val="22"/>
        </w:rPr>
        <w:tab/>
        <w:t xml:space="preserve">Berger, M. D. </w:t>
      </w:r>
      <w:r w:rsidRPr="00F521F5">
        <w:rPr>
          <w:rFonts w:ascii="Calibri" w:hAnsi="Calibri" w:cs="Calibri"/>
          <w:i/>
          <w:iCs/>
          <w:noProof/>
          <w:sz w:val="22"/>
        </w:rPr>
        <w:t>et al.</w:t>
      </w:r>
      <w:r w:rsidRPr="00F521F5">
        <w:rPr>
          <w:rFonts w:ascii="Calibri" w:hAnsi="Calibri" w:cs="Calibri"/>
          <w:noProof/>
          <w:sz w:val="22"/>
        </w:rPr>
        <w:t xml:space="preserve"> Significant reduction of red blood cell transfusion requirements by changing from a double-unit to a single-unit transfusion policy in patients receiving intensive chemotherapy or stem cell transplantation. </w:t>
      </w:r>
      <w:r w:rsidRPr="00F521F5">
        <w:rPr>
          <w:rFonts w:ascii="Calibri" w:hAnsi="Calibri" w:cs="Calibri"/>
          <w:i/>
          <w:iCs/>
          <w:noProof/>
          <w:sz w:val="22"/>
        </w:rPr>
        <w:t>haematologica</w:t>
      </w:r>
      <w:r w:rsidRPr="00F521F5">
        <w:rPr>
          <w:rFonts w:ascii="Calibri" w:hAnsi="Calibri" w:cs="Calibri"/>
          <w:noProof/>
          <w:sz w:val="22"/>
        </w:rPr>
        <w:t xml:space="preserve"> </w:t>
      </w:r>
      <w:r w:rsidRPr="00F521F5">
        <w:rPr>
          <w:rFonts w:ascii="Calibri" w:hAnsi="Calibri" w:cs="Calibri"/>
          <w:b/>
          <w:bCs/>
          <w:noProof/>
          <w:sz w:val="22"/>
        </w:rPr>
        <w:t>97</w:t>
      </w:r>
      <w:r w:rsidRPr="00F521F5">
        <w:rPr>
          <w:rFonts w:ascii="Calibri" w:hAnsi="Calibri" w:cs="Calibri"/>
          <w:noProof/>
          <w:sz w:val="22"/>
        </w:rPr>
        <w:t>, 116–122 (2012).</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4.</w:t>
      </w:r>
      <w:r w:rsidRPr="00F521F5">
        <w:rPr>
          <w:rFonts w:ascii="Calibri" w:hAnsi="Calibri" w:cs="Calibri"/>
          <w:noProof/>
          <w:sz w:val="22"/>
        </w:rPr>
        <w:tab/>
        <w:t xml:space="preserve">Hébert, P. C. </w:t>
      </w:r>
      <w:r w:rsidRPr="00F521F5">
        <w:rPr>
          <w:rFonts w:ascii="Calibri" w:hAnsi="Calibri" w:cs="Calibri"/>
          <w:i/>
          <w:iCs/>
          <w:noProof/>
          <w:sz w:val="22"/>
        </w:rPr>
        <w:t>et al.</w:t>
      </w:r>
      <w:r w:rsidRPr="00F521F5">
        <w:rPr>
          <w:rFonts w:ascii="Calibri" w:hAnsi="Calibri" w:cs="Calibri"/>
          <w:noProof/>
          <w:sz w:val="22"/>
        </w:rPr>
        <w:t xml:space="preserve"> A multicenter , randomized, controlled clinical trial of transfusion requirements in critical care. </w:t>
      </w:r>
      <w:r w:rsidRPr="00F521F5">
        <w:rPr>
          <w:rFonts w:ascii="Calibri" w:hAnsi="Calibri" w:cs="Calibri"/>
          <w:i/>
          <w:iCs/>
          <w:noProof/>
          <w:sz w:val="22"/>
        </w:rPr>
        <w:t>N Engl J Med</w:t>
      </w:r>
      <w:r w:rsidRPr="00F521F5">
        <w:rPr>
          <w:rFonts w:ascii="Calibri" w:hAnsi="Calibri" w:cs="Calibri"/>
          <w:noProof/>
          <w:sz w:val="22"/>
        </w:rPr>
        <w:t xml:space="preserve"> </w:t>
      </w:r>
      <w:r w:rsidRPr="00F521F5">
        <w:rPr>
          <w:rFonts w:ascii="Calibri" w:hAnsi="Calibri" w:cs="Calibri"/>
          <w:b/>
          <w:bCs/>
          <w:noProof/>
          <w:sz w:val="22"/>
        </w:rPr>
        <w:t>340</w:t>
      </w:r>
      <w:r w:rsidRPr="00F521F5">
        <w:rPr>
          <w:rFonts w:ascii="Calibri" w:hAnsi="Calibri" w:cs="Calibri"/>
          <w:noProof/>
          <w:sz w:val="22"/>
        </w:rPr>
        <w:t>, 409–417 (1999).</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5.</w:t>
      </w:r>
      <w:r w:rsidRPr="00F521F5">
        <w:rPr>
          <w:rFonts w:ascii="Calibri" w:hAnsi="Calibri" w:cs="Calibri"/>
          <w:noProof/>
          <w:sz w:val="22"/>
        </w:rPr>
        <w:tab/>
        <w:t>Western Australia Government Single Unit Rule: A Quick Start Guide to Transfusion Reduction. (2012).at &lt;</w:t>
      </w:r>
      <w:hyperlink r:id="rId13" w:history="1">
        <w:r w:rsidRPr="00013FEB">
          <w:rPr>
            <w:rStyle w:val="Hyperlink"/>
            <w:rFonts w:ascii="Calibri" w:hAnsi="Calibri" w:cs="Calibri"/>
            <w:noProof/>
            <w:sz w:val="22"/>
          </w:rPr>
          <w:t>http://www.health.wa.gov.au/bloodmanagement/docs/Single Unit Rule.pdf</w:t>
        </w:r>
      </w:hyperlink>
      <w:r w:rsidRPr="00F521F5">
        <w:rPr>
          <w:rFonts w:ascii="Calibri" w:hAnsi="Calibri" w:cs="Calibri"/>
          <w:noProof/>
          <w:sz w:val="22"/>
        </w:rPr>
        <w:t>&gt;</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6.</w:t>
      </w:r>
      <w:r w:rsidRPr="00F521F5">
        <w:rPr>
          <w:rFonts w:ascii="Calibri" w:hAnsi="Calibri" w:cs="Calibri"/>
          <w:noProof/>
          <w:sz w:val="22"/>
        </w:rPr>
        <w:tab/>
        <w:t xml:space="preserve">Webert, K. E. </w:t>
      </w:r>
      <w:r w:rsidRPr="00F521F5">
        <w:rPr>
          <w:rFonts w:ascii="Calibri" w:hAnsi="Calibri" w:cs="Calibri"/>
          <w:i/>
          <w:iCs/>
          <w:noProof/>
          <w:sz w:val="22"/>
        </w:rPr>
        <w:t>et al.</w:t>
      </w:r>
      <w:r w:rsidRPr="00F521F5">
        <w:rPr>
          <w:rFonts w:ascii="Calibri" w:hAnsi="Calibri" w:cs="Calibri"/>
          <w:noProof/>
          <w:sz w:val="22"/>
        </w:rPr>
        <w:t xml:space="preserve"> A new tool to assess bleeding severity in patients with chemotherapy-induced thrmbocytopaenia. </w:t>
      </w:r>
      <w:r w:rsidRPr="00F521F5">
        <w:rPr>
          <w:rFonts w:ascii="Calibri" w:hAnsi="Calibri" w:cs="Calibri"/>
          <w:i/>
          <w:iCs/>
          <w:noProof/>
          <w:sz w:val="22"/>
        </w:rPr>
        <w:t>Transfusion Practice</w:t>
      </w:r>
      <w:r w:rsidRPr="00F521F5">
        <w:rPr>
          <w:rFonts w:ascii="Calibri" w:hAnsi="Calibri" w:cs="Calibri"/>
          <w:noProof/>
          <w:sz w:val="22"/>
        </w:rPr>
        <w:t xml:space="preserve"> </w:t>
      </w:r>
      <w:r w:rsidRPr="00F521F5">
        <w:rPr>
          <w:rFonts w:ascii="Calibri" w:hAnsi="Calibri" w:cs="Calibri"/>
          <w:b/>
          <w:bCs/>
          <w:noProof/>
          <w:sz w:val="22"/>
        </w:rPr>
        <w:t>52</w:t>
      </w:r>
      <w:r w:rsidRPr="00F521F5">
        <w:rPr>
          <w:rFonts w:ascii="Calibri" w:hAnsi="Calibri" w:cs="Calibri"/>
          <w:noProof/>
          <w:sz w:val="22"/>
        </w:rPr>
        <w:t>, 2466–2474 (2012).</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7.</w:t>
      </w:r>
      <w:r w:rsidRPr="00F521F5">
        <w:rPr>
          <w:rFonts w:ascii="Calibri" w:hAnsi="Calibri" w:cs="Calibri"/>
          <w:noProof/>
          <w:sz w:val="22"/>
        </w:rPr>
        <w:tab/>
        <w:t xml:space="preserve">National Blood Authority </w:t>
      </w:r>
      <w:r w:rsidRPr="00F521F5">
        <w:rPr>
          <w:rFonts w:ascii="Calibri" w:hAnsi="Calibri" w:cs="Calibri"/>
          <w:i/>
          <w:iCs/>
          <w:noProof/>
          <w:sz w:val="22"/>
        </w:rPr>
        <w:t>Patient Blood Management Guidelines: Module 1 - Critical Bleeding / Massive Transfusion</w:t>
      </w:r>
      <w:r w:rsidRPr="00F521F5">
        <w:rPr>
          <w:rFonts w:ascii="Calibri" w:hAnsi="Calibri" w:cs="Calibri"/>
          <w:noProof/>
          <w:sz w:val="22"/>
        </w:rPr>
        <w:t>. (Canberra, Australia, 2011).at &lt;</w:t>
      </w:r>
      <w:hyperlink r:id="rId14" w:history="1">
        <w:r w:rsidRPr="00013FEB">
          <w:rPr>
            <w:rStyle w:val="Hyperlink"/>
            <w:rFonts w:ascii="Calibri" w:hAnsi="Calibri" w:cs="Calibri"/>
            <w:noProof/>
            <w:sz w:val="22"/>
          </w:rPr>
          <w:t>http://www.blood.gov.au/pbm-guidelines</w:t>
        </w:r>
      </w:hyperlink>
      <w:r w:rsidRPr="00F521F5">
        <w:rPr>
          <w:rFonts w:ascii="Calibri" w:hAnsi="Calibri" w:cs="Calibri"/>
          <w:noProof/>
          <w:sz w:val="22"/>
        </w:rPr>
        <w:t>&gt;</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8.</w:t>
      </w:r>
      <w:r w:rsidRPr="00F521F5">
        <w:rPr>
          <w:rFonts w:ascii="Calibri" w:hAnsi="Calibri" w:cs="Calibri"/>
          <w:noProof/>
          <w:sz w:val="22"/>
        </w:rPr>
        <w:tab/>
        <w:t xml:space="preserve">Australian Commission on Safety and Quality in Healthcare </w:t>
      </w:r>
      <w:r w:rsidRPr="00F521F5">
        <w:rPr>
          <w:rFonts w:ascii="Calibri" w:hAnsi="Calibri" w:cs="Calibri"/>
          <w:i/>
          <w:iCs/>
          <w:noProof/>
          <w:sz w:val="22"/>
        </w:rPr>
        <w:t>Safety and Quality Improvement Guide Standard 7: Blood and Blood Products</w:t>
      </w:r>
      <w:r w:rsidRPr="00F521F5">
        <w:rPr>
          <w:rFonts w:ascii="Calibri" w:hAnsi="Calibri" w:cs="Calibri"/>
          <w:noProof/>
          <w:sz w:val="22"/>
        </w:rPr>
        <w:t xml:space="preserve">. </w:t>
      </w:r>
      <w:r w:rsidRPr="00F521F5">
        <w:rPr>
          <w:rFonts w:ascii="Calibri" w:hAnsi="Calibri" w:cs="Calibri"/>
          <w:i/>
          <w:iCs/>
          <w:noProof/>
          <w:sz w:val="22"/>
        </w:rPr>
        <w:t>ACSQHC</w:t>
      </w:r>
      <w:r w:rsidRPr="00F521F5">
        <w:rPr>
          <w:rFonts w:ascii="Calibri" w:hAnsi="Calibri" w:cs="Calibri"/>
          <w:noProof/>
          <w:sz w:val="22"/>
        </w:rPr>
        <w:t xml:space="preserve"> (2012).at &lt;</w:t>
      </w:r>
      <w:hyperlink r:id="rId15" w:history="1">
        <w:r w:rsidRPr="00013FEB">
          <w:rPr>
            <w:rStyle w:val="Hyperlink"/>
            <w:rFonts w:ascii="Calibri" w:hAnsi="Calibri" w:cs="Calibri"/>
            <w:noProof/>
            <w:sz w:val="22"/>
          </w:rPr>
          <w:t>http://www.safetyandquality.gov.au/wp-content/uploads/2012/10/Standard7_Oct_2012_WEB.pdf</w:t>
        </w:r>
      </w:hyperlink>
      <w:r w:rsidRPr="00F521F5">
        <w:rPr>
          <w:rFonts w:ascii="Calibri" w:hAnsi="Calibri" w:cs="Calibri"/>
          <w:noProof/>
          <w:sz w:val="22"/>
        </w:rPr>
        <w:t>&gt;</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9.</w:t>
      </w:r>
      <w:r w:rsidRPr="00F521F5">
        <w:rPr>
          <w:rFonts w:ascii="Calibri" w:hAnsi="Calibri" w:cs="Calibri"/>
          <w:noProof/>
          <w:sz w:val="22"/>
        </w:rPr>
        <w:tab/>
        <w:t xml:space="preserve">Ombler, K. Blood is a Gift. Project of Auckland District Health Board Transfusion Committee. </w:t>
      </w:r>
      <w:r w:rsidRPr="00F521F5">
        <w:rPr>
          <w:rFonts w:ascii="Calibri" w:hAnsi="Calibri" w:cs="Calibri"/>
          <w:i/>
          <w:iCs/>
          <w:noProof/>
          <w:sz w:val="22"/>
        </w:rPr>
        <w:t>Public Sector</w:t>
      </w:r>
      <w:r w:rsidRPr="00F521F5">
        <w:rPr>
          <w:rFonts w:ascii="Calibri" w:hAnsi="Calibri" w:cs="Calibri"/>
          <w:noProof/>
          <w:sz w:val="22"/>
        </w:rPr>
        <w:t xml:space="preserve"> </w:t>
      </w:r>
      <w:r w:rsidRPr="00F521F5">
        <w:rPr>
          <w:rFonts w:ascii="Calibri" w:hAnsi="Calibri" w:cs="Calibri"/>
          <w:b/>
          <w:bCs/>
          <w:noProof/>
          <w:sz w:val="22"/>
        </w:rPr>
        <w:t>36:1</w:t>
      </w:r>
      <w:r w:rsidRPr="00F521F5">
        <w:rPr>
          <w:rFonts w:ascii="Calibri" w:hAnsi="Calibri" w:cs="Calibri"/>
          <w:noProof/>
          <w:sz w:val="22"/>
        </w:rPr>
        <w:t>, (2013).</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10.</w:t>
      </w:r>
      <w:r w:rsidRPr="00F521F5">
        <w:rPr>
          <w:rFonts w:ascii="Calibri" w:hAnsi="Calibri" w:cs="Calibri"/>
          <w:noProof/>
          <w:sz w:val="22"/>
        </w:rPr>
        <w:tab/>
        <w:t xml:space="preserve">Shepherd, L. St. Michael’s to create centre for patient blood management. </w:t>
      </w:r>
      <w:r w:rsidRPr="00F521F5">
        <w:rPr>
          <w:rFonts w:ascii="Calibri" w:hAnsi="Calibri" w:cs="Calibri"/>
          <w:i/>
          <w:iCs/>
          <w:noProof/>
          <w:sz w:val="22"/>
        </w:rPr>
        <w:t>St Michael’s Hospital, Toronto Canada</w:t>
      </w:r>
      <w:r w:rsidRPr="00F521F5">
        <w:rPr>
          <w:rFonts w:ascii="Calibri" w:hAnsi="Calibri" w:cs="Calibri"/>
          <w:noProof/>
          <w:sz w:val="22"/>
        </w:rPr>
        <w:t xml:space="preserve"> at &lt;</w:t>
      </w:r>
      <w:hyperlink r:id="rId16" w:history="1">
        <w:r w:rsidRPr="00013FEB">
          <w:rPr>
            <w:rStyle w:val="Hyperlink"/>
            <w:rFonts w:ascii="Calibri" w:hAnsi="Calibri" w:cs="Calibri"/>
            <w:noProof/>
            <w:sz w:val="22"/>
          </w:rPr>
          <w:t>http://www.stmichaelshospital.com/media/detail.php?source=hospital_news/2012/20120913a_hn</w:t>
        </w:r>
      </w:hyperlink>
      <w:r w:rsidRPr="00F521F5">
        <w:rPr>
          <w:rFonts w:ascii="Calibri" w:hAnsi="Calibri" w:cs="Calibri"/>
          <w:noProof/>
          <w:sz w:val="22"/>
        </w:rPr>
        <w:t>&gt;</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11.</w:t>
      </w:r>
      <w:r w:rsidRPr="00F521F5">
        <w:rPr>
          <w:rFonts w:ascii="Calibri" w:hAnsi="Calibri" w:cs="Calibri"/>
          <w:noProof/>
          <w:sz w:val="22"/>
        </w:rPr>
        <w:tab/>
        <w:t>Eastern Maine Medical Center Patient Blood Management Program. (2007).at &lt;</w:t>
      </w:r>
      <w:hyperlink r:id="rId17" w:history="1">
        <w:r w:rsidRPr="00013FEB">
          <w:rPr>
            <w:rStyle w:val="Hyperlink"/>
            <w:rFonts w:ascii="Calibri" w:hAnsi="Calibri" w:cs="Calibri"/>
            <w:noProof/>
            <w:sz w:val="22"/>
          </w:rPr>
          <w:t>http://www.emmc.org/blood_management.aspx?id=36102</w:t>
        </w:r>
      </w:hyperlink>
      <w:r w:rsidRPr="00F521F5">
        <w:rPr>
          <w:rFonts w:ascii="Calibri" w:hAnsi="Calibri" w:cs="Calibri"/>
          <w:noProof/>
          <w:sz w:val="22"/>
        </w:rPr>
        <w:t>&gt;</w:t>
      </w:r>
    </w:p>
    <w:p w:rsidR="00F521F5" w:rsidRPr="00F521F5" w:rsidRDefault="00F521F5">
      <w:pPr>
        <w:pStyle w:val="NormalWeb"/>
        <w:ind w:left="640" w:hanging="640"/>
        <w:divId w:val="846015752"/>
        <w:rPr>
          <w:rFonts w:ascii="Calibri" w:hAnsi="Calibri" w:cs="Calibri"/>
          <w:noProof/>
          <w:sz w:val="22"/>
        </w:rPr>
      </w:pPr>
      <w:r w:rsidRPr="00F521F5">
        <w:rPr>
          <w:rFonts w:ascii="Calibri" w:hAnsi="Calibri" w:cs="Calibri"/>
          <w:noProof/>
          <w:sz w:val="22"/>
        </w:rPr>
        <w:t>12.</w:t>
      </w:r>
      <w:r w:rsidRPr="00F521F5">
        <w:rPr>
          <w:rFonts w:ascii="Calibri" w:hAnsi="Calibri" w:cs="Calibri"/>
          <w:noProof/>
          <w:sz w:val="22"/>
        </w:rPr>
        <w:tab/>
        <w:t xml:space="preserve">Shander, A. </w:t>
      </w:r>
      <w:r w:rsidRPr="00F521F5">
        <w:rPr>
          <w:rFonts w:ascii="Calibri" w:hAnsi="Calibri" w:cs="Calibri"/>
          <w:i/>
          <w:iCs/>
          <w:noProof/>
          <w:sz w:val="22"/>
        </w:rPr>
        <w:t>et al.</w:t>
      </w:r>
      <w:r w:rsidRPr="00F521F5">
        <w:rPr>
          <w:rFonts w:ascii="Calibri" w:hAnsi="Calibri" w:cs="Calibri"/>
          <w:noProof/>
          <w:sz w:val="22"/>
        </w:rPr>
        <w:t xml:space="preserve"> Patient blood management in Europe. </w:t>
      </w:r>
      <w:r w:rsidRPr="00F521F5">
        <w:rPr>
          <w:rFonts w:ascii="Calibri" w:hAnsi="Calibri" w:cs="Calibri"/>
          <w:b/>
          <w:bCs/>
          <w:noProof/>
          <w:sz w:val="22"/>
        </w:rPr>
        <w:t>109</w:t>
      </w:r>
      <w:r w:rsidRPr="00F521F5">
        <w:rPr>
          <w:rFonts w:ascii="Calibri" w:hAnsi="Calibri" w:cs="Calibri"/>
          <w:noProof/>
          <w:sz w:val="22"/>
        </w:rPr>
        <w:t>, 55–68 (2012).</w:t>
      </w:r>
    </w:p>
    <w:p w:rsidR="00294E0D" w:rsidRDefault="00F521F5" w:rsidP="002D0022">
      <w:pPr>
        <w:pStyle w:val="NormalWeb"/>
        <w:ind w:left="640" w:hanging="640"/>
      </w:pPr>
      <w:r w:rsidRPr="00F521F5">
        <w:rPr>
          <w:rFonts w:ascii="Calibri" w:hAnsi="Calibri" w:cs="Calibri"/>
          <w:noProof/>
          <w:sz w:val="22"/>
        </w:rPr>
        <w:t>13.</w:t>
      </w:r>
      <w:r w:rsidRPr="00F521F5">
        <w:rPr>
          <w:rFonts w:ascii="Calibri" w:hAnsi="Calibri" w:cs="Calibri"/>
          <w:noProof/>
          <w:sz w:val="22"/>
        </w:rPr>
        <w:tab/>
        <w:t>UK Blood Transfusion Services &amp; Department of Health UK Better Blood Transfusion Toolkit. (2011).at &lt;</w:t>
      </w:r>
      <w:hyperlink r:id="rId18" w:history="1">
        <w:r w:rsidRPr="00013FEB">
          <w:rPr>
            <w:rStyle w:val="Hyperlink"/>
            <w:rFonts w:ascii="Calibri" w:hAnsi="Calibri" w:cs="Calibri"/>
            <w:noProof/>
            <w:sz w:val="22"/>
          </w:rPr>
          <w:t>http://www.transfusionguidelines.org.uk/index.aspx?Publication=BBT&amp;Section=22</w:t>
        </w:r>
      </w:hyperlink>
      <w:r w:rsidRPr="00F521F5">
        <w:rPr>
          <w:rFonts w:ascii="Calibri" w:hAnsi="Calibri" w:cs="Calibri"/>
          <w:noProof/>
          <w:sz w:val="22"/>
        </w:rPr>
        <w:t xml:space="preserve">&gt; </w:t>
      </w:r>
      <w:r w:rsidR="005637F0">
        <w:rPr>
          <w:rFonts w:asciiTheme="minorHAnsi" w:eastAsiaTheme="minorHAnsi" w:hAnsiTheme="minorHAnsi" w:cstheme="minorHAnsi"/>
        </w:rPr>
        <w:fldChar w:fldCharType="end"/>
      </w:r>
    </w:p>
    <w:p w:rsidR="00B3726E" w:rsidRPr="009E38CC" w:rsidRDefault="00B3726E" w:rsidP="003D27F1">
      <w:pPr>
        <w:pStyle w:val="Heading1"/>
      </w:pPr>
    </w:p>
    <w:sectPr w:rsidR="00B3726E" w:rsidRPr="009E38CC" w:rsidSect="000714B2">
      <w:headerReference w:type="default" r:id="rId19"/>
      <w:footerReference w:type="default" r:id="rId20"/>
      <w:headerReference w:type="first" r:id="rId21"/>
      <w:pgSz w:w="11906" w:h="16838"/>
      <w:pgMar w:top="1276" w:right="1133"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AE" w:rsidRDefault="006155AE" w:rsidP="00856708">
      <w:pPr>
        <w:spacing w:after="0"/>
      </w:pPr>
      <w:r>
        <w:separator/>
      </w:r>
    </w:p>
  </w:endnote>
  <w:endnote w:type="continuationSeparator" w:id="0">
    <w:p w:rsidR="006155AE" w:rsidRDefault="006155A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13FEB">
      <w:rPr>
        <w:noProof/>
        <w:sz w:val="20"/>
        <w:szCs w:val="20"/>
      </w:rPr>
      <w:t>6</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AE" w:rsidRDefault="006155AE" w:rsidP="00856708">
      <w:pPr>
        <w:spacing w:after="0"/>
      </w:pPr>
      <w:r>
        <w:separator/>
      </w:r>
    </w:p>
  </w:footnote>
  <w:footnote w:type="continuationSeparator" w:id="0">
    <w:p w:rsidR="006155AE" w:rsidRDefault="006155AE"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B2" w:rsidRDefault="000714B2" w:rsidP="000714B2">
    <w:pPr>
      <w:pStyle w:val="Header"/>
    </w:pPr>
    <w:r w:rsidRPr="002F7AE6">
      <w:rPr>
        <w:b/>
      </w:rPr>
      <w:t>Appendix 2:</w:t>
    </w:r>
    <w:r>
      <w:t xml:space="preserve"> Considerations and guidance for implementation</w:t>
    </w:r>
    <w:r w:rsidR="007B4797">
      <w:t xml:space="preserve"> of single unit transfusion</w:t>
    </w:r>
    <w:r>
      <w:t xml:space="preserve"> </w:t>
    </w:r>
  </w:p>
  <w:p w:rsidR="00D45BA1" w:rsidRDefault="00D45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6" w:rsidRDefault="002F7AE6">
    <w:pPr>
      <w:pStyle w:val="Header"/>
    </w:pPr>
    <w:r w:rsidRPr="002F7AE6">
      <w:rPr>
        <w:b/>
      </w:rPr>
      <w:t>Appendix 2:</w:t>
    </w:r>
    <w:r>
      <w:t xml:space="preserve"> </w:t>
    </w:r>
    <w:r w:rsidR="00D25F16">
      <w:t>Considerations and guidance for i</w:t>
    </w:r>
    <w:r>
      <w:t xml:space="preserve">mplementation </w:t>
    </w:r>
  </w:p>
  <w:p w:rsidR="002F7AE6" w:rsidRDefault="002F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A63"/>
    <w:multiLevelType w:val="hybridMultilevel"/>
    <w:tmpl w:val="65ACFDEC"/>
    <w:lvl w:ilvl="0" w:tplc="6A2ED138">
      <w:start w:val="1"/>
      <w:numFmt w:val="lowerLetter"/>
      <w:lvlText w:val="%1."/>
      <w:lvlJc w:val="left"/>
      <w:pPr>
        <w:ind w:left="1080" w:hanging="360"/>
      </w:pPr>
      <w:rPr>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E2452E"/>
    <w:multiLevelType w:val="hybridMultilevel"/>
    <w:tmpl w:val="00645850"/>
    <w:lvl w:ilvl="0" w:tplc="FB2A284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B556901"/>
    <w:multiLevelType w:val="hybridMultilevel"/>
    <w:tmpl w:val="3B72D2F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0BF015D4"/>
    <w:multiLevelType w:val="hybridMultilevel"/>
    <w:tmpl w:val="3766C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AB2210"/>
    <w:multiLevelType w:val="hybridMultilevel"/>
    <w:tmpl w:val="65ACFDEC"/>
    <w:lvl w:ilvl="0" w:tplc="6A2ED138">
      <w:start w:val="1"/>
      <w:numFmt w:val="lowerLetter"/>
      <w:lvlText w:val="%1."/>
      <w:lvlJc w:val="left"/>
      <w:pPr>
        <w:ind w:left="1080" w:hanging="360"/>
      </w:pPr>
      <w:rPr>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F733AF"/>
    <w:multiLevelType w:val="hybridMultilevel"/>
    <w:tmpl w:val="E8DCD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D917BCC"/>
    <w:multiLevelType w:val="hybridMultilevel"/>
    <w:tmpl w:val="99C24D2E"/>
    <w:lvl w:ilvl="0" w:tplc="6A2ED138">
      <w:start w:val="1"/>
      <w:numFmt w:val="lowerLetter"/>
      <w:lvlText w:val="%1."/>
      <w:lvlJc w:val="left"/>
      <w:pPr>
        <w:ind w:left="-2160" w:hanging="360"/>
      </w:pPr>
      <w:rPr>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360" w:hanging="360"/>
      </w:pPr>
    </w:lvl>
    <w:lvl w:ilvl="5" w:tplc="0C09001B" w:tentative="1">
      <w:start w:val="1"/>
      <w:numFmt w:val="lowerRoman"/>
      <w:lvlText w:val="%6."/>
      <w:lvlJc w:val="right"/>
      <w:pPr>
        <w:ind w:left="1080" w:hanging="180"/>
      </w:pPr>
    </w:lvl>
    <w:lvl w:ilvl="6" w:tplc="0C09000F" w:tentative="1">
      <w:start w:val="1"/>
      <w:numFmt w:val="decimal"/>
      <w:lvlText w:val="%7."/>
      <w:lvlJc w:val="left"/>
      <w:pPr>
        <w:ind w:left="1800" w:hanging="360"/>
      </w:pPr>
    </w:lvl>
    <w:lvl w:ilvl="7" w:tplc="0C090019" w:tentative="1">
      <w:start w:val="1"/>
      <w:numFmt w:val="lowerLetter"/>
      <w:lvlText w:val="%8."/>
      <w:lvlJc w:val="left"/>
      <w:pPr>
        <w:ind w:left="2520" w:hanging="360"/>
      </w:pPr>
    </w:lvl>
    <w:lvl w:ilvl="8" w:tplc="0C09001B" w:tentative="1">
      <w:start w:val="1"/>
      <w:numFmt w:val="lowerRoman"/>
      <w:lvlText w:val="%9."/>
      <w:lvlJc w:val="right"/>
      <w:pPr>
        <w:ind w:left="3240" w:hanging="180"/>
      </w:pPr>
    </w:lvl>
  </w:abstractNum>
  <w:abstractNum w:abstractNumId="7">
    <w:nsid w:val="20D24EDC"/>
    <w:multiLevelType w:val="hybridMultilevel"/>
    <w:tmpl w:val="3D00777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2660611E"/>
    <w:multiLevelType w:val="hybridMultilevel"/>
    <w:tmpl w:val="F1641182"/>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C27E75"/>
    <w:multiLevelType w:val="hybridMultilevel"/>
    <w:tmpl w:val="4BF2F3E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5858FC"/>
    <w:multiLevelType w:val="hybridMultilevel"/>
    <w:tmpl w:val="13B8D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A852DB2"/>
    <w:multiLevelType w:val="hybridMultilevel"/>
    <w:tmpl w:val="9E7A45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4221FB7"/>
    <w:multiLevelType w:val="hybridMultilevel"/>
    <w:tmpl w:val="90DE3B90"/>
    <w:lvl w:ilvl="0" w:tplc="986AA72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5147E2"/>
    <w:multiLevelType w:val="hybridMultilevel"/>
    <w:tmpl w:val="11C07322"/>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B42FC3"/>
    <w:multiLevelType w:val="hybridMultilevel"/>
    <w:tmpl w:val="65ACFDEC"/>
    <w:lvl w:ilvl="0" w:tplc="6A2ED138">
      <w:start w:val="1"/>
      <w:numFmt w:val="lowerLetter"/>
      <w:lvlText w:val="%1."/>
      <w:lvlJc w:val="left"/>
      <w:pPr>
        <w:ind w:left="360" w:hanging="360"/>
      </w:pPr>
      <w:rPr>
        <w:vertAlign w:val="baselin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nsid w:val="4A4322B6"/>
    <w:multiLevelType w:val="hybridMultilevel"/>
    <w:tmpl w:val="99C24D2E"/>
    <w:lvl w:ilvl="0" w:tplc="6A2ED138">
      <w:start w:val="1"/>
      <w:numFmt w:val="lowerLetter"/>
      <w:lvlText w:val="%1."/>
      <w:lvlJc w:val="left"/>
      <w:pPr>
        <w:ind w:left="1080" w:hanging="360"/>
      </w:pPr>
      <w:rPr>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F96FF4"/>
    <w:multiLevelType w:val="hybridMultilevel"/>
    <w:tmpl w:val="11C07322"/>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0A00D0"/>
    <w:multiLevelType w:val="hybridMultilevel"/>
    <w:tmpl w:val="4B9E7B14"/>
    <w:lvl w:ilvl="0" w:tplc="4D48195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045200A"/>
    <w:multiLevelType w:val="hybridMultilevel"/>
    <w:tmpl w:val="9A98347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51002BC0"/>
    <w:multiLevelType w:val="hybridMultilevel"/>
    <w:tmpl w:val="42DAF7F8"/>
    <w:lvl w:ilvl="0" w:tplc="0C09000F">
      <w:start w:val="1"/>
      <w:numFmt w:val="decimal"/>
      <w:lvlText w:val="%1."/>
      <w:lvlJc w:val="left"/>
      <w:pPr>
        <w:ind w:left="360" w:hanging="360"/>
      </w:pPr>
    </w:lvl>
    <w:lvl w:ilvl="1" w:tplc="6A2ED138">
      <w:start w:val="1"/>
      <w:numFmt w:val="lowerLetter"/>
      <w:lvlText w:val="%2."/>
      <w:lvlJc w:val="left"/>
      <w:pPr>
        <w:ind w:left="1080" w:hanging="360"/>
      </w:pPr>
      <w:rPr>
        <w:vertAlign w:val="baseline"/>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8C37C30"/>
    <w:multiLevelType w:val="hybridMultilevel"/>
    <w:tmpl w:val="965E08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99317EF"/>
    <w:multiLevelType w:val="hybridMultilevel"/>
    <w:tmpl w:val="CC427D7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AEA7FEB"/>
    <w:multiLevelType w:val="hybridMultilevel"/>
    <w:tmpl w:val="65ACFDEC"/>
    <w:lvl w:ilvl="0" w:tplc="6A2ED138">
      <w:start w:val="1"/>
      <w:numFmt w:val="lowerLetter"/>
      <w:lvlText w:val="%1."/>
      <w:lvlJc w:val="left"/>
      <w:pPr>
        <w:ind w:left="-1440" w:hanging="360"/>
      </w:pPr>
      <w:rPr>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26">
    <w:nsid w:val="6A8D7965"/>
    <w:multiLevelType w:val="hybridMultilevel"/>
    <w:tmpl w:val="EBD8557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6E64428C"/>
    <w:multiLevelType w:val="hybridMultilevel"/>
    <w:tmpl w:val="8B4EA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2B228D"/>
    <w:multiLevelType w:val="hybridMultilevel"/>
    <w:tmpl w:val="88C46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2585B73"/>
    <w:multiLevelType w:val="hybridMultilevel"/>
    <w:tmpl w:val="4A6217E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52268E9"/>
    <w:multiLevelType w:val="hybridMultilevel"/>
    <w:tmpl w:val="0DF492B2"/>
    <w:lvl w:ilvl="0" w:tplc="4E2EC98E">
      <w:start w:val="1"/>
      <w:numFmt w:val="lowerLetter"/>
      <w:lvlText w:val="%1."/>
      <w:lvlJc w:val="left"/>
      <w:pPr>
        <w:ind w:left="1080" w:hanging="360"/>
      </w:pPr>
      <w:rPr>
        <w:color w:val="auto"/>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292665"/>
    <w:multiLevelType w:val="hybridMultilevel"/>
    <w:tmpl w:val="50CE617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nsid w:val="797E2E72"/>
    <w:multiLevelType w:val="hybridMultilevel"/>
    <w:tmpl w:val="11C07322"/>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B669C9"/>
    <w:multiLevelType w:val="hybridMultilevel"/>
    <w:tmpl w:val="E69EDBC4"/>
    <w:lvl w:ilvl="0" w:tplc="0C090001">
      <w:start w:val="1"/>
      <w:numFmt w:val="bullet"/>
      <w:lvlText w:val=""/>
      <w:lvlJc w:val="left"/>
      <w:pPr>
        <w:ind w:left="1080" w:hanging="360"/>
      </w:pPr>
      <w:rPr>
        <w:rFonts w:ascii="Symbol" w:hAnsi="Symbol" w:hint="default"/>
      </w:rPr>
    </w:lvl>
    <w:lvl w:ilvl="1" w:tplc="5B5A0546">
      <w:numFmt w:val="bullet"/>
      <w:lvlText w:val="-"/>
      <w:lvlJc w:val="left"/>
      <w:pPr>
        <w:ind w:left="1800" w:hanging="360"/>
      </w:pPr>
      <w:rPr>
        <w:rFonts w:ascii="Calibri" w:eastAsia="Calibri" w:hAnsi="Calibri" w:cs="Calibr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B163C7F"/>
    <w:multiLevelType w:val="hybridMultilevel"/>
    <w:tmpl w:val="65ACFDEC"/>
    <w:lvl w:ilvl="0" w:tplc="6A2ED138">
      <w:start w:val="1"/>
      <w:numFmt w:val="lowerLetter"/>
      <w:lvlText w:val="%1."/>
      <w:lvlJc w:val="left"/>
      <w:pPr>
        <w:ind w:left="720" w:hanging="360"/>
      </w:pPr>
      <w:rPr>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D811F4A"/>
    <w:multiLevelType w:val="hybridMultilevel"/>
    <w:tmpl w:val="00645850"/>
    <w:lvl w:ilvl="0" w:tplc="FB2A284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2"/>
  </w:num>
  <w:num w:numId="4">
    <w:abstractNumId w:val="28"/>
  </w:num>
  <w:num w:numId="5">
    <w:abstractNumId w:val="9"/>
  </w:num>
  <w:num w:numId="6">
    <w:abstractNumId w:val="32"/>
  </w:num>
  <w:num w:numId="7">
    <w:abstractNumId w:val="7"/>
  </w:num>
  <w:num w:numId="8">
    <w:abstractNumId w:val="2"/>
  </w:num>
  <w:num w:numId="9">
    <w:abstractNumId w:val="21"/>
  </w:num>
  <w:num w:numId="10">
    <w:abstractNumId w:val="26"/>
  </w:num>
  <w:num w:numId="11">
    <w:abstractNumId w:val="14"/>
  </w:num>
  <w:num w:numId="12">
    <w:abstractNumId w:val="5"/>
  </w:num>
  <w:num w:numId="13">
    <w:abstractNumId w:val="13"/>
  </w:num>
  <w:num w:numId="14">
    <w:abstractNumId w:val="36"/>
  </w:num>
  <w:num w:numId="15">
    <w:abstractNumId w:val="22"/>
  </w:num>
  <w:num w:numId="16">
    <w:abstractNumId w:val="18"/>
  </w:num>
  <w:num w:numId="17">
    <w:abstractNumId w:val="6"/>
  </w:num>
  <w:num w:numId="18">
    <w:abstractNumId w:val="20"/>
  </w:num>
  <w:num w:numId="19">
    <w:abstractNumId w:val="25"/>
  </w:num>
  <w:num w:numId="20">
    <w:abstractNumId w:val="17"/>
  </w:num>
  <w:num w:numId="21">
    <w:abstractNumId w:val="4"/>
  </w:num>
  <w:num w:numId="22">
    <w:abstractNumId w:val="33"/>
  </w:num>
  <w:num w:numId="23">
    <w:abstractNumId w:val="27"/>
  </w:num>
  <w:num w:numId="24">
    <w:abstractNumId w:val="34"/>
  </w:num>
  <w:num w:numId="25">
    <w:abstractNumId w:val="23"/>
  </w:num>
  <w:num w:numId="26">
    <w:abstractNumId w:val="24"/>
  </w:num>
  <w:num w:numId="27">
    <w:abstractNumId w:val="10"/>
  </w:num>
  <w:num w:numId="28">
    <w:abstractNumId w:val="30"/>
  </w:num>
  <w:num w:numId="29">
    <w:abstractNumId w:val="0"/>
  </w:num>
  <w:num w:numId="30">
    <w:abstractNumId w:val="31"/>
  </w:num>
  <w:num w:numId="31">
    <w:abstractNumId w:val="19"/>
  </w:num>
  <w:num w:numId="32">
    <w:abstractNumId w:val="16"/>
  </w:num>
  <w:num w:numId="33">
    <w:abstractNumId w:val="8"/>
  </w:num>
  <w:num w:numId="34">
    <w:abstractNumId w:val="29"/>
  </w:num>
  <w:num w:numId="35">
    <w:abstractNumId w:val="3"/>
  </w:num>
  <w:num w:numId="36">
    <w:abstractNumId w:val="15"/>
  </w:num>
  <w:num w:numId="37">
    <w:abstractNumId w:val="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AE"/>
    <w:rsid w:val="00013FEB"/>
    <w:rsid w:val="00036EDC"/>
    <w:rsid w:val="00050411"/>
    <w:rsid w:val="000714B2"/>
    <w:rsid w:val="000C366B"/>
    <w:rsid w:val="000D12DF"/>
    <w:rsid w:val="0010646F"/>
    <w:rsid w:val="00135038"/>
    <w:rsid w:val="00185685"/>
    <w:rsid w:val="001B3F3A"/>
    <w:rsid w:val="001C1298"/>
    <w:rsid w:val="001D7556"/>
    <w:rsid w:val="001F1C93"/>
    <w:rsid w:val="002537F2"/>
    <w:rsid w:val="00294E0D"/>
    <w:rsid w:val="00295CD3"/>
    <w:rsid w:val="002A2DF8"/>
    <w:rsid w:val="002B4227"/>
    <w:rsid w:val="002D0022"/>
    <w:rsid w:val="002F7AE6"/>
    <w:rsid w:val="00320FD2"/>
    <w:rsid w:val="003D27F1"/>
    <w:rsid w:val="003E4083"/>
    <w:rsid w:val="004B629B"/>
    <w:rsid w:val="004D4636"/>
    <w:rsid w:val="004F29A2"/>
    <w:rsid w:val="00540020"/>
    <w:rsid w:val="005637F0"/>
    <w:rsid w:val="00582EBC"/>
    <w:rsid w:val="005D5E2C"/>
    <w:rsid w:val="005D6DF6"/>
    <w:rsid w:val="005E21A9"/>
    <w:rsid w:val="0061440D"/>
    <w:rsid w:val="006155AE"/>
    <w:rsid w:val="00630D6C"/>
    <w:rsid w:val="00683684"/>
    <w:rsid w:val="006D6D79"/>
    <w:rsid w:val="007024D9"/>
    <w:rsid w:val="00756BE4"/>
    <w:rsid w:val="00770414"/>
    <w:rsid w:val="00782C7C"/>
    <w:rsid w:val="007B14C1"/>
    <w:rsid w:val="007B4797"/>
    <w:rsid w:val="007E6A22"/>
    <w:rsid w:val="00825E1A"/>
    <w:rsid w:val="00856708"/>
    <w:rsid w:val="0087272B"/>
    <w:rsid w:val="00893E0A"/>
    <w:rsid w:val="008F12E7"/>
    <w:rsid w:val="00922BE7"/>
    <w:rsid w:val="00943A9E"/>
    <w:rsid w:val="00951B85"/>
    <w:rsid w:val="00966209"/>
    <w:rsid w:val="009A5DE2"/>
    <w:rsid w:val="009D685C"/>
    <w:rsid w:val="009E38CC"/>
    <w:rsid w:val="00A17AB3"/>
    <w:rsid w:val="00A874BF"/>
    <w:rsid w:val="00B3271B"/>
    <w:rsid w:val="00B3726E"/>
    <w:rsid w:val="00B53404"/>
    <w:rsid w:val="00B617AD"/>
    <w:rsid w:val="00BD6CC8"/>
    <w:rsid w:val="00C03A0A"/>
    <w:rsid w:val="00CF1B4D"/>
    <w:rsid w:val="00CF78B3"/>
    <w:rsid w:val="00D0130D"/>
    <w:rsid w:val="00D25F16"/>
    <w:rsid w:val="00D45BA1"/>
    <w:rsid w:val="00D50782"/>
    <w:rsid w:val="00E618CB"/>
    <w:rsid w:val="00F01E10"/>
    <w:rsid w:val="00F12E34"/>
    <w:rsid w:val="00F521F5"/>
    <w:rsid w:val="00F543FB"/>
    <w:rsid w:val="00FA1A86"/>
    <w:rsid w:val="00FE0EA1"/>
    <w:rsid w:val="00FF4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CommentReference">
    <w:name w:val="annotation reference"/>
    <w:basedOn w:val="DefaultParagraphFont"/>
    <w:uiPriority w:val="99"/>
    <w:unhideWhenUsed/>
    <w:rsid w:val="006155AE"/>
    <w:rPr>
      <w:sz w:val="16"/>
      <w:szCs w:val="16"/>
    </w:rPr>
  </w:style>
  <w:style w:type="paragraph" w:styleId="CommentText">
    <w:name w:val="annotation text"/>
    <w:basedOn w:val="Normal"/>
    <w:link w:val="CommentTextChar"/>
    <w:uiPriority w:val="99"/>
    <w:semiHidden/>
    <w:unhideWhenUsed/>
    <w:rsid w:val="006155AE"/>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6155AE"/>
    <w:rPr>
      <w:rFonts w:ascii="Arial" w:hAnsi="Arial" w:cs="Arial"/>
      <w:sz w:val="20"/>
      <w:szCs w:val="20"/>
    </w:rPr>
  </w:style>
  <w:style w:type="paragraph" w:styleId="BalloonText">
    <w:name w:val="Balloon Text"/>
    <w:basedOn w:val="Normal"/>
    <w:link w:val="BalloonTextChar"/>
    <w:uiPriority w:val="99"/>
    <w:semiHidden/>
    <w:unhideWhenUsed/>
    <w:rsid w:val="006155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AE"/>
    <w:rPr>
      <w:rFonts w:ascii="Tahoma" w:eastAsia="Dotum" w:hAnsi="Tahoma" w:cs="Tahoma"/>
      <w:sz w:val="16"/>
      <w:szCs w:val="16"/>
    </w:rPr>
  </w:style>
  <w:style w:type="character" w:styleId="Hyperlink">
    <w:name w:val="Hyperlink"/>
    <w:basedOn w:val="DefaultParagraphFont"/>
    <w:uiPriority w:val="99"/>
    <w:unhideWhenUsed/>
    <w:rsid w:val="00582EBC"/>
    <w:rPr>
      <w:color w:val="0000FF" w:themeColor="hyperlink"/>
      <w:u w:val="single"/>
    </w:rPr>
  </w:style>
  <w:style w:type="character" w:styleId="FollowedHyperlink">
    <w:name w:val="FollowedHyperlink"/>
    <w:basedOn w:val="DefaultParagraphFont"/>
    <w:uiPriority w:val="99"/>
    <w:semiHidden/>
    <w:unhideWhenUsed/>
    <w:rsid w:val="008F12E7"/>
    <w:rPr>
      <w:color w:val="800080" w:themeColor="followedHyperlink"/>
      <w:u w:val="single"/>
    </w:rPr>
  </w:style>
  <w:style w:type="paragraph" w:styleId="NormalWeb">
    <w:name w:val="Normal (Web)"/>
    <w:basedOn w:val="Normal"/>
    <w:uiPriority w:val="99"/>
    <w:unhideWhenUsed/>
    <w:rsid w:val="005637F0"/>
    <w:pPr>
      <w:spacing w:before="100" w:beforeAutospacing="1" w:after="100" w:afterAutospacing="1"/>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3271B"/>
    <w:rPr>
      <w:rFonts w:ascii="Calibri" w:eastAsia="Dotum" w:hAnsi="Calibri" w:cs="Calibri"/>
      <w:b/>
      <w:bCs/>
    </w:rPr>
  </w:style>
  <w:style w:type="character" w:customStyle="1" w:styleId="CommentSubjectChar">
    <w:name w:val="Comment Subject Char"/>
    <w:basedOn w:val="CommentTextChar"/>
    <w:link w:val="CommentSubject"/>
    <w:uiPriority w:val="99"/>
    <w:semiHidden/>
    <w:rsid w:val="00B3271B"/>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CommentReference">
    <w:name w:val="annotation reference"/>
    <w:basedOn w:val="DefaultParagraphFont"/>
    <w:uiPriority w:val="99"/>
    <w:unhideWhenUsed/>
    <w:rsid w:val="006155AE"/>
    <w:rPr>
      <w:sz w:val="16"/>
      <w:szCs w:val="16"/>
    </w:rPr>
  </w:style>
  <w:style w:type="paragraph" w:styleId="CommentText">
    <w:name w:val="annotation text"/>
    <w:basedOn w:val="Normal"/>
    <w:link w:val="CommentTextChar"/>
    <w:uiPriority w:val="99"/>
    <w:semiHidden/>
    <w:unhideWhenUsed/>
    <w:rsid w:val="006155AE"/>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6155AE"/>
    <w:rPr>
      <w:rFonts w:ascii="Arial" w:hAnsi="Arial" w:cs="Arial"/>
      <w:sz w:val="20"/>
      <w:szCs w:val="20"/>
    </w:rPr>
  </w:style>
  <w:style w:type="paragraph" w:styleId="BalloonText">
    <w:name w:val="Balloon Text"/>
    <w:basedOn w:val="Normal"/>
    <w:link w:val="BalloonTextChar"/>
    <w:uiPriority w:val="99"/>
    <w:semiHidden/>
    <w:unhideWhenUsed/>
    <w:rsid w:val="006155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AE"/>
    <w:rPr>
      <w:rFonts w:ascii="Tahoma" w:eastAsia="Dotum" w:hAnsi="Tahoma" w:cs="Tahoma"/>
      <w:sz w:val="16"/>
      <w:szCs w:val="16"/>
    </w:rPr>
  </w:style>
  <w:style w:type="character" w:styleId="Hyperlink">
    <w:name w:val="Hyperlink"/>
    <w:basedOn w:val="DefaultParagraphFont"/>
    <w:uiPriority w:val="99"/>
    <w:unhideWhenUsed/>
    <w:rsid w:val="00582EBC"/>
    <w:rPr>
      <w:color w:val="0000FF" w:themeColor="hyperlink"/>
      <w:u w:val="single"/>
    </w:rPr>
  </w:style>
  <w:style w:type="character" w:styleId="FollowedHyperlink">
    <w:name w:val="FollowedHyperlink"/>
    <w:basedOn w:val="DefaultParagraphFont"/>
    <w:uiPriority w:val="99"/>
    <w:semiHidden/>
    <w:unhideWhenUsed/>
    <w:rsid w:val="008F12E7"/>
    <w:rPr>
      <w:color w:val="800080" w:themeColor="followedHyperlink"/>
      <w:u w:val="single"/>
    </w:rPr>
  </w:style>
  <w:style w:type="paragraph" w:styleId="NormalWeb">
    <w:name w:val="Normal (Web)"/>
    <w:basedOn w:val="Normal"/>
    <w:uiPriority w:val="99"/>
    <w:unhideWhenUsed/>
    <w:rsid w:val="005637F0"/>
    <w:pPr>
      <w:spacing w:before="100" w:beforeAutospacing="1" w:after="100" w:afterAutospacing="1"/>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3271B"/>
    <w:rPr>
      <w:rFonts w:ascii="Calibri" w:eastAsia="Dotum" w:hAnsi="Calibri" w:cs="Calibri"/>
      <w:b/>
      <w:bCs/>
    </w:rPr>
  </w:style>
  <w:style w:type="character" w:customStyle="1" w:styleId="CommentSubjectChar">
    <w:name w:val="Comment Subject Char"/>
    <w:basedOn w:val="CommentTextChar"/>
    <w:link w:val="CommentSubject"/>
    <w:uiPriority w:val="99"/>
    <w:semiHidden/>
    <w:rsid w:val="00B3271B"/>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4027">
      <w:bodyDiv w:val="1"/>
      <w:marLeft w:val="0"/>
      <w:marRight w:val="0"/>
      <w:marTop w:val="0"/>
      <w:marBottom w:val="0"/>
      <w:divBdr>
        <w:top w:val="none" w:sz="0" w:space="0" w:color="auto"/>
        <w:left w:val="none" w:sz="0" w:space="0" w:color="auto"/>
        <w:bottom w:val="none" w:sz="0" w:space="0" w:color="auto"/>
        <w:right w:val="none" w:sz="0" w:space="0" w:color="auto"/>
      </w:divBdr>
    </w:div>
    <w:div w:id="744453768">
      <w:bodyDiv w:val="1"/>
      <w:marLeft w:val="0"/>
      <w:marRight w:val="0"/>
      <w:marTop w:val="0"/>
      <w:marBottom w:val="0"/>
      <w:divBdr>
        <w:top w:val="none" w:sz="0" w:space="0" w:color="auto"/>
        <w:left w:val="none" w:sz="0" w:space="0" w:color="auto"/>
        <w:bottom w:val="none" w:sz="0" w:space="0" w:color="auto"/>
        <w:right w:val="none" w:sz="0" w:space="0" w:color="auto"/>
      </w:divBdr>
      <w:divsChild>
        <w:div w:id="964850406">
          <w:marLeft w:val="0"/>
          <w:marRight w:val="0"/>
          <w:marTop w:val="0"/>
          <w:marBottom w:val="0"/>
          <w:divBdr>
            <w:top w:val="none" w:sz="0" w:space="0" w:color="auto"/>
            <w:left w:val="none" w:sz="0" w:space="0" w:color="auto"/>
            <w:bottom w:val="none" w:sz="0" w:space="0" w:color="auto"/>
            <w:right w:val="none" w:sz="0" w:space="0" w:color="auto"/>
          </w:divBdr>
          <w:divsChild>
            <w:div w:id="1298492877">
              <w:marLeft w:val="0"/>
              <w:marRight w:val="0"/>
              <w:marTop w:val="0"/>
              <w:marBottom w:val="0"/>
              <w:divBdr>
                <w:top w:val="none" w:sz="0" w:space="0" w:color="auto"/>
                <w:left w:val="none" w:sz="0" w:space="0" w:color="auto"/>
                <w:bottom w:val="none" w:sz="0" w:space="0" w:color="auto"/>
                <w:right w:val="none" w:sz="0" w:space="0" w:color="auto"/>
              </w:divBdr>
              <w:divsChild>
                <w:div w:id="944725176">
                  <w:marLeft w:val="0"/>
                  <w:marRight w:val="0"/>
                  <w:marTop w:val="0"/>
                  <w:marBottom w:val="0"/>
                  <w:divBdr>
                    <w:top w:val="none" w:sz="0" w:space="0" w:color="auto"/>
                    <w:left w:val="none" w:sz="0" w:space="0" w:color="auto"/>
                    <w:bottom w:val="none" w:sz="0" w:space="0" w:color="auto"/>
                    <w:right w:val="none" w:sz="0" w:space="0" w:color="auto"/>
                  </w:divBdr>
                  <w:divsChild>
                    <w:div w:id="940720138">
                      <w:marLeft w:val="0"/>
                      <w:marRight w:val="0"/>
                      <w:marTop w:val="0"/>
                      <w:marBottom w:val="0"/>
                      <w:divBdr>
                        <w:top w:val="none" w:sz="0" w:space="0" w:color="auto"/>
                        <w:left w:val="none" w:sz="0" w:space="0" w:color="auto"/>
                        <w:bottom w:val="none" w:sz="0" w:space="0" w:color="auto"/>
                        <w:right w:val="none" w:sz="0" w:space="0" w:color="auto"/>
                      </w:divBdr>
                      <w:divsChild>
                        <w:div w:id="1052732920">
                          <w:marLeft w:val="0"/>
                          <w:marRight w:val="0"/>
                          <w:marTop w:val="0"/>
                          <w:marBottom w:val="0"/>
                          <w:divBdr>
                            <w:top w:val="none" w:sz="0" w:space="0" w:color="auto"/>
                            <w:left w:val="none" w:sz="0" w:space="0" w:color="auto"/>
                            <w:bottom w:val="none" w:sz="0" w:space="0" w:color="auto"/>
                            <w:right w:val="none" w:sz="0" w:space="0" w:color="auto"/>
                          </w:divBdr>
                          <w:divsChild>
                            <w:div w:id="8460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wa.gov.au/bloodmanagement/docs/Single%20Unit%20Rule.pdf" TargetMode="External"/><Relationship Id="rId18" Type="http://schemas.openxmlformats.org/officeDocument/2006/relationships/hyperlink" Target="http://www.transfusionguidelines.org.uk/index.aspx?Publication=BBT&amp;Section=2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cshguidelines.com/documents/BCSH_Blood_Admin_-_addendum_August_2012.pdf" TargetMode="External"/><Relationship Id="rId17" Type="http://schemas.openxmlformats.org/officeDocument/2006/relationships/hyperlink" Target="http://www.emmc.org/blood_management.aspx?id=36102" TargetMode="External"/><Relationship Id="rId2" Type="http://schemas.openxmlformats.org/officeDocument/2006/relationships/numbering" Target="numbering.xml"/><Relationship Id="rId16" Type="http://schemas.openxmlformats.org/officeDocument/2006/relationships/hyperlink" Target="http://www.stmichaelshospital.com/media/detail.php?source=hospital_news/2012/20120913a_h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bloodsafety/BTS_Resolutionsadopted.pdf" TargetMode="External"/><Relationship Id="rId5" Type="http://schemas.openxmlformats.org/officeDocument/2006/relationships/settings" Target="settings.xml"/><Relationship Id="rId15" Type="http://schemas.openxmlformats.org/officeDocument/2006/relationships/hyperlink" Target="http://www.safetyandquality.gov.au/wp-content/uploads/2012/10/Standard7_Oct_2012_WEB.pdf" TargetMode="External"/><Relationship Id="rId23" Type="http://schemas.openxmlformats.org/officeDocument/2006/relationships/theme" Target="theme/theme1.xml"/><Relationship Id="rId10" Type="http://schemas.openxmlformats.org/officeDocument/2006/relationships/hyperlink" Target="http://www.blood.gov.au/pbm-guidelin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ood.gov.au/sites/default/files/documents/pbm-module1-mtp-template_0.ppt" TargetMode="External"/><Relationship Id="rId14" Type="http://schemas.openxmlformats.org/officeDocument/2006/relationships/hyperlink" Target="http://www.blood.gov.au/pbm-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9264-FB36-4968-A49C-C9AF66FC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Lyndsay</dc:creator>
  <cp:lastModifiedBy>Wall, Lyndsay</cp:lastModifiedBy>
  <cp:revision>12</cp:revision>
  <cp:lastPrinted>2013-09-17T21:58:00Z</cp:lastPrinted>
  <dcterms:created xsi:type="dcterms:W3CDTF">2013-09-11T04:11:00Z</dcterms:created>
  <dcterms:modified xsi:type="dcterms:W3CDTF">2013-09-17T22:08:00Z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Lyndsay.Wall@blood.gov.au@www.mendeley.com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