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B0" w:rsidRDefault="00DE70B0" w:rsidP="00B554E2">
      <w:pPr>
        <w:pStyle w:val="Heading2"/>
        <w:ind w:left="-284"/>
      </w:pPr>
      <w:r w:rsidRPr="00DE70B0">
        <w:t>Si</w:t>
      </w:r>
      <w:r w:rsidR="000E6538">
        <w:t>ngle Unit Transfusion Guide</w:t>
      </w:r>
      <w:r w:rsidR="00BD4FCB">
        <w:t xml:space="preserve"> – </w:t>
      </w:r>
      <w:r w:rsidR="00B554E2">
        <w:t>handout of information</w:t>
      </w:r>
      <w:r w:rsidRPr="00DE70B0">
        <w:t xml:space="preserve"> </w:t>
      </w:r>
    </w:p>
    <w:p w:rsidR="00E83CB9" w:rsidRPr="000E418A" w:rsidRDefault="00E83CB9" w:rsidP="000E418A">
      <w:pPr>
        <w:pStyle w:val="Heading2"/>
        <w:spacing w:before="0"/>
        <w:ind w:left="-284"/>
      </w:pPr>
      <w:r>
        <w:t>“</w:t>
      </w:r>
      <w:r w:rsidRPr="000E418A">
        <w:rPr>
          <w:b/>
        </w:rPr>
        <w:t xml:space="preserve">Every </w:t>
      </w:r>
      <w:r w:rsidRPr="000E418A">
        <w:rPr>
          <w:b/>
          <w:color w:val="FF0000"/>
        </w:rPr>
        <w:t xml:space="preserve">ONE </w:t>
      </w:r>
      <w:r w:rsidRPr="000E418A">
        <w:rPr>
          <w:b/>
        </w:rPr>
        <w:t>matters</w:t>
      </w:r>
      <w:r>
        <w:t>”</w:t>
      </w:r>
    </w:p>
    <w:p w:rsidR="00DE70B0" w:rsidRPr="00144C52" w:rsidRDefault="00DE70B0" w:rsidP="000E418A">
      <w:pPr>
        <w:pStyle w:val="Heading4"/>
        <w:spacing w:before="240" w:line="276" w:lineRule="auto"/>
        <w:ind w:left="-284"/>
        <w:rPr>
          <w:sz w:val="21"/>
          <w:szCs w:val="21"/>
        </w:rPr>
      </w:pPr>
      <w:r w:rsidRPr="00144C52">
        <w:rPr>
          <w:sz w:val="21"/>
          <w:szCs w:val="21"/>
        </w:rPr>
        <w:t>INTRODUCTION:</w:t>
      </w:r>
    </w:p>
    <w:p w:rsidR="00DE70B0" w:rsidRPr="00144C52" w:rsidRDefault="000E33FE" w:rsidP="00B554E2">
      <w:pPr>
        <w:spacing w:after="120" w:line="276" w:lineRule="auto"/>
        <w:ind w:left="-284"/>
        <w:rPr>
          <w:rFonts w:asciiTheme="minorHAnsi" w:eastAsiaTheme="minorHAnsi" w:hAnsiTheme="minorHAnsi" w:cstheme="minorHAnsi"/>
          <w:sz w:val="21"/>
          <w:szCs w:val="21"/>
        </w:rPr>
      </w:pPr>
      <w:r w:rsidRPr="00144C52">
        <w:rPr>
          <w:rFonts w:asciiTheme="minorHAnsi" w:eastAsiaTheme="minorHAnsi" w:hAnsiTheme="minorHAnsi" w:cstheme="minorHAnsi"/>
          <w:sz w:val="21"/>
          <w:szCs w:val="21"/>
        </w:rPr>
        <w:t>S</w:t>
      </w:r>
      <w:r w:rsidR="00DE70B0" w:rsidRPr="00144C52">
        <w:rPr>
          <w:rFonts w:asciiTheme="minorHAnsi" w:eastAsiaTheme="minorHAnsi" w:hAnsiTheme="minorHAnsi" w:cstheme="minorHAnsi"/>
          <w:sz w:val="21"/>
          <w:szCs w:val="21"/>
        </w:rPr>
        <w:t>ingle</w:t>
      </w:r>
      <w:r w:rsidRPr="00144C52">
        <w:rPr>
          <w:rFonts w:asciiTheme="minorHAnsi" w:eastAsiaTheme="minorHAnsi" w:hAnsiTheme="minorHAnsi" w:cstheme="minorHAnsi"/>
          <w:sz w:val="21"/>
          <w:szCs w:val="21"/>
        </w:rPr>
        <w:t xml:space="preserve"> </w:t>
      </w:r>
      <w:r w:rsidR="004E59C2" w:rsidRPr="00144C52">
        <w:rPr>
          <w:rFonts w:asciiTheme="minorHAnsi" w:eastAsiaTheme="minorHAnsi" w:hAnsiTheme="minorHAnsi" w:cstheme="minorHAnsi"/>
          <w:sz w:val="21"/>
          <w:szCs w:val="21"/>
        </w:rPr>
        <w:t>unit transfusion i</w:t>
      </w:r>
      <w:r w:rsidR="00DE70B0" w:rsidRPr="00144C52">
        <w:rPr>
          <w:rFonts w:asciiTheme="minorHAnsi" w:eastAsiaTheme="minorHAnsi" w:hAnsiTheme="minorHAnsi" w:cstheme="minorHAnsi"/>
          <w:sz w:val="21"/>
          <w:szCs w:val="21"/>
        </w:rPr>
        <w:t xml:space="preserve">s part of Patient Blood Management (PBM); an evidence based patient centred strategy to improve patient outcomes by minimising </w:t>
      </w:r>
      <w:r w:rsidR="00E83CB9" w:rsidRPr="00144C52">
        <w:rPr>
          <w:rFonts w:asciiTheme="minorHAnsi" w:eastAsiaTheme="minorHAnsi" w:hAnsiTheme="minorHAnsi" w:cstheme="minorHAnsi"/>
          <w:sz w:val="21"/>
          <w:szCs w:val="21"/>
        </w:rPr>
        <w:t xml:space="preserve">red blood cell </w:t>
      </w:r>
      <w:r w:rsidR="00DE70B0" w:rsidRPr="00144C52">
        <w:rPr>
          <w:rFonts w:asciiTheme="minorHAnsi" w:eastAsiaTheme="minorHAnsi" w:hAnsiTheme="minorHAnsi" w:cstheme="minorHAnsi"/>
          <w:sz w:val="21"/>
          <w:szCs w:val="21"/>
        </w:rPr>
        <w:t>transfusions.</w:t>
      </w:r>
    </w:p>
    <w:p w:rsidR="003B460D" w:rsidRPr="00144C52" w:rsidRDefault="00DE70B0" w:rsidP="00B554E2">
      <w:pPr>
        <w:spacing w:after="120" w:line="276" w:lineRule="auto"/>
        <w:ind w:left="-284"/>
        <w:rPr>
          <w:rFonts w:asciiTheme="minorHAnsi" w:eastAsiaTheme="minorHAnsi" w:hAnsiTheme="minorHAnsi" w:cstheme="minorHAnsi"/>
          <w:sz w:val="21"/>
          <w:szCs w:val="21"/>
        </w:rPr>
      </w:pPr>
      <w:r w:rsidRPr="00144C52">
        <w:rPr>
          <w:rFonts w:asciiTheme="minorHAnsi" w:eastAsiaTheme="minorHAnsi" w:hAnsiTheme="minorHAnsi" w:cstheme="minorHAnsi"/>
          <w:sz w:val="21"/>
          <w:szCs w:val="21"/>
        </w:rPr>
        <w:t>In line with the</w:t>
      </w:r>
      <w:r w:rsidR="004E59C2" w:rsidRPr="00144C52">
        <w:rPr>
          <w:rFonts w:asciiTheme="minorHAnsi" w:eastAsiaTheme="minorHAnsi" w:hAnsiTheme="minorHAnsi" w:cstheme="minorHAnsi"/>
          <w:sz w:val="21"/>
          <w:szCs w:val="21"/>
        </w:rPr>
        <w:t xml:space="preserve"> national</w:t>
      </w:r>
      <w:r w:rsidRPr="00144C52">
        <w:rPr>
          <w:rFonts w:asciiTheme="minorHAnsi" w:eastAsiaTheme="minorHAnsi" w:hAnsiTheme="minorHAnsi" w:cstheme="minorHAnsi"/>
          <w:sz w:val="21"/>
          <w:szCs w:val="21"/>
        </w:rPr>
        <w:t xml:space="preserve"> Patient Blood Management Guidelines</w:t>
      </w:r>
      <w:r w:rsidR="003B460D" w:rsidRPr="00144C52">
        <w:rPr>
          <w:rFonts w:asciiTheme="minorHAnsi" w:eastAsiaTheme="minorHAnsi" w:hAnsiTheme="minorHAnsi" w:cstheme="minorHAnsi"/>
          <w:sz w:val="21"/>
          <w:szCs w:val="21"/>
        </w:rPr>
        <w:t>:</w:t>
      </w:r>
      <w:r w:rsidR="00416DD7" w:rsidRPr="00144C52">
        <w:rPr>
          <w:rFonts w:asciiTheme="minorHAnsi" w:eastAsiaTheme="minorHAnsi" w:hAnsiTheme="minorHAnsi" w:cstheme="minorHAnsi"/>
          <w:sz w:val="21"/>
          <w:szCs w:val="21"/>
        </w:rPr>
        <w:t xml:space="preserve"> </w:t>
      </w:r>
      <w:r w:rsidRPr="00144C52">
        <w:rPr>
          <w:rFonts w:asciiTheme="minorHAnsi" w:eastAsiaTheme="minorHAnsi" w:hAnsiTheme="minorHAnsi" w:cstheme="minorHAnsi"/>
          <w:sz w:val="21"/>
          <w:szCs w:val="21"/>
        </w:rPr>
        <w:t>“</w:t>
      </w:r>
      <w:r w:rsidRPr="00144C52">
        <w:rPr>
          <w:rFonts w:asciiTheme="minorHAnsi" w:eastAsiaTheme="minorHAnsi" w:hAnsiTheme="minorHAnsi" w:cstheme="minorHAnsi"/>
          <w:i/>
          <w:sz w:val="21"/>
          <w:szCs w:val="21"/>
        </w:rPr>
        <w:t>Where indicated, transfusion of a single unit of RBC, followed by clinical reassessment to determine the need for further transfusion, is appropriate.</w:t>
      </w:r>
      <w:r w:rsidR="006F33B5" w:rsidRPr="00144C52">
        <w:rPr>
          <w:rFonts w:asciiTheme="minorHAnsi" w:eastAsiaTheme="minorHAnsi" w:hAnsiTheme="minorHAnsi" w:cstheme="minorHAnsi"/>
          <w:sz w:val="21"/>
          <w:szCs w:val="21"/>
        </w:rPr>
        <w:t>”</w:t>
      </w:r>
      <w:r w:rsidR="00FE0FD8" w:rsidRPr="00144C52">
        <w:rPr>
          <w:rFonts w:asciiTheme="minorHAnsi" w:eastAsiaTheme="minorHAnsi" w:hAnsiTheme="minorHAnsi" w:cstheme="minorHAnsi"/>
          <w:sz w:val="21"/>
          <w:szCs w:val="21"/>
        </w:rPr>
        <w:fldChar w:fldCharType="begin" w:fldLock="1"/>
      </w:r>
      <w:r w:rsidR="00F76B75" w:rsidRPr="00144C52">
        <w:rPr>
          <w:rFonts w:asciiTheme="minorHAnsi" w:eastAsiaTheme="minorHAnsi" w:hAnsiTheme="minorHAnsi" w:cstheme="minorHAnsi"/>
          <w:sz w:val="21"/>
          <w:szCs w:val="21"/>
        </w:rPr>
        <w:instrText>ADDIN CSL_CITATION { "citationItems" : [ { "id" : "ITEM-1", "itemData" : { "author" : [ { "dropping-particle" : "", "family" : "National Blood Authority", "given" : "", "non-dropping-particle" : "", "parse-names" : false, "suffix" : "" } ], "id" : "ITEM-1", "issued" : { "date-parts" : [ [ "2012" ] ] }, "publisher" : "National Blood Authority", "publisher-place" : "Canberra, Australia", "title" : "Patient blood management guidelines: Module 3 \u2013 Medical", "type" : "book" }, "uris" : [ "http://www.mendeley.com/documents/?uuid=0b45fa2d-24ab-49d5-a0df-007d328f5e3b" ] }, { "id" : "ITEM-2", "itemData" : { "author" : [ { "dropping-particle" : "", "family" : "National Blood Authority", "given" : "", "non-dropping-particle" : "", "parse-names" : false, "suffix" : "" } ], "id" : "ITEM-2", "issued" : { "date-parts" : [ [ "2013" ] ] }, "publisher-place" : "Canberra, Australia", "title" : "Patient blood management guidelines: Module 4 \u2013 Critical Care", "type" : "book" }, "uris" : [ "http://www.mendeley.com/documents/?uuid=ea39fd74-ab5a-47df-93c5-ce717f8041eb" ] } ], "mendeley" : { "previouslyFormattedCitation" : "&lt;sup&gt;1,2&lt;/sup&gt;" }, "properties" : { "noteIndex" : 0 }, "schema" : "https://github.com/citation-style-language/schema/raw/master/csl-citation.json" }</w:instrText>
      </w:r>
      <w:r w:rsidR="00FE0FD8" w:rsidRPr="00144C52">
        <w:rPr>
          <w:rFonts w:asciiTheme="minorHAnsi" w:eastAsiaTheme="minorHAnsi" w:hAnsiTheme="minorHAnsi" w:cstheme="minorHAnsi"/>
          <w:sz w:val="21"/>
          <w:szCs w:val="21"/>
        </w:rPr>
        <w:fldChar w:fldCharType="separate"/>
      </w:r>
      <w:r w:rsidR="00F76B75" w:rsidRPr="00144C52">
        <w:rPr>
          <w:rFonts w:asciiTheme="minorHAnsi" w:eastAsiaTheme="minorHAnsi" w:hAnsiTheme="minorHAnsi" w:cstheme="minorHAnsi"/>
          <w:noProof/>
          <w:sz w:val="21"/>
          <w:szCs w:val="21"/>
          <w:vertAlign w:val="superscript"/>
        </w:rPr>
        <w:t>1,2</w:t>
      </w:r>
      <w:r w:rsidR="00FE0FD8" w:rsidRPr="00144C52">
        <w:rPr>
          <w:rFonts w:asciiTheme="minorHAnsi" w:eastAsiaTheme="minorHAnsi" w:hAnsiTheme="minorHAnsi" w:cstheme="minorHAnsi"/>
          <w:sz w:val="21"/>
          <w:szCs w:val="21"/>
        </w:rPr>
        <w:fldChar w:fldCharType="end"/>
      </w:r>
      <w:r w:rsidRPr="00144C52">
        <w:rPr>
          <w:rFonts w:asciiTheme="minorHAnsi" w:eastAsiaTheme="minorHAnsi" w:hAnsiTheme="minorHAnsi" w:cstheme="minorHAnsi"/>
          <w:sz w:val="21"/>
          <w:szCs w:val="21"/>
        </w:rPr>
        <w:t xml:space="preserve"> </w:t>
      </w:r>
    </w:p>
    <w:p w:rsidR="00DE70B0" w:rsidRPr="00144C52" w:rsidRDefault="00DE70B0" w:rsidP="00B554E2">
      <w:pPr>
        <w:spacing w:after="120" w:line="276" w:lineRule="auto"/>
        <w:ind w:left="-284"/>
        <w:rPr>
          <w:rFonts w:asciiTheme="minorHAnsi" w:eastAsiaTheme="minorHAnsi" w:hAnsiTheme="minorHAnsi" w:cstheme="minorHAnsi"/>
          <w:sz w:val="21"/>
          <w:szCs w:val="21"/>
        </w:rPr>
      </w:pPr>
      <w:r w:rsidRPr="00144C52">
        <w:rPr>
          <w:rFonts w:asciiTheme="minorHAnsi" w:eastAsiaTheme="minorHAnsi" w:hAnsiTheme="minorHAnsi" w:cstheme="minorHAnsi"/>
          <w:b/>
          <w:sz w:val="21"/>
          <w:szCs w:val="21"/>
        </w:rPr>
        <w:t>If one unit of blood adequately improved the symptoms, then no further transfusion should occur.</w:t>
      </w:r>
    </w:p>
    <w:p w:rsidR="00DE70B0" w:rsidRPr="00144C52" w:rsidRDefault="004E59C2" w:rsidP="00B554E2">
      <w:pPr>
        <w:spacing w:after="120" w:line="276" w:lineRule="auto"/>
        <w:ind w:left="-284"/>
        <w:rPr>
          <w:rFonts w:asciiTheme="minorHAnsi" w:eastAsiaTheme="minorHAnsi" w:hAnsiTheme="minorHAnsi" w:cstheme="minorHAnsi"/>
          <w:sz w:val="21"/>
          <w:szCs w:val="21"/>
        </w:rPr>
      </w:pPr>
      <w:r w:rsidRPr="00144C52">
        <w:rPr>
          <w:rFonts w:asciiTheme="minorHAnsi" w:eastAsiaTheme="minorHAnsi" w:hAnsiTheme="minorHAnsi" w:cstheme="minorHAnsi"/>
          <w:sz w:val="21"/>
          <w:szCs w:val="21"/>
        </w:rPr>
        <w:t>S</w:t>
      </w:r>
      <w:r w:rsidR="00DE70B0" w:rsidRPr="00144C52">
        <w:rPr>
          <w:rFonts w:asciiTheme="minorHAnsi" w:eastAsiaTheme="minorHAnsi" w:hAnsiTheme="minorHAnsi" w:cstheme="minorHAnsi"/>
          <w:sz w:val="21"/>
          <w:szCs w:val="21"/>
        </w:rPr>
        <w:t xml:space="preserve">ingle unit </w:t>
      </w:r>
      <w:r w:rsidRPr="00144C52">
        <w:rPr>
          <w:rFonts w:asciiTheme="minorHAnsi" w:eastAsiaTheme="minorHAnsi" w:hAnsiTheme="minorHAnsi" w:cstheme="minorHAnsi"/>
          <w:sz w:val="21"/>
          <w:szCs w:val="21"/>
        </w:rPr>
        <w:t xml:space="preserve">transfusion </w:t>
      </w:r>
      <w:r w:rsidR="00DE70B0" w:rsidRPr="00144C52">
        <w:rPr>
          <w:rFonts w:asciiTheme="minorHAnsi" w:eastAsiaTheme="minorHAnsi" w:hAnsiTheme="minorHAnsi" w:cstheme="minorHAnsi"/>
          <w:sz w:val="21"/>
          <w:szCs w:val="21"/>
        </w:rPr>
        <w:t xml:space="preserve">applies to </w:t>
      </w:r>
      <w:r w:rsidRPr="00144C52">
        <w:rPr>
          <w:rFonts w:asciiTheme="minorHAnsi" w:eastAsiaTheme="minorHAnsi" w:hAnsiTheme="minorHAnsi" w:cstheme="minorHAnsi"/>
          <w:sz w:val="21"/>
          <w:szCs w:val="21"/>
        </w:rPr>
        <w:t>stable, normovolaemic adult patients, in an inpatient setting, who do not have clinically significant bleeding</w:t>
      </w:r>
      <w:r w:rsidR="006F33B5" w:rsidRPr="00144C52">
        <w:rPr>
          <w:rFonts w:asciiTheme="minorHAnsi" w:eastAsiaTheme="minorHAnsi" w:hAnsiTheme="minorHAnsi" w:cstheme="minorHAnsi"/>
          <w:sz w:val="21"/>
          <w:szCs w:val="21"/>
        </w:rPr>
        <w:t>.</w:t>
      </w:r>
      <w:r w:rsidR="006F33B5" w:rsidRPr="00144C52">
        <w:rPr>
          <w:rFonts w:asciiTheme="minorHAnsi" w:eastAsiaTheme="minorHAnsi" w:hAnsiTheme="minorHAnsi" w:cstheme="minorHAnsi"/>
          <w:sz w:val="21"/>
          <w:szCs w:val="21"/>
        </w:rPr>
        <w:fldChar w:fldCharType="begin" w:fldLock="1"/>
      </w:r>
      <w:r w:rsidR="00F76B75" w:rsidRPr="00144C52">
        <w:rPr>
          <w:rFonts w:asciiTheme="minorHAnsi" w:eastAsiaTheme="minorHAnsi" w:hAnsiTheme="minorHAnsi" w:cstheme="minorHAnsi"/>
          <w:sz w:val="21"/>
          <w:szCs w:val="21"/>
        </w:rPr>
        <w:instrText>ADDIN CSL_CITATION { "citationItems" : [ { "id" : "ITEM-1", "itemData" : { "author" : [ { "dropping-particle" : "", "family" : "Webert", "given" : "Kathryn E", "non-dropping-particle" : "", "parse-names" : false, "suffix" : "" }, { "dropping-particle" : "", "family" : "Arnold", "given" : "Donald M", "non-dropping-particle" : "", "parse-names" : false, "suffix" : "" }, { "dropping-particle" : "", "family" : "Lui", "given" : "Yang", "non-dropping-particle" : "", "parse-names" : false, "suffix" : "" }, { "dropping-particle" : "", "family" : "Carruthers", "given" : "Julie", "non-dropping-particle" : "", "parse-names" : false, "suffix" : "" }, { "dropping-particle" : "", "family" : "Arnold", "given" : "Emmy", "non-dropping-particle" : "", "parse-names" : false, "suffix" : "" }, { "dropping-particle" : "", "family" : "Heddle", "given" : "Nancy M", "non-dropping-particle" : "", "parse-names" : false, "suffix" : "" } ], "container-title" : "Transfusion Practice", "id" : "ITEM-1", "issue" : "November", "issued" : { "date-parts" : [ [ "2012" ] ] }, "page" : "2466-2474", "title" : "A new tool to assess bleeding severity in patients with chemotherapy-induced thrmbocytopaenia", "type" : "article-journal", "volume" : "52" }, "uris" : [ "http://www.mendeley.com/documents/?uuid=562c39d6-8041-4e1e-a9c8-0be872a1e516" ] } ], "mendeley" : { "previouslyFormattedCitation" : "&lt;sup&gt;3&lt;/sup&gt;" }, "properties" : { "noteIndex" : 0 }, "schema" : "https://github.com/citation-style-language/schema/raw/master/csl-citation.json" }</w:instrText>
      </w:r>
      <w:r w:rsidR="006F33B5" w:rsidRPr="00144C52">
        <w:rPr>
          <w:rFonts w:asciiTheme="minorHAnsi" w:eastAsiaTheme="minorHAnsi" w:hAnsiTheme="minorHAnsi" w:cstheme="minorHAnsi"/>
          <w:sz w:val="21"/>
          <w:szCs w:val="21"/>
        </w:rPr>
        <w:fldChar w:fldCharType="separate"/>
      </w:r>
      <w:r w:rsidR="00F76B75" w:rsidRPr="00144C52">
        <w:rPr>
          <w:rFonts w:asciiTheme="minorHAnsi" w:eastAsiaTheme="minorHAnsi" w:hAnsiTheme="minorHAnsi" w:cstheme="minorHAnsi"/>
          <w:noProof/>
          <w:sz w:val="21"/>
          <w:szCs w:val="21"/>
          <w:vertAlign w:val="superscript"/>
        </w:rPr>
        <w:t>3</w:t>
      </w:r>
      <w:r w:rsidR="006F33B5" w:rsidRPr="00144C52">
        <w:rPr>
          <w:rFonts w:asciiTheme="minorHAnsi" w:eastAsiaTheme="minorHAnsi" w:hAnsiTheme="minorHAnsi" w:cstheme="minorHAnsi"/>
          <w:sz w:val="21"/>
          <w:szCs w:val="21"/>
        </w:rPr>
        <w:fldChar w:fldCharType="end"/>
      </w:r>
      <w:r w:rsidRPr="00144C52">
        <w:rPr>
          <w:rFonts w:asciiTheme="minorHAnsi" w:eastAsiaTheme="minorHAnsi" w:hAnsiTheme="minorHAnsi" w:cstheme="minorHAnsi"/>
          <w:sz w:val="21"/>
          <w:szCs w:val="21"/>
        </w:rPr>
        <w:t xml:space="preserve"> </w:t>
      </w:r>
      <w:r w:rsidRPr="00144C52">
        <w:rPr>
          <w:rFonts w:asciiTheme="minorHAnsi" w:eastAsiaTheme="minorHAnsi" w:hAnsiTheme="minorHAnsi" w:cstheme="minorHAnsi"/>
          <w:sz w:val="21"/>
          <w:szCs w:val="21"/>
          <w:lang w:val="en-GB"/>
        </w:rPr>
        <w:t xml:space="preserve">Transfuse one unit at a time and only when clinically indicated, based on the need to relieve </w:t>
      </w:r>
      <w:r w:rsidR="00623E89" w:rsidRPr="00144C52">
        <w:rPr>
          <w:rFonts w:asciiTheme="minorHAnsi" w:eastAsiaTheme="minorHAnsi" w:hAnsiTheme="minorHAnsi" w:cstheme="minorHAnsi"/>
          <w:sz w:val="21"/>
          <w:szCs w:val="21"/>
          <w:lang w:val="en-GB"/>
        </w:rPr>
        <w:t xml:space="preserve">clinical signs and symptoms of </w:t>
      </w:r>
      <w:r w:rsidRPr="00144C52">
        <w:rPr>
          <w:rFonts w:asciiTheme="minorHAnsi" w:eastAsiaTheme="minorHAnsi" w:hAnsiTheme="minorHAnsi" w:cstheme="minorHAnsi"/>
          <w:sz w:val="21"/>
          <w:szCs w:val="21"/>
          <w:lang w:val="en-GB"/>
        </w:rPr>
        <w:t>anaemia.</w:t>
      </w:r>
      <w:r w:rsidR="006F33B5" w:rsidRPr="00144C52">
        <w:rPr>
          <w:rFonts w:asciiTheme="minorHAnsi" w:eastAsiaTheme="minorHAnsi" w:hAnsiTheme="minorHAnsi" w:cstheme="minorHAnsi"/>
          <w:sz w:val="21"/>
          <w:szCs w:val="21"/>
          <w:lang w:val="en-GB"/>
        </w:rPr>
        <w:fldChar w:fldCharType="begin" w:fldLock="1"/>
      </w:r>
      <w:r w:rsidR="00F76B75" w:rsidRPr="00144C52">
        <w:rPr>
          <w:rFonts w:asciiTheme="minorHAnsi" w:eastAsiaTheme="minorHAnsi" w:hAnsiTheme="minorHAnsi" w:cstheme="minorHAnsi"/>
          <w:sz w:val="21"/>
          <w:szCs w:val="21"/>
          <w:lang w:val="en-GB"/>
        </w:rPr>
        <w:instrText>ADDIN CSL_CITATION { "citationItems" : [ { "id" : "ITEM-1", "itemData" : { "author" : [ { "dropping-particle" : "", "family" : "National Blood Authority", "given" : "", "non-dropping-particle" : "", "parse-names" : false, "suffix" : "" } ], "id" : "ITEM-1", "issued" : { "date-parts" : [ [ "2012" ] ] }, "publisher" : "National Blood Authority", "publisher-place" : "Canberra, Australia", "title" : "Patient blood management guidelines: Module 3 \u2013 Medical", "type" : "book" }, "uris" : [ "http://www.mendeley.com/documents/?uuid=0b45fa2d-24ab-49d5-a0df-007d328f5e3b" ] }, { "id" : "ITEM-2", "itemData" : { "author" : [ { "dropping-particle" : "", "family" : "National Blood Authority", "given" : "", "non-dropping-particle" : "", "parse-names" : false, "suffix" : "" } ], "id" : "ITEM-2", "issued" : { "date-parts" : [ [ "2013" ] ] }, "publisher-place" : "Canberra, Australia", "title" : "Patient blood management guidelines: Module 4 \u2013 Critical Care", "type" : "book" }, "uris" : [ "http://www.mendeley.com/documents/?uuid=ea39fd74-ab5a-47df-93c5-ce717f8041eb" ] } ], "mendeley" : { "previouslyFormattedCitation" : "&lt;sup&gt;1,2&lt;/sup&gt;" }, "properties" : { "noteIndex" : 0 }, "schema" : "https://github.com/citation-style-language/schema/raw/master/csl-citation.json" }</w:instrText>
      </w:r>
      <w:r w:rsidR="006F33B5" w:rsidRPr="00144C52">
        <w:rPr>
          <w:rFonts w:asciiTheme="minorHAnsi" w:eastAsiaTheme="minorHAnsi" w:hAnsiTheme="minorHAnsi" w:cstheme="minorHAnsi"/>
          <w:sz w:val="21"/>
          <w:szCs w:val="21"/>
          <w:lang w:val="en-GB"/>
        </w:rPr>
        <w:fldChar w:fldCharType="separate"/>
      </w:r>
      <w:r w:rsidR="00F76B75" w:rsidRPr="00144C52">
        <w:rPr>
          <w:rFonts w:asciiTheme="minorHAnsi" w:eastAsiaTheme="minorHAnsi" w:hAnsiTheme="minorHAnsi" w:cstheme="minorHAnsi"/>
          <w:noProof/>
          <w:sz w:val="21"/>
          <w:szCs w:val="21"/>
          <w:vertAlign w:val="superscript"/>
          <w:lang w:val="en-GB"/>
        </w:rPr>
        <w:t>1,2</w:t>
      </w:r>
      <w:r w:rsidR="006F33B5" w:rsidRPr="00144C52">
        <w:rPr>
          <w:rFonts w:asciiTheme="minorHAnsi" w:eastAsiaTheme="minorHAnsi" w:hAnsiTheme="minorHAnsi" w:cstheme="minorHAnsi"/>
          <w:sz w:val="21"/>
          <w:szCs w:val="21"/>
          <w:lang w:val="en-GB"/>
        </w:rPr>
        <w:fldChar w:fldCharType="end"/>
      </w:r>
      <w:r w:rsidRPr="00144C52">
        <w:rPr>
          <w:rFonts w:asciiTheme="minorHAnsi" w:eastAsiaTheme="minorHAnsi" w:hAnsiTheme="minorHAnsi" w:cstheme="minorHAnsi"/>
          <w:sz w:val="21"/>
          <w:szCs w:val="21"/>
          <w:lang w:val="en-GB"/>
        </w:rPr>
        <w:t xml:space="preserve"> Symptoms may include dyspnoea, tachycardia, chest pain, hypotension, increased heart rate and decreased oxygen saturation.</w:t>
      </w:r>
      <w:r w:rsidR="006F33B5" w:rsidRPr="00144C52">
        <w:rPr>
          <w:rFonts w:asciiTheme="minorHAnsi" w:eastAsiaTheme="minorHAnsi" w:hAnsiTheme="minorHAnsi" w:cstheme="minorHAnsi"/>
          <w:sz w:val="21"/>
          <w:szCs w:val="21"/>
          <w:lang w:val="en-GB"/>
        </w:rPr>
        <w:fldChar w:fldCharType="begin" w:fldLock="1"/>
      </w:r>
      <w:r w:rsidR="00F76B75" w:rsidRPr="00144C52">
        <w:rPr>
          <w:rFonts w:asciiTheme="minorHAnsi" w:eastAsiaTheme="minorHAnsi" w:hAnsiTheme="minorHAnsi" w:cstheme="minorHAnsi"/>
          <w:sz w:val="21"/>
          <w:szCs w:val="21"/>
          <w:lang w:val="en-GB"/>
        </w:rPr>
        <w:instrText>ADDIN CSL_CITATION { "citationItems" : [ { "id" : "ITEM-1", "itemData" : { "abstract" : "Although approximately 85 million units of red blood cells (RBCs) are transfused annually worldwide, transfusion practices vary widely. The AABB (formerly, the American Association of Blood Banks) developed this guideline to provide clinical recommendations about hemoglobin concentration thresholds and other clinical variables that trigger RBC transfusions in hemodynamically stable adults and children.", "author" : [ { "dropping-particle" : "", "family" : "Carson", "given" : "Jeffrey L", "non-dropping-particle" : "", "parse-names" : false, "suffix" : "" } ], "container-title" : "Annals of Internal Medicine", "id" : "ITEM-1", "issue" : "1", "issued" : { "date-parts" : [ [ "2012" ] ] }, "page" : "49-58", "title" : "Red blood cell transfusion: a clinical practice guideline from the AABB", "type" : "article-journal", "volume" : "157" }, "uris" : [ "http://www.mendeley.com/documents/?uuid=1f2a47bc-9d7f-4b77-bdbd-6028e884fabb" ] }, { "id" : "ITEM-2", "itemData" : { "author" : [ { "dropping-particle" : "", "family" : "Rossi", "given" : "E C", "non-dropping-particle" : "", "parse-names" : false, "suffix" : "" } ], "container-title" : "Principles of Transfusion Medicine, Second edition", "id" : "ITEM-2", "issued" : { "date-parts" : [ [ "1996" ] ] }, "title" : "Anaemia and Red cell Transfusion", "type" : "article-journal", "volume" : "1" }, "uris" : [ "http://www.mendeley.com/documents/?uuid=2e29d606-dc65-44eb-b3ba-44a2477d82c7" ] }, { "id" : "ITEM-3", "itemData" : { "author" : [ { "dropping-particle" : "", "family" : "Shander", "given" : "A", "non-dropping-particle" : "", "parse-names" : false, "suffix" : "" } ], "container-title" : "Review Blood Transfus", "id" : "ITEM-3", "issued" : { "date-parts" : [ [ "2012" ] ] }, "title" : "A new perspective on best transfusion practices", "type" : "article-journal", "volume" : "1" }, "uris" : [ "http://www.mendeley.com/documents/?uuid=6c8b828f-556c-41d9-b293-6f1ed9a0ad28" ] } ], "mendeley" : { "previouslyFormattedCitation" : "&lt;sup&gt;4\u20136&lt;/sup&gt;" }, "properties" : { "noteIndex" : 0 }, "schema" : "https://github.com/citation-style-language/schema/raw/master/csl-citation.json" }</w:instrText>
      </w:r>
      <w:r w:rsidR="006F33B5" w:rsidRPr="00144C52">
        <w:rPr>
          <w:rFonts w:asciiTheme="minorHAnsi" w:eastAsiaTheme="minorHAnsi" w:hAnsiTheme="minorHAnsi" w:cstheme="minorHAnsi"/>
          <w:sz w:val="21"/>
          <w:szCs w:val="21"/>
          <w:lang w:val="en-GB"/>
        </w:rPr>
        <w:fldChar w:fldCharType="separate"/>
      </w:r>
      <w:r w:rsidR="00F76B75" w:rsidRPr="00144C52">
        <w:rPr>
          <w:rFonts w:asciiTheme="minorHAnsi" w:eastAsiaTheme="minorHAnsi" w:hAnsiTheme="minorHAnsi" w:cstheme="minorHAnsi"/>
          <w:noProof/>
          <w:sz w:val="21"/>
          <w:szCs w:val="21"/>
          <w:vertAlign w:val="superscript"/>
          <w:lang w:val="en-GB"/>
        </w:rPr>
        <w:t>4–6</w:t>
      </w:r>
      <w:r w:rsidR="006F33B5" w:rsidRPr="00144C52">
        <w:rPr>
          <w:rFonts w:asciiTheme="minorHAnsi" w:eastAsiaTheme="minorHAnsi" w:hAnsiTheme="minorHAnsi" w:cstheme="minorHAnsi"/>
          <w:sz w:val="21"/>
          <w:szCs w:val="21"/>
          <w:lang w:val="en-GB"/>
        </w:rPr>
        <w:fldChar w:fldCharType="end"/>
      </w:r>
      <w:r w:rsidR="006F33B5" w:rsidRPr="00144C52" w:rsidDel="004E59C2">
        <w:rPr>
          <w:rFonts w:asciiTheme="minorHAnsi" w:eastAsiaTheme="minorHAnsi" w:hAnsiTheme="minorHAnsi" w:cstheme="minorHAnsi"/>
          <w:sz w:val="21"/>
          <w:szCs w:val="21"/>
        </w:rPr>
        <w:t xml:space="preserve"> </w:t>
      </w:r>
    </w:p>
    <w:p w:rsidR="00DE70B0" w:rsidRPr="00144C52" w:rsidRDefault="00DE70B0" w:rsidP="000E418A">
      <w:pPr>
        <w:pStyle w:val="Heading4"/>
        <w:spacing w:before="240" w:line="276" w:lineRule="auto"/>
        <w:ind w:left="-284"/>
        <w:rPr>
          <w:sz w:val="21"/>
          <w:szCs w:val="21"/>
        </w:rPr>
      </w:pPr>
      <w:r w:rsidRPr="00144C52">
        <w:rPr>
          <w:sz w:val="21"/>
          <w:szCs w:val="21"/>
        </w:rPr>
        <w:t>SITUATION:</w:t>
      </w:r>
    </w:p>
    <w:p w:rsidR="00DE70B0" w:rsidRPr="00144C52" w:rsidRDefault="0068126A" w:rsidP="00B554E2">
      <w:pPr>
        <w:spacing w:after="120" w:line="276" w:lineRule="auto"/>
        <w:ind w:left="-284"/>
        <w:rPr>
          <w:rFonts w:asciiTheme="minorHAnsi" w:eastAsiaTheme="minorHAnsi" w:hAnsiTheme="minorHAnsi" w:cstheme="minorHAnsi"/>
          <w:sz w:val="21"/>
          <w:szCs w:val="21"/>
          <w:vertAlign w:val="superscript"/>
        </w:rPr>
      </w:pPr>
      <w:r w:rsidRPr="00144C52">
        <w:rPr>
          <w:rFonts w:asciiTheme="minorHAnsi" w:eastAsiaTheme="minorHAnsi" w:hAnsiTheme="minorHAnsi" w:cstheme="minorHAnsi"/>
          <w:sz w:val="21"/>
          <w:szCs w:val="21"/>
        </w:rPr>
        <w:t>It is important to ensure that practice aligns with the national Patient Blood Management Guidelines (</w:t>
      </w:r>
      <w:r w:rsidRPr="00144C52">
        <w:rPr>
          <w:rFonts w:asciiTheme="minorHAnsi" w:eastAsiaTheme="minorHAnsi" w:hAnsiTheme="minorHAnsi" w:cstheme="minorHAnsi"/>
          <w:i/>
          <w:sz w:val="21"/>
          <w:szCs w:val="21"/>
        </w:rPr>
        <w:t>Module 2 – Perioperative</w:t>
      </w:r>
      <w:r w:rsidRPr="00144C52">
        <w:rPr>
          <w:rFonts w:asciiTheme="minorHAnsi" w:eastAsiaTheme="minorHAnsi" w:hAnsiTheme="minorHAnsi" w:cstheme="minorHAnsi"/>
          <w:sz w:val="21"/>
          <w:szCs w:val="21"/>
        </w:rPr>
        <w:t xml:space="preserve">, </w:t>
      </w:r>
      <w:r w:rsidRPr="00144C52">
        <w:rPr>
          <w:rFonts w:asciiTheme="minorHAnsi" w:eastAsiaTheme="minorHAnsi" w:hAnsiTheme="minorHAnsi" w:cstheme="minorHAnsi"/>
          <w:i/>
          <w:sz w:val="21"/>
          <w:szCs w:val="21"/>
        </w:rPr>
        <w:t>Module 3 - Medical</w:t>
      </w:r>
      <w:r w:rsidRPr="00144C52">
        <w:rPr>
          <w:rFonts w:asciiTheme="minorHAnsi" w:eastAsiaTheme="minorHAnsi" w:hAnsiTheme="minorHAnsi" w:cstheme="minorHAnsi"/>
          <w:sz w:val="21"/>
          <w:szCs w:val="21"/>
        </w:rPr>
        <w:t xml:space="preserve"> and </w:t>
      </w:r>
      <w:r w:rsidRPr="00144C52">
        <w:rPr>
          <w:rFonts w:asciiTheme="minorHAnsi" w:eastAsiaTheme="minorHAnsi" w:hAnsiTheme="minorHAnsi" w:cstheme="minorHAnsi"/>
          <w:i/>
          <w:sz w:val="21"/>
          <w:szCs w:val="21"/>
        </w:rPr>
        <w:t>Module 4 - Critical Care</w:t>
      </w:r>
      <w:r w:rsidRPr="00144C52">
        <w:rPr>
          <w:rFonts w:asciiTheme="minorHAnsi" w:eastAsiaTheme="minorHAnsi" w:hAnsiTheme="minorHAnsi" w:cstheme="minorHAnsi"/>
          <w:sz w:val="21"/>
          <w:szCs w:val="21"/>
        </w:rPr>
        <w:t>) which support single unit transfusion</w:t>
      </w:r>
      <w:r w:rsidR="004E59C2" w:rsidRPr="00144C52">
        <w:rPr>
          <w:rFonts w:asciiTheme="minorHAnsi" w:eastAsiaTheme="minorHAnsi" w:hAnsiTheme="minorHAnsi" w:cstheme="minorHAnsi"/>
          <w:sz w:val="21"/>
          <w:szCs w:val="21"/>
        </w:rPr>
        <w:t>.</w:t>
      </w:r>
      <w:r w:rsidR="00FE0FD8" w:rsidRPr="00144C52">
        <w:rPr>
          <w:rFonts w:asciiTheme="minorHAnsi" w:eastAsiaTheme="minorHAnsi" w:hAnsiTheme="minorHAnsi" w:cstheme="minorHAnsi"/>
          <w:b/>
          <w:sz w:val="21"/>
          <w:szCs w:val="21"/>
        </w:rPr>
        <w:fldChar w:fldCharType="begin" w:fldLock="1"/>
      </w:r>
      <w:r w:rsidR="00F76B75" w:rsidRPr="00144C52">
        <w:rPr>
          <w:rFonts w:asciiTheme="minorHAnsi" w:eastAsiaTheme="minorHAnsi" w:hAnsiTheme="minorHAnsi" w:cstheme="minorHAnsi"/>
          <w:b/>
          <w:sz w:val="21"/>
          <w:szCs w:val="21"/>
        </w:rPr>
        <w:instrText>ADDIN CSL_CITATION { "citationItems" : [ { "id" : "ITEM-1", "itemData" : { "author" : [ { "dropping-particle" : "", "family" : "National Blood Authority", "given" : "", "non-dropping-particle" : "", "parse-names" : false, "suffix" : "" } ], "id" : "ITEM-1", "issued" : { "date-parts" : [ [ "2012" ] ] }, "publisher" : "National Blood Authority", "publisher-place" : "Canberra, Australia", "title" : "Patient blood management guidelines: Module 3 \u2013 Medical", "type" : "book" }, "uris" : [ "http://www.mendeley.com/documents/?uuid=0b45fa2d-24ab-49d5-a0df-007d328f5e3b" ] }, { "id" : "ITEM-2", "itemData" : { "author" : [ { "dropping-particle" : "", "family" : "National Blood Authority", "given" : "", "non-dropping-particle" : "", "parse-names" : false, "suffix" : "" } ], "id" : "ITEM-2", "issued" : { "date-parts" : [ [ "2013" ] ] }, "publisher-place" : "Canberra, Australia", "title" : "Patient blood management guidelines: Module 4 \u2013 Critical Care", "type" : "book" }, "uris" : [ "http://www.mendeley.com/documents/?uuid=ea39fd74-ab5a-47df-93c5-ce717f8041eb" ] }, { "id" : "ITEM-3", "itemData" : { "author" : [ { "dropping-particle" : "", "family" : "National Blood Authority", "given" : "", "non-dropping-particle" : "", "parse-names" : false, "suffix" : "" } ], "id" : "ITEM-3", "issued" : { "date-parts" : [ [ "2012" ] ] }, "publisher-place" : "Canberra, Australia", "title" : "Patient blood management guidelines: Module 2 \u2013 Perioperative.", "type" : "book" }, "uris" : [ "http://www.mendeley.com/documents/?uuid=956cf09d-f9be-4289-a9d0-a6445424b170" ] } ], "mendeley" : { "previouslyFormattedCitation" : "&lt;sup&gt;1,2,7&lt;/sup&gt;" }, "properties" : { "noteIndex" : 0 }, "schema" : "https://github.com/citation-style-language/schema/raw/master/csl-citation.json" }</w:instrText>
      </w:r>
      <w:r w:rsidR="00FE0FD8" w:rsidRPr="00144C52">
        <w:rPr>
          <w:rFonts w:asciiTheme="minorHAnsi" w:eastAsiaTheme="minorHAnsi" w:hAnsiTheme="minorHAnsi" w:cstheme="minorHAnsi"/>
          <w:b/>
          <w:sz w:val="21"/>
          <w:szCs w:val="21"/>
        </w:rPr>
        <w:fldChar w:fldCharType="separate"/>
      </w:r>
      <w:r w:rsidR="00F76B75" w:rsidRPr="00144C52">
        <w:rPr>
          <w:rFonts w:asciiTheme="minorHAnsi" w:eastAsiaTheme="minorHAnsi" w:hAnsiTheme="minorHAnsi" w:cstheme="minorHAnsi"/>
          <w:noProof/>
          <w:sz w:val="21"/>
          <w:szCs w:val="21"/>
          <w:vertAlign w:val="superscript"/>
        </w:rPr>
        <w:t>1,2,7</w:t>
      </w:r>
      <w:r w:rsidR="00FE0FD8" w:rsidRPr="00144C52">
        <w:rPr>
          <w:rFonts w:asciiTheme="minorHAnsi" w:eastAsiaTheme="minorHAnsi" w:hAnsiTheme="minorHAnsi" w:cstheme="minorHAnsi"/>
          <w:b/>
          <w:sz w:val="21"/>
          <w:szCs w:val="21"/>
        </w:rPr>
        <w:fldChar w:fldCharType="end"/>
      </w:r>
      <w:r w:rsidR="00DE70B0" w:rsidRPr="00144C52">
        <w:rPr>
          <w:rFonts w:asciiTheme="minorHAnsi" w:eastAsiaTheme="minorHAnsi" w:hAnsiTheme="minorHAnsi" w:cstheme="minorHAnsi"/>
          <w:sz w:val="21"/>
          <w:szCs w:val="21"/>
          <w:vertAlign w:val="superscript"/>
        </w:rPr>
        <w:t xml:space="preserve"> </w:t>
      </w:r>
      <w:r w:rsidR="00DE70B0" w:rsidRPr="00144C52">
        <w:rPr>
          <w:rFonts w:asciiTheme="minorHAnsi" w:eastAsiaTheme="minorHAnsi" w:hAnsiTheme="minorHAnsi" w:cstheme="minorHAnsi"/>
          <w:sz w:val="21"/>
          <w:szCs w:val="21"/>
        </w:rPr>
        <w:t>The National Blood Authority has produced a single unit transfusion guide</w:t>
      </w:r>
      <w:r w:rsidR="006F33B5" w:rsidRPr="00144C52">
        <w:rPr>
          <w:rFonts w:asciiTheme="minorHAnsi" w:eastAsiaTheme="minorHAnsi" w:hAnsiTheme="minorHAnsi" w:cstheme="minorHAnsi"/>
          <w:sz w:val="21"/>
          <w:szCs w:val="21"/>
        </w:rPr>
        <w:t xml:space="preserve"> and supporting resources</w:t>
      </w:r>
      <w:r w:rsidR="00DE70B0" w:rsidRPr="00144C52">
        <w:rPr>
          <w:rFonts w:asciiTheme="minorHAnsi" w:eastAsiaTheme="minorHAnsi" w:hAnsiTheme="minorHAnsi" w:cstheme="minorHAnsi"/>
          <w:sz w:val="21"/>
          <w:szCs w:val="21"/>
        </w:rPr>
        <w:t xml:space="preserve"> to assist </w:t>
      </w:r>
      <w:r w:rsidR="00623E89" w:rsidRPr="00144C52">
        <w:rPr>
          <w:rFonts w:asciiTheme="minorHAnsi" w:eastAsiaTheme="minorHAnsi" w:hAnsiTheme="minorHAnsi" w:cstheme="minorHAnsi"/>
          <w:sz w:val="21"/>
          <w:szCs w:val="21"/>
        </w:rPr>
        <w:t>meeting</w:t>
      </w:r>
      <w:r w:rsidR="00DE70B0" w:rsidRPr="00144C52">
        <w:rPr>
          <w:rFonts w:asciiTheme="minorHAnsi" w:eastAsiaTheme="minorHAnsi" w:hAnsiTheme="minorHAnsi" w:cstheme="minorHAnsi"/>
          <w:sz w:val="21"/>
          <w:szCs w:val="21"/>
        </w:rPr>
        <w:t xml:space="preserve"> the Patient Blood Management Guidelines and compliance with the National Safety and Quality in Health Care (NSQHS), Standard 7: Blood and Blood Products.</w:t>
      </w:r>
      <w:r w:rsidR="00FE0FD8" w:rsidRPr="00144C52">
        <w:rPr>
          <w:rFonts w:asciiTheme="minorHAnsi" w:eastAsiaTheme="minorHAnsi" w:hAnsiTheme="minorHAnsi" w:cstheme="minorHAnsi"/>
          <w:sz w:val="21"/>
          <w:szCs w:val="21"/>
        </w:rPr>
        <w:fldChar w:fldCharType="begin" w:fldLock="1"/>
      </w:r>
      <w:r w:rsidR="00F76B75" w:rsidRPr="00144C52">
        <w:rPr>
          <w:rFonts w:asciiTheme="minorHAnsi" w:eastAsiaTheme="minorHAnsi" w:hAnsiTheme="minorHAnsi" w:cstheme="minorHAnsi"/>
          <w:sz w:val="21"/>
          <w:szCs w:val="21"/>
        </w:rPr>
        <w:instrText>ADDIN CSL_CITATION { "citationItems" : [ { "id" : "ITEM-1", "itemData" : { "author" : [ { "dropping-particle" : "", "family" : "Australian Commission on Safety and Quality in Healthcare", "given" : "", "non-dropping-particle" : "", "parse-names" : false, "suffix" : "" } ], "container-title" : "ACSQHC", "id" : "ITEM-1", "issued" : { "date-parts" : [ [ "2012" ] ] }, "title" : "Safety and Quality Improvement Guide Standard 7: Blood and Blood Products", "type" : "book" }, "uris" : [ "http://www.mendeley.com/documents/?uuid=bc00cee3-5cc2-41e6-8c61-bd93566fb71a" ] } ], "mendeley" : { "previouslyFormattedCitation" : "&lt;sup&gt;8&lt;/sup&gt;" }, "properties" : { "noteIndex" : 0 }, "schema" : "https://github.com/citation-style-language/schema/raw/master/csl-citation.json" }</w:instrText>
      </w:r>
      <w:r w:rsidR="00FE0FD8" w:rsidRPr="00144C52">
        <w:rPr>
          <w:rFonts w:asciiTheme="minorHAnsi" w:eastAsiaTheme="minorHAnsi" w:hAnsiTheme="minorHAnsi" w:cstheme="minorHAnsi"/>
          <w:sz w:val="21"/>
          <w:szCs w:val="21"/>
        </w:rPr>
        <w:fldChar w:fldCharType="separate"/>
      </w:r>
      <w:r w:rsidR="00F76B75" w:rsidRPr="00144C52">
        <w:rPr>
          <w:rFonts w:asciiTheme="minorHAnsi" w:eastAsiaTheme="minorHAnsi" w:hAnsiTheme="minorHAnsi" w:cstheme="minorHAnsi"/>
          <w:noProof/>
          <w:sz w:val="21"/>
          <w:szCs w:val="21"/>
          <w:vertAlign w:val="superscript"/>
        </w:rPr>
        <w:t>8</w:t>
      </w:r>
      <w:r w:rsidR="00FE0FD8" w:rsidRPr="00144C52">
        <w:rPr>
          <w:rFonts w:asciiTheme="minorHAnsi" w:eastAsiaTheme="minorHAnsi" w:hAnsiTheme="minorHAnsi" w:cstheme="minorHAnsi"/>
          <w:sz w:val="21"/>
          <w:szCs w:val="21"/>
        </w:rPr>
        <w:fldChar w:fldCharType="end"/>
      </w:r>
    </w:p>
    <w:p w:rsidR="00DE70B0" w:rsidRPr="00144C52" w:rsidRDefault="00DE70B0" w:rsidP="00B554E2">
      <w:pPr>
        <w:spacing w:after="120" w:line="276" w:lineRule="auto"/>
        <w:ind w:left="-284"/>
        <w:rPr>
          <w:rFonts w:asciiTheme="minorHAnsi" w:eastAsiaTheme="minorHAnsi" w:hAnsiTheme="minorHAnsi" w:cstheme="minorHAnsi"/>
          <w:sz w:val="21"/>
          <w:szCs w:val="21"/>
        </w:rPr>
      </w:pPr>
      <w:r w:rsidRPr="00144C52">
        <w:rPr>
          <w:rFonts w:asciiTheme="minorHAnsi" w:eastAsiaTheme="minorHAnsi" w:hAnsiTheme="minorHAnsi" w:cstheme="minorHAnsi"/>
          <w:sz w:val="21"/>
          <w:szCs w:val="21"/>
        </w:rPr>
        <w:t>Morbidity from transfusion has been shown to be dose dependent.</w:t>
      </w:r>
      <w:r w:rsidR="00FE0FD8" w:rsidRPr="00144C52">
        <w:rPr>
          <w:rFonts w:asciiTheme="minorHAnsi" w:eastAsiaTheme="minorHAnsi" w:hAnsiTheme="minorHAnsi" w:cstheme="minorHAnsi"/>
          <w:sz w:val="21"/>
          <w:szCs w:val="21"/>
        </w:rPr>
        <w:fldChar w:fldCharType="begin" w:fldLock="1"/>
      </w:r>
      <w:r w:rsidR="00F76B75" w:rsidRPr="00144C52">
        <w:rPr>
          <w:rFonts w:asciiTheme="minorHAnsi" w:eastAsiaTheme="minorHAnsi" w:hAnsiTheme="minorHAnsi" w:cstheme="minorHAnsi"/>
          <w:sz w:val="21"/>
          <w:szCs w:val="21"/>
        </w:rPr>
        <w:instrText>ADDIN CSL_CITATION { "citationItems" : [ { "id" : "ITEM-1", "itemData" : { "author" : [ { "dropping-particle" : "", "family" : "Koch CG  Duncan AI et al", "given" : "Li L", "non-dropping-particle" : "", "parse-names" : false, "suffix" : "" } ], "container-title" : "Crit Care Med 2006", "id" : "ITEM-1", "issue" : "34", "issued" : { "date-parts" : [ [ "2006" ] ] }, "page" : "1608-1616", "title" : "Morbidity and mortality risk associated with red blood cell and blood-component transfusion in isolated coronary artery bypass grafting.", "type" : "article-journal", "volume" : "34" }, "uris" : [ "http://www.mendeley.com/documents/?uuid=92a943f7-35b9-4e46-948d-e1033d47cc97" ] }, { "id" : "ITEM-2", "itemData" : { "author" : [ { "dropping-particle" : "", "family" : "Hajjar LA Vincent JL et al.", "given" : "", "non-dropping-particle" : "", "parse-names" : false, "suffix" : "" } ], "container-title" : "JAMA - Journal of the American Medical Association", "id" : "ITEM-2", "issue" : "304", "issued" : { "date-parts" : [ [ "0" ] ] }, "page" : "304:1559-1567", "title" : "Transfusion requirements after cardiac surgery: the TRACS randomised controlled trial.", "type" : "article-journal", "volume" : "304" }, "uris" : [ "http://www.mendeley.com/documents/?uuid=f204d20a-6164-4ae2-8c61-0482cc10f507" ] } ], "mendeley" : { "previouslyFormattedCitation" : "&lt;sup&gt;9,10&lt;/sup&gt;" }, "properties" : { "noteIndex" : 0 }, "schema" : "https://github.com/citation-style-language/schema/raw/master/csl-citation.json" }</w:instrText>
      </w:r>
      <w:r w:rsidR="00FE0FD8" w:rsidRPr="00144C52">
        <w:rPr>
          <w:rFonts w:asciiTheme="minorHAnsi" w:eastAsiaTheme="minorHAnsi" w:hAnsiTheme="minorHAnsi" w:cstheme="minorHAnsi"/>
          <w:sz w:val="21"/>
          <w:szCs w:val="21"/>
        </w:rPr>
        <w:fldChar w:fldCharType="separate"/>
      </w:r>
      <w:r w:rsidR="00F76B75" w:rsidRPr="00144C52">
        <w:rPr>
          <w:rFonts w:asciiTheme="minorHAnsi" w:eastAsiaTheme="minorHAnsi" w:hAnsiTheme="minorHAnsi" w:cstheme="minorHAnsi"/>
          <w:noProof/>
          <w:sz w:val="21"/>
          <w:szCs w:val="21"/>
          <w:vertAlign w:val="superscript"/>
        </w:rPr>
        <w:t>9,10</w:t>
      </w:r>
      <w:r w:rsidR="00FE0FD8" w:rsidRPr="00144C52">
        <w:rPr>
          <w:rFonts w:asciiTheme="minorHAnsi" w:eastAsiaTheme="minorHAnsi" w:hAnsiTheme="minorHAnsi" w:cstheme="minorHAnsi"/>
          <w:sz w:val="21"/>
          <w:szCs w:val="21"/>
        </w:rPr>
        <w:fldChar w:fldCharType="end"/>
      </w:r>
      <w:r w:rsidRPr="00144C52">
        <w:rPr>
          <w:rFonts w:asciiTheme="minorHAnsi" w:eastAsiaTheme="minorHAnsi" w:hAnsiTheme="minorHAnsi" w:cstheme="minorHAnsi"/>
          <w:sz w:val="21"/>
          <w:szCs w:val="21"/>
        </w:rPr>
        <w:t xml:space="preserve"> Two units are commonly prescribed when one unit may have met the clinical expectation and outcome of the transfusion. </w:t>
      </w:r>
      <w:r w:rsidR="004E59C2" w:rsidRPr="00144C52">
        <w:rPr>
          <w:rFonts w:asciiTheme="minorHAnsi" w:eastAsiaTheme="minorHAnsi" w:hAnsiTheme="minorHAnsi" w:cstheme="minorHAnsi"/>
          <w:sz w:val="21"/>
          <w:szCs w:val="21"/>
        </w:rPr>
        <w:t>Each</w:t>
      </w:r>
      <w:r w:rsidR="00623E89" w:rsidRPr="00144C52">
        <w:rPr>
          <w:rFonts w:asciiTheme="minorHAnsi" w:eastAsiaTheme="minorHAnsi" w:hAnsiTheme="minorHAnsi" w:cstheme="minorHAnsi"/>
          <w:sz w:val="21"/>
          <w:szCs w:val="21"/>
        </w:rPr>
        <w:t xml:space="preserve"> additional</w:t>
      </w:r>
      <w:r w:rsidR="004E59C2" w:rsidRPr="00144C52">
        <w:rPr>
          <w:rFonts w:asciiTheme="minorHAnsi" w:eastAsiaTheme="minorHAnsi" w:hAnsiTheme="minorHAnsi" w:cstheme="minorHAnsi"/>
          <w:sz w:val="21"/>
          <w:szCs w:val="21"/>
        </w:rPr>
        <w:t xml:space="preserve"> transfusion</w:t>
      </w:r>
      <w:r w:rsidRPr="00144C52">
        <w:rPr>
          <w:rFonts w:asciiTheme="minorHAnsi" w:eastAsiaTheme="minorHAnsi" w:hAnsiTheme="minorHAnsi" w:cstheme="minorHAnsi"/>
          <w:sz w:val="21"/>
          <w:szCs w:val="21"/>
        </w:rPr>
        <w:t xml:space="preserve"> exposes patients to increased risk of </w:t>
      </w:r>
      <w:r w:rsidR="00FD6566">
        <w:rPr>
          <w:rFonts w:asciiTheme="minorHAnsi" w:eastAsiaTheme="minorHAnsi" w:hAnsiTheme="minorHAnsi" w:cstheme="minorHAnsi"/>
          <w:sz w:val="21"/>
          <w:szCs w:val="21"/>
        </w:rPr>
        <w:t xml:space="preserve">an </w:t>
      </w:r>
      <w:r w:rsidRPr="00144C52">
        <w:rPr>
          <w:rFonts w:asciiTheme="minorHAnsi" w:eastAsiaTheme="minorHAnsi" w:hAnsiTheme="minorHAnsi" w:cstheme="minorHAnsi"/>
          <w:sz w:val="21"/>
          <w:szCs w:val="21"/>
        </w:rPr>
        <w:t>adverse event</w:t>
      </w:r>
      <w:r w:rsidRPr="00144C52">
        <w:rPr>
          <w:rFonts w:asciiTheme="minorHAnsi" w:eastAsiaTheme="minorHAnsi" w:hAnsiTheme="minorHAnsi" w:cstheme="minorHAnsi"/>
          <w:b/>
          <w:sz w:val="21"/>
          <w:szCs w:val="21"/>
        </w:rPr>
        <w:t>.</w:t>
      </w:r>
      <w:r w:rsidR="00FE0FD8" w:rsidRPr="00144C52">
        <w:rPr>
          <w:rFonts w:asciiTheme="minorHAnsi" w:eastAsiaTheme="minorHAnsi" w:hAnsiTheme="minorHAnsi" w:cstheme="minorHAnsi"/>
          <w:b/>
          <w:sz w:val="21"/>
          <w:szCs w:val="21"/>
        </w:rPr>
        <w:fldChar w:fldCharType="begin" w:fldLock="1"/>
      </w:r>
      <w:r w:rsidR="00F76B75" w:rsidRPr="00144C52">
        <w:rPr>
          <w:rFonts w:asciiTheme="minorHAnsi" w:eastAsiaTheme="minorHAnsi" w:hAnsiTheme="minorHAnsi" w:cstheme="minorHAnsi"/>
          <w:b/>
          <w:sz w:val="21"/>
          <w:szCs w:val="21"/>
        </w:rPr>
        <w:instrText>ADDIN CSL_CITATION { "citationItems" : [ { "id" : "ITEM-1", "itemData" : { "DOI" : "10.1634/theoncologist.2011-S3-3", "abstract" : "The objective of this paper is to introduce clinicians and health care professionals to the concept of patient blood management (PBM) and to explain the difference between PBM and the concept of \"appropriate use\" of blood products. The five reasons why modern health systems need to shift from product-focused transfusion practice to PBM are also presented. These are: the aging population with a leveraged demand for blood products opposed to a shrinking donor base; the growing awareness that transfusion is a complex service involving many different cost centers within a hospital and representing a multiple of the blood product cost; the continuous effort to protect blood pools from known, new, or re-emerging pathogens while facing uncertainty over their potentially long silent carrier states; the emerging evidence that transfusion is an independent risk factor for adverse outcomes; and finally, a lack of evidence for benefit of transfusion for the vast majority of recipients.", "author" : [ { "dropping-particle" : "", "family" : "Hofmann", "given" : "Axel", "non-dropping-particle" : "", "parse-names" : false, "suffix" : "" }, { "dropping-particle" : "", "family" : "Farmer", "given" : "Shannon", "non-dropping-particle" : "", "parse-names" : false, "suffix" : "" }, { "dropping-particle" : "", "family" : "Shander", "given" : "Aryeh", "non-dropping-particle" : "", "parse-names" : false, "suffix" : "" } ], "container-title" : "The oncologist", "id" : "ITEM-1", "issued" : { "date-parts" : [ [ "2011" ] ] }, "page" : "3-11", "title" : "Five drivers shifting the paradigm from product-focused transfusion practice to patient blood management.", "type" : "article-journal", "volume" : "16 Suppl 3" }, "uris" : [ "http://www.mendeley.com/documents/?uuid=3a94e34c-9f7b-496c-af50-99a9cf529f48" ] }, { "id" : "ITEM-2", "itemData" : { "DOI" : "10.1097/ACO.0b013e32834eb726", "abstract" : "PURPOSE OF REVIEW: Evidence-based patient blood management (PBM) is aimed at achieving better patient outcomes by relying on a patient's own blood rather than on donor blood. This review covers the rationale behind PBM, the treatment modalities involved and the drivers to adopt PBM as a new standard of care. RECENT FINDINGS: Transfusion rates vary significantly between comparable countries; they also vary between centers for matched patients in standardized elective surgical interventions. Preoperative anemia, perioperative blood loss and liberal transfusion triggers are the main predictors for transfusion and pose risks to the patient. PBM is mitigating these risks by optimizing the patient's native red cell mass, minimizing blood loss, optimizing the physiological reserve of anemia and preempting transfusions. A growing number of studies show that transfusion is associated in a dose-dependent relationship with increased morbidity, mortality and hospital length of stay. Evidence suggests that this relationship is not merely associative but causal. Furthermore, the over-ageing population of the developed world leads to a growing gap between supply and demand of blood, the safety of donor blood remains unpredictable and the cost of transfusion is much higher than previously estimated. SUMMARY: High transfusion variability, adverse transfusion outcomes, limited evidence for the benefit of transfusion particularly in elective patients and high cost of transfusion are challenging the traditional transfusion paradigm. National and state-wide initiatives are underway in Australia to broadly implement PBM and PBM programs as a new and cost-effective standard of care in the public health system.", "author" : [ { "dropping-particle" : "", "family" : "Hofmann", "given" : "Axel", "non-dropping-particle" : "", "parse-names" : false, "suffix" : "" }, { "dropping-particle" : "", "family" : "Farmer", "given" : "Shannon", "non-dropping-particle" : "", "parse-names" : false, "suffix" : "" }, { "dropping-particle" : "", "family" : "Towler", "given" : "Simon C", "non-dropping-particle" : "", "parse-names" : false, "suffix" : "" } ], "container-title" : "Current opinion in anaesthesiology", "id" : "ITEM-2", "issue" : "1", "issued" : { "date-parts" : [ [ "2012" ] ] }, "page" : "66-73", "title" : "Strategies to preempt and reduce the use of blood products: an Australian perspective.", "type" : "article-journal", "volume" : "25" }, "uris" : [ "http://www.mendeley.com/documents/?uuid=bd9ad883-c5dd-465f-bd70-928259714a47" ] } ], "mendeley" : { "previouslyFormattedCitation" : "&lt;sup&gt;11,12&lt;/sup&gt;" }, "properties" : { "noteIndex" : 0 }, "schema" : "https://github.com/citation-style-language/schema/raw/master/csl-citation.json" }</w:instrText>
      </w:r>
      <w:r w:rsidR="00FE0FD8" w:rsidRPr="00144C52">
        <w:rPr>
          <w:rFonts w:asciiTheme="minorHAnsi" w:eastAsiaTheme="minorHAnsi" w:hAnsiTheme="minorHAnsi" w:cstheme="minorHAnsi"/>
          <w:b/>
          <w:sz w:val="21"/>
          <w:szCs w:val="21"/>
        </w:rPr>
        <w:fldChar w:fldCharType="separate"/>
      </w:r>
      <w:r w:rsidR="00F76B75" w:rsidRPr="00144C52">
        <w:rPr>
          <w:rFonts w:asciiTheme="minorHAnsi" w:eastAsiaTheme="minorHAnsi" w:hAnsiTheme="minorHAnsi" w:cstheme="minorHAnsi"/>
          <w:noProof/>
          <w:sz w:val="21"/>
          <w:szCs w:val="21"/>
          <w:vertAlign w:val="superscript"/>
        </w:rPr>
        <w:t>11,12</w:t>
      </w:r>
      <w:r w:rsidR="00FE0FD8" w:rsidRPr="00144C52">
        <w:rPr>
          <w:rFonts w:asciiTheme="minorHAnsi" w:eastAsiaTheme="minorHAnsi" w:hAnsiTheme="minorHAnsi" w:cstheme="minorHAnsi"/>
          <w:b/>
          <w:sz w:val="21"/>
          <w:szCs w:val="21"/>
        </w:rPr>
        <w:fldChar w:fldCharType="end"/>
      </w:r>
    </w:p>
    <w:p w:rsidR="00DE70B0" w:rsidRPr="00144C52" w:rsidRDefault="00DE70B0" w:rsidP="000E418A">
      <w:pPr>
        <w:pStyle w:val="Heading4"/>
        <w:spacing w:before="240" w:line="276" w:lineRule="auto"/>
        <w:ind w:left="-284"/>
        <w:rPr>
          <w:sz w:val="21"/>
          <w:szCs w:val="21"/>
        </w:rPr>
      </w:pPr>
      <w:r w:rsidRPr="00144C52">
        <w:rPr>
          <w:sz w:val="21"/>
          <w:szCs w:val="21"/>
        </w:rPr>
        <w:t>BACK</w:t>
      </w:r>
      <w:r w:rsidR="00BB43DE" w:rsidRPr="00144C52">
        <w:rPr>
          <w:sz w:val="21"/>
          <w:szCs w:val="21"/>
        </w:rPr>
        <w:t>G</w:t>
      </w:r>
      <w:r w:rsidRPr="00144C52">
        <w:rPr>
          <w:sz w:val="21"/>
          <w:szCs w:val="21"/>
        </w:rPr>
        <w:t>ROUND:</w:t>
      </w:r>
    </w:p>
    <w:p w:rsidR="00DE70B0" w:rsidRPr="00144C52" w:rsidRDefault="00D46F12" w:rsidP="00B554E2">
      <w:pPr>
        <w:spacing w:after="120" w:line="276" w:lineRule="auto"/>
        <w:ind w:left="-284"/>
        <w:rPr>
          <w:rFonts w:asciiTheme="minorHAnsi" w:eastAsiaTheme="minorHAnsi" w:hAnsiTheme="minorHAnsi" w:cstheme="minorHAnsi"/>
          <w:sz w:val="21"/>
          <w:szCs w:val="21"/>
          <w:vertAlign w:val="superscript"/>
        </w:rPr>
      </w:pPr>
      <w:r w:rsidRPr="00144C52">
        <w:rPr>
          <w:rFonts w:asciiTheme="minorHAnsi" w:eastAsiaTheme="minorHAnsi" w:hAnsiTheme="minorHAnsi" w:cstheme="minorHAnsi"/>
          <w:sz w:val="21"/>
          <w:szCs w:val="21"/>
        </w:rPr>
        <w:t>Historically, t</w:t>
      </w:r>
      <w:r w:rsidR="00DE70B0" w:rsidRPr="00144C52">
        <w:rPr>
          <w:rFonts w:asciiTheme="minorHAnsi" w:eastAsiaTheme="minorHAnsi" w:hAnsiTheme="minorHAnsi" w:cstheme="minorHAnsi"/>
          <w:sz w:val="21"/>
          <w:szCs w:val="21"/>
        </w:rPr>
        <w:t xml:space="preserve">wo unit blood transfusions </w:t>
      </w:r>
      <w:r w:rsidRPr="00144C52">
        <w:rPr>
          <w:rFonts w:asciiTheme="minorHAnsi" w:eastAsiaTheme="minorHAnsi" w:hAnsiTheme="minorHAnsi" w:cstheme="minorHAnsi"/>
          <w:sz w:val="21"/>
          <w:szCs w:val="21"/>
        </w:rPr>
        <w:t>were</w:t>
      </w:r>
      <w:r w:rsidR="00DE70B0" w:rsidRPr="00144C52">
        <w:rPr>
          <w:rFonts w:asciiTheme="minorHAnsi" w:eastAsiaTheme="minorHAnsi" w:hAnsiTheme="minorHAnsi" w:cstheme="minorHAnsi"/>
          <w:sz w:val="21"/>
          <w:szCs w:val="21"/>
        </w:rPr>
        <w:t xml:space="preserve"> </w:t>
      </w:r>
      <w:r w:rsidR="00E83CB9" w:rsidRPr="00144C52">
        <w:rPr>
          <w:rFonts w:asciiTheme="minorHAnsi" w:eastAsiaTheme="minorHAnsi" w:hAnsiTheme="minorHAnsi" w:cstheme="minorHAnsi"/>
          <w:sz w:val="21"/>
          <w:szCs w:val="21"/>
          <w:lang w:val="en-GB"/>
        </w:rPr>
        <w:t xml:space="preserve">common </w:t>
      </w:r>
      <w:r w:rsidR="006F33B5" w:rsidRPr="00144C52">
        <w:rPr>
          <w:rFonts w:asciiTheme="minorHAnsi" w:eastAsiaTheme="minorHAnsi" w:hAnsiTheme="minorHAnsi" w:cstheme="minorHAnsi"/>
          <w:sz w:val="21"/>
          <w:szCs w:val="21"/>
          <w:lang w:val="en-GB"/>
        </w:rPr>
        <w:t>practice as a single unit was not considered sufficient to correct anaemia.</w:t>
      </w:r>
      <w:r w:rsidR="006F33B5" w:rsidRPr="00144C52">
        <w:rPr>
          <w:rFonts w:asciiTheme="minorHAnsi" w:eastAsiaTheme="minorHAnsi" w:hAnsiTheme="minorHAnsi" w:cstheme="minorHAnsi"/>
          <w:sz w:val="21"/>
          <w:szCs w:val="21"/>
          <w:lang w:val="en-GB"/>
        </w:rPr>
        <w:fldChar w:fldCharType="begin" w:fldLock="1"/>
      </w:r>
      <w:r w:rsidR="00F76B75" w:rsidRPr="00144C52">
        <w:rPr>
          <w:rFonts w:asciiTheme="minorHAnsi" w:eastAsiaTheme="minorHAnsi" w:hAnsiTheme="minorHAnsi" w:cstheme="minorHAnsi"/>
          <w:sz w:val="21"/>
          <w:szCs w:val="21"/>
          <w:lang w:val="en-GB"/>
        </w:rPr>
        <w:instrText>ADDIN CSL_CITATION { "citationItems" : [ { "id" : "ITEM-1", "itemData" : { "DOI" : "10.1111/j.1365-3148.2005.00592.x", "author" : [ { "dropping-particle" : "", "family" : "Ma", "given" : "M", "non-dropping-particle" : "", "parse-names" : false, "suffix" : "" }, { "dropping-particle" : "", "family" : "Eckert", "given" : "K", "non-dropping-particle" : "", "parse-names" : false, "suffix" : "" }, { "dropping-particle" : "", "family" : "Ralley", "given" : "F", "non-dropping-particle" : "", "parse-names" : false, "suffix" : "" }, { "dropping-particle" : "", "family" : "Chin-Yee", "given" : "I", "non-dropping-particle" : "", "parse-names" : false, "suffix" : "" } ], "container-title" : "Transfusion Medicine", "id" : "ITEM-1", "issued" : { "date-parts" : [ [ "2005" ] ] }, "page" : "307-312", "title" : "A retrospective study evaluating single-unit red blood cell transfusions in reducing allogeneic blood exposure", "type" : "article-journal", "volume" : "15" }, "uris" : [ "http://www.mendeley.com/documents/?uuid=19ce6532-0258-4cc4-82a3-caf33c150805" ] }, { "id" : "ITEM-2", "itemData" : { "DOI" : "10.3324/haematol.2011.047035", "author" : [ { "dropping-particle" : "", "family" : "Berger", "given" : "Martin David", "non-dropping-particle" : "", "parse-names" : false, "suffix" : "" }, { "dropping-particle" : "", "family" : "Gerber", "given" : "Bernhard", "non-dropping-particle" : "", "parse-names" : false, "suffix" : "" }, { "dropping-particle" : "", "family" : "Arn", "given" : "Kornelius", "non-dropping-particle" : "", "parse-names" : false, "suffix" : "" }, { "dropping-particle" : "", "family" : "Senn", "given" : "Oliver", "non-dropping-particle" : "", "parse-names" : false, "suffix" : "" }, { "dropping-particle" : "", "family" : "Schanz", "given" : "Urs", "non-dropping-particle" : "", "parse-names" : false, "suffix" : "" }, { "dropping-particle" : "", "family" : "Stussi", "given" : "Georg", "non-dropping-particle" : "", "parse-names" : false, "suffix" : "" } ], "container-title" : "haematologica", "id" : "ITEM-2", "issue" : "1", "issued" : { "date-parts" : [ [ "2012" ] ] }, "page" : "116-122", "title" : "Significant reduction of red blood cell transfusion requirements by changing from a double-unit to a single-unit transfusion policy in patients receiving intensive chemotherapy or stem cell transplantation", "type" : "article-journal", "volume" : "97" }, "uris" : [ "http://www.mendeley.com/documents/?uuid=e3206e28-32bb-4aa7-9a73-14d547dcc572" ] } ], "mendeley" : { "previouslyFormattedCitation" : "&lt;sup&gt;13,14&lt;/sup&gt;" }, "properties" : { "noteIndex" : 0 }, "schema" : "https://github.com/citation-style-language/schema/raw/master/csl-citation.json" }</w:instrText>
      </w:r>
      <w:r w:rsidR="006F33B5" w:rsidRPr="00144C52">
        <w:rPr>
          <w:rFonts w:asciiTheme="minorHAnsi" w:eastAsiaTheme="minorHAnsi" w:hAnsiTheme="minorHAnsi" w:cstheme="minorHAnsi"/>
          <w:sz w:val="21"/>
          <w:szCs w:val="21"/>
          <w:lang w:val="en-GB"/>
        </w:rPr>
        <w:fldChar w:fldCharType="separate"/>
      </w:r>
      <w:r w:rsidR="00F76B75" w:rsidRPr="00144C52">
        <w:rPr>
          <w:rFonts w:asciiTheme="minorHAnsi" w:eastAsiaTheme="minorHAnsi" w:hAnsiTheme="minorHAnsi" w:cstheme="minorHAnsi"/>
          <w:noProof/>
          <w:sz w:val="21"/>
          <w:szCs w:val="21"/>
          <w:vertAlign w:val="superscript"/>
          <w:lang w:val="en-GB"/>
        </w:rPr>
        <w:t>13,14</w:t>
      </w:r>
      <w:r w:rsidR="006F33B5" w:rsidRPr="00144C52">
        <w:rPr>
          <w:rFonts w:asciiTheme="minorHAnsi" w:eastAsiaTheme="minorHAnsi" w:hAnsiTheme="minorHAnsi" w:cstheme="minorHAnsi"/>
          <w:sz w:val="21"/>
          <w:szCs w:val="21"/>
          <w:lang w:val="en-GB"/>
        </w:rPr>
        <w:fldChar w:fldCharType="end"/>
      </w:r>
      <w:bookmarkStart w:id="0" w:name="_GoBack"/>
      <w:bookmarkEnd w:id="0"/>
      <w:r w:rsidR="00DE70B0" w:rsidRPr="00144C52">
        <w:rPr>
          <w:rFonts w:asciiTheme="minorHAnsi" w:eastAsiaTheme="minorHAnsi" w:hAnsiTheme="minorHAnsi" w:cstheme="minorHAnsi"/>
          <w:sz w:val="21"/>
          <w:szCs w:val="21"/>
        </w:rPr>
        <w:t xml:space="preserve"> Transfusion was</w:t>
      </w:r>
      <w:r w:rsidR="00B554E2" w:rsidRPr="00144C52">
        <w:rPr>
          <w:rFonts w:asciiTheme="minorHAnsi" w:eastAsiaTheme="minorHAnsi" w:hAnsiTheme="minorHAnsi" w:cstheme="minorHAnsi"/>
          <w:sz w:val="21"/>
          <w:szCs w:val="21"/>
        </w:rPr>
        <w:t xml:space="preserve"> often</w:t>
      </w:r>
      <w:r w:rsidR="00DE70B0" w:rsidRPr="00144C52">
        <w:rPr>
          <w:rFonts w:asciiTheme="minorHAnsi" w:eastAsiaTheme="minorHAnsi" w:hAnsiTheme="minorHAnsi" w:cstheme="minorHAnsi"/>
          <w:sz w:val="21"/>
          <w:szCs w:val="21"/>
        </w:rPr>
        <w:t xml:space="preserve"> habitual /cultural, according to haemoglobin and not based on evidence of benefit. </w:t>
      </w:r>
      <w:r w:rsidR="003B460D" w:rsidRPr="00144C52">
        <w:rPr>
          <w:rFonts w:asciiTheme="minorHAnsi" w:eastAsiaTheme="minorHAnsi" w:hAnsiTheme="minorHAnsi" w:cstheme="minorHAnsi"/>
          <w:sz w:val="21"/>
          <w:szCs w:val="21"/>
        </w:rPr>
        <w:t xml:space="preserve">Current evidence now demonstrates </w:t>
      </w:r>
      <w:r w:rsidR="00B554E2" w:rsidRPr="00144C52">
        <w:rPr>
          <w:rFonts w:asciiTheme="minorHAnsi" w:eastAsiaTheme="minorHAnsi" w:hAnsiTheme="minorHAnsi" w:cstheme="minorHAnsi"/>
          <w:sz w:val="21"/>
          <w:szCs w:val="21"/>
        </w:rPr>
        <w:t xml:space="preserve">that </w:t>
      </w:r>
      <w:r w:rsidR="003B460D" w:rsidRPr="00144C52">
        <w:rPr>
          <w:rFonts w:asciiTheme="minorHAnsi" w:eastAsiaTheme="minorHAnsi" w:hAnsiTheme="minorHAnsi" w:cstheme="minorHAnsi"/>
          <w:sz w:val="21"/>
          <w:szCs w:val="21"/>
        </w:rPr>
        <w:t>i</w:t>
      </w:r>
      <w:r w:rsidR="00DE70B0" w:rsidRPr="00144C52">
        <w:rPr>
          <w:rFonts w:asciiTheme="minorHAnsi" w:eastAsiaTheme="minorHAnsi" w:hAnsiTheme="minorHAnsi" w:cstheme="minorHAnsi"/>
          <w:sz w:val="21"/>
          <w:szCs w:val="21"/>
        </w:rPr>
        <w:t xml:space="preserve">ncreased morbidity, mortality and length of hospital stay </w:t>
      </w:r>
      <w:r w:rsidR="00623E89" w:rsidRPr="00144C52">
        <w:rPr>
          <w:rFonts w:asciiTheme="minorHAnsi" w:eastAsiaTheme="minorHAnsi" w:hAnsiTheme="minorHAnsi" w:cstheme="minorHAnsi"/>
          <w:sz w:val="21"/>
          <w:szCs w:val="21"/>
        </w:rPr>
        <w:t>may be</w:t>
      </w:r>
      <w:r w:rsidRPr="00144C52">
        <w:rPr>
          <w:rFonts w:asciiTheme="minorHAnsi" w:eastAsiaTheme="minorHAnsi" w:hAnsiTheme="minorHAnsi" w:cstheme="minorHAnsi"/>
          <w:sz w:val="21"/>
          <w:szCs w:val="21"/>
        </w:rPr>
        <w:t xml:space="preserve"> associated with</w:t>
      </w:r>
      <w:r w:rsidR="00DE70B0" w:rsidRPr="00144C52">
        <w:rPr>
          <w:rFonts w:asciiTheme="minorHAnsi" w:eastAsiaTheme="minorHAnsi" w:hAnsiTheme="minorHAnsi" w:cstheme="minorHAnsi"/>
          <w:sz w:val="21"/>
          <w:szCs w:val="21"/>
        </w:rPr>
        <w:t xml:space="preserve"> transfusion.</w:t>
      </w:r>
      <w:r w:rsidR="00FE0FD8" w:rsidRPr="00144C52">
        <w:rPr>
          <w:rFonts w:asciiTheme="minorHAnsi" w:eastAsiaTheme="minorHAnsi" w:hAnsiTheme="minorHAnsi" w:cstheme="minorHAnsi"/>
          <w:sz w:val="21"/>
          <w:szCs w:val="21"/>
        </w:rPr>
        <w:fldChar w:fldCharType="begin" w:fldLock="1"/>
      </w:r>
      <w:r w:rsidR="00F76B75" w:rsidRPr="00144C52">
        <w:rPr>
          <w:rFonts w:asciiTheme="minorHAnsi" w:eastAsiaTheme="minorHAnsi" w:hAnsiTheme="minorHAnsi" w:cstheme="minorHAnsi"/>
          <w:sz w:val="21"/>
          <w:szCs w:val="21"/>
        </w:rPr>
        <w:instrText>ADDIN CSL_CITATION { "citationItems" : [ { "id" : "ITEM-1", "itemData" : { "author" : [ { "dropping-particle" : "", "family" : "Koch CG  Duncan AI et al", "given" : "Li L", "non-dropping-particle" : "", "parse-names" : false, "suffix" : "" } ], "container-title" : "Crit Care Med 2006", "id" : "ITEM-1", "issue" : "34", "issued" : { "date-parts" : [ [ "2006" ] ] }, "page" : "1608-1616", "title" : "Morbidity and mortality risk associated with red blood cell and blood-component transfusion in isolated coronary artery bypass grafting.", "type" : "article-journal", "volume" : "34" }, "uris" : [ "http://www.mendeley.com/documents/?uuid=92a943f7-35b9-4e46-948d-e1033d47cc97" ] }, { "id" : "ITEM-2", "itemData" : { "author" : [ { "dropping-particle" : "", "family" : "Hajjar LA Vincent JL et al.", "given" : "", "non-dropping-particle" : "", "parse-names" : false, "suffix" : "" } ], "container-title" : "JAMA - Journal of the American Medical Association", "id" : "ITEM-2", "issue" : "304", "issued" : { "date-parts" : [ [ "0" ] ] }, "page" : "304:1559-1567", "title" : "Transfusion requirements after cardiac surgery: the TRACS randomised controlled trial.", "type" : "article-journal", "volume" : "304" }, "uris" : [ "http://www.mendeley.com/documents/?uuid=f204d20a-6164-4ae2-8c61-0482cc10f507" ] } ], "mendeley" : { "previouslyFormattedCitation" : "&lt;sup&gt;9,10&lt;/sup&gt;" }, "properties" : { "noteIndex" : 0 }, "schema" : "https://github.com/citation-style-language/schema/raw/master/csl-citation.json" }</w:instrText>
      </w:r>
      <w:r w:rsidR="00FE0FD8" w:rsidRPr="00144C52">
        <w:rPr>
          <w:rFonts w:asciiTheme="minorHAnsi" w:eastAsiaTheme="minorHAnsi" w:hAnsiTheme="minorHAnsi" w:cstheme="minorHAnsi"/>
          <w:sz w:val="21"/>
          <w:szCs w:val="21"/>
        </w:rPr>
        <w:fldChar w:fldCharType="separate"/>
      </w:r>
      <w:r w:rsidR="00F76B75" w:rsidRPr="00144C52">
        <w:rPr>
          <w:rFonts w:asciiTheme="minorHAnsi" w:eastAsiaTheme="minorHAnsi" w:hAnsiTheme="minorHAnsi" w:cstheme="minorHAnsi"/>
          <w:noProof/>
          <w:sz w:val="21"/>
          <w:szCs w:val="21"/>
          <w:vertAlign w:val="superscript"/>
        </w:rPr>
        <w:t>9,10</w:t>
      </w:r>
      <w:r w:rsidR="00FE0FD8" w:rsidRPr="00144C52">
        <w:rPr>
          <w:rFonts w:asciiTheme="minorHAnsi" w:eastAsiaTheme="minorHAnsi" w:hAnsiTheme="minorHAnsi" w:cstheme="minorHAnsi"/>
          <w:sz w:val="21"/>
          <w:szCs w:val="21"/>
        </w:rPr>
        <w:fldChar w:fldCharType="end"/>
      </w:r>
      <w:r w:rsidR="00DE70B0" w:rsidRPr="00144C52">
        <w:rPr>
          <w:rFonts w:asciiTheme="minorHAnsi" w:eastAsiaTheme="minorHAnsi" w:hAnsiTheme="minorHAnsi" w:cstheme="minorHAnsi"/>
          <w:sz w:val="21"/>
          <w:szCs w:val="21"/>
        </w:rPr>
        <w:t xml:space="preserve"> </w:t>
      </w:r>
    </w:p>
    <w:p w:rsidR="00DE70B0" w:rsidRPr="00144C52" w:rsidRDefault="00DE70B0" w:rsidP="000E418A">
      <w:pPr>
        <w:pStyle w:val="Heading4"/>
        <w:spacing w:before="240" w:line="276" w:lineRule="auto"/>
        <w:ind w:left="-284"/>
        <w:rPr>
          <w:sz w:val="21"/>
          <w:szCs w:val="21"/>
        </w:rPr>
      </w:pPr>
      <w:r w:rsidRPr="00144C52">
        <w:rPr>
          <w:sz w:val="21"/>
          <w:szCs w:val="21"/>
        </w:rPr>
        <w:t>ASSESSMENT:</w:t>
      </w:r>
    </w:p>
    <w:p w:rsidR="00DE70B0" w:rsidRPr="00144C52" w:rsidRDefault="00DE70B0" w:rsidP="00B554E2">
      <w:pPr>
        <w:spacing w:after="120" w:line="276" w:lineRule="auto"/>
        <w:ind w:left="-284"/>
        <w:rPr>
          <w:rFonts w:asciiTheme="minorHAnsi" w:eastAsiaTheme="minorHAnsi" w:hAnsiTheme="minorHAnsi" w:cstheme="minorHAnsi"/>
          <w:sz w:val="21"/>
          <w:szCs w:val="21"/>
        </w:rPr>
      </w:pPr>
      <w:r w:rsidRPr="00144C52">
        <w:rPr>
          <w:rFonts w:asciiTheme="minorHAnsi" w:eastAsiaTheme="minorHAnsi" w:hAnsiTheme="minorHAnsi" w:cstheme="minorHAnsi"/>
          <w:sz w:val="21"/>
          <w:szCs w:val="21"/>
        </w:rPr>
        <w:t>Blood transfusion is a live tissue transplant.</w:t>
      </w:r>
      <w:r w:rsidRPr="00144C52">
        <w:rPr>
          <w:rFonts w:asciiTheme="minorHAnsi" w:eastAsiaTheme="minorHAnsi" w:hAnsiTheme="minorHAnsi" w:cstheme="minorHAnsi"/>
          <w:b/>
          <w:sz w:val="21"/>
          <w:szCs w:val="21"/>
        </w:rPr>
        <w:t xml:space="preserve"> </w:t>
      </w:r>
      <w:r w:rsidRPr="00144C52">
        <w:rPr>
          <w:rFonts w:asciiTheme="minorHAnsi" w:eastAsiaTheme="minorHAnsi" w:hAnsiTheme="minorHAnsi" w:cstheme="minorHAnsi"/>
          <w:sz w:val="21"/>
          <w:szCs w:val="21"/>
        </w:rPr>
        <w:t xml:space="preserve">Emerging evidence of harm from transfusion requires a precautionary approach to balance risk with benefit for </w:t>
      </w:r>
      <w:r w:rsidRPr="00144C52">
        <w:rPr>
          <w:rFonts w:asciiTheme="minorHAnsi" w:eastAsiaTheme="minorHAnsi" w:hAnsiTheme="minorHAnsi" w:cstheme="minorHAnsi"/>
          <w:b/>
          <w:sz w:val="21"/>
          <w:szCs w:val="21"/>
        </w:rPr>
        <w:t>each unit</w:t>
      </w:r>
      <w:r w:rsidRPr="00144C52">
        <w:rPr>
          <w:rFonts w:asciiTheme="minorHAnsi" w:eastAsiaTheme="minorHAnsi" w:hAnsiTheme="minorHAnsi" w:cstheme="minorHAnsi"/>
          <w:sz w:val="21"/>
          <w:szCs w:val="21"/>
        </w:rPr>
        <w:t>.</w:t>
      </w:r>
      <w:r w:rsidR="00FE0FD8" w:rsidRPr="00144C52">
        <w:rPr>
          <w:rFonts w:asciiTheme="minorHAnsi" w:eastAsiaTheme="minorHAnsi" w:hAnsiTheme="minorHAnsi" w:cstheme="minorHAnsi"/>
          <w:sz w:val="21"/>
          <w:szCs w:val="21"/>
        </w:rPr>
        <w:fldChar w:fldCharType="begin" w:fldLock="1"/>
      </w:r>
      <w:r w:rsidR="00F76B75" w:rsidRPr="00144C52">
        <w:rPr>
          <w:rFonts w:asciiTheme="minorHAnsi" w:eastAsiaTheme="minorHAnsi" w:hAnsiTheme="minorHAnsi" w:cstheme="minorHAnsi"/>
          <w:sz w:val="21"/>
          <w:szCs w:val="21"/>
        </w:rPr>
        <w:instrText>ADDIN CSL_CITATION { "citationItems" : [ { "id" : "ITEM-1", "itemData" : { "DOI" : "10.1634/theoncologist.2011-S3-3", "abstract" : "The objective of this paper is to introduce clinicians and health care professionals to the concept of patient blood management (PBM) and to explain the difference between PBM and the concept of \"appropriate use\" of blood products. The five reasons why modern health systems need to shift from product-focused transfusion practice to PBM are also presented. These are: the aging population with a leveraged demand for blood products opposed to a shrinking donor base; the growing awareness that transfusion is a complex service involving many different cost centers within a hospital and representing a multiple of the blood product cost; the continuous effort to protect blood pools from known, new, or re-emerging pathogens while facing uncertainty over their potentially long silent carrier states; the emerging evidence that transfusion is an independent risk factor for adverse outcomes; and finally, a lack of evidence for benefit of transfusion for the vast majority of recipients.", "author" : [ { "dropping-particle" : "", "family" : "Hofmann", "given" : "Axel", "non-dropping-particle" : "", "parse-names" : false, "suffix" : "" }, { "dropping-particle" : "", "family" : "Farmer", "given" : "Shannon", "non-dropping-particle" : "", "parse-names" : false, "suffix" : "" }, { "dropping-particle" : "", "family" : "Shander", "given" : "Aryeh", "non-dropping-particle" : "", "parse-names" : false, "suffix" : "" } ], "container-title" : "The oncologist", "id" : "ITEM-1", "issued" : { "date-parts" : [ [ "2011" ] ] }, "page" : "3-11", "title" : "Five drivers shifting the paradigm from product-focused transfusion practice to patient blood management.", "type" : "article-journal", "volume" : "16 Suppl 3" }, "uris" : [ "http://www.mendeley.com/documents/?uuid=3a94e34c-9f7b-496c-af50-99a9cf529f48" ] }, { "id" : "ITEM-2", "itemData" : { "DOI" : "10.1097/ACO.0b013e32834eb726", "abstract" : "PURPOSE OF REVIEW: Evidence-based patient blood management (PBM) is aimed at achieving better patient outcomes by relying on a patient's own blood rather than on donor blood. This review covers the rationale behind PBM, the treatment modalities involved and the drivers to adopt PBM as a new standard of care. RECENT FINDINGS: Transfusion rates vary significantly between comparable countries; they also vary between centers for matched patients in standardized elective surgical interventions. Preoperative anemia, perioperative blood loss and liberal transfusion triggers are the main predictors for transfusion and pose risks to the patient. PBM is mitigating these risks by optimizing the patient's native red cell mass, minimizing blood loss, optimizing the physiological reserve of anemia and preempting transfusions. A growing number of studies show that transfusion is associated in a dose-dependent relationship with increased morbidity, mortality and hospital length of stay. Evidence suggests that this relationship is not merely associative but causal. Furthermore, the over-ageing population of the developed world leads to a growing gap between supply and demand of blood, the safety of donor blood remains unpredictable and the cost of transfusion is much higher than previously estimated. SUMMARY: High transfusion variability, adverse transfusion outcomes, limited evidence for the benefit of transfusion particularly in elective patients and high cost of transfusion are challenging the traditional transfusion paradigm. National and state-wide initiatives are underway in Australia to broadly implement PBM and PBM programs as a new and cost-effective standard of care in the public health system.", "author" : [ { "dropping-particle" : "", "family" : "Hofmann", "given" : "Axel", "non-dropping-particle" : "", "parse-names" : false, "suffix" : "" }, { "dropping-particle" : "", "family" : "Farmer", "given" : "Shannon", "non-dropping-particle" : "", "parse-names" : false, "suffix" : "" }, { "dropping-particle" : "", "family" : "Towler", "given" : "Simon C", "non-dropping-particle" : "", "parse-names" : false, "suffix" : "" } ], "container-title" : "Current opinion in anaesthesiology", "id" : "ITEM-2", "issue" : "1", "issued" : { "date-parts" : [ [ "2012" ] ] }, "page" : "66-73", "title" : "Strategies to preempt and reduce the use of blood products: an Australian perspective.", "type" : "article-journal", "volume" : "25" }, "uris" : [ "http://www.mendeley.com/documents/?uuid=bd9ad883-c5dd-465f-bd70-928259714a47" ] } ], "mendeley" : { "previouslyFormattedCitation" : "&lt;sup&gt;11,12&lt;/sup&gt;" }, "properties" : { "noteIndex" : 0 }, "schema" : "https://github.com/citation-style-language/schema/raw/master/csl-citation.json" }</w:instrText>
      </w:r>
      <w:r w:rsidR="00FE0FD8" w:rsidRPr="00144C52">
        <w:rPr>
          <w:rFonts w:asciiTheme="minorHAnsi" w:eastAsiaTheme="minorHAnsi" w:hAnsiTheme="minorHAnsi" w:cstheme="minorHAnsi"/>
          <w:sz w:val="21"/>
          <w:szCs w:val="21"/>
        </w:rPr>
        <w:fldChar w:fldCharType="separate"/>
      </w:r>
      <w:r w:rsidR="00F76B75" w:rsidRPr="00144C52">
        <w:rPr>
          <w:rFonts w:asciiTheme="minorHAnsi" w:eastAsiaTheme="minorHAnsi" w:hAnsiTheme="minorHAnsi" w:cstheme="minorHAnsi"/>
          <w:noProof/>
          <w:sz w:val="21"/>
          <w:szCs w:val="21"/>
          <w:vertAlign w:val="superscript"/>
        </w:rPr>
        <w:t>11,12</w:t>
      </w:r>
      <w:r w:rsidR="00FE0FD8" w:rsidRPr="00144C52">
        <w:rPr>
          <w:rFonts w:asciiTheme="minorHAnsi" w:eastAsiaTheme="minorHAnsi" w:hAnsiTheme="minorHAnsi" w:cstheme="minorHAnsi"/>
          <w:sz w:val="21"/>
          <w:szCs w:val="21"/>
        </w:rPr>
        <w:fldChar w:fldCharType="end"/>
      </w:r>
      <w:r w:rsidRPr="00144C52">
        <w:rPr>
          <w:rFonts w:asciiTheme="minorHAnsi" w:eastAsiaTheme="minorHAnsi" w:hAnsiTheme="minorHAnsi" w:cstheme="minorHAnsi"/>
          <w:sz w:val="21"/>
          <w:szCs w:val="21"/>
        </w:rPr>
        <w:t xml:space="preserve"> </w:t>
      </w:r>
      <w:r w:rsidR="004E59C2" w:rsidRPr="00144C52">
        <w:rPr>
          <w:rFonts w:asciiTheme="minorHAnsi" w:eastAsiaTheme="minorHAnsi" w:hAnsiTheme="minorHAnsi" w:cstheme="minorHAnsi"/>
          <w:sz w:val="21"/>
          <w:szCs w:val="21"/>
        </w:rPr>
        <w:t>S</w:t>
      </w:r>
      <w:r w:rsidRPr="00144C52">
        <w:rPr>
          <w:rFonts w:asciiTheme="minorHAnsi" w:eastAsiaTheme="minorHAnsi" w:hAnsiTheme="minorHAnsi" w:cstheme="minorHAnsi"/>
          <w:sz w:val="21"/>
          <w:szCs w:val="21"/>
        </w:rPr>
        <w:t xml:space="preserve">ingle unit transfusions are </w:t>
      </w:r>
      <w:r w:rsidR="0068126A" w:rsidRPr="00144C52">
        <w:rPr>
          <w:rFonts w:asciiTheme="minorHAnsi" w:eastAsiaTheme="minorHAnsi" w:hAnsiTheme="minorHAnsi" w:cstheme="minorHAnsi"/>
          <w:sz w:val="21"/>
          <w:szCs w:val="21"/>
        </w:rPr>
        <w:t xml:space="preserve">appropriate </w:t>
      </w:r>
      <w:r w:rsidRPr="00144C52">
        <w:rPr>
          <w:rFonts w:asciiTheme="minorHAnsi" w:eastAsiaTheme="minorHAnsi" w:hAnsiTheme="minorHAnsi" w:cstheme="minorHAnsi"/>
          <w:sz w:val="21"/>
          <w:szCs w:val="21"/>
        </w:rPr>
        <w:t xml:space="preserve">in patients who </w:t>
      </w:r>
      <w:r w:rsidR="00865E40" w:rsidRPr="00144C52">
        <w:rPr>
          <w:rFonts w:asciiTheme="minorHAnsi" w:eastAsiaTheme="minorHAnsi" w:hAnsiTheme="minorHAnsi" w:cstheme="minorHAnsi"/>
          <w:sz w:val="21"/>
          <w:szCs w:val="21"/>
        </w:rPr>
        <w:t xml:space="preserve">do not have clinically significant </w:t>
      </w:r>
      <w:r w:rsidRPr="00144C52">
        <w:rPr>
          <w:rFonts w:asciiTheme="minorHAnsi" w:eastAsiaTheme="minorHAnsi" w:hAnsiTheme="minorHAnsi" w:cstheme="minorHAnsi"/>
          <w:sz w:val="21"/>
          <w:szCs w:val="21"/>
        </w:rPr>
        <w:t>bleeding and reduce risk.</w:t>
      </w:r>
      <w:r w:rsidR="00FE0FD8" w:rsidRPr="00144C52">
        <w:rPr>
          <w:rFonts w:asciiTheme="minorHAnsi" w:eastAsiaTheme="minorHAnsi" w:hAnsiTheme="minorHAnsi" w:cstheme="minorHAnsi"/>
          <w:sz w:val="21"/>
          <w:szCs w:val="21"/>
        </w:rPr>
        <w:fldChar w:fldCharType="begin" w:fldLock="1"/>
      </w:r>
      <w:r w:rsidR="00F76B75" w:rsidRPr="00144C52">
        <w:rPr>
          <w:rFonts w:asciiTheme="minorHAnsi" w:eastAsiaTheme="minorHAnsi" w:hAnsiTheme="minorHAnsi" w:cstheme="minorHAnsi"/>
          <w:sz w:val="21"/>
          <w:szCs w:val="21"/>
        </w:rPr>
        <w:instrText>ADDIN CSL_CITATION { "citationItems" : [ { "id" : "ITEM-1", "itemData" : { "author" : [ { "dropping-particle" : "", "family" : "The British Committee for Standards in Haematology", "given" : "", "non-dropping-particle" : "", "parse-names" : false, "suffix" : "" } ], "id" : "ITEM-1", "issue" : "August", "issued" : { "date-parts" : [ [ "2012" ] ] }, "page" : "1-4", "title" : "Guidelines on the Administration of Blood Components. Addendum to Administration of Blood Components, August 2012", "type" : "article-journal" }, "uris" : [ "http://www.mendeley.com/documents/?uuid=57a24f16-b5f2-461f-b1a8-01a5254b1f19" ] }, { "id" : "ITEM-2", "itemData" : { "DOI" : "10.1002/14651858.CD002042.pub3", "abstract" : "BACKGROUND: Most clinical practice guidelines recommend restrictive red cell transfusion practices, with the goal of minimising exposure to allogeneic blood. The purpose of this review is to compare clinical outcomes in patients randomised to restrictive versus liberal transfusion thresholds (triggers).\n\nOBJECTIVES: To examine the evidence for the effect of transfusion thresholds on the use of allogeneic and/or autologous red cell transfusion, and the evidence for any effect on clinical outcomes.\n\nSEARCH METHODS: We identified trials by searching; The Cochrane Injuries Group Specialised Register (searched 01 Feb 2011), Cochrane Central Register of Controlled Trials 2011, issue 1 (The Cochrane Library), MEDLINE (Ovid) 1948 to January Week 3 2011, EMBASE (Ovid) 1980 to 2011 (Week 04), ISI Web of Science: Science Citation Index Expanded (1970 to Feb 2011), ISI Web of Science: Conference Proceedings Citation Index- Science (1990 to Feb 2011). We checked reference lists of other published reviews and relevant papers to identify any additional trials.\n\nSELECTION CRITERIA: Controlled trials in which patients were randomised to an intervention group or to a control group. Trials were included where intervention groups were assigned on the basis of a clear transfusion 'trigger', described as a haemoglobin (Hb) or haematocrit (Hct) level below which a red blood cell (RBC) transfusion was to be administered.\n\nDATA COLLECTION AND ANALYSIS: Risk ratios of requiring allogeneic blood transfusion, transfused blood volumes and other clinical outcomes were pooled across trials, using a random effects model. Data extraction and assessment of the risk of bias was performed by two people.\n\nMAIN RESULTS: Nineteen trials involving a total of 6264 patients were identified, and were similar enough that the results could be combined. Restrictive transfusion strategies reduced the risk of receiving a RBC transfusion by 39% (RR 0.61, 95% CI 0.52 to 0.72). This equates to an average absolute risk reduction (ARR) of 34% (95% CI 24% to 45%). The volume of RBCs transfused was reduced on average by 1.19 units (95% CI 0.53 to 1.85 units). However, heterogeneity between trials was statistically significant (P&lt;0.00001; I(2)\u226593%) for these outcomes. Restrictive transfusion strategies did not appear to impact the rate of adverse events compared to liberal transfusion strategies (i.e. mortality, cardiac events, myocardial infarction, stroke, pneumonia and thromboembolism). Restrictive transf\u2026", "author" : [ { "dropping-particle" : "", "family" : "Carson", "given" : "Jeffrey L", "non-dropping-particle" : "", "parse-names" : false, "suffix" : "" }, { "dropping-particle" : "", "family" : "Carless", "given" : "Paul a", "non-dropping-particle" : "", "parse-names" : false, "suffix" : "" }, { "dropping-particle" : "", "family" : "Hebert", "given" : "Paul C", "non-dropping-particle" : "", "parse-names" : false, "suffix" : "" } ], "container-title" : "The Cochrane database of systematic reviews", "id" : "ITEM-2", "issue" : "1", "issued" : { "date-parts" : [ [ "2012", "1" ] ] }, "page" : "CD002042", "title" : "Transfusion thresholds and other strategies for guiding allogeneic red blood cell transfusion.", "type" : "article-journal", "volume" : "4" }, "uris" : [ "http://www.mendeley.com/documents/?uuid=40e56cac-2714-466c-8f42-7cedb9f17339" ] }, { "id" : "ITEM-3", "itemData" : { "author" : [ { "dropping-particle" : "", "family" : "Webert", "given" : "Kathryn E", "non-dropping-particle" : "", "parse-names" : false, "suffix" : "" }, { "dropping-particle" : "", "family" : "Arnold", "given" : "Donald M", "non-dropping-particle" : "", "parse-names" : false, "suffix" : "" }, { "dropping-particle" : "", "family" : "Lui", "given" : "Yang", "non-dropping-particle" : "", "parse-names" : false, "suffix" : "" }, { "dropping-particle" : "", "family" : "Carruthers", "given" : "Julie", "non-dropping-particle" : "", "parse-names" : false, "suffix" : "" }, { "dropping-particle" : "", "family" : "Arnold", "given" : "Emmy", "non-dropping-particle" : "", "parse-names" : false, "suffix" : "" }, { "dropping-particle" : "", "family" : "Heddle", "given" : "Nancy M", "non-dropping-particle" : "", "parse-names" : false, "suffix" : "" } ], "container-title" : "Transfusion Practice", "id" : "ITEM-3", "issue" : "November", "issued" : { "date-parts" : [ [ "2012" ] ] }, "page" : "2466-2474", "title" : "A new tool to assess bleeding severity in patients with chemotherapy-induced thrmbocytopaenia", "type" : "article-journal", "volume" : "52" }, "uris" : [ "http://www.mendeley.com/documents/?uuid=562c39d6-8041-4e1e-a9c8-0be872a1e516" ] } ], "mendeley" : { "previouslyFormattedCitation" : "&lt;sup&gt;3,15,16&lt;/sup&gt;" }, "properties" : { "noteIndex" : 0 }, "schema" : "https://github.com/citation-style-language/schema/raw/master/csl-citation.json" }</w:instrText>
      </w:r>
      <w:r w:rsidR="00FE0FD8" w:rsidRPr="00144C52">
        <w:rPr>
          <w:rFonts w:asciiTheme="minorHAnsi" w:eastAsiaTheme="minorHAnsi" w:hAnsiTheme="minorHAnsi" w:cstheme="minorHAnsi"/>
          <w:sz w:val="21"/>
          <w:szCs w:val="21"/>
        </w:rPr>
        <w:fldChar w:fldCharType="separate"/>
      </w:r>
      <w:r w:rsidR="00F76B75" w:rsidRPr="00144C52">
        <w:rPr>
          <w:rFonts w:asciiTheme="minorHAnsi" w:eastAsiaTheme="minorHAnsi" w:hAnsiTheme="minorHAnsi" w:cstheme="minorHAnsi"/>
          <w:noProof/>
          <w:sz w:val="21"/>
          <w:szCs w:val="21"/>
          <w:vertAlign w:val="superscript"/>
        </w:rPr>
        <w:t>3,15,16</w:t>
      </w:r>
      <w:r w:rsidR="00FE0FD8" w:rsidRPr="00144C52">
        <w:rPr>
          <w:rFonts w:asciiTheme="minorHAnsi" w:eastAsiaTheme="minorHAnsi" w:hAnsiTheme="minorHAnsi" w:cstheme="minorHAnsi"/>
          <w:sz w:val="21"/>
          <w:szCs w:val="21"/>
        </w:rPr>
        <w:fldChar w:fldCharType="end"/>
      </w:r>
    </w:p>
    <w:p w:rsidR="00DE70B0" w:rsidRPr="00144C52" w:rsidRDefault="00DE70B0" w:rsidP="000E418A">
      <w:pPr>
        <w:pStyle w:val="Heading4"/>
        <w:spacing w:before="240" w:line="276" w:lineRule="auto"/>
        <w:ind w:left="-284"/>
        <w:rPr>
          <w:sz w:val="21"/>
          <w:szCs w:val="21"/>
        </w:rPr>
      </w:pPr>
      <w:r w:rsidRPr="00144C52">
        <w:rPr>
          <w:sz w:val="21"/>
          <w:szCs w:val="21"/>
        </w:rPr>
        <w:t>RECOMMENDATION:</w:t>
      </w:r>
    </w:p>
    <w:p w:rsidR="00E83CB9" w:rsidRPr="00144C52" w:rsidRDefault="00E83CB9" w:rsidP="000E418A">
      <w:pPr>
        <w:spacing w:after="120" w:line="276" w:lineRule="auto"/>
        <w:ind w:left="-284"/>
        <w:rPr>
          <w:rFonts w:asciiTheme="minorHAnsi" w:eastAsiaTheme="minorHAnsi" w:hAnsiTheme="minorHAnsi" w:cstheme="minorHAnsi"/>
          <w:sz w:val="21"/>
          <w:szCs w:val="21"/>
          <w:lang w:val="en-GB"/>
        </w:rPr>
      </w:pPr>
      <w:r w:rsidRPr="00144C52">
        <w:rPr>
          <w:rFonts w:asciiTheme="minorHAnsi" w:eastAsiaTheme="minorHAnsi" w:hAnsiTheme="minorHAnsi" w:cstheme="minorHAnsi"/>
          <w:sz w:val="21"/>
          <w:szCs w:val="21"/>
        </w:rPr>
        <w:t xml:space="preserve">Obtain informed </w:t>
      </w:r>
      <w:r w:rsidRPr="00144C52">
        <w:rPr>
          <w:rFonts w:asciiTheme="minorHAnsi" w:eastAsiaTheme="minorHAnsi" w:hAnsiTheme="minorHAnsi" w:cstheme="minorHAnsi"/>
          <w:sz w:val="21"/>
          <w:szCs w:val="21"/>
          <w:lang w:val="en-GB"/>
        </w:rPr>
        <w:t xml:space="preserve">consent from the patient or responsible person/guardian prior to prescribing a red blood cell transfusion. </w:t>
      </w:r>
    </w:p>
    <w:p w:rsidR="00E83CB9" w:rsidRPr="00144C52" w:rsidRDefault="00E83CB9" w:rsidP="000E418A">
      <w:pPr>
        <w:spacing w:after="120" w:line="276" w:lineRule="auto"/>
        <w:ind w:left="-284"/>
        <w:rPr>
          <w:rFonts w:asciiTheme="minorHAnsi" w:eastAsiaTheme="minorHAnsi" w:hAnsiTheme="minorHAnsi" w:cstheme="minorHAnsi"/>
          <w:sz w:val="21"/>
          <w:szCs w:val="21"/>
        </w:rPr>
      </w:pPr>
      <w:r w:rsidRPr="00144C52">
        <w:rPr>
          <w:rFonts w:asciiTheme="minorHAnsi" w:eastAsiaTheme="minorHAnsi" w:hAnsiTheme="minorHAnsi" w:cstheme="minorHAnsi"/>
          <w:sz w:val="21"/>
          <w:szCs w:val="21"/>
        </w:rPr>
        <w:t>Ensure the safety and efficacy of red blood cell transfusion by confirming every unit transfused is a</w:t>
      </w:r>
      <w:r w:rsidR="00FD6566">
        <w:rPr>
          <w:rFonts w:asciiTheme="minorHAnsi" w:eastAsiaTheme="minorHAnsi" w:hAnsiTheme="minorHAnsi" w:cstheme="minorHAnsi"/>
          <w:sz w:val="21"/>
          <w:szCs w:val="21"/>
        </w:rPr>
        <w:t>n</w:t>
      </w:r>
      <w:r w:rsidRPr="00144C52">
        <w:rPr>
          <w:rFonts w:asciiTheme="minorHAnsi" w:eastAsiaTheme="minorHAnsi" w:hAnsiTheme="minorHAnsi" w:cstheme="minorHAnsi"/>
          <w:sz w:val="21"/>
          <w:szCs w:val="21"/>
        </w:rPr>
        <w:t xml:space="preserve"> </w:t>
      </w:r>
      <w:r w:rsidR="00144C52" w:rsidRPr="00144C52">
        <w:rPr>
          <w:rFonts w:asciiTheme="minorHAnsi" w:eastAsiaTheme="minorHAnsi" w:hAnsiTheme="minorHAnsi" w:cstheme="minorHAnsi"/>
          <w:sz w:val="21"/>
          <w:szCs w:val="21"/>
        </w:rPr>
        <w:t xml:space="preserve">independent </w:t>
      </w:r>
      <w:r w:rsidRPr="00144C52">
        <w:rPr>
          <w:rFonts w:asciiTheme="minorHAnsi" w:eastAsiaTheme="minorHAnsi" w:hAnsiTheme="minorHAnsi" w:cstheme="minorHAnsi"/>
          <w:sz w:val="21"/>
          <w:szCs w:val="21"/>
        </w:rPr>
        <w:t>clinical decision where the expected benefit outweighs the risks</w:t>
      </w:r>
      <w:r w:rsidR="00144C52" w:rsidRPr="00144C52">
        <w:rPr>
          <w:rFonts w:asciiTheme="minorHAnsi" w:eastAsiaTheme="minorHAnsi" w:hAnsiTheme="minorHAnsi" w:cstheme="minorHAnsi"/>
          <w:sz w:val="21"/>
          <w:szCs w:val="21"/>
        </w:rPr>
        <w:t xml:space="preserve"> and alternatives have been considered.</w:t>
      </w:r>
    </w:p>
    <w:p w:rsidR="00E83CB9" w:rsidRDefault="00E83CB9" w:rsidP="000E418A">
      <w:pPr>
        <w:ind w:left="-284"/>
      </w:pPr>
      <w:r w:rsidRPr="00144C52">
        <w:rPr>
          <w:rFonts w:asciiTheme="minorHAnsi" w:eastAsiaTheme="minorHAnsi" w:hAnsiTheme="minorHAnsi" w:cstheme="minorHAnsi"/>
          <w:sz w:val="21"/>
          <w:szCs w:val="21"/>
        </w:rPr>
        <w:t xml:space="preserve">Where indicated, transfuse a single unit of red blood cells, then clinically reassess the patient to determine if further transfusion is required. Transfusion should not be based on haemoglobin level alone but should also </w:t>
      </w:r>
      <w:r w:rsidR="00FD6566">
        <w:rPr>
          <w:rFonts w:asciiTheme="minorHAnsi" w:eastAsiaTheme="minorHAnsi" w:hAnsiTheme="minorHAnsi" w:cstheme="minorHAnsi"/>
          <w:sz w:val="21"/>
          <w:szCs w:val="21"/>
        </w:rPr>
        <w:t xml:space="preserve">be based </w:t>
      </w:r>
      <w:r w:rsidRPr="00144C52">
        <w:rPr>
          <w:rFonts w:asciiTheme="minorHAnsi" w:eastAsiaTheme="minorHAnsi" w:hAnsiTheme="minorHAnsi" w:cstheme="minorHAnsi"/>
          <w:sz w:val="21"/>
          <w:szCs w:val="21"/>
        </w:rPr>
        <w:t xml:space="preserve">on </w:t>
      </w:r>
      <w:r w:rsidR="00FD6566">
        <w:rPr>
          <w:rFonts w:asciiTheme="minorHAnsi" w:eastAsiaTheme="minorHAnsi" w:hAnsiTheme="minorHAnsi" w:cstheme="minorHAnsi"/>
          <w:sz w:val="21"/>
          <w:szCs w:val="21"/>
        </w:rPr>
        <w:t xml:space="preserve">an </w:t>
      </w:r>
      <w:r w:rsidRPr="00144C52">
        <w:rPr>
          <w:rFonts w:asciiTheme="minorHAnsi" w:eastAsiaTheme="minorHAnsi" w:hAnsiTheme="minorHAnsi" w:cstheme="minorHAnsi"/>
          <w:sz w:val="21"/>
          <w:szCs w:val="21"/>
        </w:rPr>
        <w:t>assessment of the patient’s clinical status.</w:t>
      </w:r>
      <w:r w:rsidR="00F76B75" w:rsidRPr="00144C52">
        <w:rPr>
          <w:rFonts w:asciiTheme="minorHAnsi" w:eastAsiaTheme="minorHAnsi" w:hAnsiTheme="minorHAnsi" w:cstheme="minorHAnsi"/>
          <w:sz w:val="21"/>
          <w:szCs w:val="21"/>
          <w:vertAlign w:val="superscript"/>
        </w:rPr>
        <w:fldChar w:fldCharType="begin" w:fldLock="1"/>
      </w:r>
      <w:r w:rsidR="00F76B75" w:rsidRPr="00144C52">
        <w:rPr>
          <w:rFonts w:asciiTheme="minorHAnsi" w:eastAsiaTheme="minorHAnsi" w:hAnsiTheme="minorHAnsi" w:cstheme="minorHAnsi"/>
          <w:sz w:val="21"/>
          <w:szCs w:val="21"/>
          <w:vertAlign w:val="superscript"/>
        </w:rPr>
        <w:instrText>ADDIN CSL_CITATION { "citationItems" : [ { "id" : "ITEM-1", "itemData" : { "author" : [ { "dropping-particle" : "", "family" : "National Blood Authority", "given" : "", "non-dropping-particle" : "", "parse-names" : false, "suffix" : "" } ], "id" : "ITEM-1", "issued" : { "date-parts" : [ [ "2012" ] ] }, "publisher" : "National Blood Authority", "publisher-place" : "Canberra, Australia", "title" : "Patient blood management guidelines: Module 3 \u2013 Medical", "type" : "book" }, "uris" : [ "http://www.mendeley.com/documents/?uuid=0b45fa2d-24ab-49d5-a0df-007d328f5e3b" ] }, { "id" : "ITEM-2", "itemData" : { "author" : [ { "dropping-particle" : "", "family" : "National Blood Authority", "given" : "", "non-dropping-particle" : "", "parse-names" : false, "suffix" : "" } ], "id" : "ITEM-2", "issued" : { "date-parts" : [ [ "2013" ] ] }, "publisher-place" : "Canberra, Australia", "title" : "Patient blood management guidelines: Module 4 \u2013 Critical Care", "type" : "book" }, "uris" : [ "http://www.mendeley.com/documents/?uuid=ea39fd74-ab5a-47df-93c5-ce717f8041eb" ] } ], "mendeley" : { "previouslyFormattedCitation" : "&lt;sup&gt;1,2&lt;/sup&gt;" }, "properties" : { "noteIndex" : 0 }, "schema" : "https://github.com/citation-style-language/schema/raw/master/csl-citation.json" }</w:instrText>
      </w:r>
      <w:r w:rsidR="00F76B75" w:rsidRPr="00144C52">
        <w:rPr>
          <w:rFonts w:asciiTheme="minorHAnsi" w:eastAsiaTheme="minorHAnsi" w:hAnsiTheme="minorHAnsi" w:cstheme="minorHAnsi"/>
          <w:sz w:val="21"/>
          <w:szCs w:val="21"/>
          <w:vertAlign w:val="superscript"/>
        </w:rPr>
        <w:fldChar w:fldCharType="separate"/>
      </w:r>
      <w:r w:rsidR="00F76B75" w:rsidRPr="00144C52">
        <w:rPr>
          <w:rFonts w:asciiTheme="minorHAnsi" w:eastAsiaTheme="minorHAnsi" w:hAnsiTheme="minorHAnsi" w:cstheme="minorHAnsi"/>
          <w:noProof/>
          <w:sz w:val="21"/>
          <w:szCs w:val="21"/>
          <w:vertAlign w:val="superscript"/>
        </w:rPr>
        <w:t>1,2</w:t>
      </w:r>
      <w:r w:rsidR="00F76B75" w:rsidRPr="00144C52">
        <w:rPr>
          <w:rFonts w:asciiTheme="minorHAnsi" w:eastAsiaTheme="minorHAnsi" w:hAnsiTheme="minorHAnsi" w:cstheme="minorHAnsi"/>
          <w:sz w:val="21"/>
          <w:szCs w:val="21"/>
          <w:vertAlign w:val="superscript"/>
        </w:rPr>
        <w:fldChar w:fldCharType="end"/>
      </w:r>
      <w:r w:rsidRPr="000E418A">
        <w:rPr>
          <w:rFonts w:asciiTheme="minorHAnsi" w:eastAsiaTheme="minorHAnsi" w:hAnsiTheme="minorHAnsi" w:cstheme="minorHAnsi"/>
          <w:sz w:val="21"/>
          <w:szCs w:val="21"/>
        </w:rPr>
        <w:t xml:space="preserve"> </w:t>
      </w:r>
      <w:r>
        <w:br w:type="page"/>
      </w:r>
    </w:p>
    <w:p w:rsidR="00DE70B0" w:rsidRPr="00B554E2" w:rsidRDefault="00DE70B0" w:rsidP="00B554E2">
      <w:pPr>
        <w:spacing w:after="120" w:line="276" w:lineRule="auto"/>
        <w:ind w:left="-284"/>
        <w:rPr>
          <w:rFonts w:asciiTheme="minorHAnsi" w:eastAsiaTheme="minorHAnsi" w:hAnsiTheme="minorHAnsi" w:cstheme="minorHAnsi"/>
          <w:sz w:val="21"/>
          <w:szCs w:val="21"/>
        </w:rPr>
      </w:pPr>
    </w:p>
    <w:p w:rsidR="00DE70B0" w:rsidRDefault="00DE70B0" w:rsidP="00DE70B0">
      <w:pPr>
        <w:pStyle w:val="Heading4"/>
      </w:pPr>
      <w:r w:rsidRPr="00DE70B0">
        <w:t>R</w:t>
      </w:r>
      <w:r>
        <w:t>EFERENCES</w:t>
      </w:r>
      <w:r w:rsidRPr="00DE70B0">
        <w:t>:</w:t>
      </w:r>
    </w:p>
    <w:p w:rsidR="00F76B75" w:rsidRPr="00F76B75" w:rsidRDefault="00FE0FD8">
      <w:pPr>
        <w:pStyle w:val="NormalWeb"/>
        <w:ind w:left="640" w:hanging="640"/>
        <w:divId w:val="487550509"/>
        <w:rPr>
          <w:rFonts w:ascii="Calibri" w:hAnsi="Calibri" w:cs="Calibri"/>
          <w:noProof/>
          <w:sz w:val="20"/>
        </w:rPr>
      </w:pPr>
      <w:r w:rsidRPr="006F33B5">
        <w:rPr>
          <w:rFonts w:asciiTheme="minorHAnsi" w:hAnsiTheme="minorHAnsi" w:cstheme="minorHAnsi"/>
          <w:sz w:val="21"/>
          <w:szCs w:val="21"/>
        </w:rPr>
        <w:fldChar w:fldCharType="begin" w:fldLock="1"/>
      </w:r>
      <w:r w:rsidRPr="006F33B5">
        <w:rPr>
          <w:rFonts w:asciiTheme="minorHAnsi" w:hAnsiTheme="minorHAnsi" w:cstheme="minorHAnsi"/>
          <w:sz w:val="21"/>
          <w:szCs w:val="21"/>
        </w:rPr>
        <w:instrText xml:space="preserve">ADDIN Mendeley Bibliography CSL_BIBLIOGRAPHY </w:instrText>
      </w:r>
      <w:r w:rsidRPr="006F33B5">
        <w:rPr>
          <w:rFonts w:asciiTheme="minorHAnsi" w:hAnsiTheme="minorHAnsi" w:cstheme="minorHAnsi"/>
          <w:sz w:val="21"/>
          <w:szCs w:val="21"/>
        </w:rPr>
        <w:fldChar w:fldCharType="separate"/>
      </w:r>
      <w:r w:rsidR="00F76B75" w:rsidRPr="00F76B75">
        <w:rPr>
          <w:rFonts w:ascii="Calibri" w:hAnsi="Calibri" w:cs="Calibri"/>
          <w:noProof/>
          <w:sz w:val="20"/>
        </w:rPr>
        <w:t>1.</w:t>
      </w:r>
      <w:r w:rsidR="00F76B75" w:rsidRPr="00F76B75">
        <w:rPr>
          <w:rFonts w:ascii="Calibri" w:hAnsi="Calibri" w:cs="Calibri"/>
          <w:noProof/>
          <w:sz w:val="20"/>
        </w:rPr>
        <w:tab/>
        <w:t xml:space="preserve">National Blood Authority </w:t>
      </w:r>
      <w:r w:rsidR="00F76B75" w:rsidRPr="00F76B75">
        <w:rPr>
          <w:rFonts w:ascii="Calibri" w:hAnsi="Calibri" w:cs="Calibri"/>
          <w:i/>
          <w:iCs/>
          <w:noProof/>
          <w:sz w:val="20"/>
        </w:rPr>
        <w:t>Patient blood management guidelines: Module 3 – Medical</w:t>
      </w:r>
      <w:r w:rsidR="00F76B75" w:rsidRPr="00F76B75">
        <w:rPr>
          <w:rFonts w:ascii="Calibri" w:hAnsi="Calibri" w:cs="Calibri"/>
          <w:noProof/>
          <w:sz w:val="20"/>
        </w:rPr>
        <w:t>. (National Blood Authority: Canberra, Australia, 2012).at &lt;</w:t>
      </w:r>
      <w:hyperlink r:id="rId9" w:history="1">
        <w:r w:rsidR="00F76B75" w:rsidRPr="007A7E0F">
          <w:rPr>
            <w:rStyle w:val="Hyperlink"/>
            <w:rFonts w:ascii="Calibri" w:hAnsi="Calibri" w:cs="Calibri"/>
            <w:noProof/>
            <w:sz w:val="20"/>
          </w:rPr>
          <w:t>http://www.blood.gov.au/pbm-guidelines</w:t>
        </w:r>
      </w:hyperlink>
      <w:r w:rsidR="00F76B75" w:rsidRPr="00F76B75">
        <w:rPr>
          <w:rFonts w:ascii="Calibri" w:hAnsi="Calibri" w:cs="Calibri"/>
          <w:noProof/>
          <w:sz w:val="20"/>
        </w:rPr>
        <w:t>&gt;</w:t>
      </w:r>
    </w:p>
    <w:p w:rsidR="00F76B75" w:rsidRPr="00F76B75" w:rsidRDefault="00F76B75">
      <w:pPr>
        <w:pStyle w:val="NormalWeb"/>
        <w:ind w:left="640" w:hanging="640"/>
        <w:divId w:val="487550509"/>
        <w:rPr>
          <w:rFonts w:ascii="Calibri" w:hAnsi="Calibri" w:cs="Calibri"/>
          <w:noProof/>
          <w:sz w:val="20"/>
        </w:rPr>
      </w:pPr>
      <w:r w:rsidRPr="00F76B75">
        <w:rPr>
          <w:rFonts w:ascii="Calibri" w:hAnsi="Calibri" w:cs="Calibri"/>
          <w:noProof/>
          <w:sz w:val="20"/>
        </w:rPr>
        <w:t>2.</w:t>
      </w:r>
      <w:r w:rsidRPr="00F76B75">
        <w:rPr>
          <w:rFonts w:ascii="Calibri" w:hAnsi="Calibri" w:cs="Calibri"/>
          <w:noProof/>
          <w:sz w:val="20"/>
        </w:rPr>
        <w:tab/>
        <w:t xml:space="preserve">National Blood Authority </w:t>
      </w:r>
      <w:r w:rsidRPr="00F76B75">
        <w:rPr>
          <w:rFonts w:ascii="Calibri" w:hAnsi="Calibri" w:cs="Calibri"/>
          <w:i/>
          <w:iCs/>
          <w:noProof/>
          <w:sz w:val="20"/>
        </w:rPr>
        <w:t>Patient blood management guidelines: Module 4 – Critical Care</w:t>
      </w:r>
      <w:r w:rsidRPr="00F76B75">
        <w:rPr>
          <w:rFonts w:ascii="Calibri" w:hAnsi="Calibri" w:cs="Calibri"/>
          <w:noProof/>
          <w:sz w:val="20"/>
        </w:rPr>
        <w:t>. (Canberra, Australia, 2013).at &lt;</w:t>
      </w:r>
      <w:hyperlink r:id="rId10" w:history="1">
        <w:r w:rsidRPr="007A7E0F">
          <w:rPr>
            <w:rStyle w:val="Hyperlink"/>
            <w:rFonts w:ascii="Calibri" w:hAnsi="Calibri" w:cs="Calibri"/>
            <w:noProof/>
            <w:sz w:val="20"/>
          </w:rPr>
          <w:t>http://www.blood.gov.au/pbm-guidelines</w:t>
        </w:r>
      </w:hyperlink>
      <w:r w:rsidRPr="00F76B75">
        <w:rPr>
          <w:rFonts w:ascii="Calibri" w:hAnsi="Calibri" w:cs="Calibri"/>
          <w:noProof/>
          <w:sz w:val="20"/>
        </w:rPr>
        <w:t>&gt;</w:t>
      </w:r>
    </w:p>
    <w:p w:rsidR="00F76B75" w:rsidRPr="00F76B75" w:rsidRDefault="00F76B75">
      <w:pPr>
        <w:pStyle w:val="NormalWeb"/>
        <w:ind w:left="640" w:hanging="640"/>
        <w:divId w:val="487550509"/>
        <w:rPr>
          <w:rFonts w:ascii="Calibri" w:hAnsi="Calibri" w:cs="Calibri"/>
          <w:noProof/>
          <w:sz w:val="20"/>
        </w:rPr>
      </w:pPr>
      <w:r w:rsidRPr="00F76B75">
        <w:rPr>
          <w:rFonts w:ascii="Calibri" w:hAnsi="Calibri" w:cs="Calibri"/>
          <w:noProof/>
          <w:sz w:val="20"/>
        </w:rPr>
        <w:t>3.</w:t>
      </w:r>
      <w:r w:rsidRPr="00F76B75">
        <w:rPr>
          <w:rFonts w:ascii="Calibri" w:hAnsi="Calibri" w:cs="Calibri"/>
          <w:noProof/>
          <w:sz w:val="20"/>
        </w:rPr>
        <w:tab/>
        <w:t xml:space="preserve">Webert, K. E. </w:t>
      </w:r>
      <w:r w:rsidRPr="00F76B75">
        <w:rPr>
          <w:rFonts w:ascii="Calibri" w:hAnsi="Calibri" w:cs="Calibri"/>
          <w:i/>
          <w:iCs/>
          <w:noProof/>
          <w:sz w:val="20"/>
        </w:rPr>
        <w:t>et al.</w:t>
      </w:r>
      <w:r w:rsidRPr="00F76B75">
        <w:rPr>
          <w:rFonts w:ascii="Calibri" w:hAnsi="Calibri" w:cs="Calibri"/>
          <w:noProof/>
          <w:sz w:val="20"/>
        </w:rPr>
        <w:t xml:space="preserve"> A new tool to assess bleeding severity in patients with chemotherapy-induced thrmbocytopaenia. </w:t>
      </w:r>
      <w:r w:rsidRPr="00F76B75">
        <w:rPr>
          <w:rFonts w:ascii="Calibri" w:hAnsi="Calibri" w:cs="Calibri"/>
          <w:i/>
          <w:iCs/>
          <w:noProof/>
          <w:sz w:val="20"/>
        </w:rPr>
        <w:t>Transfusion Practice</w:t>
      </w:r>
      <w:r w:rsidRPr="00F76B75">
        <w:rPr>
          <w:rFonts w:ascii="Calibri" w:hAnsi="Calibri" w:cs="Calibri"/>
          <w:noProof/>
          <w:sz w:val="20"/>
        </w:rPr>
        <w:t xml:space="preserve"> </w:t>
      </w:r>
      <w:r w:rsidRPr="00F76B75">
        <w:rPr>
          <w:rFonts w:ascii="Calibri" w:hAnsi="Calibri" w:cs="Calibri"/>
          <w:b/>
          <w:bCs/>
          <w:noProof/>
          <w:sz w:val="20"/>
        </w:rPr>
        <w:t>52</w:t>
      </w:r>
      <w:r w:rsidRPr="00F76B75">
        <w:rPr>
          <w:rFonts w:ascii="Calibri" w:hAnsi="Calibri" w:cs="Calibri"/>
          <w:noProof/>
          <w:sz w:val="20"/>
        </w:rPr>
        <w:t>, 2466–2474 (2012).</w:t>
      </w:r>
    </w:p>
    <w:p w:rsidR="00F76B75" w:rsidRPr="00F76B75" w:rsidRDefault="00F76B75">
      <w:pPr>
        <w:pStyle w:val="NormalWeb"/>
        <w:ind w:left="640" w:hanging="640"/>
        <w:divId w:val="487550509"/>
        <w:rPr>
          <w:rFonts w:ascii="Calibri" w:hAnsi="Calibri" w:cs="Calibri"/>
          <w:noProof/>
          <w:sz w:val="20"/>
        </w:rPr>
      </w:pPr>
      <w:r w:rsidRPr="00F76B75">
        <w:rPr>
          <w:rFonts w:ascii="Calibri" w:hAnsi="Calibri" w:cs="Calibri"/>
          <w:noProof/>
          <w:sz w:val="20"/>
        </w:rPr>
        <w:t>4.</w:t>
      </w:r>
      <w:r w:rsidRPr="00F76B75">
        <w:rPr>
          <w:rFonts w:ascii="Calibri" w:hAnsi="Calibri" w:cs="Calibri"/>
          <w:noProof/>
          <w:sz w:val="20"/>
        </w:rPr>
        <w:tab/>
        <w:t xml:space="preserve">Carson, J. L. Red blood cell transfusion: a clinical practice guideline from the AABB. </w:t>
      </w:r>
      <w:r w:rsidRPr="00F76B75">
        <w:rPr>
          <w:rFonts w:ascii="Calibri" w:hAnsi="Calibri" w:cs="Calibri"/>
          <w:i/>
          <w:iCs/>
          <w:noProof/>
          <w:sz w:val="20"/>
        </w:rPr>
        <w:t>Annals of Internal Medicine</w:t>
      </w:r>
      <w:r w:rsidRPr="00F76B75">
        <w:rPr>
          <w:rFonts w:ascii="Calibri" w:hAnsi="Calibri" w:cs="Calibri"/>
          <w:noProof/>
          <w:sz w:val="20"/>
        </w:rPr>
        <w:t xml:space="preserve"> </w:t>
      </w:r>
      <w:r w:rsidRPr="00F76B75">
        <w:rPr>
          <w:rFonts w:ascii="Calibri" w:hAnsi="Calibri" w:cs="Calibri"/>
          <w:b/>
          <w:bCs/>
          <w:noProof/>
          <w:sz w:val="20"/>
        </w:rPr>
        <w:t>157</w:t>
      </w:r>
      <w:r w:rsidRPr="00F76B75">
        <w:rPr>
          <w:rFonts w:ascii="Calibri" w:hAnsi="Calibri" w:cs="Calibri"/>
          <w:noProof/>
          <w:sz w:val="20"/>
        </w:rPr>
        <w:t>, 49–58 (2012).</w:t>
      </w:r>
    </w:p>
    <w:p w:rsidR="00F76B75" w:rsidRPr="00F76B75" w:rsidRDefault="00F76B75">
      <w:pPr>
        <w:pStyle w:val="NormalWeb"/>
        <w:ind w:left="640" w:hanging="640"/>
        <w:divId w:val="487550509"/>
        <w:rPr>
          <w:rFonts w:ascii="Calibri" w:hAnsi="Calibri" w:cs="Calibri"/>
          <w:noProof/>
          <w:sz w:val="20"/>
        </w:rPr>
      </w:pPr>
      <w:r w:rsidRPr="00F76B75">
        <w:rPr>
          <w:rFonts w:ascii="Calibri" w:hAnsi="Calibri" w:cs="Calibri"/>
          <w:noProof/>
          <w:sz w:val="20"/>
        </w:rPr>
        <w:t>5.</w:t>
      </w:r>
      <w:r w:rsidRPr="00F76B75">
        <w:rPr>
          <w:rFonts w:ascii="Calibri" w:hAnsi="Calibri" w:cs="Calibri"/>
          <w:noProof/>
          <w:sz w:val="20"/>
        </w:rPr>
        <w:tab/>
        <w:t xml:space="preserve">Rossi, E. C. Anaemia and Red cell Transfusion. </w:t>
      </w:r>
      <w:r w:rsidRPr="00F76B75">
        <w:rPr>
          <w:rFonts w:ascii="Calibri" w:hAnsi="Calibri" w:cs="Calibri"/>
          <w:i/>
          <w:iCs/>
          <w:noProof/>
          <w:sz w:val="20"/>
        </w:rPr>
        <w:t>Principles of Transfusion Medicine, Second edition</w:t>
      </w:r>
      <w:r w:rsidRPr="00F76B75">
        <w:rPr>
          <w:rFonts w:ascii="Calibri" w:hAnsi="Calibri" w:cs="Calibri"/>
          <w:noProof/>
          <w:sz w:val="20"/>
        </w:rPr>
        <w:t xml:space="preserve"> </w:t>
      </w:r>
      <w:r w:rsidRPr="00F76B75">
        <w:rPr>
          <w:rFonts w:ascii="Calibri" w:hAnsi="Calibri" w:cs="Calibri"/>
          <w:b/>
          <w:bCs/>
          <w:noProof/>
          <w:sz w:val="20"/>
        </w:rPr>
        <w:t>1</w:t>
      </w:r>
      <w:r w:rsidRPr="00F76B75">
        <w:rPr>
          <w:rFonts w:ascii="Calibri" w:hAnsi="Calibri" w:cs="Calibri"/>
          <w:noProof/>
          <w:sz w:val="20"/>
        </w:rPr>
        <w:t>, (1996).</w:t>
      </w:r>
    </w:p>
    <w:p w:rsidR="00F76B75" w:rsidRPr="00F76B75" w:rsidRDefault="00F76B75">
      <w:pPr>
        <w:pStyle w:val="NormalWeb"/>
        <w:ind w:left="640" w:hanging="640"/>
        <w:divId w:val="487550509"/>
        <w:rPr>
          <w:rFonts w:ascii="Calibri" w:hAnsi="Calibri" w:cs="Calibri"/>
          <w:noProof/>
          <w:sz w:val="20"/>
        </w:rPr>
      </w:pPr>
      <w:r w:rsidRPr="00F76B75">
        <w:rPr>
          <w:rFonts w:ascii="Calibri" w:hAnsi="Calibri" w:cs="Calibri"/>
          <w:noProof/>
          <w:sz w:val="20"/>
        </w:rPr>
        <w:t>6.</w:t>
      </w:r>
      <w:r w:rsidRPr="00F76B75">
        <w:rPr>
          <w:rFonts w:ascii="Calibri" w:hAnsi="Calibri" w:cs="Calibri"/>
          <w:noProof/>
          <w:sz w:val="20"/>
        </w:rPr>
        <w:tab/>
        <w:t xml:space="preserve">Shander, A. A new perspective on best transfusion practices. </w:t>
      </w:r>
      <w:r w:rsidRPr="00F76B75">
        <w:rPr>
          <w:rFonts w:ascii="Calibri" w:hAnsi="Calibri" w:cs="Calibri"/>
          <w:i/>
          <w:iCs/>
          <w:noProof/>
          <w:sz w:val="20"/>
        </w:rPr>
        <w:t>Review Blood Transfus</w:t>
      </w:r>
      <w:r w:rsidRPr="00F76B75">
        <w:rPr>
          <w:rFonts w:ascii="Calibri" w:hAnsi="Calibri" w:cs="Calibri"/>
          <w:noProof/>
          <w:sz w:val="20"/>
        </w:rPr>
        <w:t xml:space="preserve"> </w:t>
      </w:r>
      <w:r w:rsidRPr="00F76B75">
        <w:rPr>
          <w:rFonts w:ascii="Calibri" w:hAnsi="Calibri" w:cs="Calibri"/>
          <w:b/>
          <w:bCs/>
          <w:noProof/>
          <w:sz w:val="20"/>
        </w:rPr>
        <w:t>1</w:t>
      </w:r>
      <w:r w:rsidRPr="00F76B75">
        <w:rPr>
          <w:rFonts w:ascii="Calibri" w:hAnsi="Calibri" w:cs="Calibri"/>
          <w:noProof/>
          <w:sz w:val="20"/>
        </w:rPr>
        <w:t>, (2012).</w:t>
      </w:r>
    </w:p>
    <w:p w:rsidR="00F76B75" w:rsidRPr="00F76B75" w:rsidRDefault="00F76B75">
      <w:pPr>
        <w:pStyle w:val="NormalWeb"/>
        <w:ind w:left="640" w:hanging="640"/>
        <w:divId w:val="487550509"/>
        <w:rPr>
          <w:rFonts w:ascii="Calibri" w:hAnsi="Calibri" w:cs="Calibri"/>
          <w:noProof/>
          <w:sz w:val="20"/>
        </w:rPr>
      </w:pPr>
      <w:r w:rsidRPr="00F76B75">
        <w:rPr>
          <w:rFonts w:ascii="Calibri" w:hAnsi="Calibri" w:cs="Calibri"/>
          <w:noProof/>
          <w:sz w:val="20"/>
        </w:rPr>
        <w:t>7.</w:t>
      </w:r>
      <w:r w:rsidRPr="00F76B75">
        <w:rPr>
          <w:rFonts w:ascii="Calibri" w:hAnsi="Calibri" w:cs="Calibri"/>
          <w:noProof/>
          <w:sz w:val="20"/>
        </w:rPr>
        <w:tab/>
        <w:t xml:space="preserve">National Blood Authority </w:t>
      </w:r>
      <w:r w:rsidRPr="00F76B75">
        <w:rPr>
          <w:rFonts w:ascii="Calibri" w:hAnsi="Calibri" w:cs="Calibri"/>
          <w:i/>
          <w:iCs/>
          <w:noProof/>
          <w:sz w:val="20"/>
        </w:rPr>
        <w:t>Patient blood management guidelines: Module 2 – Perioperative.</w:t>
      </w:r>
      <w:r w:rsidRPr="00F76B75">
        <w:rPr>
          <w:rFonts w:ascii="Calibri" w:hAnsi="Calibri" w:cs="Calibri"/>
          <w:noProof/>
          <w:sz w:val="20"/>
        </w:rPr>
        <w:t xml:space="preserve"> (Canberra, Australia, 2012).at &lt;</w:t>
      </w:r>
      <w:hyperlink r:id="rId11" w:history="1">
        <w:r w:rsidRPr="007A7E0F">
          <w:rPr>
            <w:rStyle w:val="Hyperlink"/>
            <w:rFonts w:ascii="Calibri" w:hAnsi="Calibri" w:cs="Calibri"/>
            <w:noProof/>
            <w:sz w:val="20"/>
          </w:rPr>
          <w:t>http://www.blood.gov.au/pbm-guidelines</w:t>
        </w:r>
      </w:hyperlink>
      <w:r w:rsidRPr="00F76B75">
        <w:rPr>
          <w:rFonts w:ascii="Calibri" w:hAnsi="Calibri" w:cs="Calibri"/>
          <w:noProof/>
          <w:sz w:val="20"/>
        </w:rPr>
        <w:t xml:space="preserve"> &gt;</w:t>
      </w:r>
    </w:p>
    <w:p w:rsidR="00F76B75" w:rsidRPr="00F76B75" w:rsidRDefault="00F76B75">
      <w:pPr>
        <w:pStyle w:val="NormalWeb"/>
        <w:ind w:left="640" w:hanging="640"/>
        <w:divId w:val="487550509"/>
        <w:rPr>
          <w:rFonts w:ascii="Calibri" w:hAnsi="Calibri" w:cs="Calibri"/>
          <w:noProof/>
          <w:sz w:val="20"/>
        </w:rPr>
      </w:pPr>
      <w:r w:rsidRPr="00F76B75">
        <w:rPr>
          <w:rFonts w:ascii="Calibri" w:hAnsi="Calibri" w:cs="Calibri"/>
          <w:noProof/>
          <w:sz w:val="20"/>
        </w:rPr>
        <w:t>8.</w:t>
      </w:r>
      <w:r w:rsidRPr="00F76B75">
        <w:rPr>
          <w:rFonts w:ascii="Calibri" w:hAnsi="Calibri" w:cs="Calibri"/>
          <w:noProof/>
          <w:sz w:val="20"/>
        </w:rPr>
        <w:tab/>
        <w:t xml:space="preserve">Australian Commission on Safety and Quality in Healthcare </w:t>
      </w:r>
      <w:r w:rsidRPr="00F76B75">
        <w:rPr>
          <w:rFonts w:ascii="Calibri" w:hAnsi="Calibri" w:cs="Calibri"/>
          <w:i/>
          <w:iCs/>
          <w:noProof/>
          <w:sz w:val="20"/>
        </w:rPr>
        <w:t>Safety and Quality Improvement Guide Standard 7: Blood and Blood Products</w:t>
      </w:r>
      <w:r w:rsidRPr="00F76B75">
        <w:rPr>
          <w:rFonts w:ascii="Calibri" w:hAnsi="Calibri" w:cs="Calibri"/>
          <w:noProof/>
          <w:sz w:val="20"/>
        </w:rPr>
        <w:t xml:space="preserve">. </w:t>
      </w:r>
      <w:r w:rsidRPr="00F76B75">
        <w:rPr>
          <w:rFonts w:ascii="Calibri" w:hAnsi="Calibri" w:cs="Calibri"/>
          <w:i/>
          <w:iCs/>
          <w:noProof/>
          <w:sz w:val="20"/>
        </w:rPr>
        <w:t>ACSQHC</w:t>
      </w:r>
      <w:r w:rsidRPr="00F76B75">
        <w:rPr>
          <w:rFonts w:ascii="Calibri" w:hAnsi="Calibri" w:cs="Calibri"/>
          <w:noProof/>
          <w:sz w:val="20"/>
        </w:rPr>
        <w:t xml:space="preserve"> (2012).at &lt;</w:t>
      </w:r>
      <w:hyperlink r:id="rId12" w:history="1">
        <w:r w:rsidRPr="007A7E0F">
          <w:rPr>
            <w:rStyle w:val="Hyperlink"/>
            <w:rFonts w:ascii="Calibri" w:hAnsi="Calibri" w:cs="Calibri"/>
            <w:noProof/>
            <w:sz w:val="20"/>
          </w:rPr>
          <w:t>http://www.safetyandquality.gov.au/wp-content/uploads/2012/10/Standard7_Oct_2012_WEB.pdf</w:t>
        </w:r>
      </w:hyperlink>
      <w:r w:rsidRPr="00F76B75">
        <w:rPr>
          <w:rFonts w:ascii="Calibri" w:hAnsi="Calibri" w:cs="Calibri"/>
          <w:noProof/>
          <w:sz w:val="20"/>
        </w:rPr>
        <w:t>&gt;</w:t>
      </w:r>
    </w:p>
    <w:p w:rsidR="00F76B75" w:rsidRPr="00F76B75" w:rsidRDefault="00F76B75">
      <w:pPr>
        <w:pStyle w:val="NormalWeb"/>
        <w:ind w:left="640" w:hanging="640"/>
        <w:divId w:val="487550509"/>
        <w:rPr>
          <w:rFonts w:ascii="Calibri" w:hAnsi="Calibri" w:cs="Calibri"/>
          <w:noProof/>
          <w:sz w:val="20"/>
        </w:rPr>
      </w:pPr>
      <w:r w:rsidRPr="00F76B75">
        <w:rPr>
          <w:rFonts w:ascii="Calibri" w:hAnsi="Calibri" w:cs="Calibri"/>
          <w:noProof/>
          <w:sz w:val="20"/>
        </w:rPr>
        <w:t>9.</w:t>
      </w:r>
      <w:r w:rsidRPr="00F76B75">
        <w:rPr>
          <w:rFonts w:ascii="Calibri" w:hAnsi="Calibri" w:cs="Calibri"/>
          <w:noProof/>
          <w:sz w:val="20"/>
        </w:rPr>
        <w:tab/>
        <w:t xml:space="preserve">Koch CG  Duncan AI et al, L. L. Morbidity and mortality risk associated with red blood cell and blood-component transfusion in isolated coronary artery bypass grafting. </w:t>
      </w:r>
      <w:r w:rsidRPr="00F76B75">
        <w:rPr>
          <w:rFonts w:ascii="Calibri" w:hAnsi="Calibri" w:cs="Calibri"/>
          <w:i/>
          <w:iCs/>
          <w:noProof/>
          <w:sz w:val="20"/>
        </w:rPr>
        <w:t>Crit Care Med 2006</w:t>
      </w:r>
      <w:r w:rsidRPr="00F76B75">
        <w:rPr>
          <w:rFonts w:ascii="Calibri" w:hAnsi="Calibri" w:cs="Calibri"/>
          <w:noProof/>
          <w:sz w:val="20"/>
        </w:rPr>
        <w:t xml:space="preserve"> </w:t>
      </w:r>
      <w:r w:rsidRPr="00F76B75">
        <w:rPr>
          <w:rFonts w:ascii="Calibri" w:hAnsi="Calibri" w:cs="Calibri"/>
          <w:b/>
          <w:bCs/>
          <w:noProof/>
          <w:sz w:val="20"/>
        </w:rPr>
        <w:t>34</w:t>
      </w:r>
      <w:r w:rsidRPr="00F76B75">
        <w:rPr>
          <w:rFonts w:ascii="Calibri" w:hAnsi="Calibri" w:cs="Calibri"/>
          <w:noProof/>
          <w:sz w:val="20"/>
        </w:rPr>
        <w:t>, 1608–1616 (2006).</w:t>
      </w:r>
    </w:p>
    <w:p w:rsidR="00F76B75" w:rsidRPr="00F76B75" w:rsidRDefault="00F76B75">
      <w:pPr>
        <w:pStyle w:val="NormalWeb"/>
        <w:ind w:left="640" w:hanging="640"/>
        <w:divId w:val="487550509"/>
        <w:rPr>
          <w:rFonts w:ascii="Calibri" w:hAnsi="Calibri" w:cs="Calibri"/>
          <w:noProof/>
          <w:sz w:val="20"/>
        </w:rPr>
      </w:pPr>
      <w:r w:rsidRPr="00F76B75">
        <w:rPr>
          <w:rFonts w:ascii="Calibri" w:hAnsi="Calibri" w:cs="Calibri"/>
          <w:noProof/>
          <w:sz w:val="20"/>
        </w:rPr>
        <w:t>10.</w:t>
      </w:r>
      <w:r w:rsidRPr="00F76B75">
        <w:rPr>
          <w:rFonts w:ascii="Calibri" w:hAnsi="Calibri" w:cs="Calibri"/>
          <w:noProof/>
          <w:sz w:val="20"/>
        </w:rPr>
        <w:tab/>
        <w:t xml:space="preserve">Hajjar LA Vincent JL et al. Transfusion requirements after cardiac surgery: the TRACS randomised controlled trial. </w:t>
      </w:r>
      <w:r w:rsidRPr="00F76B75">
        <w:rPr>
          <w:rFonts w:ascii="Calibri" w:hAnsi="Calibri" w:cs="Calibri"/>
          <w:i/>
          <w:iCs/>
          <w:noProof/>
          <w:sz w:val="20"/>
        </w:rPr>
        <w:t>JAMA - Journal of the American Medical Association</w:t>
      </w:r>
      <w:r w:rsidRPr="00F76B75">
        <w:rPr>
          <w:rFonts w:ascii="Calibri" w:hAnsi="Calibri" w:cs="Calibri"/>
          <w:noProof/>
          <w:sz w:val="20"/>
        </w:rPr>
        <w:t xml:space="preserve"> </w:t>
      </w:r>
      <w:r w:rsidRPr="00F76B75">
        <w:rPr>
          <w:rFonts w:ascii="Calibri" w:hAnsi="Calibri" w:cs="Calibri"/>
          <w:b/>
          <w:bCs/>
          <w:noProof/>
          <w:sz w:val="20"/>
        </w:rPr>
        <w:t>304</w:t>
      </w:r>
      <w:r w:rsidRPr="00F76B75">
        <w:rPr>
          <w:rFonts w:ascii="Calibri" w:hAnsi="Calibri" w:cs="Calibri"/>
          <w:noProof/>
          <w:sz w:val="20"/>
        </w:rPr>
        <w:t>, 304:1559–1567</w:t>
      </w:r>
    </w:p>
    <w:p w:rsidR="00F76B75" w:rsidRPr="00F76B75" w:rsidRDefault="00F76B75">
      <w:pPr>
        <w:pStyle w:val="NormalWeb"/>
        <w:ind w:left="640" w:hanging="640"/>
        <w:divId w:val="487550509"/>
        <w:rPr>
          <w:rFonts w:ascii="Calibri" w:hAnsi="Calibri" w:cs="Calibri"/>
          <w:noProof/>
          <w:sz w:val="20"/>
        </w:rPr>
      </w:pPr>
      <w:r w:rsidRPr="00F76B75">
        <w:rPr>
          <w:rFonts w:ascii="Calibri" w:hAnsi="Calibri" w:cs="Calibri"/>
          <w:noProof/>
          <w:sz w:val="20"/>
        </w:rPr>
        <w:t>11.</w:t>
      </w:r>
      <w:r w:rsidRPr="00F76B75">
        <w:rPr>
          <w:rFonts w:ascii="Calibri" w:hAnsi="Calibri" w:cs="Calibri"/>
          <w:noProof/>
          <w:sz w:val="20"/>
        </w:rPr>
        <w:tab/>
        <w:t xml:space="preserve">Hofmann, A., Farmer, S. &amp; Shander, A. Five drivers shifting the paradigm from product-focused transfusion practice to patient blood management. </w:t>
      </w:r>
      <w:r w:rsidRPr="00F76B75">
        <w:rPr>
          <w:rFonts w:ascii="Calibri" w:hAnsi="Calibri" w:cs="Calibri"/>
          <w:i/>
          <w:iCs/>
          <w:noProof/>
          <w:sz w:val="20"/>
        </w:rPr>
        <w:t>The oncologist</w:t>
      </w:r>
      <w:r w:rsidRPr="00F76B75">
        <w:rPr>
          <w:rFonts w:ascii="Calibri" w:hAnsi="Calibri" w:cs="Calibri"/>
          <w:noProof/>
          <w:sz w:val="20"/>
        </w:rPr>
        <w:t xml:space="preserve"> </w:t>
      </w:r>
      <w:r w:rsidRPr="00F76B75">
        <w:rPr>
          <w:rFonts w:ascii="Calibri" w:hAnsi="Calibri" w:cs="Calibri"/>
          <w:b/>
          <w:bCs/>
          <w:noProof/>
          <w:sz w:val="20"/>
        </w:rPr>
        <w:t>16 Suppl 3</w:t>
      </w:r>
      <w:r w:rsidRPr="00F76B75">
        <w:rPr>
          <w:rFonts w:ascii="Calibri" w:hAnsi="Calibri" w:cs="Calibri"/>
          <w:noProof/>
          <w:sz w:val="20"/>
        </w:rPr>
        <w:t>, 3–11 (2011).</w:t>
      </w:r>
    </w:p>
    <w:p w:rsidR="00F76B75" w:rsidRPr="00F76B75" w:rsidRDefault="00F76B75">
      <w:pPr>
        <w:pStyle w:val="NormalWeb"/>
        <w:ind w:left="640" w:hanging="640"/>
        <w:divId w:val="487550509"/>
        <w:rPr>
          <w:rFonts w:ascii="Calibri" w:hAnsi="Calibri" w:cs="Calibri"/>
          <w:noProof/>
          <w:sz w:val="20"/>
        </w:rPr>
      </w:pPr>
      <w:r w:rsidRPr="00F76B75">
        <w:rPr>
          <w:rFonts w:ascii="Calibri" w:hAnsi="Calibri" w:cs="Calibri"/>
          <w:noProof/>
          <w:sz w:val="20"/>
        </w:rPr>
        <w:t>12.</w:t>
      </w:r>
      <w:r w:rsidRPr="00F76B75">
        <w:rPr>
          <w:rFonts w:ascii="Calibri" w:hAnsi="Calibri" w:cs="Calibri"/>
          <w:noProof/>
          <w:sz w:val="20"/>
        </w:rPr>
        <w:tab/>
        <w:t xml:space="preserve">Hofmann, A., Farmer, S. &amp; Towler, S. C. Strategies to preempt and reduce the use of blood products: an Australian perspective. </w:t>
      </w:r>
      <w:r w:rsidRPr="00F76B75">
        <w:rPr>
          <w:rFonts w:ascii="Calibri" w:hAnsi="Calibri" w:cs="Calibri"/>
          <w:i/>
          <w:iCs/>
          <w:noProof/>
          <w:sz w:val="20"/>
        </w:rPr>
        <w:t>Current opinion in anaesthesiology</w:t>
      </w:r>
      <w:r w:rsidRPr="00F76B75">
        <w:rPr>
          <w:rFonts w:ascii="Calibri" w:hAnsi="Calibri" w:cs="Calibri"/>
          <w:noProof/>
          <w:sz w:val="20"/>
        </w:rPr>
        <w:t xml:space="preserve"> </w:t>
      </w:r>
      <w:r w:rsidRPr="00F76B75">
        <w:rPr>
          <w:rFonts w:ascii="Calibri" w:hAnsi="Calibri" w:cs="Calibri"/>
          <w:b/>
          <w:bCs/>
          <w:noProof/>
          <w:sz w:val="20"/>
        </w:rPr>
        <w:t>25</w:t>
      </w:r>
      <w:r w:rsidRPr="00F76B75">
        <w:rPr>
          <w:rFonts w:ascii="Calibri" w:hAnsi="Calibri" w:cs="Calibri"/>
          <w:noProof/>
          <w:sz w:val="20"/>
        </w:rPr>
        <w:t>, 66–73 (2012).</w:t>
      </w:r>
    </w:p>
    <w:p w:rsidR="00F76B75" w:rsidRPr="00F76B75" w:rsidRDefault="00F76B75">
      <w:pPr>
        <w:pStyle w:val="NormalWeb"/>
        <w:ind w:left="640" w:hanging="640"/>
        <w:divId w:val="487550509"/>
        <w:rPr>
          <w:rFonts w:ascii="Calibri" w:hAnsi="Calibri" w:cs="Calibri"/>
          <w:noProof/>
          <w:sz w:val="20"/>
        </w:rPr>
      </w:pPr>
      <w:r w:rsidRPr="00F76B75">
        <w:rPr>
          <w:rFonts w:ascii="Calibri" w:hAnsi="Calibri" w:cs="Calibri"/>
          <w:noProof/>
          <w:sz w:val="20"/>
        </w:rPr>
        <w:t>13.</w:t>
      </w:r>
      <w:r w:rsidRPr="00F76B75">
        <w:rPr>
          <w:rFonts w:ascii="Calibri" w:hAnsi="Calibri" w:cs="Calibri"/>
          <w:noProof/>
          <w:sz w:val="20"/>
        </w:rPr>
        <w:tab/>
        <w:t xml:space="preserve">Ma, M., Eckert, K., Ralley, F. &amp; Chin-Yee, I. A retrospective study evaluating single-unit red blood cell transfusions in reducing allogeneic blood exposure. </w:t>
      </w:r>
      <w:r w:rsidRPr="00F76B75">
        <w:rPr>
          <w:rFonts w:ascii="Calibri" w:hAnsi="Calibri" w:cs="Calibri"/>
          <w:i/>
          <w:iCs/>
          <w:noProof/>
          <w:sz w:val="20"/>
        </w:rPr>
        <w:t>Transfusion Medicine</w:t>
      </w:r>
      <w:r w:rsidRPr="00F76B75">
        <w:rPr>
          <w:rFonts w:ascii="Calibri" w:hAnsi="Calibri" w:cs="Calibri"/>
          <w:noProof/>
          <w:sz w:val="20"/>
        </w:rPr>
        <w:t xml:space="preserve"> </w:t>
      </w:r>
      <w:r w:rsidRPr="00F76B75">
        <w:rPr>
          <w:rFonts w:ascii="Calibri" w:hAnsi="Calibri" w:cs="Calibri"/>
          <w:b/>
          <w:bCs/>
          <w:noProof/>
          <w:sz w:val="20"/>
        </w:rPr>
        <w:t>15</w:t>
      </w:r>
      <w:r w:rsidRPr="00F76B75">
        <w:rPr>
          <w:rFonts w:ascii="Calibri" w:hAnsi="Calibri" w:cs="Calibri"/>
          <w:noProof/>
          <w:sz w:val="20"/>
        </w:rPr>
        <w:t>, 307–312 (2005).</w:t>
      </w:r>
    </w:p>
    <w:p w:rsidR="00F76B75" w:rsidRPr="00F76B75" w:rsidRDefault="00F76B75">
      <w:pPr>
        <w:pStyle w:val="NormalWeb"/>
        <w:ind w:left="640" w:hanging="640"/>
        <w:divId w:val="487550509"/>
        <w:rPr>
          <w:rFonts w:ascii="Calibri" w:hAnsi="Calibri" w:cs="Calibri"/>
          <w:noProof/>
          <w:sz w:val="20"/>
        </w:rPr>
      </w:pPr>
      <w:r w:rsidRPr="00F76B75">
        <w:rPr>
          <w:rFonts w:ascii="Calibri" w:hAnsi="Calibri" w:cs="Calibri"/>
          <w:noProof/>
          <w:sz w:val="20"/>
        </w:rPr>
        <w:t>14.</w:t>
      </w:r>
      <w:r w:rsidRPr="00F76B75">
        <w:rPr>
          <w:rFonts w:ascii="Calibri" w:hAnsi="Calibri" w:cs="Calibri"/>
          <w:noProof/>
          <w:sz w:val="20"/>
        </w:rPr>
        <w:tab/>
        <w:t xml:space="preserve">Berger, M. D. </w:t>
      </w:r>
      <w:r w:rsidRPr="00F76B75">
        <w:rPr>
          <w:rFonts w:ascii="Calibri" w:hAnsi="Calibri" w:cs="Calibri"/>
          <w:i/>
          <w:iCs/>
          <w:noProof/>
          <w:sz w:val="20"/>
        </w:rPr>
        <w:t>et al.</w:t>
      </w:r>
      <w:r w:rsidRPr="00F76B75">
        <w:rPr>
          <w:rFonts w:ascii="Calibri" w:hAnsi="Calibri" w:cs="Calibri"/>
          <w:noProof/>
          <w:sz w:val="20"/>
        </w:rPr>
        <w:t xml:space="preserve"> Significant reduction of red blood cell transfusion requirements by changing from a double-unit to a single-unit transfusion policy in patients receiving intensive chemotherapy or stem cell transplantation. </w:t>
      </w:r>
      <w:r w:rsidRPr="00F76B75">
        <w:rPr>
          <w:rFonts w:ascii="Calibri" w:hAnsi="Calibri" w:cs="Calibri"/>
          <w:i/>
          <w:iCs/>
          <w:noProof/>
          <w:sz w:val="20"/>
        </w:rPr>
        <w:t>haematologica</w:t>
      </w:r>
      <w:r w:rsidRPr="00F76B75">
        <w:rPr>
          <w:rFonts w:ascii="Calibri" w:hAnsi="Calibri" w:cs="Calibri"/>
          <w:noProof/>
          <w:sz w:val="20"/>
        </w:rPr>
        <w:t xml:space="preserve"> </w:t>
      </w:r>
      <w:r w:rsidRPr="00F76B75">
        <w:rPr>
          <w:rFonts w:ascii="Calibri" w:hAnsi="Calibri" w:cs="Calibri"/>
          <w:b/>
          <w:bCs/>
          <w:noProof/>
          <w:sz w:val="20"/>
        </w:rPr>
        <w:t>97</w:t>
      </w:r>
      <w:r w:rsidRPr="00F76B75">
        <w:rPr>
          <w:rFonts w:ascii="Calibri" w:hAnsi="Calibri" w:cs="Calibri"/>
          <w:noProof/>
          <w:sz w:val="20"/>
        </w:rPr>
        <w:t>, 116–122 (2012).</w:t>
      </w:r>
    </w:p>
    <w:p w:rsidR="00F76B75" w:rsidRPr="00F76B75" w:rsidRDefault="00F76B75">
      <w:pPr>
        <w:pStyle w:val="NormalWeb"/>
        <w:ind w:left="640" w:hanging="640"/>
        <w:divId w:val="487550509"/>
        <w:rPr>
          <w:rFonts w:ascii="Calibri" w:hAnsi="Calibri" w:cs="Calibri"/>
          <w:noProof/>
          <w:sz w:val="20"/>
        </w:rPr>
      </w:pPr>
      <w:r w:rsidRPr="00F76B75">
        <w:rPr>
          <w:rFonts w:ascii="Calibri" w:hAnsi="Calibri" w:cs="Calibri"/>
          <w:noProof/>
          <w:sz w:val="20"/>
        </w:rPr>
        <w:t>15.</w:t>
      </w:r>
      <w:r w:rsidRPr="00F76B75">
        <w:rPr>
          <w:rFonts w:ascii="Calibri" w:hAnsi="Calibri" w:cs="Calibri"/>
          <w:noProof/>
          <w:sz w:val="20"/>
        </w:rPr>
        <w:tab/>
        <w:t>The British Committee for Standards in Haematology Guidelines on the Administration of Blood Components. Addendum to Administration of Blood Components, August 2012. 1–4 (2012).at &lt;</w:t>
      </w:r>
      <w:hyperlink r:id="rId13" w:history="1">
        <w:r w:rsidRPr="007A7E0F">
          <w:rPr>
            <w:rStyle w:val="Hyperlink"/>
            <w:rFonts w:ascii="Calibri" w:hAnsi="Calibri" w:cs="Calibri"/>
            <w:noProof/>
            <w:sz w:val="20"/>
          </w:rPr>
          <w:t>http://www.bcshguidelines.com/documents/BCSH_Blood_Admin_-_addendum_August_2012.pdf</w:t>
        </w:r>
      </w:hyperlink>
      <w:r w:rsidRPr="00F76B75">
        <w:rPr>
          <w:rFonts w:ascii="Calibri" w:hAnsi="Calibri" w:cs="Calibri"/>
          <w:noProof/>
          <w:sz w:val="20"/>
        </w:rPr>
        <w:t xml:space="preserve"> &gt;</w:t>
      </w:r>
    </w:p>
    <w:p w:rsidR="00F76B75" w:rsidRPr="00F76B75" w:rsidRDefault="00F76B75">
      <w:pPr>
        <w:pStyle w:val="NormalWeb"/>
        <w:ind w:left="640" w:hanging="640"/>
        <w:divId w:val="487550509"/>
        <w:rPr>
          <w:rFonts w:ascii="Calibri" w:hAnsi="Calibri" w:cs="Calibri"/>
          <w:noProof/>
          <w:sz w:val="20"/>
        </w:rPr>
      </w:pPr>
      <w:r w:rsidRPr="00F76B75">
        <w:rPr>
          <w:rFonts w:ascii="Calibri" w:hAnsi="Calibri" w:cs="Calibri"/>
          <w:noProof/>
          <w:sz w:val="20"/>
        </w:rPr>
        <w:t>16.</w:t>
      </w:r>
      <w:r w:rsidRPr="00F76B75">
        <w:rPr>
          <w:rFonts w:ascii="Calibri" w:hAnsi="Calibri" w:cs="Calibri"/>
          <w:noProof/>
          <w:sz w:val="20"/>
        </w:rPr>
        <w:tab/>
        <w:t xml:space="preserve">Carson, J. L., Carless, P. a &amp; Hebert, P. C. Transfusion thresholds and other strategies for guiding allogeneic red blood cell transfusion. </w:t>
      </w:r>
      <w:r w:rsidRPr="00F76B75">
        <w:rPr>
          <w:rFonts w:ascii="Calibri" w:hAnsi="Calibri" w:cs="Calibri"/>
          <w:i/>
          <w:iCs/>
          <w:noProof/>
          <w:sz w:val="20"/>
        </w:rPr>
        <w:t>The Cochrane database of systematic reviews</w:t>
      </w:r>
      <w:r w:rsidRPr="00F76B75">
        <w:rPr>
          <w:rFonts w:ascii="Calibri" w:hAnsi="Calibri" w:cs="Calibri"/>
          <w:noProof/>
          <w:sz w:val="20"/>
        </w:rPr>
        <w:t xml:space="preserve"> </w:t>
      </w:r>
      <w:r w:rsidRPr="00F76B75">
        <w:rPr>
          <w:rFonts w:ascii="Calibri" w:hAnsi="Calibri" w:cs="Calibri"/>
          <w:b/>
          <w:bCs/>
          <w:noProof/>
          <w:sz w:val="20"/>
        </w:rPr>
        <w:t>4</w:t>
      </w:r>
      <w:r w:rsidRPr="00F76B75">
        <w:rPr>
          <w:rFonts w:ascii="Calibri" w:hAnsi="Calibri" w:cs="Calibri"/>
          <w:noProof/>
          <w:sz w:val="20"/>
        </w:rPr>
        <w:t xml:space="preserve">, CD002042 (2012). </w:t>
      </w:r>
    </w:p>
    <w:p w:rsidR="00FE0FD8" w:rsidRPr="000E33FE" w:rsidRDefault="00FE0FD8" w:rsidP="00F76B75">
      <w:pPr>
        <w:pStyle w:val="NormalWeb"/>
        <w:spacing w:before="0" w:beforeAutospacing="0" w:after="120" w:afterAutospacing="0" w:line="276" w:lineRule="auto"/>
        <w:ind w:left="641" w:hanging="641"/>
        <w:divId w:val="420415577"/>
      </w:pPr>
      <w:r w:rsidRPr="006F33B5">
        <w:rPr>
          <w:rFonts w:asciiTheme="minorHAnsi" w:hAnsiTheme="minorHAnsi" w:cstheme="minorHAnsi"/>
          <w:sz w:val="21"/>
          <w:szCs w:val="21"/>
        </w:rPr>
        <w:fldChar w:fldCharType="end"/>
      </w:r>
    </w:p>
    <w:p w:rsidR="00B3726E" w:rsidRPr="009E38CC" w:rsidRDefault="00B3726E" w:rsidP="00856618">
      <w:pPr>
        <w:spacing w:line="276" w:lineRule="auto"/>
      </w:pPr>
    </w:p>
    <w:sectPr w:rsidR="00B3726E" w:rsidRPr="009E38CC" w:rsidSect="00B554E2">
      <w:footerReference w:type="default" r:id="rId14"/>
      <w:headerReference w:type="first" r:id="rId15"/>
      <w:pgSz w:w="11906" w:h="16838"/>
      <w:pgMar w:top="681" w:right="1133" w:bottom="1440" w:left="1440" w:header="22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0B0" w:rsidRDefault="00DE70B0" w:rsidP="00856708">
      <w:pPr>
        <w:spacing w:after="0"/>
      </w:pPr>
      <w:r>
        <w:separator/>
      </w:r>
    </w:p>
  </w:endnote>
  <w:endnote w:type="continuationSeparator" w:id="0">
    <w:p w:rsidR="00DE70B0" w:rsidRDefault="00DE70B0"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0D3F52">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0B0" w:rsidRDefault="00DE70B0" w:rsidP="00856708">
      <w:pPr>
        <w:spacing w:after="0"/>
      </w:pPr>
      <w:r>
        <w:separator/>
      </w:r>
    </w:p>
  </w:footnote>
  <w:footnote w:type="continuationSeparator" w:id="0">
    <w:p w:rsidR="00DE70B0" w:rsidRDefault="00DE70B0"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86" w:rsidRDefault="00326C86" w:rsidP="00B554E2">
    <w:pPr>
      <w:pStyle w:val="Header"/>
      <w:ind w:left="-284"/>
    </w:pPr>
    <w:r w:rsidRPr="00326C86">
      <w:rPr>
        <w:b/>
      </w:rPr>
      <w:t xml:space="preserve">Appendix </w:t>
    </w:r>
    <w:r w:rsidR="006F33B5">
      <w:rPr>
        <w:b/>
      </w:rPr>
      <w:t>3</w:t>
    </w:r>
    <w:r w:rsidRPr="00326C86">
      <w:rPr>
        <w:b/>
      </w:rPr>
      <w:t>:</w:t>
    </w:r>
    <w:r>
      <w:t xml:space="preserve"> </w:t>
    </w:r>
    <w:r w:rsidR="007B4884">
      <w:t>Example Handout  - S</w:t>
    </w:r>
    <w:r w:rsidR="00416DD7">
      <w:t xml:space="preserve">ingle Unit Transfusion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2E23"/>
    <w:multiLevelType w:val="hybridMultilevel"/>
    <w:tmpl w:val="BBC60D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B0"/>
    <w:rsid w:val="00036EDC"/>
    <w:rsid w:val="000D3F52"/>
    <w:rsid w:val="000E33FE"/>
    <w:rsid w:val="000E418A"/>
    <w:rsid w:val="000E6538"/>
    <w:rsid w:val="00144C52"/>
    <w:rsid w:val="002537F2"/>
    <w:rsid w:val="00295CD3"/>
    <w:rsid w:val="002D45E9"/>
    <w:rsid w:val="00326C86"/>
    <w:rsid w:val="003B460D"/>
    <w:rsid w:val="003D27F1"/>
    <w:rsid w:val="00416DD7"/>
    <w:rsid w:val="004D4636"/>
    <w:rsid w:val="004E59C2"/>
    <w:rsid w:val="00540020"/>
    <w:rsid w:val="00623E89"/>
    <w:rsid w:val="0068126A"/>
    <w:rsid w:val="006E7AD0"/>
    <w:rsid w:val="006F33B5"/>
    <w:rsid w:val="00722F75"/>
    <w:rsid w:val="007A7E0F"/>
    <w:rsid w:val="007B4884"/>
    <w:rsid w:val="007F432C"/>
    <w:rsid w:val="00856618"/>
    <w:rsid w:val="00856708"/>
    <w:rsid w:val="00865E40"/>
    <w:rsid w:val="00893E0A"/>
    <w:rsid w:val="00920C85"/>
    <w:rsid w:val="00951B85"/>
    <w:rsid w:val="009C55BD"/>
    <w:rsid w:val="009E38CC"/>
    <w:rsid w:val="00A1231E"/>
    <w:rsid w:val="00A77711"/>
    <w:rsid w:val="00B05B82"/>
    <w:rsid w:val="00B3726E"/>
    <w:rsid w:val="00B554E2"/>
    <w:rsid w:val="00BB43DE"/>
    <w:rsid w:val="00BD4FCB"/>
    <w:rsid w:val="00CA3028"/>
    <w:rsid w:val="00D262E2"/>
    <w:rsid w:val="00D279F9"/>
    <w:rsid w:val="00D46F12"/>
    <w:rsid w:val="00DE70B0"/>
    <w:rsid w:val="00E83CB9"/>
    <w:rsid w:val="00EB6FEC"/>
    <w:rsid w:val="00F76B75"/>
    <w:rsid w:val="00FD6566"/>
    <w:rsid w:val="00FE0FD8"/>
    <w:rsid w:val="00FF40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character" w:styleId="CommentReference">
    <w:name w:val="annotation reference"/>
    <w:basedOn w:val="DefaultParagraphFont"/>
    <w:uiPriority w:val="99"/>
    <w:semiHidden/>
    <w:unhideWhenUsed/>
    <w:rsid w:val="00DE70B0"/>
    <w:rPr>
      <w:sz w:val="16"/>
      <w:szCs w:val="16"/>
    </w:rPr>
  </w:style>
  <w:style w:type="paragraph" w:styleId="CommentText">
    <w:name w:val="annotation text"/>
    <w:basedOn w:val="Normal"/>
    <w:link w:val="CommentTextChar"/>
    <w:uiPriority w:val="99"/>
    <w:semiHidden/>
    <w:unhideWhenUsed/>
    <w:rsid w:val="00DE70B0"/>
    <w:rPr>
      <w:rFonts w:ascii="Arial" w:eastAsiaTheme="minorHAnsi" w:hAnsi="Arial" w:cs="Arial"/>
      <w:sz w:val="20"/>
      <w:szCs w:val="20"/>
    </w:rPr>
  </w:style>
  <w:style w:type="character" w:customStyle="1" w:styleId="CommentTextChar">
    <w:name w:val="Comment Text Char"/>
    <w:basedOn w:val="DefaultParagraphFont"/>
    <w:link w:val="CommentText"/>
    <w:uiPriority w:val="99"/>
    <w:semiHidden/>
    <w:rsid w:val="00DE70B0"/>
    <w:rPr>
      <w:rFonts w:ascii="Arial" w:hAnsi="Arial" w:cs="Arial"/>
      <w:sz w:val="20"/>
      <w:szCs w:val="20"/>
    </w:rPr>
  </w:style>
  <w:style w:type="paragraph" w:styleId="BalloonText">
    <w:name w:val="Balloon Text"/>
    <w:basedOn w:val="Normal"/>
    <w:link w:val="BalloonTextChar"/>
    <w:uiPriority w:val="99"/>
    <w:semiHidden/>
    <w:unhideWhenUsed/>
    <w:rsid w:val="00DE70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B0"/>
    <w:rPr>
      <w:rFonts w:ascii="Tahoma" w:eastAsia="Dotum" w:hAnsi="Tahoma" w:cs="Tahoma"/>
      <w:sz w:val="16"/>
      <w:szCs w:val="16"/>
    </w:rPr>
  </w:style>
  <w:style w:type="paragraph" w:styleId="NormalWeb">
    <w:name w:val="Normal (Web)"/>
    <w:basedOn w:val="Normal"/>
    <w:uiPriority w:val="99"/>
    <w:unhideWhenUsed/>
    <w:rsid w:val="00FE0FD8"/>
    <w:pPr>
      <w:spacing w:before="100" w:beforeAutospacing="1" w:after="100" w:afterAutospacing="1"/>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FE0FD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D45E9"/>
    <w:rPr>
      <w:rFonts w:ascii="Calibri" w:eastAsia="Dotum" w:hAnsi="Calibri" w:cs="Calibri"/>
      <w:b/>
      <w:bCs/>
    </w:rPr>
  </w:style>
  <w:style w:type="character" w:customStyle="1" w:styleId="CommentSubjectChar">
    <w:name w:val="Comment Subject Char"/>
    <w:basedOn w:val="CommentTextChar"/>
    <w:link w:val="CommentSubject"/>
    <w:uiPriority w:val="99"/>
    <w:semiHidden/>
    <w:rsid w:val="002D45E9"/>
    <w:rPr>
      <w:rFonts w:ascii="Calibri" w:eastAsia="Dotum"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character" w:styleId="CommentReference">
    <w:name w:val="annotation reference"/>
    <w:basedOn w:val="DefaultParagraphFont"/>
    <w:uiPriority w:val="99"/>
    <w:semiHidden/>
    <w:unhideWhenUsed/>
    <w:rsid w:val="00DE70B0"/>
    <w:rPr>
      <w:sz w:val="16"/>
      <w:szCs w:val="16"/>
    </w:rPr>
  </w:style>
  <w:style w:type="paragraph" w:styleId="CommentText">
    <w:name w:val="annotation text"/>
    <w:basedOn w:val="Normal"/>
    <w:link w:val="CommentTextChar"/>
    <w:uiPriority w:val="99"/>
    <w:semiHidden/>
    <w:unhideWhenUsed/>
    <w:rsid w:val="00DE70B0"/>
    <w:rPr>
      <w:rFonts w:ascii="Arial" w:eastAsiaTheme="minorHAnsi" w:hAnsi="Arial" w:cs="Arial"/>
      <w:sz w:val="20"/>
      <w:szCs w:val="20"/>
    </w:rPr>
  </w:style>
  <w:style w:type="character" w:customStyle="1" w:styleId="CommentTextChar">
    <w:name w:val="Comment Text Char"/>
    <w:basedOn w:val="DefaultParagraphFont"/>
    <w:link w:val="CommentText"/>
    <w:uiPriority w:val="99"/>
    <w:semiHidden/>
    <w:rsid w:val="00DE70B0"/>
    <w:rPr>
      <w:rFonts w:ascii="Arial" w:hAnsi="Arial" w:cs="Arial"/>
      <w:sz w:val="20"/>
      <w:szCs w:val="20"/>
    </w:rPr>
  </w:style>
  <w:style w:type="paragraph" w:styleId="BalloonText">
    <w:name w:val="Balloon Text"/>
    <w:basedOn w:val="Normal"/>
    <w:link w:val="BalloonTextChar"/>
    <w:uiPriority w:val="99"/>
    <w:semiHidden/>
    <w:unhideWhenUsed/>
    <w:rsid w:val="00DE70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B0"/>
    <w:rPr>
      <w:rFonts w:ascii="Tahoma" w:eastAsia="Dotum" w:hAnsi="Tahoma" w:cs="Tahoma"/>
      <w:sz w:val="16"/>
      <w:szCs w:val="16"/>
    </w:rPr>
  </w:style>
  <w:style w:type="paragraph" w:styleId="NormalWeb">
    <w:name w:val="Normal (Web)"/>
    <w:basedOn w:val="Normal"/>
    <w:uiPriority w:val="99"/>
    <w:unhideWhenUsed/>
    <w:rsid w:val="00FE0FD8"/>
    <w:pPr>
      <w:spacing w:before="100" w:beforeAutospacing="1" w:after="100" w:afterAutospacing="1"/>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FE0FD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D45E9"/>
    <w:rPr>
      <w:rFonts w:ascii="Calibri" w:eastAsia="Dotum" w:hAnsi="Calibri" w:cs="Calibri"/>
      <w:b/>
      <w:bCs/>
    </w:rPr>
  </w:style>
  <w:style w:type="character" w:customStyle="1" w:styleId="CommentSubjectChar">
    <w:name w:val="Comment Subject Char"/>
    <w:basedOn w:val="CommentTextChar"/>
    <w:link w:val="CommentSubject"/>
    <w:uiPriority w:val="99"/>
    <w:semiHidden/>
    <w:rsid w:val="002D45E9"/>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88847">
      <w:bodyDiv w:val="1"/>
      <w:marLeft w:val="0"/>
      <w:marRight w:val="0"/>
      <w:marTop w:val="0"/>
      <w:marBottom w:val="0"/>
      <w:divBdr>
        <w:top w:val="none" w:sz="0" w:space="0" w:color="auto"/>
        <w:left w:val="none" w:sz="0" w:space="0" w:color="auto"/>
        <w:bottom w:val="none" w:sz="0" w:space="0" w:color="auto"/>
        <w:right w:val="none" w:sz="0" w:space="0" w:color="auto"/>
      </w:divBdr>
      <w:divsChild>
        <w:div w:id="2054033382">
          <w:marLeft w:val="0"/>
          <w:marRight w:val="0"/>
          <w:marTop w:val="0"/>
          <w:marBottom w:val="0"/>
          <w:divBdr>
            <w:top w:val="none" w:sz="0" w:space="0" w:color="auto"/>
            <w:left w:val="none" w:sz="0" w:space="0" w:color="auto"/>
            <w:bottom w:val="none" w:sz="0" w:space="0" w:color="auto"/>
            <w:right w:val="none" w:sz="0" w:space="0" w:color="auto"/>
          </w:divBdr>
          <w:divsChild>
            <w:div w:id="1099570423">
              <w:marLeft w:val="0"/>
              <w:marRight w:val="0"/>
              <w:marTop w:val="0"/>
              <w:marBottom w:val="0"/>
              <w:divBdr>
                <w:top w:val="none" w:sz="0" w:space="0" w:color="auto"/>
                <w:left w:val="none" w:sz="0" w:space="0" w:color="auto"/>
                <w:bottom w:val="none" w:sz="0" w:space="0" w:color="auto"/>
                <w:right w:val="none" w:sz="0" w:space="0" w:color="auto"/>
              </w:divBdr>
              <w:divsChild>
                <w:div w:id="1526748063">
                  <w:marLeft w:val="0"/>
                  <w:marRight w:val="0"/>
                  <w:marTop w:val="0"/>
                  <w:marBottom w:val="0"/>
                  <w:divBdr>
                    <w:top w:val="none" w:sz="0" w:space="0" w:color="auto"/>
                    <w:left w:val="none" w:sz="0" w:space="0" w:color="auto"/>
                    <w:bottom w:val="none" w:sz="0" w:space="0" w:color="auto"/>
                    <w:right w:val="none" w:sz="0" w:space="0" w:color="auto"/>
                  </w:divBdr>
                  <w:divsChild>
                    <w:div w:id="2002080848">
                      <w:marLeft w:val="0"/>
                      <w:marRight w:val="0"/>
                      <w:marTop w:val="0"/>
                      <w:marBottom w:val="0"/>
                      <w:divBdr>
                        <w:top w:val="none" w:sz="0" w:space="0" w:color="auto"/>
                        <w:left w:val="none" w:sz="0" w:space="0" w:color="auto"/>
                        <w:bottom w:val="none" w:sz="0" w:space="0" w:color="auto"/>
                        <w:right w:val="none" w:sz="0" w:space="0" w:color="auto"/>
                      </w:divBdr>
                      <w:divsChild>
                        <w:div w:id="1962883461">
                          <w:marLeft w:val="0"/>
                          <w:marRight w:val="0"/>
                          <w:marTop w:val="0"/>
                          <w:marBottom w:val="0"/>
                          <w:divBdr>
                            <w:top w:val="none" w:sz="0" w:space="0" w:color="auto"/>
                            <w:left w:val="none" w:sz="0" w:space="0" w:color="auto"/>
                            <w:bottom w:val="none" w:sz="0" w:space="0" w:color="auto"/>
                            <w:right w:val="none" w:sz="0" w:space="0" w:color="auto"/>
                          </w:divBdr>
                          <w:divsChild>
                            <w:div w:id="1834057398">
                              <w:marLeft w:val="0"/>
                              <w:marRight w:val="0"/>
                              <w:marTop w:val="0"/>
                              <w:marBottom w:val="0"/>
                              <w:divBdr>
                                <w:top w:val="none" w:sz="0" w:space="0" w:color="auto"/>
                                <w:left w:val="none" w:sz="0" w:space="0" w:color="auto"/>
                                <w:bottom w:val="none" w:sz="0" w:space="0" w:color="auto"/>
                                <w:right w:val="none" w:sz="0" w:space="0" w:color="auto"/>
                              </w:divBdr>
                              <w:divsChild>
                                <w:div w:id="1876767293">
                                  <w:marLeft w:val="0"/>
                                  <w:marRight w:val="0"/>
                                  <w:marTop w:val="0"/>
                                  <w:marBottom w:val="0"/>
                                  <w:divBdr>
                                    <w:top w:val="none" w:sz="0" w:space="0" w:color="auto"/>
                                    <w:left w:val="none" w:sz="0" w:space="0" w:color="auto"/>
                                    <w:bottom w:val="none" w:sz="0" w:space="0" w:color="auto"/>
                                    <w:right w:val="none" w:sz="0" w:space="0" w:color="auto"/>
                                  </w:divBdr>
                                  <w:divsChild>
                                    <w:div w:id="420415577">
                                      <w:marLeft w:val="0"/>
                                      <w:marRight w:val="0"/>
                                      <w:marTop w:val="0"/>
                                      <w:marBottom w:val="0"/>
                                      <w:divBdr>
                                        <w:top w:val="none" w:sz="0" w:space="0" w:color="auto"/>
                                        <w:left w:val="none" w:sz="0" w:space="0" w:color="auto"/>
                                        <w:bottom w:val="none" w:sz="0" w:space="0" w:color="auto"/>
                                        <w:right w:val="none" w:sz="0" w:space="0" w:color="auto"/>
                                      </w:divBdr>
                                      <w:divsChild>
                                        <w:div w:id="4875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640613">
      <w:bodyDiv w:val="1"/>
      <w:marLeft w:val="0"/>
      <w:marRight w:val="0"/>
      <w:marTop w:val="0"/>
      <w:marBottom w:val="0"/>
      <w:divBdr>
        <w:top w:val="none" w:sz="0" w:space="0" w:color="auto"/>
        <w:left w:val="none" w:sz="0" w:space="0" w:color="auto"/>
        <w:bottom w:val="none" w:sz="0" w:space="0" w:color="auto"/>
        <w:right w:val="none" w:sz="0" w:space="0" w:color="auto"/>
      </w:divBdr>
    </w:div>
    <w:div w:id="132462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cshguidelines.com/documents/BCSH_Blood_Admin_-_addendum_August_2012.pdf%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fetyandquality.gov.au/wp-content/uploads/2012/10/Standard7_Oct_2012_WEB.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d.gov.au/pbm-guidelin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lood.gov.au/pbm-guidelines" TargetMode="External"/><Relationship Id="rId4" Type="http://schemas.microsoft.com/office/2007/relationships/stylesWithEffects" Target="stylesWithEffects.xml"/><Relationship Id="rId9" Type="http://schemas.openxmlformats.org/officeDocument/2006/relationships/hyperlink" Target="http://www.blood.gov.au/pbm-guidelin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49BA8-E7B9-4492-AC5A-5E8943CA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5601</Words>
  <Characters>31931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37458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Wall, Lyndsay</dc:creator>
  <cp:lastModifiedBy>Wall, Lyndsay</cp:lastModifiedBy>
  <cp:revision>13</cp:revision>
  <dcterms:created xsi:type="dcterms:W3CDTF">2013-09-11T04:20:00Z</dcterms:created>
  <dcterms:modified xsi:type="dcterms:W3CDTF">2013-09-17T21:41:00Z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Lyndsay.Wall@blood.gov.au@www.mendeley.com</vt:lpwstr>
  </property>
  <property fmtid="{D5CDD505-2E9C-101B-9397-08002B2CF9AE}" pid="4" name="Mendeley Citation Style_1">
    <vt:lpwstr>http://www.zotero.org/styles/nature</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ies>
</file>