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850"/>
        <w:gridCol w:w="1985"/>
        <w:gridCol w:w="708"/>
        <w:gridCol w:w="709"/>
        <w:gridCol w:w="709"/>
        <w:gridCol w:w="142"/>
        <w:gridCol w:w="403"/>
        <w:gridCol w:w="1241"/>
      </w:tblGrid>
      <w:tr w:rsidR="00A47CE0" w:rsidRPr="00A47CE0" w:rsidTr="000A110B">
        <w:tc>
          <w:tcPr>
            <w:tcW w:w="9549" w:type="dxa"/>
            <w:gridSpan w:val="10"/>
          </w:tcPr>
          <w:p w:rsidR="00A47CE0" w:rsidRPr="00A47CE0" w:rsidRDefault="00A47CE0" w:rsidP="00A47CE0">
            <w:pPr>
              <w:widowControl w:val="0"/>
              <w:spacing w:after="240" w:line="580" w:lineRule="exact"/>
              <w:ind w:right="6"/>
              <w:outlineLvl w:val="0"/>
              <w:rPr>
                <w:rFonts w:eastAsia="HYGothic-Extra"/>
                <w:spacing w:val="-20"/>
                <w:sz w:val="48"/>
                <w:szCs w:val="56"/>
              </w:rPr>
            </w:pPr>
            <w:bookmarkStart w:id="0" w:name="_Toc364243357"/>
            <w:bookmarkStart w:id="1" w:name="_Toc299446841"/>
            <w:bookmarkStart w:id="2" w:name="_GoBack"/>
            <w:bookmarkEnd w:id="2"/>
            <w:r w:rsidRPr="00A47CE0">
              <w:rPr>
                <w:rFonts w:eastAsia="HYGothic-Extra"/>
                <w:spacing w:val="-20"/>
                <w:sz w:val="48"/>
                <w:szCs w:val="56"/>
              </w:rPr>
              <w:t>Appendix 6: Blood and Blood Product Transfer Form</w:t>
            </w:r>
            <w:bookmarkEnd w:id="0"/>
          </w:p>
          <w:p w:rsidR="00A47CE0" w:rsidRPr="00A47CE0" w:rsidRDefault="00A47CE0" w:rsidP="00A47CE0">
            <w:pPr>
              <w:outlineLvl w:val="1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47CE0">
              <w:rPr>
                <w:rFonts w:ascii="Arial" w:hAnsi="Arial" w:cs="Arial"/>
                <w:sz w:val="16"/>
                <w:szCs w:val="36"/>
              </w:rPr>
              <w:t>For facilities without BloodNet access only</w:t>
            </w:r>
          </w:p>
        </w:tc>
      </w:tr>
      <w:tr w:rsidR="00A47CE0" w:rsidRPr="00A47CE0" w:rsidTr="000A110B">
        <w:tc>
          <w:tcPr>
            <w:tcW w:w="5637" w:type="dxa"/>
            <w:gridSpan w:val="4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12" w:type="dxa"/>
            <w:gridSpan w:val="6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/>
                <w:bCs/>
                <w:color w:val="000000"/>
              </w:rPr>
              <w:t>Contact phone:</w:t>
            </w:r>
          </w:p>
        </w:tc>
      </w:tr>
      <w:tr w:rsidR="00A47CE0" w:rsidRPr="00A47CE0" w:rsidTr="000A110B">
        <w:tc>
          <w:tcPr>
            <w:tcW w:w="5637" w:type="dxa"/>
            <w:gridSpan w:val="4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786" w:type="dxa"/>
            <w:gridSpan w:val="3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/>
                <w:bCs/>
                <w:color w:val="000000"/>
              </w:rPr>
              <w:t>Time:</w:t>
            </w:r>
          </w:p>
        </w:tc>
      </w:tr>
      <w:tr w:rsidR="00A47CE0" w:rsidRPr="00A47CE0" w:rsidTr="000A110B">
        <w:tc>
          <w:tcPr>
            <w:tcW w:w="2235" w:type="dxa"/>
          </w:tcPr>
          <w:p w:rsidR="00A47CE0" w:rsidRPr="00A47CE0" w:rsidRDefault="00A47CE0" w:rsidP="00A47CE0">
            <w:r w:rsidRPr="00A47CE0">
              <w:t>Donation Number (if applicable)</w:t>
            </w:r>
          </w:p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7CE0" w:rsidRPr="00A47CE0" w:rsidRDefault="00A47CE0" w:rsidP="00A47CE0">
            <w:r w:rsidRPr="00A47CE0">
              <w:t>Blood Group</w:t>
            </w:r>
          </w:p>
          <w:p w:rsidR="00A47CE0" w:rsidRPr="00A47CE0" w:rsidRDefault="00A47CE0" w:rsidP="00A47CE0">
            <w:r w:rsidRPr="00A47CE0">
              <w:t>(if applicable)</w:t>
            </w:r>
          </w:p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97" w:type="dxa"/>
            <w:gridSpan w:val="7"/>
          </w:tcPr>
          <w:p w:rsidR="00A47CE0" w:rsidRPr="00A47CE0" w:rsidRDefault="00A47CE0" w:rsidP="00A47CE0">
            <w:pPr>
              <w:ind w:right="113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b/>
                <w:bCs/>
              </w:rPr>
              <w:t xml:space="preserve">Comments </w:t>
            </w:r>
            <w:r w:rsidRPr="00A47CE0">
              <w:rPr>
                <w:i/>
                <w:iCs/>
              </w:rPr>
              <w:t xml:space="preserve">(These include any temperature or storage non-compliance issues </w:t>
            </w:r>
            <w:proofErr w:type="spellStart"/>
            <w:r w:rsidRPr="00A47CE0">
              <w:rPr>
                <w:i/>
                <w:iCs/>
              </w:rPr>
              <w:t>eg</w:t>
            </w:r>
            <w:proofErr w:type="spellEnd"/>
            <w:r w:rsidRPr="00A47CE0">
              <w:rPr>
                <w:i/>
                <w:iCs/>
              </w:rPr>
              <w:t xml:space="preserve"> outside the 30 minute rule, problems with the blood fridge, any physical damage to the unit)</w:t>
            </w:r>
          </w:p>
        </w:tc>
      </w:tr>
      <w:tr w:rsidR="00A47CE0" w:rsidRPr="00A47CE0" w:rsidTr="000A110B">
        <w:tc>
          <w:tcPr>
            <w:tcW w:w="2235" w:type="dxa"/>
          </w:tcPr>
          <w:p w:rsidR="00A47CE0" w:rsidRPr="00A47CE0" w:rsidRDefault="00A47CE0" w:rsidP="003C61E5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97" w:type="dxa"/>
            <w:gridSpan w:val="7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7CE0" w:rsidRPr="00A47CE0" w:rsidTr="000A110B">
        <w:tc>
          <w:tcPr>
            <w:tcW w:w="2235" w:type="dxa"/>
          </w:tcPr>
          <w:p w:rsidR="00A47CE0" w:rsidRPr="00A47CE0" w:rsidRDefault="00A47CE0" w:rsidP="003C61E5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97" w:type="dxa"/>
            <w:gridSpan w:val="7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7CE0" w:rsidRPr="00A47CE0" w:rsidTr="000A110B">
        <w:tc>
          <w:tcPr>
            <w:tcW w:w="2235" w:type="dxa"/>
          </w:tcPr>
          <w:p w:rsidR="00A47CE0" w:rsidRPr="00A47CE0" w:rsidRDefault="00A47CE0" w:rsidP="003C61E5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97" w:type="dxa"/>
            <w:gridSpan w:val="7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7CE0" w:rsidRPr="00A47CE0" w:rsidTr="000A110B">
        <w:tc>
          <w:tcPr>
            <w:tcW w:w="2235" w:type="dxa"/>
          </w:tcPr>
          <w:p w:rsidR="00A47CE0" w:rsidRPr="00A47CE0" w:rsidRDefault="00A47CE0" w:rsidP="003C61E5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97" w:type="dxa"/>
            <w:gridSpan w:val="7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7CE0" w:rsidRPr="00A47CE0" w:rsidTr="000A110B">
        <w:tc>
          <w:tcPr>
            <w:tcW w:w="2235" w:type="dxa"/>
          </w:tcPr>
          <w:p w:rsidR="00A47CE0" w:rsidRPr="00A47CE0" w:rsidRDefault="00A47CE0" w:rsidP="003C61E5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97" w:type="dxa"/>
            <w:gridSpan w:val="7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7CE0" w:rsidRPr="00A47CE0" w:rsidTr="000A110B">
        <w:tc>
          <w:tcPr>
            <w:tcW w:w="2235" w:type="dxa"/>
          </w:tcPr>
          <w:p w:rsidR="00A47CE0" w:rsidRPr="00A47CE0" w:rsidRDefault="00A47CE0" w:rsidP="003C61E5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97" w:type="dxa"/>
            <w:gridSpan w:val="7"/>
          </w:tcPr>
          <w:p w:rsidR="00A47CE0" w:rsidRPr="00A47CE0" w:rsidRDefault="00A47CE0" w:rsidP="00A47CE0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7CE0" w:rsidRPr="00A47CE0" w:rsidTr="000A110B">
        <w:tc>
          <w:tcPr>
            <w:tcW w:w="9549" w:type="dxa"/>
            <w:gridSpan w:val="10"/>
            <w:tcBorders>
              <w:bottom w:val="single" w:sz="4" w:space="0" w:color="auto"/>
            </w:tcBorders>
          </w:tcPr>
          <w:p w:rsidR="00A47CE0" w:rsidRPr="00A47CE0" w:rsidRDefault="00A47CE0" w:rsidP="00A47CE0">
            <w:pPr>
              <w:jc w:val="center"/>
            </w:pPr>
            <w:r w:rsidRPr="00A47CE0">
              <w:rPr>
                <w:b/>
              </w:rPr>
              <w:t xml:space="preserve">STORAGE CONFIRMATION  </w:t>
            </w:r>
            <w:r w:rsidRPr="00A47CE0">
              <w:t>(COMPULSORY)</w:t>
            </w:r>
          </w:p>
          <w:p w:rsidR="00A47CE0" w:rsidRPr="00A47CE0" w:rsidRDefault="00A47CE0" w:rsidP="00A47CE0">
            <w:pPr>
              <w:rPr>
                <w:rFonts w:cs="Times New Roman"/>
              </w:rPr>
            </w:pPr>
            <w:r w:rsidRPr="00A47CE0">
              <w:t>Indicate the following checks have occurred by ticking the appropriate box.</w:t>
            </w:r>
            <w:r w:rsidRPr="00A47CE0">
              <w:rPr>
                <w:rFonts w:cs="Times New Roman"/>
              </w:rPr>
              <w:t xml:space="preserve"> </w:t>
            </w:r>
          </w:p>
          <w:p w:rsidR="00A47CE0" w:rsidRPr="00A47CE0" w:rsidRDefault="00A47CE0" w:rsidP="00A47CE0">
            <w:pPr>
              <w:rPr>
                <w:rFonts w:cs="Times New Roman"/>
              </w:rPr>
            </w:pPr>
            <w:r w:rsidRPr="00A47CE0">
              <w:rPr>
                <w:rFonts w:cs="Times New Roman"/>
                <w:highlight w:val="lightGray"/>
              </w:rPr>
              <w:t>Red Blood Cell Units:</w:t>
            </w:r>
          </w:p>
          <w:p w:rsidR="00A47CE0" w:rsidRPr="00A47CE0" w:rsidRDefault="00A47CE0" w:rsidP="00A47CE0">
            <w:pPr>
              <w:rPr>
                <w:rFonts w:cs="Times New Roman"/>
              </w:rPr>
            </w:pPr>
            <w:r w:rsidRPr="00A47CE0">
              <w:rPr>
                <w:rFonts w:cs="Times New Roman"/>
              </w:rPr>
              <w:sym w:font="Wingdings" w:char="F071"/>
            </w:r>
            <w:r w:rsidRPr="00A47CE0">
              <w:rPr>
                <w:b/>
                <w:bCs/>
              </w:rPr>
              <w:t>Check the Blood Fridge Register to ensure each red cell unit being transferred has been stored appropriately:</w:t>
            </w:r>
          </w:p>
          <w:p w:rsidR="00A47CE0" w:rsidRPr="00A47CE0" w:rsidRDefault="00A47CE0" w:rsidP="003C61E5">
            <w:pPr>
              <w:numPr>
                <w:ilvl w:val="0"/>
                <w:numId w:val="4"/>
              </w:numPr>
            </w:pPr>
            <w:r w:rsidRPr="00A47CE0">
              <w:t>red cell units have not been removed from the blood fridge longer than 30 minutes at any given time</w:t>
            </w:r>
          </w:p>
          <w:p w:rsidR="00A47CE0" w:rsidRPr="00A47CE0" w:rsidRDefault="00A47CE0" w:rsidP="00A47CE0">
            <w:r w:rsidRPr="00A47CE0">
              <w:sym w:font="Wingdings" w:char="F071"/>
            </w:r>
            <w:r w:rsidRPr="00A47CE0">
              <w:rPr>
                <w:b/>
                <w:bCs/>
              </w:rPr>
              <w:t>Check the Blood Fridge Maintenance Record to ensure compliance of storage criteria:</w:t>
            </w:r>
          </w:p>
          <w:p w:rsidR="00A47CE0" w:rsidRPr="00A47CE0" w:rsidRDefault="00A47CE0" w:rsidP="003C61E5">
            <w:pPr>
              <w:numPr>
                <w:ilvl w:val="0"/>
                <w:numId w:val="4"/>
              </w:numPr>
            </w:pPr>
            <w:r w:rsidRPr="00A47CE0">
              <w:t>blood fridge temperature has remained stable within 2</w:t>
            </w:r>
            <w:r w:rsidRPr="00A47CE0">
              <w:rPr>
                <w:vertAlign w:val="superscript"/>
              </w:rPr>
              <w:t>˚</w:t>
            </w:r>
            <w:r w:rsidRPr="00A47CE0">
              <w:t xml:space="preserve"> - 6</w:t>
            </w:r>
            <w:r w:rsidRPr="00A47CE0">
              <w:rPr>
                <w:vertAlign w:val="superscript"/>
              </w:rPr>
              <w:t>˚</w:t>
            </w:r>
            <w:r w:rsidRPr="00A47CE0">
              <w:t>C degrees during the storage period</w:t>
            </w:r>
          </w:p>
          <w:p w:rsidR="00A47CE0" w:rsidRPr="00A47CE0" w:rsidRDefault="00A47CE0" w:rsidP="003C61E5">
            <w:pPr>
              <w:numPr>
                <w:ilvl w:val="0"/>
                <w:numId w:val="4"/>
              </w:numPr>
            </w:pPr>
            <w:r w:rsidRPr="00A47CE0">
              <w:t>that the temperature recorded is complete with no missing data</w:t>
            </w:r>
          </w:p>
          <w:p w:rsidR="00A47CE0" w:rsidRPr="00A47CE0" w:rsidRDefault="00A47CE0" w:rsidP="00A47CE0">
            <w:r w:rsidRPr="00A47CE0">
              <w:rPr>
                <w:highlight w:val="lightGray"/>
              </w:rPr>
              <w:t>Other Blood Products:</w:t>
            </w:r>
          </w:p>
          <w:p w:rsidR="00A47CE0" w:rsidRPr="00A47CE0" w:rsidRDefault="00A47CE0" w:rsidP="00A47CE0">
            <w:pPr>
              <w:rPr>
                <w:rFonts w:cs="Times New Roman"/>
                <w:b/>
              </w:rPr>
            </w:pPr>
            <w:r w:rsidRPr="00A47CE0">
              <w:rPr>
                <w:rFonts w:cs="Times New Roman"/>
              </w:rPr>
              <w:sym w:font="Wingdings" w:char="F071"/>
            </w:r>
            <w:r w:rsidRPr="00A47CE0">
              <w:rPr>
                <w:rFonts w:cs="Times New Roman"/>
                <w:b/>
              </w:rPr>
              <w:t>Check that other blood and blood product have been stored as per manufacturer’s temperature specifications</w:t>
            </w:r>
          </w:p>
          <w:p w:rsidR="00A47CE0" w:rsidRPr="00A47CE0" w:rsidRDefault="00A47CE0" w:rsidP="00A47CE0">
            <w:pPr>
              <w:rPr>
                <w:b/>
                <w:bCs/>
              </w:rPr>
            </w:pPr>
            <w:r w:rsidRPr="00A47CE0">
              <w:rPr>
                <w:b/>
                <w:bCs/>
              </w:rPr>
              <w:t>If there are any problems with handling and storage of any of these blood or blood products:</w:t>
            </w:r>
          </w:p>
          <w:p w:rsidR="00A47CE0" w:rsidRPr="00A47CE0" w:rsidRDefault="00A47CE0" w:rsidP="003C61E5">
            <w:pPr>
              <w:numPr>
                <w:ilvl w:val="0"/>
                <w:numId w:val="4"/>
              </w:numPr>
            </w:pPr>
            <w:r w:rsidRPr="00A47CE0">
              <w:t>these MUST be documented in the above comments section next to the appropriate blood or blood product</w:t>
            </w:r>
          </w:p>
          <w:p w:rsidR="00A47CE0" w:rsidRPr="00A47CE0" w:rsidRDefault="00A47CE0" w:rsidP="003C61E5">
            <w:pPr>
              <w:numPr>
                <w:ilvl w:val="0"/>
                <w:numId w:val="4"/>
              </w:numPr>
            </w:pPr>
            <w:r w:rsidRPr="00A47CE0">
              <w:t>contact the laboratory and inform them of the details</w:t>
            </w:r>
          </w:p>
          <w:p w:rsidR="00A47CE0" w:rsidRPr="00A47CE0" w:rsidRDefault="00A47CE0" w:rsidP="00A47CE0">
            <w:pPr>
              <w:spacing w:after="240"/>
            </w:pPr>
            <w:r w:rsidRPr="00A47CE0">
              <w:t xml:space="preserve">I declare to the best of my knowledge, the above information regarding the handling and storage of the blood and blood product listed above is correct. </w:t>
            </w:r>
          </w:p>
          <w:p w:rsidR="00A47CE0" w:rsidRPr="00A47CE0" w:rsidRDefault="00A47CE0" w:rsidP="00A47CE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t xml:space="preserve">Name:                                                     Signature:                                                     Position:                                                    </w:t>
            </w:r>
          </w:p>
        </w:tc>
      </w:tr>
      <w:tr w:rsidR="00A47CE0" w:rsidRPr="00A47CE0" w:rsidTr="000A110B">
        <w:tc>
          <w:tcPr>
            <w:tcW w:w="954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b/>
                <w:bCs/>
              </w:rPr>
              <w:t>RECEIVING LABORATORY USE ONLY</w:t>
            </w:r>
          </w:p>
        </w:tc>
      </w:tr>
      <w:tr w:rsidR="00A47CE0" w:rsidRPr="00A47CE0" w:rsidTr="000A110B">
        <w:tc>
          <w:tcPr>
            <w:tcW w:w="705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b/>
                <w:bCs/>
                <w:sz w:val="18"/>
              </w:rPr>
            </w:pPr>
            <w:r w:rsidRPr="00A47CE0">
              <w:rPr>
                <w:rFonts w:cs="Times New Roman"/>
                <w:sz w:val="18"/>
                <w:szCs w:val="18"/>
              </w:rPr>
              <w:sym w:font="Wingdings" w:char="F071"/>
            </w:r>
            <w:r w:rsidRPr="00A47CE0">
              <w:rPr>
                <w:sz w:val="18"/>
                <w:szCs w:val="18"/>
              </w:rPr>
              <w:t xml:space="preserve"> Temperature check on receipt: _________ °C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Passed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Failed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</w:tr>
      <w:tr w:rsidR="00A47CE0" w:rsidRPr="00A47CE0" w:rsidTr="000A110B">
        <w:tc>
          <w:tcPr>
            <w:tcW w:w="705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b/>
                <w:bCs/>
                <w:sz w:val="18"/>
              </w:rPr>
            </w:pPr>
            <w:r w:rsidRPr="00A47CE0">
              <w:rPr>
                <w:rFonts w:cs="Times New Roman"/>
                <w:sz w:val="18"/>
                <w:szCs w:val="18"/>
              </w:rPr>
              <w:sym w:font="Wingdings" w:char="F071"/>
            </w:r>
            <w:r w:rsidRPr="00A47CE0">
              <w:rPr>
                <w:sz w:val="18"/>
                <w:szCs w:val="18"/>
              </w:rPr>
              <w:t xml:space="preserve"> The above documentation has been completed verifying correct handling and storage of blood and blood products [boxes ticked, signature present]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Passed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Failed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</w:tr>
      <w:tr w:rsidR="00A47CE0" w:rsidRPr="00A47CE0" w:rsidTr="000A110B">
        <w:tc>
          <w:tcPr>
            <w:tcW w:w="705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b/>
                <w:bCs/>
                <w:sz w:val="18"/>
              </w:rPr>
            </w:pPr>
            <w:r w:rsidRPr="00A47CE0">
              <w:rPr>
                <w:rFonts w:cs="Times New Roman"/>
                <w:sz w:val="18"/>
                <w:szCs w:val="18"/>
              </w:rPr>
              <w:sym w:font="Wingdings" w:char="F071"/>
            </w:r>
            <w:r w:rsidRPr="00A47CE0">
              <w:rPr>
                <w:sz w:val="18"/>
                <w:szCs w:val="18"/>
              </w:rPr>
              <w:t xml:space="preserve"> Tamper-proof port is intact and no blood is present in the port, for red cells only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Passed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Failed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</w:tr>
      <w:tr w:rsidR="00A47CE0" w:rsidRPr="00A47CE0" w:rsidTr="000A110B">
        <w:tc>
          <w:tcPr>
            <w:tcW w:w="705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b/>
                <w:bCs/>
                <w:sz w:val="18"/>
              </w:rPr>
            </w:pPr>
            <w:r w:rsidRPr="00A47CE0">
              <w:rPr>
                <w:rFonts w:cs="Times New Roman"/>
                <w:sz w:val="18"/>
                <w:szCs w:val="18"/>
              </w:rPr>
              <w:sym w:font="Wingdings" w:char="F071"/>
            </w:r>
            <w:r w:rsidRPr="00A47CE0">
              <w:rPr>
                <w:sz w:val="18"/>
                <w:szCs w:val="18"/>
              </w:rPr>
              <w:t xml:space="preserve"> The blood and blood product is intact, not discoloured or has unusual particulate matter [check against other units if necessary]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Passed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Failed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</w:tr>
      <w:tr w:rsidR="00A47CE0" w:rsidRPr="00A47CE0" w:rsidTr="000A110B">
        <w:tc>
          <w:tcPr>
            <w:tcW w:w="7054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b/>
                <w:bCs/>
                <w:sz w:val="18"/>
              </w:rPr>
            </w:pPr>
            <w:r w:rsidRPr="00A47CE0">
              <w:rPr>
                <w:rFonts w:cs="Times New Roman"/>
                <w:sz w:val="18"/>
                <w:szCs w:val="18"/>
              </w:rPr>
              <w:sym w:font="Wingdings" w:char="F071"/>
            </w:r>
            <w:r w:rsidRPr="00A47CE0">
              <w:rPr>
                <w:sz w:val="18"/>
                <w:szCs w:val="18"/>
              </w:rPr>
              <w:t xml:space="preserve"> Only blood and blood product stored conforming to AS3864 and manufacturer’s temperature specifications have been accepted back into inventory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Passed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Failed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</w:tr>
      <w:tr w:rsidR="00A47CE0" w:rsidRPr="00A47CE0" w:rsidTr="000A110B">
        <w:tc>
          <w:tcPr>
            <w:tcW w:w="7054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b/>
                <w:bCs/>
                <w:sz w:val="18"/>
              </w:rPr>
            </w:pPr>
            <w:r w:rsidRPr="00A47CE0">
              <w:rPr>
                <w:rFonts w:cs="Times New Roman"/>
                <w:sz w:val="18"/>
                <w:szCs w:val="18"/>
              </w:rPr>
              <w:sym w:font="Wingdings" w:char="F071"/>
            </w:r>
            <w:r w:rsidRPr="00A47CE0">
              <w:rPr>
                <w:sz w:val="18"/>
                <w:szCs w:val="18"/>
              </w:rPr>
              <w:t xml:space="preserve"> Blood and blood products that are not compliant are to be destroyed via medical waste and recorded in LIS and BLOODNET, where available and appropriate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Passed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  <w:tc>
          <w:tcPr>
            <w:tcW w:w="124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rPr>
                <w:rFonts w:ascii="Arial" w:hAnsi="Arial" w:cs="Arial"/>
                <w:bCs/>
                <w:color w:val="000000"/>
                <w:sz w:val="18"/>
              </w:rPr>
              <w:t xml:space="preserve">Failed </w:t>
            </w:r>
            <w:r w:rsidRPr="00A47CE0">
              <w:rPr>
                <w:rFonts w:ascii="Arial" w:hAnsi="Arial" w:cs="Arial"/>
                <w:bCs/>
                <w:color w:val="000000"/>
                <w:sz w:val="18"/>
              </w:rPr>
              <w:sym w:font="Wingdings" w:char="F071"/>
            </w:r>
          </w:p>
        </w:tc>
      </w:tr>
      <w:tr w:rsidR="00A47CE0" w:rsidRPr="00A47CE0" w:rsidTr="000A110B">
        <w:tc>
          <w:tcPr>
            <w:tcW w:w="2802" w:type="dxa"/>
            <w:gridSpan w:val="2"/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A47CE0">
              <w:t>Checked by: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A47CE0">
              <w:t xml:space="preserve">Signature: 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A47CE0" w:rsidRPr="00A47CE0" w:rsidRDefault="00A47CE0" w:rsidP="00A47CE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CE0">
              <w:t>Date:</w:t>
            </w:r>
          </w:p>
        </w:tc>
        <w:tc>
          <w:tcPr>
            <w:tcW w:w="1644" w:type="dxa"/>
            <w:gridSpan w:val="2"/>
            <w:shd w:val="clear" w:color="auto" w:fill="D9D9D9" w:themeFill="background1" w:themeFillShade="D9"/>
          </w:tcPr>
          <w:p w:rsidR="00A47CE0" w:rsidRPr="00A47CE0" w:rsidRDefault="00A47CE0" w:rsidP="00A47CE0">
            <w:r w:rsidRPr="00A47CE0">
              <w:t>Time:</w:t>
            </w:r>
          </w:p>
          <w:p w:rsidR="00A47CE0" w:rsidRPr="00A47CE0" w:rsidRDefault="00A47CE0" w:rsidP="00A47CE0"/>
        </w:tc>
      </w:tr>
      <w:bookmarkEnd w:id="1"/>
    </w:tbl>
    <w:p w:rsidR="00B3726E" w:rsidRPr="00A417CC" w:rsidRDefault="00B3726E" w:rsidP="00A417CC"/>
    <w:sectPr w:rsidR="00B3726E" w:rsidRPr="00A417CC" w:rsidSect="00A47CE0">
      <w:footerReference w:type="first" r:id="rId8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8A" w:rsidRDefault="004C128A" w:rsidP="00856708">
      <w:pPr>
        <w:spacing w:after="0"/>
      </w:pPr>
      <w:r>
        <w:separator/>
      </w:r>
    </w:p>
  </w:endnote>
  <w:endnote w:type="continuationSeparator" w:id="0">
    <w:p w:rsidR="004C128A" w:rsidRDefault="004C128A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Pr="009D263F" w:rsidRDefault="00D229AF">
    <w:pPr>
      <w:pStyle w:val="Footer"/>
      <w:rPr>
        <w:sz w:val="18"/>
      </w:rPr>
    </w:pPr>
    <w:r w:rsidRPr="009D263F">
      <w:rPr>
        <w:sz w:val="18"/>
      </w:rPr>
      <w:t>National Blood Authority 2014</w:t>
    </w:r>
    <w:r w:rsidRPr="009D263F">
      <w:rPr>
        <w:sz w:val="18"/>
      </w:rPr>
      <w:ptab w:relativeTo="margin" w:alignment="center" w:leader="none"/>
    </w:r>
    <w:r w:rsidRPr="009D263F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8A" w:rsidRDefault="004C128A" w:rsidP="00856708">
      <w:pPr>
        <w:spacing w:after="0"/>
      </w:pPr>
      <w:r>
        <w:separator/>
      </w:r>
    </w:p>
  </w:footnote>
  <w:footnote w:type="continuationSeparator" w:id="0">
    <w:p w:rsidR="004C128A" w:rsidRDefault="004C128A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630D6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31627A"/>
    <w:multiLevelType w:val="multilevel"/>
    <w:tmpl w:val="FED2734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</w:lvl>
  </w:abstractNum>
  <w:abstractNum w:abstractNumId="2">
    <w:nsid w:val="09B75FCC"/>
    <w:multiLevelType w:val="hybridMultilevel"/>
    <w:tmpl w:val="D70433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C4C4B0E"/>
    <w:multiLevelType w:val="hybridMultilevel"/>
    <w:tmpl w:val="3DB4A4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C5F2D61"/>
    <w:multiLevelType w:val="hybridMultilevel"/>
    <w:tmpl w:val="4D760786"/>
    <w:lvl w:ilvl="0" w:tplc="0C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9F26DB"/>
    <w:multiLevelType w:val="multilevel"/>
    <w:tmpl w:val="7296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3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5F02A5"/>
    <w:multiLevelType w:val="multilevel"/>
    <w:tmpl w:val="8FC4C34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2537F2"/>
    <w:rsid w:val="00295CD3"/>
    <w:rsid w:val="003C61E5"/>
    <w:rsid w:val="003D27F1"/>
    <w:rsid w:val="004C128A"/>
    <w:rsid w:val="004D4636"/>
    <w:rsid w:val="00540020"/>
    <w:rsid w:val="005F3960"/>
    <w:rsid w:val="0075034A"/>
    <w:rsid w:val="007E751F"/>
    <w:rsid w:val="00856708"/>
    <w:rsid w:val="00893E0A"/>
    <w:rsid w:val="00951B85"/>
    <w:rsid w:val="009D263F"/>
    <w:rsid w:val="009E38CC"/>
    <w:rsid w:val="00A417CC"/>
    <w:rsid w:val="00A47CE0"/>
    <w:rsid w:val="00AA0DE7"/>
    <w:rsid w:val="00B3726E"/>
    <w:rsid w:val="00C100EA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6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8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  <w:style w:type="table" w:customStyle="1" w:styleId="TableGrid5">
    <w:name w:val="Table Grid5"/>
    <w:basedOn w:val="TableNormal"/>
    <w:next w:val="TableGrid"/>
    <w:rsid w:val="00A47CE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6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8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  <w:style w:type="table" w:customStyle="1" w:styleId="TableGrid5">
    <w:name w:val="Table Grid5"/>
    <w:basedOn w:val="TableNormal"/>
    <w:next w:val="TableGrid"/>
    <w:rsid w:val="00A47CE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6138D227</Template>
  <TotalTime>0</TotalTime>
  <Pages>1</Pages>
  <Words>400</Words>
  <Characters>2191</Characters>
  <Application>Microsoft Office Word</Application>
  <DocSecurity>0</DocSecurity>
  <Lines>273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2014-03-03T04:52:00Z</dcterms:created>
  <dcterms:modified xsi:type="dcterms:W3CDTF">2014-03-03T04:52:00Z</dcterms:modified>
</cp:coreProperties>
</file>