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FC469" w14:textId="4B7F85FB" w:rsidR="00A86DC6" w:rsidRPr="00666493" w:rsidRDefault="00A86DC6" w:rsidP="00A86DC6">
      <w:pPr>
        <w:pStyle w:val="Heading3"/>
        <w:rPr>
          <w:rFonts w:asciiTheme="minorHAnsi" w:hAnsiTheme="minorHAnsi"/>
          <w:sz w:val="22"/>
          <w:szCs w:val="22"/>
        </w:rPr>
      </w:pPr>
      <w:r w:rsidRPr="00666493">
        <w:rPr>
          <w:rFonts w:asciiTheme="minorHAnsi" w:hAnsiTheme="minorHAnsi"/>
          <w:sz w:val="22"/>
          <w:szCs w:val="22"/>
        </w:rPr>
        <w:t xml:space="preserve">Specialist Working Group for </w:t>
      </w:r>
      <w:r w:rsidR="00DA29E8" w:rsidRPr="00666493">
        <w:rPr>
          <w:rFonts w:asciiTheme="minorHAnsi" w:hAnsiTheme="minorHAnsi"/>
          <w:sz w:val="22"/>
          <w:szCs w:val="22"/>
        </w:rPr>
        <w:t>Haematology</w:t>
      </w:r>
    </w:p>
    <w:p w14:paraId="6D151CD3" w14:textId="318C2B01" w:rsidR="00A86DC6" w:rsidRDefault="00A86DC6" w:rsidP="00B658AF">
      <w:pPr>
        <w:pStyle w:val="Heading4"/>
        <w:rPr>
          <w:rFonts w:asciiTheme="minorHAnsi" w:hAnsiTheme="minorHAnsi"/>
          <w:i/>
        </w:rPr>
      </w:pPr>
      <w:r w:rsidRPr="00666493">
        <w:rPr>
          <w:rFonts w:asciiTheme="minorHAnsi" w:hAnsiTheme="minorHAnsi"/>
        </w:rPr>
        <w:t xml:space="preserve">Proposed changes to the </w:t>
      </w:r>
      <w:r w:rsidRPr="00666493">
        <w:rPr>
          <w:rFonts w:asciiTheme="minorHAnsi" w:hAnsiTheme="minorHAnsi"/>
          <w:i/>
        </w:rPr>
        <w:t>Criteria for the clinical use of intravenous immunoglobulin in Australia, Second Edition</w:t>
      </w:r>
    </w:p>
    <w:p w14:paraId="695A8CC5" w14:textId="77777777" w:rsidR="00B658AF" w:rsidRPr="00B658AF" w:rsidRDefault="00B658AF" w:rsidP="00B658AF">
      <w:bookmarkStart w:id="0" w:name="_GoBack"/>
      <w:bookmarkEnd w:id="0"/>
    </w:p>
    <w:tbl>
      <w:tblPr>
        <w:tblStyle w:val="TableGrid"/>
        <w:tblW w:w="20129" w:type="dxa"/>
        <w:tblInd w:w="-34" w:type="dxa"/>
        <w:tblLayout w:type="fixed"/>
        <w:tblLook w:val="04A0" w:firstRow="1" w:lastRow="0" w:firstColumn="1" w:lastColumn="0" w:noHBand="0" w:noVBand="1"/>
      </w:tblPr>
      <w:tblGrid>
        <w:gridCol w:w="1689"/>
        <w:gridCol w:w="4690"/>
        <w:gridCol w:w="1535"/>
        <w:gridCol w:w="1242"/>
        <w:gridCol w:w="1759"/>
        <w:gridCol w:w="4678"/>
        <w:gridCol w:w="4536"/>
      </w:tblGrid>
      <w:tr w:rsidR="00E83DB7" w:rsidRPr="00666493" w14:paraId="3ACDA2AF" w14:textId="77777777" w:rsidTr="00076968">
        <w:trPr>
          <w:gridAfter w:val="1"/>
          <w:wAfter w:w="4536" w:type="dxa"/>
          <w:trHeight w:val="699"/>
          <w:tblHeader/>
        </w:trPr>
        <w:tc>
          <w:tcPr>
            <w:tcW w:w="1689" w:type="dxa"/>
            <w:shd w:val="clear" w:color="auto" w:fill="DBE5F1" w:themeFill="accent1" w:themeFillTint="33"/>
          </w:tcPr>
          <w:p w14:paraId="332BACE5" w14:textId="33DE2A9A" w:rsidR="00E83DB7" w:rsidRPr="00666493" w:rsidRDefault="00E83DB7" w:rsidP="00D764F3">
            <w:pPr>
              <w:rPr>
                <w:rFonts w:asciiTheme="minorHAnsi" w:hAnsiTheme="minorHAnsi"/>
                <w:b/>
              </w:rPr>
            </w:pPr>
            <w:r w:rsidRPr="00666493">
              <w:rPr>
                <w:rFonts w:asciiTheme="minorHAnsi" w:hAnsiTheme="minorHAnsi"/>
                <w:b/>
              </w:rPr>
              <w:t>ITEM</w:t>
            </w:r>
          </w:p>
        </w:tc>
        <w:tc>
          <w:tcPr>
            <w:tcW w:w="4690" w:type="dxa"/>
            <w:shd w:val="clear" w:color="auto" w:fill="DBE5F1" w:themeFill="accent1" w:themeFillTint="33"/>
          </w:tcPr>
          <w:p w14:paraId="2D94AC34" w14:textId="0225FA80" w:rsidR="00E83DB7" w:rsidRPr="00666493" w:rsidRDefault="00A86DC6" w:rsidP="00A23319">
            <w:pPr>
              <w:rPr>
                <w:rFonts w:asciiTheme="minorHAnsi" w:hAnsiTheme="minorHAnsi"/>
                <w:b/>
              </w:rPr>
            </w:pPr>
            <w:r w:rsidRPr="00666493">
              <w:rPr>
                <w:rFonts w:asciiTheme="minorHAnsi" w:hAnsiTheme="minorHAnsi"/>
                <w:b/>
              </w:rPr>
              <w:t>CRITERIA FOR THE CLINICAL USE OF INTRAVENOUS IMMUNOGLOBULIN IN AUSTRALIA, SECOND EDITION (CRITERIA)</w:t>
            </w:r>
          </w:p>
        </w:tc>
        <w:tc>
          <w:tcPr>
            <w:tcW w:w="4536" w:type="dxa"/>
            <w:gridSpan w:val="3"/>
            <w:shd w:val="clear" w:color="auto" w:fill="DBE5F1" w:themeFill="accent1" w:themeFillTint="33"/>
          </w:tcPr>
          <w:p w14:paraId="3B9F06A8" w14:textId="0607BB9F" w:rsidR="00E83DB7" w:rsidRPr="00666493" w:rsidRDefault="00E83DB7" w:rsidP="00A86DC6">
            <w:pPr>
              <w:rPr>
                <w:rFonts w:asciiTheme="minorHAnsi" w:hAnsiTheme="minorHAnsi"/>
                <w:b/>
              </w:rPr>
            </w:pPr>
            <w:r w:rsidRPr="00666493">
              <w:rPr>
                <w:rFonts w:asciiTheme="minorHAnsi" w:hAnsiTheme="minorHAnsi"/>
                <w:b/>
              </w:rPr>
              <w:t xml:space="preserve">PROPOSED REVISIONS TO THE CRITERIA </w:t>
            </w:r>
          </w:p>
        </w:tc>
        <w:tc>
          <w:tcPr>
            <w:tcW w:w="4678" w:type="dxa"/>
            <w:shd w:val="clear" w:color="auto" w:fill="DBE5F1" w:themeFill="accent1" w:themeFillTint="33"/>
          </w:tcPr>
          <w:p w14:paraId="5ECF249C" w14:textId="77777777" w:rsidR="00E83DB7" w:rsidRPr="00666493" w:rsidRDefault="00E83DB7" w:rsidP="00666493">
            <w:pPr>
              <w:rPr>
                <w:rFonts w:asciiTheme="minorHAnsi" w:eastAsia="Times New Roman" w:hAnsiTheme="minorHAnsi" w:cs="Times New Roman"/>
                <w:b/>
                <w:bCs/>
                <w:lang w:eastAsia="en-AU"/>
              </w:rPr>
            </w:pPr>
            <w:r w:rsidRPr="00666493">
              <w:rPr>
                <w:rFonts w:asciiTheme="minorHAnsi" w:eastAsia="Times New Roman" w:hAnsiTheme="minorHAnsi" w:cs="Times New Roman"/>
                <w:b/>
                <w:bCs/>
                <w:lang w:eastAsia="en-AU"/>
              </w:rPr>
              <w:t>SWG RATIONALE FOR PROPOSED CHANGE</w:t>
            </w:r>
          </w:p>
          <w:p w14:paraId="4BBC5CBF" w14:textId="77777777" w:rsidR="00E83DB7" w:rsidRPr="00666493" w:rsidRDefault="00E83DB7" w:rsidP="00666493">
            <w:pPr>
              <w:rPr>
                <w:rFonts w:asciiTheme="minorHAnsi" w:eastAsia="Times New Roman" w:hAnsiTheme="minorHAnsi" w:cs="Times New Roman"/>
                <w:b/>
                <w:bCs/>
                <w:lang w:eastAsia="en-AU"/>
              </w:rPr>
            </w:pPr>
            <w:r w:rsidRPr="00666493">
              <w:rPr>
                <w:rFonts w:asciiTheme="minorHAnsi" w:eastAsia="Times New Roman" w:hAnsiTheme="minorHAnsi" w:cs="Times New Roman"/>
                <w:b/>
                <w:bCs/>
                <w:lang w:eastAsia="en-AU"/>
              </w:rPr>
              <w:t>(A) Administrative)</w:t>
            </w:r>
          </w:p>
          <w:p w14:paraId="143EF0B1" w14:textId="77777777" w:rsidR="00E83DB7" w:rsidRPr="00666493" w:rsidRDefault="00E83DB7" w:rsidP="00666493">
            <w:pPr>
              <w:rPr>
                <w:rFonts w:asciiTheme="minorHAnsi" w:eastAsia="Times New Roman" w:hAnsiTheme="minorHAnsi" w:cs="Times New Roman"/>
                <w:b/>
                <w:bCs/>
                <w:lang w:eastAsia="en-AU"/>
              </w:rPr>
            </w:pPr>
            <w:r w:rsidRPr="00666493">
              <w:rPr>
                <w:rFonts w:asciiTheme="minorHAnsi" w:eastAsia="Times New Roman" w:hAnsiTheme="minorHAnsi" w:cs="Times New Roman"/>
                <w:b/>
                <w:bCs/>
                <w:lang w:eastAsia="en-AU"/>
              </w:rPr>
              <w:t xml:space="preserve">(B) Progressive </w:t>
            </w:r>
          </w:p>
          <w:p w14:paraId="4DA47FF4" w14:textId="77777777" w:rsidR="00E83DB7" w:rsidRPr="00666493" w:rsidRDefault="00E83DB7" w:rsidP="00666493">
            <w:pPr>
              <w:rPr>
                <w:rFonts w:asciiTheme="minorHAnsi" w:eastAsia="Times New Roman" w:hAnsiTheme="minorHAnsi" w:cs="Times New Roman"/>
                <w:b/>
                <w:bCs/>
                <w:lang w:eastAsia="en-AU"/>
              </w:rPr>
            </w:pPr>
            <w:r w:rsidRPr="00666493">
              <w:rPr>
                <w:rFonts w:asciiTheme="minorHAnsi" w:eastAsia="Times New Roman" w:hAnsiTheme="minorHAnsi" w:cs="Times New Roman"/>
                <w:b/>
                <w:bCs/>
                <w:lang w:eastAsia="en-AU"/>
              </w:rPr>
              <w:t>(C) Programmed</w:t>
            </w:r>
          </w:p>
        </w:tc>
      </w:tr>
      <w:tr w:rsidR="00010AAD" w:rsidRPr="00666493" w14:paraId="2F343A66" w14:textId="77777777" w:rsidTr="00076968">
        <w:trPr>
          <w:gridAfter w:val="1"/>
          <w:wAfter w:w="4536" w:type="dxa"/>
          <w:trHeight w:val="699"/>
        </w:trPr>
        <w:tc>
          <w:tcPr>
            <w:tcW w:w="1689" w:type="dxa"/>
            <w:shd w:val="clear" w:color="auto" w:fill="D9D9D9" w:themeFill="background1" w:themeFillShade="D9"/>
          </w:tcPr>
          <w:p w14:paraId="7DE6F4C1" w14:textId="77777777" w:rsidR="00010AAD" w:rsidRPr="00666493" w:rsidRDefault="00010AAD" w:rsidP="00010AAD">
            <w:pPr>
              <w:rPr>
                <w:rFonts w:asciiTheme="minorHAnsi" w:hAnsiTheme="minorHAnsi"/>
                <w:b/>
              </w:rPr>
            </w:pPr>
            <w:r w:rsidRPr="00666493">
              <w:rPr>
                <w:rFonts w:asciiTheme="minorHAnsi" w:hAnsiTheme="minorHAnsi"/>
                <w:b/>
              </w:rPr>
              <w:t>Condition Name</w:t>
            </w:r>
          </w:p>
        </w:tc>
        <w:tc>
          <w:tcPr>
            <w:tcW w:w="4690" w:type="dxa"/>
          </w:tcPr>
          <w:p w14:paraId="20488082" w14:textId="5438A8E4" w:rsidR="00010AAD" w:rsidRPr="00666493" w:rsidRDefault="008A3CF9" w:rsidP="00010AAD">
            <w:pPr>
              <w:rPr>
                <w:rFonts w:asciiTheme="minorHAnsi" w:eastAsia="Times New Roman" w:hAnsiTheme="minorHAnsi" w:cs="Times New Roman"/>
                <w:bCs/>
                <w:lang w:eastAsia="en-AU"/>
              </w:rPr>
            </w:pPr>
            <w:r>
              <w:rPr>
                <w:rFonts w:asciiTheme="minorHAnsi" w:eastAsia="Times New Roman" w:hAnsiTheme="minorHAnsi" w:cs="Times New Roman"/>
                <w:bCs/>
                <w:lang w:eastAsia="en-AU"/>
              </w:rPr>
              <w:t>Autoimmune haemolytic anaemia</w:t>
            </w:r>
          </w:p>
        </w:tc>
        <w:tc>
          <w:tcPr>
            <w:tcW w:w="4536" w:type="dxa"/>
            <w:gridSpan w:val="3"/>
          </w:tcPr>
          <w:p w14:paraId="1876C063" w14:textId="34656FCF" w:rsidR="00010AAD" w:rsidRPr="00666493" w:rsidRDefault="008A3CF9" w:rsidP="00010AAD">
            <w:pPr>
              <w:rPr>
                <w:rFonts w:asciiTheme="minorHAnsi" w:hAnsiTheme="minorHAnsi"/>
              </w:rPr>
            </w:pPr>
            <w:r>
              <w:rPr>
                <w:rFonts w:asciiTheme="minorHAnsi" w:eastAsia="Times New Roman" w:hAnsiTheme="minorHAnsi" w:cs="Times New Roman"/>
                <w:bCs/>
                <w:lang w:eastAsia="en-AU"/>
              </w:rPr>
              <w:t>Autoimmune haemolytic anaemia (AIHA)</w:t>
            </w:r>
          </w:p>
        </w:tc>
        <w:tc>
          <w:tcPr>
            <w:tcW w:w="4678" w:type="dxa"/>
          </w:tcPr>
          <w:p w14:paraId="1EBF628B" w14:textId="77777777" w:rsidR="00010AAD" w:rsidRPr="00666493" w:rsidRDefault="00010AAD" w:rsidP="00666493">
            <w:pPr>
              <w:rPr>
                <w:rFonts w:asciiTheme="minorHAnsi" w:eastAsia="Times New Roman" w:hAnsiTheme="minorHAnsi" w:cs="Times New Roman"/>
                <w:b/>
                <w:bCs/>
                <w:lang w:eastAsia="en-AU"/>
              </w:rPr>
            </w:pPr>
          </w:p>
        </w:tc>
      </w:tr>
      <w:tr w:rsidR="00010AAD" w:rsidRPr="00666493" w14:paraId="5F7B944F" w14:textId="77777777" w:rsidTr="00076968">
        <w:trPr>
          <w:gridAfter w:val="1"/>
          <w:wAfter w:w="4536" w:type="dxa"/>
          <w:trHeight w:val="406"/>
        </w:trPr>
        <w:tc>
          <w:tcPr>
            <w:tcW w:w="1689" w:type="dxa"/>
            <w:shd w:val="clear" w:color="auto" w:fill="D9D9D9" w:themeFill="background1" w:themeFillShade="D9"/>
          </w:tcPr>
          <w:p w14:paraId="01B134F9" w14:textId="77777777" w:rsidR="00010AAD" w:rsidRPr="00666493" w:rsidRDefault="00010AAD" w:rsidP="00010AAD">
            <w:pPr>
              <w:rPr>
                <w:rFonts w:asciiTheme="minorHAnsi" w:hAnsiTheme="minorHAnsi"/>
                <w:b/>
              </w:rPr>
            </w:pPr>
            <w:r w:rsidRPr="00666493">
              <w:rPr>
                <w:rFonts w:asciiTheme="minorHAnsi" w:hAnsiTheme="minorHAnsi"/>
                <w:b/>
              </w:rPr>
              <w:t>Specialty</w:t>
            </w:r>
          </w:p>
        </w:tc>
        <w:tc>
          <w:tcPr>
            <w:tcW w:w="4690" w:type="dxa"/>
          </w:tcPr>
          <w:p w14:paraId="0649E6BD" w14:textId="752E1E37" w:rsidR="00010AAD" w:rsidRPr="00666493" w:rsidRDefault="00010AAD" w:rsidP="00010AAD">
            <w:pPr>
              <w:rPr>
                <w:rFonts w:asciiTheme="minorHAnsi" w:hAnsiTheme="minorHAnsi"/>
              </w:rPr>
            </w:pPr>
            <w:r w:rsidRPr="00666493">
              <w:rPr>
                <w:rFonts w:asciiTheme="minorHAnsi" w:hAnsiTheme="minorHAnsi"/>
              </w:rPr>
              <w:t>Haematology</w:t>
            </w:r>
          </w:p>
        </w:tc>
        <w:tc>
          <w:tcPr>
            <w:tcW w:w="4536" w:type="dxa"/>
            <w:gridSpan w:val="3"/>
          </w:tcPr>
          <w:p w14:paraId="5C258F91" w14:textId="054A1FB1" w:rsidR="00010AAD" w:rsidRPr="00666493" w:rsidRDefault="00010AAD" w:rsidP="00010AAD">
            <w:pPr>
              <w:rPr>
                <w:rFonts w:asciiTheme="minorHAnsi" w:hAnsiTheme="minorHAnsi"/>
              </w:rPr>
            </w:pPr>
            <w:r w:rsidRPr="00666493">
              <w:rPr>
                <w:rFonts w:asciiTheme="minorHAnsi" w:hAnsiTheme="minorHAnsi"/>
              </w:rPr>
              <w:t>Haematology</w:t>
            </w:r>
          </w:p>
        </w:tc>
        <w:tc>
          <w:tcPr>
            <w:tcW w:w="4678" w:type="dxa"/>
          </w:tcPr>
          <w:p w14:paraId="28019345" w14:textId="77777777" w:rsidR="00010AAD" w:rsidRPr="00666493" w:rsidRDefault="00010AAD" w:rsidP="00666493">
            <w:pPr>
              <w:rPr>
                <w:rFonts w:asciiTheme="minorHAnsi" w:hAnsiTheme="minorHAnsi"/>
              </w:rPr>
            </w:pPr>
          </w:p>
        </w:tc>
      </w:tr>
      <w:tr w:rsidR="00DA29E8" w:rsidRPr="00666493" w14:paraId="1AD96B48" w14:textId="77777777" w:rsidTr="00076968">
        <w:trPr>
          <w:gridAfter w:val="1"/>
          <w:wAfter w:w="4536" w:type="dxa"/>
          <w:trHeight w:val="417"/>
        </w:trPr>
        <w:tc>
          <w:tcPr>
            <w:tcW w:w="1689" w:type="dxa"/>
            <w:shd w:val="clear" w:color="auto" w:fill="D9D9D9" w:themeFill="background1" w:themeFillShade="D9"/>
          </w:tcPr>
          <w:p w14:paraId="22F5772A" w14:textId="77777777" w:rsidR="00DA29E8" w:rsidRPr="00666493" w:rsidRDefault="00DA29E8" w:rsidP="00D764F3">
            <w:pPr>
              <w:rPr>
                <w:rFonts w:asciiTheme="minorHAnsi" w:hAnsiTheme="minorHAnsi"/>
                <w:b/>
              </w:rPr>
            </w:pPr>
            <w:r w:rsidRPr="00666493">
              <w:rPr>
                <w:rFonts w:asciiTheme="minorHAnsi" w:hAnsiTheme="minorHAnsi"/>
                <w:b/>
              </w:rPr>
              <w:t>Chapter</w:t>
            </w:r>
          </w:p>
        </w:tc>
        <w:tc>
          <w:tcPr>
            <w:tcW w:w="4690" w:type="dxa"/>
          </w:tcPr>
          <w:p w14:paraId="3DE93F47" w14:textId="04A20B44" w:rsidR="00DA29E8" w:rsidRPr="00666493" w:rsidRDefault="00666493" w:rsidP="00D764F3">
            <w:pPr>
              <w:rPr>
                <w:rFonts w:asciiTheme="minorHAnsi" w:hAnsiTheme="minorHAnsi"/>
              </w:rPr>
            </w:pPr>
            <w:r w:rsidRPr="00666493">
              <w:rPr>
                <w:rFonts w:asciiTheme="minorHAnsi" w:hAnsiTheme="minorHAnsi"/>
              </w:rPr>
              <w:t>6</w:t>
            </w:r>
          </w:p>
        </w:tc>
        <w:tc>
          <w:tcPr>
            <w:tcW w:w="4536" w:type="dxa"/>
            <w:gridSpan w:val="3"/>
            <w:shd w:val="clear" w:color="auto" w:fill="auto"/>
          </w:tcPr>
          <w:p w14:paraId="382D6966" w14:textId="55538DD4" w:rsidR="00DA29E8" w:rsidRPr="00666493" w:rsidRDefault="00666493" w:rsidP="00D764F3">
            <w:pPr>
              <w:rPr>
                <w:rFonts w:asciiTheme="minorHAnsi" w:hAnsiTheme="minorHAnsi"/>
              </w:rPr>
            </w:pPr>
            <w:r w:rsidRPr="00666493">
              <w:rPr>
                <w:rFonts w:asciiTheme="minorHAnsi" w:hAnsiTheme="minorHAnsi"/>
              </w:rPr>
              <w:t>6</w:t>
            </w:r>
          </w:p>
        </w:tc>
        <w:tc>
          <w:tcPr>
            <w:tcW w:w="4678" w:type="dxa"/>
          </w:tcPr>
          <w:p w14:paraId="41314964" w14:textId="77777777" w:rsidR="00DA29E8" w:rsidRPr="00666493" w:rsidRDefault="00DA29E8" w:rsidP="00666493">
            <w:pPr>
              <w:rPr>
                <w:rFonts w:asciiTheme="minorHAnsi" w:hAnsiTheme="minorHAnsi"/>
              </w:rPr>
            </w:pPr>
          </w:p>
        </w:tc>
      </w:tr>
      <w:tr w:rsidR="00666493" w:rsidRPr="00666493" w14:paraId="7BFB40CA" w14:textId="77777777" w:rsidTr="00076968">
        <w:trPr>
          <w:gridAfter w:val="1"/>
          <w:wAfter w:w="4536" w:type="dxa"/>
        </w:trPr>
        <w:tc>
          <w:tcPr>
            <w:tcW w:w="1689" w:type="dxa"/>
            <w:shd w:val="clear" w:color="auto" w:fill="D9D9D9" w:themeFill="background1" w:themeFillShade="D9"/>
          </w:tcPr>
          <w:p w14:paraId="21F5567D" w14:textId="77777777" w:rsidR="00666493" w:rsidRPr="00666493" w:rsidRDefault="00666493" w:rsidP="00666493">
            <w:pPr>
              <w:rPr>
                <w:rFonts w:asciiTheme="minorHAnsi" w:hAnsiTheme="minorHAnsi"/>
                <w:b/>
              </w:rPr>
            </w:pPr>
            <w:r w:rsidRPr="00666493">
              <w:rPr>
                <w:rFonts w:asciiTheme="minorHAnsi" w:hAnsiTheme="minorHAnsi"/>
                <w:b/>
              </w:rPr>
              <w:t>Specific Conditions</w:t>
            </w:r>
          </w:p>
          <w:p w14:paraId="5C03CF20" w14:textId="77777777" w:rsidR="00666493" w:rsidRPr="00666493" w:rsidRDefault="00666493" w:rsidP="00666493">
            <w:pPr>
              <w:rPr>
                <w:rFonts w:asciiTheme="minorHAnsi" w:hAnsiTheme="minorHAnsi"/>
                <w:b/>
              </w:rPr>
            </w:pPr>
          </w:p>
        </w:tc>
        <w:tc>
          <w:tcPr>
            <w:tcW w:w="4690" w:type="dxa"/>
          </w:tcPr>
          <w:p w14:paraId="192DF70A" w14:textId="77777777" w:rsidR="00666493" w:rsidRPr="00666493" w:rsidRDefault="00666493" w:rsidP="00666493">
            <w:pPr>
              <w:rPr>
                <w:rFonts w:asciiTheme="minorHAnsi" w:eastAsia="Times New Roman" w:hAnsiTheme="minorHAnsi" w:cs="Times New Roman"/>
                <w:bCs/>
                <w:lang w:eastAsia="en-AU"/>
              </w:rPr>
            </w:pPr>
          </w:p>
        </w:tc>
        <w:tc>
          <w:tcPr>
            <w:tcW w:w="4536" w:type="dxa"/>
            <w:gridSpan w:val="3"/>
            <w:shd w:val="clear" w:color="auto" w:fill="auto"/>
          </w:tcPr>
          <w:p w14:paraId="40C3A065" w14:textId="77777777" w:rsidR="00666493" w:rsidRPr="00666493" w:rsidRDefault="00666493" w:rsidP="00666493">
            <w:pPr>
              <w:rPr>
                <w:rFonts w:asciiTheme="minorHAnsi" w:hAnsiTheme="minorHAnsi"/>
              </w:rPr>
            </w:pPr>
            <w:r w:rsidRPr="00666493">
              <w:rPr>
                <w:rFonts w:asciiTheme="minorHAnsi" w:hAnsiTheme="minorHAnsi"/>
              </w:rPr>
              <w:t xml:space="preserve">Evan’s Syndrome </w:t>
            </w:r>
          </w:p>
          <w:p w14:paraId="12A16101" w14:textId="2BED1257" w:rsidR="00666493" w:rsidRPr="00666493" w:rsidRDefault="00666493" w:rsidP="00666493">
            <w:pPr>
              <w:shd w:val="clear" w:color="auto" w:fill="FFFFFF"/>
              <w:spacing w:before="100" w:beforeAutospacing="1" w:after="100" w:afterAutospacing="1"/>
              <w:rPr>
                <w:rFonts w:asciiTheme="minorHAnsi" w:hAnsiTheme="minorHAnsi"/>
              </w:rPr>
            </w:pPr>
            <w:r w:rsidRPr="00666493">
              <w:rPr>
                <w:rFonts w:asciiTheme="minorHAnsi" w:hAnsiTheme="minorHAnsi"/>
              </w:rPr>
              <w:t>AIHA</w:t>
            </w:r>
          </w:p>
        </w:tc>
        <w:tc>
          <w:tcPr>
            <w:tcW w:w="4678" w:type="dxa"/>
          </w:tcPr>
          <w:p w14:paraId="54131AE2" w14:textId="40E570AB" w:rsidR="00666493" w:rsidRPr="00666493" w:rsidRDefault="00666493" w:rsidP="00666493">
            <w:pPr>
              <w:rPr>
                <w:rFonts w:asciiTheme="minorHAnsi" w:eastAsia="Times New Roman" w:hAnsiTheme="minorHAnsi" w:cs="Times New Roman"/>
                <w:bCs/>
                <w:lang w:eastAsia="en-AU"/>
              </w:rPr>
            </w:pPr>
            <w:r w:rsidRPr="00666493">
              <w:rPr>
                <w:rFonts w:asciiTheme="minorHAnsi" w:hAnsiTheme="minorHAnsi"/>
              </w:rPr>
              <w:t xml:space="preserve">Evan’s Syndrome to be listed as a specific condition for data purposes in both ITP and AIHA given that is recommended to no longer be a separate condition. </w:t>
            </w:r>
          </w:p>
        </w:tc>
      </w:tr>
      <w:tr w:rsidR="00010AAD" w:rsidRPr="00666493" w14:paraId="4B8F715A" w14:textId="77777777" w:rsidTr="00076968">
        <w:trPr>
          <w:gridAfter w:val="1"/>
          <w:wAfter w:w="4536" w:type="dxa"/>
          <w:trHeight w:val="424"/>
        </w:trPr>
        <w:tc>
          <w:tcPr>
            <w:tcW w:w="1689" w:type="dxa"/>
            <w:shd w:val="clear" w:color="auto" w:fill="D9D9D9" w:themeFill="background1" w:themeFillShade="D9"/>
          </w:tcPr>
          <w:p w14:paraId="70F18CC7" w14:textId="77777777" w:rsidR="00010AAD" w:rsidRPr="00666493" w:rsidRDefault="00010AAD" w:rsidP="00010AAD">
            <w:pPr>
              <w:rPr>
                <w:rFonts w:asciiTheme="minorHAnsi" w:hAnsiTheme="minorHAnsi"/>
                <w:b/>
              </w:rPr>
            </w:pPr>
            <w:r w:rsidRPr="00666493">
              <w:rPr>
                <w:rFonts w:asciiTheme="minorHAnsi" w:hAnsiTheme="minorHAnsi"/>
                <w:b/>
              </w:rPr>
              <w:t>Level of Evidence</w:t>
            </w:r>
          </w:p>
          <w:p w14:paraId="7DB290D2" w14:textId="77777777" w:rsidR="00010AAD" w:rsidRPr="00666493" w:rsidRDefault="00010AAD" w:rsidP="00010AAD">
            <w:pPr>
              <w:rPr>
                <w:rFonts w:asciiTheme="minorHAnsi" w:hAnsiTheme="minorHAnsi"/>
              </w:rPr>
            </w:pPr>
          </w:p>
        </w:tc>
        <w:tc>
          <w:tcPr>
            <w:tcW w:w="4690" w:type="dxa"/>
          </w:tcPr>
          <w:p w14:paraId="466AC319" w14:textId="00AC295D" w:rsidR="00010AAD" w:rsidRPr="00666493" w:rsidRDefault="00010AAD" w:rsidP="00010AAD">
            <w:pPr>
              <w:rPr>
                <w:rFonts w:asciiTheme="minorHAnsi" w:eastAsia="Times New Roman" w:hAnsiTheme="minorHAnsi" w:cs="Times New Roman"/>
                <w:lang w:eastAsia="en-AU"/>
              </w:rPr>
            </w:pPr>
            <w:r w:rsidRPr="00666493">
              <w:rPr>
                <w:rFonts w:asciiTheme="minorHAnsi" w:hAnsiTheme="minorHAnsi"/>
                <w:color w:val="000000"/>
              </w:rPr>
              <w:t>Small case studies only; insufficient data (</w:t>
            </w:r>
            <w:hyperlink r:id="rId12" w:anchor="el-4a" w:history="1">
              <w:r w:rsidRPr="00666493">
                <w:rPr>
                  <w:rStyle w:val="Hyperlink"/>
                  <w:rFonts w:asciiTheme="minorHAnsi" w:hAnsiTheme="minorHAnsi"/>
                </w:rPr>
                <w:t>Category 4a</w:t>
              </w:r>
            </w:hyperlink>
            <w:r w:rsidRPr="00666493">
              <w:rPr>
                <w:rFonts w:asciiTheme="minorHAnsi" w:hAnsiTheme="minorHAnsi"/>
                <w:color w:val="000000"/>
              </w:rPr>
              <w:t>).</w:t>
            </w:r>
          </w:p>
        </w:tc>
        <w:tc>
          <w:tcPr>
            <w:tcW w:w="4536" w:type="dxa"/>
            <w:gridSpan w:val="3"/>
            <w:shd w:val="clear" w:color="auto" w:fill="auto"/>
          </w:tcPr>
          <w:p w14:paraId="08CB64D6" w14:textId="67BB972B" w:rsidR="00010AAD" w:rsidRPr="00666493" w:rsidRDefault="00010AAD" w:rsidP="00010AAD">
            <w:pPr>
              <w:rPr>
                <w:rFonts w:asciiTheme="minorHAnsi" w:hAnsiTheme="minorHAnsi" w:cstheme="minorHAnsi"/>
              </w:rPr>
            </w:pPr>
            <w:r w:rsidRPr="00666493">
              <w:rPr>
                <w:rFonts w:asciiTheme="minorHAnsi" w:hAnsiTheme="minorHAnsi"/>
                <w:color w:val="000000"/>
              </w:rPr>
              <w:t>Small case studies only; insufficient data (</w:t>
            </w:r>
            <w:hyperlink r:id="rId13" w:anchor="el-4a" w:history="1">
              <w:r w:rsidRPr="00666493">
                <w:rPr>
                  <w:rStyle w:val="Hyperlink"/>
                  <w:rFonts w:asciiTheme="minorHAnsi" w:hAnsiTheme="minorHAnsi"/>
                </w:rPr>
                <w:t>Category 4a</w:t>
              </w:r>
            </w:hyperlink>
            <w:r w:rsidRPr="00666493">
              <w:rPr>
                <w:rFonts w:asciiTheme="minorHAnsi" w:hAnsiTheme="minorHAnsi"/>
                <w:color w:val="000000"/>
              </w:rPr>
              <w:t>).</w:t>
            </w:r>
          </w:p>
        </w:tc>
        <w:tc>
          <w:tcPr>
            <w:tcW w:w="4678" w:type="dxa"/>
          </w:tcPr>
          <w:p w14:paraId="7DE8158B" w14:textId="77777777" w:rsidR="00010AAD" w:rsidRPr="00666493" w:rsidRDefault="00010AAD" w:rsidP="00666493">
            <w:pPr>
              <w:rPr>
                <w:rFonts w:asciiTheme="minorHAnsi" w:eastAsia="Times New Roman" w:hAnsiTheme="minorHAnsi" w:cs="Times New Roman"/>
                <w:color w:val="000000"/>
                <w:lang w:eastAsia="en-AU"/>
              </w:rPr>
            </w:pPr>
          </w:p>
        </w:tc>
      </w:tr>
      <w:tr w:rsidR="00666493" w:rsidRPr="00666493" w14:paraId="4C2E706A" w14:textId="77777777" w:rsidTr="00076968">
        <w:trPr>
          <w:gridAfter w:val="1"/>
          <w:wAfter w:w="4536" w:type="dxa"/>
          <w:trHeight w:val="984"/>
        </w:trPr>
        <w:tc>
          <w:tcPr>
            <w:tcW w:w="1689" w:type="dxa"/>
            <w:shd w:val="clear" w:color="auto" w:fill="D9D9D9" w:themeFill="background1" w:themeFillShade="D9"/>
          </w:tcPr>
          <w:p w14:paraId="58FC6D46" w14:textId="77777777" w:rsidR="00666493" w:rsidRPr="00666493" w:rsidRDefault="00666493" w:rsidP="00666493">
            <w:pPr>
              <w:rPr>
                <w:rFonts w:asciiTheme="minorHAnsi" w:hAnsiTheme="minorHAnsi"/>
                <w:b/>
              </w:rPr>
            </w:pPr>
            <w:r w:rsidRPr="00666493">
              <w:rPr>
                <w:rFonts w:asciiTheme="minorHAnsi" w:hAnsiTheme="minorHAnsi"/>
                <w:b/>
              </w:rPr>
              <w:t>Justification for Evidence Category</w:t>
            </w:r>
          </w:p>
          <w:p w14:paraId="66F8FFA1" w14:textId="77777777" w:rsidR="00666493" w:rsidRPr="00666493" w:rsidRDefault="00666493" w:rsidP="00666493">
            <w:pPr>
              <w:rPr>
                <w:rFonts w:asciiTheme="minorHAnsi" w:hAnsiTheme="minorHAnsi"/>
                <w:b/>
              </w:rPr>
            </w:pPr>
          </w:p>
        </w:tc>
        <w:tc>
          <w:tcPr>
            <w:tcW w:w="4690" w:type="dxa"/>
          </w:tcPr>
          <w:p w14:paraId="79739E39" w14:textId="59E4569D" w:rsidR="00666493" w:rsidRPr="00666493" w:rsidRDefault="00666493" w:rsidP="00666493">
            <w:pPr>
              <w:spacing w:after="225" w:line="276" w:lineRule="auto"/>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t xml:space="preserve">An analysis of 73 patients with AIHA in 1993 based on three pilot studies and a literature review showed a 40% response to IVIg given together with corticosteroids. A lower initial haemoglobin concentration and hepatomegaly were positive correlates of response. Several small case series have suggested a benefit for IVIg in AIHA associated with lymphoproliferative diseases, especially CLL. On the basis of these findings, IVIg is not supported as standard therapy for AIHA, only in cases refractory to conventional corticosteroid therapy, as a temporising measure before splenectomy or as maintenance therapy where splenectomy or </w:t>
            </w:r>
            <w:r w:rsidRPr="00666493">
              <w:rPr>
                <w:rFonts w:asciiTheme="minorHAnsi" w:eastAsia="Times New Roman" w:hAnsiTheme="minorHAnsi" w:cs="Times New Roman"/>
                <w:color w:val="000000"/>
                <w:lang w:eastAsia="en-AU"/>
              </w:rPr>
              <w:lastRenderedPageBreak/>
              <w:t>immunosuppression are not appropriate.</w:t>
            </w:r>
          </w:p>
        </w:tc>
        <w:tc>
          <w:tcPr>
            <w:tcW w:w="4536" w:type="dxa"/>
            <w:gridSpan w:val="3"/>
            <w:shd w:val="clear" w:color="auto" w:fill="auto"/>
          </w:tcPr>
          <w:p w14:paraId="27DB992E" w14:textId="77777777" w:rsidR="00666493" w:rsidRPr="00666493" w:rsidRDefault="00666493" w:rsidP="00666493">
            <w:pPr>
              <w:spacing w:after="225"/>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lastRenderedPageBreak/>
              <w:t>An analysis of 73 patients with AIHA in 1993 based on three pilot studies and a literature review showed a 40% response to IVIg given together with corticosteroids. A lower initial haemoglobin concentration and hepatomegaly were positive correlates of response. Several small case series have suggested a benefit for IVIg in AIHA associated with lymphoproliferative diseases, especially CLL. On the basis of these findings, IVIg is not supported as standard therapy for AIHA, only in cases refractory to conventional corticosteroid therapy, as a temporising measure before splenectomy or as maintenance therapy where splenectomy or immunosuppression are not appropriate.</w:t>
            </w:r>
          </w:p>
          <w:p w14:paraId="2E9052E1" w14:textId="77777777" w:rsidR="00666493" w:rsidRPr="00666493" w:rsidRDefault="00666493" w:rsidP="00666493">
            <w:pPr>
              <w:spacing w:after="225"/>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t xml:space="preserve">A 2005 review on the management of Evans </w:t>
            </w:r>
            <w:r w:rsidRPr="00666493">
              <w:rPr>
                <w:rFonts w:asciiTheme="minorHAnsi" w:eastAsia="Times New Roman" w:hAnsiTheme="minorHAnsi" w:cs="Times New Roman"/>
                <w:color w:val="000000"/>
                <w:lang w:eastAsia="en-AU"/>
              </w:rPr>
              <w:lastRenderedPageBreak/>
              <w:t>syndrome, based on Massachusetts Hospital data and a literature review, showed a transient response in all patients unless IVIg was given every three weeks (Norton and Roberts 2006). The review concluded that the data supported a role for IVIg in first-line therapy. It was not clear whether it was important for steroids to be given at the same time, although this is common practice. A total dose of 2 g/kg in divided doses appeared to be sufficient.  The review also stated that there might be a role for IVIg in preference to steroids in the acute setting in very young children.</w:t>
            </w:r>
          </w:p>
          <w:p w14:paraId="6389EFA2" w14:textId="71C83B0E" w:rsidR="00666493" w:rsidRPr="00666493" w:rsidRDefault="00666493" w:rsidP="00666493">
            <w:pPr>
              <w:spacing w:after="225" w:line="276" w:lineRule="auto"/>
              <w:rPr>
                <w:rFonts w:asciiTheme="minorHAnsi" w:hAnsiTheme="minorHAnsi"/>
                <w:color w:val="000000"/>
              </w:rPr>
            </w:pPr>
            <w:r w:rsidRPr="00666493">
              <w:rPr>
                <w:rFonts w:asciiTheme="minorHAnsi" w:eastAsia="Times New Roman" w:hAnsiTheme="minorHAnsi" w:cs="Times New Roman"/>
                <w:color w:val="000000"/>
                <w:lang w:eastAsia="en-AU"/>
              </w:rPr>
              <w:t>A recent meta-analysis of 13 small RCTs comparing  high dose (2g/kg) to lower dose (1g/kg) IVIg in acute ITP demonstrated equivalent efficacy for all endpoints including platelet responses and control of bleeding (Qin YH et al 2010).</w:t>
            </w:r>
          </w:p>
        </w:tc>
        <w:tc>
          <w:tcPr>
            <w:tcW w:w="4678" w:type="dxa"/>
          </w:tcPr>
          <w:p w14:paraId="3DBB0EAA" w14:textId="298E8691" w:rsidR="00666493" w:rsidRPr="00666493" w:rsidRDefault="00666493" w:rsidP="00666493">
            <w:pPr>
              <w:spacing w:after="240" w:line="20" w:lineRule="atLeast"/>
              <w:rPr>
                <w:rFonts w:asciiTheme="minorHAnsi" w:eastAsia="Times New Roman" w:hAnsiTheme="minorHAnsi" w:cs="Times New Roman"/>
                <w:color w:val="000000"/>
                <w:lang w:eastAsia="en-AU"/>
              </w:rPr>
            </w:pPr>
            <w:r w:rsidRPr="00666493">
              <w:rPr>
                <w:rFonts w:asciiTheme="minorHAnsi" w:hAnsiTheme="minorHAnsi"/>
              </w:rPr>
              <w:lastRenderedPageBreak/>
              <w:t xml:space="preserve">A review of the literature has revealed no additional references for IVIg use. </w:t>
            </w:r>
            <w:r w:rsidRPr="00666493">
              <w:rPr>
                <w:rFonts w:asciiTheme="minorHAnsi" w:eastAsiaTheme="minorHAnsi" w:hAnsiTheme="minorHAnsi" w:cs="Tahoma"/>
                <w:lang w:val="en-US"/>
              </w:rPr>
              <w:t xml:space="preserve"> The trend as evidence has evolved is for guideline authors to move away from IVIg with advances in other immunosuppressants (rituximab and to some extent MMF).  However, other than occasional case reports, there has been no new evidence for or against AIHA.  As the alternative immunosuppressants are not approved or funded for AIHA, the SWG recommends no change to this section.  Script has been added to screen as reminder that corticosteroids are cornerstone of treatment and some response to CD20 antibodies. </w:t>
            </w:r>
          </w:p>
        </w:tc>
      </w:tr>
      <w:tr w:rsidR="00666493" w:rsidRPr="00666493" w14:paraId="73CE89AB" w14:textId="77777777" w:rsidTr="00076968">
        <w:trPr>
          <w:gridAfter w:val="1"/>
          <w:wAfter w:w="4536" w:type="dxa"/>
          <w:trHeight w:val="984"/>
        </w:trPr>
        <w:tc>
          <w:tcPr>
            <w:tcW w:w="1689" w:type="dxa"/>
            <w:shd w:val="clear" w:color="auto" w:fill="D9D9D9" w:themeFill="background1" w:themeFillShade="D9"/>
          </w:tcPr>
          <w:p w14:paraId="2C9B787D" w14:textId="77777777" w:rsidR="00666493" w:rsidRPr="00666493" w:rsidRDefault="00666493" w:rsidP="00666493">
            <w:pPr>
              <w:rPr>
                <w:rFonts w:asciiTheme="minorHAnsi" w:hAnsiTheme="minorHAnsi"/>
                <w:b/>
              </w:rPr>
            </w:pPr>
            <w:r w:rsidRPr="00666493">
              <w:rPr>
                <w:rFonts w:asciiTheme="minorHAnsi" w:hAnsiTheme="minorHAnsi"/>
                <w:b/>
              </w:rPr>
              <w:lastRenderedPageBreak/>
              <w:t>Description and Diagnostic Criteria</w:t>
            </w:r>
          </w:p>
          <w:p w14:paraId="636A0F0D" w14:textId="77777777" w:rsidR="00666493" w:rsidRPr="00666493" w:rsidRDefault="00666493" w:rsidP="00666493">
            <w:pPr>
              <w:rPr>
                <w:rFonts w:asciiTheme="minorHAnsi" w:hAnsiTheme="minorHAnsi"/>
                <w:b/>
              </w:rPr>
            </w:pPr>
          </w:p>
        </w:tc>
        <w:tc>
          <w:tcPr>
            <w:tcW w:w="4690" w:type="dxa"/>
          </w:tcPr>
          <w:p w14:paraId="20874B60" w14:textId="77777777" w:rsidR="00666493" w:rsidRPr="00666493" w:rsidRDefault="00666493" w:rsidP="00666493">
            <w:pPr>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t>AIHA is a rare but serious autoimmune disease in which an individual’s antibodies recognise antigens on their own red blood cells. AIHA presents as an acute or chronic anaemia characterised by the occurrence of biochemical parameters of red cell destruction associated with a positive direct antiglobulin test indicating the presence of antibodies and/or complement on the red cell surface. It may be secondary to a number of underlying disorders or drugs.</w:t>
            </w:r>
          </w:p>
          <w:p w14:paraId="016362C4" w14:textId="77777777" w:rsidR="00666493" w:rsidRPr="00666493" w:rsidRDefault="00666493" w:rsidP="00666493">
            <w:pPr>
              <w:rPr>
                <w:rFonts w:asciiTheme="minorHAnsi" w:eastAsia="Times New Roman" w:hAnsiTheme="minorHAnsi" w:cs="Times New Roman"/>
                <w:b/>
                <w:bCs/>
                <w:color w:val="000000"/>
                <w:lang w:eastAsia="en-AU"/>
              </w:rPr>
            </w:pPr>
            <w:r w:rsidRPr="00666493">
              <w:rPr>
                <w:rFonts w:asciiTheme="minorHAnsi" w:eastAsia="Times New Roman" w:hAnsiTheme="minorHAnsi" w:cs="Times New Roman"/>
                <w:b/>
                <w:bCs/>
                <w:color w:val="000000"/>
                <w:lang w:eastAsia="en-AU"/>
              </w:rPr>
              <w:t>Investigations</w:t>
            </w:r>
          </w:p>
          <w:p w14:paraId="5CD0B837" w14:textId="77777777" w:rsidR="00666493" w:rsidRPr="00666493" w:rsidRDefault="00666493" w:rsidP="00666493">
            <w:pPr>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t xml:space="preserve">A full blood count will confirm the presence of anaemia. A peripheral blood smear may reveal </w:t>
            </w:r>
            <w:r w:rsidRPr="00666493">
              <w:rPr>
                <w:rFonts w:asciiTheme="minorHAnsi" w:eastAsia="Times New Roman" w:hAnsiTheme="minorHAnsi" w:cs="Times New Roman"/>
                <w:color w:val="000000"/>
                <w:lang w:eastAsia="en-AU"/>
              </w:rPr>
              <w:lastRenderedPageBreak/>
              <w:t>evidence of spherocytes along with polychromasia due to reticulocytosis. A direct antiglobulin test is usually positive, the serum lactate dehydrogenase is raised, and there is a reduction in serum haptoglobin.</w:t>
            </w:r>
          </w:p>
          <w:p w14:paraId="4E380CF8" w14:textId="77777777" w:rsidR="00666493" w:rsidRPr="00666493" w:rsidRDefault="00666493" w:rsidP="00666493">
            <w:pPr>
              <w:rPr>
                <w:rFonts w:asciiTheme="minorHAnsi" w:eastAsia="Times New Roman" w:hAnsiTheme="minorHAnsi" w:cs="Times New Roman"/>
                <w:b/>
                <w:bCs/>
                <w:color w:val="000000"/>
                <w:lang w:eastAsia="en-AU"/>
              </w:rPr>
            </w:pPr>
            <w:r w:rsidRPr="00666493">
              <w:rPr>
                <w:rFonts w:asciiTheme="minorHAnsi" w:eastAsia="Times New Roman" w:hAnsiTheme="minorHAnsi" w:cs="Times New Roman"/>
                <w:b/>
                <w:bCs/>
                <w:color w:val="000000"/>
                <w:lang w:eastAsia="en-AU"/>
              </w:rPr>
              <w:t>Prognosis</w:t>
            </w:r>
          </w:p>
          <w:p w14:paraId="5756561E" w14:textId="77777777" w:rsidR="00666493" w:rsidRPr="00666493" w:rsidRDefault="00666493" w:rsidP="00666493">
            <w:pPr>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t>The prognosis of AIHA is good in most cases although severe refractory AIHA can cause cardio-respiratory problems because of severe anaemia, especially in adults.</w:t>
            </w:r>
          </w:p>
          <w:p w14:paraId="26329671" w14:textId="77777777" w:rsidR="00666493" w:rsidRPr="00666493" w:rsidRDefault="00666493" w:rsidP="00666493">
            <w:pPr>
              <w:rPr>
                <w:rFonts w:asciiTheme="minorHAnsi" w:eastAsia="Times New Roman" w:hAnsiTheme="minorHAnsi" w:cs="Times New Roman"/>
                <w:b/>
                <w:bCs/>
                <w:color w:val="000000"/>
                <w:lang w:eastAsia="en-AU"/>
              </w:rPr>
            </w:pPr>
            <w:r w:rsidRPr="00666493">
              <w:rPr>
                <w:rFonts w:asciiTheme="minorHAnsi" w:eastAsia="Times New Roman" w:hAnsiTheme="minorHAnsi" w:cs="Times New Roman"/>
                <w:b/>
                <w:bCs/>
                <w:color w:val="000000"/>
                <w:lang w:eastAsia="en-AU"/>
              </w:rPr>
              <w:t>Standard therapy</w:t>
            </w:r>
          </w:p>
          <w:p w14:paraId="7DC222D9" w14:textId="77777777" w:rsidR="00666493" w:rsidRPr="00666493" w:rsidRDefault="00666493" w:rsidP="00666493">
            <w:pPr>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t>Corticosteroid administration is the cornerstone of therapy. For those with relapsing disease, splenectomy and immunosuppression are second line treatments while anti-CD20 antibodies have shown promise in individual cases of refractory disease.</w:t>
            </w:r>
          </w:p>
          <w:p w14:paraId="3BCDFF0A" w14:textId="77777777" w:rsidR="00666493" w:rsidRPr="00666493" w:rsidRDefault="00666493" w:rsidP="00666493">
            <w:pPr>
              <w:spacing w:after="225" w:line="360" w:lineRule="atLeast"/>
              <w:rPr>
                <w:rFonts w:asciiTheme="minorHAnsi" w:eastAsia="Times New Roman" w:hAnsiTheme="minorHAnsi" w:cs="Times New Roman"/>
                <w:color w:val="000000"/>
                <w:lang w:eastAsia="en-AU"/>
              </w:rPr>
            </w:pPr>
          </w:p>
        </w:tc>
        <w:tc>
          <w:tcPr>
            <w:tcW w:w="4536" w:type="dxa"/>
            <w:gridSpan w:val="3"/>
            <w:shd w:val="clear" w:color="auto" w:fill="auto"/>
          </w:tcPr>
          <w:p w14:paraId="1BBFC8B5" w14:textId="77777777" w:rsidR="00666493" w:rsidRPr="00666493" w:rsidRDefault="00666493" w:rsidP="00666493">
            <w:pPr>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lastRenderedPageBreak/>
              <w:t>AIHA is a rare but serious autoimmune disease in which an individual’s antibodies recognise antigens on their own red blood cells. AIHA presents as an acute or chronic anaemia characterised by the occurrence of biochemical parameters of red cell destruction associated with a positive direct antiglobulin test indicating the presence of antibodies and/or complement on the red cell surface. It may be secondary to a number of underlying disorders or drugs.</w:t>
            </w:r>
          </w:p>
          <w:p w14:paraId="2783948F" w14:textId="4F082CA7" w:rsidR="00666493" w:rsidRPr="00666493" w:rsidRDefault="00666493" w:rsidP="00666493">
            <w:pPr>
              <w:spacing w:after="225" w:line="360" w:lineRule="atLeast"/>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t xml:space="preserve">Evans syndrome is a rare but serious autoimmune disease defined by the </w:t>
            </w:r>
            <w:r w:rsidRPr="00666493">
              <w:rPr>
                <w:rFonts w:asciiTheme="minorHAnsi" w:eastAsia="Times New Roman" w:hAnsiTheme="minorHAnsi" w:cs="Times New Roman"/>
                <w:color w:val="000000"/>
                <w:lang w:eastAsia="en-AU"/>
              </w:rPr>
              <w:lastRenderedPageBreak/>
              <w:t xml:space="preserve">simultaneous or sequential occurrence of AIHA and immune thrombocytopenia purpura (ITP) without underlying aetiology. </w:t>
            </w:r>
            <w:r w:rsidR="008A3CF9" w:rsidRPr="00666493">
              <w:rPr>
                <w:rFonts w:asciiTheme="minorHAnsi" w:eastAsia="Times New Roman" w:hAnsiTheme="minorHAnsi" w:cs="Times New Roman"/>
                <w:color w:val="000000"/>
                <w:lang w:eastAsia="en-AU"/>
              </w:rPr>
              <w:t>As such, it is a diagnosis of exclusion and other disorders, such as collagen vascular diseases, especially systemic lupus erythematosus (SLE) and scleroderma should be ruled out.</w:t>
            </w:r>
            <w:r w:rsidR="008A3CF9">
              <w:rPr>
                <w:rFonts w:asciiTheme="minorHAnsi" w:eastAsia="Times New Roman" w:hAnsiTheme="minorHAnsi" w:cs="Times New Roman"/>
                <w:color w:val="000000"/>
                <w:lang w:eastAsia="en-AU"/>
              </w:rPr>
              <w:t xml:space="preserve"> </w:t>
            </w:r>
            <w:r w:rsidR="008A3CF9" w:rsidRPr="00666493">
              <w:rPr>
                <w:rFonts w:asciiTheme="minorHAnsi" w:eastAsia="Times New Roman" w:hAnsiTheme="minorHAnsi" w:cs="Times New Roman"/>
                <w:color w:val="000000"/>
                <w:lang w:eastAsia="en-AU"/>
              </w:rPr>
              <w:t>The 2005 review by Norton and Roberts provided perspective on diagnosis, clinical features and management.</w:t>
            </w:r>
          </w:p>
          <w:p w14:paraId="7DE6EC64" w14:textId="77777777" w:rsidR="00666493" w:rsidRPr="00666493" w:rsidRDefault="00666493" w:rsidP="00666493">
            <w:pPr>
              <w:rPr>
                <w:rFonts w:asciiTheme="minorHAnsi" w:eastAsia="Times New Roman" w:hAnsiTheme="minorHAnsi" w:cs="Times New Roman"/>
                <w:color w:val="000000"/>
                <w:lang w:eastAsia="en-AU"/>
              </w:rPr>
            </w:pPr>
          </w:p>
          <w:p w14:paraId="1F07AC3F" w14:textId="77777777" w:rsidR="00666493" w:rsidRPr="00666493" w:rsidRDefault="00666493" w:rsidP="00666493">
            <w:pPr>
              <w:rPr>
                <w:rFonts w:asciiTheme="minorHAnsi" w:eastAsia="Times New Roman" w:hAnsiTheme="minorHAnsi" w:cs="Times New Roman"/>
                <w:b/>
                <w:bCs/>
                <w:color w:val="000000"/>
                <w:lang w:eastAsia="en-AU"/>
              </w:rPr>
            </w:pPr>
            <w:r w:rsidRPr="00666493">
              <w:rPr>
                <w:rFonts w:asciiTheme="minorHAnsi" w:eastAsia="Times New Roman" w:hAnsiTheme="minorHAnsi" w:cs="Times New Roman"/>
                <w:b/>
                <w:bCs/>
                <w:color w:val="000000"/>
                <w:lang w:eastAsia="en-AU"/>
              </w:rPr>
              <w:t>Investigations</w:t>
            </w:r>
          </w:p>
          <w:p w14:paraId="0467A05E" w14:textId="77777777" w:rsidR="00666493" w:rsidRPr="00666493" w:rsidRDefault="00666493" w:rsidP="00666493">
            <w:pPr>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t>A full blood count will confirm the presence of anaemia. A peripheral blood smear may reveal evidence of spherocytes along with polychromasia due to reticulocytosis. A direct antiglobulin test is usually positive, the serum lactate dehydrogenase is raised, and there is a reduction in serum haptoglobin.</w:t>
            </w:r>
          </w:p>
          <w:p w14:paraId="167FE176" w14:textId="77777777" w:rsidR="00666493" w:rsidRPr="00666493" w:rsidRDefault="00666493" w:rsidP="00666493">
            <w:pPr>
              <w:rPr>
                <w:rFonts w:asciiTheme="minorHAnsi" w:eastAsia="Times New Roman" w:hAnsiTheme="minorHAnsi" w:cs="Times New Roman"/>
                <w:color w:val="000000"/>
                <w:lang w:eastAsia="en-AU"/>
              </w:rPr>
            </w:pPr>
          </w:p>
          <w:p w14:paraId="42F91EE5" w14:textId="77777777" w:rsidR="00666493" w:rsidRPr="00666493" w:rsidRDefault="00666493" w:rsidP="00666493">
            <w:pPr>
              <w:rPr>
                <w:rFonts w:asciiTheme="minorHAnsi" w:eastAsia="Times New Roman" w:hAnsiTheme="minorHAnsi" w:cs="Times New Roman"/>
                <w:b/>
                <w:bCs/>
                <w:color w:val="000000"/>
                <w:lang w:eastAsia="en-AU"/>
              </w:rPr>
            </w:pPr>
            <w:r w:rsidRPr="00666493">
              <w:rPr>
                <w:rFonts w:asciiTheme="minorHAnsi" w:eastAsia="Times New Roman" w:hAnsiTheme="minorHAnsi" w:cs="Times New Roman"/>
                <w:b/>
                <w:bCs/>
                <w:color w:val="000000"/>
                <w:lang w:eastAsia="en-AU"/>
              </w:rPr>
              <w:t>Prognosis</w:t>
            </w:r>
          </w:p>
          <w:p w14:paraId="6A23056A" w14:textId="77777777" w:rsidR="00666493" w:rsidRPr="00666493" w:rsidRDefault="00666493" w:rsidP="00666493">
            <w:pPr>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t>The prognosis of AIHA is good in most cases although severe refractory AIHA can cause cardio-respiratory problems because of severe anaemia, especially in adults.</w:t>
            </w:r>
          </w:p>
          <w:p w14:paraId="5C93A59F" w14:textId="77777777" w:rsidR="00666493" w:rsidRPr="00666493" w:rsidRDefault="00666493" w:rsidP="00666493">
            <w:pPr>
              <w:rPr>
                <w:rFonts w:asciiTheme="minorHAnsi" w:eastAsia="Times New Roman" w:hAnsiTheme="minorHAnsi" w:cs="Times New Roman"/>
                <w:color w:val="000000"/>
                <w:lang w:eastAsia="en-AU"/>
              </w:rPr>
            </w:pPr>
          </w:p>
          <w:p w14:paraId="2745B71B" w14:textId="77777777" w:rsidR="00666493" w:rsidRPr="00666493" w:rsidRDefault="00666493" w:rsidP="00666493">
            <w:pPr>
              <w:rPr>
                <w:rFonts w:asciiTheme="minorHAnsi" w:eastAsia="Times New Roman" w:hAnsiTheme="minorHAnsi" w:cs="Times New Roman"/>
                <w:b/>
                <w:bCs/>
                <w:color w:val="000000"/>
                <w:lang w:eastAsia="en-AU"/>
              </w:rPr>
            </w:pPr>
            <w:r w:rsidRPr="00666493">
              <w:rPr>
                <w:rFonts w:asciiTheme="minorHAnsi" w:eastAsia="Times New Roman" w:hAnsiTheme="minorHAnsi" w:cs="Times New Roman"/>
                <w:b/>
                <w:bCs/>
                <w:color w:val="000000"/>
                <w:lang w:eastAsia="en-AU"/>
              </w:rPr>
              <w:t>Standard therapy</w:t>
            </w:r>
          </w:p>
          <w:p w14:paraId="388E4154" w14:textId="77777777" w:rsidR="00666493" w:rsidRPr="00666493" w:rsidRDefault="00666493" w:rsidP="00666493">
            <w:pPr>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t xml:space="preserve">Corticosteroid administration is the cornerstone of therapy. For those with relapsing disease, splenectomy and immunosuppression are </w:t>
            </w:r>
            <w:r w:rsidRPr="00666493">
              <w:rPr>
                <w:rFonts w:asciiTheme="minorHAnsi" w:eastAsia="Times New Roman" w:hAnsiTheme="minorHAnsi" w:cs="Times New Roman"/>
                <w:color w:val="000000"/>
                <w:lang w:eastAsia="en-AU"/>
              </w:rPr>
              <w:lastRenderedPageBreak/>
              <w:t>second line treatments while anti-CD20 antibodies have shown promise in individual cases of refractory disease.</w:t>
            </w:r>
          </w:p>
          <w:p w14:paraId="36DE18FC" w14:textId="33E1D9B8" w:rsidR="00666493" w:rsidRPr="00666493" w:rsidRDefault="00666493" w:rsidP="00666493">
            <w:pPr>
              <w:spacing w:line="276" w:lineRule="auto"/>
              <w:rPr>
                <w:rFonts w:asciiTheme="minorHAnsi" w:hAnsiTheme="minorHAnsi"/>
              </w:rPr>
            </w:pPr>
          </w:p>
        </w:tc>
        <w:tc>
          <w:tcPr>
            <w:tcW w:w="4678" w:type="dxa"/>
          </w:tcPr>
          <w:p w14:paraId="017154CA" w14:textId="75F88F49" w:rsidR="00666493" w:rsidRPr="00666493" w:rsidRDefault="00666493" w:rsidP="00666493">
            <w:pPr>
              <w:keepNext/>
              <w:keepLines/>
              <w:spacing w:before="200" w:after="240" w:line="20" w:lineRule="atLeast"/>
              <w:outlineLvl w:val="5"/>
              <w:rPr>
                <w:rFonts w:asciiTheme="minorHAnsi" w:eastAsia="Times New Roman" w:hAnsiTheme="minorHAnsi" w:cs="Times New Roman"/>
                <w:color w:val="000000"/>
                <w:lang w:eastAsia="en-AU"/>
              </w:rPr>
            </w:pPr>
          </w:p>
        </w:tc>
      </w:tr>
      <w:tr w:rsidR="00076968" w:rsidRPr="00666493" w14:paraId="35CB53CD" w14:textId="77777777" w:rsidTr="00076968">
        <w:trPr>
          <w:gridAfter w:val="1"/>
          <w:wAfter w:w="4536" w:type="dxa"/>
        </w:trPr>
        <w:tc>
          <w:tcPr>
            <w:tcW w:w="1689" w:type="dxa"/>
            <w:shd w:val="clear" w:color="auto" w:fill="D9D9D9" w:themeFill="background1" w:themeFillShade="D9"/>
          </w:tcPr>
          <w:p w14:paraId="55845F7B" w14:textId="77777777" w:rsidR="00076968" w:rsidRPr="00666493" w:rsidRDefault="00076968" w:rsidP="00D764F3">
            <w:pPr>
              <w:rPr>
                <w:rFonts w:asciiTheme="minorHAnsi" w:hAnsiTheme="minorHAnsi"/>
                <w:b/>
              </w:rPr>
            </w:pPr>
            <w:r w:rsidRPr="00666493">
              <w:rPr>
                <w:rFonts w:asciiTheme="minorHAnsi" w:hAnsiTheme="minorHAnsi"/>
                <w:b/>
              </w:rPr>
              <w:lastRenderedPageBreak/>
              <w:t>Diagnosis is required</w:t>
            </w:r>
          </w:p>
        </w:tc>
        <w:tc>
          <w:tcPr>
            <w:tcW w:w="4690" w:type="dxa"/>
          </w:tcPr>
          <w:p w14:paraId="524FC886" w14:textId="2F19FAFC" w:rsidR="00076968" w:rsidRPr="00666493" w:rsidRDefault="00076968" w:rsidP="00D764F3">
            <w:pPr>
              <w:rPr>
                <w:rFonts w:asciiTheme="minorHAnsi" w:hAnsiTheme="minorHAnsi"/>
              </w:rPr>
            </w:pPr>
          </w:p>
        </w:tc>
        <w:tc>
          <w:tcPr>
            <w:tcW w:w="1535" w:type="dxa"/>
          </w:tcPr>
          <w:p w14:paraId="59CCAA86" w14:textId="46D8FB2A" w:rsidR="00076968" w:rsidRPr="00666493" w:rsidRDefault="00666493" w:rsidP="00D764F3">
            <w:pPr>
              <w:rPr>
                <w:rFonts w:asciiTheme="minorHAnsi" w:hAnsiTheme="minorHAnsi"/>
              </w:rPr>
            </w:pPr>
            <w:r w:rsidRPr="00666493">
              <w:rPr>
                <w:rFonts w:asciiTheme="minorHAnsi" w:hAnsiTheme="minorHAnsi"/>
              </w:rPr>
              <w:t>yes</w:t>
            </w:r>
          </w:p>
        </w:tc>
        <w:tc>
          <w:tcPr>
            <w:tcW w:w="1242" w:type="dxa"/>
            <w:shd w:val="clear" w:color="auto" w:fill="BFBFBF" w:themeFill="background1" w:themeFillShade="BF"/>
          </w:tcPr>
          <w:p w14:paraId="1BB6BB76" w14:textId="77777777" w:rsidR="00076968" w:rsidRPr="00666493" w:rsidRDefault="00076968">
            <w:pPr>
              <w:spacing w:line="276" w:lineRule="auto"/>
              <w:rPr>
                <w:rFonts w:asciiTheme="minorHAnsi" w:hAnsiTheme="minorHAnsi"/>
              </w:rPr>
            </w:pPr>
            <w:r w:rsidRPr="00666493">
              <w:rPr>
                <w:rFonts w:asciiTheme="minorHAnsi" w:hAnsiTheme="minorHAnsi"/>
              </w:rPr>
              <w:t>Which Speciality</w:t>
            </w:r>
          </w:p>
        </w:tc>
        <w:tc>
          <w:tcPr>
            <w:tcW w:w="1759" w:type="dxa"/>
          </w:tcPr>
          <w:p w14:paraId="4C425D1B" w14:textId="25DA16EA" w:rsidR="00076968" w:rsidRPr="00666493" w:rsidRDefault="00666493">
            <w:pPr>
              <w:spacing w:line="276" w:lineRule="auto"/>
              <w:rPr>
                <w:rFonts w:asciiTheme="minorHAnsi" w:hAnsiTheme="minorHAnsi"/>
              </w:rPr>
            </w:pPr>
            <w:r w:rsidRPr="00666493">
              <w:rPr>
                <w:rFonts w:asciiTheme="minorHAnsi" w:hAnsiTheme="minorHAnsi"/>
              </w:rPr>
              <w:t>Haematologist or Specialist physician or paediatrician</w:t>
            </w:r>
          </w:p>
        </w:tc>
        <w:tc>
          <w:tcPr>
            <w:tcW w:w="4678" w:type="dxa"/>
          </w:tcPr>
          <w:p w14:paraId="28FABA57" w14:textId="3F7F2C5B" w:rsidR="00076968" w:rsidRPr="00666493" w:rsidRDefault="00666493" w:rsidP="00666493">
            <w:pPr>
              <w:spacing w:line="276" w:lineRule="auto"/>
              <w:rPr>
                <w:rFonts w:asciiTheme="minorHAnsi" w:hAnsiTheme="minorHAnsi"/>
              </w:rPr>
            </w:pPr>
            <w:r w:rsidRPr="00666493">
              <w:rPr>
                <w:rFonts w:asciiTheme="minorHAnsi" w:hAnsiTheme="minorHAnsi"/>
              </w:rPr>
              <w:t>Previously not stated (A)</w:t>
            </w:r>
          </w:p>
        </w:tc>
      </w:tr>
      <w:tr w:rsidR="00076968" w:rsidRPr="00666493" w14:paraId="6160B348" w14:textId="77777777" w:rsidTr="00076968">
        <w:trPr>
          <w:gridAfter w:val="1"/>
          <w:wAfter w:w="4536" w:type="dxa"/>
        </w:trPr>
        <w:tc>
          <w:tcPr>
            <w:tcW w:w="1689" w:type="dxa"/>
            <w:shd w:val="clear" w:color="auto" w:fill="D9D9D9" w:themeFill="background1" w:themeFillShade="D9"/>
          </w:tcPr>
          <w:p w14:paraId="545AC227" w14:textId="77777777" w:rsidR="00076968" w:rsidRPr="00666493" w:rsidRDefault="00076968" w:rsidP="00F873C6">
            <w:pPr>
              <w:rPr>
                <w:rFonts w:asciiTheme="minorHAnsi" w:hAnsiTheme="minorHAnsi"/>
                <w:b/>
              </w:rPr>
            </w:pPr>
            <w:r w:rsidRPr="00666493">
              <w:rPr>
                <w:rFonts w:asciiTheme="minorHAnsi" w:hAnsiTheme="minorHAnsi"/>
                <w:b/>
              </w:rPr>
              <w:t>Diagnosis must be verified</w:t>
            </w:r>
          </w:p>
        </w:tc>
        <w:tc>
          <w:tcPr>
            <w:tcW w:w="4690" w:type="dxa"/>
          </w:tcPr>
          <w:p w14:paraId="38D7347A" w14:textId="77777777" w:rsidR="00076968" w:rsidRPr="00666493" w:rsidRDefault="00076968" w:rsidP="00F873C6">
            <w:pPr>
              <w:rPr>
                <w:rFonts w:asciiTheme="minorHAnsi" w:hAnsiTheme="minorHAnsi"/>
              </w:rPr>
            </w:pPr>
            <w:r w:rsidRPr="00666493">
              <w:rPr>
                <w:rFonts w:asciiTheme="minorHAnsi" w:hAnsiTheme="minorHAnsi"/>
              </w:rPr>
              <w:t xml:space="preserve"> </w:t>
            </w:r>
          </w:p>
        </w:tc>
        <w:tc>
          <w:tcPr>
            <w:tcW w:w="1535" w:type="dxa"/>
          </w:tcPr>
          <w:p w14:paraId="3304EBC9" w14:textId="77777777" w:rsidR="00076968" w:rsidRPr="00666493" w:rsidRDefault="00076968" w:rsidP="00F873C6">
            <w:pPr>
              <w:rPr>
                <w:rFonts w:asciiTheme="minorHAnsi" w:hAnsiTheme="minorHAnsi"/>
              </w:rPr>
            </w:pPr>
            <w:r w:rsidRPr="00666493">
              <w:rPr>
                <w:rFonts w:asciiTheme="minorHAnsi" w:hAnsiTheme="minorHAnsi"/>
              </w:rPr>
              <w:t>No</w:t>
            </w:r>
          </w:p>
        </w:tc>
        <w:tc>
          <w:tcPr>
            <w:tcW w:w="1242" w:type="dxa"/>
            <w:shd w:val="clear" w:color="auto" w:fill="BFBFBF" w:themeFill="background1" w:themeFillShade="BF"/>
          </w:tcPr>
          <w:p w14:paraId="5ED65216" w14:textId="77777777" w:rsidR="00076968" w:rsidRPr="00666493" w:rsidRDefault="00076968" w:rsidP="00F873C6">
            <w:pPr>
              <w:spacing w:line="276" w:lineRule="auto"/>
              <w:rPr>
                <w:rFonts w:asciiTheme="minorHAnsi" w:hAnsiTheme="minorHAnsi"/>
                <w:b/>
              </w:rPr>
            </w:pPr>
            <w:r w:rsidRPr="00666493">
              <w:rPr>
                <w:rFonts w:asciiTheme="minorHAnsi" w:hAnsiTheme="minorHAnsi"/>
              </w:rPr>
              <w:t>Which Specialty</w:t>
            </w:r>
          </w:p>
        </w:tc>
        <w:tc>
          <w:tcPr>
            <w:tcW w:w="1759" w:type="dxa"/>
          </w:tcPr>
          <w:p w14:paraId="5F180E8D" w14:textId="77777777" w:rsidR="00076968" w:rsidRPr="00666493" w:rsidRDefault="00076968" w:rsidP="00F873C6">
            <w:pPr>
              <w:spacing w:line="276" w:lineRule="auto"/>
              <w:rPr>
                <w:rFonts w:asciiTheme="minorHAnsi" w:hAnsiTheme="minorHAnsi"/>
              </w:rPr>
            </w:pPr>
          </w:p>
        </w:tc>
        <w:tc>
          <w:tcPr>
            <w:tcW w:w="4678" w:type="dxa"/>
          </w:tcPr>
          <w:p w14:paraId="38F31B07" w14:textId="77777777" w:rsidR="00076968" w:rsidRPr="00666493" w:rsidRDefault="00076968" w:rsidP="00666493">
            <w:pPr>
              <w:spacing w:line="276" w:lineRule="auto"/>
              <w:ind w:left="175"/>
              <w:rPr>
                <w:rFonts w:asciiTheme="minorHAnsi" w:hAnsiTheme="minorHAnsi"/>
              </w:rPr>
            </w:pPr>
          </w:p>
        </w:tc>
      </w:tr>
      <w:tr w:rsidR="00666493" w:rsidRPr="00666493" w14:paraId="5C216299" w14:textId="77777777" w:rsidTr="00076968">
        <w:trPr>
          <w:gridAfter w:val="1"/>
          <w:wAfter w:w="4536" w:type="dxa"/>
        </w:trPr>
        <w:tc>
          <w:tcPr>
            <w:tcW w:w="1689" w:type="dxa"/>
            <w:shd w:val="clear" w:color="auto" w:fill="D9D9D9" w:themeFill="background1" w:themeFillShade="D9"/>
          </w:tcPr>
          <w:p w14:paraId="55CAC5E5" w14:textId="77777777" w:rsidR="00666493" w:rsidRPr="00666493" w:rsidRDefault="00666493" w:rsidP="00666493">
            <w:pPr>
              <w:rPr>
                <w:rFonts w:asciiTheme="minorHAnsi" w:hAnsiTheme="minorHAnsi"/>
                <w:b/>
              </w:rPr>
            </w:pPr>
            <w:r w:rsidRPr="00666493">
              <w:rPr>
                <w:rFonts w:asciiTheme="minorHAnsi" w:hAnsiTheme="minorHAnsi"/>
                <w:b/>
              </w:rPr>
              <w:t>Exclusion Criteria</w:t>
            </w:r>
          </w:p>
          <w:p w14:paraId="5F16BBE1" w14:textId="77777777" w:rsidR="00666493" w:rsidRPr="00666493" w:rsidRDefault="00666493" w:rsidP="00666493">
            <w:pPr>
              <w:rPr>
                <w:rFonts w:asciiTheme="minorHAnsi" w:hAnsiTheme="minorHAnsi"/>
              </w:rPr>
            </w:pPr>
          </w:p>
        </w:tc>
        <w:tc>
          <w:tcPr>
            <w:tcW w:w="4690" w:type="dxa"/>
          </w:tcPr>
          <w:p w14:paraId="063290D7" w14:textId="03B31E00" w:rsidR="00666493" w:rsidRPr="00666493" w:rsidRDefault="00666493" w:rsidP="00666493">
            <w:pPr>
              <w:rPr>
                <w:rFonts w:asciiTheme="minorHAnsi" w:hAnsiTheme="minorHAnsi"/>
              </w:rPr>
            </w:pPr>
            <w:r w:rsidRPr="00666493">
              <w:rPr>
                <w:rFonts w:asciiTheme="minorHAnsi" w:hAnsiTheme="minorHAnsi"/>
                <w:color w:val="000000"/>
              </w:rPr>
              <w:t>Patients in whom a trial of corticosteroids has not been undertaken.</w:t>
            </w:r>
          </w:p>
        </w:tc>
        <w:tc>
          <w:tcPr>
            <w:tcW w:w="4536" w:type="dxa"/>
            <w:gridSpan w:val="3"/>
          </w:tcPr>
          <w:p w14:paraId="4884875A" w14:textId="428DD098" w:rsidR="00666493" w:rsidRPr="00666493" w:rsidRDefault="00666493" w:rsidP="00666493">
            <w:pPr>
              <w:rPr>
                <w:rFonts w:asciiTheme="minorHAnsi" w:hAnsiTheme="minorHAnsi"/>
              </w:rPr>
            </w:pPr>
          </w:p>
        </w:tc>
        <w:tc>
          <w:tcPr>
            <w:tcW w:w="4678" w:type="dxa"/>
          </w:tcPr>
          <w:p w14:paraId="1F495A7E" w14:textId="55874C7A" w:rsidR="00666493" w:rsidRPr="00666493" w:rsidRDefault="00666493" w:rsidP="00666493">
            <w:pPr>
              <w:rPr>
                <w:rFonts w:asciiTheme="minorHAnsi" w:hAnsiTheme="minorHAnsi"/>
              </w:rPr>
            </w:pPr>
            <w:r w:rsidRPr="00666493">
              <w:rPr>
                <w:rFonts w:asciiTheme="minorHAnsi" w:eastAsia="Times New Roman" w:hAnsiTheme="minorHAnsi" w:cs="Times New Roman"/>
                <w:color w:val="000000"/>
                <w:lang w:eastAsia="en-AU"/>
              </w:rPr>
              <w:t>While the exclusion criteria describes patients in whom corticosteroid therapy has not bee undertaken, this condition must support Ig treatment of those patients where corticosteroids are contraindicated.</w:t>
            </w:r>
          </w:p>
        </w:tc>
      </w:tr>
      <w:tr w:rsidR="00666493" w:rsidRPr="00666493" w14:paraId="35B9CBBC" w14:textId="77777777" w:rsidTr="00076968">
        <w:trPr>
          <w:gridAfter w:val="1"/>
          <w:wAfter w:w="4536" w:type="dxa"/>
        </w:trPr>
        <w:tc>
          <w:tcPr>
            <w:tcW w:w="1689" w:type="dxa"/>
            <w:shd w:val="clear" w:color="auto" w:fill="D9D9D9" w:themeFill="background1" w:themeFillShade="D9"/>
          </w:tcPr>
          <w:p w14:paraId="07D064B9" w14:textId="77777777" w:rsidR="00666493" w:rsidRPr="00666493" w:rsidRDefault="00666493" w:rsidP="00666493">
            <w:pPr>
              <w:rPr>
                <w:rFonts w:asciiTheme="minorHAnsi" w:hAnsiTheme="minorHAnsi"/>
                <w:b/>
              </w:rPr>
            </w:pPr>
            <w:r w:rsidRPr="00666493">
              <w:rPr>
                <w:rFonts w:asciiTheme="minorHAnsi" w:hAnsiTheme="minorHAnsi"/>
                <w:b/>
              </w:rPr>
              <w:t>Indication for use</w:t>
            </w:r>
          </w:p>
        </w:tc>
        <w:tc>
          <w:tcPr>
            <w:tcW w:w="4690" w:type="dxa"/>
          </w:tcPr>
          <w:p w14:paraId="60B4B837" w14:textId="1D2F6197" w:rsidR="00666493" w:rsidRPr="00666493" w:rsidRDefault="00666493" w:rsidP="00666493">
            <w:pPr>
              <w:rPr>
                <w:rFonts w:asciiTheme="minorHAnsi" w:hAnsiTheme="minorHAnsi"/>
                <w:b/>
              </w:rPr>
            </w:pPr>
            <w:r w:rsidRPr="00666493">
              <w:rPr>
                <w:rFonts w:asciiTheme="minorHAnsi" w:hAnsiTheme="minorHAnsi"/>
                <w:color w:val="000000"/>
              </w:rPr>
              <w:t>To reduce haemolysis in patients not responding to corticosteroid therapy.</w:t>
            </w:r>
          </w:p>
        </w:tc>
        <w:tc>
          <w:tcPr>
            <w:tcW w:w="4536" w:type="dxa"/>
            <w:gridSpan w:val="3"/>
          </w:tcPr>
          <w:p w14:paraId="3DBF9275" w14:textId="77777777" w:rsidR="00666493" w:rsidRPr="00666493" w:rsidRDefault="00666493" w:rsidP="00666493">
            <w:pPr>
              <w:rPr>
                <w:rFonts w:asciiTheme="minorHAnsi" w:hAnsiTheme="minorHAnsi"/>
                <w:b/>
              </w:rPr>
            </w:pPr>
            <w:r w:rsidRPr="00666493">
              <w:rPr>
                <w:rFonts w:asciiTheme="minorHAnsi" w:hAnsiTheme="minorHAnsi"/>
                <w:b/>
              </w:rPr>
              <w:t>To reduce haemolysis in patients with AIHA not responding to corticosteroid therapy</w:t>
            </w:r>
          </w:p>
          <w:p w14:paraId="7962599C" w14:textId="77777777" w:rsidR="00666493" w:rsidRPr="00666493" w:rsidRDefault="00666493" w:rsidP="00666493">
            <w:pPr>
              <w:rPr>
                <w:rFonts w:asciiTheme="minorHAnsi" w:hAnsiTheme="minorHAnsi"/>
                <w:b/>
              </w:rPr>
            </w:pPr>
          </w:p>
          <w:p w14:paraId="4D149DF9" w14:textId="77777777" w:rsidR="00666493" w:rsidRPr="00666493" w:rsidRDefault="00666493" w:rsidP="00666493">
            <w:pPr>
              <w:rPr>
                <w:rFonts w:asciiTheme="minorHAnsi" w:eastAsia="Times New Roman" w:hAnsiTheme="minorHAnsi" w:cs="Times New Roman"/>
                <w:b/>
                <w:lang w:eastAsia="en-AU"/>
              </w:rPr>
            </w:pPr>
            <w:r w:rsidRPr="00666493">
              <w:rPr>
                <w:rFonts w:asciiTheme="minorHAnsi" w:eastAsia="Times New Roman" w:hAnsiTheme="minorHAnsi" w:cs="Times New Roman"/>
                <w:b/>
                <w:lang w:eastAsia="en-AU"/>
              </w:rPr>
              <w:t>Intermittent therapy for AIHA in patients unsuitable for Splenectomy or immunosuppression</w:t>
            </w:r>
          </w:p>
          <w:p w14:paraId="2AFD2D4E" w14:textId="77777777" w:rsidR="00666493" w:rsidRPr="00666493" w:rsidRDefault="00666493" w:rsidP="00666493">
            <w:pPr>
              <w:rPr>
                <w:rFonts w:asciiTheme="minorHAnsi" w:eastAsia="Times New Roman" w:hAnsiTheme="minorHAnsi" w:cs="Times New Roman"/>
                <w:b/>
                <w:lang w:eastAsia="en-AU"/>
              </w:rPr>
            </w:pPr>
          </w:p>
          <w:p w14:paraId="35CCF5E0" w14:textId="4DBFC6A0" w:rsidR="00666493" w:rsidRPr="00666493" w:rsidRDefault="00666493" w:rsidP="00666493">
            <w:pPr>
              <w:rPr>
                <w:rFonts w:asciiTheme="minorHAnsi" w:hAnsiTheme="minorHAnsi"/>
                <w:b/>
              </w:rPr>
            </w:pPr>
            <w:r w:rsidRPr="00666493">
              <w:rPr>
                <w:rFonts w:asciiTheme="minorHAnsi" w:eastAsia="Times New Roman" w:hAnsiTheme="minorHAnsi" w:cs="Times New Roman"/>
                <w:b/>
                <w:lang w:eastAsia="en-AU"/>
              </w:rPr>
              <w:t>Maintenance therapy for AIHA in patients unsuitable for Splenectomy or immunosuppression</w:t>
            </w:r>
          </w:p>
        </w:tc>
        <w:tc>
          <w:tcPr>
            <w:tcW w:w="4678" w:type="dxa"/>
          </w:tcPr>
          <w:p w14:paraId="295B7C3C" w14:textId="5133D84B" w:rsidR="00666493" w:rsidRPr="00666493" w:rsidRDefault="00666493" w:rsidP="00666493">
            <w:pPr>
              <w:rPr>
                <w:rFonts w:asciiTheme="minorHAnsi" w:hAnsiTheme="minorHAnsi"/>
              </w:rPr>
            </w:pPr>
            <w:r w:rsidRPr="00666493">
              <w:rPr>
                <w:rFonts w:asciiTheme="minorHAnsi" w:hAnsiTheme="minorHAnsi"/>
              </w:rPr>
              <w:t xml:space="preserve">Three indications are recommended – these largely match the qualifying criteria in the current version. </w:t>
            </w:r>
          </w:p>
        </w:tc>
      </w:tr>
      <w:tr w:rsidR="00666493" w:rsidRPr="00666493" w14:paraId="43389D7A" w14:textId="552A91A4" w:rsidTr="00076968">
        <w:tc>
          <w:tcPr>
            <w:tcW w:w="1689" w:type="dxa"/>
            <w:shd w:val="clear" w:color="auto" w:fill="D9D9D9" w:themeFill="background1" w:themeFillShade="D9"/>
          </w:tcPr>
          <w:p w14:paraId="33C9BF25" w14:textId="77777777" w:rsidR="00666493" w:rsidRPr="00666493" w:rsidRDefault="00666493" w:rsidP="00666493">
            <w:pPr>
              <w:rPr>
                <w:rFonts w:asciiTheme="minorHAnsi" w:hAnsiTheme="minorHAnsi"/>
                <w:b/>
              </w:rPr>
            </w:pPr>
            <w:r w:rsidRPr="00666493">
              <w:rPr>
                <w:rFonts w:asciiTheme="minorHAnsi" w:hAnsiTheme="minorHAnsi"/>
              </w:rPr>
              <w:br w:type="page"/>
            </w:r>
            <w:r w:rsidRPr="00666493">
              <w:rPr>
                <w:rFonts w:asciiTheme="minorHAnsi" w:hAnsiTheme="minorHAnsi"/>
                <w:b/>
              </w:rPr>
              <w:t>Qualifying Criteria</w:t>
            </w:r>
          </w:p>
        </w:tc>
        <w:tc>
          <w:tcPr>
            <w:tcW w:w="4690" w:type="dxa"/>
          </w:tcPr>
          <w:p w14:paraId="26A84138" w14:textId="77777777" w:rsidR="00666493" w:rsidRPr="00666493" w:rsidRDefault="00666493" w:rsidP="00666493">
            <w:pPr>
              <w:numPr>
                <w:ilvl w:val="0"/>
                <w:numId w:val="37"/>
              </w:numPr>
              <w:spacing w:before="100" w:beforeAutospacing="1" w:after="150" w:line="360" w:lineRule="atLeast"/>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t>Symptomatic or severe AIHA (Hb &lt;60 g/L, except patients with co-morbidities) refractory to conventional therapy with corticosteroids;</w:t>
            </w:r>
          </w:p>
          <w:p w14:paraId="1FDAC096" w14:textId="77777777" w:rsidR="00666493" w:rsidRPr="00666493" w:rsidRDefault="00666493" w:rsidP="00666493">
            <w:pPr>
              <w:spacing w:after="225" w:line="360" w:lineRule="atLeast"/>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t>OR</w:t>
            </w:r>
          </w:p>
          <w:p w14:paraId="261AF9A9" w14:textId="77777777" w:rsidR="00666493" w:rsidRPr="00666493" w:rsidRDefault="00666493" w:rsidP="00666493">
            <w:pPr>
              <w:numPr>
                <w:ilvl w:val="0"/>
                <w:numId w:val="38"/>
              </w:numPr>
              <w:spacing w:before="100" w:beforeAutospacing="1" w:after="150" w:line="360" w:lineRule="atLeast"/>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lastRenderedPageBreak/>
              <w:t>As a temporising measure before splenectomy;</w:t>
            </w:r>
          </w:p>
          <w:p w14:paraId="73E88097" w14:textId="77777777" w:rsidR="00666493" w:rsidRPr="00666493" w:rsidRDefault="00666493" w:rsidP="00666493">
            <w:pPr>
              <w:spacing w:after="225" w:line="360" w:lineRule="atLeast"/>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t>OR</w:t>
            </w:r>
          </w:p>
          <w:p w14:paraId="399A0389" w14:textId="77777777" w:rsidR="00666493" w:rsidRPr="00666493" w:rsidRDefault="00666493" w:rsidP="00666493">
            <w:pPr>
              <w:numPr>
                <w:ilvl w:val="0"/>
                <w:numId w:val="39"/>
              </w:numPr>
              <w:spacing w:before="100" w:beforeAutospacing="1" w:after="150" w:line="360" w:lineRule="atLeast"/>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t>As initial and maintenance therapy in AIHA in patients unsuitable for splenectomy or immunosuppression.</w:t>
            </w:r>
          </w:p>
          <w:p w14:paraId="3CC241E4" w14:textId="77777777" w:rsidR="00666493" w:rsidRPr="00666493" w:rsidRDefault="00666493" w:rsidP="00666493">
            <w:pPr>
              <w:rPr>
                <w:rFonts w:asciiTheme="minorHAnsi" w:hAnsiTheme="minorHAnsi"/>
                <w:b/>
              </w:rPr>
            </w:pPr>
          </w:p>
        </w:tc>
        <w:tc>
          <w:tcPr>
            <w:tcW w:w="4536" w:type="dxa"/>
            <w:gridSpan w:val="3"/>
          </w:tcPr>
          <w:p w14:paraId="64868126" w14:textId="77777777" w:rsidR="00666493" w:rsidRPr="00666493" w:rsidRDefault="00666493" w:rsidP="00666493">
            <w:pPr>
              <w:spacing w:before="100" w:beforeAutospacing="1" w:after="150" w:line="276" w:lineRule="auto"/>
              <w:rPr>
                <w:rFonts w:asciiTheme="minorHAnsi" w:hAnsiTheme="minorHAnsi"/>
              </w:rPr>
            </w:pPr>
            <w:r w:rsidRPr="00666493">
              <w:rPr>
                <w:rFonts w:asciiTheme="minorHAnsi" w:hAnsiTheme="minorHAnsi"/>
                <w:b/>
              </w:rPr>
              <w:lastRenderedPageBreak/>
              <w:t>To reduce haemolysis in patients with AIHA not responding to corticosteroid therapy</w:t>
            </w:r>
          </w:p>
          <w:p w14:paraId="17157B9A" w14:textId="77777777" w:rsidR="00666493" w:rsidRPr="00666493" w:rsidRDefault="00666493" w:rsidP="00666493">
            <w:pPr>
              <w:rPr>
                <w:rFonts w:asciiTheme="minorHAnsi" w:hAnsiTheme="minorHAnsi"/>
              </w:rPr>
            </w:pPr>
            <w:r w:rsidRPr="00666493">
              <w:rPr>
                <w:rFonts w:asciiTheme="minorHAnsi" w:hAnsiTheme="minorHAnsi"/>
              </w:rPr>
              <w:t xml:space="preserve">Evidence of symptomatic or severe AIHA with current haemoglobin of less than 60g/L (except where significant co-morbidities exist that would influence the tolerance of anaemia) </w:t>
            </w:r>
          </w:p>
          <w:p w14:paraId="2E3392E5" w14:textId="77777777" w:rsidR="00666493" w:rsidRPr="00666493" w:rsidRDefault="00666493" w:rsidP="00666493">
            <w:pPr>
              <w:rPr>
                <w:rFonts w:asciiTheme="minorHAnsi" w:hAnsiTheme="minorHAnsi"/>
              </w:rPr>
            </w:pPr>
            <w:r w:rsidRPr="00666493">
              <w:rPr>
                <w:rFonts w:asciiTheme="minorHAnsi" w:hAnsiTheme="minorHAnsi"/>
              </w:rPr>
              <w:t>AND</w:t>
            </w:r>
          </w:p>
          <w:p w14:paraId="0B972DC4" w14:textId="77777777" w:rsidR="00666493" w:rsidRPr="00666493" w:rsidRDefault="00666493" w:rsidP="00666493">
            <w:pPr>
              <w:rPr>
                <w:rFonts w:asciiTheme="minorHAnsi" w:hAnsiTheme="minorHAnsi"/>
                <w:b/>
              </w:rPr>
            </w:pPr>
            <w:r w:rsidRPr="00666493">
              <w:rPr>
                <w:rFonts w:asciiTheme="minorHAnsi" w:hAnsiTheme="minorHAnsi"/>
              </w:rPr>
              <w:lastRenderedPageBreak/>
              <w:t xml:space="preserve">Haemolysis persists after at least 14 days of conventional corticosteroid therapy unless steroid therapy is contra-indicated or as a temporising measure before splenectomy. </w:t>
            </w:r>
          </w:p>
          <w:p w14:paraId="41C3721F" w14:textId="77777777" w:rsidR="00666493" w:rsidRPr="00666493" w:rsidRDefault="00666493" w:rsidP="00666493">
            <w:pPr>
              <w:pStyle w:val="ListParagraph"/>
              <w:tabs>
                <w:tab w:val="left" w:pos="495"/>
              </w:tabs>
              <w:ind w:left="1080"/>
              <w:rPr>
                <w:rFonts w:asciiTheme="minorHAnsi" w:hAnsiTheme="minorHAnsi"/>
              </w:rPr>
            </w:pPr>
          </w:p>
          <w:p w14:paraId="01FDF8C4" w14:textId="77777777" w:rsidR="00666493" w:rsidRPr="00666493" w:rsidRDefault="00666493" w:rsidP="00666493">
            <w:pPr>
              <w:rPr>
                <w:rFonts w:asciiTheme="minorHAnsi" w:hAnsiTheme="minorHAnsi"/>
              </w:rPr>
            </w:pPr>
          </w:p>
          <w:p w14:paraId="073D2118" w14:textId="77777777" w:rsidR="00666493" w:rsidRPr="00666493" w:rsidRDefault="00666493" w:rsidP="00666493">
            <w:pPr>
              <w:rPr>
                <w:rFonts w:asciiTheme="minorHAnsi" w:eastAsia="Times New Roman" w:hAnsiTheme="minorHAnsi" w:cs="Times New Roman"/>
                <w:b/>
                <w:lang w:eastAsia="en-AU"/>
              </w:rPr>
            </w:pPr>
            <w:r w:rsidRPr="00666493">
              <w:rPr>
                <w:rFonts w:asciiTheme="minorHAnsi" w:eastAsia="Times New Roman" w:hAnsiTheme="minorHAnsi" w:cs="Times New Roman"/>
                <w:b/>
                <w:lang w:eastAsia="en-AU"/>
              </w:rPr>
              <w:t>Intermittent therapy for AIHA in patients unsuitable for Splenectomy or immunosuppression</w:t>
            </w:r>
          </w:p>
          <w:p w14:paraId="4F2B3770" w14:textId="77777777" w:rsidR="00666493" w:rsidRPr="00666493" w:rsidRDefault="00666493" w:rsidP="00666493">
            <w:pPr>
              <w:rPr>
                <w:rFonts w:asciiTheme="minorHAnsi" w:hAnsiTheme="minorHAnsi"/>
              </w:rPr>
            </w:pPr>
          </w:p>
          <w:p w14:paraId="47FAAA7B" w14:textId="77777777" w:rsidR="00666493" w:rsidRPr="00666493" w:rsidRDefault="00666493" w:rsidP="00666493">
            <w:pPr>
              <w:rPr>
                <w:rFonts w:asciiTheme="minorHAnsi" w:hAnsiTheme="minorHAnsi"/>
              </w:rPr>
            </w:pPr>
            <w:r w:rsidRPr="00666493">
              <w:rPr>
                <w:rFonts w:asciiTheme="minorHAnsi" w:hAnsiTheme="minorHAnsi"/>
              </w:rPr>
              <w:t>Symptomatic or severe AIHA with current haemoglobin of less than 60g/L (except where significant co-morbidities exist that would influence the tolerance of anaemia)</w:t>
            </w:r>
          </w:p>
          <w:p w14:paraId="766B0354" w14:textId="77777777" w:rsidR="00666493" w:rsidRPr="00666493" w:rsidRDefault="00666493" w:rsidP="00666493">
            <w:pPr>
              <w:tabs>
                <w:tab w:val="left" w:pos="1155"/>
              </w:tabs>
              <w:rPr>
                <w:rFonts w:asciiTheme="minorHAnsi" w:hAnsiTheme="minorHAnsi"/>
              </w:rPr>
            </w:pPr>
            <w:r w:rsidRPr="00666493">
              <w:rPr>
                <w:rFonts w:asciiTheme="minorHAnsi" w:hAnsiTheme="minorHAnsi"/>
              </w:rPr>
              <w:t xml:space="preserve">AND </w:t>
            </w:r>
          </w:p>
          <w:p w14:paraId="026B94C5" w14:textId="77777777" w:rsidR="00666493" w:rsidRPr="00666493" w:rsidRDefault="00666493" w:rsidP="00666493">
            <w:pPr>
              <w:tabs>
                <w:tab w:val="left" w:pos="1155"/>
              </w:tabs>
              <w:rPr>
                <w:rFonts w:asciiTheme="minorHAnsi" w:hAnsiTheme="minorHAnsi"/>
              </w:rPr>
            </w:pPr>
            <w:r w:rsidRPr="00666493">
              <w:rPr>
                <w:rFonts w:asciiTheme="minorHAnsi" w:hAnsiTheme="minorHAnsi"/>
              </w:rPr>
              <w:t xml:space="preserve">Haemolysis persists after at least 14 days of conventional corticosteroid therapy unless steroid therapy is contra-indicated </w:t>
            </w:r>
          </w:p>
          <w:p w14:paraId="743708BA" w14:textId="77777777" w:rsidR="00666493" w:rsidRPr="00666493" w:rsidRDefault="00666493" w:rsidP="00666493">
            <w:pPr>
              <w:rPr>
                <w:rFonts w:asciiTheme="minorHAnsi" w:hAnsiTheme="minorHAnsi"/>
              </w:rPr>
            </w:pPr>
            <w:r w:rsidRPr="00666493">
              <w:rPr>
                <w:rFonts w:asciiTheme="minorHAnsi" w:hAnsiTheme="minorHAnsi"/>
              </w:rPr>
              <w:t xml:space="preserve">AND </w:t>
            </w:r>
          </w:p>
          <w:p w14:paraId="7E56CC7E" w14:textId="77777777" w:rsidR="00666493" w:rsidRPr="00666493" w:rsidRDefault="00666493" w:rsidP="00666493">
            <w:pPr>
              <w:rPr>
                <w:rFonts w:asciiTheme="minorHAnsi" w:hAnsiTheme="minorHAnsi"/>
              </w:rPr>
            </w:pPr>
            <w:r w:rsidRPr="00666493">
              <w:rPr>
                <w:rFonts w:asciiTheme="minorHAnsi" w:hAnsiTheme="minorHAnsi"/>
              </w:rPr>
              <w:t xml:space="preserve">Splenectomy is contraindicated or Immunosuppression is contraindicated </w:t>
            </w:r>
          </w:p>
          <w:p w14:paraId="62EFF788" w14:textId="77777777" w:rsidR="00666493" w:rsidRPr="00666493" w:rsidRDefault="00666493" w:rsidP="00666493">
            <w:pPr>
              <w:rPr>
                <w:rFonts w:asciiTheme="minorHAnsi" w:eastAsia="Times New Roman" w:hAnsiTheme="minorHAnsi" w:cs="Times New Roman"/>
                <w:b/>
                <w:lang w:eastAsia="en-AU"/>
              </w:rPr>
            </w:pPr>
          </w:p>
          <w:p w14:paraId="2AF7FCB1" w14:textId="77777777" w:rsidR="00666493" w:rsidRPr="00666493" w:rsidRDefault="00666493" w:rsidP="00666493">
            <w:pPr>
              <w:rPr>
                <w:rFonts w:asciiTheme="minorHAnsi" w:eastAsia="Times New Roman" w:hAnsiTheme="minorHAnsi" w:cs="Times New Roman"/>
                <w:b/>
                <w:lang w:eastAsia="en-AU"/>
              </w:rPr>
            </w:pPr>
            <w:r w:rsidRPr="00666493">
              <w:rPr>
                <w:rFonts w:asciiTheme="minorHAnsi" w:eastAsia="Times New Roman" w:hAnsiTheme="minorHAnsi" w:cs="Times New Roman"/>
                <w:b/>
                <w:lang w:eastAsia="en-AU"/>
              </w:rPr>
              <w:t>Maintenance therapy for AIHA in patients unsuitable for Splenectomy or immunosuppression</w:t>
            </w:r>
          </w:p>
          <w:p w14:paraId="06A5D571" w14:textId="77777777" w:rsidR="00666493" w:rsidRPr="00666493" w:rsidRDefault="00666493" w:rsidP="00666493">
            <w:pPr>
              <w:rPr>
                <w:rFonts w:asciiTheme="minorHAnsi" w:eastAsia="Times New Roman" w:hAnsiTheme="minorHAnsi" w:cs="Times New Roman"/>
                <w:b/>
                <w:lang w:eastAsia="en-AU"/>
              </w:rPr>
            </w:pPr>
          </w:p>
          <w:p w14:paraId="22F9F9F0" w14:textId="77777777" w:rsidR="00666493" w:rsidRPr="00666493" w:rsidRDefault="00666493" w:rsidP="00666493">
            <w:pPr>
              <w:spacing w:line="276" w:lineRule="auto"/>
              <w:rPr>
                <w:rFonts w:asciiTheme="minorHAnsi" w:hAnsiTheme="minorHAnsi"/>
              </w:rPr>
            </w:pPr>
            <w:r w:rsidRPr="00666493">
              <w:rPr>
                <w:rFonts w:asciiTheme="minorHAnsi" w:hAnsiTheme="minorHAnsi"/>
              </w:rPr>
              <w:t>Symptomatic or severe AIHA with current Haemoglobin less than 60g/L (unless significant comorbidities exist) requiring ongoing transfusion support for at least 2 months</w:t>
            </w:r>
          </w:p>
          <w:p w14:paraId="6AF63444" w14:textId="77777777" w:rsidR="00666493" w:rsidRPr="00666493" w:rsidRDefault="00666493" w:rsidP="00666493">
            <w:pPr>
              <w:spacing w:line="276" w:lineRule="auto"/>
              <w:rPr>
                <w:rFonts w:asciiTheme="minorHAnsi" w:hAnsiTheme="minorHAnsi"/>
              </w:rPr>
            </w:pPr>
            <w:r w:rsidRPr="00666493">
              <w:rPr>
                <w:rFonts w:asciiTheme="minorHAnsi" w:hAnsiTheme="minorHAnsi"/>
              </w:rPr>
              <w:t>AND</w:t>
            </w:r>
          </w:p>
          <w:p w14:paraId="02400ADE" w14:textId="77777777" w:rsidR="00666493" w:rsidRPr="00666493" w:rsidRDefault="00666493" w:rsidP="00666493">
            <w:pPr>
              <w:rPr>
                <w:rFonts w:asciiTheme="minorHAnsi" w:hAnsiTheme="minorHAnsi"/>
              </w:rPr>
            </w:pPr>
            <w:r w:rsidRPr="00666493">
              <w:rPr>
                <w:rFonts w:asciiTheme="minorHAnsi" w:hAnsiTheme="minorHAnsi"/>
              </w:rPr>
              <w:t xml:space="preserve">Haemolysis persists after at least 14 days of conventional corticosteroid therapy unless steroid therapy is contra-indicated </w:t>
            </w:r>
          </w:p>
          <w:p w14:paraId="6DEDAB5B" w14:textId="77777777" w:rsidR="00666493" w:rsidRPr="00666493" w:rsidRDefault="00666493" w:rsidP="00666493">
            <w:pPr>
              <w:rPr>
                <w:rFonts w:asciiTheme="minorHAnsi" w:hAnsiTheme="minorHAnsi"/>
              </w:rPr>
            </w:pPr>
            <w:r w:rsidRPr="00666493">
              <w:rPr>
                <w:rFonts w:asciiTheme="minorHAnsi" w:hAnsiTheme="minorHAnsi"/>
              </w:rPr>
              <w:lastRenderedPageBreak/>
              <w:t xml:space="preserve">AND </w:t>
            </w:r>
          </w:p>
          <w:p w14:paraId="51D3B18E" w14:textId="77777777" w:rsidR="00666493" w:rsidRPr="00666493" w:rsidRDefault="00666493" w:rsidP="00666493">
            <w:pPr>
              <w:rPr>
                <w:rFonts w:asciiTheme="minorHAnsi" w:hAnsiTheme="minorHAnsi"/>
              </w:rPr>
            </w:pPr>
            <w:r w:rsidRPr="00666493">
              <w:rPr>
                <w:rFonts w:asciiTheme="minorHAnsi" w:hAnsiTheme="minorHAnsi"/>
              </w:rPr>
              <w:t xml:space="preserve">Splenectomy is contra-indicated or Immunosuppression is contra-indicated. </w:t>
            </w:r>
          </w:p>
          <w:p w14:paraId="5AA2DC5B" w14:textId="77777777" w:rsidR="00666493" w:rsidRPr="00666493" w:rsidRDefault="00666493" w:rsidP="00666493">
            <w:pPr>
              <w:rPr>
                <w:rFonts w:asciiTheme="minorHAnsi" w:hAnsiTheme="minorHAnsi"/>
              </w:rPr>
            </w:pPr>
          </w:p>
        </w:tc>
        <w:tc>
          <w:tcPr>
            <w:tcW w:w="4678" w:type="dxa"/>
          </w:tcPr>
          <w:p w14:paraId="414F69EE" w14:textId="77777777" w:rsidR="00666493" w:rsidRPr="00666493" w:rsidRDefault="00666493" w:rsidP="00666493">
            <w:pPr>
              <w:rPr>
                <w:rFonts w:asciiTheme="minorHAnsi" w:hAnsiTheme="minorHAnsi"/>
              </w:rPr>
            </w:pPr>
            <w:r w:rsidRPr="00666493">
              <w:rPr>
                <w:rFonts w:asciiTheme="minorHAnsi" w:hAnsiTheme="minorHAnsi"/>
              </w:rPr>
              <w:lastRenderedPageBreak/>
              <w:t>Criteria are largely unchanged from original with steroid therapy being required for at least 14 days.(A)</w:t>
            </w:r>
          </w:p>
          <w:p w14:paraId="1E9FA508" w14:textId="77777777" w:rsidR="00666493" w:rsidRPr="00666493" w:rsidRDefault="00666493" w:rsidP="00666493">
            <w:pPr>
              <w:rPr>
                <w:rFonts w:asciiTheme="minorHAnsi" w:hAnsiTheme="minorHAnsi"/>
              </w:rPr>
            </w:pPr>
          </w:p>
          <w:p w14:paraId="6D8AE803" w14:textId="77777777" w:rsidR="00666493" w:rsidRPr="00666493" w:rsidRDefault="00666493" w:rsidP="00666493">
            <w:pPr>
              <w:tabs>
                <w:tab w:val="left" w:pos="1155"/>
              </w:tabs>
              <w:rPr>
                <w:rFonts w:asciiTheme="minorHAnsi" w:hAnsiTheme="minorHAnsi"/>
              </w:rPr>
            </w:pPr>
            <w:r w:rsidRPr="00666493">
              <w:rPr>
                <w:rFonts w:asciiTheme="minorHAnsi" w:hAnsiTheme="minorHAnsi"/>
              </w:rPr>
              <w:t xml:space="preserve">Steroid contraindication reasons include : </w:t>
            </w:r>
          </w:p>
          <w:p w14:paraId="04F3BF91" w14:textId="77777777" w:rsidR="00666493" w:rsidRPr="00666493" w:rsidRDefault="00666493" w:rsidP="00666493">
            <w:pPr>
              <w:pStyle w:val="ListParagraph"/>
              <w:numPr>
                <w:ilvl w:val="0"/>
                <w:numId w:val="40"/>
              </w:numPr>
              <w:spacing w:after="200"/>
              <w:rPr>
                <w:rFonts w:asciiTheme="minorHAnsi" w:hAnsiTheme="minorHAnsi"/>
              </w:rPr>
            </w:pPr>
            <w:r w:rsidRPr="00666493">
              <w:rPr>
                <w:rFonts w:asciiTheme="minorHAnsi" w:hAnsiTheme="minorHAnsi"/>
              </w:rPr>
              <w:t>Unstable Diabetes</w:t>
            </w:r>
          </w:p>
          <w:p w14:paraId="1608D68D" w14:textId="77777777" w:rsidR="00666493" w:rsidRPr="00666493" w:rsidRDefault="00666493" w:rsidP="00666493">
            <w:pPr>
              <w:pStyle w:val="ListParagraph"/>
              <w:numPr>
                <w:ilvl w:val="0"/>
                <w:numId w:val="40"/>
              </w:numPr>
              <w:spacing w:after="200"/>
              <w:rPr>
                <w:rFonts w:asciiTheme="minorHAnsi" w:hAnsiTheme="minorHAnsi"/>
              </w:rPr>
            </w:pPr>
            <w:r w:rsidRPr="00666493">
              <w:rPr>
                <w:rFonts w:asciiTheme="minorHAnsi" w:hAnsiTheme="minorHAnsi"/>
              </w:rPr>
              <w:t>Psychosis</w:t>
            </w:r>
          </w:p>
          <w:p w14:paraId="6C1B8D87" w14:textId="77777777" w:rsidR="00666493" w:rsidRPr="00666493" w:rsidRDefault="00666493" w:rsidP="00666493">
            <w:pPr>
              <w:pStyle w:val="ListParagraph"/>
              <w:numPr>
                <w:ilvl w:val="0"/>
                <w:numId w:val="40"/>
              </w:numPr>
              <w:spacing w:after="200"/>
              <w:rPr>
                <w:rFonts w:asciiTheme="minorHAnsi" w:hAnsiTheme="minorHAnsi"/>
              </w:rPr>
            </w:pPr>
            <w:r w:rsidRPr="00666493">
              <w:rPr>
                <w:rFonts w:asciiTheme="minorHAnsi" w:hAnsiTheme="minorHAnsi"/>
              </w:rPr>
              <w:t>Mood disorder</w:t>
            </w:r>
          </w:p>
          <w:p w14:paraId="7811579F" w14:textId="77777777" w:rsidR="00666493" w:rsidRPr="00666493" w:rsidRDefault="00666493" w:rsidP="00666493">
            <w:pPr>
              <w:pStyle w:val="ListParagraph"/>
              <w:numPr>
                <w:ilvl w:val="0"/>
                <w:numId w:val="40"/>
              </w:numPr>
              <w:spacing w:after="200"/>
              <w:rPr>
                <w:rFonts w:asciiTheme="minorHAnsi" w:hAnsiTheme="minorHAnsi"/>
              </w:rPr>
            </w:pPr>
            <w:r w:rsidRPr="00666493">
              <w:rPr>
                <w:rFonts w:asciiTheme="minorHAnsi" w:hAnsiTheme="minorHAnsi"/>
              </w:rPr>
              <w:lastRenderedPageBreak/>
              <w:t>Significant infection including sepsis</w:t>
            </w:r>
          </w:p>
          <w:p w14:paraId="4C5B5809" w14:textId="77777777" w:rsidR="00666493" w:rsidRPr="00666493" w:rsidRDefault="00666493" w:rsidP="00666493">
            <w:pPr>
              <w:pStyle w:val="ListParagraph"/>
              <w:numPr>
                <w:ilvl w:val="0"/>
                <w:numId w:val="40"/>
              </w:numPr>
              <w:spacing w:after="200"/>
              <w:rPr>
                <w:rFonts w:asciiTheme="minorHAnsi" w:hAnsiTheme="minorHAnsi"/>
              </w:rPr>
            </w:pPr>
            <w:r w:rsidRPr="00666493">
              <w:rPr>
                <w:rFonts w:asciiTheme="minorHAnsi" w:hAnsiTheme="minorHAnsi"/>
              </w:rPr>
              <w:t xml:space="preserve">Severe osteoporosis </w:t>
            </w:r>
          </w:p>
          <w:p w14:paraId="674D330D" w14:textId="77777777" w:rsidR="00666493" w:rsidRPr="00666493" w:rsidRDefault="00666493" w:rsidP="00666493">
            <w:pPr>
              <w:pStyle w:val="ListParagraph"/>
              <w:numPr>
                <w:ilvl w:val="0"/>
                <w:numId w:val="40"/>
              </w:numPr>
              <w:spacing w:after="200"/>
              <w:rPr>
                <w:rFonts w:asciiTheme="minorHAnsi" w:hAnsiTheme="minorHAnsi"/>
              </w:rPr>
            </w:pPr>
            <w:r w:rsidRPr="00666493">
              <w:rPr>
                <w:rFonts w:asciiTheme="minorHAnsi" w:hAnsiTheme="minorHAnsi"/>
              </w:rPr>
              <w:t>History of avascular necrosis</w:t>
            </w:r>
          </w:p>
          <w:p w14:paraId="17AC5523" w14:textId="77777777" w:rsidR="00666493" w:rsidRPr="00666493" w:rsidRDefault="00666493" w:rsidP="00666493">
            <w:pPr>
              <w:rPr>
                <w:rFonts w:asciiTheme="minorHAnsi" w:hAnsiTheme="minorHAnsi"/>
              </w:rPr>
            </w:pPr>
          </w:p>
          <w:p w14:paraId="494AEA45" w14:textId="77777777" w:rsidR="00666493" w:rsidRPr="00666493" w:rsidRDefault="00666493" w:rsidP="00666493">
            <w:pPr>
              <w:rPr>
                <w:rFonts w:asciiTheme="minorHAnsi" w:hAnsiTheme="minorHAnsi"/>
              </w:rPr>
            </w:pPr>
            <w:r w:rsidRPr="00666493">
              <w:rPr>
                <w:rFonts w:asciiTheme="minorHAnsi" w:hAnsiTheme="minorHAnsi"/>
              </w:rPr>
              <w:t xml:space="preserve">Intermittent therapy is consistent with original criteria. </w:t>
            </w:r>
          </w:p>
          <w:p w14:paraId="5A0A28A4" w14:textId="77777777" w:rsidR="00666493" w:rsidRPr="00666493" w:rsidRDefault="00666493" w:rsidP="00666493">
            <w:pPr>
              <w:rPr>
                <w:rFonts w:asciiTheme="minorHAnsi" w:hAnsiTheme="minorHAnsi"/>
              </w:rPr>
            </w:pPr>
          </w:p>
          <w:p w14:paraId="52C5F1AB" w14:textId="77777777" w:rsidR="00666493" w:rsidRPr="00666493" w:rsidRDefault="00666493" w:rsidP="00666493">
            <w:pPr>
              <w:rPr>
                <w:rFonts w:asciiTheme="minorHAnsi" w:hAnsiTheme="minorHAnsi"/>
              </w:rPr>
            </w:pPr>
            <w:r w:rsidRPr="00666493">
              <w:rPr>
                <w:rFonts w:asciiTheme="minorHAnsi" w:hAnsiTheme="minorHAnsi"/>
              </w:rPr>
              <w:t xml:space="preserve">Contraindication reasons to splenectomy include: </w:t>
            </w:r>
          </w:p>
          <w:p w14:paraId="0ED52203" w14:textId="4DC3C448" w:rsidR="00666493" w:rsidRPr="00666493" w:rsidRDefault="00666493" w:rsidP="00666493">
            <w:pPr>
              <w:pStyle w:val="ListParagraph"/>
              <w:numPr>
                <w:ilvl w:val="0"/>
                <w:numId w:val="41"/>
              </w:numPr>
              <w:rPr>
                <w:rFonts w:asciiTheme="minorHAnsi" w:hAnsiTheme="minorHAnsi"/>
              </w:rPr>
            </w:pPr>
            <w:r w:rsidRPr="00666493">
              <w:rPr>
                <w:rFonts w:asciiTheme="minorHAnsi" w:hAnsiTheme="minorHAnsi"/>
              </w:rPr>
              <w:t xml:space="preserve">Extramedullary </w:t>
            </w:r>
            <w:r w:rsidR="008A3CF9" w:rsidRPr="00666493">
              <w:rPr>
                <w:rFonts w:asciiTheme="minorHAnsi" w:hAnsiTheme="minorHAnsi"/>
              </w:rPr>
              <w:t>Haematopoiesis</w:t>
            </w:r>
          </w:p>
          <w:p w14:paraId="21868E5B" w14:textId="77777777" w:rsidR="00666493" w:rsidRPr="00666493" w:rsidRDefault="00666493" w:rsidP="00666493">
            <w:pPr>
              <w:pStyle w:val="ListParagraph"/>
              <w:numPr>
                <w:ilvl w:val="0"/>
                <w:numId w:val="41"/>
              </w:numPr>
              <w:rPr>
                <w:rFonts w:asciiTheme="minorHAnsi" w:hAnsiTheme="minorHAnsi"/>
              </w:rPr>
            </w:pPr>
            <w:r w:rsidRPr="00666493">
              <w:rPr>
                <w:rFonts w:asciiTheme="minorHAnsi" w:hAnsiTheme="minorHAnsi"/>
              </w:rPr>
              <w:t xml:space="preserve">Surgical contraindication </w:t>
            </w:r>
          </w:p>
          <w:p w14:paraId="420FF48D" w14:textId="77777777" w:rsidR="00666493" w:rsidRPr="00666493" w:rsidRDefault="00666493" w:rsidP="00666493">
            <w:pPr>
              <w:pStyle w:val="ListParagraph"/>
              <w:numPr>
                <w:ilvl w:val="0"/>
                <w:numId w:val="41"/>
              </w:numPr>
              <w:rPr>
                <w:rFonts w:asciiTheme="minorHAnsi" w:hAnsiTheme="minorHAnsi"/>
              </w:rPr>
            </w:pPr>
            <w:r w:rsidRPr="00666493">
              <w:rPr>
                <w:rFonts w:asciiTheme="minorHAnsi" w:hAnsiTheme="minorHAnsi"/>
              </w:rPr>
              <w:t>Age &lt;10</w:t>
            </w:r>
          </w:p>
          <w:p w14:paraId="7925A79A" w14:textId="77777777" w:rsidR="00666493" w:rsidRPr="00666493" w:rsidRDefault="00666493" w:rsidP="00666493">
            <w:pPr>
              <w:rPr>
                <w:rFonts w:asciiTheme="minorHAnsi" w:hAnsiTheme="minorHAnsi"/>
              </w:rPr>
            </w:pPr>
          </w:p>
          <w:p w14:paraId="349BABBE" w14:textId="77777777" w:rsidR="00666493" w:rsidRPr="00666493" w:rsidRDefault="00666493" w:rsidP="00666493">
            <w:pPr>
              <w:rPr>
                <w:rFonts w:asciiTheme="minorHAnsi" w:hAnsiTheme="minorHAnsi"/>
              </w:rPr>
            </w:pPr>
            <w:r w:rsidRPr="00666493">
              <w:rPr>
                <w:rFonts w:asciiTheme="minorHAnsi" w:eastAsia="Times New Roman" w:hAnsiTheme="minorHAnsi" w:cs="Times New Roman"/>
                <w:lang w:eastAsia="en-AU"/>
              </w:rPr>
              <w:t>It was noted that there are a very small number of patients on maintenance therapy and it was agreed that this needed to be accommodated provided patients met the criteria as now defined. SWG advised that a 6 month initial review was required with the option to continue treatment ongoing where patients remained transfusion dependant and symptomatic (A)</w:t>
            </w:r>
          </w:p>
          <w:p w14:paraId="531867F9" w14:textId="77777777" w:rsidR="00666493" w:rsidRPr="00666493" w:rsidRDefault="00666493" w:rsidP="00666493">
            <w:pPr>
              <w:rPr>
                <w:rFonts w:asciiTheme="minorHAnsi" w:hAnsiTheme="minorHAnsi"/>
              </w:rPr>
            </w:pPr>
          </w:p>
          <w:p w14:paraId="6A598E07" w14:textId="77777777" w:rsidR="00666493" w:rsidRPr="00666493" w:rsidRDefault="00666493" w:rsidP="00666493">
            <w:pPr>
              <w:rPr>
                <w:rFonts w:asciiTheme="minorHAnsi" w:hAnsiTheme="minorHAnsi"/>
              </w:rPr>
            </w:pPr>
          </w:p>
          <w:p w14:paraId="08AA82D4" w14:textId="77777777" w:rsidR="00666493" w:rsidRPr="00666493" w:rsidRDefault="00666493" w:rsidP="00666493">
            <w:pPr>
              <w:rPr>
                <w:rFonts w:asciiTheme="minorHAnsi" w:hAnsiTheme="minorHAnsi"/>
              </w:rPr>
            </w:pPr>
          </w:p>
          <w:p w14:paraId="1069C228" w14:textId="77777777" w:rsidR="00666493" w:rsidRPr="00666493" w:rsidRDefault="00666493" w:rsidP="00666493">
            <w:pPr>
              <w:rPr>
                <w:rFonts w:asciiTheme="minorHAnsi" w:hAnsiTheme="minorHAnsi"/>
              </w:rPr>
            </w:pPr>
          </w:p>
          <w:p w14:paraId="444A226B" w14:textId="77777777" w:rsidR="00666493" w:rsidRPr="00666493" w:rsidRDefault="00666493" w:rsidP="00666493">
            <w:pPr>
              <w:rPr>
                <w:rFonts w:asciiTheme="minorHAnsi" w:hAnsiTheme="minorHAnsi"/>
              </w:rPr>
            </w:pPr>
          </w:p>
          <w:p w14:paraId="6B172AF3" w14:textId="77777777" w:rsidR="00666493" w:rsidRPr="00666493" w:rsidRDefault="00666493" w:rsidP="00666493">
            <w:pPr>
              <w:rPr>
                <w:rFonts w:asciiTheme="minorHAnsi" w:hAnsiTheme="minorHAnsi"/>
              </w:rPr>
            </w:pPr>
          </w:p>
          <w:p w14:paraId="72D7A270" w14:textId="77777777" w:rsidR="00666493" w:rsidRPr="00666493" w:rsidRDefault="00666493" w:rsidP="00666493">
            <w:pPr>
              <w:rPr>
                <w:rFonts w:asciiTheme="minorHAnsi" w:hAnsiTheme="minorHAnsi"/>
              </w:rPr>
            </w:pPr>
          </w:p>
          <w:p w14:paraId="557F8DC2" w14:textId="77777777" w:rsidR="00666493" w:rsidRPr="00666493" w:rsidRDefault="00666493" w:rsidP="00666493">
            <w:pPr>
              <w:rPr>
                <w:rFonts w:asciiTheme="minorHAnsi" w:hAnsiTheme="minorHAnsi"/>
              </w:rPr>
            </w:pPr>
          </w:p>
          <w:p w14:paraId="196E3B0C" w14:textId="77777777" w:rsidR="00666493" w:rsidRPr="00666493" w:rsidRDefault="00666493" w:rsidP="00666493">
            <w:pPr>
              <w:rPr>
                <w:rFonts w:asciiTheme="minorHAnsi" w:hAnsiTheme="minorHAnsi"/>
              </w:rPr>
            </w:pPr>
          </w:p>
          <w:p w14:paraId="34DC0098" w14:textId="77777777" w:rsidR="00666493" w:rsidRPr="00666493" w:rsidRDefault="00666493" w:rsidP="00666493">
            <w:pPr>
              <w:rPr>
                <w:rFonts w:asciiTheme="minorHAnsi" w:hAnsiTheme="minorHAnsi"/>
              </w:rPr>
            </w:pPr>
          </w:p>
          <w:p w14:paraId="4B2E1DC3" w14:textId="06A27459" w:rsidR="00666493" w:rsidRPr="00666493" w:rsidRDefault="00666493" w:rsidP="00666493">
            <w:pPr>
              <w:keepNext/>
              <w:keepLines/>
              <w:outlineLvl w:val="5"/>
              <w:rPr>
                <w:rFonts w:asciiTheme="minorHAnsi" w:hAnsiTheme="minorHAnsi"/>
              </w:rPr>
            </w:pPr>
          </w:p>
        </w:tc>
        <w:tc>
          <w:tcPr>
            <w:tcW w:w="4536" w:type="dxa"/>
          </w:tcPr>
          <w:p w14:paraId="5D221BC4" w14:textId="77777777" w:rsidR="00666493" w:rsidRPr="00666493" w:rsidRDefault="00666493" w:rsidP="00666493">
            <w:pPr>
              <w:spacing w:line="276" w:lineRule="auto"/>
              <w:rPr>
                <w:rFonts w:asciiTheme="minorHAnsi" w:hAnsiTheme="minorHAnsi"/>
              </w:rPr>
            </w:pPr>
          </w:p>
        </w:tc>
      </w:tr>
      <w:tr w:rsidR="00666493" w:rsidRPr="00666493" w14:paraId="1C202E5B" w14:textId="77777777" w:rsidTr="00076968">
        <w:trPr>
          <w:gridAfter w:val="1"/>
          <w:wAfter w:w="4536" w:type="dxa"/>
        </w:trPr>
        <w:tc>
          <w:tcPr>
            <w:tcW w:w="1689" w:type="dxa"/>
            <w:shd w:val="clear" w:color="auto" w:fill="D9D9D9" w:themeFill="background1" w:themeFillShade="D9"/>
          </w:tcPr>
          <w:p w14:paraId="6DFE30C7" w14:textId="77777777" w:rsidR="00666493" w:rsidRPr="00666493" w:rsidRDefault="00666493" w:rsidP="00666493">
            <w:pPr>
              <w:rPr>
                <w:rFonts w:asciiTheme="minorHAnsi" w:hAnsiTheme="minorHAnsi"/>
                <w:b/>
              </w:rPr>
            </w:pPr>
            <w:r w:rsidRPr="00666493">
              <w:rPr>
                <w:rFonts w:asciiTheme="minorHAnsi" w:hAnsiTheme="minorHAnsi"/>
              </w:rPr>
              <w:lastRenderedPageBreak/>
              <w:br w:type="page"/>
            </w:r>
            <w:r w:rsidRPr="00666493">
              <w:rPr>
                <w:rFonts w:asciiTheme="minorHAnsi" w:hAnsiTheme="minorHAnsi"/>
                <w:b/>
              </w:rPr>
              <w:t>Review Criteria</w:t>
            </w:r>
          </w:p>
        </w:tc>
        <w:tc>
          <w:tcPr>
            <w:tcW w:w="4690" w:type="dxa"/>
          </w:tcPr>
          <w:p w14:paraId="5AB4F1A7" w14:textId="77777777" w:rsidR="00666493" w:rsidRPr="00666493" w:rsidRDefault="00666493" w:rsidP="00666493">
            <w:pPr>
              <w:numPr>
                <w:ilvl w:val="0"/>
                <w:numId w:val="42"/>
              </w:numPr>
              <w:spacing w:before="100" w:beforeAutospacing="1" w:after="150" w:line="360" w:lineRule="atLeast"/>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t xml:space="preserve">Resolution of haemolytic anaemia (rising haemoglobin concentrations, falling bilirubin and LDH). </w:t>
            </w:r>
          </w:p>
          <w:p w14:paraId="6AA78269" w14:textId="77777777" w:rsidR="00666493" w:rsidRPr="00666493" w:rsidRDefault="00666493" w:rsidP="00666493">
            <w:pPr>
              <w:numPr>
                <w:ilvl w:val="0"/>
                <w:numId w:val="42"/>
              </w:numPr>
              <w:spacing w:before="100" w:beforeAutospacing="1" w:after="150" w:line="360" w:lineRule="atLeast"/>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t>Clinical improvement in symptoms and signs.</w:t>
            </w:r>
          </w:p>
          <w:p w14:paraId="517BF026" w14:textId="77777777" w:rsidR="00666493" w:rsidRPr="00666493" w:rsidRDefault="00666493" w:rsidP="00666493">
            <w:pPr>
              <w:tabs>
                <w:tab w:val="left" w:pos="2629"/>
              </w:tabs>
              <w:spacing w:before="100" w:beforeAutospacing="1" w:after="100" w:afterAutospacing="1"/>
              <w:rPr>
                <w:rFonts w:asciiTheme="minorHAnsi" w:eastAsia="Times New Roman" w:hAnsiTheme="minorHAnsi" w:cs="Times New Roman"/>
                <w:color w:val="000000"/>
                <w:lang w:eastAsia="en-AU"/>
              </w:rPr>
            </w:pPr>
          </w:p>
        </w:tc>
        <w:tc>
          <w:tcPr>
            <w:tcW w:w="4536" w:type="dxa"/>
            <w:gridSpan w:val="3"/>
          </w:tcPr>
          <w:p w14:paraId="3742E1D1" w14:textId="77777777" w:rsidR="00666493" w:rsidRPr="00666493" w:rsidRDefault="00666493" w:rsidP="00666493">
            <w:pPr>
              <w:rPr>
                <w:rFonts w:asciiTheme="minorHAnsi" w:eastAsia="Times New Roman" w:hAnsiTheme="minorHAnsi" w:cs="Times New Roman"/>
                <w:b/>
                <w:lang w:eastAsia="en-AU"/>
              </w:rPr>
            </w:pPr>
            <w:r w:rsidRPr="00666493">
              <w:rPr>
                <w:rFonts w:asciiTheme="minorHAnsi" w:eastAsia="Times New Roman" w:hAnsiTheme="minorHAnsi" w:cs="Times New Roman"/>
                <w:b/>
                <w:lang w:eastAsia="en-AU"/>
              </w:rPr>
              <w:t xml:space="preserve">Review criteria for assessing the effectiveness of Ig use when one-off treatment is given: </w:t>
            </w:r>
          </w:p>
          <w:p w14:paraId="1BDDE971" w14:textId="77777777" w:rsidR="00666493" w:rsidRPr="00666493" w:rsidRDefault="00666493" w:rsidP="00666493">
            <w:pPr>
              <w:pStyle w:val="Default"/>
              <w:widowControl w:val="0"/>
              <w:numPr>
                <w:ilvl w:val="0"/>
                <w:numId w:val="43"/>
              </w:numPr>
              <w:ind w:left="601"/>
              <w:rPr>
                <w:rFonts w:asciiTheme="minorHAnsi" w:hAnsiTheme="minorHAnsi"/>
                <w:sz w:val="22"/>
                <w:szCs w:val="22"/>
              </w:rPr>
            </w:pPr>
            <w:r w:rsidRPr="00666493">
              <w:rPr>
                <w:rFonts w:asciiTheme="minorHAnsi" w:hAnsiTheme="minorHAnsi"/>
                <w:sz w:val="22"/>
                <w:szCs w:val="22"/>
              </w:rPr>
              <w:t xml:space="preserve">Resolution of haemolytic anaemia (rising haemoglobin concentrations, diminished transfusion requirement). </w:t>
            </w:r>
          </w:p>
          <w:p w14:paraId="2B5157B6" w14:textId="77777777" w:rsidR="00666493" w:rsidRPr="00666493" w:rsidRDefault="00666493" w:rsidP="00666493">
            <w:pPr>
              <w:pStyle w:val="Default"/>
              <w:widowControl w:val="0"/>
              <w:numPr>
                <w:ilvl w:val="0"/>
                <w:numId w:val="43"/>
              </w:numPr>
              <w:ind w:left="601"/>
              <w:rPr>
                <w:rFonts w:asciiTheme="minorHAnsi" w:hAnsiTheme="minorHAnsi"/>
                <w:sz w:val="22"/>
                <w:szCs w:val="22"/>
              </w:rPr>
            </w:pPr>
            <w:r w:rsidRPr="00666493">
              <w:rPr>
                <w:rFonts w:asciiTheme="minorHAnsi" w:hAnsiTheme="minorHAnsi"/>
                <w:sz w:val="22"/>
                <w:szCs w:val="22"/>
              </w:rPr>
              <w:t>Clinical improvement in symptoms and signs.</w:t>
            </w:r>
          </w:p>
          <w:p w14:paraId="6A9EBBC7" w14:textId="77777777" w:rsidR="00666493" w:rsidRPr="00666493" w:rsidRDefault="00666493" w:rsidP="00666493">
            <w:pPr>
              <w:rPr>
                <w:rFonts w:asciiTheme="minorHAnsi" w:hAnsiTheme="minorHAnsi"/>
              </w:rPr>
            </w:pPr>
          </w:p>
          <w:p w14:paraId="6696B940" w14:textId="77777777" w:rsidR="00666493" w:rsidRPr="00666493" w:rsidRDefault="00666493" w:rsidP="00666493">
            <w:pPr>
              <w:rPr>
                <w:rFonts w:asciiTheme="minorHAnsi" w:eastAsia="Times New Roman" w:hAnsiTheme="minorHAnsi" w:cs="Times New Roman"/>
                <w:b/>
                <w:lang w:eastAsia="en-AU"/>
              </w:rPr>
            </w:pPr>
            <w:r w:rsidRPr="00666493">
              <w:rPr>
                <w:rFonts w:asciiTheme="minorHAnsi" w:eastAsia="Times New Roman" w:hAnsiTheme="minorHAnsi" w:cs="Times New Roman"/>
                <w:b/>
                <w:lang w:eastAsia="en-AU"/>
              </w:rPr>
              <w:t>Maintenance therapy for AIHA in patients unsuitable for Splenectomy or immunosuppression</w:t>
            </w:r>
          </w:p>
          <w:p w14:paraId="3F4DC509" w14:textId="77777777" w:rsidR="00666493" w:rsidRPr="00666493" w:rsidRDefault="00666493" w:rsidP="00666493">
            <w:pPr>
              <w:rPr>
                <w:rFonts w:asciiTheme="minorHAnsi" w:eastAsia="Times New Roman" w:hAnsiTheme="minorHAnsi" w:cs="Times New Roman"/>
                <w:b/>
                <w:lang w:eastAsia="en-AU"/>
              </w:rPr>
            </w:pPr>
          </w:p>
          <w:p w14:paraId="258CBC9E" w14:textId="77777777" w:rsidR="00666493" w:rsidRPr="00666493" w:rsidRDefault="00666493" w:rsidP="00666493">
            <w:pPr>
              <w:spacing w:line="276" w:lineRule="auto"/>
              <w:rPr>
                <w:rFonts w:asciiTheme="minorHAnsi" w:hAnsiTheme="minorHAnsi"/>
                <w:b/>
              </w:rPr>
            </w:pPr>
            <w:r w:rsidRPr="00666493">
              <w:rPr>
                <w:rFonts w:asciiTheme="minorHAnsi" w:hAnsiTheme="minorHAnsi"/>
                <w:b/>
              </w:rPr>
              <w:t>Review Is Required</w:t>
            </w:r>
            <w:r w:rsidRPr="00666493">
              <w:rPr>
                <w:rFonts w:asciiTheme="minorHAnsi" w:hAnsiTheme="minorHAnsi"/>
                <w:b/>
              </w:rPr>
              <w:tab/>
            </w:r>
            <w:r w:rsidRPr="00666493">
              <w:rPr>
                <w:rFonts w:asciiTheme="minorHAnsi" w:hAnsiTheme="minorHAnsi"/>
                <w:b/>
              </w:rPr>
              <w:tab/>
            </w:r>
            <w:r w:rsidRPr="00666493">
              <w:rPr>
                <w:rFonts w:asciiTheme="minorHAnsi" w:hAnsiTheme="minorHAnsi"/>
                <w:b/>
              </w:rPr>
              <w:tab/>
            </w:r>
            <w:r w:rsidRPr="00666493">
              <w:rPr>
                <w:rFonts w:asciiTheme="minorHAnsi" w:hAnsiTheme="minorHAnsi"/>
              </w:rPr>
              <w:t>Yes</w:t>
            </w:r>
            <w:r w:rsidRPr="00666493">
              <w:rPr>
                <w:rFonts w:asciiTheme="minorHAnsi" w:hAnsiTheme="minorHAnsi"/>
                <w:b/>
              </w:rPr>
              <w:t xml:space="preserve"> </w:t>
            </w:r>
          </w:p>
          <w:p w14:paraId="232CC4C7" w14:textId="77777777" w:rsidR="00666493" w:rsidRPr="00666493" w:rsidRDefault="00666493" w:rsidP="00666493">
            <w:pPr>
              <w:spacing w:line="276" w:lineRule="auto"/>
              <w:rPr>
                <w:rFonts w:asciiTheme="minorHAnsi" w:hAnsiTheme="minorHAnsi"/>
                <w:b/>
              </w:rPr>
            </w:pPr>
            <w:r w:rsidRPr="00666493">
              <w:rPr>
                <w:rFonts w:asciiTheme="minorHAnsi" w:hAnsiTheme="minorHAnsi"/>
                <w:b/>
              </w:rPr>
              <w:t>Continuing Treatment is permitted</w:t>
            </w:r>
            <w:r w:rsidRPr="00666493">
              <w:rPr>
                <w:rFonts w:asciiTheme="minorHAnsi" w:hAnsiTheme="minorHAnsi"/>
                <w:b/>
              </w:rPr>
              <w:tab/>
            </w:r>
            <w:r w:rsidRPr="00666493">
              <w:rPr>
                <w:rFonts w:asciiTheme="minorHAnsi" w:hAnsiTheme="minorHAnsi"/>
              </w:rPr>
              <w:t>Yes</w:t>
            </w:r>
          </w:p>
          <w:p w14:paraId="0785D5CC" w14:textId="77777777" w:rsidR="00666493" w:rsidRPr="00666493" w:rsidRDefault="00666493" w:rsidP="00666493">
            <w:pPr>
              <w:spacing w:line="276" w:lineRule="auto"/>
              <w:rPr>
                <w:rFonts w:asciiTheme="minorHAnsi" w:hAnsiTheme="minorHAnsi"/>
              </w:rPr>
            </w:pPr>
            <w:r w:rsidRPr="00666493">
              <w:rPr>
                <w:rFonts w:asciiTheme="minorHAnsi" w:hAnsiTheme="minorHAnsi"/>
                <w:b/>
              </w:rPr>
              <w:t>Continuing authorisation request is required</w:t>
            </w:r>
            <w:r w:rsidRPr="00666493">
              <w:rPr>
                <w:rFonts w:asciiTheme="minorHAnsi" w:hAnsiTheme="minorHAnsi"/>
              </w:rPr>
              <w:t xml:space="preserve"> Yes</w:t>
            </w:r>
          </w:p>
          <w:p w14:paraId="34679BDF" w14:textId="77777777" w:rsidR="00666493" w:rsidRPr="00666493" w:rsidRDefault="00666493" w:rsidP="00666493">
            <w:pPr>
              <w:spacing w:line="276" w:lineRule="auto"/>
              <w:rPr>
                <w:rFonts w:asciiTheme="minorHAnsi" w:hAnsiTheme="minorHAnsi"/>
                <w:b/>
              </w:rPr>
            </w:pPr>
            <w:r w:rsidRPr="00666493">
              <w:rPr>
                <w:rFonts w:asciiTheme="minorHAnsi" w:hAnsiTheme="minorHAnsi"/>
                <w:b/>
              </w:rPr>
              <w:t>Maximum Authorised Treatment Period (Initial)</w:t>
            </w:r>
            <w:r w:rsidRPr="00666493">
              <w:rPr>
                <w:rFonts w:asciiTheme="minorHAnsi" w:hAnsiTheme="minorHAnsi"/>
                <w:b/>
              </w:rPr>
              <w:tab/>
            </w:r>
            <w:r w:rsidRPr="00666493">
              <w:rPr>
                <w:rFonts w:asciiTheme="minorHAnsi" w:hAnsiTheme="minorHAnsi"/>
                <w:b/>
              </w:rPr>
              <w:tab/>
            </w:r>
            <w:r w:rsidRPr="00666493">
              <w:rPr>
                <w:rFonts w:asciiTheme="minorHAnsi" w:hAnsiTheme="minorHAnsi"/>
              </w:rPr>
              <w:t>6 months</w:t>
            </w:r>
          </w:p>
          <w:p w14:paraId="05D38CA9" w14:textId="77777777" w:rsidR="00666493" w:rsidRPr="00666493" w:rsidRDefault="00666493" w:rsidP="00666493">
            <w:pPr>
              <w:spacing w:line="276" w:lineRule="auto"/>
              <w:rPr>
                <w:rFonts w:asciiTheme="minorHAnsi" w:hAnsiTheme="minorHAnsi"/>
                <w:b/>
              </w:rPr>
            </w:pPr>
            <w:r w:rsidRPr="00666493">
              <w:rPr>
                <w:rFonts w:asciiTheme="minorHAnsi" w:hAnsiTheme="minorHAnsi"/>
                <w:b/>
              </w:rPr>
              <w:t>Maximum Authorised Treatment Period (Continuing Reqs)</w:t>
            </w:r>
            <w:r w:rsidRPr="00666493">
              <w:rPr>
                <w:rFonts w:asciiTheme="minorHAnsi" w:hAnsiTheme="minorHAnsi"/>
                <w:b/>
              </w:rPr>
              <w:tab/>
            </w:r>
            <w:r w:rsidRPr="00666493">
              <w:rPr>
                <w:rFonts w:asciiTheme="minorHAnsi" w:hAnsiTheme="minorHAnsi"/>
              </w:rPr>
              <w:t>6 months</w:t>
            </w:r>
          </w:p>
          <w:p w14:paraId="1FC7F049" w14:textId="77777777" w:rsidR="00666493" w:rsidRPr="00666493" w:rsidRDefault="00666493" w:rsidP="00666493">
            <w:pPr>
              <w:spacing w:line="276" w:lineRule="auto"/>
              <w:rPr>
                <w:rFonts w:asciiTheme="minorHAnsi" w:hAnsiTheme="minorHAnsi"/>
                <w:b/>
              </w:rPr>
            </w:pPr>
            <w:r w:rsidRPr="00666493">
              <w:rPr>
                <w:rFonts w:asciiTheme="minorHAnsi" w:hAnsiTheme="minorHAnsi"/>
                <w:b/>
              </w:rPr>
              <w:t>Who must undertake review</w:t>
            </w:r>
            <w:r w:rsidRPr="00666493">
              <w:rPr>
                <w:rFonts w:asciiTheme="minorHAnsi" w:hAnsiTheme="minorHAnsi"/>
                <w:b/>
              </w:rPr>
              <w:tab/>
              <w:t xml:space="preserve">      </w:t>
            </w:r>
            <w:r w:rsidRPr="00666493">
              <w:rPr>
                <w:rFonts w:asciiTheme="minorHAnsi" w:hAnsiTheme="minorHAnsi"/>
              </w:rPr>
              <w:t>Haematologist</w:t>
            </w:r>
          </w:p>
          <w:p w14:paraId="5459DF89" w14:textId="77777777" w:rsidR="00666493" w:rsidRPr="00666493" w:rsidRDefault="00666493" w:rsidP="00666493">
            <w:pPr>
              <w:spacing w:line="276" w:lineRule="auto"/>
              <w:rPr>
                <w:rFonts w:asciiTheme="minorHAnsi" w:hAnsiTheme="minorHAnsi"/>
                <w:b/>
              </w:rPr>
            </w:pPr>
            <w:r w:rsidRPr="00666493">
              <w:rPr>
                <w:rFonts w:asciiTheme="minorHAnsi" w:hAnsiTheme="minorHAnsi"/>
                <w:b/>
              </w:rPr>
              <w:t>If review NOT required maximum length of authorisation</w:t>
            </w:r>
            <w:r w:rsidRPr="00666493">
              <w:rPr>
                <w:rFonts w:asciiTheme="minorHAnsi" w:hAnsiTheme="minorHAnsi"/>
                <w:b/>
              </w:rPr>
              <w:tab/>
            </w:r>
            <w:r w:rsidRPr="00666493">
              <w:rPr>
                <w:rFonts w:asciiTheme="minorHAnsi" w:hAnsiTheme="minorHAnsi"/>
              </w:rPr>
              <w:t>N/A</w:t>
            </w:r>
          </w:p>
          <w:p w14:paraId="16E15B65" w14:textId="77777777" w:rsidR="00666493" w:rsidRPr="00666493" w:rsidRDefault="00666493" w:rsidP="00666493">
            <w:pPr>
              <w:spacing w:line="276" w:lineRule="auto"/>
              <w:rPr>
                <w:rFonts w:asciiTheme="minorHAnsi" w:hAnsiTheme="minorHAnsi"/>
                <w:b/>
              </w:rPr>
            </w:pPr>
            <w:r w:rsidRPr="00666493">
              <w:rPr>
                <w:rFonts w:asciiTheme="minorHAnsi" w:hAnsiTheme="minorHAnsi"/>
                <w:b/>
              </w:rPr>
              <w:t xml:space="preserve">Consider cessation </w:t>
            </w:r>
            <w:r w:rsidRPr="00666493">
              <w:rPr>
                <w:rFonts w:asciiTheme="minorHAnsi" w:hAnsiTheme="minorHAnsi"/>
                <w:b/>
              </w:rPr>
              <w:tab/>
              <w:t xml:space="preserve"> </w:t>
            </w:r>
            <w:r w:rsidRPr="00666493">
              <w:rPr>
                <w:rFonts w:asciiTheme="minorHAnsi" w:hAnsiTheme="minorHAnsi"/>
                <w:b/>
              </w:rPr>
              <w:tab/>
            </w:r>
            <w:r w:rsidRPr="00666493">
              <w:rPr>
                <w:rFonts w:asciiTheme="minorHAnsi" w:hAnsiTheme="minorHAnsi"/>
                <w:b/>
              </w:rPr>
              <w:tab/>
              <w:t xml:space="preserve">          </w:t>
            </w:r>
            <w:r w:rsidRPr="00666493">
              <w:rPr>
                <w:rFonts w:asciiTheme="minorHAnsi" w:hAnsiTheme="minorHAnsi"/>
              </w:rPr>
              <w:t>Yes</w:t>
            </w:r>
          </w:p>
          <w:p w14:paraId="5E7BF640" w14:textId="77777777" w:rsidR="00666493" w:rsidRPr="00666493" w:rsidRDefault="00666493" w:rsidP="00666493">
            <w:pPr>
              <w:spacing w:line="276" w:lineRule="auto"/>
              <w:rPr>
                <w:rFonts w:asciiTheme="minorHAnsi" w:hAnsiTheme="minorHAnsi"/>
                <w:b/>
              </w:rPr>
            </w:pPr>
            <w:r w:rsidRPr="00666493">
              <w:rPr>
                <w:rFonts w:asciiTheme="minorHAnsi" w:hAnsiTheme="minorHAnsi"/>
                <w:b/>
              </w:rPr>
              <w:t>Consider Cessation Timeframe</w:t>
            </w:r>
            <w:r w:rsidRPr="00666493">
              <w:rPr>
                <w:rFonts w:asciiTheme="minorHAnsi" w:hAnsiTheme="minorHAnsi"/>
                <w:b/>
              </w:rPr>
              <w:tab/>
              <w:t xml:space="preserve">          </w:t>
            </w:r>
            <w:r w:rsidRPr="00666493">
              <w:rPr>
                <w:rFonts w:asciiTheme="minorHAnsi" w:hAnsiTheme="minorHAnsi"/>
              </w:rPr>
              <w:t xml:space="preserve">6 months at initial review and at 12 months. </w:t>
            </w:r>
          </w:p>
          <w:p w14:paraId="54A2D6CE" w14:textId="77777777" w:rsidR="00666493" w:rsidRPr="00666493" w:rsidRDefault="00666493" w:rsidP="00666493">
            <w:pPr>
              <w:rPr>
                <w:rFonts w:asciiTheme="minorHAnsi" w:eastAsia="Times New Roman" w:hAnsiTheme="minorHAnsi" w:cs="Times New Roman"/>
                <w:lang w:eastAsia="en-AU"/>
              </w:rPr>
            </w:pPr>
          </w:p>
          <w:p w14:paraId="061789B6" w14:textId="77777777" w:rsidR="00666493" w:rsidRPr="00666493" w:rsidRDefault="00666493" w:rsidP="00666493">
            <w:pPr>
              <w:rPr>
                <w:rFonts w:asciiTheme="minorHAnsi" w:eastAsia="Times New Roman" w:hAnsiTheme="minorHAnsi" w:cs="Times New Roman"/>
                <w:b/>
                <w:lang w:eastAsia="en-AU"/>
              </w:rPr>
            </w:pPr>
            <w:r w:rsidRPr="00666493">
              <w:rPr>
                <w:rFonts w:asciiTheme="minorHAnsi" w:eastAsia="Times New Roman" w:hAnsiTheme="minorHAnsi" w:cs="Times New Roman"/>
                <w:b/>
                <w:lang w:eastAsia="en-AU"/>
              </w:rPr>
              <w:t>Review preamble</w:t>
            </w:r>
          </w:p>
          <w:p w14:paraId="500ABBAC" w14:textId="77777777" w:rsidR="00666493" w:rsidRPr="00666493" w:rsidRDefault="00666493" w:rsidP="00666493">
            <w:pPr>
              <w:spacing w:after="225" w:line="276" w:lineRule="auto"/>
              <w:rPr>
                <w:rFonts w:asciiTheme="minorHAnsi" w:eastAsia="Times New Roman" w:hAnsiTheme="minorHAnsi" w:cstheme="minorHAnsi"/>
                <w:b/>
                <w:color w:val="000000"/>
              </w:rPr>
            </w:pPr>
            <w:r w:rsidRPr="00666493">
              <w:rPr>
                <w:rFonts w:asciiTheme="minorHAnsi" w:eastAsia="Times New Roman" w:hAnsiTheme="minorHAnsi" w:cstheme="minorHAnsi"/>
                <w:b/>
                <w:color w:val="000000"/>
              </w:rPr>
              <w:t xml:space="preserve">Corticosteroid administration is the cornerstone of therapy. For those with relapsing disease, Splenectomy and immunosuppression are second line treatments while anti-CD20 antibodies have shown promise in individual cases of refractory disease. </w:t>
            </w:r>
          </w:p>
          <w:p w14:paraId="46CE83EF" w14:textId="77777777" w:rsidR="00666493" w:rsidRPr="00666493" w:rsidRDefault="00666493" w:rsidP="00666493">
            <w:pPr>
              <w:spacing w:after="225" w:line="276" w:lineRule="auto"/>
              <w:rPr>
                <w:rFonts w:asciiTheme="minorHAnsi" w:eastAsia="Times New Roman" w:hAnsiTheme="minorHAnsi" w:cstheme="minorHAnsi"/>
                <w:b/>
                <w:color w:val="A6A6A6" w:themeColor="background1" w:themeShade="A6"/>
              </w:rPr>
            </w:pPr>
            <w:r w:rsidRPr="00666493">
              <w:rPr>
                <w:rFonts w:asciiTheme="minorHAnsi" w:eastAsia="Times New Roman" w:hAnsiTheme="minorHAnsi" w:cstheme="minorHAnsi"/>
                <w:b/>
                <w:color w:val="A6A6A6" w:themeColor="background1" w:themeShade="A6"/>
              </w:rPr>
              <w:t xml:space="preserve">On review of the authorisation request: </w:t>
            </w:r>
          </w:p>
          <w:p w14:paraId="7BA8487A" w14:textId="77777777" w:rsidR="00666493" w:rsidRPr="00666493" w:rsidRDefault="00666493" w:rsidP="00666493">
            <w:pPr>
              <w:rPr>
                <w:rFonts w:asciiTheme="minorHAnsi" w:eastAsia="Times New Roman" w:hAnsiTheme="minorHAnsi" w:cs="Times New Roman"/>
                <w:lang w:eastAsia="en-AU"/>
              </w:rPr>
            </w:pPr>
            <w:r w:rsidRPr="00666493">
              <w:rPr>
                <w:rFonts w:asciiTheme="minorHAnsi" w:eastAsia="Times New Roman" w:hAnsiTheme="minorHAnsi" w:cs="Times New Roman"/>
                <w:lang w:eastAsia="en-AU"/>
              </w:rPr>
              <w:t>Haemolysis is unresolved and patient remains transfusion dependant and symptomatic</w:t>
            </w:r>
          </w:p>
          <w:p w14:paraId="01F17CAA" w14:textId="77777777" w:rsidR="00666493" w:rsidRPr="00666493" w:rsidRDefault="00666493" w:rsidP="00666493">
            <w:pPr>
              <w:pStyle w:val="Default"/>
              <w:rPr>
                <w:rFonts w:asciiTheme="minorHAnsi" w:hAnsiTheme="minorHAnsi"/>
                <w:sz w:val="22"/>
                <w:szCs w:val="22"/>
              </w:rPr>
            </w:pPr>
            <w:r w:rsidRPr="00666493">
              <w:rPr>
                <w:rFonts w:asciiTheme="minorHAnsi" w:hAnsiTheme="minorHAnsi"/>
                <w:sz w:val="22"/>
                <w:szCs w:val="22"/>
              </w:rPr>
              <w:t>AND</w:t>
            </w:r>
          </w:p>
          <w:p w14:paraId="2848417A" w14:textId="77777777" w:rsidR="00666493" w:rsidRPr="00666493" w:rsidRDefault="00666493" w:rsidP="00666493">
            <w:pPr>
              <w:pStyle w:val="Default"/>
              <w:rPr>
                <w:rFonts w:asciiTheme="minorHAnsi" w:hAnsiTheme="minorHAnsi"/>
                <w:sz w:val="22"/>
                <w:szCs w:val="22"/>
              </w:rPr>
            </w:pPr>
            <w:r w:rsidRPr="00666493">
              <w:rPr>
                <w:rFonts w:asciiTheme="minorHAnsi" w:hAnsiTheme="minorHAnsi"/>
                <w:sz w:val="22"/>
                <w:szCs w:val="22"/>
              </w:rPr>
              <w:t xml:space="preserve">Contraindications to splenectomy and immunosuppression remain </w:t>
            </w:r>
          </w:p>
          <w:p w14:paraId="7704B63E" w14:textId="77777777" w:rsidR="00666493" w:rsidRPr="00666493" w:rsidRDefault="00666493" w:rsidP="00666493">
            <w:pPr>
              <w:pStyle w:val="Default"/>
              <w:rPr>
                <w:rFonts w:asciiTheme="minorHAnsi" w:eastAsia="Dotum" w:hAnsiTheme="minorHAnsi"/>
                <w:sz w:val="22"/>
                <w:szCs w:val="22"/>
              </w:rPr>
            </w:pPr>
            <w:r w:rsidRPr="00666493">
              <w:rPr>
                <w:rFonts w:asciiTheme="minorHAnsi" w:eastAsia="Dotum" w:hAnsiTheme="minorHAnsi"/>
                <w:sz w:val="22"/>
                <w:szCs w:val="22"/>
              </w:rPr>
              <w:t>AND</w:t>
            </w:r>
          </w:p>
          <w:p w14:paraId="0AD05FF6" w14:textId="77777777" w:rsidR="00666493" w:rsidRPr="00666493" w:rsidRDefault="00666493" w:rsidP="00666493">
            <w:pPr>
              <w:spacing w:line="20" w:lineRule="atLeast"/>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t xml:space="preserve">A trial off therapy is planned or a valid reason provided as to why a trial is not being planned or is contra-indicated.  </w:t>
            </w:r>
          </w:p>
          <w:p w14:paraId="5EFB5E2A" w14:textId="76FE2885" w:rsidR="00666493" w:rsidRPr="00666493" w:rsidRDefault="00666493" w:rsidP="00666493">
            <w:pPr>
              <w:rPr>
                <w:rFonts w:asciiTheme="minorHAnsi" w:hAnsiTheme="minorHAnsi"/>
              </w:rPr>
            </w:pPr>
            <w:r w:rsidRPr="00666493">
              <w:rPr>
                <w:rFonts w:asciiTheme="minorHAnsi" w:hAnsiTheme="minorHAnsi"/>
              </w:rPr>
              <w:t xml:space="preserve"> </w:t>
            </w:r>
          </w:p>
        </w:tc>
        <w:tc>
          <w:tcPr>
            <w:tcW w:w="4678" w:type="dxa"/>
          </w:tcPr>
          <w:p w14:paraId="0F657373" w14:textId="77777777" w:rsidR="00666493" w:rsidRPr="00666493" w:rsidRDefault="00666493" w:rsidP="00666493">
            <w:pPr>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lastRenderedPageBreak/>
              <w:t xml:space="preserve">Given that dosing is mostly one-off, outcome data may be entered but will not be mandatory. SWG did not consider the original outcome measures as defined to be robust.  The capture of bilirubin and LDH levels was not endorsed.  </w:t>
            </w:r>
          </w:p>
          <w:p w14:paraId="420AC371" w14:textId="77777777" w:rsidR="00666493" w:rsidRPr="00666493" w:rsidRDefault="00666493" w:rsidP="00666493">
            <w:pPr>
              <w:rPr>
                <w:rFonts w:asciiTheme="minorHAnsi" w:eastAsia="Times New Roman" w:hAnsiTheme="minorHAnsi" w:cs="Times New Roman"/>
                <w:color w:val="000000"/>
                <w:lang w:eastAsia="en-AU"/>
              </w:rPr>
            </w:pPr>
          </w:p>
          <w:p w14:paraId="31F89686" w14:textId="77777777" w:rsidR="00666493" w:rsidRPr="00666493" w:rsidRDefault="00666493" w:rsidP="00666493">
            <w:pPr>
              <w:rPr>
                <w:rFonts w:asciiTheme="minorHAnsi" w:hAnsiTheme="minorHAnsi"/>
              </w:rPr>
            </w:pPr>
          </w:p>
          <w:p w14:paraId="28B36FAB" w14:textId="77777777" w:rsidR="00666493" w:rsidRPr="00666493" w:rsidRDefault="00666493" w:rsidP="00666493">
            <w:pPr>
              <w:rPr>
                <w:rFonts w:asciiTheme="minorHAnsi" w:hAnsiTheme="minorHAnsi"/>
              </w:rPr>
            </w:pPr>
          </w:p>
          <w:p w14:paraId="06CFB68F" w14:textId="77777777" w:rsidR="00666493" w:rsidRPr="00666493" w:rsidRDefault="00666493" w:rsidP="00666493">
            <w:pPr>
              <w:rPr>
                <w:rFonts w:asciiTheme="minorHAnsi" w:hAnsiTheme="minorHAnsi"/>
              </w:rPr>
            </w:pPr>
          </w:p>
          <w:p w14:paraId="699B51B5" w14:textId="77777777" w:rsidR="00666493" w:rsidRPr="00666493" w:rsidRDefault="00666493" w:rsidP="00666493">
            <w:pPr>
              <w:rPr>
                <w:rFonts w:asciiTheme="minorHAnsi" w:hAnsiTheme="minorHAnsi"/>
              </w:rPr>
            </w:pPr>
            <w:r w:rsidRPr="00666493">
              <w:rPr>
                <w:rFonts w:asciiTheme="minorHAnsi" w:hAnsiTheme="minorHAnsi"/>
              </w:rPr>
              <w:t xml:space="preserve">For maintenance therapy, review is required 6 monthly when cessation should be considered. </w:t>
            </w:r>
          </w:p>
          <w:p w14:paraId="069A6AB8" w14:textId="77777777" w:rsidR="00666493" w:rsidRPr="00666493" w:rsidRDefault="00666493" w:rsidP="00666493">
            <w:pPr>
              <w:rPr>
                <w:rFonts w:asciiTheme="minorHAnsi" w:hAnsiTheme="minorHAnsi"/>
              </w:rPr>
            </w:pPr>
          </w:p>
          <w:p w14:paraId="6CFCBFC6" w14:textId="77777777" w:rsidR="00666493" w:rsidRPr="00666493" w:rsidRDefault="00666493" w:rsidP="00666493">
            <w:pPr>
              <w:rPr>
                <w:rFonts w:asciiTheme="minorHAnsi" w:hAnsiTheme="minorHAnsi"/>
              </w:rPr>
            </w:pPr>
          </w:p>
          <w:p w14:paraId="37561234" w14:textId="77777777" w:rsidR="00666493" w:rsidRPr="00666493" w:rsidRDefault="00666493" w:rsidP="00666493">
            <w:pPr>
              <w:rPr>
                <w:rFonts w:asciiTheme="minorHAnsi" w:hAnsiTheme="minorHAnsi"/>
              </w:rPr>
            </w:pPr>
          </w:p>
          <w:p w14:paraId="7C0537B8" w14:textId="77777777" w:rsidR="00666493" w:rsidRPr="00666493" w:rsidRDefault="00666493" w:rsidP="00666493">
            <w:pPr>
              <w:rPr>
                <w:rFonts w:asciiTheme="minorHAnsi" w:hAnsiTheme="minorHAnsi"/>
              </w:rPr>
            </w:pPr>
          </w:p>
          <w:p w14:paraId="6F377E15" w14:textId="77777777" w:rsidR="00666493" w:rsidRPr="00666493" w:rsidRDefault="00666493" w:rsidP="00666493">
            <w:pPr>
              <w:rPr>
                <w:rFonts w:asciiTheme="minorHAnsi" w:hAnsiTheme="minorHAnsi"/>
              </w:rPr>
            </w:pPr>
          </w:p>
          <w:p w14:paraId="3EECEFBA" w14:textId="77777777" w:rsidR="00666493" w:rsidRPr="00666493" w:rsidRDefault="00666493" w:rsidP="00666493">
            <w:pPr>
              <w:rPr>
                <w:rFonts w:asciiTheme="minorHAnsi" w:hAnsiTheme="minorHAnsi"/>
              </w:rPr>
            </w:pPr>
          </w:p>
          <w:p w14:paraId="22B59567" w14:textId="77777777" w:rsidR="00666493" w:rsidRPr="00666493" w:rsidRDefault="00666493" w:rsidP="00666493">
            <w:pPr>
              <w:rPr>
                <w:rFonts w:asciiTheme="minorHAnsi" w:hAnsiTheme="minorHAnsi"/>
              </w:rPr>
            </w:pPr>
          </w:p>
          <w:p w14:paraId="2B315A4D" w14:textId="77777777" w:rsidR="00666493" w:rsidRPr="00666493" w:rsidRDefault="00666493" w:rsidP="00666493">
            <w:pPr>
              <w:rPr>
                <w:rFonts w:asciiTheme="minorHAnsi" w:hAnsiTheme="minorHAnsi"/>
              </w:rPr>
            </w:pPr>
          </w:p>
          <w:p w14:paraId="1F61F332" w14:textId="77777777" w:rsidR="00666493" w:rsidRPr="00666493" w:rsidRDefault="00666493" w:rsidP="00666493">
            <w:pPr>
              <w:rPr>
                <w:rFonts w:asciiTheme="minorHAnsi" w:hAnsiTheme="minorHAnsi"/>
              </w:rPr>
            </w:pPr>
          </w:p>
          <w:p w14:paraId="0BBB99FD" w14:textId="77777777" w:rsidR="00666493" w:rsidRPr="00666493" w:rsidRDefault="00666493" w:rsidP="00666493">
            <w:pPr>
              <w:rPr>
                <w:rFonts w:asciiTheme="minorHAnsi" w:hAnsiTheme="minorHAnsi"/>
              </w:rPr>
            </w:pPr>
          </w:p>
          <w:p w14:paraId="370F23B3" w14:textId="77777777" w:rsidR="00666493" w:rsidRPr="00666493" w:rsidRDefault="00666493" w:rsidP="00666493">
            <w:pPr>
              <w:rPr>
                <w:rFonts w:asciiTheme="minorHAnsi" w:hAnsiTheme="minorHAnsi"/>
              </w:rPr>
            </w:pPr>
          </w:p>
          <w:p w14:paraId="5AD96AFC" w14:textId="77777777" w:rsidR="00666493" w:rsidRPr="00666493" w:rsidRDefault="00666493" w:rsidP="00666493">
            <w:pPr>
              <w:rPr>
                <w:rFonts w:asciiTheme="minorHAnsi" w:hAnsiTheme="minorHAnsi"/>
              </w:rPr>
            </w:pPr>
          </w:p>
          <w:p w14:paraId="61EA2108" w14:textId="77777777" w:rsidR="00666493" w:rsidRPr="00666493" w:rsidRDefault="00666493" w:rsidP="00666493">
            <w:pPr>
              <w:rPr>
                <w:rFonts w:asciiTheme="minorHAnsi" w:hAnsiTheme="minorHAnsi"/>
              </w:rPr>
            </w:pPr>
          </w:p>
          <w:p w14:paraId="6E0227CA" w14:textId="77777777" w:rsidR="00666493" w:rsidRPr="00666493" w:rsidRDefault="00666493" w:rsidP="00666493">
            <w:pPr>
              <w:rPr>
                <w:rFonts w:asciiTheme="minorHAnsi" w:hAnsiTheme="minorHAnsi"/>
              </w:rPr>
            </w:pPr>
          </w:p>
          <w:p w14:paraId="63BD6232" w14:textId="77777777" w:rsidR="00666493" w:rsidRPr="00666493" w:rsidRDefault="00666493" w:rsidP="00666493">
            <w:pPr>
              <w:rPr>
                <w:rFonts w:asciiTheme="minorHAnsi" w:hAnsiTheme="minorHAnsi"/>
              </w:rPr>
            </w:pPr>
          </w:p>
          <w:p w14:paraId="736D1511" w14:textId="77777777" w:rsidR="00666493" w:rsidRPr="00666493" w:rsidRDefault="00666493" w:rsidP="00666493">
            <w:pPr>
              <w:rPr>
                <w:rFonts w:asciiTheme="minorHAnsi" w:hAnsiTheme="minorHAnsi"/>
              </w:rPr>
            </w:pPr>
          </w:p>
          <w:p w14:paraId="3ACE2583" w14:textId="77777777" w:rsidR="00666493" w:rsidRPr="00666493" w:rsidRDefault="00666493" w:rsidP="00666493">
            <w:pPr>
              <w:rPr>
                <w:rFonts w:asciiTheme="minorHAnsi" w:hAnsiTheme="minorHAnsi"/>
              </w:rPr>
            </w:pPr>
          </w:p>
          <w:p w14:paraId="1181E1A4" w14:textId="77777777" w:rsidR="00666493" w:rsidRPr="00666493" w:rsidRDefault="00666493" w:rsidP="00666493">
            <w:pPr>
              <w:rPr>
                <w:rFonts w:asciiTheme="minorHAnsi" w:hAnsiTheme="minorHAnsi"/>
              </w:rPr>
            </w:pPr>
          </w:p>
          <w:p w14:paraId="3EBA1C42" w14:textId="77777777" w:rsidR="00666493" w:rsidRPr="00666493" w:rsidRDefault="00666493" w:rsidP="00666493">
            <w:pPr>
              <w:rPr>
                <w:rFonts w:asciiTheme="minorHAnsi" w:hAnsiTheme="minorHAnsi"/>
              </w:rPr>
            </w:pPr>
          </w:p>
          <w:p w14:paraId="04DAD4FD" w14:textId="77777777" w:rsidR="00666493" w:rsidRPr="00666493" w:rsidRDefault="00666493" w:rsidP="00666493">
            <w:pPr>
              <w:rPr>
                <w:rFonts w:asciiTheme="minorHAnsi" w:hAnsiTheme="minorHAnsi"/>
              </w:rPr>
            </w:pPr>
          </w:p>
          <w:p w14:paraId="5A29AC8D" w14:textId="77777777" w:rsidR="00666493" w:rsidRPr="00666493" w:rsidRDefault="00666493" w:rsidP="00666493">
            <w:pPr>
              <w:rPr>
                <w:rFonts w:asciiTheme="minorHAnsi" w:hAnsiTheme="minorHAnsi"/>
              </w:rPr>
            </w:pPr>
            <w:r w:rsidRPr="00666493">
              <w:rPr>
                <w:rFonts w:asciiTheme="minorHAnsi" w:hAnsiTheme="minorHAnsi"/>
              </w:rPr>
              <w:t xml:space="preserve">Script added to remind prescribers that steroid therapy is the cornerstone of treatment and reference to CD20 antibodies. </w:t>
            </w:r>
          </w:p>
          <w:p w14:paraId="0BCD715F" w14:textId="77777777" w:rsidR="00666493" w:rsidRPr="00666493" w:rsidRDefault="00666493" w:rsidP="00666493">
            <w:pPr>
              <w:rPr>
                <w:rFonts w:asciiTheme="minorHAnsi" w:hAnsiTheme="minorHAnsi"/>
              </w:rPr>
            </w:pPr>
          </w:p>
          <w:p w14:paraId="6382FC50" w14:textId="77777777" w:rsidR="00666493" w:rsidRPr="00666493" w:rsidRDefault="00666493" w:rsidP="00666493">
            <w:pPr>
              <w:rPr>
                <w:rFonts w:asciiTheme="minorHAnsi" w:hAnsiTheme="minorHAnsi"/>
              </w:rPr>
            </w:pPr>
          </w:p>
          <w:p w14:paraId="331668BF" w14:textId="77777777" w:rsidR="00666493" w:rsidRPr="00666493" w:rsidRDefault="00666493" w:rsidP="00666493">
            <w:pPr>
              <w:rPr>
                <w:rFonts w:asciiTheme="minorHAnsi" w:hAnsiTheme="minorHAnsi"/>
              </w:rPr>
            </w:pPr>
          </w:p>
          <w:p w14:paraId="7DBD3F80" w14:textId="77777777" w:rsidR="00666493" w:rsidRPr="00666493" w:rsidRDefault="00666493" w:rsidP="00666493">
            <w:pPr>
              <w:rPr>
                <w:rFonts w:asciiTheme="minorHAnsi" w:hAnsiTheme="minorHAnsi"/>
              </w:rPr>
            </w:pPr>
          </w:p>
          <w:p w14:paraId="603A02B7" w14:textId="77777777" w:rsidR="00666493" w:rsidRPr="00666493" w:rsidRDefault="00666493" w:rsidP="00666493">
            <w:pPr>
              <w:rPr>
                <w:rFonts w:asciiTheme="minorHAnsi" w:hAnsiTheme="minorHAnsi"/>
              </w:rPr>
            </w:pPr>
          </w:p>
          <w:p w14:paraId="2C871201" w14:textId="77777777" w:rsidR="00666493" w:rsidRPr="00666493" w:rsidRDefault="00666493" w:rsidP="00666493">
            <w:pPr>
              <w:rPr>
                <w:rFonts w:asciiTheme="minorHAnsi" w:hAnsiTheme="minorHAnsi"/>
              </w:rPr>
            </w:pPr>
          </w:p>
          <w:p w14:paraId="54CA7CF0" w14:textId="77777777" w:rsidR="00666493" w:rsidRPr="00666493" w:rsidRDefault="00666493" w:rsidP="00666493">
            <w:pPr>
              <w:rPr>
                <w:rFonts w:asciiTheme="minorHAnsi" w:hAnsiTheme="minorHAnsi"/>
              </w:rPr>
            </w:pPr>
          </w:p>
          <w:p w14:paraId="7727F573" w14:textId="77777777" w:rsidR="00666493" w:rsidRPr="00666493" w:rsidRDefault="00666493" w:rsidP="00666493">
            <w:pPr>
              <w:rPr>
                <w:rFonts w:asciiTheme="minorHAnsi" w:hAnsiTheme="minorHAnsi"/>
              </w:rPr>
            </w:pPr>
            <w:r w:rsidRPr="00666493">
              <w:rPr>
                <w:rFonts w:asciiTheme="minorHAnsi" w:hAnsiTheme="minorHAnsi"/>
              </w:rPr>
              <w:t xml:space="preserve">Criteria for ongoing treatment defined to be persistent anaemia and transfusion dependence. </w:t>
            </w:r>
          </w:p>
          <w:p w14:paraId="53003D0E" w14:textId="77777777" w:rsidR="00666493" w:rsidRPr="00666493" w:rsidRDefault="00666493" w:rsidP="00666493">
            <w:pPr>
              <w:rPr>
                <w:rFonts w:asciiTheme="minorHAnsi" w:hAnsiTheme="minorHAnsi"/>
              </w:rPr>
            </w:pPr>
          </w:p>
          <w:p w14:paraId="4B331ABA" w14:textId="77777777" w:rsidR="00666493" w:rsidRPr="00666493" w:rsidRDefault="00666493" w:rsidP="00666493">
            <w:pPr>
              <w:rPr>
                <w:rFonts w:asciiTheme="minorHAnsi" w:hAnsiTheme="minorHAnsi"/>
              </w:rPr>
            </w:pPr>
          </w:p>
          <w:p w14:paraId="408A7E68" w14:textId="7B821616" w:rsidR="00666493" w:rsidRPr="00666493" w:rsidRDefault="00666493" w:rsidP="00666493">
            <w:pPr>
              <w:spacing w:after="200"/>
              <w:rPr>
                <w:rFonts w:asciiTheme="minorHAnsi" w:hAnsiTheme="minorHAnsi"/>
              </w:rPr>
            </w:pPr>
          </w:p>
        </w:tc>
      </w:tr>
      <w:tr w:rsidR="00666493" w:rsidRPr="00666493" w14:paraId="404D96CF" w14:textId="77777777" w:rsidTr="00076968">
        <w:trPr>
          <w:gridAfter w:val="1"/>
          <w:wAfter w:w="4536" w:type="dxa"/>
        </w:trPr>
        <w:tc>
          <w:tcPr>
            <w:tcW w:w="1689" w:type="dxa"/>
            <w:shd w:val="clear" w:color="auto" w:fill="D9D9D9" w:themeFill="background1" w:themeFillShade="D9"/>
          </w:tcPr>
          <w:p w14:paraId="199F12FB" w14:textId="4F06B77A" w:rsidR="00666493" w:rsidRPr="00666493" w:rsidRDefault="00666493" w:rsidP="00666493">
            <w:pPr>
              <w:rPr>
                <w:rFonts w:asciiTheme="minorHAnsi" w:hAnsiTheme="minorHAnsi"/>
                <w:b/>
              </w:rPr>
            </w:pPr>
            <w:r w:rsidRPr="00666493">
              <w:rPr>
                <w:rFonts w:asciiTheme="minorHAnsi" w:hAnsiTheme="minorHAnsi"/>
                <w:b/>
              </w:rPr>
              <w:lastRenderedPageBreak/>
              <w:t>Dose</w:t>
            </w:r>
          </w:p>
        </w:tc>
        <w:tc>
          <w:tcPr>
            <w:tcW w:w="4690" w:type="dxa"/>
          </w:tcPr>
          <w:p w14:paraId="6407E349" w14:textId="77777777" w:rsidR="00666493" w:rsidRPr="00666493" w:rsidRDefault="00666493" w:rsidP="00666493">
            <w:pPr>
              <w:spacing w:after="225" w:line="360" w:lineRule="atLeast"/>
              <w:rPr>
                <w:rFonts w:asciiTheme="minorHAnsi" w:eastAsia="Times New Roman" w:hAnsiTheme="minorHAnsi" w:cs="Times New Roman"/>
                <w:color w:val="000000"/>
                <w:lang w:eastAsia="en-AU"/>
              </w:rPr>
            </w:pPr>
            <w:r w:rsidRPr="00666493">
              <w:rPr>
                <w:rFonts w:asciiTheme="minorHAnsi" w:eastAsia="Times New Roman" w:hAnsiTheme="minorHAnsi" w:cs="Times New Roman"/>
                <w:color w:val="000000"/>
                <w:lang w:eastAsia="en-AU"/>
              </w:rPr>
              <w:t>Up to 2 g/kg as a single or divided dose.</w:t>
            </w:r>
          </w:p>
          <w:p w14:paraId="1DA74CAD" w14:textId="77777777" w:rsidR="00666493" w:rsidRPr="00666493" w:rsidRDefault="00666493" w:rsidP="00666493">
            <w:pPr>
              <w:spacing w:after="225" w:line="360" w:lineRule="atLeast"/>
              <w:rPr>
                <w:rFonts w:asciiTheme="minorHAnsi" w:eastAsia="Times New Roman" w:hAnsiTheme="minorHAnsi" w:cs="Times New Roman"/>
                <w:b/>
                <w:bCs/>
                <w:color w:val="000000"/>
                <w:lang w:eastAsia="en-AU"/>
              </w:rPr>
            </w:pPr>
            <w:r w:rsidRPr="00666493">
              <w:rPr>
                <w:rFonts w:asciiTheme="minorHAnsi" w:eastAsia="Times New Roman" w:hAnsiTheme="minorHAnsi" w:cs="Times New Roman"/>
                <w:b/>
                <w:bCs/>
                <w:color w:val="000000"/>
                <w:lang w:eastAsia="en-AU"/>
              </w:rPr>
              <w:t>Dosing above 1 g/kg per day is contraindicated for some IVIg products.</w:t>
            </w:r>
          </w:p>
          <w:p w14:paraId="36354491" w14:textId="77777777" w:rsidR="00666493" w:rsidRPr="00666493" w:rsidRDefault="00666493" w:rsidP="00666493">
            <w:pPr>
              <w:spacing w:after="225" w:line="360" w:lineRule="atLeast"/>
              <w:rPr>
                <w:rFonts w:asciiTheme="minorHAnsi" w:eastAsia="Times New Roman" w:hAnsiTheme="minorHAnsi" w:cs="Times New Roman"/>
                <w:b/>
                <w:bCs/>
                <w:color w:val="000000"/>
                <w:lang w:eastAsia="en-AU"/>
              </w:rPr>
            </w:pPr>
            <w:r w:rsidRPr="00666493">
              <w:rPr>
                <w:rFonts w:asciiTheme="minorHAnsi" w:eastAsia="Times New Roman" w:hAnsiTheme="minorHAnsi" w:cs="Times New Roman"/>
                <w:b/>
                <w:bCs/>
                <w:color w:val="000000"/>
                <w:lang w:eastAsia="en-AU"/>
              </w:rPr>
              <w:t>Refer to the current product information sheet for further information.</w:t>
            </w:r>
          </w:p>
          <w:p w14:paraId="34943F99" w14:textId="77777777" w:rsidR="00666493" w:rsidRPr="00666493" w:rsidRDefault="00666493" w:rsidP="00666493">
            <w:pPr>
              <w:spacing w:after="225" w:line="360" w:lineRule="atLeast"/>
              <w:rPr>
                <w:rFonts w:asciiTheme="minorHAnsi" w:eastAsia="Times New Roman" w:hAnsiTheme="minorHAnsi" w:cs="Times New Roman"/>
                <w:b/>
                <w:bCs/>
                <w:color w:val="000000"/>
                <w:lang w:eastAsia="en-AU"/>
              </w:rPr>
            </w:pPr>
            <w:r w:rsidRPr="00666493">
              <w:rPr>
                <w:rFonts w:asciiTheme="minorHAnsi" w:eastAsia="Times New Roman" w:hAnsiTheme="minorHAnsi" w:cs="Times New Roman"/>
                <w:b/>
                <w:bCs/>
                <w:color w:val="000000"/>
                <w:lang w:eastAsia="en-AU"/>
              </w:rPr>
              <w:t xml:space="preserve">The aim should be to use the lowest dose possible that achieves the appropriate clinical </w:t>
            </w:r>
            <w:r w:rsidRPr="00666493">
              <w:rPr>
                <w:rFonts w:asciiTheme="minorHAnsi" w:eastAsia="Times New Roman" w:hAnsiTheme="minorHAnsi" w:cs="Times New Roman"/>
                <w:b/>
                <w:bCs/>
                <w:color w:val="000000"/>
                <w:lang w:eastAsia="en-AU"/>
              </w:rPr>
              <w:lastRenderedPageBreak/>
              <w:t>outcome for each patient.</w:t>
            </w:r>
          </w:p>
          <w:p w14:paraId="70E1036D" w14:textId="00117B0B" w:rsidR="00666493" w:rsidRPr="00666493" w:rsidRDefault="00666493" w:rsidP="00666493">
            <w:pPr>
              <w:rPr>
                <w:rFonts w:asciiTheme="minorHAnsi" w:eastAsia="Times New Roman" w:hAnsiTheme="minorHAnsi" w:cs="Times New Roman"/>
                <w:color w:val="000000"/>
                <w:lang w:eastAsia="en-AU"/>
              </w:rPr>
            </w:pPr>
          </w:p>
        </w:tc>
        <w:tc>
          <w:tcPr>
            <w:tcW w:w="4536" w:type="dxa"/>
            <w:gridSpan w:val="3"/>
          </w:tcPr>
          <w:p w14:paraId="3658B104" w14:textId="77777777" w:rsidR="00666493" w:rsidRPr="00666493" w:rsidRDefault="00666493" w:rsidP="00666493">
            <w:pPr>
              <w:rPr>
                <w:rStyle w:val="CommentReference"/>
                <w:rFonts w:asciiTheme="minorHAnsi" w:hAnsiTheme="minorHAnsi"/>
                <w:sz w:val="22"/>
                <w:szCs w:val="22"/>
              </w:rPr>
            </w:pPr>
            <w:r w:rsidRPr="00666493">
              <w:rPr>
                <w:rStyle w:val="CommentReference"/>
                <w:rFonts w:asciiTheme="minorHAnsi" w:hAnsiTheme="minorHAnsi"/>
                <w:sz w:val="22"/>
                <w:szCs w:val="22"/>
              </w:rPr>
              <w:lastRenderedPageBreak/>
              <w:t>Initial therapy:  Recommended dose is 0.8g/Kg as a single dose or divided dose.</w:t>
            </w:r>
          </w:p>
          <w:p w14:paraId="038BB788" w14:textId="77777777" w:rsidR="00666493" w:rsidRPr="00666493" w:rsidRDefault="00666493" w:rsidP="00666493">
            <w:pPr>
              <w:rPr>
                <w:rStyle w:val="CommentReference"/>
                <w:rFonts w:asciiTheme="minorHAnsi" w:hAnsiTheme="minorHAnsi"/>
                <w:b/>
                <w:sz w:val="22"/>
                <w:szCs w:val="22"/>
              </w:rPr>
            </w:pPr>
          </w:p>
          <w:p w14:paraId="4FC03E57" w14:textId="77777777" w:rsidR="00666493" w:rsidRPr="00666493" w:rsidRDefault="00666493" w:rsidP="00666493">
            <w:pPr>
              <w:ind w:left="2160" w:hanging="2160"/>
              <w:rPr>
                <w:rStyle w:val="CommentReference"/>
                <w:rFonts w:asciiTheme="minorHAnsi" w:hAnsiTheme="minorHAnsi"/>
                <w:b/>
                <w:color w:val="808080" w:themeColor="background1" w:themeShade="80"/>
                <w:sz w:val="22"/>
                <w:szCs w:val="22"/>
              </w:rPr>
            </w:pPr>
            <w:r w:rsidRPr="00666493">
              <w:rPr>
                <w:rStyle w:val="CommentReference"/>
                <w:rFonts w:asciiTheme="minorHAnsi" w:hAnsiTheme="minorHAnsi"/>
                <w:color w:val="808080" w:themeColor="background1" w:themeShade="80"/>
                <w:sz w:val="22"/>
                <w:szCs w:val="22"/>
              </w:rPr>
              <w:t>[Dose Postscript]</w:t>
            </w:r>
          </w:p>
          <w:p w14:paraId="1D247F8D" w14:textId="77777777" w:rsidR="00666493" w:rsidRPr="00666493" w:rsidRDefault="00666493" w:rsidP="00666493">
            <w:pPr>
              <w:spacing w:after="225" w:line="276" w:lineRule="auto"/>
              <w:rPr>
                <w:rFonts w:asciiTheme="minorHAnsi" w:eastAsia="Times New Roman" w:hAnsiTheme="minorHAnsi" w:cstheme="minorHAnsi"/>
                <w:b/>
                <w:color w:val="000000"/>
              </w:rPr>
            </w:pPr>
            <w:r w:rsidRPr="00666493">
              <w:rPr>
                <w:rFonts w:asciiTheme="minorHAnsi" w:eastAsia="Times New Roman" w:hAnsiTheme="minorHAnsi" w:cstheme="minorHAnsi"/>
                <w:b/>
                <w:color w:val="000000"/>
              </w:rPr>
              <w:t xml:space="preserve">Corticosteroid administration is the cornerstone of therapy. For those with relapsing disease, Splenectomy and immunosuppression are second line treatments while anti-CD20 antibodies have shown promise in individual cases of refractory </w:t>
            </w:r>
            <w:r w:rsidRPr="00666493">
              <w:rPr>
                <w:rFonts w:asciiTheme="minorHAnsi" w:eastAsia="Times New Roman" w:hAnsiTheme="minorHAnsi" w:cstheme="minorHAnsi"/>
                <w:b/>
                <w:color w:val="000000"/>
              </w:rPr>
              <w:lastRenderedPageBreak/>
              <w:t xml:space="preserve">disease. </w:t>
            </w:r>
          </w:p>
          <w:p w14:paraId="70EE7E34" w14:textId="77777777" w:rsidR="00666493" w:rsidRPr="00666493" w:rsidRDefault="00666493" w:rsidP="00666493">
            <w:pPr>
              <w:rPr>
                <w:rFonts w:asciiTheme="minorHAnsi" w:eastAsia="Times New Roman" w:hAnsiTheme="minorHAnsi" w:cstheme="minorHAnsi"/>
                <w:color w:val="000000"/>
              </w:rPr>
            </w:pPr>
            <w:r w:rsidRPr="00666493">
              <w:rPr>
                <w:rFonts w:asciiTheme="minorHAnsi" w:eastAsia="Times New Roman" w:hAnsiTheme="minorHAnsi" w:cstheme="minorHAnsi"/>
                <w:color w:val="000000"/>
              </w:rPr>
              <w:t>The aim should be to use the lowest dose possible that achieves the appropriate clinical outcome for each patient.</w:t>
            </w:r>
          </w:p>
          <w:p w14:paraId="086C936B" w14:textId="77777777" w:rsidR="00666493" w:rsidRPr="00666493" w:rsidRDefault="00666493" w:rsidP="00666493">
            <w:pPr>
              <w:rPr>
                <w:rFonts w:asciiTheme="minorHAnsi" w:eastAsia="Times New Roman" w:hAnsiTheme="minorHAnsi" w:cstheme="minorHAnsi"/>
                <w:color w:val="000000"/>
              </w:rPr>
            </w:pPr>
          </w:p>
          <w:p w14:paraId="1C3E05F0" w14:textId="77777777" w:rsidR="00666493" w:rsidRPr="00666493" w:rsidRDefault="00666493" w:rsidP="00666493">
            <w:pPr>
              <w:spacing w:after="225" w:line="276" w:lineRule="auto"/>
              <w:rPr>
                <w:rFonts w:asciiTheme="minorHAnsi" w:eastAsia="Times New Roman" w:hAnsiTheme="minorHAnsi" w:cstheme="minorHAnsi"/>
                <w:color w:val="000000"/>
              </w:rPr>
            </w:pPr>
            <w:r w:rsidRPr="00666493">
              <w:rPr>
                <w:rFonts w:asciiTheme="minorHAnsi" w:eastAsia="Times New Roman" w:hAnsiTheme="minorHAnsi" w:cstheme="minorHAnsi"/>
                <w:color w:val="000000"/>
              </w:rPr>
              <w:t>Dosing above 1 g/kg per day is contraindicated for some IVIg products.</w:t>
            </w:r>
          </w:p>
          <w:p w14:paraId="12768721" w14:textId="77777777" w:rsidR="00666493" w:rsidRPr="00666493" w:rsidRDefault="00666493" w:rsidP="00666493">
            <w:pPr>
              <w:spacing w:after="225" w:line="276" w:lineRule="auto"/>
              <w:rPr>
                <w:rFonts w:asciiTheme="minorHAnsi" w:eastAsia="Times New Roman" w:hAnsiTheme="minorHAnsi" w:cstheme="minorHAnsi"/>
                <w:b/>
                <w:color w:val="000000"/>
              </w:rPr>
            </w:pPr>
            <w:r w:rsidRPr="00666493">
              <w:rPr>
                <w:rFonts w:asciiTheme="minorHAnsi" w:eastAsia="Times New Roman" w:hAnsiTheme="minorHAnsi" w:cstheme="minorHAnsi"/>
                <w:b/>
                <w:color w:val="000000"/>
              </w:rPr>
              <w:t>Refer to the current product information sheet for further information.</w:t>
            </w:r>
          </w:p>
          <w:p w14:paraId="0F3161F2" w14:textId="77777777" w:rsidR="00666493" w:rsidRPr="00666493" w:rsidRDefault="00666493" w:rsidP="00666493">
            <w:pPr>
              <w:rPr>
                <w:rFonts w:asciiTheme="minorHAnsi" w:eastAsia="Times New Roman" w:hAnsiTheme="minorHAnsi" w:cstheme="minorHAnsi"/>
                <w:b/>
                <w:color w:val="000000"/>
              </w:rPr>
            </w:pPr>
          </w:p>
          <w:p w14:paraId="74874612" w14:textId="49585845" w:rsidR="00666493" w:rsidRPr="00666493" w:rsidRDefault="008A3CF9" w:rsidP="00666493">
            <w:pPr>
              <w:rPr>
                <w:rFonts w:asciiTheme="minorHAnsi" w:eastAsia="Times New Roman" w:hAnsiTheme="minorHAnsi" w:cs="Times New Roman"/>
                <w:b/>
                <w:lang w:eastAsia="en-AU"/>
              </w:rPr>
            </w:pPr>
            <w:r w:rsidRPr="00666493">
              <w:rPr>
                <w:rFonts w:asciiTheme="minorHAnsi" w:eastAsia="Times New Roman" w:hAnsiTheme="minorHAnsi" w:cs="Times New Roman"/>
                <w:b/>
                <w:lang w:eastAsia="en-AU"/>
              </w:rPr>
              <w:t>Intermittent</w:t>
            </w:r>
            <w:r w:rsidR="00666493" w:rsidRPr="00666493">
              <w:rPr>
                <w:rFonts w:asciiTheme="minorHAnsi" w:eastAsia="Times New Roman" w:hAnsiTheme="minorHAnsi" w:cs="Times New Roman"/>
                <w:b/>
                <w:lang w:eastAsia="en-AU"/>
              </w:rPr>
              <w:t xml:space="preserve"> therapy for AIHA in patients unsuitable for Splenectomy or immunosuppression</w:t>
            </w:r>
          </w:p>
          <w:p w14:paraId="0498137C" w14:textId="77777777" w:rsidR="00666493" w:rsidRPr="00666493" w:rsidRDefault="00666493" w:rsidP="00666493">
            <w:pPr>
              <w:rPr>
                <w:rFonts w:asciiTheme="minorHAnsi" w:eastAsia="Times New Roman" w:hAnsiTheme="minorHAnsi" w:cstheme="minorHAnsi"/>
                <w:b/>
                <w:color w:val="000000"/>
              </w:rPr>
            </w:pPr>
          </w:p>
          <w:p w14:paraId="593021BC" w14:textId="77777777" w:rsidR="00666493" w:rsidRPr="00666493" w:rsidRDefault="00666493" w:rsidP="00666493">
            <w:pPr>
              <w:rPr>
                <w:rStyle w:val="CommentReference"/>
                <w:rFonts w:asciiTheme="minorHAnsi" w:hAnsiTheme="minorHAnsi"/>
                <w:sz w:val="22"/>
                <w:szCs w:val="22"/>
              </w:rPr>
            </w:pPr>
            <w:r w:rsidRPr="00666493">
              <w:rPr>
                <w:rStyle w:val="CommentReference"/>
                <w:rFonts w:asciiTheme="minorHAnsi" w:hAnsiTheme="minorHAnsi"/>
                <w:b/>
                <w:sz w:val="22"/>
                <w:szCs w:val="22"/>
              </w:rPr>
              <w:t>Initial therapy</w:t>
            </w:r>
            <w:r w:rsidRPr="00666493">
              <w:rPr>
                <w:rStyle w:val="CommentReference"/>
                <w:rFonts w:asciiTheme="minorHAnsi" w:hAnsiTheme="minorHAnsi"/>
                <w:sz w:val="22"/>
                <w:szCs w:val="22"/>
              </w:rPr>
              <w:t>:   0.8g-2g /kg as a single dose or divided dose.</w:t>
            </w:r>
          </w:p>
          <w:p w14:paraId="6A428CE5" w14:textId="25BEBBDC" w:rsidR="00666493" w:rsidRPr="00666493" w:rsidRDefault="00666493" w:rsidP="00666493">
            <w:pPr>
              <w:rPr>
                <w:rStyle w:val="CommentReference"/>
                <w:rFonts w:asciiTheme="minorHAnsi" w:hAnsiTheme="minorHAnsi"/>
                <w:sz w:val="22"/>
                <w:szCs w:val="22"/>
              </w:rPr>
            </w:pPr>
          </w:p>
          <w:p w14:paraId="162421A2" w14:textId="77777777" w:rsidR="00666493" w:rsidRPr="00666493" w:rsidRDefault="00666493" w:rsidP="00666493">
            <w:pPr>
              <w:ind w:left="2160" w:hanging="2160"/>
              <w:rPr>
                <w:rStyle w:val="CommentReference"/>
                <w:rFonts w:asciiTheme="minorHAnsi" w:hAnsiTheme="minorHAnsi"/>
                <w:b/>
                <w:sz w:val="22"/>
                <w:szCs w:val="22"/>
              </w:rPr>
            </w:pPr>
          </w:p>
          <w:p w14:paraId="23EBD158" w14:textId="77777777" w:rsidR="00666493" w:rsidRPr="00666493" w:rsidRDefault="00666493" w:rsidP="00666493">
            <w:pPr>
              <w:ind w:left="2160" w:hanging="2160"/>
              <w:rPr>
                <w:rStyle w:val="CommentReference"/>
                <w:rFonts w:asciiTheme="minorHAnsi" w:hAnsiTheme="minorHAnsi"/>
                <w:b/>
                <w:color w:val="808080" w:themeColor="background1" w:themeShade="80"/>
                <w:sz w:val="22"/>
                <w:szCs w:val="22"/>
              </w:rPr>
            </w:pPr>
            <w:r w:rsidRPr="00666493">
              <w:rPr>
                <w:rStyle w:val="CommentReference"/>
                <w:rFonts w:asciiTheme="minorHAnsi" w:hAnsiTheme="minorHAnsi"/>
                <w:color w:val="808080" w:themeColor="background1" w:themeShade="80"/>
                <w:sz w:val="22"/>
                <w:szCs w:val="22"/>
              </w:rPr>
              <w:t>[Dose Postscript]</w:t>
            </w:r>
          </w:p>
          <w:p w14:paraId="28CAD6BE" w14:textId="77777777" w:rsidR="00666493" w:rsidRPr="00666493" w:rsidRDefault="00666493" w:rsidP="00666493">
            <w:pPr>
              <w:spacing w:after="225" w:line="276" w:lineRule="auto"/>
              <w:rPr>
                <w:rFonts w:asciiTheme="minorHAnsi" w:eastAsia="Times New Roman" w:hAnsiTheme="minorHAnsi" w:cstheme="minorHAnsi"/>
                <w:b/>
                <w:color w:val="000000"/>
              </w:rPr>
            </w:pPr>
            <w:r w:rsidRPr="00666493">
              <w:rPr>
                <w:rFonts w:asciiTheme="minorHAnsi" w:eastAsia="Times New Roman" w:hAnsiTheme="minorHAnsi" w:cstheme="minorHAnsi"/>
                <w:b/>
                <w:color w:val="000000"/>
              </w:rPr>
              <w:t xml:space="preserve">Corticosteroid administration is the cornerstone of therapy. For those with relapsing disease, Splenectomy and immunosuppression are second line treatments while anti-CD20 antibodies have shown promise in individual cases of refractory disease. </w:t>
            </w:r>
          </w:p>
          <w:p w14:paraId="089D033B" w14:textId="77777777" w:rsidR="00666493" w:rsidRPr="00666493" w:rsidRDefault="00666493" w:rsidP="00666493">
            <w:pPr>
              <w:spacing w:after="225" w:line="276" w:lineRule="auto"/>
              <w:rPr>
                <w:rFonts w:asciiTheme="minorHAnsi" w:eastAsia="Times New Roman" w:hAnsiTheme="minorHAnsi" w:cstheme="minorHAnsi"/>
                <w:b/>
                <w:color w:val="000000"/>
              </w:rPr>
            </w:pPr>
            <w:r w:rsidRPr="00666493">
              <w:rPr>
                <w:rFonts w:asciiTheme="minorHAnsi" w:eastAsia="Times New Roman" w:hAnsiTheme="minorHAnsi" w:cstheme="minorHAnsi"/>
                <w:b/>
                <w:color w:val="000000"/>
              </w:rPr>
              <w:t>Dosing above 1 g/kg per day is contraindicated for some IVIg products.</w:t>
            </w:r>
          </w:p>
          <w:p w14:paraId="0A91977F" w14:textId="77777777" w:rsidR="00666493" w:rsidRPr="00666493" w:rsidRDefault="00666493" w:rsidP="00666493">
            <w:pPr>
              <w:spacing w:after="225" w:line="276" w:lineRule="auto"/>
              <w:rPr>
                <w:rFonts w:asciiTheme="minorHAnsi" w:eastAsia="Times New Roman" w:hAnsiTheme="minorHAnsi" w:cstheme="minorHAnsi"/>
                <w:b/>
                <w:color w:val="000000"/>
              </w:rPr>
            </w:pPr>
            <w:r w:rsidRPr="00666493">
              <w:rPr>
                <w:rFonts w:asciiTheme="minorHAnsi" w:eastAsia="Times New Roman" w:hAnsiTheme="minorHAnsi" w:cstheme="minorHAnsi"/>
                <w:b/>
                <w:color w:val="000000"/>
              </w:rPr>
              <w:lastRenderedPageBreak/>
              <w:t>Refer to the current product information sheet for further information.</w:t>
            </w:r>
          </w:p>
          <w:p w14:paraId="0E6DAB4C" w14:textId="77777777" w:rsidR="00666493" w:rsidRPr="00666493" w:rsidRDefault="00666493" w:rsidP="00666493">
            <w:pPr>
              <w:rPr>
                <w:rFonts w:asciiTheme="minorHAnsi" w:eastAsia="Times New Roman" w:hAnsiTheme="minorHAnsi" w:cstheme="minorHAnsi"/>
                <w:b/>
                <w:color w:val="000000"/>
              </w:rPr>
            </w:pPr>
            <w:r w:rsidRPr="00666493">
              <w:rPr>
                <w:rFonts w:asciiTheme="minorHAnsi" w:eastAsia="Times New Roman" w:hAnsiTheme="minorHAnsi" w:cstheme="minorHAnsi"/>
                <w:b/>
                <w:color w:val="000000"/>
              </w:rPr>
              <w:t>The aim should be to use the lowest dose possible that achieves the appropriate clinical outcome for each patient.</w:t>
            </w:r>
          </w:p>
          <w:p w14:paraId="20513304" w14:textId="77777777" w:rsidR="00666493" w:rsidRPr="00666493" w:rsidRDefault="00666493" w:rsidP="00666493">
            <w:pPr>
              <w:rPr>
                <w:rFonts w:asciiTheme="minorHAnsi" w:eastAsia="Times New Roman" w:hAnsiTheme="minorHAnsi" w:cstheme="minorHAnsi"/>
                <w:b/>
                <w:color w:val="000000"/>
              </w:rPr>
            </w:pPr>
          </w:p>
          <w:p w14:paraId="661EE0F7" w14:textId="77777777" w:rsidR="00666493" w:rsidRPr="00666493" w:rsidRDefault="00666493" w:rsidP="00666493">
            <w:pPr>
              <w:rPr>
                <w:rFonts w:asciiTheme="minorHAnsi" w:eastAsia="Times New Roman" w:hAnsiTheme="minorHAnsi" w:cstheme="minorHAnsi"/>
                <w:b/>
                <w:color w:val="000000"/>
              </w:rPr>
            </w:pPr>
          </w:p>
          <w:p w14:paraId="49A94CA1" w14:textId="77777777" w:rsidR="00666493" w:rsidRPr="00666493" w:rsidRDefault="00666493" w:rsidP="00666493">
            <w:pPr>
              <w:rPr>
                <w:rFonts w:asciiTheme="minorHAnsi" w:eastAsia="Times New Roman" w:hAnsiTheme="minorHAnsi" w:cs="Times New Roman"/>
                <w:b/>
                <w:lang w:eastAsia="en-AU"/>
              </w:rPr>
            </w:pPr>
            <w:r w:rsidRPr="00666493">
              <w:rPr>
                <w:rFonts w:asciiTheme="minorHAnsi" w:eastAsia="Times New Roman" w:hAnsiTheme="minorHAnsi" w:cs="Times New Roman"/>
                <w:b/>
                <w:lang w:eastAsia="en-AU"/>
              </w:rPr>
              <w:t>Maintenance therapy for AIHA in patients unsuitable for Splenectomy or immunosuppression</w:t>
            </w:r>
          </w:p>
          <w:p w14:paraId="7EEDA1B6" w14:textId="77777777" w:rsidR="00666493" w:rsidRPr="00666493" w:rsidRDefault="00666493" w:rsidP="00666493">
            <w:pPr>
              <w:rPr>
                <w:rFonts w:asciiTheme="minorHAnsi" w:hAnsiTheme="minorHAnsi"/>
                <w:b/>
              </w:rPr>
            </w:pPr>
          </w:p>
          <w:p w14:paraId="7D61D287" w14:textId="77777777" w:rsidR="00666493" w:rsidRPr="00666493" w:rsidRDefault="00666493" w:rsidP="00666493">
            <w:pPr>
              <w:rPr>
                <w:rStyle w:val="CommentReference"/>
                <w:rFonts w:asciiTheme="minorHAnsi" w:hAnsiTheme="minorHAnsi"/>
                <w:sz w:val="22"/>
                <w:szCs w:val="22"/>
              </w:rPr>
            </w:pPr>
            <w:r w:rsidRPr="00666493">
              <w:rPr>
                <w:rStyle w:val="CommentReference"/>
                <w:rFonts w:asciiTheme="minorHAnsi" w:hAnsiTheme="minorHAnsi"/>
                <w:sz w:val="22"/>
                <w:szCs w:val="22"/>
              </w:rPr>
              <w:t xml:space="preserve">0.8g-2g /kg as a single dose or divided dose 4 to 6 weekly </w:t>
            </w:r>
          </w:p>
          <w:p w14:paraId="2CD6785C" w14:textId="77777777" w:rsidR="00666493" w:rsidRPr="00666493" w:rsidRDefault="00666493" w:rsidP="00666493">
            <w:pPr>
              <w:rPr>
                <w:rStyle w:val="CommentReference"/>
                <w:rFonts w:asciiTheme="minorHAnsi" w:hAnsiTheme="minorHAnsi"/>
                <w:sz w:val="22"/>
                <w:szCs w:val="22"/>
              </w:rPr>
            </w:pPr>
          </w:p>
          <w:p w14:paraId="6B05935F" w14:textId="77777777" w:rsidR="00666493" w:rsidRPr="00666493" w:rsidRDefault="00666493" w:rsidP="00666493">
            <w:pPr>
              <w:ind w:left="2160" w:hanging="2160"/>
              <w:rPr>
                <w:rStyle w:val="CommentReference"/>
                <w:rFonts w:asciiTheme="minorHAnsi" w:hAnsiTheme="minorHAnsi"/>
                <w:b/>
                <w:color w:val="808080" w:themeColor="background1" w:themeShade="80"/>
                <w:sz w:val="22"/>
                <w:szCs w:val="22"/>
              </w:rPr>
            </w:pPr>
            <w:r w:rsidRPr="00666493">
              <w:rPr>
                <w:rStyle w:val="CommentReference"/>
                <w:rFonts w:asciiTheme="minorHAnsi" w:hAnsiTheme="minorHAnsi"/>
                <w:color w:val="808080" w:themeColor="background1" w:themeShade="80"/>
                <w:sz w:val="22"/>
                <w:szCs w:val="22"/>
              </w:rPr>
              <w:t>[Dose Postscript]</w:t>
            </w:r>
          </w:p>
          <w:p w14:paraId="76A9E5F5" w14:textId="4FF389C0" w:rsidR="00666493" w:rsidRPr="00666493" w:rsidRDefault="00666493" w:rsidP="00666493">
            <w:pPr>
              <w:spacing w:after="225" w:line="276" w:lineRule="auto"/>
              <w:rPr>
                <w:rFonts w:asciiTheme="minorHAnsi" w:eastAsia="Times New Roman" w:hAnsiTheme="minorHAnsi" w:cstheme="minorHAnsi"/>
                <w:b/>
                <w:color w:val="000000"/>
              </w:rPr>
            </w:pPr>
            <w:r w:rsidRPr="00666493">
              <w:rPr>
                <w:rFonts w:asciiTheme="minorHAnsi" w:eastAsia="Times New Roman" w:hAnsiTheme="minorHAnsi" w:cstheme="minorHAnsi"/>
                <w:b/>
                <w:color w:val="000000"/>
              </w:rPr>
              <w:t>Corticosteroid administration is the cornerstone of therapy. For those with relapsing disease, Splenectomy and immunosuppression are second line treatments while anti-CD20 antibodies have shown promise in individual cases of refractory disease.</w:t>
            </w:r>
          </w:p>
        </w:tc>
        <w:tc>
          <w:tcPr>
            <w:tcW w:w="4678" w:type="dxa"/>
          </w:tcPr>
          <w:p w14:paraId="2B964E7B" w14:textId="4CF87213" w:rsidR="00666493" w:rsidRPr="00666493" w:rsidRDefault="00666493" w:rsidP="00666493">
            <w:pPr>
              <w:spacing w:after="240" w:line="20" w:lineRule="atLeast"/>
              <w:rPr>
                <w:rFonts w:asciiTheme="minorHAnsi" w:eastAsia="Times New Roman" w:hAnsiTheme="minorHAnsi" w:cstheme="minorHAnsi"/>
                <w:color w:val="000000"/>
              </w:rPr>
            </w:pPr>
            <w:r w:rsidRPr="00666493">
              <w:rPr>
                <w:rFonts w:asciiTheme="minorHAnsi" w:eastAsia="Times New Roman" w:hAnsiTheme="minorHAnsi" w:cs="Times New Roman"/>
                <w:color w:val="000000"/>
                <w:lang w:eastAsia="en-AU"/>
              </w:rPr>
              <w:lastRenderedPageBreak/>
              <w:t xml:space="preserve">SWG reviewed the minimum dose per Kg and revised the dose to 0.8g/Kg from the previously stated dose of up to 2g/Kg. A maximum dose of 2 g/Kg allowed. </w:t>
            </w:r>
          </w:p>
        </w:tc>
      </w:tr>
    </w:tbl>
    <w:p w14:paraId="1816153D" w14:textId="77777777" w:rsidR="00DA29E8" w:rsidRPr="00666493" w:rsidRDefault="00DA29E8" w:rsidP="00076968">
      <w:pPr>
        <w:spacing w:before="120" w:after="120"/>
        <w:rPr>
          <w:rFonts w:asciiTheme="minorHAnsi" w:hAnsiTheme="minorHAnsi"/>
          <w:b/>
        </w:rPr>
        <w:sectPr w:rsidR="00DA29E8" w:rsidRPr="00666493" w:rsidSect="00E83DB7">
          <w:headerReference w:type="even" r:id="rId14"/>
          <w:footerReference w:type="default" r:id="rId15"/>
          <w:pgSz w:w="16838" w:h="11906" w:orient="landscape" w:code="8"/>
          <w:pgMar w:top="720" w:right="720" w:bottom="720" w:left="720" w:header="708" w:footer="183" w:gutter="0"/>
          <w:cols w:space="708"/>
          <w:titlePg/>
          <w:docGrid w:linePitch="360"/>
        </w:sectPr>
      </w:pPr>
    </w:p>
    <w:tbl>
      <w:tblPr>
        <w:tblStyle w:val="TableGrid"/>
        <w:tblW w:w="15637" w:type="dxa"/>
        <w:tblInd w:w="-34" w:type="dxa"/>
        <w:tblLayout w:type="fixed"/>
        <w:tblLook w:val="04A0" w:firstRow="1" w:lastRow="0" w:firstColumn="1" w:lastColumn="0" w:noHBand="0" w:noVBand="1"/>
      </w:tblPr>
      <w:tblGrid>
        <w:gridCol w:w="34"/>
        <w:gridCol w:w="2518"/>
        <w:gridCol w:w="2977"/>
        <w:gridCol w:w="5137"/>
        <w:gridCol w:w="4971"/>
      </w:tblGrid>
      <w:tr w:rsidR="00B9002B" w:rsidRPr="00666493" w14:paraId="289C3E85" w14:textId="77777777" w:rsidTr="00E9094B">
        <w:tc>
          <w:tcPr>
            <w:tcW w:w="15637" w:type="dxa"/>
            <w:gridSpan w:val="5"/>
            <w:shd w:val="clear" w:color="auto" w:fill="DBE5F1" w:themeFill="accent1" w:themeFillTint="33"/>
          </w:tcPr>
          <w:p w14:paraId="7B9F480E" w14:textId="53CA6F21" w:rsidR="00B9002B" w:rsidRPr="00666493" w:rsidRDefault="00B9002B" w:rsidP="00076968">
            <w:pPr>
              <w:spacing w:before="120" w:after="120"/>
              <w:rPr>
                <w:rFonts w:asciiTheme="minorHAnsi" w:hAnsiTheme="minorHAnsi"/>
                <w:b/>
              </w:rPr>
            </w:pPr>
            <w:r w:rsidRPr="00666493">
              <w:rPr>
                <w:rFonts w:asciiTheme="minorHAnsi" w:hAnsiTheme="minorHAnsi"/>
                <w:b/>
              </w:rPr>
              <w:lastRenderedPageBreak/>
              <w:t>POTENTIAL OPERATIONAL IMPACT</w:t>
            </w:r>
          </w:p>
        </w:tc>
      </w:tr>
      <w:tr w:rsidR="00076968" w:rsidRPr="00666493" w14:paraId="5EBF8E53" w14:textId="77777777" w:rsidTr="00E9094B">
        <w:tc>
          <w:tcPr>
            <w:tcW w:w="15637" w:type="dxa"/>
            <w:gridSpan w:val="5"/>
          </w:tcPr>
          <w:p w14:paraId="4CC5E3C3" w14:textId="502BB375" w:rsidR="00076968" w:rsidRPr="00666493" w:rsidRDefault="00666493" w:rsidP="00010AAD">
            <w:pPr>
              <w:tabs>
                <w:tab w:val="left" w:pos="1110"/>
              </w:tabs>
              <w:spacing w:before="120" w:after="120"/>
              <w:ind w:right="91"/>
              <w:rPr>
                <w:rFonts w:asciiTheme="minorHAnsi" w:hAnsiTheme="minorHAnsi"/>
              </w:rPr>
            </w:pPr>
            <w:r w:rsidRPr="00666493">
              <w:rPr>
                <w:rFonts w:asciiTheme="minorHAnsi" w:hAnsiTheme="minorHAnsi"/>
              </w:rPr>
              <w:t>No operational impact Is expected due to the transitioning of this condition to the revised Criteria.</w:t>
            </w:r>
          </w:p>
        </w:tc>
      </w:tr>
      <w:tr w:rsidR="00E9094B" w:rsidRPr="00BF6734" w14:paraId="1E8909BB" w14:textId="77777777" w:rsidTr="00E9094B">
        <w:trPr>
          <w:gridBefore w:val="1"/>
          <w:wBefore w:w="34" w:type="dxa"/>
        </w:trPr>
        <w:tc>
          <w:tcPr>
            <w:tcW w:w="15603" w:type="dxa"/>
            <w:gridSpan w:val="4"/>
            <w:shd w:val="clear" w:color="auto" w:fill="DBE5F1" w:themeFill="accent1" w:themeFillTint="33"/>
          </w:tcPr>
          <w:p w14:paraId="1743C92A" w14:textId="77777777" w:rsidR="00E9094B" w:rsidRPr="00BF6734" w:rsidRDefault="00E9094B" w:rsidP="00531EC4">
            <w:pPr>
              <w:spacing w:before="120" w:after="120"/>
              <w:rPr>
                <w:rFonts w:asciiTheme="minorHAnsi" w:hAnsiTheme="minorHAnsi"/>
                <w:b/>
              </w:rPr>
            </w:pPr>
            <w:r w:rsidRPr="00BF6734">
              <w:rPr>
                <w:rFonts w:asciiTheme="minorHAnsi" w:hAnsiTheme="minorHAnsi"/>
                <w:b/>
              </w:rPr>
              <w:t>POTENTIAL IMPACT ON DEMAND</w:t>
            </w:r>
          </w:p>
        </w:tc>
      </w:tr>
      <w:tr w:rsidR="00E9094B" w:rsidRPr="00BF6734" w14:paraId="123A89AE" w14:textId="77777777" w:rsidTr="00E9094B">
        <w:trPr>
          <w:gridBefore w:val="1"/>
          <w:wBefore w:w="34" w:type="dxa"/>
        </w:trPr>
        <w:tc>
          <w:tcPr>
            <w:tcW w:w="2518" w:type="dxa"/>
          </w:tcPr>
          <w:p w14:paraId="6CFB06C5" w14:textId="77777777" w:rsidR="00E9094B" w:rsidRDefault="00E9094B" w:rsidP="00E9094B">
            <w:pPr>
              <w:spacing w:before="120" w:after="120"/>
              <w:rPr>
                <w:rFonts w:asciiTheme="minorHAnsi" w:hAnsiTheme="minorHAnsi"/>
                <w:b/>
              </w:rPr>
            </w:pPr>
            <w:r w:rsidRPr="00BF6734">
              <w:rPr>
                <w:rFonts w:asciiTheme="minorHAnsi" w:hAnsiTheme="minorHAnsi"/>
                <w:b/>
              </w:rPr>
              <w:t>2013-14</w:t>
            </w:r>
            <w:r>
              <w:rPr>
                <w:rFonts w:asciiTheme="minorHAnsi" w:hAnsiTheme="minorHAnsi"/>
                <w:b/>
              </w:rPr>
              <w:t xml:space="preserve">  </w:t>
            </w:r>
          </w:p>
          <w:p w14:paraId="0A470AA0" w14:textId="77777777" w:rsidR="00E9094B" w:rsidRPr="00BF6734" w:rsidRDefault="00E9094B" w:rsidP="00531EC4">
            <w:pPr>
              <w:spacing w:before="120" w:after="120"/>
              <w:rPr>
                <w:rFonts w:asciiTheme="minorHAnsi" w:hAnsiTheme="minorHAnsi"/>
                <w:b/>
              </w:rPr>
            </w:pPr>
            <w:r w:rsidRPr="00BF6734">
              <w:rPr>
                <w:rFonts w:asciiTheme="minorHAnsi" w:hAnsiTheme="minorHAnsi"/>
                <w:b/>
              </w:rPr>
              <w:t>Patient Numbers</w:t>
            </w:r>
          </w:p>
          <w:p w14:paraId="626F5EBC" w14:textId="0FD544E9" w:rsidR="00E9094B" w:rsidRPr="00BF6734" w:rsidRDefault="00E9094B" w:rsidP="00531EC4">
            <w:pPr>
              <w:spacing w:before="120" w:after="120"/>
              <w:rPr>
                <w:rFonts w:asciiTheme="minorHAnsi" w:hAnsiTheme="minorHAnsi"/>
                <w:b/>
              </w:rPr>
            </w:pPr>
            <w:r>
              <w:rPr>
                <w:rFonts w:asciiTheme="minorHAnsi" w:hAnsiTheme="minorHAnsi"/>
                <w:b/>
              </w:rPr>
              <w:lastRenderedPageBreak/>
              <w:t xml:space="preserve">Usage </w:t>
            </w:r>
          </w:p>
        </w:tc>
        <w:tc>
          <w:tcPr>
            <w:tcW w:w="2977" w:type="dxa"/>
          </w:tcPr>
          <w:p w14:paraId="753FAA66" w14:textId="77777777" w:rsidR="00E9094B" w:rsidRDefault="00E9094B" w:rsidP="00531EC4">
            <w:pPr>
              <w:spacing w:before="120" w:after="120"/>
              <w:rPr>
                <w:rFonts w:asciiTheme="minorHAnsi" w:hAnsiTheme="minorHAnsi"/>
                <w:b/>
              </w:rPr>
            </w:pPr>
            <w:r>
              <w:rPr>
                <w:rFonts w:asciiTheme="minorHAnsi" w:hAnsiTheme="minorHAnsi"/>
                <w:b/>
              </w:rPr>
              <w:lastRenderedPageBreak/>
              <w:t xml:space="preserve"> 126 patients</w:t>
            </w:r>
          </w:p>
          <w:p w14:paraId="26790E8E" w14:textId="77777777" w:rsidR="00E9094B" w:rsidRDefault="00E9094B" w:rsidP="00531EC4">
            <w:pPr>
              <w:spacing w:before="120" w:after="120"/>
              <w:rPr>
                <w:rFonts w:asciiTheme="minorHAnsi" w:hAnsiTheme="minorHAnsi"/>
                <w:b/>
              </w:rPr>
            </w:pPr>
          </w:p>
          <w:p w14:paraId="36744CB4" w14:textId="0D302F09" w:rsidR="00E9094B" w:rsidRPr="00BF6734" w:rsidRDefault="00E9094B" w:rsidP="00531EC4">
            <w:pPr>
              <w:spacing w:before="120" w:after="120"/>
              <w:rPr>
                <w:rFonts w:asciiTheme="minorHAnsi" w:hAnsiTheme="minorHAnsi"/>
              </w:rPr>
            </w:pPr>
            <w:r>
              <w:rPr>
                <w:rFonts w:asciiTheme="minorHAnsi" w:hAnsiTheme="minorHAnsi"/>
                <w:b/>
              </w:rPr>
              <w:lastRenderedPageBreak/>
              <w:t>&lt;1%</w:t>
            </w:r>
          </w:p>
        </w:tc>
        <w:tc>
          <w:tcPr>
            <w:tcW w:w="5137" w:type="dxa"/>
          </w:tcPr>
          <w:p w14:paraId="26AF6292" w14:textId="37620E9E" w:rsidR="00E9094B" w:rsidRPr="00E9094B" w:rsidRDefault="00E9094B" w:rsidP="00E9094B">
            <w:pPr>
              <w:ind w:left="-43" w:right="90"/>
              <w:rPr>
                <w:rFonts w:asciiTheme="minorHAnsi" w:hAnsiTheme="minorHAnsi"/>
                <w:b/>
              </w:rPr>
            </w:pPr>
            <w:r>
              <w:rPr>
                <w:rFonts w:asciiTheme="minorHAnsi" w:hAnsiTheme="minorHAnsi"/>
              </w:rPr>
              <w:lastRenderedPageBreak/>
              <w:t xml:space="preserve"> </w:t>
            </w:r>
            <w:r w:rsidRPr="00E9094B">
              <w:rPr>
                <w:rFonts w:ascii="Gill Sans MT" w:hAnsi="Gill Sans MT"/>
              </w:rPr>
              <w:t>No impact is expected on demand</w:t>
            </w:r>
            <w:r>
              <w:rPr>
                <w:rFonts w:ascii="Gill Sans MT" w:hAnsi="Gill Sans MT"/>
              </w:rPr>
              <w:t xml:space="preserve"> giv</w:t>
            </w:r>
            <w:r w:rsidRPr="00E9094B">
              <w:rPr>
                <w:rFonts w:ascii="Gill Sans MT" w:hAnsi="Gill Sans MT"/>
              </w:rPr>
              <w:t>en the very low patient numbers</w:t>
            </w:r>
            <w:r>
              <w:rPr>
                <w:rFonts w:ascii="Gill Sans MT" w:hAnsi="Gill Sans MT"/>
              </w:rPr>
              <w:t xml:space="preserve">. </w:t>
            </w:r>
          </w:p>
        </w:tc>
        <w:tc>
          <w:tcPr>
            <w:tcW w:w="4971" w:type="dxa"/>
          </w:tcPr>
          <w:p w14:paraId="316531F6" w14:textId="77777777" w:rsidR="00E9094B" w:rsidRPr="00BF6734" w:rsidRDefault="00E9094B" w:rsidP="00531EC4">
            <w:pPr>
              <w:spacing w:before="120" w:after="120"/>
              <w:rPr>
                <w:rFonts w:asciiTheme="minorHAnsi" w:hAnsiTheme="minorHAnsi"/>
              </w:rPr>
            </w:pPr>
            <w:r>
              <w:rPr>
                <w:rFonts w:asciiTheme="minorHAnsi" w:hAnsiTheme="minorHAnsi"/>
              </w:rPr>
              <w:t xml:space="preserve">  </w:t>
            </w:r>
          </w:p>
        </w:tc>
      </w:tr>
      <w:tr w:rsidR="00E9094B" w:rsidRPr="00BF6734" w14:paraId="7800AD81" w14:textId="77777777" w:rsidTr="00E9094B">
        <w:trPr>
          <w:gridBefore w:val="1"/>
          <w:wBefore w:w="34" w:type="dxa"/>
        </w:trPr>
        <w:tc>
          <w:tcPr>
            <w:tcW w:w="15603" w:type="dxa"/>
            <w:gridSpan w:val="4"/>
            <w:shd w:val="clear" w:color="auto" w:fill="DBE5F1" w:themeFill="accent1" w:themeFillTint="33"/>
          </w:tcPr>
          <w:p w14:paraId="6AC08D7C" w14:textId="77777777" w:rsidR="00E9094B" w:rsidRPr="00BF6734" w:rsidRDefault="00E9094B" w:rsidP="00531EC4">
            <w:pPr>
              <w:spacing w:before="120" w:after="120"/>
              <w:rPr>
                <w:rFonts w:asciiTheme="minorHAnsi" w:hAnsiTheme="minorHAnsi"/>
                <w:b/>
              </w:rPr>
            </w:pPr>
            <w:r w:rsidRPr="00BF6734">
              <w:rPr>
                <w:rFonts w:asciiTheme="minorHAnsi" w:hAnsiTheme="minorHAnsi"/>
                <w:b/>
              </w:rPr>
              <w:lastRenderedPageBreak/>
              <w:t>POTENTIAL IMPACT ON COST</w:t>
            </w:r>
          </w:p>
        </w:tc>
      </w:tr>
      <w:tr w:rsidR="00E9094B" w:rsidRPr="00BF6734" w14:paraId="49DFC8F5" w14:textId="77777777" w:rsidTr="00E9094B">
        <w:trPr>
          <w:gridBefore w:val="1"/>
          <w:wBefore w:w="34" w:type="dxa"/>
        </w:trPr>
        <w:tc>
          <w:tcPr>
            <w:tcW w:w="2518" w:type="dxa"/>
          </w:tcPr>
          <w:p w14:paraId="4D0D1770" w14:textId="77777777" w:rsidR="00E9094B" w:rsidRPr="00BF6734" w:rsidRDefault="00E9094B" w:rsidP="00531EC4">
            <w:pPr>
              <w:spacing w:before="120" w:after="120"/>
              <w:rPr>
                <w:rFonts w:asciiTheme="minorHAnsi" w:hAnsiTheme="minorHAnsi"/>
                <w:b/>
              </w:rPr>
            </w:pPr>
            <w:r w:rsidRPr="00BF6734">
              <w:rPr>
                <w:rFonts w:asciiTheme="minorHAnsi" w:hAnsiTheme="minorHAnsi"/>
                <w:b/>
              </w:rPr>
              <w:t>Current cost</w:t>
            </w:r>
          </w:p>
        </w:tc>
        <w:tc>
          <w:tcPr>
            <w:tcW w:w="2977" w:type="dxa"/>
          </w:tcPr>
          <w:p w14:paraId="0A48FAFC" w14:textId="77777777" w:rsidR="00E9094B" w:rsidRPr="00BF6734" w:rsidRDefault="00E9094B" w:rsidP="00531EC4">
            <w:pPr>
              <w:spacing w:before="120" w:after="120"/>
              <w:rPr>
                <w:rFonts w:asciiTheme="minorHAnsi" w:hAnsiTheme="minorHAnsi"/>
              </w:rPr>
            </w:pPr>
          </w:p>
        </w:tc>
        <w:tc>
          <w:tcPr>
            <w:tcW w:w="5137" w:type="dxa"/>
          </w:tcPr>
          <w:p w14:paraId="2CD13A1D" w14:textId="77777777" w:rsidR="00E9094B" w:rsidRPr="00BF6734" w:rsidRDefault="00E9094B" w:rsidP="00531EC4">
            <w:pPr>
              <w:spacing w:before="120" w:after="120"/>
              <w:rPr>
                <w:rFonts w:asciiTheme="minorHAnsi" w:hAnsiTheme="minorHAnsi"/>
                <w:b/>
              </w:rPr>
            </w:pPr>
            <w:r w:rsidRPr="00BF6734">
              <w:rPr>
                <w:rFonts w:asciiTheme="minorHAnsi" w:hAnsiTheme="minorHAnsi"/>
                <w:b/>
              </w:rPr>
              <w:t>Anticipated reduction in cost, if any</w:t>
            </w:r>
          </w:p>
          <w:p w14:paraId="71AF3696" w14:textId="77777777" w:rsidR="00E9094B" w:rsidRPr="00BF6734" w:rsidRDefault="00E9094B" w:rsidP="00531EC4">
            <w:pPr>
              <w:spacing w:before="120" w:after="120"/>
              <w:rPr>
                <w:rFonts w:asciiTheme="minorHAnsi" w:hAnsiTheme="minorHAnsi"/>
              </w:rPr>
            </w:pPr>
            <w:r w:rsidRPr="00BF6734">
              <w:rPr>
                <w:rFonts w:asciiTheme="minorHAnsi" w:hAnsiTheme="minorHAnsi"/>
                <w:b/>
              </w:rPr>
              <w:t>Marginal</w:t>
            </w:r>
            <w:r w:rsidRPr="00BF6734">
              <w:rPr>
                <w:rFonts w:asciiTheme="minorHAnsi" w:hAnsiTheme="minorHAnsi"/>
              </w:rPr>
              <w:t xml:space="preserve"> = borderline or unchanged from current cost</w:t>
            </w:r>
          </w:p>
          <w:p w14:paraId="69CE0057" w14:textId="77777777" w:rsidR="00E9094B" w:rsidRPr="00BF6734" w:rsidRDefault="00E9094B" w:rsidP="00531EC4">
            <w:pPr>
              <w:spacing w:before="120" w:after="120"/>
              <w:rPr>
                <w:rFonts w:asciiTheme="minorHAnsi" w:hAnsiTheme="minorHAnsi"/>
              </w:rPr>
            </w:pPr>
            <w:r w:rsidRPr="00BF6734">
              <w:rPr>
                <w:rFonts w:asciiTheme="minorHAnsi" w:hAnsiTheme="minorHAnsi"/>
                <w:b/>
              </w:rPr>
              <w:t>Minor</w:t>
            </w:r>
            <w:r w:rsidRPr="00BF6734">
              <w:rPr>
                <w:rFonts w:asciiTheme="minorHAnsi" w:hAnsiTheme="minorHAnsi"/>
              </w:rPr>
              <w:t xml:space="preserve"> = decrease by $500K - $1.99M from current cost</w:t>
            </w:r>
          </w:p>
          <w:p w14:paraId="1EF00085" w14:textId="77777777" w:rsidR="00E9094B" w:rsidRPr="00BF6734" w:rsidRDefault="00E9094B" w:rsidP="00531EC4">
            <w:pPr>
              <w:spacing w:before="120" w:after="120"/>
              <w:rPr>
                <w:rFonts w:asciiTheme="minorHAnsi" w:hAnsiTheme="minorHAnsi"/>
                <w:b/>
              </w:rPr>
            </w:pPr>
            <w:r w:rsidRPr="00BF6734">
              <w:rPr>
                <w:rFonts w:asciiTheme="minorHAnsi" w:hAnsiTheme="minorHAnsi"/>
                <w:b/>
              </w:rPr>
              <w:t>Major</w:t>
            </w:r>
            <w:r w:rsidRPr="00BF6734">
              <w:rPr>
                <w:rFonts w:asciiTheme="minorHAnsi" w:hAnsiTheme="minorHAnsi"/>
              </w:rPr>
              <w:t xml:space="preserve"> =  decrease $2M+ from current cost</w:t>
            </w:r>
          </w:p>
        </w:tc>
        <w:tc>
          <w:tcPr>
            <w:tcW w:w="4971" w:type="dxa"/>
          </w:tcPr>
          <w:p w14:paraId="7850ABE8" w14:textId="77777777" w:rsidR="00E9094B" w:rsidRPr="00BF6734" w:rsidRDefault="00E9094B" w:rsidP="00531EC4">
            <w:pPr>
              <w:spacing w:before="120" w:after="120"/>
              <w:rPr>
                <w:rFonts w:asciiTheme="minorHAnsi" w:hAnsiTheme="minorHAnsi"/>
                <w:b/>
              </w:rPr>
            </w:pPr>
            <w:r w:rsidRPr="00BF6734">
              <w:rPr>
                <w:rFonts w:asciiTheme="minorHAnsi" w:hAnsiTheme="minorHAnsi"/>
                <w:b/>
              </w:rPr>
              <w:t>Marginal</w:t>
            </w:r>
          </w:p>
        </w:tc>
      </w:tr>
      <w:tr w:rsidR="00076968" w:rsidRPr="00666493" w14:paraId="0795C1F0" w14:textId="77777777" w:rsidTr="00E9094B">
        <w:tc>
          <w:tcPr>
            <w:tcW w:w="15637" w:type="dxa"/>
            <w:gridSpan w:val="5"/>
            <w:shd w:val="clear" w:color="auto" w:fill="DBE5F1" w:themeFill="accent1" w:themeFillTint="33"/>
          </w:tcPr>
          <w:p w14:paraId="21AD11EF" w14:textId="77777777" w:rsidR="00076968" w:rsidRPr="00666493" w:rsidRDefault="00076968" w:rsidP="00076968">
            <w:pPr>
              <w:spacing w:before="120" w:after="120"/>
              <w:jc w:val="center"/>
              <w:rPr>
                <w:rFonts w:asciiTheme="minorHAnsi" w:hAnsiTheme="minorHAnsi"/>
                <w:b/>
              </w:rPr>
            </w:pPr>
            <w:r w:rsidRPr="00666493">
              <w:rPr>
                <w:rFonts w:asciiTheme="minorHAnsi" w:hAnsiTheme="minorHAnsi"/>
                <w:b/>
              </w:rPr>
              <w:t>BIBLIOGRAPHY</w:t>
            </w:r>
          </w:p>
        </w:tc>
      </w:tr>
      <w:tr w:rsidR="00076968" w:rsidRPr="00666493" w14:paraId="1925F0D1" w14:textId="77777777" w:rsidTr="00E9094B">
        <w:tc>
          <w:tcPr>
            <w:tcW w:w="15637" w:type="dxa"/>
            <w:gridSpan w:val="5"/>
            <w:shd w:val="clear" w:color="auto" w:fill="auto"/>
          </w:tcPr>
          <w:p w14:paraId="7A8B442C" w14:textId="77777777" w:rsidR="00666493" w:rsidRPr="00666493" w:rsidRDefault="00666493" w:rsidP="00666493">
            <w:pPr>
              <w:spacing w:before="100" w:beforeAutospacing="1" w:after="100" w:afterAutospacing="1" w:line="360" w:lineRule="atLeast"/>
              <w:rPr>
                <w:rFonts w:asciiTheme="minorHAnsi" w:eastAsia="Times New Roman" w:hAnsiTheme="minorHAnsi" w:cs="Times New Roman"/>
                <w:color w:val="000000"/>
                <w:lang w:val="en" w:eastAsia="en-AU"/>
              </w:rPr>
            </w:pPr>
            <w:r w:rsidRPr="00666493">
              <w:rPr>
                <w:rFonts w:asciiTheme="minorHAnsi" w:eastAsia="Times New Roman" w:hAnsiTheme="minorHAnsi" w:cs="Times New Roman"/>
                <w:color w:val="000000"/>
                <w:lang w:val="en" w:eastAsia="en-AU"/>
              </w:rPr>
              <w:t xml:space="preserve">Besa, EC 1988, ‘Rapid transient reversal of anaemia and long-term effects of maintenance intravenous immunoglobulin for autoimmune haemolytic anaemia in patients with lymphoproliferative disorders’, </w:t>
            </w:r>
            <w:r w:rsidRPr="00666493">
              <w:rPr>
                <w:rFonts w:asciiTheme="minorHAnsi" w:eastAsia="Times New Roman" w:hAnsiTheme="minorHAnsi" w:cs="Times New Roman"/>
                <w:i/>
                <w:iCs/>
                <w:color w:val="000000"/>
                <w:lang w:val="en" w:eastAsia="en-AU"/>
              </w:rPr>
              <w:t>American Journal of Medicine</w:t>
            </w:r>
            <w:r w:rsidRPr="00666493">
              <w:rPr>
                <w:rFonts w:asciiTheme="minorHAnsi" w:eastAsia="Times New Roman" w:hAnsiTheme="minorHAnsi" w:cs="Times New Roman"/>
                <w:color w:val="000000"/>
                <w:lang w:val="en" w:eastAsia="en-AU"/>
              </w:rPr>
              <w:t>, vol. 84, no. 4, pp. 691–8.</w:t>
            </w:r>
          </w:p>
          <w:p w14:paraId="4BC3376E" w14:textId="77777777" w:rsidR="00666493" w:rsidRPr="00666493" w:rsidRDefault="00666493" w:rsidP="00666493">
            <w:pPr>
              <w:spacing w:before="100" w:beforeAutospacing="1" w:after="100" w:afterAutospacing="1" w:line="360" w:lineRule="atLeast"/>
              <w:rPr>
                <w:rFonts w:asciiTheme="minorHAnsi" w:eastAsia="Times New Roman" w:hAnsiTheme="minorHAnsi" w:cs="Times New Roman"/>
                <w:color w:val="000000"/>
                <w:lang w:val="en" w:eastAsia="en-AU"/>
              </w:rPr>
            </w:pPr>
            <w:r w:rsidRPr="00666493">
              <w:rPr>
                <w:rFonts w:asciiTheme="minorHAnsi" w:eastAsia="Times New Roman" w:hAnsiTheme="minorHAnsi" w:cs="Times New Roman"/>
                <w:color w:val="000000"/>
                <w:lang w:val="en" w:eastAsia="en-AU"/>
              </w:rPr>
              <w:t xml:space="preserve">Darabi, K, Abdel-Wahab, O &amp; Dzik, WH 2006, ‘Current usage of intravenous immunoglobulin and the rationale behind it: the Massachusetts General Hospital data and review of the literature’, </w:t>
            </w:r>
            <w:r w:rsidRPr="00666493">
              <w:rPr>
                <w:rFonts w:asciiTheme="minorHAnsi" w:eastAsia="Times New Roman" w:hAnsiTheme="minorHAnsi" w:cs="Times New Roman"/>
                <w:i/>
                <w:iCs/>
                <w:color w:val="000000"/>
                <w:lang w:val="en" w:eastAsia="en-AU"/>
              </w:rPr>
              <w:t>Transfusion</w:t>
            </w:r>
            <w:r w:rsidRPr="00666493">
              <w:rPr>
                <w:rFonts w:asciiTheme="minorHAnsi" w:eastAsia="Times New Roman" w:hAnsiTheme="minorHAnsi" w:cs="Times New Roman"/>
                <w:color w:val="000000"/>
                <w:lang w:val="en" w:eastAsia="en-AU"/>
              </w:rPr>
              <w:t>, vol. 46, no. 5, pp. 741–53.</w:t>
            </w:r>
          </w:p>
          <w:p w14:paraId="1B326316" w14:textId="77777777" w:rsidR="00666493" w:rsidRPr="00666493" w:rsidRDefault="00666493" w:rsidP="00666493">
            <w:pPr>
              <w:spacing w:before="100" w:beforeAutospacing="1" w:after="100" w:afterAutospacing="1" w:line="360" w:lineRule="atLeast"/>
              <w:rPr>
                <w:rFonts w:asciiTheme="minorHAnsi" w:eastAsia="Times New Roman" w:hAnsiTheme="minorHAnsi" w:cs="Times New Roman"/>
                <w:color w:val="000000"/>
                <w:lang w:val="en" w:eastAsia="en-AU"/>
              </w:rPr>
            </w:pPr>
            <w:r w:rsidRPr="00666493">
              <w:rPr>
                <w:rFonts w:asciiTheme="minorHAnsi" w:eastAsia="Times New Roman" w:hAnsiTheme="minorHAnsi" w:cs="Times New Roman"/>
                <w:color w:val="000000"/>
                <w:lang w:val="en" w:eastAsia="en-AU"/>
              </w:rPr>
              <w:t xml:space="preserve">Flores, G, Cunningham-Rundles, C, Newland, AC, et al 1993, ‘Efficacy of intravenous immunoglobulin in the treatment of autoimmune haemolytic anaemia: results in 73 patients’, </w:t>
            </w:r>
            <w:r w:rsidRPr="00666493">
              <w:rPr>
                <w:rFonts w:asciiTheme="minorHAnsi" w:eastAsia="Times New Roman" w:hAnsiTheme="minorHAnsi" w:cs="Times New Roman"/>
                <w:i/>
                <w:iCs/>
                <w:color w:val="000000"/>
                <w:lang w:val="en" w:eastAsia="en-AU"/>
              </w:rPr>
              <w:t>American Journal of Hematology</w:t>
            </w:r>
            <w:r w:rsidRPr="00666493">
              <w:rPr>
                <w:rFonts w:asciiTheme="minorHAnsi" w:eastAsia="Times New Roman" w:hAnsiTheme="minorHAnsi" w:cs="Times New Roman"/>
                <w:color w:val="000000"/>
                <w:lang w:val="en" w:eastAsia="en-AU"/>
              </w:rPr>
              <w:t>, vol. 44, no. 4, pp. 237–42.</w:t>
            </w:r>
          </w:p>
          <w:p w14:paraId="770FFA96" w14:textId="77777777" w:rsidR="00666493" w:rsidRPr="00666493" w:rsidRDefault="00666493" w:rsidP="00666493">
            <w:pPr>
              <w:spacing w:before="100" w:beforeAutospacing="1" w:after="100" w:afterAutospacing="1" w:line="360" w:lineRule="atLeast"/>
              <w:rPr>
                <w:rFonts w:asciiTheme="minorHAnsi" w:eastAsia="Times New Roman" w:hAnsiTheme="minorHAnsi" w:cs="Times New Roman"/>
                <w:color w:val="000000"/>
                <w:lang w:val="en" w:eastAsia="en-AU"/>
              </w:rPr>
            </w:pPr>
            <w:r w:rsidRPr="00666493">
              <w:rPr>
                <w:rFonts w:asciiTheme="minorHAnsi" w:eastAsia="Times New Roman" w:hAnsiTheme="minorHAnsi" w:cs="Times New Roman"/>
                <w:color w:val="000000"/>
                <w:lang w:val="en" w:eastAsia="en-AU"/>
              </w:rPr>
              <w:t xml:space="preserve">Majer, RV &amp; Hyde, RD 1988, ‘High-dose intravenous immunoglobulin in the treatment of autoimmune haemolytic anaemia’, </w:t>
            </w:r>
            <w:r w:rsidRPr="00666493">
              <w:rPr>
                <w:rFonts w:asciiTheme="minorHAnsi" w:eastAsia="Times New Roman" w:hAnsiTheme="minorHAnsi" w:cs="Times New Roman"/>
                <w:i/>
                <w:iCs/>
                <w:color w:val="000000"/>
                <w:lang w:val="en" w:eastAsia="en-AU"/>
              </w:rPr>
              <w:t>Clinical and Laboratory Haematology</w:t>
            </w:r>
            <w:r w:rsidRPr="00666493">
              <w:rPr>
                <w:rFonts w:asciiTheme="minorHAnsi" w:eastAsia="Times New Roman" w:hAnsiTheme="minorHAnsi" w:cs="Times New Roman"/>
                <w:color w:val="000000"/>
                <w:lang w:val="en" w:eastAsia="en-AU"/>
              </w:rPr>
              <w:t>, vol. 10, no. 4, pp. 391–5.</w:t>
            </w:r>
          </w:p>
          <w:p w14:paraId="3B0D4427" w14:textId="77777777" w:rsidR="00666493" w:rsidRPr="00666493" w:rsidRDefault="00666493" w:rsidP="00666493">
            <w:pPr>
              <w:spacing w:before="100" w:beforeAutospacing="1" w:after="100" w:afterAutospacing="1" w:line="360" w:lineRule="atLeast"/>
              <w:rPr>
                <w:rFonts w:asciiTheme="minorHAnsi" w:eastAsia="Times New Roman" w:hAnsiTheme="minorHAnsi" w:cs="Times New Roman"/>
                <w:color w:val="000000"/>
                <w:lang w:val="en" w:eastAsia="en-AU"/>
              </w:rPr>
            </w:pPr>
            <w:r w:rsidRPr="00666493">
              <w:rPr>
                <w:rFonts w:asciiTheme="minorHAnsi" w:eastAsia="Times New Roman" w:hAnsiTheme="minorHAnsi" w:cs="Times New Roman"/>
                <w:color w:val="000000"/>
                <w:lang w:val="en" w:eastAsia="en-AU"/>
              </w:rPr>
              <w:t xml:space="preserve">Mathew, P, Chen, G &amp; Wang, W 1997, ‘Evans syndrome: results of a national survey’, </w:t>
            </w:r>
            <w:r w:rsidRPr="00666493">
              <w:rPr>
                <w:rFonts w:asciiTheme="minorHAnsi" w:eastAsia="Times New Roman" w:hAnsiTheme="minorHAnsi" w:cs="Times New Roman"/>
                <w:i/>
                <w:iCs/>
                <w:color w:val="000000"/>
                <w:lang w:val="en" w:eastAsia="en-AU"/>
              </w:rPr>
              <w:t>Journal of Pediatric Hematology/Oncology</w:t>
            </w:r>
            <w:r w:rsidRPr="00666493">
              <w:rPr>
                <w:rFonts w:asciiTheme="minorHAnsi" w:eastAsia="Times New Roman" w:hAnsiTheme="minorHAnsi" w:cs="Times New Roman"/>
                <w:color w:val="000000"/>
                <w:lang w:val="en" w:eastAsia="en-AU"/>
              </w:rPr>
              <w:t>, vol. 19, no. 5, pp. 433–7.</w:t>
            </w:r>
          </w:p>
          <w:p w14:paraId="06FC6928" w14:textId="77777777" w:rsidR="00666493" w:rsidRPr="00666493" w:rsidRDefault="00666493" w:rsidP="00666493">
            <w:pPr>
              <w:spacing w:before="100" w:beforeAutospacing="1" w:after="100" w:afterAutospacing="1" w:line="360" w:lineRule="atLeast"/>
              <w:rPr>
                <w:rFonts w:asciiTheme="minorHAnsi" w:eastAsia="Times New Roman" w:hAnsiTheme="minorHAnsi" w:cs="Times New Roman"/>
                <w:color w:val="000000"/>
                <w:lang w:val="en" w:eastAsia="en-AU"/>
              </w:rPr>
            </w:pPr>
            <w:r w:rsidRPr="00666493">
              <w:rPr>
                <w:rFonts w:asciiTheme="minorHAnsi" w:eastAsia="Times New Roman" w:hAnsiTheme="minorHAnsi" w:cs="Times New Roman"/>
                <w:color w:val="000000"/>
                <w:lang w:val="en" w:eastAsia="en-AU"/>
              </w:rPr>
              <w:t xml:space="preserve">Norton, A &amp; Roberts, I 2006, ‘Management of Evans syndrome’, </w:t>
            </w:r>
            <w:r w:rsidRPr="00666493">
              <w:rPr>
                <w:rFonts w:asciiTheme="minorHAnsi" w:eastAsia="Times New Roman" w:hAnsiTheme="minorHAnsi" w:cs="Times New Roman"/>
                <w:i/>
                <w:iCs/>
                <w:color w:val="000000"/>
                <w:lang w:val="en" w:eastAsia="en-AU"/>
              </w:rPr>
              <w:t>British Journal of Haematology</w:t>
            </w:r>
            <w:r w:rsidRPr="00666493">
              <w:rPr>
                <w:rFonts w:asciiTheme="minorHAnsi" w:eastAsia="Times New Roman" w:hAnsiTheme="minorHAnsi" w:cs="Times New Roman"/>
                <w:color w:val="000000"/>
                <w:lang w:val="en" w:eastAsia="en-AU"/>
              </w:rPr>
              <w:t xml:space="preserve">, vol. 132, no. 2, pp. 125–37. </w:t>
            </w:r>
          </w:p>
          <w:p w14:paraId="1C5AE6F8" w14:textId="77777777" w:rsidR="00666493" w:rsidRPr="00666493" w:rsidRDefault="00666493" w:rsidP="00666493">
            <w:pPr>
              <w:spacing w:before="100" w:beforeAutospacing="1" w:after="100" w:afterAutospacing="1" w:line="360" w:lineRule="atLeast"/>
              <w:rPr>
                <w:rFonts w:asciiTheme="minorHAnsi" w:eastAsia="Times New Roman" w:hAnsiTheme="minorHAnsi" w:cs="Times New Roman"/>
                <w:color w:val="000000"/>
                <w:lang w:val="en" w:eastAsia="en-AU"/>
              </w:rPr>
            </w:pPr>
            <w:r w:rsidRPr="00666493">
              <w:rPr>
                <w:rFonts w:asciiTheme="minorHAnsi" w:eastAsia="Times New Roman" w:hAnsiTheme="minorHAnsi" w:cs="Times New Roman"/>
                <w:color w:val="000000"/>
                <w:lang w:val="en" w:eastAsia="en-AU"/>
              </w:rPr>
              <w:t xml:space="preserve">Sherer, Y, Levy, Y, Fabbrizzi, F, et al 2000, ‘Treatment of hematologic disorders other than immune thrombocytopenic purpura with intravenous immunoglobulin (IVIg) – report of seven cases and review of the literature’, </w:t>
            </w:r>
            <w:r w:rsidRPr="00666493">
              <w:rPr>
                <w:rFonts w:asciiTheme="minorHAnsi" w:eastAsia="Times New Roman" w:hAnsiTheme="minorHAnsi" w:cs="Times New Roman"/>
                <w:i/>
                <w:iCs/>
                <w:color w:val="000000"/>
                <w:lang w:val="en" w:eastAsia="en-AU"/>
              </w:rPr>
              <w:t>European Journal of Internal Medicine</w:t>
            </w:r>
            <w:r w:rsidRPr="00666493">
              <w:rPr>
                <w:rFonts w:asciiTheme="minorHAnsi" w:eastAsia="Times New Roman" w:hAnsiTheme="minorHAnsi" w:cs="Times New Roman"/>
                <w:color w:val="000000"/>
                <w:lang w:val="en" w:eastAsia="en-AU"/>
              </w:rPr>
              <w:t>, vol. 11, pp. 85–8.</w:t>
            </w:r>
          </w:p>
          <w:p w14:paraId="665B7DDA" w14:textId="77777777" w:rsidR="00666493" w:rsidRPr="00666493" w:rsidRDefault="00666493" w:rsidP="00666493">
            <w:pPr>
              <w:autoSpaceDE w:val="0"/>
              <w:autoSpaceDN w:val="0"/>
              <w:adjustRightInd w:val="0"/>
              <w:rPr>
                <w:rFonts w:asciiTheme="minorHAnsi" w:eastAsia="Times New Roman" w:hAnsiTheme="minorHAnsi" w:cs="Times New Roman"/>
                <w:color w:val="000000"/>
                <w:lang w:val="en" w:eastAsia="en-AU"/>
              </w:rPr>
            </w:pPr>
            <w:r w:rsidRPr="00666493">
              <w:rPr>
                <w:rFonts w:asciiTheme="minorHAnsi" w:hAnsiTheme="minorHAnsi"/>
              </w:rPr>
              <w:t xml:space="preserve">Qin, YH et al 2010, </w:t>
            </w:r>
            <w:r w:rsidRPr="00666493">
              <w:rPr>
                <w:rFonts w:asciiTheme="minorHAnsi" w:eastAsia="Times New Roman" w:hAnsiTheme="minorHAnsi" w:cs="Times New Roman"/>
                <w:color w:val="000000"/>
                <w:lang w:val="en" w:eastAsia="en-AU"/>
              </w:rPr>
              <w:t>The efficacy of different dose intravenous immunoglobulin in treating acute idiopathic thrombocytopenic purpura: a meta-analysis of 13 randomized controlled trials,</w:t>
            </w:r>
            <w:r w:rsidRPr="00666493">
              <w:rPr>
                <w:rFonts w:asciiTheme="minorHAnsi" w:eastAsiaTheme="minorHAnsi" w:hAnsiTheme="minorHAnsi" w:cs="AdvP410358"/>
              </w:rPr>
              <w:t xml:space="preserve"> </w:t>
            </w:r>
            <w:r w:rsidRPr="00666493">
              <w:rPr>
                <w:rFonts w:asciiTheme="minorHAnsi" w:eastAsia="Times New Roman" w:hAnsiTheme="minorHAnsi" w:cs="Times New Roman"/>
                <w:i/>
                <w:color w:val="000000"/>
                <w:lang w:val="en" w:eastAsia="en-AU"/>
              </w:rPr>
              <w:t>Blood Coagulation and Fibrinolysis</w:t>
            </w:r>
            <w:r w:rsidRPr="00666493">
              <w:rPr>
                <w:rFonts w:asciiTheme="minorHAnsi" w:eastAsia="Times New Roman" w:hAnsiTheme="minorHAnsi" w:cs="Times New Roman"/>
                <w:color w:val="000000"/>
                <w:lang w:val="en" w:eastAsia="en-AU"/>
              </w:rPr>
              <w:t xml:space="preserve"> 2010, vol 21, pp713–721.</w:t>
            </w:r>
          </w:p>
          <w:p w14:paraId="181C84F9" w14:textId="1CCFC76B" w:rsidR="00076968" w:rsidRPr="00666493" w:rsidRDefault="00076968" w:rsidP="00010AAD">
            <w:pPr>
              <w:spacing w:after="150"/>
              <w:rPr>
                <w:rFonts w:asciiTheme="minorHAnsi" w:hAnsiTheme="minorHAnsi"/>
                <w:b/>
              </w:rPr>
            </w:pPr>
          </w:p>
        </w:tc>
      </w:tr>
      <w:tr w:rsidR="00076968" w:rsidRPr="00666493" w14:paraId="56DF5EE9" w14:textId="77777777" w:rsidTr="00E9094B">
        <w:tc>
          <w:tcPr>
            <w:tcW w:w="15637" w:type="dxa"/>
            <w:gridSpan w:val="5"/>
            <w:shd w:val="clear" w:color="auto" w:fill="DBE5F1" w:themeFill="accent1" w:themeFillTint="33"/>
          </w:tcPr>
          <w:p w14:paraId="5F9449C8" w14:textId="77777777" w:rsidR="00076968" w:rsidRPr="00666493" w:rsidRDefault="00076968" w:rsidP="00076968">
            <w:pPr>
              <w:spacing w:before="120" w:after="120"/>
              <w:jc w:val="center"/>
              <w:rPr>
                <w:rFonts w:asciiTheme="minorHAnsi" w:hAnsiTheme="minorHAnsi"/>
                <w:b/>
              </w:rPr>
            </w:pPr>
            <w:r w:rsidRPr="00666493">
              <w:rPr>
                <w:rFonts w:asciiTheme="minorHAnsi" w:hAnsiTheme="minorHAnsi"/>
                <w:b/>
              </w:rPr>
              <w:lastRenderedPageBreak/>
              <w:t>END OF DOCUMENT</w:t>
            </w:r>
          </w:p>
        </w:tc>
      </w:tr>
    </w:tbl>
    <w:p w14:paraId="56C4F5C3" w14:textId="513E5BCE" w:rsidR="00401119" w:rsidRPr="00666493" w:rsidRDefault="00401119" w:rsidP="00DA29E8">
      <w:pPr>
        <w:pStyle w:val="NormalWeb"/>
        <w:spacing w:line="360" w:lineRule="atLeast"/>
        <w:rPr>
          <w:b/>
          <w:bCs/>
          <w:color w:val="FFFFFF"/>
          <w:sz w:val="22"/>
          <w:szCs w:val="22"/>
        </w:rPr>
      </w:pPr>
    </w:p>
    <w:sectPr w:rsidR="00401119" w:rsidRPr="00666493" w:rsidSect="00DA29E8">
      <w:type w:val="continuous"/>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6B37" w14:textId="77777777" w:rsidR="007A215A" w:rsidRDefault="007A215A" w:rsidP="00856708">
      <w:pPr>
        <w:spacing w:after="0"/>
      </w:pPr>
      <w:r>
        <w:separator/>
      </w:r>
    </w:p>
  </w:endnote>
  <w:endnote w:type="continuationSeparator" w:id="0">
    <w:p w14:paraId="3BD488C1" w14:textId="77777777" w:rsidR="007A215A" w:rsidRDefault="007A215A"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Light">
    <w:altName w:val="Cambria"/>
    <w:panose1 w:val="00000000000000000000"/>
    <w:charset w:val="4D"/>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dvP410358">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B560" w14:textId="77777777" w:rsidR="007A215A" w:rsidRPr="00856708" w:rsidRDefault="007A215A"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B658AF">
      <w:rPr>
        <w:noProof/>
        <w:sz w:val="20"/>
        <w:szCs w:val="20"/>
      </w:rPr>
      <w:t>10</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2D27" w14:textId="77777777" w:rsidR="007A215A" w:rsidRDefault="007A215A" w:rsidP="00856708">
      <w:pPr>
        <w:spacing w:after="0"/>
      </w:pPr>
      <w:r>
        <w:separator/>
      </w:r>
    </w:p>
  </w:footnote>
  <w:footnote w:type="continuationSeparator" w:id="0">
    <w:p w14:paraId="053F1952" w14:textId="77777777" w:rsidR="007A215A" w:rsidRDefault="007A215A"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281F" w14:textId="77777777" w:rsidR="007A215A" w:rsidRDefault="00B658AF">
    <w:pPr>
      <w:pStyle w:val="Header"/>
    </w:pPr>
    <w:sdt>
      <w:sdtPr>
        <w:id w:val="171999623"/>
        <w:placeholder>
          <w:docPart w:val="4318DC39B0B5714AA1272BAEF2DE62E2"/>
        </w:placeholder>
        <w:temporary/>
        <w:showingPlcHdr/>
      </w:sdtPr>
      <w:sdtEndPr/>
      <w:sdtContent>
        <w:r w:rsidR="007A215A">
          <w:t>[Type text]</w:t>
        </w:r>
      </w:sdtContent>
    </w:sdt>
    <w:r w:rsidR="007A215A">
      <w:ptab w:relativeTo="margin" w:alignment="center" w:leader="none"/>
    </w:r>
    <w:sdt>
      <w:sdtPr>
        <w:id w:val="171999624"/>
        <w:placeholder>
          <w:docPart w:val="255F24039E3CD646BF4EC89E9F52221B"/>
        </w:placeholder>
        <w:temporary/>
        <w:showingPlcHdr/>
      </w:sdtPr>
      <w:sdtEndPr/>
      <w:sdtContent>
        <w:r w:rsidR="007A215A">
          <w:t>[Type text]</w:t>
        </w:r>
      </w:sdtContent>
    </w:sdt>
    <w:r w:rsidR="007A215A">
      <w:ptab w:relativeTo="margin" w:alignment="right" w:leader="none"/>
    </w:r>
    <w:sdt>
      <w:sdtPr>
        <w:id w:val="171999625"/>
        <w:placeholder>
          <w:docPart w:val="B2E672F6A46DC34D85472E78455D4ECB"/>
        </w:placeholder>
        <w:temporary/>
        <w:showingPlcHdr/>
      </w:sdtPr>
      <w:sdtEndPr/>
      <w:sdtContent>
        <w:r w:rsidR="007A215A">
          <w:t>[Type text]</w:t>
        </w:r>
      </w:sdtContent>
    </w:sdt>
  </w:p>
  <w:p w14:paraId="1DFDD247" w14:textId="77777777" w:rsidR="007A215A" w:rsidRDefault="007A2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8E"/>
    <w:multiLevelType w:val="multilevel"/>
    <w:tmpl w:val="D4AC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F06DA"/>
    <w:multiLevelType w:val="hybridMultilevel"/>
    <w:tmpl w:val="1F70651E"/>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BE4112"/>
    <w:multiLevelType w:val="hybridMultilevel"/>
    <w:tmpl w:val="0FB01B3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03B4955"/>
    <w:multiLevelType w:val="multilevel"/>
    <w:tmpl w:val="F056A6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653413"/>
    <w:multiLevelType w:val="hybridMultilevel"/>
    <w:tmpl w:val="ED86F6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A0756D"/>
    <w:multiLevelType w:val="multilevel"/>
    <w:tmpl w:val="361E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B1D34"/>
    <w:multiLevelType w:val="hybridMultilevel"/>
    <w:tmpl w:val="FE7A49A8"/>
    <w:lvl w:ilvl="0" w:tplc="EEF4CB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01BC0"/>
    <w:multiLevelType w:val="multilevel"/>
    <w:tmpl w:val="8FF66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015ED3"/>
    <w:multiLevelType w:val="hybridMultilevel"/>
    <w:tmpl w:val="3C0AA41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871D89"/>
    <w:multiLevelType w:val="hybridMultilevel"/>
    <w:tmpl w:val="36A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02FAA"/>
    <w:multiLevelType w:val="multilevel"/>
    <w:tmpl w:val="71EAAE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BF3D34"/>
    <w:multiLevelType w:val="multilevel"/>
    <w:tmpl w:val="5572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E142F1"/>
    <w:multiLevelType w:val="hybridMultilevel"/>
    <w:tmpl w:val="A9021D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E7F707D"/>
    <w:multiLevelType w:val="multilevel"/>
    <w:tmpl w:val="9CB8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3211065B"/>
    <w:multiLevelType w:val="multilevel"/>
    <w:tmpl w:val="F8C2B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746994"/>
    <w:multiLevelType w:val="hybridMultilevel"/>
    <w:tmpl w:val="381875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nsid w:val="36644914"/>
    <w:multiLevelType w:val="multilevel"/>
    <w:tmpl w:val="A6AC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2E68C0"/>
    <w:multiLevelType w:val="hybridMultilevel"/>
    <w:tmpl w:val="924A8B12"/>
    <w:lvl w:ilvl="0" w:tplc="EEF4CBBC">
      <w:start w:val="1"/>
      <w:numFmt w:val="bullet"/>
      <w:lvlText w:val="–"/>
      <w:lvlJc w:val="left"/>
      <w:pPr>
        <w:ind w:left="36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927947"/>
    <w:multiLevelType w:val="hybridMultilevel"/>
    <w:tmpl w:val="EB72F6F8"/>
    <w:lvl w:ilvl="0" w:tplc="34AAD5AC">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B85ADC"/>
    <w:multiLevelType w:val="multilevel"/>
    <w:tmpl w:val="019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AF4480"/>
    <w:multiLevelType w:val="hybridMultilevel"/>
    <w:tmpl w:val="67E0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75C6F"/>
    <w:multiLevelType w:val="hybridMultilevel"/>
    <w:tmpl w:val="97FC27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45824D8F"/>
    <w:multiLevelType w:val="multilevel"/>
    <w:tmpl w:val="3FACF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880CE6"/>
    <w:multiLevelType w:val="multilevel"/>
    <w:tmpl w:val="0552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754B07"/>
    <w:multiLevelType w:val="hybridMultilevel"/>
    <w:tmpl w:val="1D803274"/>
    <w:lvl w:ilvl="0" w:tplc="604A4DEC">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718BB"/>
    <w:multiLevelType w:val="hybridMultilevel"/>
    <w:tmpl w:val="DE40C8E0"/>
    <w:lvl w:ilvl="0" w:tplc="0409001B">
      <w:start w:val="1"/>
      <w:numFmt w:val="lowerRoman"/>
      <w:lvlText w:val="%1."/>
      <w:lvlJc w:val="right"/>
      <w:pPr>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nsid w:val="51380DDB"/>
    <w:multiLevelType w:val="hybridMultilevel"/>
    <w:tmpl w:val="EF5AD57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43D710B"/>
    <w:multiLevelType w:val="hybridMultilevel"/>
    <w:tmpl w:val="2312EA5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92A5B73"/>
    <w:multiLevelType w:val="multilevel"/>
    <w:tmpl w:val="3310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386E65"/>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11092B"/>
    <w:multiLevelType w:val="multilevel"/>
    <w:tmpl w:val="BA3E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CD4662"/>
    <w:multiLevelType w:val="hybridMultilevel"/>
    <w:tmpl w:val="CBD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952B71"/>
    <w:multiLevelType w:val="hybridMultilevel"/>
    <w:tmpl w:val="81BC6B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B47AA9"/>
    <w:multiLevelType w:val="multilevel"/>
    <w:tmpl w:val="0D1C5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4A1181"/>
    <w:multiLevelType w:val="multilevel"/>
    <w:tmpl w:val="528A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D65E2F"/>
    <w:multiLevelType w:val="hybridMultilevel"/>
    <w:tmpl w:val="0B94A7A2"/>
    <w:lvl w:ilvl="0" w:tplc="04090001">
      <w:start w:val="1"/>
      <w:numFmt w:val="bullet"/>
      <w:lvlText w:val=""/>
      <w:lvlJc w:val="left"/>
      <w:pPr>
        <w:ind w:left="773"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3001AAC"/>
    <w:multiLevelType w:val="hybridMultilevel"/>
    <w:tmpl w:val="D84C946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8">
    <w:nsid w:val="737F14F3"/>
    <w:multiLevelType w:val="multilevel"/>
    <w:tmpl w:val="A6C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3964C4"/>
    <w:multiLevelType w:val="hybridMultilevel"/>
    <w:tmpl w:val="04DCA7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84954A6"/>
    <w:multiLevelType w:val="multilevel"/>
    <w:tmpl w:val="357A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CE397C"/>
    <w:multiLevelType w:val="multilevel"/>
    <w:tmpl w:val="16F2B8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682CC4"/>
    <w:multiLevelType w:val="multilevel"/>
    <w:tmpl w:val="1CEA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5"/>
  </w:num>
  <w:num w:numId="4">
    <w:abstractNumId w:val="15"/>
  </w:num>
  <w:num w:numId="5">
    <w:abstractNumId w:val="29"/>
  </w:num>
  <w:num w:numId="6">
    <w:abstractNumId w:val="32"/>
  </w:num>
  <w:num w:numId="7">
    <w:abstractNumId w:val="30"/>
  </w:num>
  <w:num w:numId="8">
    <w:abstractNumId w:val="21"/>
  </w:num>
  <w:num w:numId="9">
    <w:abstractNumId w:val="9"/>
  </w:num>
  <w:num w:numId="10">
    <w:abstractNumId w:val="12"/>
  </w:num>
  <w:num w:numId="11">
    <w:abstractNumId w:val="39"/>
  </w:num>
  <w:num w:numId="12">
    <w:abstractNumId w:val="4"/>
  </w:num>
  <w:num w:numId="13">
    <w:abstractNumId w:val="28"/>
  </w:num>
  <w:num w:numId="14">
    <w:abstractNumId w:val="38"/>
  </w:num>
  <w:num w:numId="15">
    <w:abstractNumId w:val="16"/>
  </w:num>
  <w:num w:numId="16">
    <w:abstractNumId w:val="2"/>
  </w:num>
  <w:num w:numId="17">
    <w:abstractNumId w:val="20"/>
  </w:num>
  <w:num w:numId="18">
    <w:abstractNumId w:val="6"/>
  </w:num>
  <w:num w:numId="19">
    <w:abstractNumId w:val="24"/>
  </w:num>
  <w:num w:numId="20">
    <w:abstractNumId w:val="0"/>
  </w:num>
  <w:num w:numId="21">
    <w:abstractNumId w:val="42"/>
  </w:num>
  <w:num w:numId="22">
    <w:abstractNumId w:val="40"/>
  </w:num>
  <w:num w:numId="23">
    <w:abstractNumId w:val="23"/>
  </w:num>
  <w:num w:numId="24">
    <w:abstractNumId w:val="18"/>
  </w:num>
  <w:num w:numId="25">
    <w:abstractNumId w:val="27"/>
  </w:num>
  <w:num w:numId="26">
    <w:abstractNumId w:val="37"/>
  </w:num>
  <w:num w:numId="27">
    <w:abstractNumId w:val="36"/>
  </w:num>
  <w:num w:numId="28">
    <w:abstractNumId w:val="1"/>
  </w:num>
  <w:num w:numId="29">
    <w:abstractNumId w:val="8"/>
  </w:num>
  <w:num w:numId="30">
    <w:abstractNumId w:val="33"/>
  </w:num>
  <w:num w:numId="31">
    <w:abstractNumId w:val="17"/>
  </w:num>
  <w:num w:numId="32">
    <w:abstractNumId w:val="19"/>
  </w:num>
  <w:num w:numId="33">
    <w:abstractNumId w:val="7"/>
  </w:num>
  <w:num w:numId="34">
    <w:abstractNumId w:val="34"/>
  </w:num>
  <w:num w:numId="35">
    <w:abstractNumId w:val="3"/>
  </w:num>
  <w:num w:numId="36">
    <w:abstractNumId w:val="31"/>
  </w:num>
  <w:num w:numId="37">
    <w:abstractNumId w:val="35"/>
  </w:num>
  <w:num w:numId="38">
    <w:abstractNumId w:val="10"/>
  </w:num>
  <w:num w:numId="39">
    <w:abstractNumId w:val="41"/>
  </w:num>
  <w:num w:numId="40">
    <w:abstractNumId w:val="26"/>
  </w:num>
  <w:num w:numId="41">
    <w:abstractNumId w:val="22"/>
  </w:num>
  <w:num w:numId="42">
    <w:abstractNumId w:val="13"/>
  </w:num>
  <w:num w:numId="4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0AAD"/>
    <w:rsid w:val="00011339"/>
    <w:rsid w:val="0001458A"/>
    <w:rsid w:val="0002479D"/>
    <w:rsid w:val="00036EDC"/>
    <w:rsid w:val="00040E71"/>
    <w:rsid w:val="0004733B"/>
    <w:rsid w:val="00063D82"/>
    <w:rsid w:val="000648B7"/>
    <w:rsid w:val="000666FC"/>
    <w:rsid w:val="0006713B"/>
    <w:rsid w:val="00070ABB"/>
    <w:rsid w:val="00070E7B"/>
    <w:rsid w:val="000725A5"/>
    <w:rsid w:val="00076968"/>
    <w:rsid w:val="00083485"/>
    <w:rsid w:val="000860B9"/>
    <w:rsid w:val="000B12CB"/>
    <w:rsid w:val="000B40A7"/>
    <w:rsid w:val="000C033B"/>
    <w:rsid w:val="000C5A6D"/>
    <w:rsid w:val="000D2614"/>
    <w:rsid w:val="000E2EB1"/>
    <w:rsid w:val="00100457"/>
    <w:rsid w:val="00105D8F"/>
    <w:rsid w:val="001247EB"/>
    <w:rsid w:val="00125082"/>
    <w:rsid w:val="00126E6D"/>
    <w:rsid w:val="00133F9F"/>
    <w:rsid w:val="0015477B"/>
    <w:rsid w:val="00154F1C"/>
    <w:rsid w:val="001553D2"/>
    <w:rsid w:val="00175C82"/>
    <w:rsid w:val="001845E1"/>
    <w:rsid w:val="00195DF7"/>
    <w:rsid w:val="001971B4"/>
    <w:rsid w:val="001A3C47"/>
    <w:rsid w:val="001A59EA"/>
    <w:rsid w:val="001A7757"/>
    <w:rsid w:val="001A7DD2"/>
    <w:rsid w:val="001B270E"/>
    <w:rsid w:val="001B603B"/>
    <w:rsid w:val="001D2781"/>
    <w:rsid w:val="001E3320"/>
    <w:rsid w:val="001E6F4E"/>
    <w:rsid w:val="001F20F5"/>
    <w:rsid w:val="001F5884"/>
    <w:rsid w:val="00221C9F"/>
    <w:rsid w:val="00225477"/>
    <w:rsid w:val="0023523E"/>
    <w:rsid w:val="002443F8"/>
    <w:rsid w:val="0024548E"/>
    <w:rsid w:val="002537F2"/>
    <w:rsid w:val="002608B9"/>
    <w:rsid w:val="00260AB3"/>
    <w:rsid w:val="00271AA0"/>
    <w:rsid w:val="00275108"/>
    <w:rsid w:val="00287F96"/>
    <w:rsid w:val="00295CD3"/>
    <w:rsid w:val="002B40C6"/>
    <w:rsid w:val="002B7C81"/>
    <w:rsid w:val="002D0D26"/>
    <w:rsid w:val="002D3904"/>
    <w:rsid w:val="002E7263"/>
    <w:rsid w:val="002F2EF0"/>
    <w:rsid w:val="002F3C9E"/>
    <w:rsid w:val="003135AA"/>
    <w:rsid w:val="0032018C"/>
    <w:rsid w:val="00325297"/>
    <w:rsid w:val="003279B9"/>
    <w:rsid w:val="003440C1"/>
    <w:rsid w:val="00344F8E"/>
    <w:rsid w:val="00345163"/>
    <w:rsid w:val="003512A4"/>
    <w:rsid w:val="00370E54"/>
    <w:rsid w:val="00375B4C"/>
    <w:rsid w:val="00396DC9"/>
    <w:rsid w:val="003A1CDF"/>
    <w:rsid w:val="003A331F"/>
    <w:rsid w:val="003B28FA"/>
    <w:rsid w:val="003D1E94"/>
    <w:rsid w:val="003D27F1"/>
    <w:rsid w:val="003E7D3B"/>
    <w:rsid w:val="00401119"/>
    <w:rsid w:val="00405321"/>
    <w:rsid w:val="00427894"/>
    <w:rsid w:val="004464E3"/>
    <w:rsid w:val="00460480"/>
    <w:rsid w:val="004607DE"/>
    <w:rsid w:val="00461AB0"/>
    <w:rsid w:val="004825CB"/>
    <w:rsid w:val="00496C05"/>
    <w:rsid w:val="004971CE"/>
    <w:rsid w:val="004B0BBD"/>
    <w:rsid w:val="004B3F94"/>
    <w:rsid w:val="004B4B9A"/>
    <w:rsid w:val="004D4636"/>
    <w:rsid w:val="004D4A55"/>
    <w:rsid w:val="004E1EB3"/>
    <w:rsid w:val="004F320E"/>
    <w:rsid w:val="00502186"/>
    <w:rsid w:val="00502A94"/>
    <w:rsid w:val="00507C8F"/>
    <w:rsid w:val="0051064D"/>
    <w:rsid w:val="005250DB"/>
    <w:rsid w:val="00525D15"/>
    <w:rsid w:val="00532B5F"/>
    <w:rsid w:val="00533313"/>
    <w:rsid w:val="00540020"/>
    <w:rsid w:val="00544A38"/>
    <w:rsid w:val="005533AE"/>
    <w:rsid w:val="00555B41"/>
    <w:rsid w:val="00557266"/>
    <w:rsid w:val="00562489"/>
    <w:rsid w:val="00571E8E"/>
    <w:rsid w:val="00572393"/>
    <w:rsid w:val="0058089D"/>
    <w:rsid w:val="00580D93"/>
    <w:rsid w:val="00586D24"/>
    <w:rsid w:val="005874DB"/>
    <w:rsid w:val="005938D0"/>
    <w:rsid w:val="005A1AFD"/>
    <w:rsid w:val="005B1275"/>
    <w:rsid w:val="005C23AD"/>
    <w:rsid w:val="005C55D0"/>
    <w:rsid w:val="005D41A3"/>
    <w:rsid w:val="005E2598"/>
    <w:rsid w:val="005E3562"/>
    <w:rsid w:val="005F6D36"/>
    <w:rsid w:val="006134F8"/>
    <w:rsid w:val="00631671"/>
    <w:rsid w:val="006542B9"/>
    <w:rsid w:val="006562E8"/>
    <w:rsid w:val="00666493"/>
    <w:rsid w:val="00671C69"/>
    <w:rsid w:val="006771CE"/>
    <w:rsid w:val="00685779"/>
    <w:rsid w:val="006909F4"/>
    <w:rsid w:val="00695F52"/>
    <w:rsid w:val="006B0F84"/>
    <w:rsid w:val="006B2B0F"/>
    <w:rsid w:val="006C3D7C"/>
    <w:rsid w:val="006C4643"/>
    <w:rsid w:val="006D6C0C"/>
    <w:rsid w:val="006E147E"/>
    <w:rsid w:val="006E434F"/>
    <w:rsid w:val="007153DA"/>
    <w:rsid w:val="00717D84"/>
    <w:rsid w:val="00725750"/>
    <w:rsid w:val="007322C3"/>
    <w:rsid w:val="007342DB"/>
    <w:rsid w:val="00741F50"/>
    <w:rsid w:val="00742B78"/>
    <w:rsid w:val="0074479F"/>
    <w:rsid w:val="00744CEC"/>
    <w:rsid w:val="007528F5"/>
    <w:rsid w:val="00767F78"/>
    <w:rsid w:val="00780598"/>
    <w:rsid w:val="0078301C"/>
    <w:rsid w:val="00785DA4"/>
    <w:rsid w:val="00795ACA"/>
    <w:rsid w:val="007A215A"/>
    <w:rsid w:val="007A2B44"/>
    <w:rsid w:val="007A4C4E"/>
    <w:rsid w:val="007B4075"/>
    <w:rsid w:val="007B71C8"/>
    <w:rsid w:val="007C0216"/>
    <w:rsid w:val="007C2551"/>
    <w:rsid w:val="007C37E1"/>
    <w:rsid w:val="007D35FB"/>
    <w:rsid w:val="007D5647"/>
    <w:rsid w:val="007F3DB8"/>
    <w:rsid w:val="007F60CE"/>
    <w:rsid w:val="00814EBA"/>
    <w:rsid w:val="00814FA0"/>
    <w:rsid w:val="00816C49"/>
    <w:rsid w:val="0082430E"/>
    <w:rsid w:val="00825AF2"/>
    <w:rsid w:val="0082663A"/>
    <w:rsid w:val="00842D03"/>
    <w:rsid w:val="00847293"/>
    <w:rsid w:val="00856708"/>
    <w:rsid w:val="00856779"/>
    <w:rsid w:val="00872A85"/>
    <w:rsid w:val="00883368"/>
    <w:rsid w:val="00886AC7"/>
    <w:rsid w:val="00893E0A"/>
    <w:rsid w:val="008A1091"/>
    <w:rsid w:val="008A3CF9"/>
    <w:rsid w:val="008A5596"/>
    <w:rsid w:val="008A56E9"/>
    <w:rsid w:val="008B3C9E"/>
    <w:rsid w:val="008B5F91"/>
    <w:rsid w:val="008B6271"/>
    <w:rsid w:val="008B7ED3"/>
    <w:rsid w:val="008C4459"/>
    <w:rsid w:val="008C51F9"/>
    <w:rsid w:val="008C7A1A"/>
    <w:rsid w:val="00900274"/>
    <w:rsid w:val="00904018"/>
    <w:rsid w:val="00935A91"/>
    <w:rsid w:val="00940140"/>
    <w:rsid w:val="009404B2"/>
    <w:rsid w:val="009421A4"/>
    <w:rsid w:val="00951B85"/>
    <w:rsid w:val="009715A9"/>
    <w:rsid w:val="00974D23"/>
    <w:rsid w:val="009836EC"/>
    <w:rsid w:val="00991FB8"/>
    <w:rsid w:val="009A7641"/>
    <w:rsid w:val="009C2E16"/>
    <w:rsid w:val="009C4CA4"/>
    <w:rsid w:val="009D19EE"/>
    <w:rsid w:val="009E38CC"/>
    <w:rsid w:val="009E5588"/>
    <w:rsid w:val="009E5681"/>
    <w:rsid w:val="009F0288"/>
    <w:rsid w:val="00A01274"/>
    <w:rsid w:val="00A1080E"/>
    <w:rsid w:val="00A138FA"/>
    <w:rsid w:val="00A23319"/>
    <w:rsid w:val="00A445C4"/>
    <w:rsid w:val="00A5345D"/>
    <w:rsid w:val="00A57A03"/>
    <w:rsid w:val="00A60FCB"/>
    <w:rsid w:val="00A71FD8"/>
    <w:rsid w:val="00A77FB6"/>
    <w:rsid w:val="00A86DC6"/>
    <w:rsid w:val="00A9161D"/>
    <w:rsid w:val="00A96745"/>
    <w:rsid w:val="00AB465F"/>
    <w:rsid w:val="00AB75DD"/>
    <w:rsid w:val="00AC5F0B"/>
    <w:rsid w:val="00AC612A"/>
    <w:rsid w:val="00AD389B"/>
    <w:rsid w:val="00AE0DE0"/>
    <w:rsid w:val="00AE53FC"/>
    <w:rsid w:val="00AF5B79"/>
    <w:rsid w:val="00AF650A"/>
    <w:rsid w:val="00B10F26"/>
    <w:rsid w:val="00B11B17"/>
    <w:rsid w:val="00B27962"/>
    <w:rsid w:val="00B32820"/>
    <w:rsid w:val="00B3726E"/>
    <w:rsid w:val="00B37382"/>
    <w:rsid w:val="00B4181A"/>
    <w:rsid w:val="00B44EA3"/>
    <w:rsid w:val="00B4755B"/>
    <w:rsid w:val="00B50D87"/>
    <w:rsid w:val="00B52FBD"/>
    <w:rsid w:val="00B57717"/>
    <w:rsid w:val="00B658AF"/>
    <w:rsid w:val="00B771B8"/>
    <w:rsid w:val="00B77CE3"/>
    <w:rsid w:val="00B8323E"/>
    <w:rsid w:val="00B9002B"/>
    <w:rsid w:val="00B926C4"/>
    <w:rsid w:val="00B94604"/>
    <w:rsid w:val="00BA1EBD"/>
    <w:rsid w:val="00BA313A"/>
    <w:rsid w:val="00BC7BCC"/>
    <w:rsid w:val="00BD341A"/>
    <w:rsid w:val="00BD5EB8"/>
    <w:rsid w:val="00BD637C"/>
    <w:rsid w:val="00BF23E8"/>
    <w:rsid w:val="00C05E1D"/>
    <w:rsid w:val="00C06419"/>
    <w:rsid w:val="00C07E96"/>
    <w:rsid w:val="00C24D0D"/>
    <w:rsid w:val="00C34033"/>
    <w:rsid w:val="00C42E96"/>
    <w:rsid w:val="00C4553C"/>
    <w:rsid w:val="00C4753A"/>
    <w:rsid w:val="00C54282"/>
    <w:rsid w:val="00C806D0"/>
    <w:rsid w:val="00C92A1E"/>
    <w:rsid w:val="00C952AA"/>
    <w:rsid w:val="00C97D3F"/>
    <w:rsid w:val="00CA345D"/>
    <w:rsid w:val="00CA3850"/>
    <w:rsid w:val="00CB430E"/>
    <w:rsid w:val="00CB5E24"/>
    <w:rsid w:val="00CD6196"/>
    <w:rsid w:val="00CE0277"/>
    <w:rsid w:val="00CE041E"/>
    <w:rsid w:val="00CE326E"/>
    <w:rsid w:val="00CE5CD3"/>
    <w:rsid w:val="00D13700"/>
    <w:rsid w:val="00D173B0"/>
    <w:rsid w:val="00D27B52"/>
    <w:rsid w:val="00D32D84"/>
    <w:rsid w:val="00D467E3"/>
    <w:rsid w:val="00D512C9"/>
    <w:rsid w:val="00D62F40"/>
    <w:rsid w:val="00D63549"/>
    <w:rsid w:val="00D66EE0"/>
    <w:rsid w:val="00D75182"/>
    <w:rsid w:val="00D764F3"/>
    <w:rsid w:val="00D9319E"/>
    <w:rsid w:val="00D93EFB"/>
    <w:rsid w:val="00DA29E8"/>
    <w:rsid w:val="00DA75F5"/>
    <w:rsid w:val="00DC55D3"/>
    <w:rsid w:val="00E0042B"/>
    <w:rsid w:val="00E05EF5"/>
    <w:rsid w:val="00E14773"/>
    <w:rsid w:val="00E231E3"/>
    <w:rsid w:val="00E24316"/>
    <w:rsid w:val="00E256D0"/>
    <w:rsid w:val="00E34794"/>
    <w:rsid w:val="00E37D31"/>
    <w:rsid w:val="00E414E1"/>
    <w:rsid w:val="00E61C55"/>
    <w:rsid w:val="00E65624"/>
    <w:rsid w:val="00E70A2E"/>
    <w:rsid w:val="00E70ACC"/>
    <w:rsid w:val="00E70FDC"/>
    <w:rsid w:val="00E745E8"/>
    <w:rsid w:val="00E75953"/>
    <w:rsid w:val="00E802C0"/>
    <w:rsid w:val="00E83DB7"/>
    <w:rsid w:val="00E9094B"/>
    <w:rsid w:val="00E9170D"/>
    <w:rsid w:val="00EA59F1"/>
    <w:rsid w:val="00EA78D0"/>
    <w:rsid w:val="00EB63D4"/>
    <w:rsid w:val="00EB7EA5"/>
    <w:rsid w:val="00EE096A"/>
    <w:rsid w:val="00EE0E57"/>
    <w:rsid w:val="00EE206A"/>
    <w:rsid w:val="00EE517D"/>
    <w:rsid w:val="00EF0457"/>
    <w:rsid w:val="00EF3986"/>
    <w:rsid w:val="00F26FF4"/>
    <w:rsid w:val="00F31D02"/>
    <w:rsid w:val="00F42BA9"/>
    <w:rsid w:val="00F4386E"/>
    <w:rsid w:val="00F45071"/>
    <w:rsid w:val="00F56889"/>
    <w:rsid w:val="00F620F9"/>
    <w:rsid w:val="00F62275"/>
    <w:rsid w:val="00F873C6"/>
    <w:rsid w:val="00F90B48"/>
    <w:rsid w:val="00F97569"/>
    <w:rsid w:val="00FA743D"/>
    <w:rsid w:val="00FB4AB8"/>
    <w:rsid w:val="00FC6796"/>
    <w:rsid w:val="00FD0B58"/>
    <w:rsid w:val="00FE019D"/>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3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666493"/>
    <w:pPr>
      <w:autoSpaceDE w:val="0"/>
      <w:autoSpaceDN w:val="0"/>
      <w:adjustRightInd w:val="0"/>
      <w:spacing w:after="0" w:line="240" w:lineRule="auto"/>
    </w:pPr>
    <w:rPr>
      <w:rFonts w:ascii="DIN-Light" w:hAnsi="DIN-Light" w:cs="DIN-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666493"/>
    <w:pPr>
      <w:autoSpaceDE w:val="0"/>
      <w:autoSpaceDN w:val="0"/>
      <w:adjustRightInd w:val="0"/>
      <w:spacing w:after="0" w:line="240" w:lineRule="auto"/>
    </w:pPr>
    <w:rPr>
      <w:rFonts w:ascii="DIN-Light" w:hAnsi="DIN-Light" w:cs="DIN-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17461747">
      <w:bodyDiv w:val="1"/>
      <w:marLeft w:val="0"/>
      <w:marRight w:val="0"/>
      <w:marTop w:val="0"/>
      <w:marBottom w:val="0"/>
      <w:divBdr>
        <w:top w:val="none" w:sz="0" w:space="0" w:color="auto"/>
        <w:left w:val="none" w:sz="0" w:space="0" w:color="auto"/>
        <w:bottom w:val="none" w:sz="0" w:space="0" w:color="auto"/>
        <w:right w:val="none" w:sz="0" w:space="0" w:color="auto"/>
      </w:divBdr>
      <w:divsChild>
        <w:div w:id="241259920">
          <w:marLeft w:val="0"/>
          <w:marRight w:val="0"/>
          <w:marTop w:val="0"/>
          <w:marBottom w:val="0"/>
          <w:divBdr>
            <w:top w:val="none" w:sz="0" w:space="0" w:color="auto"/>
            <w:left w:val="none" w:sz="0" w:space="0" w:color="auto"/>
            <w:bottom w:val="none" w:sz="0" w:space="0" w:color="auto"/>
            <w:right w:val="none" w:sz="0" w:space="0" w:color="auto"/>
          </w:divBdr>
          <w:divsChild>
            <w:div w:id="122822256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27438837">
      <w:bodyDiv w:val="1"/>
      <w:marLeft w:val="0"/>
      <w:marRight w:val="0"/>
      <w:marTop w:val="0"/>
      <w:marBottom w:val="0"/>
      <w:divBdr>
        <w:top w:val="none" w:sz="0" w:space="0" w:color="auto"/>
        <w:left w:val="none" w:sz="0" w:space="0" w:color="auto"/>
        <w:bottom w:val="none" w:sz="0" w:space="0" w:color="auto"/>
        <w:right w:val="none" w:sz="0" w:space="0" w:color="auto"/>
      </w:divBdr>
      <w:divsChild>
        <w:div w:id="1464496086">
          <w:marLeft w:val="0"/>
          <w:marRight w:val="0"/>
          <w:marTop w:val="0"/>
          <w:marBottom w:val="0"/>
          <w:divBdr>
            <w:top w:val="none" w:sz="0" w:space="0" w:color="auto"/>
            <w:left w:val="none" w:sz="0" w:space="0" w:color="auto"/>
            <w:bottom w:val="none" w:sz="0" w:space="0" w:color="auto"/>
            <w:right w:val="none" w:sz="0" w:space="0" w:color="auto"/>
          </w:divBdr>
          <w:divsChild>
            <w:div w:id="1682583187">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116370583">
      <w:bodyDiv w:val="1"/>
      <w:marLeft w:val="0"/>
      <w:marRight w:val="0"/>
      <w:marTop w:val="0"/>
      <w:marBottom w:val="0"/>
      <w:divBdr>
        <w:top w:val="none" w:sz="0" w:space="0" w:color="auto"/>
        <w:left w:val="none" w:sz="0" w:space="0" w:color="auto"/>
        <w:bottom w:val="none" w:sz="0" w:space="0" w:color="auto"/>
        <w:right w:val="none" w:sz="0" w:space="0" w:color="auto"/>
      </w:divBdr>
      <w:divsChild>
        <w:div w:id="1456286941">
          <w:marLeft w:val="0"/>
          <w:marRight w:val="0"/>
          <w:marTop w:val="0"/>
          <w:marBottom w:val="0"/>
          <w:divBdr>
            <w:top w:val="none" w:sz="0" w:space="0" w:color="auto"/>
            <w:left w:val="none" w:sz="0" w:space="0" w:color="auto"/>
            <w:bottom w:val="none" w:sz="0" w:space="0" w:color="auto"/>
            <w:right w:val="none" w:sz="0" w:space="0" w:color="auto"/>
          </w:divBdr>
          <w:divsChild>
            <w:div w:id="467670620">
              <w:marLeft w:val="0"/>
              <w:marRight w:val="0"/>
              <w:marTop w:val="0"/>
              <w:marBottom w:val="0"/>
              <w:divBdr>
                <w:top w:val="none" w:sz="0" w:space="0" w:color="auto"/>
                <w:left w:val="none" w:sz="0" w:space="0" w:color="auto"/>
                <w:bottom w:val="none" w:sz="0" w:space="0" w:color="auto"/>
                <w:right w:val="none" w:sz="0" w:space="0" w:color="auto"/>
              </w:divBdr>
              <w:divsChild>
                <w:div w:id="367334786">
                  <w:marLeft w:val="0"/>
                  <w:marRight w:val="0"/>
                  <w:marTop w:val="0"/>
                  <w:marBottom w:val="0"/>
                  <w:divBdr>
                    <w:top w:val="none" w:sz="0" w:space="0" w:color="auto"/>
                    <w:left w:val="none" w:sz="0" w:space="0" w:color="auto"/>
                    <w:bottom w:val="none" w:sz="0" w:space="0" w:color="auto"/>
                    <w:right w:val="none" w:sz="0" w:space="0" w:color="auto"/>
                  </w:divBdr>
                  <w:divsChild>
                    <w:div w:id="6685651">
                      <w:marLeft w:val="0"/>
                      <w:marRight w:val="0"/>
                      <w:marTop w:val="0"/>
                      <w:marBottom w:val="300"/>
                      <w:divBdr>
                        <w:top w:val="none" w:sz="0" w:space="0" w:color="auto"/>
                        <w:left w:val="none" w:sz="0" w:space="0" w:color="auto"/>
                        <w:bottom w:val="none" w:sz="0" w:space="0" w:color="auto"/>
                        <w:right w:val="none" w:sz="0" w:space="0" w:color="auto"/>
                      </w:divBdr>
                      <w:divsChild>
                        <w:div w:id="9432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633053554">
      <w:bodyDiv w:val="1"/>
      <w:marLeft w:val="0"/>
      <w:marRight w:val="0"/>
      <w:marTop w:val="0"/>
      <w:marBottom w:val="0"/>
      <w:divBdr>
        <w:top w:val="none" w:sz="0" w:space="0" w:color="auto"/>
        <w:left w:val="none" w:sz="0" w:space="0" w:color="auto"/>
        <w:bottom w:val="none" w:sz="0" w:space="0" w:color="auto"/>
        <w:right w:val="none" w:sz="0" w:space="0" w:color="auto"/>
      </w:divBdr>
      <w:divsChild>
        <w:div w:id="1547571971">
          <w:marLeft w:val="0"/>
          <w:marRight w:val="0"/>
          <w:marTop w:val="0"/>
          <w:marBottom w:val="0"/>
          <w:divBdr>
            <w:top w:val="none" w:sz="0" w:space="0" w:color="auto"/>
            <w:left w:val="none" w:sz="0" w:space="0" w:color="auto"/>
            <w:bottom w:val="none" w:sz="0" w:space="0" w:color="auto"/>
            <w:right w:val="none" w:sz="0" w:space="0" w:color="auto"/>
          </w:divBdr>
          <w:divsChild>
            <w:div w:id="191011438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2034577395">
      <w:bodyDiv w:val="1"/>
      <w:marLeft w:val="0"/>
      <w:marRight w:val="0"/>
      <w:marTop w:val="0"/>
      <w:marBottom w:val="0"/>
      <w:divBdr>
        <w:top w:val="none" w:sz="0" w:space="0" w:color="auto"/>
        <w:left w:val="none" w:sz="0" w:space="0" w:color="auto"/>
        <w:bottom w:val="none" w:sz="0" w:space="0" w:color="auto"/>
        <w:right w:val="none" w:sz="0" w:space="0" w:color="auto"/>
      </w:divBdr>
      <w:divsChild>
        <w:div w:id="1883595726">
          <w:marLeft w:val="0"/>
          <w:marRight w:val="0"/>
          <w:marTop w:val="0"/>
          <w:marBottom w:val="0"/>
          <w:divBdr>
            <w:top w:val="none" w:sz="0" w:space="0" w:color="auto"/>
            <w:left w:val="none" w:sz="0" w:space="0" w:color="auto"/>
            <w:bottom w:val="none" w:sz="0" w:space="0" w:color="auto"/>
            <w:right w:val="none" w:sz="0" w:space="0" w:color="auto"/>
          </w:divBdr>
          <w:divsChild>
            <w:div w:id="346441819">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Light">
    <w:altName w:val="Cambria"/>
    <w:panose1 w:val="00000000000000000000"/>
    <w:charset w:val="4D"/>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dvP410358">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4859E0"/>
    <w:rsid w:val="004866B8"/>
    <w:rsid w:val="0084452C"/>
    <w:rsid w:val="00AF3E27"/>
    <w:rsid w:val="00B20720"/>
    <w:rsid w:val="00B4525F"/>
    <w:rsid w:val="00DA74F2"/>
    <w:rsid w:val="00E24747"/>
    <w:rsid w:val="00FF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88154DCC-58C2-421F-A176-2CFE1FDD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0</TotalTime>
  <Pages>11</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Petra</cp:lastModifiedBy>
  <cp:revision>3</cp:revision>
  <cp:lastPrinted>2014-11-11T01:42:00Z</cp:lastPrinted>
  <dcterms:created xsi:type="dcterms:W3CDTF">2015-11-15T23:19:00Z</dcterms:created>
  <dcterms:modified xsi:type="dcterms:W3CDTF">2015-11-16T01:04:00Z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