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ED" w:rsidRDefault="00725499" w:rsidP="006171ED">
      <w:r>
        <w:rPr>
          <w:noProof/>
          <w:sz w:val="56"/>
          <w:szCs w:val="56"/>
          <w:lang w:eastAsia="en-AU"/>
        </w:rPr>
        <w:drawing>
          <wp:inline distT="0" distB="0" distL="0" distR="0" wp14:anchorId="2A5A6D50" wp14:editId="6A20718C">
            <wp:extent cx="5272394" cy="1304014"/>
            <wp:effectExtent l="0" t="0" r="5080" b="0"/>
            <wp:docPr id="182" name="Picture 182" descr="C:\Users\82181211\AppData\Local\Microsoft\Windows\Temporary Internet Files\Content.Outlook\4MX023S2\ABDR_logo_2014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2181211\AppData\Local\Microsoft\Windows\Temporary Internet Files\Content.Outlook\4MX023S2\ABDR_logo_2014021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5581" b="34720"/>
                    <a:stretch/>
                  </pic:blipFill>
                  <pic:spPr bwMode="auto">
                    <a:xfrm>
                      <a:off x="0" y="0"/>
                      <a:ext cx="5282275" cy="1306458"/>
                    </a:xfrm>
                    <a:prstGeom prst="rect">
                      <a:avLst/>
                    </a:prstGeom>
                    <a:noFill/>
                    <a:ln>
                      <a:noFill/>
                    </a:ln>
                    <a:extLst>
                      <a:ext uri="{53640926-AAD7-44D8-BBD7-CCE9431645EC}">
                        <a14:shadowObscured xmlns:a14="http://schemas.microsoft.com/office/drawing/2010/main"/>
                      </a:ext>
                    </a:extLst>
                  </pic:spPr>
                </pic:pic>
              </a:graphicData>
            </a:graphic>
          </wp:inline>
        </w:drawing>
      </w:r>
      <w:r w:rsidR="006171ED">
        <w:tab/>
      </w:r>
      <w:r w:rsidR="006171ED">
        <w:tab/>
      </w:r>
      <w:r w:rsidR="006171ED">
        <w:tab/>
      </w:r>
      <w:r w:rsidR="006171ED">
        <w:tab/>
      </w:r>
      <w:r w:rsidR="006171ED">
        <w:tab/>
      </w:r>
      <w:r w:rsidR="006171ED">
        <w:tab/>
      </w:r>
      <w:r w:rsidR="006171ED">
        <w:tab/>
      </w:r>
      <w:r w:rsidR="006171ED">
        <w:tab/>
      </w:r>
    </w:p>
    <w:p w:rsidR="008F7EFF" w:rsidRDefault="00B624F5" w:rsidP="00725499">
      <w:pPr>
        <w:pStyle w:val="Heading1"/>
        <w:jc w:val="center"/>
      </w:pPr>
      <w:r>
        <w:t>Privacy Consenting Tip Sheet</w:t>
      </w:r>
    </w:p>
    <w:p w:rsidR="008F7EFF" w:rsidRDefault="008F7EFF" w:rsidP="006D5A2C">
      <w:pPr>
        <w:spacing w:after="0"/>
      </w:pPr>
      <w:r>
        <w:t xml:space="preserve">The </w:t>
      </w:r>
      <w:r w:rsidR="006F0871">
        <w:t>P</w:t>
      </w:r>
      <w:r>
        <w:t xml:space="preserve">rivacy </w:t>
      </w:r>
      <w:r w:rsidR="006F0871">
        <w:t>A</w:t>
      </w:r>
      <w:r>
        <w:t xml:space="preserve">ct 1988 has been amended and important changes to the act have commenced and are being incorporated into ABDR on 26 January 2015. As part of this change the NBA has published its new privacy policy which is available at </w:t>
      </w:r>
      <w:hyperlink r:id="rId10" w:history="1">
        <w:r w:rsidR="006F0871" w:rsidRPr="009B7121">
          <w:rPr>
            <w:rStyle w:val="Hyperlink"/>
          </w:rPr>
          <w:t>www.blood.gov.au/abdr</w:t>
        </w:r>
      </w:hyperlink>
      <w:r w:rsidR="006F0871">
        <w:t xml:space="preserve"> </w:t>
      </w:r>
      <w:r>
        <w:t xml:space="preserve">. </w:t>
      </w:r>
      <w:r w:rsidR="006D5A2C">
        <w:t>For detailed information on implementation at</w:t>
      </w:r>
      <w:r w:rsidR="00FD4C4A">
        <w:t xml:space="preserve"> the</w:t>
      </w:r>
      <w:r w:rsidR="006D5A2C">
        <w:t xml:space="preserve"> Haematology Treatment Centre please refer to </w:t>
      </w:r>
      <w:hyperlink r:id="rId11" w:history="1">
        <w:r w:rsidR="006D5A2C" w:rsidRPr="00CA6087">
          <w:rPr>
            <w:rStyle w:val="Hyperlink"/>
          </w:rPr>
          <w:t>www.blood.gov.au/system/files/documents/htc-implementation-protocol.pdf</w:t>
        </w:r>
      </w:hyperlink>
      <w:r w:rsidR="006D5A2C">
        <w:t xml:space="preserve">. </w:t>
      </w:r>
    </w:p>
    <w:p w:rsidR="006D5A2C" w:rsidRDefault="006D5A2C" w:rsidP="006D5A2C">
      <w:pPr>
        <w:spacing w:after="0"/>
      </w:pPr>
    </w:p>
    <w:p w:rsidR="008F7EFF" w:rsidRDefault="008F7EFF" w:rsidP="006D5A2C">
      <w:pPr>
        <w:spacing w:after="0"/>
        <w:rPr>
          <w:rFonts w:ascii="Arial" w:hAnsi="Arial" w:cs="Arial"/>
          <w:color w:val="C60C30"/>
          <w:sz w:val="28"/>
          <w:szCs w:val="28"/>
        </w:rPr>
      </w:pPr>
      <w:r w:rsidRPr="00B45A6E">
        <w:rPr>
          <w:rFonts w:ascii="Arial" w:hAnsi="Arial" w:cs="Arial"/>
          <w:color w:val="C60C30"/>
          <w:sz w:val="28"/>
          <w:szCs w:val="28"/>
        </w:rPr>
        <w:t>Update</w:t>
      </w:r>
      <w:r>
        <w:rPr>
          <w:rFonts w:ascii="Arial" w:hAnsi="Arial" w:cs="Arial"/>
          <w:color w:val="C60C30"/>
          <w:sz w:val="28"/>
          <w:szCs w:val="28"/>
        </w:rPr>
        <w:t>s</w:t>
      </w:r>
      <w:r w:rsidRPr="00B45A6E">
        <w:rPr>
          <w:rFonts w:ascii="Arial" w:hAnsi="Arial" w:cs="Arial"/>
          <w:color w:val="C60C30"/>
          <w:sz w:val="28"/>
          <w:szCs w:val="28"/>
        </w:rPr>
        <w:t xml:space="preserve"> on Patient Summary Tab </w:t>
      </w:r>
    </w:p>
    <w:p w:rsidR="008F7EFF" w:rsidRDefault="008F7EFF" w:rsidP="008F7EFF">
      <w:pPr>
        <w:pStyle w:val="Heading3"/>
        <w:rPr>
          <w:rFonts w:ascii="Calibri" w:hAnsi="Calibri" w:cs="Calibri"/>
          <w:color w:val="auto"/>
          <w:sz w:val="22"/>
          <w:szCs w:val="22"/>
        </w:rPr>
      </w:pPr>
      <w:r w:rsidRPr="00B45A6E">
        <w:rPr>
          <w:rFonts w:ascii="Calibri" w:hAnsi="Calibri" w:cs="Calibri"/>
          <w:color w:val="auto"/>
          <w:sz w:val="22"/>
          <w:szCs w:val="22"/>
        </w:rPr>
        <w:t>If the patient</w:t>
      </w:r>
      <w:r>
        <w:rPr>
          <w:rFonts w:ascii="Calibri" w:hAnsi="Calibri" w:cs="Calibri"/>
          <w:color w:val="auto"/>
          <w:sz w:val="22"/>
          <w:szCs w:val="22"/>
        </w:rPr>
        <w:t>s’ consent status is not recorded</w:t>
      </w:r>
      <w:r w:rsidR="00B624F5">
        <w:rPr>
          <w:rFonts w:ascii="Calibri" w:hAnsi="Calibri" w:cs="Calibri"/>
          <w:color w:val="auto"/>
          <w:sz w:val="22"/>
          <w:szCs w:val="22"/>
        </w:rPr>
        <w:t xml:space="preserve"> or is saved as</w:t>
      </w:r>
      <w:r>
        <w:rPr>
          <w:rFonts w:ascii="Calibri" w:hAnsi="Calibri" w:cs="Calibri"/>
          <w:color w:val="auto"/>
          <w:sz w:val="22"/>
          <w:szCs w:val="22"/>
        </w:rPr>
        <w:t xml:space="preserve"> ‘Do N</w:t>
      </w:r>
      <w:r w:rsidR="00B624F5">
        <w:rPr>
          <w:rFonts w:ascii="Calibri" w:hAnsi="Calibri" w:cs="Calibri"/>
          <w:color w:val="auto"/>
          <w:sz w:val="22"/>
          <w:szCs w:val="22"/>
        </w:rPr>
        <w:t>ot Consent’</w:t>
      </w:r>
      <w:r>
        <w:rPr>
          <w:rFonts w:ascii="Calibri" w:hAnsi="Calibri" w:cs="Calibri"/>
          <w:color w:val="auto"/>
          <w:sz w:val="22"/>
          <w:szCs w:val="22"/>
        </w:rPr>
        <w:t xml:space="preserve"> then the below box will appear on the</w:t>
      </w:r>
      <w:r w:rsidRPr="00B45A6E">
        <w:rPr>
          <w:rFonts w:ascii="Calibri" w:hAnsi="Calibri" w:cs="Calibri"/>
          <w:color w:val="auto"/>
          <w:sz w:val="22"/>
          <w:szCs w:val="22"/>
        </w:rPr>
        <w:t xml:space="preserve"> </w:t>
      </w:r>
      <w:r>
        <w:rPr>
          <w:rFonts w:ascii="Calibri" w:hAnsi="Calibri" w:cs="Calibri"/>
          <w:color w:val="auto"/>
          <w:sz w:val="22"/>
          <w:szCs w:val="22"/>
        </w:rPr>
        <w:t>left hand side patient s</w:t>
      </w:r>
      <w:r w:rsidRPr="00B45A6E">
        <w:rPr>
          <w:rFonts w:ascii="Calibri" w:hAnsi="Calibri" w:cs="Calibri"/>
          <w:color w:val="auto"/>
          <w:sz w:val="22"/>
          <w:szCs w:val="22"/>
        </w:rPr>
        <w:t xml:space="preserve">ummary tab </w:t>
      </w:r>
      <w:r>
        <w:rPr>
          <w:rFonts w:ascii="Calibri" w:hAnsi="Calibri" w:cs="Calibri"/>
          <w:color w:val="auto"/>
          <w:sz w:val="22"/>
          <w:szCs w:val="22"/>
        </w:rPr>
        <w:t>in ABDR. This is to notify ABDR users that the patient needs to record a consent status</w:t>
      </w:r>
      <w:r w:rsidR="00B624F5">
        <w:rPr>
          <w:rFonts w:ascii="Calibri" w:hAnsi="Calibri" w:cs="Calibri"/>
          <w:color w:val="auto"/>
          <w:sz w:val="22"/>
          <w:szCs w:val="22"/>
        </w:rPr>
        <w:t xml:space="preserve"> at their next possible convenience</w:t>
      </w:r>
      <w:r>
        <w:rPr>
          <w:rFonts w:ascii="Calibri" w:hAnsi="Calibri" w:cs="Calibri"/>
          <w:color w:val="auto"/>
          <w:sz w:val="22"/>
          <w:szCs w:val="22"/>
        </w:rPr>
        <w:t xml:space="preserve"> or that if they do not consent that their data will not be editable. </w:t>
      </w:r>
    </w:p>
    <w:p w:rsidR="008F7EFF" w:rsidRDefault="008F7EFF" w:rsidP="006D5A2C">
      <w:pPr>
        <w:pStyle w:val="Heading3"/>
        <w:spacing w:before="0" w:after="0"/>
        <w:jc w:val="center"/>
      </w:pPr>
      <w:r w:rsidRPr="00D31075">
        <w:rPr>
          <w:rFonts w:ascii="Tahoma" w:hAnsi="Tahoma" w:cs="Tahoma"/>
          <w:noProof/>
          <w:color w:val="1E1E1E"/>
          <w:lang w:eastAsia="en-AU"/>
        </w:rPr>
        <w:drawing>
          <wp:inline distT="0" distB="0" distL="0" distR="0" wp14:anchorId="395441B2" wp14:editId="70692992">
            <wp:extent cx="5295238" cy="980952"/>
            <wp:effectExtent l="19050" t="19050" r="2032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95238" cy="980952"/>
                    </a:xfrm>
                    <a:prstGeom prst="rect">
                      <a:avLst/>
                    </a:prstGeom>
                    <a:ln w="3175">
                      <a:solidFill>
                        <a:schemeClr val="tx1"/>
                      </a:solidFill>
                    </a:ln>
                  </pic:spPr>
                </pic:pic>
              </a:graphicData>
            </a:graphic>
          </wp:inline>
        </w:drawing>
      </w:r>
    </w:p>
    <w:p w:rsidR="008F7EFF" w:rsidRDefault="008F7EFF" w:rsidP="006D5A2C">
      <w:pPr>
        <w:pStyle w:val="Heading3"/>
        <w:spacing w:before="0" w:after="0"/>
      </w:pPr>
    </w:p>
    <w:p w:rsidR="008F7EFF" w:rsidRDefault="008F7EFF" w:rsidP="006D5A2C">
      <w:pPr>
        <w:pStyle w:val="Heading3"/>
        <w:spacing w:before="0" w:after="0"/>
      </w:pPr>
      <w:r>
        <w:t xml:space="preserve">New </w:t>
      </w:r>
      <w:r w:rsidR="00C678E8">
        <w:t xml:space="preserve">Privacy </w:t>
      </w:r>
      <w:r>
        <w:t>Consent Tab</w:t>
      </w:r>
    </w:p>
    <w:p w:rsidR="008F7EFF" w:rsidRDefault="008F7EFF" w:rsidP="008F7EFF">
      <w:pPr>
        <w:rPr>
          <w:rFonts w:ascii="Tahoma" w:hAnsi="Tahoma" w:cs="Tahoma"/>
          <w:sz w:val="23"/>
          <w:szCs w:val="23"/>
          <w:u w:val="single"/>
        </w:rPr>
      </w:pPr>
      <w:r>
        <w:t>Any ABDR u</w:t>
      </w:r>
      <w:r w:rsidRPr="00B45A6E">
        <w:t>sers can add the privacy consent status i</w:t>
      </w:r>
      <w:r>
        <w:t>n ABDR on behalf of the patient</w:t>
      </w:r>
      <w:r w:rsidRPr="00B45A6E">
        <w:t xml:space="preserve"> using the new Privacy Consent tab under</w:t>
      </w:r>
      <w:r>
        <w:t xml:space="preserve"> the</w:t>
      </w:r>
      <w:r w:rsidR="00AC6DB3">
        <w:t xml:space="preserve"> Patient Details </w:t>
      </w:r>
      <w:r w:rsidRPr="00B45A6E">
        <w:t>section</w:t>
      </w:r>
      <w:r>
        <w:t>.</w:t>
      </w:r>
      <w:r w:rsidRPr="00B45A6E">
        <w:t xml:space="preserve"> </w:t>
      </w:r>
    </w:p>
    <w:p w:rsidR="008F7EFF" w:rsidRDefault="00AC6DB3" w:rsidP="00AC6DB3">
      <w:pPr>
        <w:jc w:val="center"/>
      </w:pPr>
      <w:r>
        <w:rPr>
          <w:noProof/>
          <w:lang w:eastAsia="en-AU"/>
        </w:rPr>
        <w:drawing>
          <wp:inline distT="0" distB="0" distL="0" distR="0" wp14:anchorId="5D2C2E0C" wp14:editId="02EF5E27">
            <wp:extent cx="4087038" cy="1540064"/>
            <wp:effectExtent l="19050" t="19050" r="2794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84966" cy="1539283"/>
                    </a:xfrm>
                    <a:prstGeom prst="rect">
                      <a:avLst/>
                    </a:prstGeom>
                    <a:ln w="3175">
                      <a:solidFill>
                        <a:schemeClr val="tx1"/>
                      </a:solidFill>
                    </a:ln>
                  </pic:spPr>
                </pic:pic>
              </a:graphicData>
            </a:graphic>
          </wp:inline>
        </w:drawing>
      </w:r>
    </w:p>
    <w:p w:rsidR="008F7EFF" w:rsidRDefault="008F7EFF" w:rsidP="008F7EFF">
      <w:r>
        <w:t>This tab can be actioned when contact is next made with the patient, but until this date any details can be added into ABDR as required.</w:t>
      </w:r>
    </w:p>
    <w:p w:rsidR="006D5A2C" w:rsidRDefault="006D5A2C" w:rsidP="008F7EFF"/>
    <w:p w:rsidR="006D5A2C" w:rsidRDefault="006D5A2C" w:rsidP="008F7EFF"/>
    <w:p w:rsidR="006D5A2C" w:rsidRDefault="006D5A2C" w:rsidP="008F7EFF"/>
    <w:p w:rsidR="006D5A2C" w:rsidRDefault="006D5A2C" w:rsidP="008F7EFF"/>
    <w:p w:rsidR="006D5A2C" w:rsidRDefault="006D5A2C" w:rsidP="008F7EFF"/>
    <w:p w:rsidR="008F7EFF" w:rsidRDefault="008F7EFF" w:rsidP="008F7EFF">
      <w:pPr>
        <w:rPr>
          <w:rFonts w:ascii="Arial" w:hAnsi="Arial" w:cs="Arial"/>
          <w:color w:val="C60C30"/>
          <w:sz w:val="28"/>
          <w:szCs w:val="28"/>
        </w:rPr>
      </w:pPr>
      <w:r>
        <w:rPr>
          <w:rFonts w:ascii="Arial" w:hAnsi="Arial" w:cs="Arial"/>
          <w:color w:val="C60C30"/>
          <w:sz w:val="28"/>
          <w:szCs w:val="28"/>
        </w:rPr>
        <w:lastRenderedPageBreak/>
        <w:t xml:space="preserve">Actioning the New </w:t>
      </w:r>
      <w:r w:rsidRPr="00B45A6E">
        <w:rPr>
          <w:rFonts w:ascii="Arial" w:hAnsi="Arial" w:cs="Arial"/>
          <w:color w:val="C60C30"/>
          <w:sz w:val="28"/>
          <w:szCs w:val="28"/>
        </w:rPr>
        <w:t xml:space="preserve">Privacy </w:t>
      </w:r>
      <w:r>
        <w:rPr>
          <w:rFonts w:ascii="Arial" w:hAnsi="Arial" w:cs="Arial"/>
          <w:color w:val="C60C30"/>
          <w:sz w:val="28"/>
          <w:szCs w:val="28"/>
        </w:rPr>
        <w:t>C</w:t>
      </w:r>
      <w:r w:rsidRPr="00B45A6E">
        <w:rPr>
          <w:rFonts w:ascii="Arial" w:hAnsi="Arial" w:cs="Arial"/>
          <w:color w:val="C60C30"/>
          <w:sz w:val="28"/>
          <w:szCs w:val="28"/>
        </w:rPr>
        <w:t xml:space="preserve">onsent </w:t>
      </w:r>
    </w:p>
    <w:p w:rsidR="008F7EFF" w:rsidRDefault="008F7EFF" w:rsidP="008F7EFF">
      <w:r w:rsidRPr="00E7282B">
        <w:t>On</w:t>
      </w:r>
      <w:r>
        <w:t>ce you click on the</w:t>
      </w:r>
      <w:r w:rsidRPr="00E7282B">
        <w:t xml:space="preserve"> new Privacy consent button, a page </w:t>
      </w:r>
      <w:r>
        <w:t xml:space="preserve">will open </w:t>
      </w:r>
      <w:r w:rsidRPr="00E7282B">
        <w:t xml:space="preserve">where privacy consent </w:t>
      </w:r>
      <w:r>
        <w:t>can be documented</w:t>
      </w:r>
      <w:r w:rsidRPr="00E7282B">
        <w:t xml:space="preserve">. </w:t>
      </w:r>
      <w:r w:rsidR="006E76A8">
        <w:t xml:space="preserve">Please choose the consent status, date of consent and add any comments as required. </w:t>
      </w:r>
      <w:r w:rsidRPr="00B45A6E">
        <w:t>A file upload feature has also been provided</w:t>
      </w:r>
      <w:r w:rsidR="006E76A8">
        <w:t xml:space="preserve"> which can be used to upload a</w:t>
      </w:r>
      <w:r w:rsidRPr="00B45A6E">
        <w:t xml:space="preserve"> privacy rela</w:t>
      </w:r>
      <w:r w:rsidR="006D5A2C">
        <w:t>ted document, such as the ABDR/</w:t>
      </w:r>
      <w:proofErr w:type="spellStart"/>
      <w:r w:rsidR="006D5A2C">
        <w:t>MyABDR</w:t>
      </w:r>
      <w:proofErr w:type="spellEnd"/>
      <w:r w:rsidR="006D5A2C">
        <w:t xml:space="preserve"> privacy collection notice and consent form available at </w:t>
      </w:r>
      <w:hyperlink r:id="rId14" w:history="1">
        <w:r w:rsidR="006D5A2C" w:rsidRPr="00CA6087">
          <w:rPr>
            <w:rStyle w:val="Hyperlink"/>
          </w:rPr>
          <w:t>www.blood.gov.au/system/files/documents/abdr-myabdr-privacy-collection-notice-and-consent-form.pdf</w:t>
        </w:r>
      </w:hyperlink>
      <w:r w:rsidR="006D5A2C">
        <w:t>.</w:t>
      </w:r>
    </w:p>
    <w:p w:rsidR="008F7EFF" w:rsidRDefault="008F7EFF" w:rsidP="008F7EFF">
      <w:pPr>
        <w:jc w:val="center"/>
        <w:rPr>
          <w:rFonts w:ascii="Arial" w:hAnsi="Arial" w:cs="Arial"/>
          <w:color w:val="C60C30"/>
          <w:sz w:val="28"/>
          <w:szCs w:val="28"/>
        </w:rPr>
      </w:pPr>
      <w:r>
        <w:rPr>
          <w:noProof/>
          <w:lang w:eastAsia="en-AU"/>
        </w:rPr>
        <w:drawing>
          <wp:inline distT="0" distB="0" distL="0" distR="0" wp14:anchorId="33FB9ED6" wp14:editId="57095913">
            <wp:extent cx="4397071" cy="2527376"/>
            <wp:effectExtent l="19050" t="19050" r="2286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99100" cy="2528542"/>
                    </a:xfrm>
                    <a:prstGeom prst="rect">
                      <a:avLst/>
                    </a:prstGeom>
                    <a:ln w="3175">
                      <a:solidFill>
                        <a:schemeClr val="tx1"/>
                      </a:solidFill>
                    </a:ln>
                  </pic:spPr>
                </pic:pic>
              </a:graphicData>
            </a:graphic>
          </wp:inline>
        </w:drawing>
      </w:r>
    </w:p>
    <w:p w:rsidR="008F7EFF" w:rsidRDefault="008F7EFF" w:rsidP="008F7EFF">
      <w:pPr>
        <w:rPr>
          <w:rFonts w:ascii="Arial" w:hAnsi="Arial" w:cs="Arial"/>
          <w:color w:val="C60C30"/>
          <w:sz w:val="28"/>
          <w:szCs w:val="28"/>
        </w:rPr>
      </w:pPr>
      <w:r>
        <w:rPr>
          <w:rFonts w:ascii="Arial" w:hAnsi="Arial" w:cs="Arial"/>
          <w:color w:val="C60C30"/>
          <w:sz w:val="28"/>
          <w:szCs w:val="28"/>
        </w:rPr>
        <w:t xml:space="preserve">Creating </w:t>
      </w:r>
      <w:r w:rsidRPr="00B45A6E">
        <w:rPr>
          <w:rFonts w:ascii="Arial" w:hAnsi="Arial" w:cs="Arial"/>
          <w:color w:val="C60C30"/>
          <w:sz w:val="28"/>
          <w:szCs w:val="28"/>
        </w:rPr>
        <w:t xml:space="preserve">a pseudonym </w:t>
      </w:r>
      <w:r>
        <w:rPr>
          <w:rFonts w:ascii="Arial" w:hAnsi="Arial" w:cs="Arial"/>
          <w:color w:val="C60C30"/>
          <w:sz w:val="28"/>
          <w:szCs w:val="28"/>
        </w:rPr>
        <w:t>for privacy consent provided in MyABDR</w:t>
      </w:r>
    </w:p>
    <w:p w:rsidR="008F7EFF" w:rsidRPr="00995715" w:rsidRDefault="008F7EFF" w:rsidP="008F7EFF">
      <w:pPr>
        <w:pStyle w:val="Heading3"/>
        <w:rPr>
          <w:rFonts w:ascii="Calibri" w:hAnsi="Calibri" w:cs="Calibri"/>
          <w:color w:val="auto"/>
          <w:sz w:val="22"/>
          <w:szCs w:val="22"/>
        </w:rPr>
      </w:pPr>
      <w:r w:rsidRPr="00995715">
        <w:rPr>
          <w:rFonts w:ascii="Calibri" w:hAnsi="Calibri" w:cs="Calibri"/>
          <w:color w:val="auto"/>
          <w:sz w:val="22"/>
          <w:szCs w:val="22"/>
        </w:rPr>
        <w:t xml:space="preserve">A patient </w:t>
      </w:r>
      <w:r>
        <w:rPr>
          <w:rFonts w:ascii="Calibri" w:hAnsi="Calibri" w:cs="Calibri"/>
          <w:color w:val="auto"/>
          <w:sz w:val="22"/>
          <w:szCs w:val="22"/>
        </w:rPr>
        <w:t xml:space="preserve">may select ‘Consent with Pseudonym’. If they choose this option in MyABDR an email will be sent to the HTC to notify them of this request but the pseudonym can only be set up in ABDR. </w:t>
      </w:r>
    </w:p>
    <w:p w:rsidR="006D5A2C" w:rsidRDefault="008F7EFF" w:rsidP="008F7EFF">
      <w:r w:rsidRPr="00B45A6E">
        <w:t xml:space="preserve">When the ‘Consent Status’ is selected as consent with pseudonym, 2 extra fields are presented on the consent status page. These 2 fields ‘Given Name Pseudonym’ and ‘Family Name Pseudonym’ must be used to set the pseudonym for the patient. </w:t>
      </w:r>
    </w:p>
    <w:p w:rsidR="008F7EFF" w:rsidRDefault="008F7EFF" w:rsidP="006D5A2C">
      <w:pPr>
        <w:jc w:val="center"/>
        <w:rPr>
          <w:rFonts w:ascii="Arial" w:hAnsi="Arial" w:cs="Arial"/>
          <w:color w:val="C60C30"/>
          <w:sz w:val="28"/>
          <w:szCs w:val="28"/>
        </w:rPr>
      </w:pPr>
      <w:r>
        <w:rPr>
          <w:noProof/>
          <w:lang w:eastAsia="en-AU"/>
        </w:rPr>
        <w:drawing>
          <wp:inline distT="0" distB="0" distL="0" distR="0" wp14:anchorId="1CAB1CE0" wp14:editId="6B7F7139">
            <wp:extent cx="4166484" cy="1471178"/>
            <wp:effectExtent l="19050" t="19050" r="24765" b="152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63856" cy="1470250"/>
                    </a:xfrm>
                    <a:prstGeom prst="rect">
                      <a:avLst/>
                    </a:prstGeom>
                    <a:ln w="3175">
                      <a:solidFill>
                        <a:schemeClr val="tx1"/>
                      </a:solidFill>
                    </a:ln>
                  </pic:spPr>
                </pic:pic>
              </a:graphicData>
            </a:graphic>
          </wp:inline>
        </w:drawing>
      </w:r>
    </w:p>
    <w:p w:rsidR="008F7EFF" w:rsidRDefault="003162F8" w:rsidP="003162F8">
      <w:pPr>
        <w:pStyle w:val="Heading3"/>
        <w:jc w:val="center"/>
        <w:rPr>
          <w:rFonts w:ascii="Calibri" w:hAnsi="Calibri" w:cs="Calibri"/>
          <w:color w:val="auto"/>
          <w:sz w:val="22"/>
          <w:szCs w:val="22"/>
        </w:rPr>
      </w:pPr>
      <w:bookmarkStart w:id="0" w:name="_Ref401223127"/>
      <w:r>
        <w:rPr>
          <w:noProof/>
          <w:lang w:eastAsia="en-AU"/>
        </w:rPr>
        <w:drawing>
          <wp:inline distT="0" distB="0" distL="0" distR="0" wp14:anchorId="13278C39" wp14:editId="6F3B2B90">
            <wp:extent cx="3808675" cy="1532666"/>
            <wp:effectExtent l="19050" t="19050" r="20955"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04615" cy="1531032"/>
                    </a:xfrm>
                    <a:prstGeom prst="rect">
                      <a:avLst/>
                    </a:prstGeom>
                    <a:ln w="3175">
                      <a:solidFill>
                        <a:schemeClr val="tx1"/>
                      </a:solidFill>
                    </a:ln>
                  </pic:spPr>
                </pic:pic>
              </a:graphicData>
            </a:graphic>
          </wp:inline>
        </w:drawing>
      </w:r>
    </w:p>
    <w:p w:rsidR="006D5A2C" w:rsidRPr="006D5A2C" w:rsidRDefault="006D5A2C" w:rsidP="006D5A2C">
      <w:r>
        <w:t xml:space="preserve">For more information on consenting with a pseudonym please go to </w:t>
      </w:r>
      <w:hyperlink r:id="rId18" w:history="1">
        <w:r w:rsidRPr="00CA6087">
          <w:rPr>
            <w:rStyle w:val="Hyperlink"/>
          </w:rPr>
          <w:t>www.blood.gov.au/privacy-info-abdr-myabdr</w:t>
        </w:r>
      </w:hyperlink>
      <w:r>
        <w:t xml:space="preserve">. </w:t>
      </w:r>
    </w:p>
    <w:p w:rsidR="008F7EFF" w:rsidRDefault="003162F8" w:rsidP="008F7EFF">
      <w:pPr>
        <w:pStyle w:val="Heading3"/>
      </w:pPr>
      <w:r>
        <w:lastRenderedPageBreak/>
        <w:t>Changing Consent Status</w:t>
      </w:r>
    </w:p>
    <w:p w:rsidR="003162F8" w:rsidRDefault="003162F8" w:rsidP="003162F8">
      <w:r>
        <w:t xml:space="preserve">If a patient decides to change their consent status </w:t>
      </w:r>
      <w:r w:rsidR="008C3FF2">
        <w:t>then follow the above steps to add in a new consent status with a new date.</w:t>
      </w:r>
    </w:p>
    <w:p w:rsidR="008C3FF2" w:rsidRDefault="008C3FF2" w:rsidP="008C3FF2">
      <w:pPr>
        <w:pStyle w:val="Heading3"/>
      </w:pPr>
      <w:r>
        <w:t>Changing a Pseudonym</w:t>
      </w:r>
    </w:p>
    <w:p w:rsidR="008C3FF2" w:rsidRDefault="008C3FF2" w:rsidP="008C3FF2">
      <w:r>
        <w:t>If a patient has consented with a pseudonym and has requested to change the pseudonym click on the edit button on the left hand side of the consent status line and edit the first and last name as required.</w:t>
      </w:r>
    </w:p>
    <w:p w:rsidR="008C3FF2" w:rsidRPr="008C3FF2" w:rsidRDefault="00F4300C" w:rsidP="008C3FF2">
      <w:pPr>
        <w:jc w:val="center"/>
      </w:pPr>
      <w:r>
        <w:rPr>
          <w:noProof/>
          <w:lang w:eastAsia="en-AU"/>
        </w:rPr>
        <mc:AlternateContent>
          <mc:Choice Requires="wps">
            <w:drawing>
              <wp:anchor distT="0" distB="0" distL="114300" distR="114300" simplePos="0" relativeHeight="251659264" behindDoc="0" locked="0" layoutInCell="1" allowOverlap="1" wp14:anchorId="4C0330BE" wp14:editId="3171C569">
                <wp:simplePos x="0" y="0"/>
                <wp:positionH relativeFrom="column">
                  <wp:posOffset>914400</wp:posOffset>
                </wp:positionH>
                <wp:positionV relativeFrom="paragraph">
                  <wp:posOffset>1609228</wp:posOffset>
                </wp:positionV>
                <wp:extent cx="954157" cy="214685"/>
                <wp:effectExtent l="57150" t="57150" r="55880" b="90170"/>
                <wp:wrapNone/>
                <wp:docPr id="2" name="Straight Arrow Connector 2"/>
                <wp:cNvGraphicFramePr/>
                <a:graphic xmlns:a="http://schemas.openxmlformats.org/drawingml/2006/main">
                  <a:graphicData uri="http://schemas.microsoft.com/office/word/2010/wordprocessingShape">
                    <wps:wsp>
                      <wps:cNvCnPr/>
                      <wps:spPr>
                        <a:xfrm flipH="1" flipV="1">
                          <a:off x="0" y="0"/>
                          <a:ext cx="954157" cy="21468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in;margin-top:126.7pt;width:75.15pt;height:16.9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" strokecolor="#c0504d [3205]" strokeweight="2pt">
                <v:stroke endarrow="open"/>
                <v:shadow on="t" color="black" opacity="24903f" origin=",.5" offset="0,.55556mm"/>
              </v:shape>
            </w:pict>
          </mc:Fallback>
        </mc:AlternateContent>
      </w:r>
      <w:r w:rsidR="008C3FF2">
        <w:rPr>
          <w:noProof/>
          <w:lang w:eastAsia="en-AU"/>
        </w:rPr>
        <w:drawing>
          <wp:inline distT="0" distB="0" distL="0" distR="0" wp14:anchorId="74AF258F" wp14:editId="7E40C5AC">
            <wp:extent cx="4727174" cy="1956020"/>
            <wp:effectExtent l="19050" t="19050" r="16510"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33467" cy="1958624"/>
                    </a:xfrm>
                    <a:prstGeom prst="rect">
                      <a:avLst/>
                    </a:prstGeom>
                    <a:ln w="3175">
                      <a:solidFill>
                        <a:schemeClr val="tx1"/>
                      </a:solidFill>
                    </a:ln>
                  </pic:spPr>
                </pic:pic>
              </a:graphicData>
            </a:graphic>
          </wp:inline>
        </w:drawing>
      </w:r>
    </w:p>
    <w:p w:rsidR="003162F8" w:rsidRDefault="003162F8" w:rsidP="008F7EFF">
      <w:pPr>
        <w:pStyle w:val="Heading3"/>
      </w:pPr>
    </w:p>
    <w:p w:rsidR="008F7EFF" w:rsidRDefault="008F7EFF" w:rsidP="008F7EFF">
      <w:pPr>
        <w:pStyle w:val="Heading3"/>
      </w:pPr>
      <w:r>
        <w:t>New report - ‘Privacy Consent’</w:t>
      </w:r>
    </w:p>
    <w:bookmarkEnd w:id="0"/>
    <w:p w:rsidR="008F7EFF" w:rsidRDefault="008F7EFF" w:rsidP="008F7EFF">
      <w:r w:rsidRPr="00B45A6E">
        <w:t>A Patient Consent Report has been created under ‘Print and Report’ that shows how many patients have consented (normally), have consented with a pseudonym, have not consented or have not recorded any consent data for each HTC.</w:t>
      </w:r>
    </w:p>
    <w:p w:rsidR="0020779B" w:rsidRPr="008F2462" w:rsidRDefault="0020779B" w:rsidP="008F7EFF">
      <w:pPr>
        <w:pStyle w:val="Heading1"/>
      </w:pPr>
      <w:bookmarkStart w:id="1" w:name="_GoBack"/>
      <w:bookmarkEnd w:id="1"/>
    </w:p>
    <w:sectPr w:rsidR="0020779B" w:rsidRPr="008F2462" w:rsidSect="008B774C">
      <w:footerReference w:type="default" r:id="rId20"/>
      <w:pgSz w:w="11906" w:h="16838"/>
      <w:pgMar w:top="993" w:right="1133" w:bottom="56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F8" w:rsidRDefault="003162F8" w:rsidP="00856708">
      <w:pPr>
        <w:spacing w:after="0"/>
      </w:pPr>
      <w:r>
        <w:separator/>
      </w:r>
    </w:p>
  </w:endnote>
  <w:endnote w:type="continuationSeparator" w:id="0">
    <w:p w:rsidR="003162F8" w:rsidRDefault="003162F8"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F8" w:rsidRPr="00856708" w:rsidRDefault="006F0871" w:rsidP="00856708">
    <w:pPr>
      <w:pStyle w:val="Footer"/>
      <w:tabs>
        <w:tab w:val="clear" w:pos="9026"/>
        <w:tab w:val="right" w:pos="9356"/>
      </w:tabs>
      <w:rPr>
        <w:sz w:val="20"/>
        <w:szCs w:val="20"/>
      </w:rPr>
    </w:pPr>
    <w:r>
      <w:rPr>
        <w:sz w:val="20"/>
        <w:szCs w:val="20"/>
      </w:rPr>
      <w:t>ABDR Privacy Consenting Tip Sheet</w:t>
    </w:r>
    <w:r w:rsidR="003162F8" w:rsidRPr="00856708">
      <w:rPr>
        <w:sz w:val="20"/>
        <w:szCs w:val="20"/>
      </w:rPr>
      <w:tab/>
    </w:r>
    <w:r w:rsidR="003162F8" w:rsidRPr="00856708">
      <w:rPr>
        <w:sz w:val="20"/>
        <w:szCs w:val="20"/>
      </w:rPr>
      <w:tab/>
      <w:t xml:space="preserve">pg. </w:t>
    </w:r>
    <w:r w:rsidR="003162F8" w:rsidRPr="00856708">
      <w:rPr>
        <w:sz w:val="20"/>
        <w:szCs w:val="20"/>
      </w:rPr>
      <w:fldChar w:fldCharType="begin"/>
    </w:r>
    <w:r w:rsidR="003162F8" w:rsidRPr="00856708">
      <w:rPr>
        <w:sz w:val="20"/>
        <w:szCs w:val="20"/>
      </w:rPr>
      <w:instrText xml:space="preserve"> PAGE    \* MERGEFORMAT </w:instrText>
    </w:r>
    <w:r w:rsidR="003162F8" w:rsidRPr="00856708">
      <w:rPr>
        <w:sz w:val="20"/>
        <w:szCs w:val="20"/>
      </w:rPr>
      <w:fldChar w:fldCharType="separate"/>
    </w:r>
    <w:r w:rsidR="00F4300C">
      <w:rPr>
        <w:noProof/>
        <w:sz w:val="20"/>
        <w:szCs w:val="20"/>
      </w:rPr>
      <w:t>2</w:t>
    </w:r>
    <w:r w:rsidR="003162F8"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F8" w:rsidRDefault="003162F8" w:rsidP="00856708">
      <w:pPr>
        <w:spacing w:after="0"/>
      </w:pPr>
      <w:r>
        <w:separator/>
      </w:r>
    </w:p>
  </w:footnote>
  <w:footnote w:type="continuationSeparator" w:id="0">
    <w:p w:rsidR="003162F8" w:rsidRDefault="003162F8"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1520D"/>
    <w:multiLevelType w:val="hybridMultilevel"/>
    <w:tmpl w:val="1CB6D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6F30247"/>
    <w:multiLevelType w:val="hybridMultilevel"/>
    <w:tmpl w:val="1CB6D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8149BE"/>
    <w:multiLevelType w:val="hybridMultilevel"/>
    <w:tmpl w:val="B83A0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C735A6"/>
    <w:multiLevelType w:val="hybridMultilevel"/>
    <w:tmpl w:val="1CB6D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FC1511"/>
    <w:multiLevelType w:val="hybridMultilevel"/>
    <w:tmpl w:val="05D03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45A17B7"/>
    <w:multiLevelType w:val="hybridMultilevel"/>
    <w:tmpl w:val="DEA28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AE948E6"/>
    <w:multiLevelType w:val="hybridMultilevel"/>
    <w:tmpl w:val="1CB6D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0E2BD3"/>
    <w:multiLevelType w:val="hybridMultilevel"/>
    <w:tmpl w:val="FC666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3F46FD"/>
    <w:multiLevelType w:val="hybridMultilevel"/>
    <w:tmpl w:val="8B5E00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6"/>
  </w:num>
  <w:num w:numId="4">
    <w:abstractNumId w:val="10"/>
  </w:num>
  <w:num w:numId="5">
    <w:abstractNumId w:val="2"/>
  </w:num>
  <w:num w:numId="6">
    <w:abstractNumId w:val="8"/>
  </w:num>
  <w:num w:numId="7">
    <w:abstractNumId w:val="4"/>
  </w:num>
  <w:num w:numId="8">
    <w:abstractNumId w:val="0"/>
  </w:num>
  <w:num w:numId="9">
    <w:abstractNumId w:val="3"/>
  </w:num>
  <w:num w:numId="10">
    <w:abstractNumId w:val="12"/>
  </w:num>
  <w:num w:numId="11">
    <w:abstractNumId w:val="1"/>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CE"/>
    <w:rsid w:val="0000326B"/>
    <w:rsid w:val="00036EDC"/>
    <w:rsid w:val="00060C55"/>
    <w:rsid w:val="000C6F68"/>
    <w:rsid w:val="000D5D91"/>
    <w:rsid w:val="000E3EE2"/>
    <w:rsid w:val="001658CC"/>
    <w:rsid w:val="001922CE"/>
    <w:rsid w:val="00197AFB"/>
    <w:rsid w:val="001A3CA9"/>
    <w:rsid w:val="001D1AEF"/>
    <w:rsid w:val="001E643C"/>
    <w:rsid w:val="001F41D4"/>
    <w:rsid w:val="001F486D"/>
    <w:rsid w:val="0020779B"/>
    <w:rsid w:val="00227C66"/>
    <w:rsid w:val="002537F2"/>
    <w:rsid w:val="00284A05"/>
    <w:rsid w:val="00295CD3"/>
    <w:rsid w:val="00307606"/>
    <w:rsid w:val="003162F8"/>
    <w:rsid w:val="00325848"/>
    <w:rsid w:val="003309FD"/>
    <w:rsid w:val="00333A74"/>
    <w:rsid w:val="00360CF9"/>
    <w:rsid w:val="003A24D3"/>
    <w:rsid w:val="003A4B59"/>
    <w:rsid w:val="003C45EE"/>
    <w:rsid w:val="003D27F1"/>
    <w:rsid w:val="00415EBB"/>
    <w:rsid w:val="00452B04"/>
    <w:rsid w:val="0047112F"/>
    <w:rsid w:val="004C25EE"/>
    <w:rsid w:val="004D2983"/>
    <w:rsid w:val="004D4636"/>
    <w:rsid w:val="00540020"/>
    <w:rsid w:val="00561034"/>
    <w:rsid w:val="00570632"/>
    <w:rsid w:val="0058196F"/>
    <w:rsid w:val="005904E4"/>
    <w:rsid w:val="005E4421"/>
    <w:rsid w:val="005F5B9A"/>
    <w:rsid w:val="006016C2"/>
    <w:rsid w:val="006171ED"/>
    <w:rsid w:val="006727FF"/>
    <w:rsid w:val="00693FAF"/>
    <w:rsid w:val="006D3C78"/>
    <w:rsid w:val="006D5A2C"/>
    <w:rsid w:val="006D6D19"/>
    <w:rsid w:val="006E3704"/>
    <w:rsid w:val="006E5C37"/>
    <w:rsid w:val="006E76A8"/>
    <w:rsid w:val="006F0871"/>
    <w:rsid w:val="007158CE"/>
    <w:rsid w:val="00725499"/>
    <w:rsid w:val="00746B88"/>
    <w:rsid w:val="007A62B8"/>
    <w:rsid w:val="007F17D0"/>
    <w:rsid w:val="00804201"/>
    <w:rsid w:val="00807546"/>
    <w:rsid w:val="00814DEF"/>
    <w:rsid w:val="008204AB"/>
    <w:rsid w:val="00831E90"/>
    <w:rsid w:val="00856708"/>
    <w:rsid w:val="00893E0A"/>
    <w:rsid w:val="008B774C"/>
    <w:rsid w:val="008C3FF2"/>
    <w:rsid w:val="008F2462"/>
    <w:rsid w:val="008F7EFF"/>
    <w:rsid w:val="00951B85"/>
    <w:rsid w:val="00974850"/>
    <w:rsid w:val="00995715"/>
    <w:rsid w:val="00997039"/>
    <w:rsid w:val="009B2153"/>
    <w:rsid w:val="009D0D2B"/>
    <w:rsid w:val="009E38CC"/>
    <w:rsid w:val="00A032B1"/>
    <w:rsid w:val="00A14F6D"/>
    <w:rsid w:val="00AC6DB3"/>
    <w:rsid w:val="00AF65F5"/>
    <w:rsid w:val="00B271FE"/>
    <w:rsid w:val="00B3726E"/>
    <w:rsid w:val="00B379EF"/>
    <w:rsid w:val="00B45A6E"/>
    <w:rsid w:val="00B5080B"/>
    <w:rsid w:val="00B624F5"/>
    <w:rsid w:val="00B73466"/>
    <w:rsid w:val="00BE36E8"/>
    <w:rsid w:val="00BF324B"/>
    <w:rsid w:val="00C23172"/>
    <w:rsid w:val="00C367F1"/>
    <w:rsid w:val="00C678E8"/>
    <w:rsid w:val="00C90CD0"/>
    <w:rsid w:val="00CB36C4"/>
    <w:rsid w:val="00CC5AED"/>
    <w:rsid w:val="00D15CDE"/>
    <w:rsid w:val="00DB7528"/>
    <w:rsid w:val="00DC5819"/>
    <w:rsid w:val="00E12F4E"/>
    <w:rsid w:val="00E17522"/>
    <w:rsid w:val="00E5011E"/>
    <w:rsid w:val="00E65CE7"/>
    <w:rsid w:val="00E7282B"/>
    <w:rsid w:val="00EA1A42"/>
    <w:rsid w:val="00EE09D2"/>
    <w:rsid w:val="00EE3E53"/>
    <w:rsid w:val="00EF2F7D"/>
    <w:rsid w:val="00F14D2C"/>
    <w:rsid w:val="00F4300C"/>
    <w:rsid w:val="00F643B0"/>
    <w:rsid w:val="00F64932"/>
    <w:rsid w:val="00FA0D8C"/>
    <w:rsid w:val="00FC44C9"/>
    <w:rsid w:val="00FD2A43"/>
    <w:rsid w:val="00FD4C4A"/>
    <w:rsid w:val="00FE3E56"/>
    <w:rsid w:val="00FE724A"/>
    <w:rsid w:val="00FF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E12F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4E"/>
    <w:rPr>
      <w:rFonts w:ascii="Tahoma" w:eastAsia="Dotum" w:hAnsi="Tahoma" w:cs="Tahoma"/>
      <w:sz w:val="16"/>
      <w:szCs w:val="16"/>
    </w:rPr>
  </w:style>
  <w:style w:type="paragraph" w:styleId="TOCHeading">
    <w:name w:val="TOC Heading"/>
    <w:basedOn w:val="Heading1"/>
    <w:next w:val="Normal"/>
    <w:uiPriority w:val="39"/>
    <w:semiHidden/>
    <w:unhideWhenUsed/>
    <w:qFormat/>
    <w:rsid w:val="007A62B8"/>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7A62B8"/>
    <w:pPr>
      <w:spacing w:after="100"/>
    </w:pPr>
  </w:style>
  <w:style w:type="paragraph" w:styleId="TOC2">
    <w:name w:val="toc 2"/>
    <w:basedOn w:val="Normal"/>
    <w:next w:val="Normal"/>
    <w:autoRedefine/>
    <w:uiPriority w:val="39"/>
    <w:unhideWhenUsed/>
    <w:rsid w:val="007A62B8"/>
    <w:pPr>
      <w:spacing w:after="100"/>
      <w:ind w:left="220"/>
    </w:pPr>
  </w:style>
  <w:style w:type="character" w:styleId="Hyperlink">
    <w:name w:val="Hyperlink"/>
    <w:basedOn w:val="DefaultParagraphFont"/>
    <w:uiPriority w:val="99"/>
    <w:unhideWhenUsed/>
    <w:rsid w:val="007A62B8"/>
    <w:rPr>
      <w:color w:val="0000FF" w:themeColor="hyperlink"/>
      <w:u w:val="single"/>
    </w:rPr>
  </w:style>
  <w:style w:type="character" w:customStyle="1" w:styleId="mandatory1">
    <w:name w:val="mandatory1"/>
    <w:basedOn w:val="DefaultParagraphFont"/>
    <w:rsid w:val="00EA1A42"/>
    <w:rPr>
      <w:b/>
      <w:bCs/>
      <w:color w:val="FF0000"/>
    </w:rPr>
  </w:style>
  <w:style w:type="character" w:styleId="CommentReference">
    <w:name w:val="annotation reference"/>
    <w:basedOn w:val="DefaultParagraphFont"/>
    <w:uiPriority w:val="99"/>
    <w:semiHidden/>
    <w:unhideWhenUsed/>
    <w:rsid w:val="006F0871"/>
    <w:rPr>
      <w:sz w:val="16"/>
      <w:szCs w:val="16"/>
    </w:rPr>
  </w:style>
  <w:style w:type="paragraph" w:styleId="CommentText">
    <w:name w:val="annotation text"/>
    <w:basedOn w:val="Normal"/>
    <w:link w:val="CommentTextChar"/>
    <w:uiPriority w:val="99"/>
    <w:semiHidden/>
    <w:unhideWhenUsed/>
    <w:rsid w:val="006F0871"/>
    <w:rPr>
      <w:sz w:val="20"/>
      <w:szCs w:val="20"/>
    </w:rPr>
  </w:style>
  <w:style w:type="character" w:customStyle="1" w:styleId="CommentTextChar">
    <w:name w:val="Comment Text Char"/>
    <w:basedOn w:val="DefaultParagraphFont"/>
    <w:link w:val="CommentText"/>
    <w:uiPriority w:val="99"/>
    <w:semiHidden/>
    <w:rsid w:val="006F0871"/>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6F0871"/>
    <w:rPr>
      <w:b/>
      <w:bCs/>
    </w:rPr>
  </w:style>
  <w:style w:type="character" w:customStyle="1" w:styleId="CommentSubjectChar">
    <w:name w:val="Comment Subject Char"/>
    <w:basedOn w:val="CommentTextChar"/>
    <w:link w:val="CommentSubject"/>
    <w:uiPriority w:val="99"/>
    <w:semiHidden/>
    <w:rsid w:val="006F0871"/>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E12F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4E"/>
    <w:rPr>
      <w:rFonts w:ascii="Tahoma" w:eastAsia="Dotum" w:hAnsi="Tahoma" w:cs="Tahoma"/>
      <w:sz w:val="16"/>
      <w:szCs w:val="16"/>
    </w:rPr>
  </w:style>
  <w:style w:type="paragraph" w:styleId="TOCHeading">
    <w:name w:val="TOC Heading"/>
    <w:basedOn w:val="Heading1"/>
    <w:next w:val="Normal"/>
    <w:uiPriority w:val="39"/>
    <w:semiHidden/>
    <w:unhideWhenUsed/>
    <w:qFormat/>
    <w:rsid w:val="007A62B8"/>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7A62B8"/>
    <w:pPr>
      <w:spacing w:after="100"/>
    </w:pPr>
  </w:style>
  <w:style w:type="paragraph" w:styleId="TOC2">
    <w:name w:val="toc 2"/>
    <w:basedOn w:val="Normal"/>
    <w:next w:val="Normal"/>
    <w:autoRedefine/>
    <w:uiPriority w:val="39"/>
    <w:unhideWhenUsed/>
    <w:rsid w:val="007A62B8"/>
    <w:pPr>
      <w:spacing w:after="100"/>
      <w:ind w:left="220"/>
    </w:pPr>
  </w:style>
  <w:style w:type="character" w:styleId="Hyperlink">
    <w:name w:val="Hyperlink"/>
    <w:basedOn w:val="DefaultParagraphFont"/>
    <w:uiPriority w:val="99"/>
    <w:unhideWhenUsed/>
    <w:rsid w:val="007A62B8"/>
    <w:rPr>
      <w:color w:val="0000FF" w:themeColor="hyperlink"/>
      <w:u w:val="single"/>
    </w:rPr>
  </w:style>
  <w:style w:type="character" w:customStyle="1" w:styleId="mandatory1">
    <w:name w:val="mandatory1"/>
    <w:basedOn w:val="DefaultParagraphFont"/>
    <w:rsid w:val="00EA1A42"/>
    <w:rPr>
      <w:b/>
      <w:bCs/>
      <w:color w:val="FF0000"/>
    </w:rPr>
  </w:style>
  <w:style w:type="character" w:styleId="CommentReference">
    <w:name w:val="annotation reference"/>
    <w:basedOn w:val="DefaultParagraphFont"/>
    <w:uiPriority w:val="99"/>
    <w:semiHidden/>
    <w:unhideWhenUsed/>
    <w:rsid w:val="006F0871"/>
    <w:rPr>
      <w:sz w:val="16"/>
      <w:szCs w:val="16"/>
    </w:rPr>
  </w:style>
  <w:style w:type="paragraph" w:styleId="CommentText">
    <w:name w:val="annotation text"/>
    <w:basedOn w:val="Normal"/>
    <w:link w:val="CommentTextChar"/>
    <w:uiPriority w:val="99"/>
    <w:semiHidden/>
    <w:unhideWhenUsed/>
    <w:rsid w:val="006F0871"/>
    <w:rPr>
      <w:sz w:val="20"/>
      <w:szCs w:val="20"/>
    </w:rPr>
  </w:style>
  <w:style w:type="character" w:customStyle="1" w:styleId="CommentTextChar">
    <w:name w:val="Comment Text Char"/>
    <w:basedOn w:val="DefaultParagraphFont"/>
    <w:link w:val="CommentText"/>
    <w:uiPriority w:val="99"/>
    <w:semiHidden/>
    <w:rsid w:val="006F0871"/>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6F0871"/>
    <w:rPr>
      <w:b/>
      <w:bCs/>
    </w:rPr>
  </w:style>
  <w:style w:type="character" w:customStyle="1" w:styleId="CommentSubjectChar">
    <w:name w:val="Comment Subject Char"/>
    <w:basedOn w:val="CommentTextChar"/>
    <w:link w:val="CommentSubject"/>
    <w:uiPriority w:val="99"/>
    <w:semiHidden/>
    <w:rsid w:val="006F0871"/>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4156">
      <w:bodyDiv w:val="1"/>
      <w:marLeft w:val="0"/>
      <w:marRight w:val="0"/>
      <w:marTop w:val="0"/>
      <w:marBottom w:val="0"/>
      <w:divBdr>
        <w:top w:val="single" w:sz="6" w:space="0" w:color="C6C6C6"/>
        <w:left w:val="single" w:sz="6" w:space="0" w:color="C6C6C6"/>
        <w:bottom w:val="single" w:sz="6" w:space="0" w:color="C6C6C6"/>
        <w:right w:val="single" w:sz="6" w:space="0" w:color="C6C6C6"/>
      </w:divBdr>
      <w:divsChild>
        <w:div w:id="334766390">
          <w:marLeft w:val="0"/>
          <w:marRight w:val="0"/>
          <w:marTop w:val="0"/>
          <w:marBottom w:val="0"/>
          <w:divBdr>
            <w:top w:val="none" w:sz="0" w:space="0" w:color="auto"/>
            <w:left w:val="none" w:sz="0" w:space="0" w:color="auto"/>
            <w:bottom w:val="none" w:sz="0" w:space="0" w:color="auto"/>
            <w:right w:val="none" w:sz="0" w:space="0" w:color="auto"/>
          </w:divBdr>
        </w:div>
      </w:divsChild>
    </w:div>
    <w:div w:id="11930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blood.gov.au/privacy-info-abdr-myabd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d.gov.au/system/files/documents/htc-implementation-protocol.pdf"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blood.gov.au/abdr"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lood.gov.au/system/files/documents/abdr-myabdr-privacy-collection-notice-and-consent-form.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8211-5EDF-4C9A-9870-36C3AF69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39F4F121</Template>
  <TotalTime>155</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Ahuja, Sudhakar</dc:creator>
  <cp:lastModifiedBy>Heland, Rebecca</cp:lastModifiedBy>
  <cp:revision>10</cp:revision>
  <dcterms:created xsi:type="dcterms:W3CDTF">2015-01-14T05:19:00Z</dcterms:created>
  <dcterms:modified xsi:type="dcterms:W3CDTF">2015-01-20T22:47:00Z</dcterms:modified>
</cp:coreProperties>
</file>