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AFE5F" w14:textId="77777777" w:rsidR="0067599A" w:rsidRDefault="0067599A" w:rsidP="0067599A">
      <w:pPr>
        <w:pStyle w:val="Heading3"/>
      </w:pPr>
      <w:bookmarkStart w:id="0" w:name="_GoBack"/>
      <w:bookmarkEnd w:id="0"/>
      <w:r w:rsidRPr="00183EC7">
        <w:t xml:space="preserve">Specialist </w:t>
      </w:r>
      <w:r>
        <w:t>Working Group for Neurology</w:t>
      </w:r>
    </w:p>
    <w:p w14:paraId="085D680B" w14:textId="77777777" w:rsidR="0067599A" w:rsidRDefault="0067599A" w:rsidP="0067599A">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37C01FDE" w14:textId="77777777" w:rsidR="004B5468" w:rsidRDefault="004B5468" w:rsidP="0067599A">
      <w:pPr>
        <w:rPr>
          <w:ins w:id="1" w:author="Philippa Hetzel" w:date="2015-06-04T12:01:00Z"/>
        </w:rPr>
      </w:pPr>
    </w:p>
    <w:tbl>
      <w:tblPr>
        <w:tblStyle w:val="TableGrid"/>
        <w:tblW w:w="5000" w:type="pct"/>
        <w:tblLook w:val="0680" w:firstRow="0" w:lastRow="0" w:firstColumn="1" w:lastColumn="0" w:noHBand="1" w:noVBand="1"/>
      </w:tblPr>
      <w:tblGrid>
        <w:gridCol w:w="1335"/>
        <w:gridCol w:w="3822"/>
        <w:gridCol w:w="1463"/>
        <w:gridCol w:w="1480"/>
        <w:gridCol w:w="1993"/>
        <w:gridCol w:w="4082"/>
      </w:tblGrid>
      <w:tr w:rsidR="0067599A" w:rsidRPr="00C25D3F" w14:paraId="7C77918D" w14:textId="77777777" w:rsidTr="00D80049">
        <w:trPr>
          <w:tblHeader/>
        </w:trPr>
        <w:tc>
          <w:tcPr>
            <w:tcW w:w="471" w:type="pct"/>
            <w:shd w:val="clear" w:color="auto" w:fill="DBE5F1" w:themeFill="accent1" w:themeFillTint="33"/>
          </w:tcPr>
          <w:p w14:paraId="2F79BA35" w14:textId="138393AB" w:rsidR="0067599A" w:rsidRPr="0075247A" w:rsidRDefault="0067599A" w:rsidP="0075247A">
            <w:pPr>
              <w:spacing w:before="120" w:after="120"/>
              <w:jc w:val="center"/>
              <w:rPr>
                <w:b/>
              </w:rPr>
            </w:pPr>
            <w:r w:rsidRPr="0075247A">
              <w:rPr>
                <w:rFonts w:asciiTheme="minorHAnsi" w:hAnsiTheme="minorHAnsi"/>
                <w:b/>
              </w:rPr>
              <w:t>ITEM</w:t>
            </w:r>
          </w:p>
        </w:tc>
        <w:tc>
          <w:tcPr>
            <w:tcW w:w="1348" w:type="pct"/>
            <w:shd w:val="clear" w:color="auto" w:fill="DBE5F1" w:themeFill="accent1" w:themeFillTint="33"/>
          </w:tcPr>
          <w:p w14:paraId="6BE956CC" w14:textId="792F9622" w:rsidR="0067599A" w:rsidRPr="00C25D3F" w:rsidRDefault="0067599A" w:rsidP="0075247A">
            <w:pPr>
              <w:spacing w:before="120" w:after="120"/>
              <w:jc w:val="center"/>
            </w:pPr>
            <w:r w:rsidRPr="00447869">
              <w:rPr>
                <w:rFonts w:asciiTheme="minorHAnsi" w:hAnsiTheme="minorHAnsi"/>
                <w:b/>
              </w:rPr>
              <w:t>CRITERIA FOR THE CLINICAL USE OF INTRAVENOUS IMMUNOGLOBULIN IN AUSTRALIA, SECOND EDITION (CRITERIA)</w:t>
            </w:r>
          </w:p>
        </w:tc>
        <w:tc>
          <w:tcPr>
            <w:tcW w:w="1741" w:type="pct"/>
            <w:gridSpan w:val="3"/>
            <w:shd w:val="clear" w:color="auto" w:fill="DBE5F1" w:themeFill="accent1" w:themeFillTint="33"/>
          </w:tcPr>
          <w:p w14:paraId="0B94DF67" w14:textId="0C32488B" w:rsidR="0067599A" w:rsidRPr="0067599A" w:rsidRDefault="0067599A" w:rsidP="0075247A">
            <w:pPr>
              <w:tabs>
                <w:tab w:val="left" w:pos="1365"/>
              </w:tabs>
              <w:spacing w:before="120" w:after="120"/>
              <w:jc w:val="center"/>
            </w:pPr>
            <w:r w:rsidRPr="00447869">
              <w:rPr>
                <w:rFonts w:asciiTheme="minorHAnsi" w:hAnsiTheme="minorHAnsi"/>
                <w:b/>
              </w:rPr>
              <w:t>PROPOSED REVISIONS TO THE CRITERIA</w:t>
            </w:r>
          </w:p>
        </w:tc>
        <w:tc>
          <w:tcPr>
            <w:tcW w:w="1440" w:type="pct"/>
            <w:shd w:val="clear" w:color="auto" w:fill="DBE5F1" w:themeFill="accent1" w:themeFillTint="33"/>
          </w:tcPr>
          <w:p w14:paraId="0C8EB041" w14:textId="77777777" w:rsidR="0067599A" w:rsidRDefault="0067599A" w:rsidP="0075247A">
            <w:pPr>
              <w:spacing w:before="120" w:after="120"/>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SWG RATIONALE FOR PROPOSED CHANGE</w:t>
            </w:r>
          </w:p>
          <w:p w14:paraId="24757B2B" w14:textId="590C5B18" w:rsidR="0067599A" w:rsidRPr="00447869" w:rsidRDefault="0067599A" w:rsidP="0075247A">
            <w:pPr>
              <w:spacing w:before="120" w:after="120"/>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(A) Administrative)</w:t>
            </w:r>
          </w:p>
          <w:p w14:paraId="4A02E9AD" w14:textId="77777777" w:rsidR="0067599A" w:rsidRPr="00447869" w:rsidRDefault="0067599A" w:rsidP="0075247A">
            <w:pPr>
              <w:spacing w:before="120" w:after="120"/>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(B) Progressive</w:t>
            </w:r>
          </w:p>
          <w:p w14:paraId="17969E0E" w14:textId="6CCB6F81" w:rsidR="0067599A" w:rsidRDefault="0067599A" w:rsidP="0075247A">
            <w:pPr>
              <w:spacing w:before="120" w:after="120"/>
              <w:jc w:val="center"/>
              <w:rPr>
                <w:rFonts w:asciiTheme="minorHAnsi" w:eastAsia="Times New Roman" w:hAnsiTheme="minorHAnsi" w:cstheme="minorHAnsi"/>
                <w:color w:val="000000"/>
                <w:lang w:eastAsia="en-AU"/>
              </w:rPr>
            </w:pPr>
            <w:r w:rsidRPr="00447869">
              <w:rPr>
                <w:rFonts w:asciiTheme="minorHAnsi" w:eastAsia="Times New Roman" w:hAnsiTheme="minorHAnsi" w:cs="Times New Roman"/>
                <w:b/>
                <w:bCs/>
                <w:lang w:eastAsia="en-AU"/>
              </w:rPr>
              <w:t>(C) Programmed</w:t>
            </w:r>
          </w:p>
        </w:tc>
      </w:tr>
      <w:tr w:rsidR="0067599A" w:rsidRPr="00C25D3F" w14:paraId="74A6952E" w14:textId="77777777" w:rsidTr="00D80049">
        <w:tc>
          <w:tcPr>
            <w:tcW w:w="471" w:type="pct"/>
            <w:shd w:val="clear" w:color="auto" w:fill="D9D9D9" w:themeFill="background1" w:themeFillShade="D9"/>
          </w:tcPr>
          <w:p w14:paraId="647001C7" w14:textId="77777777" w:rsidR="0067599A" w:rsidRPr="0075247A" w:rsidRDefault="0067599A" w:rsidP="0075247A">
            <w:pPr>
              <w:spacing w:before="120" w:after="120"/>
              <w:rPr>
                <w:b/>
              </w:rPr>
            </w:pPr>
            <w:r w:rsidRPr="0075247A">
              <w:rPr>
                <w:b/>
              </w:rPr>
              <w:t>Condition Name</w:t>
            </w:r>
          </w:p>
        </w:tc>
        <w:tc>
          <w:tcPr>
            <w:tcW w:w="1348" w:type="pct"/>
          </w:tcPr>
          <w:p w14:paraId="6971D937" w14:textId="07CA9071" w:rsidR="0067599A" w:rsidRPr="00D80049" w:rsidRDefault="0067599A" w:rsidP="0075247A">
            <w:pPr>
              <w:spacing w:before="120" w:after="120"/>
              <w:rPr>
                <w:b/>
              </w:rPr>
            </w:pPr>
            <w:r w:rsidRPr="00D80049">
              <w:rPr>
                <w:b/>
              </w:rPr>
              <w:t>Inflammatory myopathies: polymyositis (PM), dermatomyositis (DM) and inclusion body myositis (IBM)</w:t>
            </w:r>
          </w:p>
          <w:p w14:paraId="437721A4" w14:textId="38F99FE8" w:rsidR="0067599A" w:rsidRPr="00D80049" w:rsidRDefault="0067599A" w:rsidP="0075247A">
            <w:pPr>
              <w:spacing w:before="120" w:after="120"/>
              <w:rPr>
                <w:b/>
              </w:rPr>
            </w:pPr>
            <w:r w:rsidRPr="00D80049">
              <w:rPr>
                <w:b/>
              </w:rPr>
              <w:t xml:space="preserve"> </w:t>
            </w:r>
          </w:p>
        </w:tc>
        <w:tc>
          <w:tcPr>
            <w:tcW w:w="1741" w:type="pct"/>
            <w:gridSpan w:val="3"/>
          </w:tcPr>
          <w:p w14:paraId="10594197" w14:textId="6DDA6E24" w:rsidR="0067599A" w:rsidRPr="00D80049" w:rsidRDefault="0067599A" w:rsidP="0075247A">
            <w:pPr>
              <w:spacing w:before="120" w:after="120"/>
              <w:rPr>
                <w:b/>
                <w:strike/>
              </w:rPr>
            </w:pPr>
            <w:r w:rsidRPr="00D80049">
              <w:rPr>
                <w:b/>
              </w:rPr>
              <w:t xml:space="preserve">Inflammatory myopathies: polymyositis (PM), dermatomyositis (DM) and necrotising autoimmune </w:t>
            </w:r>
            <w:r w:rsidR="00E161A8" w:rsidRPr="00D80049">
              <w:rPr>
                <w:b/>
              </w:rPr>
              <w:t>myopathy</w:t>
            </w:r>
            <w:r w:rsidRPr="00D80049">
              <w:rPr>
                <w:b/>
              </w:rPr>
              <w:t xml:space="preserve"> (NAM)</w:t>
            </w:r>
          </w:p>
          <w:p w14:paraId="4B35F826" w14:textId="6E22082D" w:rsidR="0067599A" w:rsidRPr="00D80049" w:rsidRDefault="0067599A" w:rsidP="0075247A">
            <w:pPr>
              <w:spacing w:before="120" w:after="120"/>
              <w:rPr>
                <w:b/>
              </w:rPr>
            </w:pPr>
          </w:p>
        </w:tc>
        <w:tc>
          <w:tcPr>
            <w:tcW w:w="1440" w:type="pct"/>
          </w:tcPr>
          <w:p w14:paraId="35715743" w14:textId="7AAD0EF0" w:rsidR="0067599A" w:rsidRDefault="0067599A" w:rsidP="0075247A">
            <w:pPr>
              <w:spacing w:before="120" w:after="12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Inflammatory Myopathies have been split into 2 conditions - Inclusion Body Myositis as a separate condition from Polymyositis (PM) and Dermatomyositis (DM). This is because the criteria and evidence for IBM is different from PM/DM. </w:t>
            </w:r>
          </w:p>
          <w:p w14:paraId="6EE73BA8" w14:textId="64919816" w:rsidR="0067599A" w:rsidRPr="00C25D3F" w:rsidRDefault="0067599A" w:rsidP="0075247A">
            <w:pPr>
              <w:spacing w:before="120" w:after="120"/>
              <w:rPr>
                <w:rFonts w:asciiTheme="minorHAnsi" w:eastAsia="Times New Roman" w:hAnsiTheme="minorHAnsi" w:cstheme="minorHAnsi"/>
                <w:color w:val="000000"/>
                <w:lang w:eastAsia="en-AU"/>
              </w:rPr>
            </w:pPr>
            <w:r w:rsidRPr="00C25D3F">
              <w:rPr>
                <w:rFonts w:asciiTheme="minorHAnsi" w:eastAsia="Times New Roman" w:hAnsiTheme="minorHAnsi" w:cstheme="minorHAnsi"/>
                <w:color w:val="000000"/>
                <w:lang w:eastAsia="en-AU"/>
              </w:rPr>
              <w:t xml:space="preserve">SWG </w:t>
            </w:r>
            <w:r>
              <w:rPr>
                <w:rFonts w:asciiTheme="minorHAnsi" w:eastAsia="Times New Roman" w:hAnsiTheme="minorHAnsi" w:cstheme="minorHAnsi"/>
                <w:color w:val="000000"/>
                <w:lang w:eastAsia="en-AU"/>
              </w:rPr>
              <w:t xml:space="preserve">recommends that Necrotising Autoimmune Myopathy (NAM) that </w:t>
            </w:r>
            <w:r w:rsidRPr="00C25D3F">
              <w:rPr>
                <w:rFonts w:asciiTheme="minorHAnsi" w:eastAsia="Times New Roman" w:hAnsiTheme="minorHAnsi" w:cstheme="minorHAnsi"/>
                <w:color w:val="000000"/>
                <w:lang w:eastAsia="en-AU"/>
              </w:rPr>
              <w:t xml:space="preserve">has been a subset of Polymyositis diagnostically but is </w:t>
            </w:r>
            <w:r>
              <w:rPr>
                <w:rFonts w:asciiTheme="minorHAnsi" w:eastAsia="Times New Roman" w:hAnsiTheme="minorHAnsi" w:cstheme="minorHAnsi"/>
                <w:color w:val="000000"/>
                <w:lang w:eastAsia="en-AU"/>
              </w:rPr>
              <w:t xml:space="preserve">now </w:t>
            </w:r>
            <w:r w:rsidRPr="00C25D3F">
              <w:rPr>
                <w:rFonts w:asciiTheme="minorHAnsi" w:eastAsia="Times New Roman" w:hAnsiTheme="minorHAnsi" w:cstheme="minorHAnsi"/>
                <w:color w:val="000000"/>
                <w:lang w:eastAsia="en-AU"/>
              </w:rPr>
              <w:t xml:space="preserve">becoming </w:t>
            </w:r>
            <w:r>
              <w:rPr>
                <w:rFonts w:asciiTheme="minorHAnsi" w:eastAsia="Times New Roman" w:hAnsiTheme="minorHAnsi" w:cstheme="minorHAnsi"/>
                <w:color w:val="000000"/>
                <w:lang w:eastAsia="en-AU"/>
              </w:rPr>
              <w:t xml:space="preserve">recognised as </w:t>
            </w:r>
            <w:r w:rsidRPr="00C25D3F">
              <w:rPr>
                <w:rFonts w:asciiTheme="minorHAnsi" w:eastAsia="Times New Roman" w:hAnsiTheme="minorHAnsi" w:cstheme="minorHAnsi"/>
                <w:color w:val="000000"/>
                <w:lang w:eastAsia="en-AU"/>
              </w:rPr>
              <w:t>a separate diagnostic entity as scientific knowledge improves. It was agreed that the capacity to use Ig should not be ceased and demand will not change by identifying these patients as a separate group. The number of patients is relatively small</w:t>
            </w:r>
            <w:r>
              <w:rPr>
                <w:rFonts w:asciiTheme="minorHAnsi" w:eastAsia="Times New Roman" w:hAnsiTheme="minorHAnsi" w:cstheme="minorHAnsi"/>
                <w:color w:val="000000"/>
                <w:lang w:eastAsia="en-AU"/>
              </w:rPr>
              <w:t xml:space="preserve"> but should be tracked in data</w:t>
            </w:r>
            <w:r w:rsidRPr="00C25D3F">
              <w:rPr>
                <w:rFonts w:asciiTheme="minorHAnsi" w:eastAsia="Times New Roman" w:hAnsiTheme="minorHAnsi" w:cstheme="minorHAnsi"/>
                <w:color w:val="000000"/>
                <w:lang w:eastAsia="en-AU"/>
              </w:rPr>
              <w:t xml:space="preserve">. </w:t>
            </w:r>
          </w:p>
          <w:p w14:paraId="707DAFC8" w14:textId="4D2CD2B0" w:rsidR="0067599A" w:rsidRPr="00C25D3F" w:rsidRDefault="0067599A" w:rsidP="0075247A">
            <w:pPr>
              <w:spacing w:before="120" w:after="120"/>
            </w:pPr>
            <w:r w:rsidRPr="00C25D3F">
              <w:rPr>
                <w:rFonts w:asciiTheme="minorHAnsi" w:eastAsia="Times New Roman" w:hAnsiTheme="minorHAnsi" w:cstheme="minorHAnsi"/>
                <w:color w:val="000000"/>
                <w:lang w:eastAsia="en-AU"/>
              </w:rPr>
              <w:t>SWG noted that NAM has a different level of evidence and agreed that it should be represented as a specific condition within the PM/DM Condition.</w:t>
            </w:r>
            <w:r>
              <w:rPr>
                <w:rFonts w:asciiTheme="minorHAnsi" w:eastAsia="Times New Roman" w:hAnsiTheme="minorHAnsi" w:cstheme="minorHAnsi"/>
                <w:color w:val="000000"/>
                <w:lang w:eastAsia="en-AU"/>
              </w:rPr>
              <w:t xml:space="preserve"> (A)</w:t>
            </w:r>
          </w:p>
        </w:tc>
      </w:tr>
      <w:tr w:rsidR="0067599A" w:rsidRPr="00C25D3F" w14:paraId="075FB508" w14:textId="77777777" w:rsidTr="00D80049">
        <w:tc>
          <w:tcPr>
            <w:tcW w:w="471" w:type="pct"/>
            <w:shd w:val="clear" w:color="auto" w:fill="D9D9D9" w:themeFill="background1" w:themeFillShade="D9"/>
          </w:tcPr>
          <w:p w14:paraId="05129922" w14:textId="77777777" w:rsidR="0067599A" w:rsidRPr="0075247A" w:rsidRDefault="0067599A" w:rsidP="0075247A">
            <w:pPr>
              <w:spacing w:before="120" w:after="120"/>
              <w:rPr>
                <w:b/>
              </w:rPr>
            </w:pPr>
            <w:r w:rsidRPr="0075247A">
              <w:rPr>
                <w:b/>
              </w:rPr>
              <w:lastRenderedPageBreak/>
              <w:t>Specialty</w:t>
            </w:r>
          </w:p>
        </w:tc>
        <w:tc>
          <w:tcPr>
            <w:tcW w:w="1348" w:type="pct"/>
          </w:tcPr>
          <w:p w14:paraId="35896DA4" w14:textId="77777777" w:rsidR="0067599A" w:rsidRPr="00C25D3F" w:rsidRDefault="0067599A" w:rsidP="0075247A">
            <w:pPr>
              <w:spacing w:before="120" w:after="120"/>
            </w:pPr>
            <w:r w:rsidRPr="00C25D3F">
              <w:t>Neurology</w:t>
            </w:r>
          </w:p>
        </w:tc>
        <w:tc>
          <w:tcPr>
            <w:tcW w:w="1741" w:type="pct"/>
            <w:gridSpan w:val="3"/>
          </w:tcPr>
          <w:p w14:paraId="74400C11" w14:textId="3379827E" w:rsidR="0067599A" w:rsidRPr="00C25D3F" w:rsidRDefault="0067599A" w:rsidP="0075247A">
            <w:pPr>
              <w:spacing w:before="120" w:after="120"/>
            </w:pPr>
            <w:r>
              <w:t>Neurology</w:t>
            </w:r>
          </w:p>
        </w:tc>
        <w:tc>
          <w:tcPr>
            <w:tcW w:w="1440" w:type="pct"/>
          </w:tcPr>
          <w:p w14:paraId="581BE0CF" w14:textId="77777777" w:rsidR="0067599A" w:rsidRPr="00C25D3F" w:rsidRDefault="0067599A" w:rsidP="0075247A">
            <w:pPr>
              <w:spacing w:before="120" w:after="120"/>
            </w:pPr>
          </w:p>
        </w:tc>
      </w:tr>
      <w:tr w:rsidR="0067599A" w:rsidRPr="00C25D3F" w14:paraId="1AD484FA" w14:textId="77777777" w:rsidTr="00D80049">
        <w:tc>
          <w:tcPr>
            <w:tcW w:w="471" w:type="pct"/>
            <w:shd w:val="clear" w:color="auto" w:fill="D9D9D9" w:themeFill="background1" w:themeFillShade="D9"/>
          </w:tcPr>
          <w:p w14:paraId="442AF144" w14:textId="77777777" w:rsidR="0067599A" w:rsidRPr="0075247A" w:rsidRDefault="0067599A" w:rsidP="0075247A">
            <w:pPr>
              <w:spacing w:before="120" w:after="120"/>
              <w:rPr>
                <w:b/>
              </w:rPr>
            </w:pPr>
            <w:r w:rsidRPr="0075247A">
              <w:rPr>
                <w:b/>
              </w:rPr>
              <w:t>Chapter</w:t>
            </w:r>
          </w:p>
        </w:tc>
        <w:tc>
          <w:tcPr>
            <w:tcW w:w="1348" w:type="pct"/>
          </w:tcPr>
          <w:p w14:paraId="3E76979E" w14:textId="77777777" w:rsidR="0067599A" w:rsidRPr="00C25D3F" w:rsidRDefault="0067599A" w:rsidP="0075247A">
            <w:pPr>
              <w:spacing w:before="120" w:after="120"/>
            </w:pPr>
            <w:r w:rsidRPr="00C25D3F">
              <w:t>5</w:t>
            </w:r>
          </w:p>
        </w:tc>
        <w:tc>
          <w:tcPr>
            <w:tcW w:w="1741" w:type="pct"/>
            <w:gridSpan w:val="3"/>
          </w:tcPr>
          <w:p w14:paraId="66A36109" w14:textId="2BEFCE2E" w:rsidR="0067599A" w:rsidRPr="00C25D3F" w:rsidRDefault="0067599A" w:rsidP="0075247A">
            <w:pPr>
              <w:spacing w:before="120" w:after="120"/>
            </w:pPr>
            <w:r>
              <w:t>5</w:t>
            </w:r>
          </w:p>
        </w:tc>
        <w:tc>
          <w:tcPr>
            <w:tcW w:w="1440" w:type="pct"/>
          </w:tcPr>
          <w:p w14:paraId="24CE91E7" w14:textId="77777777" w:rsidR="0067599A" w:rsidRPr="00C25D3F" w:rsidRDefault="0067599A" w:rsidP="0075247A">
            <w:pPr>
              <w:spacing w:before="120" w:after="120"/>
            </w:pPr>
          </w:p>
        </w:tc>
      </w:tr>
      <w:tr w:rsidR="0067599A" w:rsidRPr="00C25D3F" w14:paraId="2A588976" w14:textId="77777777" w:rsidTr="00D80049">
        <w:tc>
          <w:tcPr>
            <w:tcW w:w="471" w:type="pct"/>
            <w:shd w:val="clear" w:color="auto" w:fill="D9D9D9" w:themeFill="background1" w:themeFillShade="D9"/>
          </w:tcPr>
          <w:p w14:paraId="65FE2DBB" w14:textId="77777777" w:rsidR="0067599A" w:rsidRPr="0075247A" w:rsidRDefault="0067599A" w:rsidP="0075247A">
            <w:pPr>
              <w:spacing w:before="120" w:after="120"/>
              <w:rPr>
                <w:b/>
              </w:rPr>
            </w:pPr>
            <w:r w:rsidRPr="0075247A">
              <w:rPr>
                <w:b/>
              </w:rPr>
              <w:t>Specific Conditions</w:t>
            </w:r>
          </w:p>
          <w:p w14:paraId="5A15A805" w14:textId="77777777" w:rsidR="0067599A" w:rsidRPr="0075247A" w:rsidRDefault="0067599A" w:rsidP="0075247A">
            <w:pPr>
              <w:spacing w:before="120" w:after="120"/>
              <w:rPr>
                <w:b/>
              </w:rPr>
            </w:pPr>
          </w:p>
        </w:tc>
        <w:tc>
          <w:tcPr>
            <w:tcW w:w="1348" w:type="pct"/>
          </w:tcPr>
          <w:p w14:paraId="55AE967E" w14:textId="77777777" w:rsidR="0067599A" w:rsidRPr="00C25D3F" w:rsidRDefault="0067599A" w:rsidP="0075247A">
            <w:pPr>
              <w:spacing w:before="120" w:after="120"/>
            </w:pPr>
            <w:r w:rsidRPr="00C25D3F">
              <w:t>Polymyositis (PM);</w:t>
            </w:r>
          </w:p>
          <w:p w14:paraId="318E065D" w14:textId="77777777" w:rsidR="0067599A" w:rsidRDefault="0067599A" w:rsidP="0075247A">
            <w:pPr>
              <w:spacing w:before="120" w:after="120"/>
            </w:pPr>
            <w:r w:rsidRPr="00C25D3F">
              <w:t xml:space="preserve">Dermatomyositis (DM); </w:t>
            </w:r>
          </w:p>
          <w:p w14:paraId="40560CAC" w14:textId="3096DDC6" w:rsidR="0067599A" w:rsidRPr="00C25D3F" w:rsidRDefault="0067599A" w:rsidP="0075247A">
            <w:pPr>
              <w:spacing w:before="120" w:after="120"/>
            </w:pPr>
            <w:r w:rsidRPr="00C25D3F">
              <w:t>Inclusion body myositis (IBM)</w:t>
            </w:r>
          </w:p>
          <w:p w14:paraId="0BDBBCDC" w14:textId="362B2DEF" w:rsidR="0067599A" w:rsidRPr="00C25D3F" w:rsidRDefault="0067599A" w:rsidP="0075247A">
            <w:pPr>
              <w:spacing w:before="120" w:after="120"/>
            </w:pPr>
          </w:p>
        </w:tc>
        <w:tc>
          <w:tcPr>
            <w:tcW w:w="1741" w:type="pct"/>
            <w:gridSpan w:val="3"/>
          </w:tcPr>
          <w:p w14:paraId="007A1ABD" w14:textId="1D36F220" w:rsidR="0067599A" w:rsidRPr="00C25D3F" w:rsidRDefault="0067599A" w:rsidP="0075247A">
            <w:pPr>
              <w:spacing w:before="120" w:after="120"/>
            </w:pPr>
            <w:r w:rsidRPr="00C25D3F">
              <w:t>Polymyositis (PM)</w:t>
            </w:r>
          </w:p>
          <w:p w14:paraId="5C2317A7" w14:textId="5FF375FD" w:rsidR="0067599A" w:rsidRDefault="0067599A" w:rsidP="0075247A">
            <w:pPr>
              <w:spacing w:before="120" w:after="120"/>
            </w:pPr>
            <w:r w:rsidRPr="00C25D3F">
              <w:t>Dermatomyositis (DM)</w:t>
            </w:r>
          </w:p>
          <w:p w14:paraId="07E8ECC3" w14:textId="643F697B" w:rsidR="0067599A" w:rsidRPr="00C25D3F" w:rsidRDefault="0067599A" w:rsidP="0075247A">
            <w:pPr>
              <w:spacing w:before="120" w:after="120"/>
            </w:pPr>
            <w:r w:rsidRPr="00C25D3F">
              <w:t xml:space="preserve">Necrotising </w:t>
            </w:r>
            <w:r>
              <w:t>a</w:t>
            </w:r>
            <w:r w:rsidRPr="00C25D3F">
              <w:t xml:space="preserve">utoimmune </w:t>
            </w:r>
            <w:r>
              <w:t>m</w:t>
            </w:r>
            <w:r w:rsidRPr="00C25D3F">
              <w:t>yopathy</w:t>
            </w:r>
            <w:r>
              <w:t xml:space="preserve"> (NAM)</w:t>
            </w:r>
          </w:p>
        </w:tc>
        <w:tc>
          <w:tcPr>
            <w:tcW w:w="1440" w:type="pct"/>
          </w:tcPr>
          <w:p w14:paraId="0DCFA818" w14:textId="77777777" w:rsidR="0067599A" w:rsidRPr="00C25D3F" w:rsidRDefault="0067599A" w:rsidP="0075247A">
            <w:pPr>
              <w:spacing w:before="120" w:after="120"/>
            </w:pPr>
          </w:p>
        </w:tc>
      </w:tr>
      <w:tr w:rsidR="0067599A" w:rsidRPr="00C25D3F" w14:paraId="4CEBD3D2" w14:textId="77777777" w:rsidTr="00D80049">
        <w:tc>
          <w:tcPr>
            <w:tcW w:w="471" w:type="pct"/>
            <w:shd w:val="clear" w:color="auto" w:fill="D9D9D9" w:themeFill="background1" w:themeFillShade="D9"/>
          </w:tcPr>
          <w:p w14:paraId="219E4F0F" w14:textId="25D03A37" w:rsidR="0067599A" w:rsidRPr="0075247A" w:rsidRDefault="0067599A" w:rsidP="0075247A">
            <w:pPr>
              <w:spacing w:before="120" w:after="120"/>
              <w:rPr>
                <w:b/>
              </w:rPr>
            </w:pPr>
            <w:r w:rsidRPr="0075247A">
              <w:rPr>
                <w:b/>
              </w:rPr>
              <w:t>Level of Evidence</w:t>
            </w:r>
          </w:p>
          <w:p w14:paraId="514BA819" w14:textId="351D1307" w:rsidR="0067599A" w:rsidRPr="0075247A" w:rsidRDefault="0067599A" w:rsidP="0075247A">
            <w:pPr>
              <w:spacing w:before="120" w:after="120"/>
              <w:rPr>
                <w:b/>
              </w:rPr>
            </w:pPr>
          </w:p>
        </w:tc>
        <w:tc>
          <w:tcPr>
            <w:tcW w:w="1348" w:type="pct"/>
          </w:tcPr>
          <w:p w14:paraId="5E7CA304" w14:textId="77777777" w:rsidR="0067599A" w:rsidRPr="00C25D3F" w:rsidRDefault="0067599A" w:rsidP="0075247A">
            <w:pPr>
              <w:spacing w:before="120" w:after="120"/>
              <w:rPr>
                <w:rFonts w:asciiTheme="minorHAnsi" w:hAnsiTheme="minorHAnsi" w:cs="DIN-Light"/>
                <w:color w:val="000000"/>
              </w:rPr>
            </w:pPr>
            <w:r w:rsidRPr="00C25D3F">
              <w:rPr>
                <w:rFonts w:asciiTheme="minorHAnsi" w:hAnsiTheme="minorHAnsi" w:cs="DIN-Light"/>
                <w:color w:val="000000"/>
              </w:rPr>
              <w:t>Evidence of probable benefit (Category 2a).</w:t>
            </w:r>
          </w:p>
        </w:tc>
        <w:tc>
          <w:tcPr>
            <w:tcW w:w="1741" w:type="pct"/>
            <w:gridSpan w:val="3"/>
          </w:tcPr>
          <w:p w14:paraId="349CD310" w14:textId="6FBE7BFB" w:rsidR="0067599A" w:rsidRPr="00C25D3F" w:rsidRDefault="0067599A" w:rsidP="0075247A">
            <w:pPr>
              <w:spacing w:before="120" w:after="120"/>
              <w:rPr>
                <w:rFonts w:asciiTheme="minorHAnsi" w:hAnsiTheme="minorHAnsi" w:cstheme="minorHAnsi"/>
              </w:rPr>
            </w:pPr>
            <w:r w:rsidRPr="00C25D3F">
              <w:rPr>
                <w:rFonts w:asciiTheme="minorHAnsi" w:hAnsiTheme="minorHAnsi" w:cstheme="minorHAnsi"/>
              </w:rPr>
              <w:t xml:space="preserve">PM and DM </w:t>
            </w:r>
            <w:r>
              <w:rPr>
                <w:rFonts w:asciiTheme="minorHAnsi" w:hAnsiTheme="minorHAnsi" w:cstheme="minorHAnsi"/>
              </w:rPr>
              <w:t>–</w:t>
            </w:r>
            <w:r w:rsidRPr="00C25D3F">
              <w:rPr>
                <w:rFonts w:asciiTheme="minorHAnsi" w:hAnsiTheme="minorHAnsi" w:cstheme="minorHAnsi"/>
              </w:rPr>
              <w:t xml:space="preserve"> Evidence of probable benefit (Category 2a).</w:t>
            </w:r>
          </w:p>
          <w:p w14:paraId="6E86CBC8" w14:textId="7F59CFCB" w:rsidR="0067599A" w:rsidRPr="00C25D3F" w:rsidRDefault="0067599A" w:rsidP="0075247A">
            <w:pPr>
              <w:spacing w:before="120" w:after="120"/>
            </w:pPr>
            <w:r w:rsidRPr="00EE62F6">
              <w:rPr>
                <w:rFonts w:asciiTheme="minorHAnsi" w:hAnsiTheme="minorHAnsi" w:cstheme="minorHAnsi"/>
              </w:rPr>
              <w:t>NAM – Small case studies only, insufficient data (Category 4a)</w:t>
            </w:r>
          </w:p>
        </w:tc>
        <w:tc>
          <w:tcPr>
            <w:tcW w:w="1440" w:type="pct"/>
          </w:tcPr>
          <w:p w14:paraId="4444B71C" w14:textId="578FEB6C" w:rsidR="0067599A" w:rsidRPr="00C25D3F" w:rsidRDefault="0067599A" w:rsidP="0075247A">
            <w:pPr>
              <w:spacing w:before="120" w:after="120"/>
            </w:pPr>
            <w:r>
              <w:t xml:space="preserve">Level of evidence was confirmed for all specific conditions. </w:t>
            </w:r>
          </w:p>
        </w:tc>
      </w:tr>
      <w:tr w:rsidR="0067599A" w:rsidRPr="00C25D3F" w14:paraId="634AFCEF" w14:textId="77777777" w:rsidTr="00D80049">
        <w:tc>
          <w:tcPr>
            <w:tcW w:w="471" w:type="pct"/>
            <w:shd w:val="clear" w:color="auto" w:fill="D9D9D9" w:themeFill="background1" w:themeFillShade="D9"/>
          </w:tcPr>
          <w:p w14:paraId="33910FE5" w14:textId="77777777" w:rsidR="0067599A" w:rsidRPr="0075247A" w:rsidRDefault="0067599A" w:rsidP="0075247A">
            <w:pPr>
              <w:spacing w:before="120" w:after="120"/>
              <w:rPr>
                <w:b/>
              </w:rPr>
            </w:pPr>
            <w:r w:rsidRPr="0075247A">
              <w:rPr>
                <w:b/>
              </w:rPr>
              <w:t>Description and Diagnostic Criteria</w:t>
            </w:r>
          </w:p>
          <w:p w14:paraId="5F1B817B" w14:textId="2EB56BC3" w:rsidR="0067599A" w:rsidRPr="0075247A" w:rsidRDefault="0067599A" w:rsidP="0075247A">
            <w:pPr>
              <w:spacing w:before="120" w:after="120"/>
              <w:rPr>
                <w:b/>
              </w:rPr>
            </w:pPr>
          </w:p>
        </w:tc>
        <w:tc>
          <w:tcPr>
            <w:tcW w:w="1348" w:type="pct"/>
          </w:tcPr>
          <w:p w14:paraId="3D433BDA" w14:textId="77777777" w:rsidR="0067599A" w:rsidRPr="00C25D3F" w:rsidRDefault="0067599A" w:rsidP="0075247A">
            <w:pPr>
              <w:spacing w:before="120" w:after="120"/>
            </w:pPr>
            <w:r w:rsidRPr="00C25D3F">
              <w:t>The inflammatory myopathies are a group of three discrete disorders of skeletal muscle: DM, PM and IBM.</w:t>
            </w:r>
          </w:p>
          <w:p w14:paraId="575BF0D0" w14:textId="77777777" w:rsidR="0067599A" w:rsidRPr="00C25D3F" w:rsidRDefault="0067599A" w:rsidP="0075247A">
            <w:pPr>
              <w:spacing w:before="120" w:after="120"/>
            </w:pPr>
            <w:r w:rsidRPr="00C25D3F">
              <w:t>These disorders are acquired and have in common the occurrence of significant muscle weakness and the presence of an inflammatory response within the muscle.</w:t>
            </w:r>
          </w:p>
          <w:p w14:paraId="7D323480" w14:textId="77777777" w:rsidR="0067599A" w:rsidRPr="00C25D3F" w:rsidRDefault="0067599A" w:rsidP="0075247A">
            <w:pPr>
              <w:spacing w:before="120" w:after="120"/>
            </w:pPr>
            <w:r w:rsidRPr="00C25D3F">
              <w:t>The diagnosis of DM, PM or IBM is usually made</w:t>
            </w:r>
          </w:p>
          <w:p w14:paraId="0A1503A5" w14:textId="77777777" w:rsidR="0067599A" w:rsidRPr="00C25D3F" w:rsidRDefault="0067599A" w:rsidP="0075247A">
            <w:pPr>
              <w:spacing w:before="120" w:after="120"/>
            </w:pPr>
            <w:r w:rsidRPr="00C25D3F">
              <w:t xml:space="preserve">by neurologists or rheumatologists, and </w:t>
            </w:r>
            <w:r w:rsidRPr="00C25D3F">
              <w:lastRenderedPageBreak/>
              <w:t>relies on</w:t>
            </w:r>
          </w:p>
          <w:p w14:paraId="63398F34" w14:textId="77777777" w:rsidR="0067599A" w:rsidRPr="00C25D3F" w:rsidRDefault="0067599A" w:rsidP="0075247A">
            <w:pPr>
              <w:spacing w:before="120" w:after="120"/>
            </w:pPr>
            <w:r w:rsidRPr="00C25D3F">
              <w:t>the combination of careful clinical evaluation, an elevated creatine kinase level, electromyography and muscle biopsy.</w:t>
            </w:r>
          </w:p>
        </w:tc>
        <w:tc>
          <w:tcPr>
            <w:tcW w:w="1741" w:type="pct"/>
            <w:gridSpan w:val="3"/>
          </w:tcPr>
          <w:p w14:paraId="2AF3B655" w14:textId="6733FBD5" w:rsidR="0067599A" w:rsidRPr="00C25D3F" w:rsidRDefault="0067599A" w:rsidP="0075247A">
            <w:pPr>
              <w:tabs>
                <w:tab w:val="left" w:pos="520"/>
              </w:tabs>
              <w:spacing w:before="120" w:after="120"/>
            </w:pPr>
            <w:r w:rsidRPr="00C25D3F">
              <w:lastRenderedPageBreak/>
              <w:t>Dermatomyositis and polymyositis are idiopathic inflammatory myopathies.</w:t>
            </w:r>
            <w:r>
              <w:t xml:space="preserve">  </w:t>
            </w:r>
            <w:r w:rsidRPr="00C762F4">
              <w:t>Necrotizing autoimmune myopathy typically has necrotic myofibres with less inflammatory infiltrate and the absence of direct myocyte invasion by lymphocytes.</w:t>
            </w:r>
            <w:r>
              <w:t xml:space="preserve"> </w:t>
            </w:r>
            <w:r w:rsidRPr="00C25D3F">
              <w:t>These disorders are acquired and have in common the occurrence of significant muscle weakness and the presence of an inflammatory response within the muscle. The weakness usually develops subacutely but may be chronic and present over many months. Proximal muscles are predominantly affected in a symmetric fashion.</w:t>
            </w:r>
          </w:p>
          <w:p w14:paraId="1C5BCC04" w14:textId="1E03CEB5" w:rsidR="009764B5" w:rsidRPr="009764B5" w:rsidRDefault="009764B5" w:rsidP="009764B5">
            <w:pPr>
              <w:tabs>
                <w:tab w:val="left" w:pos="520"/>
              </w:tabs>
              <w:rPr>
                <w:ins w:id="2" w:author="Philippa Hetzel" w:date="2015-10-22T14:48:00Z"/>
              </w:rPr>
            </w:pPr>
            <w:ins w:id="3" w:author="Philippa Hetzel" w:date="2015-10-22T14:48:00Z">
              <w:r>
                <w:lastRenderedPageBreak/>
                <w:t>In adults, t</w:t>
              </w:r>
            </w:ins>
            <w:r w:rsidR="0067599A" w:rsidRPr="00C25D3F">
              <w:t>he diagnosis of DM</w:t>
            </w:r>
            <w:r w:rsidR="0067599A">
              <w:t>,</w:t>
            </w:r>
            <w:r w:rsidR="0067599A" w:rsidRPr="00C25D3F">
              <w:t xml:space="preserve"> PM </w:t>
            </w:r>
            <w:r w:rsidR="0067599A">
              <w:t xml:space="preserve">and NAM </w:t>
            </w:r>
            <w:r w:rsidR="0067599A" w:rsidRPr="00C25D3F">
              <w:t>relies on the combination of careful clinical evaluation, an elevated creatine kinase level, electromyography and muscle biopsy.</w:t>
            </w:r>
            <w:r w:rsidR="0067599A">
              <w:t xml:space="preserve"> </w:t>
            </w:r>
            <w:ins w:id="4" w:author="Philippa Hetzel" w:date="2015-10-22T14:48:00Z">
              <w:r w:rsidRPr="00C36D2D">
                <w:rPr>
                  <w:sz w:val="18"/>
                  <w:szCs w:val="18"/>
                </w:rPr>
                <w:t>.</w:t>
              </w:r>
              <w:r>
                <w:rPr>
                  <w:sz w:val="18"/>
                  <w:szCs w:val="18"/>
                </w:rPr>
                <w:t xml:space="preserve"> </w:t>
              </w:r>
              <w:r w:rsidRPr="009764B5">
                <w:t xml:space="preserve">In children, the combination of </w:t>
              </w:r>
            </w:ins>
            <w:ins w:id="5" w:author="Philippa Hetzel" w:date="2015-10-26T17:24:00Z">
              <w:r w:rsidR="00673DA2">
                <w:t xml:space="preserve">a characteristic </w:t>
              </w:r>
            </w:ins>
            <w:ins w:id="6" w:author="Philippa Hetzel" w:date="2015-10-22T14:48:00Z">
              <w:r w:rsidRPr="009764B5">
                <w:t xml:space="preserve">rash, raised muscle enzymes, an objective measure of muscle weakness e.g. </w:t>
              </w:r>
              <w:r w:rsidRPr="009764B5">
                <w:rPr>
                  <w:rFonts w:asciiTheme="minorHAnsi" w:eastAsia="Times New Roman" w:hAnsiTheme="minorHAnsi" w:cs="Times New Roman"/>
                  <w:color w:val="000000"/>
                  <w:lang w:eastAsia="en-AU"/>
                </w:rPr>
                <w:t>Childhood Myositis Assessment Scale (</w:t>
              </w:r>
              <w:r w:rsidRPr="009764B5">
                <w:t xml:space="preserve">CMAS) and typical MRI scan </w:t>
              </w:r>
            </w:ins>
            <w:ins w:id="7" w:author="Philippa Hetzel" w:date="2015-10-26T17:24:00Z">
              <w:r w:rsidR="00673DA2">
                <w:t>abnormalities</w:t>
              </w:r>
            </w:ins>
            <w:ins w:id="8" w:author="Philippa Hetzel" w:date="2015-10-22T14:48:00Z">
              <w:r w:rsidRPr="009764B5">
                <w:t xml:space="preserve"> are </w:t>
              </w:r>
            </w:ins>
            <w:ins w:id="9" w:author="Philippa Hetzel" w:date="2015-10-26T17:25:00Z">
              <w:r w:rsidR="00673DA2">
                <w:t>considered sufficient for</w:t>
              </w:r>
            </w:ins>
            <w:ins w:id="10" w:author="Philippa Hetzel" w:date="2015-10-22T14:48:00Z">
              <w:r w:rsidR="00673DA2">
                <w:t xml:space="preserve"> diagnosis, with muscle biopsy reserved for atypical cases.</w:t>
              </w:r>
              <w:r w:rsidRPr="009764B5">
                <w:t xml:space="preserve"> </w:t>
              </w:r>
            </w:ins>
          </w:p>
          <w:p w14:paraId="2CF7907B" w14:textId="7E12A358" w:rsidR="0067599A" w:rsidRPr="00C25D3F" w:rsidRDefault="0067599A" w:rsidP="0075247A">
            <w:pPr>
              <w:tabs>
                <w:tab w:val="left" w:pos="520"/>
              </w:tabs>
              <w:spacing w:before="120" w:after="120"/>
            </w:pPr>
            <w:r w:rsidRPr="009764B5">
              <w:t xml:space="preserve"> NAM is often associated </w:t>
            </w:r>
            <w:r w:rsidRPr="00C762F4">
              <w:t xml:space="preserve">with a history of statin exposure, and </w:t>
            </w:r>
            <w:r w:rsidRPr="0067599A">
              <w:t>the presence of autoantibodies against HMG</w:t>
            </w:r>
            <w:r w:rsidRPr="00C762F4">
              <w:t xml:space="preserve"> coenzyme reductase, or other muscle antigens.</w:t>
            </w:r>
          </w:p>
          <w:p w14:paraId="51273F8A" w14:textId="77777777" w:rsidR="0067599A" w:rsidRDefault="0067599A" w:rsidP="0075247A">
            <w:pPr>
              <w:spacing w:before="120" w:after="120"/>
            </w:pPr>
          </w:p>
          <w:p w14:paraId="3237BBEC" w14:textId="2C7D7574" w:rsidR="0067599A" w:rsidRPr="00C25D3F" w:rsidRDefault="0067599A" w:rsidP="0075247A">
            <w:pPr>
              <w:spacing w:before="120" w:after="120"/>
            </w:pPr>
          </w:p>
        </w:tc>
        <w:tc>
          <w:tcPr>
            <w:tcW w:w="1440" w:type="pct"/>
          </w:tcPr>
          <w:p w14:paraId="0F08842C" w14:textId="77777777" w:rsidR="00FB2214" w:rsidRDefault="0067599A" w:rsidP="00673DA2">
            <w:pPr>
              <w:spacing w:before="120" w:after="120"/>
              <w:rPr>
                <w:ins w:id="11" w:author="Philippa Hetzel" w:date="2015-10-26T17:35:00Z"/>
              </w:rPr>
            </w:pPr>
            <w:r>
              <w:lastRenderedPageBreak/>
              <w:t xml:space="preserve">Diagnostic criteria have been revised and updated including NAM. </w:t>
            </w:r>
            <w:ins w:id="12" w:author="Philippa Hetzel" w:date="2015-10-22T14:49:00Z">
              <w:r w:rsidR="009764B5">
                <w:t xml:space="preserve"> </w:t>
              </w:r>
            </w:ins>
          </w:p>
          <w:p w14:paraId="1F311425" w14:textId="54C343CE" w:rsidR="0067599A" w:rsidRPr="00C25D3F" w:rsidRDefault="009764B5" w:rsidP="00673DA2">
            <w:pPr>
              <w:spacing w:before="120" w:after="120"/>
            </w:pPr>
            <w:ins w:id="13" w:author="Philippa Hetzel" w:date="2015-10-22T14:49:00Z">
              <w:r>
                <w:t xml:space="preserve">Feedback from public consultation has confirmed the different approach </w:t>
              </w:r>
            </w:ins>
            <w:ins w:id="14" w:author="Philippa Hetzel" w:date="2015-10-22T14:50:00Z">
              <w:r>
                <w:t>applied</w:t>
              </w:r>
            </w:ins>
            <w:ins w:id="15" w:author="Philippa Hetzel" w:date="2015-10-22T14:49:00Z">
              <w:r>
                <w:t xml:space="preserve"> in the diagnosis of children and therefore a separate indication has been developed</w:t>
              </w:r>
            </w:ins>
            <w:ins w:id="16" w:author="Philippa Hetzel" w:date="2015-10-22T14:50:00Z">
              <w:r>
                <w:t xml:space="preserve"> due to the different qualifying criteria</w:t>
              </w:r>
            </w:ins>
            <w:ins w:id="17" w:author="Philippa Hetzel" w:date="2015-10-22T14:49:00Z">
              <w:r>
                <w:t xml:space="preserve">. </w:t>
              </w:r>
            </w:ins>
            <w:r w:rsidR="0067599A">
              <w:t>(A)</w:t>
            </w:r>
          </w:p>
        </w:tc>
      </w:tr>
      <w:tr w:rsidR="00704E07" w:rsidRPr="00C25D3F" w14:paraId="1B82EDFF" w14:textId="77777777" w:rsidTr="009764B5">
        <w:tc>
          <w:tcPr>
            <w:tcW w:w="471" w:type="pct"/>
            <w:shd w:val="clear" w:color="auto" w:fill="D9D9D9" w:themeFill="background1" w:themeFillShade="D9"/>
          </w:tcPr>
          <w:p w14:paraId="2C468432" w14:textId="77777777" w:rsidR="00704E07" w:rsidRPr="0075247A" w:rsidRDefault="00704E07" w:rsidP="009764B5">
            <w:pPr>
              <w:spacing w:before="120" w:after="120"/>
              <w:rPr>
                <w:b/>
              </w:rPr>
            </w:pPr>
            <w:r w:rsidRPr="0075247A">
              <w:rPr>
                <w:b/>
              </w:rPr>
              <w:lastRenderedPageBreak/>
              <w:t>Justification for Evidence Category</w:t>
            </w:r>
          </w:p>
          <w:p w14:paraId="284A2DBC" w14:textId="77777777" w:rsidR="00704E07" w:rsidRPr="0075247A" w:rsidRDefault="00704E07" w:rsidP="009764B5">
            <w:pPr>
              <w:spacing w:before="120" w:after="120"/>
              <w:rPr>
                <w:b/>
              </w:rPr>
            </w:pPr>
          </w:p>
        </w:tc>
        <w:tc>
          <w:tcPr>
            <w:tcW w:w="1348" w:type="pct"/>
          </w:tcPr>
          <w:p w14:paraId="40C94848" w14:textId="77777777" w:rsidR="00704E07" w:rsidRPr="00C25D3F" w:rsidRDefault="00704E07" w:rsidP="009764B5">
            <w:pPr>
              <w:spacing w:before="120" w:after="120"/>
              <w:rPr>
                <w:rFonts w:cs="DIN-Light"/>
                <w:color w:val="000000"/>
              </w:rPr>
            </w:pPr>
            <w:r w:rsidRPr="00C25D3F">
              <w:rPr>
                <w:rFonts w:cs="DIN-Light"/>
                <w:color w:val="000000"/>
              </w:rPr>
              <w:t>PM: The Biotext (2004) review included one prospective case-series study of 35 adults with chronic refractory polymyositis. IVIg may be of benefit in these patients, improve mean muscle power and allow reduction in dose of corticosteroid. Further research is needed.</w:t>
            </w:r>
          </w:p>
          <w:p w14:paraId="04E6DAD6" w14:textId="77777777" w:rsidR="00704E07" w:rsidRPr="00C25D3F" w:rsidRDefault="00704E07" w:rsidP="009764B5">
            <w:pPr>
              <w:spacing w:before="120" w:after="120"/>
            </w:pPr>
          </w:p>
          <w:p w14:paraId="2765EDB4" w14:textId="77777777" w:rsidR="00704E07" w:rsidRPr="00C25D3F" w:rsidRDefault="00704E07" w:rsidP="009764B5">
            <w:pPr>
              <w:spacing w:before="120" w:after="120"/>
            </w:pPr>
            <w:r w:rsidRPr="00C25D3F">
              <w:lastRenderedPageBreak/>
              <w:t>DM: The Biotext (2004) review included one double-blind, placebo-controlled trial considered of low quality of 15 patients with biopsy-confirmed, treatment-resistant dermatomyositis. IVIg treatment combined with prednisone led to significant improvement in muscle strength and neuromuscular symptoms of patients in the intervention group (n=8).</w:t>
            </w:r>
          </w:p>
          <w:p w14:paraId="0C5CE172" w14:textId="77777777" w:rsidR="00704E07" w:rsidRPr="00C25D3F" w:rsidRDefault="00704E07" w:rsidP="009764B5">
            <w:pPr>
              <w:spacing w:before="120" w:after="120"/>
            </w:pPr>
          </w:p>
          <w:p w14:paraId="624177BA" w14:textId="77777777" w:rsidR="00704E07" w:rsidRPr="00C25D3F" w:rsidRDefault="00704E07" w:rsidP="009764B5">
            <w:pPr>
              <w:spacing w:before="120" w:after="120"/>
            </w:pPr>
            <w:r w:rsidRPr="00C25D3F">
              <w:t>IBM: The Biotext (2004) review included three small controlled studies, two of which had a crossover design. A total sample of 77 patients diagnosed with IBM was followed for between 4 and 12 months. The three studies showed possible slight benefit in reducing endomysial inflammation, disease progression and severity of IBM. Further research is needed.</w:t>
            </w:r>
          </w:p>
          <w:p w14:paraId="049B05F2" w14:textId="77777777" w:rsidR="00704E07" w:rsidRPr="00C25D3F" w:rsidRDefault="00704E07" w:rsidP="009764B5">
            <w:pPr>
              <w:spacing w:before="120" w:after="120"/>
            </w:pPr>
          </w:p>
          <w:p w14:paraId="4A3FD38E" w14:textId="77777777" w:rsidR="00704E07" w:rsidRPr="00C25D3F" w:rsidRDefault="00704E07" w:rsidP="009764B5">
            <w:pPr>
              <w:spacing w:before="120" w:after="120"/>
            </w:pPr>
            <w:r w:rsidRPr="00C25D3F">
              <w:t>One submission reported the effectiveness of</w:t>
            </w:r>
          </w:p>
          <w:p w14:paraId="0DA3C2BC" w14:textId="77777777" w:rsidR="00704E07" w:rsidRPr="00C25D3F" w:rsidRDefault="00704E07" w:rsidP="009764B5">
            <w:pPr>
              <w:spacing w:before="120" w:after="120"/>
            </w:pPr>
            <w:r w:rsidRPr="00C25D3F">
              <w:t xml:space="preserve">IVIg therapy for PM and DM as add-on therapy for patients who have not </w:t>
            </w:r>
            <w:r w:rsidRPr="00C25D3F">
              <w:lastRenderedPageBreak/>
              <w:t>responded to steroids and immunosuppression (NSW IVIg User Group).</w:t>
            </w:r>
          </w:p>
          <w:p w14:paraId="5E725919" w14:textId="77777777" w:rsidR="00704E07" w:rsidRPr="00C25D3F" w:rsidRDefault="00704E07" w:rsidP="009764B5">
            <w:pPr>
              <w:spacing w:before="120" w:after="120"/>
            </w:pPr>
            <w:r w:rsidRPr="00C25D3F">
              <w:t>A further submission confirms a role for IVIg as add-on maintenance therapy in some patients resulting in an increased chance of complete remission and reduction in corticosteroid dose.</w:t>
            </w:r>
          </w:p>
          <w:p w14:paraId="63D0F3C3" w14:textId="77777777" w:rsidR="00704E07" w:rsidRPr="00C25D3F" w:rsidRDefault="00704E07" w:rsidP="009764B5">
            <w:pPr>
              <w:spacing w:before="120" w:after="120"/>
            </w:pPr>
            <w:r w:rsidRPr="00C25D3F">
              <w:t>A third submission suggests that IVIg can be tried as add-on treatment for patients with PM or DM who have not responded adequately to corticosteroids and second-line immunosuppressive agents (Asia–Pacific IVIg Advisory Board 2004).</w:t>
            </w:r>
          </w:p>
          <w:p w14:paraId="62247E51" w14:textId="77777777" w:rsidR="00704E07" w:rsidRPr="00C25D3F" w:rsidRDefault="00704E07" w:rsidP="009764B5">
            <w:pPr>
              <w:spacing w:before="120" w:after="120"/>
            </w:pPr>
          </w:p>
          <w:p w14:paraId="2D0EDAA5" w14:textId="77777777" w:rsidR="00704E07" w:rsidRPr="00C25D3F" w:rsidRDefault="00704E07" w:rsidP="009764B5">
            <w:pPr>
              <w:spacing w:before="120" w:after="120"/>
            </w:pPr>
            <w:r w:rsidRPr="00C25D3F">
              <w:t>Weak evidence suggests that it may benefit patients with dysphagia associated with IBM (Asia–Pacific IVIg Advisory Board 2004).</w:t>
            </w:r>
          </w:p>
        </w:tc>
        <w:tc>
          <w:tcPr>
            <w:tcW w:w="1741" w:type="pct"/>
            <w:gridSpan w:val="3"/>
          </w:tcPr>
          <w:p w14:paraId="2DE6B107" w14:textId="77777777" w:rsidR="00704E07" w:rsidRPr="00D37096" w:rsidRDefault="00704E07" w:rsidP="009764B5">
            <w:pPr>
              <w:spacing w:before="120" w:after="120"/>
              <w:rPr>
                <w:rFonts w:cs="DIN-Light"/>
                <w:color w:val="000000"/>
              </w:rPr>
            </w:pPr>
            <w:r w:rsidRPr="00D37096">
              <w:rPr>
                <w:rFonts w:cs="DIN-Light"/>
                <w:color w:val="000000"/>
              </w:rPr>
              <w:lastRenderedPageBreak/>
              <w:t>PM: The Biotext (2004) review identified one prospective case-series study of 35 adults with chronic refractory polymyositis. This study reported clinical improvement in 71% of patients with significant improvement in muscle power, muscle disability scores and CK levels (p &lt; 0.01). Steroid dose could be reduced after IVIg (p &lt; 0.05). Further research is needed.</w:t>
            </w:r>
          </w:p>
          <w:p w14:paraId="06221F28" w14:textId="77777777" w:rsidR="00704E07" w:rsidRPr="0067599A" w:rsidRDefault="00704E07" w:rsidP="009764B5">
            <w:pPr>
              <w:spacing w:before="120" w:after="120"/>
            </w:pPr>
          </w:p>
          <w:p w14:paraId="6611EB30" w14:textId="77777777" w:rsidR="00704E07" w:rsidRPr="00D37096" w:rsidRDefault="00704E07" w:rsidP="009764B5">
            <w:pPr>
              <w:spacing w:before="120" w:after="120"/>
            </w:pPr>
            <w:r w:rsidRPr="00D37096">
              <w:lastRenderedPageBreak/>
              <w:t>DM: The Biotext (2004) review identified one double-blind, placebo-controlled trial considered of low quality of 15 patients with biopsy-confirmed, treatment-resistant dermatomyositis. IVIg treatment combined with prednisone led to significant improvement in muscle strength and neuromuscular symptoms of patients in the intervention group (n = 8). One retrospective chart review and two case series tried IVIg as add on therapy (Class III evidence). Taken together, 82% improved clinically in these studies.</w:t>
            </w:r>
          </w:p>
          <w:p w14:paraId="58789057" w14:textId="77777777" w:rsidR="00704E07" w:rsidRPr="00D37096" w:rsidRDefault="00704E07" w:rsidP="009764B5">
            <w:pPr>
              <w:spacing w:before="120" w:after="120"/>
            </w:pPr>
            <w:r w:rsidRPr="00D37096">
              <w:t>NAM: Patients with NAM were likely to have previously been regarded as having PM, increasingly this is being recognised as a separate entity. Small-case series consistently report improvement with immunosuppressive therapy. Often multiple immunotherapeutic agents are required. High-dose steroids are the mainstay of therapy, with IVIg required for some months as rescue therapy in some patients, until other immunosuppressive agents become effective. No trials of IVIg or prospective series have been conducted in NAM. Further research is needed.</w:t>
            </w:r>
          </w:p>
          <w:p w14:paraId="244635C5" w14:textId="77777777" w:rsidR="00704E07" w:rsidRPr="00D37096" w:rsidRDefault="00704E07" w:rsidP="009764B5">
            <w:pPr>
              <w:spacing w:before="120" w:after="120"/>
            </w:pPr>
          </w:p>
        </w:tc>
        <w:tc>
          <w:tcPr>
            <w:tcW w:w="1440" w:type="pct"/>
          </w:tcPr>
          <w:p w14:paraId="34898A14" w14:textId="77777777" w:rsidR="00704E07" w:rsidRPr="00C25D3F" w:rsidRDefault="00704E07" w:rsidP="009764B5">
            <w:pPr>
              <w:spacing w:before="120" w:after="120"/>
            </w:pPr>
            <w:r>
              <w:lastRenderedPageBreak/>
              <w:t xml:space="preserve">Justification for evidence revised and updated (A) </w:t>
            </w:r>
          </w:p>
        </w:tc>
      </w:tr>
      <w:tr w:rsidR="0067599A" w:rsidRPr="00C25D3F" w14:paraId="1FB32CBA" w14:textId="77777777" w:rsidTr="00D80049">
        <w:tc>
          <w:tcPr>
            <w:tcW w:w="471" w:type="pct"/>
            <w:shd w:val="clear" w:color="auto" w:fill="D9D9D9" w:themeFill="background1" w:themeFillShade="D9"/>
          </w:tcPr>
          <w:p w14:paraId="4ED6541C" w14:textId="77777777" w:rsidR="0067599A" w:rsidRPr="0075247A" w:rsidRDefault="0067599A" w:rsidP="0075247A">
            <w:pPr>
              <w:spacing w:before="120" w:after="120"/>
              <w:rPr>
                <w:b/>
              </w:rPr>
            </w:pPr>
            <w:r w:rsidRPr="0075247A">
              <w:rPr>
                <w:b/>
              </w:rPr>
              <w:lastRenderedPageBreak/>
              <w:t>Diagnosis is required</w:t>
            </w:r>
          </w:p>
        </w:tc>
        <w:tc>
          <w:tcPr>
            <w:tcW w:w="1348" w:type="pct"/>
            <w:vMerge w:val="restart"/>
          </w:tcPr>
          <w:p w14:paraId="51563C9B" w14:textId="416913F7" w:rsidR="0067599A" w:rsidRPr="00C25D3F" w:rsidRDefault="0067599A" w:rsidP="0075247A">
            <w:pPr>
              <w:spacing w:before="120" w:after="120"/>
            </w:pPr>
            <w:r w:rsidRPr="00C25D3F">
              <w:t>Diagnosis made by a neurologist, rheumatologist or immunologist</w:t>
            </w:r>
          </w:p>
        </w:tc>
        <w:tc>
          <w:tcPr>
            <w:tcW w:w="516" w:type="pct"/>
          </w:tcPr>
          <w:p w14:paraId="7F63B6D6" w14:textId="0E5259E6" w:rsidR="0067599A" w:rsidRPr="00C25D3F" w:rsidRDefault="0067599A" w:rsidP="0075247A">
            <w:pPr>
              <w:spacing w:before="120" w:after="120"/>
            </w:pPr>
            <w:r>
              <w:t>Yes</w:t>
            </w:r>
          </w:p>
        </w:tc>
        <w:tc>
          <w:tcPr>
            <w:tcW w:w="522" w:type="pct"/>
            <w:shd w:val="clear" w:color="auto" w:fill="BFBFBF" w:themeFill="background1" w:themeFillShade="BF"/>
          </w:tcPr>
          <w:p w14:paraId="2F6A3591" w14:textId="61442C69" w:rsidR="0067599A" w:rsidRPr="00C25D3F" w:rsidRDefault="0067599A" w:rsidP="0075247A">
            <w:pPr>
              <w:spacing w:before="120" w:after="120"/>
            </w:pPr>
            <w:r>
              <w:t>By which speciality</w:t>
            </w:r>
          </w:p>
        </w:tc>
        <w:tc>
          <w:tcPr>
            <w:tcW w:w="703" w:type="pct"/>
          </w:tcPr>
          <w:p w14:paraId="745FF580" w14:textId="030A76F2" w:rsidR="0067599A" w:rsidRPr="00C25D3F" w:rsidRDefault="00704E07" w:rsidP="0075247A">
            <w:pPr>
              <w:spacing w:before="120" w:after="120"/>
            </w:pPr>
            <w:r>
              <w:t>N</w:t>
            </w:r>
            <w:r w:rsidR="0067599A" w:rsidRPr="00D80049">
              <w:t xml:space="preserve">eurologist, </w:t>
            </w:r>
            <w:r>
              <w:t>R</w:t>
            </w:r>
            <w:r w:rsidR="0067599A" w:rsidRPr="00D80049">
              <w:t xml:space="preserve">heumatologist or </w:t>
            </w:r>
            <w:r>
              <w:t>C</w:t>
            </w:r>
            <w:r w:rsidR="0067599A" w:rsidRPr="00D80049">
              <w:t xml:space="preserve">linical </w:t>
            </w:r>
            <w:r>
              <w:t>I</w:t>
            </w:r>
            <w:r w:rsidR="0067599A" w:rsidRPr="00D80049">
              <w:t>mmunologist</w:t>
            </w:r>
          </w:p>
        </w:tc>
        <w:tc>
          <w:tcPr>
            <w:tcW w:w="1440" w:type="pct"/>
          </w:tcPr>
          <w:p w14:paraId="205A1E9F" w14:textId="77176F2A" w:rsidR="0067599A" w:rsidRPr="00C25D3F" w:rsidRDefault="0067599A" w:rsidP="0075247A">
            <w:pPr>
              <w:spacing w:before="120" w:after="120"/>
            </w:pPr>
            <w:r>
              <w:t xml:space="preserve">Unchanged. </w:t>
            </w:r>
          </w:p>
        </w:tc>
      </w:tr>
      <w:tr w:rsidR="0067599A" w:rsidRPr="00C25D3F" w14:paraId="0C863F98" w14:textId="77777777" w:rsidTr="00D80049">
        <w:tc>
          <w:tcPr>
            <w:tcW w:w="471" w:type="pct"/>
            <w:shd w:val="clear" w:color="auto" w:fill="D9D9D9" w:themeFill="background1" w:themeFillShade="D9"/>
          </w:tcPr>
          <w:p w14:paraId="37C78F59" w14:textId="77777777" w:rsidR="0067599A" w:rsidRPr="0075247A" w:rsidRDefault="0067599A" w:rsidP="0075247A">
            <w:pPr>
              <w:spacing w:before="120" w:after="120"/>
              <w:rPr>
                <w:b/>
              </w:rPr>
            </w:pPr>
            <w:r w:rsidRPr="0075247A">
              <w:rPr>
                <w:b/>
              </w:rPr>
              <w:lastRenderedPageBreak/>
              <w:t>Diagnosis must be verified</w:t>
            </w:r>
          </w:p>
        </w:tc>
        <w:tc>
          <w:tcPr>
            <w:tcW w:w="1348" w:type="pct"/>
            <w:vMerge/>
          </w:tcPr>
          <w:p w14:paraId="58E9A7B8" w14:textId="4A8B2FDE" w:rsidR="0067599A" w:rsidRPr="00C25D3F" w:rsidRDefault="0067599A" w:rsidP="0075247A">
            <w:pPr>
              <w:spacing w:before="120" w:after="120"/>
            </w:pPr>
          </w:p>
        </w:tc>
        <w:tc>
          <w:tcPr>
            <w:tcW w:w="516" w:type="pct"/>
          </w:tcPr>
          <w:p w14:paraId="74C12846" w14:textId="084F8F3F" w:rsidR="0067599A" w:rsidRPr="00C25D3F" w:rsidRDefault="0067599A" w:rsidP="0075247A">
            <w:pPr>
              <w:spacing w:before="120" w:after="120"/>
            </w:pPr>
            <w:r>
              <w:t>No</w:t>
            </w:r>
          </w:p>
        </w:tc>
        <w:tc>
          <w:tcPr>
            <w:tcW w:w="522" w:type="pct"/>
            <w:shd w:val="clear" w:color="auto" w:fill="BFBFBF" w:themeFill="background1" w:themeFillShade="BF"/>
          </w:tcPr>
          <w:p w14:paraId="3132F3CD" w14:textId="1AAAEE5B" w:rsidR="0067599A" w:rsidRPr="00C25D3F" w:rsidRDefault="0067599A" w:rsidP="0075247A">
            <w:pPr>
              <w:spacing w:before="120" w:after="120"/>
            </w:pPr>
            <w:r>
              <w:t>By which speciality</w:t>
            </w:r>
          </w:p>
        </w:tc>
        <w:tc>
          <w:tcPr>
            <w:tcW w:w="703" w:type="pct"/>
          </w:tcPr>
          <w:p w14:paraId="16D428D8" w14:textId="099358C5" w:rsidR="0067599A" w:rsidRPr="00C25D3F" w:rsidRDefault="0067599A" w:rsidP="0075247A">
            <w:pPr>
              <w:spacing w:before="120" w:after="120"/>
            </w:pPr>
          </w:p>
        </w:tc>
        <w:tc>
          <w:tcPr>
            <w:tcW w:w="1440" w:type="pct"/>
          </w:tcPr>
          <w:p w14:paraId="642FA8A1" w14:textId="77777777" w:rsidR="0067599A" w:rsidRPr="00C25D3F" w:rsidRDefault="0067599A" w:rsidP="0075247A">
            <w:pPr>
              <w:spacing w:before="120" w:after="120"/>
            </w:pPr>
          </w:p>
        </w:tc>
      </w:tr>
      <w:tr w:rsidR="0067599A" w:rsidRPr="00C25D3F" w14:paraId="3F3494EF" w14:textId="77777777" w:rsidTr="00D80049">
        <w:tc>
          <w:tcPr>
            <w:tcW w:w="471" w:type="pct"/>
            <w:shd w:val="clear" w:color="auto" w:fill="D9D9D9" w:themeFill="background1" w:themeFillShade="D9"/>
          </w:tcPr>
          <w:p w14:paraId="15426BB6" w14:textId="77777777" w:rsidR="0067599A" w:rsidRPr="0075247A" w:rsidRDefault="0067599A" w:rsidP="0075247A">
            <w:pPr>
              <w:spacing w:before="120" w:after="120"/>
              <w:rPr>
                <w:b/>
              </w:rPr>
            </w:pPr>
            <w:r w:rsidRPr="0075247A">
              <w:rPr>
                <w:b/>
              </w:rPr>
              <w:t>Exclusion Criteria</w:t>
            </w:r>
          </w:p>
          <w:p w14:paraId="302ACF27" w14:textId="7BFFEA07" w:rsidR="0067599A" w:rsidRPr="0075247A" w:rsidRDefault="0067599A" w:rsidP="0075247A">
            <w:pPr>
              <w:spacing w:before="120" w:after="120"/>
              <w:jc w:val="center"/>
              <w:rPr>
                <w:b/>
              </w:rPr>
            </w:pPr>
          </w:p>
        </w:tc>
        <w:tc>
          <w:tcPr>
            <w:tcW w:w="1348" w:type="pct"/>
          </w:tcPr>
          <w:p w14:paraId="7559E12F" w14:textId="77777777" w:rsidR="0067599A" w:rsidRPr="0067599A" w:rsidRDefault="0067599A" w:rsidP="0075247A">
            <w:pPr>
              <w:spacing w:before="120" w:after="120"/>
            </w:pPr>
            <w:r w:rsidRPr="0067599A">
              <w:t>Expert consensus does not recommend IVIg to treat the limb weakness of IBM.</w:t>
            </w:r>
          </w:p>
        </w:tc>
        <w:tc>
          <w:tcPr>
            <w:tcW w:w="1741" w:type="pct"/>
            <w:gridSpan w:val="3"/>
          </w:tcPr>
          <w:p w14:paraId="1420B5FF" w14:textId="00F3E399" w:rsidR="0067599A" w:rsidRPr="00C25D3F" w:rsidRDefault="0067599A" w:rsidP="0075247A">
            <w:pPr>
              <w:spacing w:before="120" w:after="120"/>
              <w:rPr>
                <w:strike/>
              </w:rPr>
            </w:pPr>
          </w:p>
        </w:tc>
        <w:tc>
          <w:tcPr>
            <w:tcW w:w="1440" w:type="pct"/>
          </w:tcPr>
          <w:p w14:paraId="45F2BD18" w14:textId="276F0A33" w:rsidR="0067599A" w:rsidRPr="00C25D3F" w:rsidRDefault="0075247A" w:rsidP="0075247A">
            <w:pPr>
              <w:spacing w:before="120" w:after="120"/>
            </w:pPr>
            <w:r>
              <w:t>Exclusion criteria has been deleted.</w:t>
            </w:r>
          </w:p>
        </w:tc>
      </w:tr>
      <w:tr w:rsidR="0067599A" w:rsidRPr="00C25D3F" w14:paraId="60451F1A" w14:textId="77777777" w:rsidTr="00D80049">
        <w:tc>
          <w:tcPr>
            <w:tcW w:w="471" w:type="pct"/>
            <w:shd w:val="clear" w:color="auto" w:fill="D9D9D9" w:themeFill="background1" w:themeFillShade="D9"/>
          </w:tcPr>
          <w:p w14:paraId="5F426465" w14:textId="77777777" w:rsidR="0067599A" w:rsidRPr="0075247A" w:rsidRDefault="0067599A" w:rsidP="0075247A">
            <w:pPr>
              <w:spacing w:before="120" w:after="120"/>
              <w:rPr>
                <w:b/>
              </w:rPr>
            </w:pPr>
            <w:r w:rsidRPr="0075247A">
              <w:rPr>
                <w:b/>
              </w:rPr>
              <w:t>Indications</w:t>
            </w:r>
          </w:p>
        </w:tc>
        <w:tc>
          <w:tcPr>
            <w:tcW w:w="1348" w:type="pct"/>
          </w:tcPr>
          <w:p w14:paraId="11127327" w14:textId="77777777" w:rsidR="0067599A" w:rsidRPr="00C25D3F" w:rsidRDefault="0067599A" w:rsidP="0075247A">
            <w:pPr>
              <w:spacing w:before="120" w:after="120"/>
            </w:pPr>
            <w:r w:rsidRPr="00C25D3F">
              <w:t>Patients with PM or DM with significant muscle weakness unresponsive to corticosteroids and other immunosuppressive agents.</w:t>
            </w:r>
          </w:p>
          <w:p w14:paraId="0BD84755" w14:textId="77777777" w:rsidR="0067599A" w:rsidRPr="00C25D3F" w:rsidRDefault="0067599A" w:rsidP="0075247A">
            <w:pPr>
              <w:spacing w:before="120" w:after="120"/>
            </w:pPr>
          </w:p>
          <w:p w14:paraId="03354925" w14:textId="77777777" w:rsidR="0067599A" w:rsidRPr="00C25D3F" w:rsidRDefault="0067599A" w:rsidP="0075247A">
            <w:pPr>
              <w:spacing w:before="120" w:after="120"/>
            </w:pPr>
            <w:r w:rsidRPr="00C25D3F">
              <w:t>Patients with IBM who have dysphagia affecting function.</w:t>
            </w:r>
          </w:p>
          <w:p w14:paraId="2E43CBF0" w14:textId="77777777" w:rsidR="0067599A" w:rsidRPr="00C25D3F" w:rsidRDefault="0067599A" w:rsidP="0075247A">
            <w:pPr>
              <w:spacing w:before="120" w:after="120"/>
            </w:pPr>
          </w:p>
          <w:p w14:paraId="79F37234" w14:textId="77777777" w:rsidR="0067599A" w:rsidRPr="00C25D3F" w:rsidRDefault="0067599A" w:rsidP="0075247A">
            <w:pPr>
              <w:spacing w:before="120" w:after="120"/>
            </w:pPr>
            <w:r w:rsidRPr="00C25D3F">
              <w:t>Patients with rapidly progressive IBM.</w:t>
            </w:r>
          </w:p>
        </w:tc>
        <w:tc>
          <w:tcPr>
            <w:tcW w:w="1741" w:type="pct"/>
            <w:gridSpan w:val="3"/>
          </w:tcPr>
          <w:p w14:paraId="5D42AE22" w14:textId="7422EBE7" w:rsidR="0067599A" w:rsidRPr="00686D26" w:rsidRDefault="009764B5" w:rsidP="0075247A">
            <w:pPr>
              <w:keepNext/>
              <w:keepLines/>
              <w:spacing w:before="120" w:after="120"/>
              <w:outlineLvl w:val="4"/>
              <w:rPr>
                <w:ins w:id="18" w:author="Philippa Hetzel" w:date="2015-10-22T14:51:00Z"/>
                <w:rFonts w:asciiTheme="minorHAnsi" w:hAnsiTheme="minorHAnsi"/>
                <w:b/>
              </w:rPr>
            </w:pPr>
            <w:ins w:id="19" w:author="Philippa Hetzel" w:date="2015-10-22T14:49:00Z">
              <w:r w:rsidRPr="00686D26">
                <w:rPr>
                  <w:rFonts w:asciiTheme="minorHAnsi" w:eastAsia="Times New Roman" w:hAnsiTheme="minorHAnsi" w:cs="Times New Roman"/>
                  <w:b/>
                  <w:color w:val="000000"/>
                  <w:lang w:eastAsia="en-AU"/>
                </w:rPr>
                <w:t>Adult</w:t>
              </w:r>
            </w:ins>
            <w:ins w:id="20" w:author="Philippa Hetzel" w:date="2015-10-26T17:26:00Z">
              <w:r w:rsidR="00673DA2">
                <w:rPr>
                  <w:rFonts w:asciiTheme="minorHAnsi" w:eastAsia="Times New Roman" w:hAnsiTheme="minorHAnsi" w:cs="Times New Roman"/>
                  <w:b/>
                  <w:color w:val="000000"/>
                  <w:lang w:eastAsia="en-AU"/>
                </w:rPr>
                <w:t>s</w:t>
              </w:r>
            </w:ins>
            <w:ins w:id="21" w:author="Philippa Hetzel" w:date="2015-10-22T14:49:00Z">
              <w:r w:rsidRPr="00686D26">
                <w:rPr>
                  <w:rFonts w:asciiTheme="minorHAnsi" w:eastAsia="Times New Roman" w:hAnsiTheme="minorHAnsi" w:cs="Times New Roman"/>
                  <w:b/>
                  <w:color w:val="000000"/>
                  <w:lang w:eastAsia="en-AU"/>
                </w:rPr>
                <w:t xml:space="preserve"> </w:t>
              </w:r>
            </w:ins>
            <w:r w:rsidR="0067599A" w:rsidRPr="00686D26">
              <w:rPr>
                <w:rFonts w:asciiTheme="minorHAnsi" w:eastAsia="Times New Roman" w:hAnsiTheme="minorHAnsi" w:cs="Times New Roman"/>
                <w:b/>
                <w:color w:val="000000"/>
                <w:lang w:eastAsia="en-AU"/>
              </w:rPr>
              <w:t>with biopsy-proven PM or DM</w:t>
            </w:r>
            <w:r w:rsidR="0067599A" w:rsidRPr="00686D26">
              <w:rPr>
                <w:rFonts w:asciiTheme="minorHAnsi" w:hAnsiTheme="minorHAnsi"/>
                <w:b/>
              </w:rPr>
              <w:t xml:space="preserve"> or NAM who have significant muscle weakness or dysphagia unresponsive to corticosteroids and other immunosuppress</w:t>
            </w:r>
            <w:r w:rsidR="00C322C1" w:rsidRPr="00686D26">
              <w:rPr>
                <w:rFonts w:asciiTheme="minorHAnsi" w:hAnsiTheme="minorHAnsi"/>
                <w:b/>
              </w:rPr>
              <w:t>ant</w:t>
            </w:r>
            <w:r w:rsidR="0067599A" w:rsidRPr="00686D26">
              <w:rPr>
                <w:rFonts w:asciiTheme="minorHAnsi" w:hAnsiTheme="minorHAnsi"/>
                <w:b/>
              </w:rPr>
              <w:t xml:space="preserve"> agents.</w:t>
            </w:r>
          </w:p>
          <w:p w14:paraId="180DD045" w14:textId="77777777" w:rsidR="00686D26" w:rsidRDefault="00686D26" w:rsidP="0075247A">
            <w:pPr>
              <w:keepNext/>
              <w:keepLines/>
              <w:spacing w:before="120" w:after="120"/>
              <w:outlineLvl w:val="4"/>
              <w:rPr>
                <w:ins w:id="22" w:author="Philippa Hetzel" w:date="2015-10-22T14:51:00Z"/>
                <w:rFonts w:asciiTheme="minorHAnsi" w:hAnsiTheme="minorHAnsi"/>
              </w:rPr>
            </w:pPr>
          </w:p>
          <w:p w14:paraId="22594433" w14:textId="341F4BEE" w:rsidR="00686D26" w:rsidRPr="00686D26" w:rsidRDefault="00686D26" w:rsidP="00686D26">
            <w:pPr>
              <w:pStyle w:val="ListParagraph"/>
              <w:spacing w:after="200" w:line="276" w:lineRule="auto"/>
              <w:ind w:left="0"/>
              <w:rPr>
                <w:ins w:id="23" w:author="Philippa Hetzel" w:date="2015-10-22T14:51:00Z"/>
                <w:rFonts w:asciiTheme="minorHAnsi" w:hAnsiTheme="minorHAnsi"/>
                <w:b/>
              </w:rPr>
            </w:pPr>
            <w:ins w:id="24" w:author="Philippa Hetzel" w:date="2015-10-22T14:51:00Z">
              <w:r w:rsidRPr="00686D26">
                <w:rPr>
                  <w:rFonts w:asciiTheme="minorHAnsi" w:hAnsiTheme="minorHAnsi"/>
                  <w:b/>
                </w:rPr>
                <w:t>Child</w:t>
              </w:r>
            </w:ins>
            <w:ins w:id="25" w:author="Philippa Hetzel" w:date="2015-10-26T17:26:00Z">
              <w:r w:rsidR="00673DA2">
                <w:rPr>
                  <w:rFonts w:asciiTheme="minorHAnsi" w:hAnsiTheme="minorHAnsi"/>
                  <w:b/>
                </w:rPr>
                <w:t>ren</w:t>
              </w:r>
            </w:ins>
            <w:ins w:id="26" w:author="Philippa Hetzel" w:date="2015-10-22T14:51:00Z">
              <w:r w:rsidRPr="00686D26">
                <w:rPr>
                  <w:rFonts w:asciiTheme="minorHAnsi" w:hAnsiTheme="minorHAnsi"/>
                  <w:b/>
                </w:rPr>
                <w:t xml:space="preserve"> with </w:t>
              </w:r>
            </w:ins>
            <w:ins w:id="27" w:author="Philippa Hetzel" w:date="2015-10-26T17:26:00Z">
              <w:r w:rsidR="00673DA2">
                <w:rPr>
                  <w:rFonts w:asciiTheme="minorHAnsi" w:hAnsiTheme="minorHAnsi"/>
                  <w:b/>
                </w:rPr>
                <w:t>clinical, biochemical and imaging abnormalities consistent with definite</w:t>
              </w:r>
            </w:ins>
            <w:ins w:id="28" w:author="Philippa Hetzel" w:date="2015-10-22T14:51:00Z">
              <w:r w:rsidRPr="00686D26">
                <w:rPr>
                  <w:rFonts w:asciiTheme="minorHAnsi" w:hAnsiTheme="minorHAnsi"/>
                  <w:b/>
                </w:rPr>
                <w:t xml:space="preserve"> PM or DM or NAM </w:t>
              </w:r>
            </w:ins>
            <w:ins w:id="29" w:author="Philippa Hetzel" w:date="2015-10-26T17:26:00Z">
              <w:r w:rsidR="00673DA2">
                <w:rPr>
                  <w:rFonts w:asciiTheme="minorHAnsi" w:hAnsiTheme="minorHAnsi"/>
                  <w:b/>
                </w:rPr>
                <w:t>who have</w:t>
              </w:r>
            </w:ins>
            <w:ins w:id="30" w:author="Philippa Hetzel" w:date="2015-10-22T14:51:00Z">
              <w:r w:rsidRPr="00686D26">
                <w:rPr>
                  <w:rFonts w:asciiTheme="minorHAnsi" w:hAnsiTheme="minorHAnsi"/>
                  <w:b/>
                </w:rPr>
                <w:t xml:space="preserve"> significant muscle weakness or dysphagia unresponsive to corticosteroids and other immunosuppressant agents. </w:t>
              </w:r>
            </w:ins>
          </w:p>
          <w:p w14:paraId="64FB9392" w14:textId="77777777" w:rsidR="00686D26" w:rsidRPr="0067599A" w:rsidRDefault="00686D26" w:rsidP="0075247A">
            <w:pPr>
              <w:keepNext/>
              <w:keepLines/>
              <w:spacing w:before="120" w:after="120"/>
              <w:outlineLvl w:val="4"/>
              <w:rPr>
                <w:rFonts w:asciiTheme="minorHAnsi" w:hAnsiTheme="minorHAnsi"/>
              </w:rPr>
            </w:pPr>
          </w:p>
          <w:p w14:paraId="0B7138B1" w14:textId="77777777" w:rsidR="0067599A" w:rsidRPr="0067599A" w:rsidRDefault="0067599A" w:rsidP="0075247A">
            <w:pPr>
              <w:spacing w:before="120" w:after="120"/>
            </w:pPr>
          </w:p>
        </w:tc>
        <w:tc>
          <w:tcPr>
            <w:tcW w:w="1440" w:type="pct"/>
          </w:tcPr>
          <w:p w14:paraId="17218057" w14:textId="26136867" w:rsidR="0067599A" w:rsidRDefault="0067599A" w:rsidP="0075247A">
            <w:pPr>
              <w:spacing w:before="120" w:after="120" w:line="276" w:lineRule="auto"/>
              <w:rPr>
                <w:ins w:id="31" w:author="Philippa Hetzel" w:date="2015-10-26T17:27:00Z"/>
                <w:rFonts w:asciiTheme="minorHAnsi" w:eastAsia="Times New Roman" w:hAnsiTheme="minorHAnsi" w:cs="Times New Roman"/>
                <w:color w:val="000000"/>
                <w:lang w:eastAsia="en-AU"/>
              </w:rPr>
            </w:pPr>
            <w:r>
              <w:t xml:space="preserve">Indication is qualified to note the requirement for muscle biopsy. </w:t>
            </w:r>
            <w:r>
              <w:rPr>
                <w:rFonts w:asciiTheme="minorHAnsi" w:eastAsia="Times New Roman" w:hAnsiTheme="minorHAnsi" w:cs="Times New Roman"/>
                <w:color w:val="000000"/>
                <w:lang w:eastAsia="en-AU"/>
              </w:rPr>
              <w:t>SWG</w:t>
            </w:r>
            <w:r w:rsidRPr="00C25D3F">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reported</w:t>
            </w:r>
            <w:r w:rsidRPr="00C25D3F">
              <w:rPr>
                <w:rFonts w:asciiTheme="minorHAnsi" w:eastAsia="Times New Roman" w:hAnsiTheme="minorHAnsi" w:cs="Times New Roman"/>
                <w:color w:val="000000"/>
                <w:lang w:eastAsia="en-AU"/>
              </w:rPr>
              <w:t xml:space="preserve"> that there is a small subset of patients in whom dysphagia worsens following</w:t>
            </w:r>
            <w:r>
              <w:rPr>
                <w:rFonts w:asciiTheme="minorHAnsi" w:eastAsia="Times New Roman" w:hAnsiTheme="minorHAnsi" w:cs="Times New Roman"/>
                <w:color w:val="000000"/>
                <w:lang w:eastAsia="en-AU"/>
              </w:rPr>
              <w:t xml:space="preserve"> the</w:t>
            </w:r>
            <w:r w:rsidRPr="00C25D3F">
              <w:rPr>
                <w:rFonts w:asciiTheme="minorHAnsi" w:eastAsia="Times New Roman" w:hAnsiTheme="minorHAnsi" w:cs="Times New Roman"/>
                <w:color w:val="000000"/>
                <w:lang w:eastAsia="en-AU"/>
              </w:rPr>
              <w:t xml:space="preserve"> introduction of steroids, despite improvement in limb weakness, who may require 3-6 months of IVIg for resolution of the dysphagia. </w:t>
            </w:r>
          </w:p>
          <w:p w14:paraId="2FB0BEE1" w14:textId="2BF97C2F" w:rsidR="00673DA2" w:rsidRPr="00C25D3F" w:rsidRDefault="00FB2214" w:rsidP="0075247A">
            <w:pPr>
              <w:spacing w:before="120" w:after="120" w:line="276" w:lineRule="auto"/>
              <w:rPr>
                <w:rFonts w:asciiTheme="minorHAnsi" w:eastAsia="Times New Roman" w:hAnsiTheme="minorHAnsi" w:cs="Times New Roman"/>
                <w:color w:val="000000"/>
                <w:lang w:eastAsia="en-AU"/>
              </w:rPr>
            </w:pPr>
            <w:ins w:id="32" w:author="Philippa Hetzel" w:date="2015-10-26T17:27:00Z">
              <w:r>
                <w:rPr>
                  <w:rFonts w:asciiTheme="minorHAnsi" w:eastAsia="Times New Roman" w:hAnsiTheme="minorHAnsi" w:cs="Times New Roman"/>
                  <w:color w:val="000000"/>
                  <w:lang w:eastAsia="en-AU"/>
                </w:rPr>
                <w:t>Separate i</w:t>
              </w:r>
              <w:r w:rsidR="00673DA2">
                <w:rPr>
                  <w:rFonts w:asciiTheme="minorHAnsi" w:eastAsia="Times New Roman" w:hAnsiTheme="minorHAnsi" w:cs="Times New Roman"/>
                  <w:color w:val="000000"/>
                  <w:lang w:eastAsia="en-AU"/>
                </w:rPr>
                <w:t xml:space="preserve">ndication for children added. </w:t>
              </w:r>
            </w:ins>
          </w:p>
          <w:p w14:paraId="1198A543" w14:textId="1FA049B8" w:rsidR="0067599A" w:rsidRPr="00C25D3F" w:rsidRDefault="0067599A" w:rsidP="0075247A">
            <w:pPr>
              <w:spacing w:before="120" w:after="120"/>
            </w:pPr>
          </w:p>
        </w:tc>
      </w:tr>
      <w:tr w:rsidR="0067599A" w:rsidRPr="00C25D3F" w14:paraId="382D2E13" w14:textId="77777777" w:rsidTr="00D80049">
        <w:tc>
          <w:tcPr>
            <w:tcW w:w="471" w:type="pct"/>
            <w:shd w:val="clear" w:color="auto" w:fill="D9D9D9" w:themeFill="background1" w:themeFillShade="D9"/>
          </w:tcPr>
          <w:p w14:paraId="56C701E9" w14:textId="77777777" w:rsidR="0067599A" w:rsidRPr="0075247A" w:rsidRDefault="0067599A" w:rsidP="0075247A">
            <w:pPr>
              <w:spacing w:before="120" w:after="120"/>
              <w:rPr>
                <w:b/>
              </w:rPr>
            </w:pPr>
            <w:r w:rsidRPr="0075247A">
              <w:rPr>
                <w:b/>
              </w:rPr>
              <w:t>Qualifying Criteria</w:t>
            </w:r>
          </w:p>
        </w:tc>
        <w:tc>
          <w:tcPr>
            <w:tcW w:w="1348" w:type="pct"/>
          </w:tcPr>
          <w:p w14:paraId="2BA11CD7" w14:textId="77777777" w:rsidR="0067599A" w:rsidRPr="00C25D3F" w:rsidRDefault="0067599A" w:rsidP="0075247A">
            <w:pPr>
              <w:spacing w:before="120" w:after="120"/>
            </w:pPr>
            <w:r w:rsidRPr="00C25D3F">
              <w:t>Diagnosis made by a neurologist, rheumatologist or immunologist of:</w:t>
            </w:r>
          </w:p>
          <w:p w14:paraId="5EDC2BBC" w14:textId="77777777" w:rsidR="0067599A" w:rsidRPr="00C25D3F" w:rsidRDefault="0067599A" w:rsidP="0075247A">
            <w:pPr>
              <w:spacing w:before="120" w:after="120"/>
            </w:pPr>
          </w:p>
          <w:p w14:paraId="3F86BE03" w14:textId="77777777" w:rsidR="0067599A" w:rsidRPr="00C25D3F" w:rsidRDefault="0067599A" w:rsidP="0075247A">
            <w:pPr>
              <w:spacing w:before="120" w:after="120"/>
            </w:pPr>
            <w:r w:rsidRPr="00C25D3F">
              <w:t>Patients with PM or DM who have significant</w:t>
            </w:r>
          </w:p>
          <w:p w14:paraId="2F345674" w14:textId="77777777" w:rsidR="0067599A" w:rsidRPr="00C25D3F" w:rsidRDefault="0067599A" w:rsidP="0075247A">
            <w:pPr>
              <w:spacing w:before="120" w:after="120"/>
            </w:pPr>
            <w:r w:rsidRPr="00C25D3F">
              <w:t>muscle weakness or dysphagia and have</w:t>
            </w:r>
          </w:p>
          <w:p w14:paraId="05E5600F" w14:textId="77777777" w:rsidR="0067599A" w:rsidRPr="00C25D3F" w:rsidRDefault="0067599A" w:rsidP="0075247A">
            <w:pPr>
              <w:spacing w:before="120" w:after="120"/>
            </w:pPr>
            <w:r w:rsidRPr="00C25D3F">
              <w:t>not responded to corticosteroids and other</w:t>
            </w:r>
          </w:p>
          <w:p w14:paraId="4BA2D09A" w14:textId="77777777" w:rsidR="0067599A" w:rsidRPr="00C25D3F" w:rsidRDefault="0067599A" w:rsidP="0075247A">
            <w:pPr>
              <w:spacing w:before="120" w:after="120"/>
            </w:pPr>
            <w:r w:rsidRPr="00C25D3F">
              <w:t>immunosuppressive agents;</w:t>
            </w:r>
          </w:p>
          <w:p w14:paraId="402983C7" w14:textId="77777777" w:rsidR="0067599A" w:rsidRPr="0075247A" w:rsidRDefault="0067599A" w:rsidP="0075247A">
            <w:pPr>
              <w:spacing w:before="120" w:after="120"/>
            </w:pPr>
            <w:r w:rsidRPr="0075247A">
              <w:t>OR</w:t>
            </w:r>
          </w:p>
          <w:p w14:paraId="13B14F59" w14:textId="77777777" w:rsidR="0067599A" w:rsidRPr="0075247A" w:rsidRDefault="0067599A" w:rsidP="0075247A">
            <w:pPr>
              <w:spacing w:before="120" w:after="120"/>
            </w:pPr>
          </w:p>
          <w:p w14:paraId="143DCBF2" w14:textId="77777777" w:rsidR="0067599A" w:rsidRPr="0075247A" w:rsidRDefault="0067599A" w:rsidP="0075247A">
            <w:pPr>
              <w:spacing w:before="120" w:after="120"/>
            </w:pPr>
            <w:r w:rsidRPr="0075247A">
              <w:t>Patients with IBM who have dysphagia</w:t>
            </w:r>
          </w:p>
          <w:p w14:paraId="21C5C8C0" w14:textId="77777777" w:rsidR="0067599A" w:rsidRPr="0075247A" w:rsidRDefault="0067599A" w:rsidP="0075247A">
            <w:pPr>
              <w:spacing w:before="120" w:after="120"/>
            </w:pPr>
            <w:r w:rsidRPr="0075247A">
              <w:t>affecting function;</w:t>
            </w:r>
          </w:p>
          <w:p w14:paraId="3BB32C51" w14:textId="77777777" w:rsidR="0067599A" w:rsidRPr="0075247A" w:rsidRDefault="0067599A" w:rsidP="0075247A">
            <w:pPr>
              <w:spacing w:before="120" w:after="120"/>
            </w:pPr>
            <w:r w:rsidRPr="0075247A">
              <w:t>OR</w:t>
            </w:r>
          </w:p>
          <w:p w14:paraId="63B7EC9A" w14:textId="77777777" w:rsidR="0067599A" w:rsidRPr="0075247A" w:rsidRDefault="0067599A" w:rsidP="0075247A">
            <w:pPr>
              <w:spacing w:before="120" w:after="120"/>
            </w:pPr>
          </w:p>
          <w:p w14:paraId="2FF02B17" w14:textId="4B1066F6" w:rsidR="0067599A" w:rsidRPr="0075247A" w:rsidRDefault="0067599A" w:rsidP="0075247A">
            <w:pPr>
              <w:spacing w:before="120" w:after="120"/>
            </w:pPr>
            <w:r w:rsidRPr="0075247A">
              <w:t>Patien</w:t>
            </w:r>
            <w:r w:rsidR="0075247A">
              <w:t>ts with rapidly progressive IBM</w:t>
            </w:r>
          </w:p>
          <w:p w14:paraId="5EECE4A2" w14:textId="77777777" w:rsidR="0067599A" w:rsidRPr="0075247A" w:rsidRDefault="0067599A" w:rsidP="0075247A">
            <w:pPr>
              <w:spacing w:before="120" w:after="120"/>
            </w:pPr>
          </w:p>
          <w:p w14:paraId="21FCAD3C" w14:textId="69E7010C" w:rsidR="0067599A" w:rsidRPr="00AD7BB8" w:rsidRDefault="0067599A" w:rsidP="0075247A">
            <w:pPr>
              <w:spacing w:before="120" w:after="120"/>
            </w:pPr>
          </w:p>
        </w:tc>
        <w:tc>
          <w:tcPr>
            <w:tcW w:w="1741" w:type="pct"/>
            <w:gridSpan w:val="3"/>
          </w:tcPr>
          <w:p w14:paraId="4DA34174" w14:textId="150655C9" w:rsidR="00686D26" w:rsidRPr="00686D26" w:rsidRDefault="00686D26" w:rsidP="00686D26">
            <w:pPr>
              <w:keepNext/>
              <w:keepLines/>
              <w:spacing w:before="120" w:after="120"/>
              <w:outlineLvl w:val="4"/>
              <w:rPr>
                <w:ins w:id="33" w:author="Philippa Hetzel" w:date="2015-10-22T14:52:00Z"/>
                <w:rFonts w:asciiTheme="minorHAnsi" w:hAnsiTheme="minorHAnsi"/>
                <w:b/>
              </w:rPr>
            </w:pPr>
            <w:ins w:id="34" w:author="Philippa Hetzel" w:date="2015-10-22T14:52:00Z">
              <w:r w:rsidRPr="00686D26">
                <w:rPr>
                  <w:rFonts w:asciiTheme="minorHAnsi" w:eastAsia="Times New Roman" w:hAnsiTheme="minorHAnsi" w:cs="Times New Roman"/>
                  <w:b/>
                  <w:color w:val="000000"/>
                  <w:lang w:eastAsia="en-AU"/>
                </w:rPr>
                <w:lastRenderedPageBreak/>
                <w:t>Adult</w:t>
              </w:r>
            </w:ins>
            <w:ins w:id="35" w:author="Philippa Hetzel" w:date="2015-10-26T17:27:00Z">
              <w:r w:rsidR="00673DA2">
                <w:rPr>
                  <w:rFonts w:asciiTheme="minorHAnsi" w:eastAsia="Times New Roman" w:hAnsiTheme="minorHAnsi" w:cs="Times New Roman"/>
                  <w:b/>
                  <w:color w:val="000000"/>
                  <w:lang w:eastAsia="en-AU"/>
                </w:rPr>
                <w:t>s</w:t>
              </w:r>
            </w:ins>
            <w:ins w:id="36" w:author="Philippa Hetzel" w:date="2015-10-22T14:52:00Z">
              <w:r w:rsidRPr="00686D26">
                <w:rPr>
                  <w:rFonts w:asciiTheme="minorHAnsi" w:eastAsia="Times New Roman" w:hAnsiTheme="minorHAnsi" w:cs="Times New Roman"/>
                  <w:b/>
                  <w:color w:val="000000"/>
                  <w:lang w:eastAsia="en-AU"/>
                </w:rPr>
                <w:t xml:space="preserve"> </w:t>
              </w:r>
            </w:ins>
            <w:r w:rsidRPr="00686D26">
              <w:rPr>
                <w:rFonts w:asciiTheme="minorHAnsi" w:eastAsia="Times New Roman" w:hAnsiTheme="minorHAnsi" w:cs="Times New Roman"/>
                <w:b/>
                <w:color w:val="000000"/>
                <w:lang w:eastAsia="en-AU"/>
              </w:rPr>
              <w:t>with biopsy-proven PM or DM</w:t>
            </w:r>
            <w:r w:rsidRPr="00686D26">
              <w:rPr>
                <w:rFonts w:asciiTheme="minorHAnsi" w:hAnsiTheme="minorHAnsi"/>
                <w:b/>
              </w:rPr>
              <w:t xml:space="preserve"> or NAM who have significant muscle weakness or dysphagia unresponsive to corticosteroids and other </w:t>
            </w:r>
            <w:r w:rsidRPr="00686D26">
              <w:rPr>
                <w:rFonts w:asciiTheme="minorHAnsi" w:hAnsiTheme="minorHAnsi"/>
                <w:b/>
              </w:rPr>
              <w:lastRenderedPageBreak/>
              <w:t>immunosuppressant agents.</w:t>
            </w:r>
          </w:p>
          <w:p w14:paraId="035D29DE" w14:textId="77777777" w:rsidR="00686D26" w:rsidRDefault="002F56F4" w:rsidP="0075247A">
            <w:pPr>
              <w:spacing w:before="120" w:after="120" w:line="276" w:lineRule="auto"/>
              <w:rPr>
                <w:ins w:id="37" w:author="Philippa Hetzel" w:date="2015-10-22T14:52:00Z"/>
                <w:rFonts w:asciiTheme="minorHAnsi" w:eastAsia="Times New Roman" w:hAnsiTheme="minorHAnsi" w:cs="Times New Roman"/>
                <w:b/>
                <w:color w:val="808080" w:themeColor="background1" w:themeShade="80"/>
                <w:lang w:eastAsia="en-AU"/>
              </w:rPr>
            </w:pPr>
            <w:r w:rsidRPr="00ED79DF">
              <w:rPr>
                <w:rFonts w:asciiTheme="minorHAnsi" w:eastAsia="Times New Roman" w:hAnsiTheme="minorHAnsi" w:cs="Times New Roman"/>
                <w:b/>
                <w:color w:val="808080" w:themeColor="background1" w:themeShade="80"/>
                <w:lang w:eastAsia="en-AU"/>
              </w:rPr>
              <w:t xml:space="preserve"> </w:t>
            </w:r>
          </w:p>
          <w:p w14:paraId="3B8D4639" w14:textId="281BCD64" w:rsidR="0067599A" w:rsidRPr="00ED79DF" w:rsidRDefault="0067599A" w:rsidP="0075247A">
            <w:pPr>
              <w:spacing w:before="120" w:after="120" w:line="276" w:lineRule="auto"/>
              <w:rPr>
                <w:rFonts w:asciiTheme="minorHAnsi" w:eastAsia="Times New Roman" w:hAnsiTheme="minorHAnsi" w:cs="Times New Roman"/>
                <w:b/>
                <w:color w:val="808080" w:themeColor="background1" w:themeShade="80"/>
                <w:lang w:eastAsia="en-AU"/>
              </w:rPr>
            </w:pPr>
            <w:r w:rsidRPr="00ED79DF">
              <w:rPr>
                <w:rFonts w:asciiTheme="minorHAnsi" w:eastAsia="Times New Roman" w:hAnsiTheme="minorHAnsi" w:cs="Times New Roman"/>
                <w:b/>
                <w:color w:val="808080" w:themeColor="background1" w:themeShade="80"/>
                <w:lang w:eastAsia="en-AU"/>
              </w:rPr>
              <w:t>[Group 1]</w:t>
            </w:r>
          </w:p>
          <w:p w14:paraId="35CBDA57" w14:textId="51B2C887" w:rsidR="0067599A" w:rsidRPr="00D80049" w:rsidRDefault="0067599A" w:rsidP="00D80049">
            <w:pPr>
              <w:pStyle w:val="ListParagraph"/>
              <w:numPr>
                <w:ilvl w:val="0"/>
                <w:numId w:val="22"/>
              </w:numPr>
              <w:spacing w:before="120" w:after="120" w:line="276" w:lineRule="auto"/>
              <w:rPr>
                <w:rFonts w:asciiTheme="minorHAnsi" w:eastAsia="Times New Roman" w:hAnsiTheme="minorHAnsi" w:cs="Times New Roman"/>
                <w:color w:val="000000"/>
                <w:lang w:eastAsia="en-AU"/>
              </w:rPr>
            </w:pPr>
            <w:r w:rsidRPr="00D80049">
              <w:rPr>
                <w:rFonts w:asciiTheme="minorHAnsi" w:eastAsia="Times New Roman" w:hAnsiTheme="minorHAnsi" w:cs="Times New Roman"/>
                <w:color w:val="000000"/>
                <w:lang w:eastAsia="en-AU"/>
              </w:rPr>
              <w:t>Patients with biopsy-proven PM, DM or NAM</w:t>
            </w:r>
          </w:p>
          <w:p w14:paraId="7AF66821" w14:textId="77777777" w:rsidR="0067599A" w:rsidRPr="00ED79DF" w:rsidRDefault="0067599A" w:rsidP="0075247A">
            <w:pPr>
              <w:spacing w:before="120" w:after="120" w:line="276" w:lineRule="auto"/>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AND</w:t>
            </w:r>
          </w:p>
          <w:p w14:paraId="5A05A6A2" w14:textId="77777777" w:rsidR="0067599A" w:rsidRPr="00ED79DF" w:rsidRDefault="0067599A" w:rsidP="0075247A">
            <w:pPr>
              <w:spacing w:before="120" w:after="120" w:line="276" w:lineRule="auto"/>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[Group 2]</w:t>
            </w:r>
          </w:p>
          <w:p w14:paraId="25D67D61" w14:textId="1A75DA0F" w:rsidR="0067599A" w:rsidRPr="00D80049" w:rsidRDefault="0067599A" w:rsidP="00D80049">
            <w:pPr>
              <w:pStyle w:val="ListParagraph"/>
              <w:numPr>
                <w:ilvl w:val="0"/>
                <w:numId w:val="22"/>
              </w:numPr>
              <w:spacing w:before="120" w:after="120" w:line="276" w:lineRule="auto"/>
              <w:rPr>
                <w:rFonts w:asciiTheme="minorHAnsi" w:eastAsia="Times New Roman" w:hAnsiTheme="minorHAnsi" w:cs="Times New Roman"/>
                <w:color w:val="000000"/>
                <w:lang w:eastAsia="en-AU"/>
              </w:rPr>
            </w:pPr>
            <w:r w:rsidRPr="00D80049">
              <w:rPr>
                <w:rFonts w:asciiTheme="minorHAnsi" w:eastAsia="Times New Roman" w:hAnsiTheme="minorHAnsi" w:cs="Times New Roman"/>
                <w:color w:val="000000"/>
                <w:lang w:eastAsia="en-AU"/>
              </w:rPr>
              <w:t>Significant muscle weakness as measured by Medical Research Council (MRC) Sum (12) Score to a value of less than 56 points.</w:t>
            </w:r>
          </w:p>
          <w:p w14:paraId="79C3A487" w14:textId="77777777" w:rsidR="0067599A" w:rsidRPr="00ED79DF" w:rsidRDefault="0067599A" w:rsidP="0075247A">
            <w:pPr>
              <w:spacing w:before="120" w:after="120" w:line="276" w:lineRule="auto"/>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OR</w:t>
            </w:r>
          </w:p>
          <w:p w14:paraId="4A3045EE" w14:textId="591B0A55" w:rsidR="0067599A" w:rsidRPr="00686D26" w:rsidRDefault="0067599A" w:rsidP="00686D26">
            <w:pPr>
              <w:pStyle w:val="ListParagraph"/>
              <w:numPr>
                <w:ilvl w:val="0"/>
                <w:numId w:val="25"/>
              </w:numPr>
              <w:spacing w:before="120" w:after="120"/>
              <w:rPr>
                <w:rFonts w:asciiTheme="minorHAnsi" w:eastAsia="Times New Roman" w:hAnsiTheme="minorHAnsi" w:cs="Times New Roman"/>
                <w:color w:val="000000"/>
                <w:lang w:eastAsia="en-AU"/>
              </w:rPr>
            </w:pPr>
            <w:r w:rsidRPr="00686D26">
              <w:rPr>
                <w:rFonts w:asciiTheme="minorHAnsi" w:eastAsia="Times New Roman" w:hAnsiTheme="minorHAnsi" w:cs="Times New Roman"/>
                <w:color w:val="000000"/>
                <w:lang w:eastAsia="en-AU"/>
              </w:rPr>
              <w:t>Significant dysphagia limiting dietary intake with involvement of pharyngeal muscles as demonstrated by video</w:t>
            </w:r>
            <w:r w:rsidR="002F23A5" w:rsidRPr="00686D26">
              <w:rPr>
                <w:rFonts w:asciiTheme="minorHAnsi" w:eastAsia="Times New Roman" w:hAnsiTheme="minorHAnsi" w:cs="Times New Roman"/>
                <w:color w:val="000000"/>
                <w:lang w:eastAsia="en-AU"/>
              </w:rPr>
              <w:t>-</w:t>
            </w:r>
            <w:r w:rsidRPr="00686D26">
              <w:rPr>
                <w:rFonts w:asciiTheme="minorHAnsi" w:eastAsia="Times New Roman" w:hAnsiTheme="minorHAnsi" w:cs="Times New Roman"/>
                <w:color w:val="000000"/>
                <w:lang w:eastAsia="en-AU"/>
              </w:rPr>
              <w:t>fluoroscopy</w:t>
            </w:r>
            <w:ins w:id="38" w:author="Philippa Hetzel" w:date="2015-10-22T14:52:00Z">
              <w:r w:rsidR="00686D26">
                <w:rPr>
                  <w:rFonts w:asciiTheme="minorHAnsi" w:eastAsia="Times New Roman" w:hAnsiTheme="minorHAnsi" w:cs="Times New Roman"/>
                  <w:color w:val="000000"/>
                  <w:lang w:eastAsia="en-AU"/>
                </w:rPr>
                <w:t xml:space="preserve"> unless speech pathology assessment indicates that video fluoroscopy in the particular patient is associated with an unacceptable risk of aspiration</w:t>
              </w:r>
            </w:ins>
            <w:r w:rsidRPr="00686D26">
              <w:rPr>
                <w:rFonts w:asciiTheme="minorHAnsi" w:eastAsia="Times New Roman" w:hAnsiTheme="minorHAnsi" w:cs="Times New Roman"/>
                <w:color w:val="000000"/>
                <w:lang w:eastAsia="en-AU"/>
              </w:rPr>
              <w:t>.</w:t>
            </w:r>
          </w:p>
          <w:p w14:paraId="3F3A426B" w14:textId="77777777" w:rsidR="0067599A" w:rsidRPr="00ED79DF" w:rsidRDefault="0067599A" w:rsidP="0075247A">
            <w:pPr>
              <w:spacing w:before="120" w:after="120" w:line="276" w:lineRule="auto"/>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AND</w:t>
            </w:r>
          </w:p>
          <w:p w14:paraId="3912D571" w14:textId="77777777" w:rsidR="0067599A" w:rsidRPr="00ED79DF" w:rsidRDefault="0067599A" w:rsidP="0075247A">
            <w:pPr>
              <w:spacing w:before="120" w:after="120" w:line="276" w:lineRule="auto"/>
              <w:rPr>
                <w:rFonts w:asciiTheme="minorHAnsi" w:eastAsia="Times New Roman" w:hAnsiTheme="minorHAnsi" w:cs="Times New Roman"/>
                <w:b/>
                <w:color w:val="808080" w:themeColor="background1" w:themeShade="80"/>
                <w:lang w:eastAsia="en-AU"/>
              </w:rPr>
            </w:pPr>
            <w:r w:rsidRPr="00ED79DF">
              <w:rPr>
                <w:rFonts w:asciiTheme="minorHAnsi" w:eastAsia="Times New Roman" w:hAnsiTheme="minorHAnsi" w:cs="Times New Roman"/>
                <w:b/>
                <w:color w:val="808080" w:themeColor="background1" w:themeShade="80"/>
                <w:lang w:eastAsia="en-AU"/>
              </w:rPr>
              <w:t>[Group 3]</w:t>
            </w:r>
          </w:p>
          <w:p w14:paraId="22933056" w14:textId="363B32B6" w:rsidR="0067599A" w:rsidRPr="00686D26" w:rsidRDefault="0067599A" w:rsidP="00686D26">
            <w:pPr>
              <w:pStyle w:val="ListParagraph"/>
              <w:numPr>
                <w:ilvl w:val="0"/>
                <w:numId w:val="24"/>
              </w:numPr>
              <w:spacing w:before="120" w:after="120" w:line="276" w:lineRule="auto"/>
              <w:rPr>
                <w:rFonts w:asciiTheme="minorHAnsi" w:eastAsia="Times New Roman" w:hAnsiTheme="minorHAnsi" w:cs="Times New Roman"/>
                <w:color w:val="000000"/>
                <w:lang w:eastAsia="en-AU"/>
              </w:rPr>
            </w:pPr>
            <w:r w:rsidRPr="00814117">
              <w:rPr>
                <w:rFonts w:asciiTheme="minorHAnsi" w:eastAsia="Times New Roman" w:hAnsiTheme="minorHAnsi" w:cs="Times New Roman"/>
                <w:color w:val="000000" w:themeColor="text1"/>
                <w:lang w:eastAsia="en-AU"/>
              </w:rPr>
              <w:t>Patient</w:t>
            </w:r>
            <w:r w:rsidRPr="00686D26">
              <w:rPr>
                <w:rFonts w:asciiTheme="minorHAnsi" w:eastAsia="Times New Roman" w:hAnsiTheme="minorHAnsi" w:cs="Times New Roman"/>
                <w:color w:val="000000"/>
                <w:lang w:eastAsia="en-AU"/>
              </w:rPr>
              <w:t xml:space="preserve"> has not responded to corticosteroid </w:t>
            </w:r>
            <w:r w:rsidRPr="00686D26">
              <w:rPr>
                <w:rFonts w:asciiTheme="minorHAnsi" w:eastAsia="Times New Roman" w:hAnsiTheme="minorHAnsi" w:cs="Times New Roman"/>
                <w:color w:val="000000"/>
                <w:lang w:eastAsia="en-AU"/>
              </w:rPr>
              <w:lastRenderedPageBreak/>
              <w:t>treatment</w:t>
            </w:r>
          </w:p>
          <w:p w14:paraId="58DC9792" w14:textId="77777777" w:rsidR="0067599A" w:rsidRPr="00AD7BB8" w:rsidRDefault="0067599A" w:rsidP="0075247A">
            <w:pPr>
              <w:spacing w:before="120" w:after="120" w:line="276" w:lineRule="auto"/>
              <w:rPr>
                <w:rFonts w:asciiTheme="minorHAnsi" w:eastAsia="Times New Roman" w:hAnsiTheme="minorHAnsi" w:cs="Times New Roman"/>
                <w:color w:val="000000"/>
                <w:lang w:eastAsia="en-AU"/>
              </w:rPr>
            </w:pPr>
            <w:r w:rsidRPr="00AD7BB8">
              <w:rPr>
                <w:rFonts w:asciiTheme="minorHAnsi" w:eastAsia="Times New Roman" w:hAnsiTheme="minorHAnsi" w:cs="Times New Roman"/>
                <w:color w:val="000000"/>
                <w:lang w:eastAsia="en-AU"/>
              </w:rPr>
              <w:t xml:space="preserve">OR </w:t>
            </w:r>
          </w:p>
          <w:p w14:paraId="6AA7ECCB" w14:textId="0B8FEF44" w:rsidR="0067599A" w:rsidRPr="00686D26" w:rsidRDefault="0067599A" w:rsidP="00686D26">
            <w:pPr>
              <w:pStyle w:val="ListParagraph"/>
              <w:numPr>
                <w:ilvl w:val="0"/>
                <w:numId w:val="24"/>
              </w:numPr>
              <w:spacing w:before="120" w:after="120" w:line="276" w:lineRule="auto"/>
              <w:rPr>
                <w:rFonts w:asciiTheme="minorHAnsi" w:eastAsia="Times New Roman" w:hAnsiTheme="minorHAnsi" w:cs="Times New Roman"/>
                <w:color w:val="000000"/>
                <w:lang w:eastAsia="en-AU"/>
              </w:rPr>
            </w:pPr>
            <w:r w:rsidRPr="00686D26">
              <w:rPr>
                <w:rFonts w:asciiTheme="minorHAnsi" w:eastAsia="Times New Roman" w:hAnsiTheme="minorHAnsi" w:cs="Times New Roman"/>
                <w:color w:val="000000"/>
                <w:lang w:eastAsia="en-AU"/>
              </w:rPr>
              <w:t>Corticosteroids are contraindicated</w:t>
            </w:r>
          </w:p>
          <w:p w14:paraId="4516ACC5" w14:textId="77777777" w:rsidR="0067599A" w:rsidRPr="00AD7BB8" w:rsidRDefault="0067599A" w:rsidP="0075247A">
            <w:pPr>
              <w:spacing w:before="120" w:after="120" w:line="276" w:lineRule="auto"/>
              <w:rPr>
                <w:rFonts w:asciiTheme="minorHAnsi" w:eastAsia="Times New Roman" w:hAnsiTheme="minorHAnsi" w:cs="Times New Roman"/>
                <w:color w:val="000000"/>
                <w:lang w:eastAsia="en-AU"/>
              </w:rPr>
            </w:pPr>
            <w:r w:rsidRPr="00AD7BB8">
              <w:rPr>
                <w:rFonts w:asciiTheme="minorHAnsi" w:eastAsia="Times New Roman" w:hAnsiTheme="minorHAnsi" w:cs="Times New Roman"/>
                <w:color w:val="000000"/>
                <w:lang w:eastAsia="en-AU"/>
              </w:rPr>
              <w:t xml:space="preserve"> AND</w:t>
            </w:r>
          </w:p>
          <w:p w14:paraId="11EECA53" w14:textId="77777777" w:rsidR="0067599A" w:rsidRPr="00AD7BB8" w:rsidRDefault="0067599A" w:rsidP="0075247A">
            <w:pPr>
              <w:spacing w:before="120" w:after="120" w:line="276" w:lineRule="auto"/>
              <w:rPr>
                <w:rFonts w:asciiTheme="minorHAnsi" w:eastAsia="Times New Roman" w:hAnsiTheme="minorHAnsi" w:cs="Times New Roman"/>
                <w:b/>
                <w:color w:val="808080" w:themeColor="background1" w:themeShade="80"/>
                <w:lang w:eastAsia="en-AU"/>
              </w:rPr>
            </w:pPr>
            <w:r w:rsidRPr="00AD7BB8">
              <w:rPr>
                <w:rFonts w:asciiTheme="minorHAnsi" w:eastAsia="Times New Roman" w:hAnsiTheme="minorHAnsi" w:cs="Times New Roman"/>
                <w:b/>
                <w:color w:val="808080" w:themeColor="background1" w:themeShade="80"/>
                <w:lang w:eastAsia="en-AU"/>
              </w:rPr>
              <w:t>[Group 4]</w:t>
            </w:r>
          </w:p>
          <w:p w14:paraId="10D493F1" w14:textId="04F69FD8" w:rsidR="0067599A" w:rsidRPr="00686D26" w:rsidRDefault="0067599A" w:rsidP="00686D26">
            <w:pPr>
              <w:pStyle w:val="ListParagraph"/>
              <w:numPr>
                <w:ilvl w:val="0"/>
                <w:numId w:val="24"/>
              </w:numPr>
              <w:spacing w:before="120" w:after="120" w:line="276" w:lineRule="auto"/>
              <w:rPr>
                <w:rFonts w:asciiTheme="minorHAnsi" w:eastAsia="Times New Roman" w:hAnsiTheme="minorHAnsi" w:cs="Times New Roman"/>
                <w:color w:val="000000"/>
                <w:lang w:eastAsia="en-AU"/>
              </w:rPr>
            </w:pPr>
            <w:r w:rsidRPr="00686D26">
              <w:rPr>
                <w:rFonts w:asciiTheme="minorHAnsi" w:eastAsia="Times New Roman" w:hAnsiTheme="minorHAnsi" w:cs="Times New Roman"/>
                <w:color w:val="000000"/>
                <w:lang w:eastAsia="en-AU"/>
              </w:rPr>
              <w:t xml:space="preserve">At least two other immunosuppressant </w:t>
            </w:r>
            <w:r w:rsidR="002F56F4" w:rsidRPr="00686D26">
              <w:rPr>
                <w:rFonts w:asciiTheme="minorHAnsi" w:eastAsia="Times New Roman" w:hAnsiTheme="minorHAnsi" w:cs="Times New Roman"/>
                <w:color w:val="000000"/>
                <w:lang w:eastAsia="en-AU"/>
              </w:rPr>
              <w:t>medications</w:t>
            </w:r>
            <w:r w:rsidRPr="00686D26">
              <w:rPr>
                <w:rFonts w:asciiTheme="minorHAnsi" w:eastAsia="Times New Roman" w:hAnsiTheme="minorHAnsi" w:cs="Times New Roman"/>
                <w:color w:val="000000"/>
                <w:lang w:eastAsia="en-AU"/>
              </w:rPr>
              <w:t xml:space="preserve"> have been used and are ineffective or have been commenced but not yet become effective.</w:t>
            </w:r>
          </w:p>
          <w:p w14:paraId="70ED0DD2" w14:textId="77777777" w:rsidR="0067599A" w:rsidRPr="00AD7BB8" w:rsidRDefault="0067599A" w:rsidP="0075247A">
            <w:pPr>
              <w:spacing w:before="120" w:after="120" w:line="276" w:lineRule="auto"/>
              <w:rPr>
                <w:rFonts w:asciiTheme="minorHAnsi" w:eastAsia="Times New Roman" w:hAnsiTheme="minorHAnsi" w:cs="Times New Roman"/>
                <w:color w:val="000000"/>
                <w:lang w:eastAsia="en-AU"/>
              </w:rPr>
            </w:pPr>
            <w:r w:rsidRPr="00AD7BB8">
              <w:rPr>
                <w:rFonts w:asciiTheme="minorHAnsi" w:eastAsia="Times New Roman" w:hAnsiTheme="minorHAnsi" w:cs="Times New Roman"/>
                <w:color w:val="000000"/>
                <w:lang w:eastAsia="en-AU"/>
              </w:rPr>
              <w:t xml:space="preserve">OR </w:t>
            </w:r>
          </w:p>
          <w:p w14:paraId="6DA5B0EF" w14:textId="77777777" w:rsidR="0067599A" w:rsidRPr="005F588E" w:rsidRDefault="0067599A" w:rsidP="005F588E">
            <w:pPr>
              <w:pStyle w:val="ListParagraph"/>
              <w:numPr>
                <w:ilvl w:val="0"/>
                <w:numId w:val="24"/>
              </w:numPr>
              <w:spacing w:before="120" w:after="120" w:line="276" w:lineRule="auto"/>
              <w:rPr>
                <w:ins w:id="39" w:author="Philippa Hetzel" w:date="2015-10-22T14:55:00Z"/>
                <w:i/>
                <w:iCs/>
                <w:color w:val="404040" w:themeColor="text1" w:themeTint="BF"/>
              </w:rPr>
            </w:pPr>
            <w:r w:rsidRPr="005F588E">
              <w:rPr>
                <w:rFonts w:asciiTheme="minorHAnsi" w:eastAsia="Times New Roman" w:hAnsiTheme="minorHAnsi" w:cs="Times New Roman"/>
                <w:color w:val="000000"/>
                <w:lang w:eastAsia="en-AU"/>
              </w:rPr>
              <w:t>Immunosuppressant medication</w:t>
            </w:r>
            <w:r w:rsidR="002F56F4" w:rsidRPr="005F588E">
              <w:rPr>
                <w:rFonts w:asciiTheme="minorHAnsi" w:eastAsia="Times New Roman" w:hAnsiTheme="minorHAnsi" w:cs="Times New Roman"/>
                <w:color w:val="000000"/>
                <w:lang w:eastAsia="en-AU"/>
              </w:rPr>
              <w:t xml:space="preserve">s are </w:t>
            </w:r>
            <w:r w:rsidRPr="005F588E">
              <w:rPr>
                <w:rFonts w:asciiTheme="minorHAnsi" w:eastAsia="Times New Roman" w:hAnsiTheme="minorHAnsi" w:cs="Times New Roman"/>
                <w:color w:val="000000"/>
                <w:lang w:eastAsia="en-AU"/>
              </w:rPr>
              <w:t>contraindicated.</w:t>
            </w:r>
          </w:p>
          <w:p w14:paraId="0881A6A8" w14:textId="77777777" w:rsidR="005F588E" w:rsidRDefault="005F588E" w:rsidP="005F588E">
            <w:pPr>
              <w:pStyle w:val="ListParagraph"/>
              <w:spacing w:before="120" w:after="120" w:line="276" w:lineRule="auto"/>
              <w:rPr>
                <w:ins w:id="40" w:author="Philippa Hetzel" w:date="2015-10-22T14:55:00Z"/>
                <w:rFonts w:asciiTheme="minorHAnsi" w:eastAsia="Times New Roman" w:hAnsiTheme="minorHAnsi" w:cs="Times New Roman"/>
                <w:color w:val="000000"/>
                <w:lang w:eastAsia="en-AU"/>
              </w:rPr>
            </w:pPr>
          </w:p>
          <w:p w14:paraId="7429211F" w14:textId="77777777" w:rsidR="00673DA2" w:rsidRDefault="00673DA2" w:rsidP="00673DA2">
            <w:pPr>
              <w:pStyle w:val="ListParagraph"/>
              <w:spacing w:after="200" w:line="276" w:lineRule="auto"/>
              <w:ind w:left="0"/>
              <w:rPr>
                <w:ins w:id="41" w:author="Philippa Hetzel" w:date="2015-10-26T17:29:00Z"/>
                <w:rFonts w:asciiTheme="minorHAnsi" w:hAnsiTheme="minorHAnsi"/>
                <w:b/>
              </w:rPr>
            </w:pPr>
            <w:ins w:id="42" w:author="Philippa Hetzel" w:date="2015-10-26T17:28:00Z">
              <w:r w:rsidRPr="00686D26">
                <w:rPr>
                  <w:rFonts w:asciiTheme="minorHAnsi" w:hAnsiTheme="minorHAnsi"/>
                  <w:b/>
                </w:rPr>
                <w:t>Child</w:t>
              </w:r>
              <w:r>
                <w:rPr>
                  <w:rFonts w:asciiTheme="minorHAnsi" w:hAnsiTheme="minorHAnsi"/>
                  <w:b/>
                </w:rPr>
                <w:t>ren</w:t>
              </w:r>
              <w:r w:rsidRPr="00686D26">
                <w:rPr>
                  <w:rFonts w:asciiTheme="minorHAnsi" w:hAnsiTheme="minorHAnsi"/>
                  <w:b/>
                </w:rPr>
                <w:t xml:space="preserve"> with </w:t>
              </w:r>
              <w:r>
                <w:rPr>
                  <w:rFonts w:asciiTheme="minorHAnsi" w:hAnsiTheme="minorHAnsi"/>
                  <w:b/>
                </w:rPr>
                <w:t>clinical, biochemical and imaging abnormalities consistent with definite</w:t>
              </w:r>
              <w:r w:rsidRPr="00686D26">
                <w:rPr>
                  <w:rFonts w:asciiTheme="minorHAnsi" w:hAnsiTheme="minorHAnsi"/>
                  <w:b/>
                </w:rPr>
                <w:t xml:space="preserve"> PM or DM or NAM </w:t>
              </w:r>
              <w:r>
                <w:rPr>
                  <w:rFonts w:asciiTheme="minorHAnsi" w:hAnsiTheme="minorHAnsi"/>
                  <w:b/>
                </w:rPr>
                <w:t>who have</w:t>
              </w:r>
              <w:r w:rsidRPr="00686D26">
                <w:rPr>
                  <w:rFonts w:asciiTheme="minorHAnsi" w:hAnsiTheme="minorHAnsi"/>
                  <w:b/>
                </w:rPr>
                <w:t xml:space="preserve"> significant muscle weakness or dysphagia unresponsive to corticosteroids and other immunosuppressant agents. </w:t>
              </w:r>
            </w:ins>
          </w:p>
          <w:p w14:paraId="68E88BE9" w14:textId="77777777" w:rsidR="00673DA2" w:rsidRPr="00686D26" w:rsidRDefault="00673DA2" w:rsidP="00673DA2">
            <w:pPr>
              <w:pStyle w:val="ListParagraph"/>
              <w:spacing w:after="200" w:line="276" w:lineRule="auto"/>
              <w:ind w:left="0"/>
              <w:rPr>
                <w:ins w:id="43" w:author="Philippa Hetzel" w:date="2015-10-26T17:28:00Z"/>
                <w:rFonts w:asciiTheme="minorHAnsi" w:hAnsiTheme="minorHAnsi"/>
                <w:b/>
              </w:rPr>
            </w:pPr>
          </w:p>
          <w:p w14:paraId="0158B59F" w14:textId="64F0C512" w:rsidR="005F588E" w:rsidRPr="005F588E" w:rsidRDefault="005F588E" w:rsidP="005F588E">
            <w:pPr>
              <w:pStyle w:val="ListParagraph"/>
              <w:numPr>
                <w:ilvl w:val="0"/>
                <w:numId w:val="24"/>
              </w:numPr>
              <w:spacing w:line="276" w:lineRule="auto"/>
              <w:rPr>
                <w:ins w:id="44" w:author="Philippa Hetzel" w:date="2015-10-22T14:55:00Z"/>
                <w:rFonts w:asciiTheme="minorHAnsi" w:eastAsia="Times New Roman" w:hAnsiTheme="minorHAnsi" w:cs="Times New Roman"/>
                <w:color w:val="000000"/>
                <w:lang w:eastAsia="en-AU"/>
              </w:rPr>
            </w:pPr>
            <w:ins w:id="45" w:author="Philippa Hetzel" w:date="2015-10-22T14:55:00Z">
              <w:r w:rsidRPr="005F588E">
                <w:rPr>
                  <w:rFonts w:asciiTheme="minorHAnsi" w:eastAsia="Times New Roman" w:hAnsiTheme="minorHAnsi" w:cs="Times New Roman"/>
                  <w:color w:val="000000"/>
                  <w:lang w:eastAsia="en-AU"/>
                </w:rPr>
                <w:t>Patient demonstrates at least three of the following characteristics</w:t>
              </w:r>
            </w:ins>
            <w:ins w:id="46" w:author="Philippa Hetzel" w:date="2015-10-22T14:56:00Z">
              <w:r w:rsidRPr="005F588E">
                <w:rPr>
                  <w:rFonts w:asciiTheme="minorHAnsi" w:eastAsia="Times New Roman" w:hAnsiTheme="minorHAnsi" w:cs="Times New Roman"/>
                  <w:color w:val="000000"/>
                  <w:lang w:eastAsia="en-AU"/>
                </w:rPr>
                <w:t>:</w:t>
              </w:r>
            </w:ins>
            <w:ins w:id="47" w:author="Philippa Hetzel" w:date="2015-10-22T14:55:00Z">
              <w:r w:rsidRPr="005F588E">
                <w:rPr>
                  <w:rFonts w:asciiTheme="minorHAnsi" w:eastAsia="Times New Roman" w:hAnsiTheme="minorHAnsi" w:cs="Times New Roman"/>
                  <w:color w:val="000000"/>
                  <w:lang w:eastAsia="en-AU"/>
                </w:rPr>
                <w:t xml:space="preserve"> </w:t>
              </w:r>
            </w:ins>
            <w:ins w:id="48" w:author="Philippa Hetzel" w:date="2015-10-26T17:29:00Z">
              <w:r w:rsidR="00673DA2">
                <w:rPr>
                  <w:rFonts w:asciiTheme="minorHAnsi" w:eastAsia="Times New Roman" w:hAnsiTheme="minorHAnsi" w:cs="Times New Roman"/>
                  <w:color w:val="000000"/>
                  <w:lang w:eastAsia="en-AU"/>
                </w:rPr>
                <w:t xml:space="preserve">characteristic </w:t>
              </w:r>
            </w:ins>
            <w:ins w:id="49" w:author="Philippa Hetzel" w:date="2015-10-22T14:55:00Z">
              <w:r w:rsidRPr="005F588E">
                <w:rPr>
                  <w:rFonts w:asciiTheme="minorHAnsi" w:eastAsia="Times New Roman" w:hAnsiTheme="minorHAnsi" w:cs="Times New Roman"/>
                  <w:color w:val="000000"/>
                  <w:lang w:eastAsia="en-AU"/>
                </w:rPr>
                <w:t xml:space="preserve">rash; </w:t>
              </w:r>
              <w:r w:rsidRPr="005F588E">
                <w:rPr>
                  <w:rFonts w:asciiTheme="minorHAnsi" w:eastAsia="Times New Roman" w:hAnsiTheme="minorHAnsi" w:cs="Times New Roman"/>
                  <w:color w:val="000000"/>
                  <w:lang w:eastAsia="en-AU"/>
                </w:rPr>
                <w:lastRenderedPageBreak/>
                <w:t xml:space="preserve">elevated muscle enzymes; typical MRI scan </w:t>
              </w:r>
            </w:ins>
            <w:ins w:id="50" w:author="Philippa Hetzel" w:date="2015-10-26T17:29:00Z">
              <w:r w:rsidR="00673DA2">
                <w:rPr>
                  <w:rFonts w:asciiTheme="minorHAnsi" w:eastAsia="Times New Roman" w:hAnsiTheme="minorHAnsi" w:cs="Times New Roman"/>
                  <w:color w:val="000000"/>
                  <w:lang w:eastAsia="en-AU"/>
                </w:rPr>
                <w:t>abnormalities</w:t>
              </w:r>
            </w:ins>
            <w:ins w:id="51" w:author="Philippa Hetzel" w:date="2015-10-22T14:55:00Z">
              <w:r w:rsidRPr="005F588E">
                <w:rPr>
                  <w:rFonts w:asciiTheme="minorHAnsi" w:eastAsia="Times New Roman" w:hAnsiTheme="minorHAnsi" w:cs="Times New Roman"/>
                  <w:color w:val="000000"/>
                  <w:lang w:eastAsia="en-AU"/>
                </w:rPr>
                <w:t xml:space="preserve"> or </w:t>
              </w:r>
            </w:ins>
            <w:ins w:id="52" w:author="Philippa Hetzel" w:date="2015-10-26T17:29:00Z">
              <w:r w:rsidR="00673DA2">
                <w:rPr>
                  <w:rFonts w:asciiTheme="minorHAnsi" w:eastAsia="Times New Roman" w:hAnsiTheme="minorHAnsi" w:cs="Times New Roman"/>
                  <w:color w:val="000000"/>
                  <w:lang w:eastAsia="en-AU"/>
                </w:rPr>
                <w:t>diagnostic</w:t>
              </w:r>
            </w:ins>
            <w:ins w:id="53" w:author="Philippa Hetzel" w:date="2015-10-22T14:55:00Z">
              <w:r w:rsidRPr="005F588E">
                <w:rPr>
                  <w:rFonts w:asciiTheme="minorHAnsi" w:eastAsia="Times New Roman" w:hAnsiTheme="minorHAnsi" w:cs="Times New Roman"/>
                  <w:color w:val="000000"/>
                  <w:lang w:eastAsia="en-AU"/>
                </w:rPr>
                <w:t xml:space="preserve"> muscle biopsy.</w:t>
              </w:r>
            </w:ins>
          </w:p>
          <w:p w14:paraId="59A7F5BD" w14:textId="77777777" w:rsidR="005F588E" w:rsidRPr="005F588E" w:rsidRDefault="005F588E" w:rsidP="005F588E">
            <w:pPr>
              <w:spacing w:line="276" w:lineRule="auto"/>
              <w:rPr>
                <w:ins w:id="54" w:author="Philippa Hetzel" w:date="2015-10-22T14:55:00Z"/>
                <w:rFonts w:asciiTheme="minorHAnsi" w:eastAsia="Times New Roman" w:hAnsiTheme="minorHAnsi" w:cs="Times New Roman"/>
                <w:color w:val="000000"/>
                <w:lang w:eastAsia="en-AU"/>
              </w:rPr>
            </w:pPr>
          </w:p>
          <w:p w14:paraId="1B8B348C" w14:textId="77777777" w:rsidR="005F588E" w:rsidRPr="005F588E" w:rsidRDefault="005F588E" w:rsidP="005F588E">
            <w:pPr>
              <w:spacing w:after="200" w:line="276" w:lineRule="auto"/>
              <w:rPr>
                <w:ins w:id="55" w:author="Philippa Hetzel" w:date="2015-10-22T14:55:00Z"/>
                <w:rFonts w:asciiTheme="minorHAnsi" w:eastAsia="Times New Roman" w:hAnsiTheme="minorHAnsi" w:cs="Times New Roman"/>
                <w:color w:val="000000"/>
                <w:lang w:eastAsia="en-AU"/>
              </w:rPr>
            </w:pPr>
            <w:ins w:id="56" w:author="Philippa Hetzel" w:date="2015-10-22T14:55:00Z">
              <w:r w:rsidRPr="005F588E">
                <w:rPr>
                  <w:rFonts w:asciiTheme="minorHAnsi" w:eastAsia="Times New Roman" w:hAnsiTheme="minorHAnsi" w:cs="Times New Roman"/>
                  <w:color w:val="000000"/>
                  <w:lang w:eastAsia="en-AU"/>
                </w:rPr>
                <w:t>AND</w:t>
              </w:r>
            </w:ins>
          </w:p>
          <w:p w14:paraId="7292C2EB" w14:textId="2EDA60F2" w:rsidR="005F588E" w:rsidRPr="005F588E" w:rsidRDefault="005F588E" w:rsidP="005F588E">
            <w:pPr>
              <w:pStyle w:val="ListParagraph"/>
              <w:numPr>
                <w:ilvl w:val="0"/>
                <w:numId w:val="24"/>
              </w:numPr>
              <w:spacing w:line="276" w:lineRule="auto"/>
              <w:rPr>
                <w:ins w:id="57" w:author="Philippa Hetzel" w:date="2015-10-22T14:55:00Z"/>
                <w:rFonts w:asciiTheme="minorHAnsi" w:hAnsiTheme="minorHAnsi" w:cs="Lucida Grande"/>
                <w:color w:val="000000"/>
              </w:rPr>
            </w:pPr>
            <w:ins w:id="58" w:author="Philippa Hetzel" w:date="2015-10-22T14:55:00Z">
              <w:r w:rsidRPr="005F588E">
                <w:rPr>
                  <w:rFonts w:asciiTheme="minorHAnsi" w:eastAsia="Times New Roman" w:hAnsiTheme="minorHAnsi" w:cs="Times New Roman"/>
                  <w:color w:val="000000"/>
                  <w:lang w:eastAsia="en-AU"/>
                </w:rPr>
                <w:t xml:space="preserve">Significant muscle weakness as measured by the Childhood Myositis Assessment Scale (CMAS) to a value of less than 45 points </w:t>
              </w:r>
            </w:ins>
            <w:ins w:id="59" w:author="Philippa Hetzel" w:date="2015-10-22T14:57:00Z">
              <w:r w:rsidRPr="005F588E">
                <w:rPr>
                  <w:rFonts w:asciiTheme="minorHAnsi" w:eastAsia="Times New Roman" w:hAnsiTheme="minorHAnsi" w:cs="Times New Roman"/>
                  <w:color w:val="000000"/>
                  <w:lang w:eastAsia="en-AU"/>
                </w:rPr>
                <w:t xml:space="preserve">or </w:t>
              </w:r>
            </w:ins>
            <w:ins w:id="60" w:author="Philippa Hetzel" w:date="2015-10-22T14:55:00Z">
              <w:r w:rsidRPr="005F588E">
                <w:rPr>
                  <w:rFonts w:asciiTheme="minorHAnsi" w:eastAsia="Times New Roman" w:hAnsiTheme="minorHAnsi" w:cs="Times New Roman"/>
                  <w:color w:val="000000"/>
                  <w:lang w:eastAsia="en-AU"/>
                </w:rPr>
                <w:t xml:space="preserve">significant dysphagia limiting dietary intake with involvement of pharyngeal muscles as demonstrated by video-fluoroscopy unless </w:t>
              </w:r>
              <w:r w:rsidRPr="005F588E">
                <w:rPr>
                  <w:rFonts w:asciiTheme="minorHAnsi" w:hAnsiTheme="minorHAnsi" w:cs="Lucida Grande"/>
                  <w:color w:val="000000"/>
                </w:rPr>
                <w:t>speech pathology assessment indicates that a video fluoroscopy procedure would carry significant risk to the patient</w:t>
              </w:r>
            </w:ins>
            <w:ins w:id="61" w:author="Philippa Hetzel" w:date="2015-10-22T14:58:00Z">
              <w:r w:rsidRPr="005F588E">
                <w:rPr>
                  <w:rFonts w:asciiTheme="minorHAnsi" w:hAnsiTheme="minorHAnsi" w:cs="Lucida Grande"/>
                  <w:color w:val="000000"/>
                </w:rPr>
                <w:t xml:space="preserve">. </w:t>
              </w:r>
            </w:ins>
          </w:p>
          <w:p w14:paraId="71679B67" w14:textId="77777777" w:rsidR="005F588E" w:rsidRPr="005F588E" w:rsidRDefault="005F588E" w:rsidP="005F588E">
            <w:pPr>
              <w:spacing w:line="276" w:lineRule="auto"/>
              <w:rPr>
                <w:ins w:id="62" w:author="Philippa Hetzel" w:date="2015-10-22T14:55:00Z"/>
                <w:rFonts w:asciiTheme="minorHAnsi" w:eastAsia="Times New Roman" w:hAnsiTheme="minorHAnsi" w:cs="Times New Roman"/>
                <w:color w:val="000000"/>
                <w:lang w:eastAsia="en-AU"/>
              </w:rPr>
            </w:pPr>
          </w:p>
          <w:p w14:paraId="2EC1BFF8" w14:textId="77777777" w:rsidR="005F588E" w:rsidRPr="005F588E" w:rsidRDefault="005F588E" w:rsidP="005F588E">
            <w:pPr>
              <w:spacing w:after="200" w:line="276" w:lineRule="auto"/>
              <w:rPr>
                <w:ins w:id="63" w:author="Philippa Hetzel" w:date="2015-10-22T14:55:00Z"/>
                <w:rFonts w:asciiTheme="minorHAnsi" w:eastAsia="Times New Roman" w:hAnsiTheme="minorHAnsi" w:cs="Times New Roman"/>
                <w:color w:val="000000"/>
                <w:lang w:eastAsia="en-AU"/>
              </w:rPr>
            </w:pPr>
            <w:ins w:id="64" w:author="Philippa Hetzel" w:date="2015-10-22T14:55:00Z">
              <w:r w:rsidRPr="005F588E">
                <w:rPr>
                  <w:rFonts w:asciiTheme="minorHAnsi" w:eastAsia="Times New Roman" w:hAnsiTheme="minorHAnsi" w:cs="Times New Roman"/>
                  <w:color w:val="000000"/>
                  <w:lang w:eastAsia="en-AU"/>
                </w:rPr>
                <w:t>AND</w:t>
              </w:r>
            </w:ins>
          </w:p>
          <w:p w14:paraId="0256CA39" w14:textId="4AB1A86A" w:rsidR="005F588E" w:rsidRPr="005F588E" w:rsidRDefault="005F588E" w:rsidP="005F588E">
            <w:pPr>
              <w:pStyle w:val="ListParagraph"/>
              <w:numPr>
                <w:ilvl w:val="0"/>
                <w:numId w:val="24"/>
              </w:numPr>
              <w:spacing w:line="276" w:lineRule="auto"/>
              <w:rPr>
                <w:ins w:id="65" w:author="Philippa Hetzel" w:date="2015-10-22T14:55:00Z"/>
                <w:rFonts w:asciiTheme="minorHAnsi" w:eastAsia="Times New Roman" w:hAnsiTheme="minorHAnsi" w:cs="Times New Roman"/>
                <w:color w:val="000000"/>
                <w:lang w:eastAsia="en-AU"/>
              </w:rPr>
            </w:pPr>
            <w:ins w:id="66" w:author="Philippa Hetzel" w:date="2015-10-22T14:55:00Z">
              <w:r w:rsidRPr="005F588E">
                <w:rPr>
                  <w:rFonts w:asciiTheme="minorHAnsi" w:eastAsia="Times New Roman" w:hAnsiTheme="minorHAnsi" w:cs="Times New Roman"/>
                  <w:color w:val="000000" w:themeColor="text1"/>
                  <w:lang w:eastAsia="en-AU"/>
                </w:rPr>
                <w:t>Patient</w:t>
              </w:r>
              <w:r w:rsidRPr="005F588E">
                <w:rPr>
                  <w:rFonts w:asciiTheme="minorHAnsi" w:eastAsia="Times New Roman" w:hAnsiTheme="minorHAnsi" w:cs="Times New Roman"/>
                  <w:color w:val="000000"/>
                  <w:lang w:eastAsia="en-AU"/>
                </w:rPr>
                <w:t xml:space="preserve"> has not responded to corticosteroid treatment</w:t>
              </w:r>
            </w:ins>
            <w:ins w:id="67" w:author="Philippa Hetzel" w:date="2015-10-22T14:58:00Z">
              <w:r w:rsidRPr="005F588E">
                <w:rPr>
                  <w:rFonts w:asciiTheme="minorHAnsi" w:eastAsia="Times New Roman" w:hAnsiTheme="minorHAnsi" w:cs="Times New Roman"/>
                  <w:color w:val="000000"/>
                  <w:lang w:eastAsia="en-AU"/>
                </w:rPr>
                <w:t xml:space="preserve"> unless </w:t>
              </w:r>
            </w:ins>
            <w:ins w:id="68" w:author="Philippa Hetzel" w:date="2015-10-22T14:55:00Z">
              <w:r w:rsidRPr="005F588E">
                <w:rPr>
                  <w:rFonts w:asciiTheme="minorHAnsi" w:eastAsia="Times New Roman" w:hAnsiTheme="minorHAnsi" w:cs="Times New Roman"/>
                  <w:color w:val="000000"/>
                  <w:lang w:eastAsia="en-AU"/>
                </w:rPr>
                <w:t>corticosteroids are contraindicated</w:t>
              </w:r>
            </w:ins>
          </w:p>
          <w:p w14:paraId="1F76C9E7" w14:textId="77777777" w:rsidR="005F588E" w:rsidRPr="005F588E" w:rsidRDefault="005F588E" w:rsidP="005F588E">
            <w:pPr>
              <w:spacing w:after="200" w:line="276" w:lineRule="auto"/>
              <w:rPr>
                <w:ins w:id="69" w:author="Philippa Hetzel" w:date="2015-10-22T14:55:00Z"/>
                <w:rFonts w:asciiTheme="minorHAnsi" w:eastAsia="Times New Roman" w:hAnsiTheme="minorHAnsi" w:cs="Times New Roman"/>
                <w:color w:val="000000"/>
                <w:lang w:eastAsia="en-AU"/>
              </w:rPr>
            </w:pPr>
            <w:ins w:id="70" w:author="Philippa Hetzel" w:date="2015-10-22T14:55:00Z">
              <w:r w:rsidRPr="005F588E">
                <w:rPr>
                  <w:rFonts w:asciiTheme="minorHAnsi" w:eastAsia="Times New Roman" w:hAnsiTheme="minorHAnsi" w:cs="Times New Roman"/>
                  <w:color w:val="000000"/>
                  <w:lang w:eastAsia="en-AU"/>
                </w:rPr>
                <w:t xml:space="preserve"> AND</w:t>
              </w:r>
            </w:ins>
          </w:p>
          <w:p w14:paraId="7D77764A" w14:textId="59EA9DA0" w:rsidR="005F588E" w:rsidRPr="005F588E" w:rsidRDefault="005F588E" w:rsidP="005F588E">
            <w:pPr>
              <w:pStyle w:val="ListParagraph"/>
              <w:numPr>
                <w:ilvl w:val="0"/>
                <w:numId w:val="24"/>
              </w:numPr>
              <w:spacing w:line="276" w:lineRule="auto"/>
              <w:rPr>
                <w:ins w:id="71" w:author="Philippa Hetzel" w:date="2015-10-22T14:55:00Z"/>
                <w:rFonts w:asciiTheme="minorHAnsi" w:eastAsia="Times New Roman" w:hAnsiTheme="minorHAnsi" w:cs="Times New Roman"/>
                <w:color w:val="000000"/>
                <w:lang w:eastAsia="en-AU"/>
              </w:rPr>
            </w:pPr>
            <w:ins w:id="72" w:author="Philippa Hetzel" w:date="2015-10-22T14:55:00Z">
              <w:r w:rsidRPr="005F588E">
                <w:rPr>
                  <w:rFonts w:asciiTheme="minorHAnsi" w:eastAsia="Times New Roman" w:hAnsiTheme="minorHAnsi" w:cs="Times New Roman"/>
                  <w:color w:val="000000"/>
                  <w:lang w:eastAsia="en-AU"/>
                </w:rPr>
                <w:t xml:space="preserve">At least two immunosuppressant agents have been used and are ineffective or have been commenced but not yet become </w:t>
              </w:r>
              <w:r w:rsidRPr="005F588E">
                <w:rPr>
                  <w:rFonts w:asciiTheme="minorHAnsi" w:eastAsia="Times New Roman" w:hAnsiTheme="minorHAnsi" w:cs="Times New Roman"/>
                  <w:color w:val="000000"/>
                  <w:lang w:eastAsia="en-AU"/>
                </w:rPr>
                <w:lastRenderedPageBreak/>
                <w:t>effective</w:t>
              </w:r>
            </w:ins>
            <w:ins w:id="73" w:author="Philippa Hetzel" w:date="2015-10-22T14:58:00Z">
              <w:r w:rsidRPr="005F588E">
                <w:rPr>
                  <w:rFonts w:asciiTheme="minorHAnsi" w:eastAsia="Times New Roman" w:hAnsiTheme="minorHAnsi" w:cs="Times New Roman"/>
                  <w:color w:val="000000"/>
                  <w:lang w:eastAsia="en-AU"/>
                </w:rPr>
                <w:t xml:space="preserve"> unless </w:t>
              </w:r>
            </w:ins>
            <w:ins w:id="74" w:author="Philippa Hetzel" w:date="2015-10-22T14:55:00Z">
              <w:r w:rsidRPr="005F588E">
                <w:rPr>
                  <w:rFonts w:asciiTheme="minorHAnsi" w:eastAsia="Times New Roman" w:hAnsiTheme="minorHAnsi" w:cs="Times New Roman"/>
                  <w:color w:val="000000"/>
                  <w:lang w:eastAsia="en-AU"/>
                </w:rPr>
                <w:t>immunosuppressant medication is contraindicated.</w:t>
              </w:r>
            </w:ins>
          </w:p>
          <w:p w14:paraId="758E8FBD" w14:textId="50D14733" w:rsidR="005F588E" w:rsidRPr="005F588E" w:rsidRDefault="005F588E" w:rsidP="005F588E">
            <w:pPr>
              <w:pStyle w:val="ListParagraph"/>
              <w:spacing w:line="276" w:lineRule="auto"/>
              <w:ind w:left="1440"/>
              <w:rPr>
                <w:iCs/>
                <w:color w:val="404040" w:themeColor="text1" w:themeTint="BF"/>
              </w:rPr>
            </w:pPr>
          </w:p>
        </w:tc>
        <w:tc>
          <w:tcPr>
            <w:tcW w:w="1440" w:type="pct"/>
          </w:tcPr>
          <w:p w14:paraId="5A24F54F" w14:textId="77777777" w:rsidR="0067599A" w:rsidRDefault="0067599A" w:rsidP="0075247A">
            <w:pPr>
              <w:spacing w:before="120" w:after="120" w:line="276" w:lineRule="auto"/>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lastRenderedPageBreak/>
              <w:t xml:space="preserve">The MRC Sum (12) Score will be used to assess muscle weakness and determine response at review. Video-fluoroscopy will </w:t>
            </w:r>
            <w:r>
              <w:rPr>
                <w:rFonts w:asciiTheme="minorHAnsi" w:eastAsia="Times New Roman" w:hAnsiTheme="minorHAnsi" w:cs="Times New Roman"/>
                <w:color w:val="000000"/>
                <w:lang w:eastAsia="en-AU"/>
              </w:rPr>
              <w:lastRenderedPageBreak/>
              <w:t xml:space="preserve">be used to demonstrate the involvement of pharyngeal muscles. </w:t>
            </w:r>
          </w:p>
          <w:p w14:paraId="1BED4AB3" w14:textId="492F4C4B" w:rsidR="0067599A" w:rsidRPr="00EB02B2" w:rsidRDefault="0067599A" w:rsidP="0075247A">
            <w:pPr>
              <w:spacing w:before="120" w:after="120" w:line="276" w:lineRule="auto"/>
              <w:rPr>
                <w:rFonts w:asciiTheme="minorHAnsi" w:eastAsia="Times New Roman" w:hAnsiTheme="minorHAnsi" w:cs="Times New Roman"/>
                <w:color w:val="000000"/>
                <w:lang w:eastAsia="en-AU"/>
              </w:rPr>
            </w:pPr>
            <w:r w:rsidRPr="00CF3B84">
              <w:rPr>
                <w:rFonts w:asciiTheme="minorHAnsi" w:eastAsia="Times New Roman" w:hAnsiTheme="minorHAnsi" w:cs="Times New Roman"/>
                <w:color w:val="000000"/>
                <w:lang w:eastAsia="en-AU"/>
              </w:rPr>
              <w:t xml:space="preserve">SWG considered </w:t>
            </w:r>
            <w:r>
              <w:rPr>
                <w:rFonts w:asciiTheme="minorHAnsi" w:eastAsia="Times New Roman" w:hAnsiTheme="minorHAnsi" w:cs="Times New Roman"/>
                <w:color w:val="000000"/>
                <w:lang w:eastAsia="en-AU"/>
              </w:rPr>
              <w:t xml:space="preserve">the application of </w:t>
            </w:r>
            <w:r w:rsidRPr="00ED79DF">
              <w:rPr>
                <w:rFonts w:asciiTheme="minorHAnsi" w:eastAsia="Times New Roman" w:hAnsiTheme="minorHAnsi" w:cs="Times New Roman"/>
                <w:color w:val="000000"/>
                <w:lang w:eastAsia="en-AU"/>
              </w:rPr>
              <w:t>disability scales at length -</w:t>
            </w:r>
            <w:r w:rsidRPr="00EB02B2">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 xml:space="preserve">however, </w:t>
            </w:r>
            <w:r w:rsidRPr="00CF3B84">
              <w:rPr>
                <w:rFonts w:asciiTheme="minorHAnsi" w:eastAsia="Times New Roman" w:hAnsiTheme="minorHAnsi" w:cs="Times New Roman"/>
                <w:color w:val="000000"/>
                <w:lang w:eastAsia="en-AU"/>
              </w:rPr>
              <w:t>there is no commonly used or validated disability scale that can be practically used in the clinic setting for PM/DM– all those identified in the literature are research based and too time consuming for use in outpatient clinics</w:t>
            </w:r>
            <w:r>
              <w:rPr>
                <w:rFonts w:asciiTheme="minorHAnsi" w:eastAsia="Times New Roman" w:hAnsiTheme="minorHAnsi" w:cs="Times New Roman"/>
                <w:color w:val="000000"/>
                <w:lang w:eastAsia="en-AU"/>
              </w:rPr>
              <w:t xml:space="preserve">. </w:t>
            </w:r>
          </w:p>
          <w:p w14:paraId="1D1DD4AB" w14:textId="77777777" w:rsidR="00FB2214" w:rsidRDefault="00FB2214" w:rsidP="0075247A">
            <w:pPr>
              <w:spacing w:before="120" w:after="120" w:line="276" w:lineRule="auto"/>
              <w:rPr>
                <w:ins w:id="75" w:author="Philippa Hetzel" w:date="2015-10-26T17:35:00Z"/>
                <w:rFonts w:asciiTheme="minorHAnsi" w:eastAsia="Times New Roman" w:hAnsiTheme="minorHAnsi" w:cs="Times New Roman"/>
                <w:color w:val="000000"/>
                <w:lang w:eastAsia="en-AU"/>
              </w:rPr>
            </w:pPr>
          </w:p>
          <w:p w14:paraId="1C746370" w14:textId="77777777" w:rsidR="00FB2214" w:rsidRDefault="00FB2214" w:rsidP="0075247A">
            <w:pPr>
              <w:spacing w:before="120" w:after="120" w:line="276" w:lineRule="auto"/>
              <w:rPr>
                <w:ins w:id="76" w:author="Philippa Hetzel" w:date="2015-10-26T17:35:00Z"/>
                <w:rFonts w:asciiTheme="minorHAnsi" w:eastAsia="Times New Roman" w:hAnsiTheme="minorHAnsi" w:cs="Times New Roman"/>
                <w:color w:val="000000"/>
                <w:lang w:eastAsia="en-AU"/>
              </w:rPr>
            </w:pPr>
          </w:p>
          <w:p w14:paraId="381785D2" w14:textId="77777777" w:rsidR="00FB2214" w:rsidRDefault="00FB2214" w:rsidP="0075247A">
            <w:pPr>
              <w:spacing w:before="120" w:after="120" w:line="276" w:lineRule="auto"/>
              <w:rPr>
                <w:ins w:id="77" w:author="Philippa Hetzel" w:date="2015-10-26T17:35:00Z"/>
                <w:rFonts w:asciiTheme="minorHAnsi" w:eastAsia="Times New Roman" w:hAnsiTheme="minorHAnsi" w:cs="Times New Roman"/>
                <w:color w:val="000000"/>
                <w:lang w:eastAsia="en-AU"/>
              </w:rPr>
            </w:pPr>
          </w:p>
          <w:p w14:paraId="7975A3B9" w14:textId="77777777" w:rsidR="00FB2214" w:rsidRDefault="00FB2214" w:rsidP="0075247A">
            <w:pPr>
              <w:spacing w:before="120" w:after="120" w:line="276" w:lineRule="auto"/>
              <w:rPr>
                <w:ins w:id="78" w:author="Philippa Hetzel" w:date="2015-10-26T17:36:00Z"/>
                <w:rFonts w:asciiTheme="minorHAnsi" w:eastAsia="Times New Roman" w:hAnsiTheme="minorHAnsi" w:cs="Times New Roman"/>
                <w:color w:val="000000"/>
                <w:lang w:eastAsia="en-AU"/>
              </w:rPr>
            </w:pPr>
          </w:p>
          <w:p w14:paraId="3116F9A0" w14:textId="77777777" w:rsidR="00FB2214" w:rsidRDefault="00FB2214" w:rsidP="0075247A">
            <w:pPr>
              <w:spacing w:before="120" w:after="120" w:line="276" w:lineRule="auto"/>
              <w:rPr>
                <w:ins w:id="79" w:author="Philippa Hetzel" w:date="2015-10-26T17:36:00Z"/>
                <w:rFonts w:asciiTheme="minorHAnsi" w:eastAsia="Times New Roman" w:hAnsiTheme="minorHAnsi" w:cs="Times New Roman"/>
                <w:color w:val="000000"/>
                <w:lang w:eastAsia="en-AU"/>
              </w:rPr>
            </w:pPr>
          </w:p>
          <w:p w14:paraId="59734E0F" w14:textId="77777777" w:rsidR="00FB2214" w:rsidRDefault="00FB2214" w:rsidP="0075247A">
            <w:pPr>
              <w:spacing w:before="120" w:after="120" w:line="276" w:lineRule="auto"/>
              <w:rPr>
                <w:ins w:id="80" w:author="Philippa Hetzel" w:date="2015-10-26T17:36:00Z"/>
                <w:rFonts w:asciiTheme="minorHAnsi" w:eastAsia="Times New Roman" w:hAnsiTheme="minorHAnsi" w:cs="Times New Roman"/>
                <w:color w:val="000000"/>
                <w:lang w:eastAsia="en-AU"/>
              </w:rPr>
            </w:pPr>
          </w:p>
          <w:p w14:paraId="022C1246" w14:textId="6F31E3CF" w:rsidR="0067599A" w:rsidRPr="00686D26" w:rsidRDefault="00686D26" w:rsidP="0075247A">
            <w:pPr>
              <w:spacing w:before="120" w:after="120" w:line="276" w:lineRule="auto"/>
              <w:rPr>
                <w:ins w:id="81" w:author="Philippa Hetzel" w:date="2015-10-22T14:53:00Z"/>
                <w:rFonts w:asciiTheme="minorHAnsi" w:eastAsia="Times New Roman" w:hAnsiTheme="minorHAnsi" w:cs="Times New Roman"/>
                <w:color w:val="000000"/>
                <w:lang w:eastAsia="en-AU"/>
              </w:rPr>
            </w:pPr>
            <w:ins w:id="82" w:author="Philippa Hetzel" w:date="2015-10-22T14:53:00Z">
              <w:r w:rsidRPr="00686D26">
                <w:rPr>
                  <w:rFonts w:asciiTheme="minorHAnsi" w:eastAsia="Times New Roman" w:hAnsiTheme="minorHAnsi" w:cs="Times New Roman"/>
                  <w:color w:val="000000"/>
                  <w:lang w:eastAsia="en-AU"/>
                </w:rPr>
                <w:t xml:space="preserve">Amendment </w:t>
              </w:r>
              <w:r>
                <w:rPr>
                  <w:rFonts w:asciiTheme="minorHAnsi" w:eastAsia="Times New Roman" w:hAnsiTheme="minorHAnsi" w:cs="Times New Roman"/>
                  <w:color w:val="000000"/>
                  <w:lang w:eastAsia="en-AU"/>
                </w:rPr>
                <w:t xml:space="preserve">to criteria where </w:t>
              </w:r>
            </w:ins>
            <w:ins w:id="83" w:author="Philippa Hetzel" w:date="2015-10-22T14:54:00Z">
              <w:r w:rsidR="00673DA2">
                <w:rPr>
                  <w:rFonts w:asciiTheme="minorHAnsi" w:eastAsia="Times New Roman" w:hAnsiTheme="minorHAnsi" w:cs="Times New Roman"/>
                  <w:color w:val="000000"/>
                  <w:lang w:eastAsia="en-AU"/>
                </w:rPr>
                <w:t>patient risk</w:t>
              </w:r>
            </w:ins>
            <w:ins w:id="84" w:author="Philippa Hetzel" w:date="2015-10-26T17:28:00Z">
              <w:r w:rsidR="00673DA2">
                <w:rPr>
                  <w:rFonts w:asciiTheme="minorHAnsi" w:eastAsia="Times New Roman" w:hAnsiTheme="minorHAnsi" w:cs="Times New Roman"/>
                  <w:color w:val="000000"/>
                  <w:lang w:eastAsia="en-AU"/>
                </w:rPr>
                <w:t xml:space="preserve"> of aspiration </w:t>
              </w:r>
            </w:ins>
            <w:ins w:id="85" w:author="Philippa Hetzel" w:date="2015-10-22T14:54:00Z">
              <w:r>
                <w:rPr>
                  <w:rFonts w:asciiTheme="minorHAnsi" w:eastAsia="Times New Roman" w:hAnsiTheme="minorHAnsi" w:cs="Times New Roman"/>
                  <w:color w:val="000000"/>
                  <w:lang w:eastAsia="en-AU"/>
                </w:rPr>
                <w:t xml:space="preserve">from video fluoroscopy is assessed as being </w:t>
              </w:r>
            </w:ins>
            <w:ins w:id="86" w:author="Philippa Hetzel" w:date="2015-10-22T14:53:00Z">
              <w:r>
                <w:rPr>
                  <w:rFonts w:asciiTheme="minorHAnsi" w:eastAsia="Times New Roman" w:hAnsiTheme="minorHAnsi" w:cs="Times New Roman"/>
                  <w:color w:val="000000"/>
                  <w:lang w:eastAsia="en-AU"/>
                </w:rPr>
                <w:t>unacceptable</w:t>
              </w:r>
            </w:ins>
            <w:ins w:id="87" w:author="Philippa Hetzel" w:date="2015-10-22T14:54:00Z">
              <w:r>
                <w:rPr>
                  <w:rFonts w:asciiTheme="minorHAnsi" w:eastAsia="Times New Roman" w:hAnsiTheme="minorHAnsi" w:cs="Times New Roman"/>
                  <w:color w:val="000000"/>
                  <w:lang w:eastAsia="en-AU"/>
                </w:rPr>
                <w:t xml:space="preserve">. </w:t>
              </w:r>
            </w:ins>
            <w:ins w:id="88" w:author="Philippa Hetzel" w:date="2015-10-22T14:53:00Z">
              <w:r>
                <w:rPr>
                  <w:rFonts w:asciiTheme="minorHAnsi" w:eastAsia="Times New Roman" w:hAnsiTheme="minorHAnsi" w:cs="Times New Roman"/>
                  <w:color w:val="000000"/>
                  <w:lang w:eastAsia="en-AU"/>
                </w:rPr>
                <w:t xml:space="preserve"> </w:t>
              </w:r>
            </w:ins>
          </w:p>
          <w:p w14:paraId="7D684959" w14:textId="77777777" w:rsidR="00686D26" w:rsidRDefault="00686D26" w:rsidP="0075247A">
            <w:pPr>
              <w:spacing w:before="120" w:after="120" w:line="276" w:lineRule="auto"/>
              <w:rPr>
                <w:ins w:id="89" w:author="Philippa Hetzel" w:date="2015-10-26T17:36:00Z"/>
                <w:rFonts w:asciiTheme="minorHAnsi" w:eastAsia="Times New Roman" w:hAnsiTheme="minorHAnsi" w:cs="Times New Roman"/>
                <w:color w:val="000000"/>
                <w:sz w:val="20"/>
                <w:szCs w:val="20"/>
                <w:lang w:eastAsia="en-AU"/>
              </w:rPr>
            </w:pPr>
          </w:p>
          <w:p w14:paraId="3786749C" w14:textId="77777777" w:rsidR="00FB2214" w:rsidRDefault="00FB2214" w:rsidP="0075247A">
            <w:pPr>
              <w:spacing w:before="120" w:after="120" w:line="276" w:lineRule="auto"/>
              <w:rPr>
                <w:rFonts w:asciiTheme="minorHAnsi" w:eastAsia="Times New Roman" w:hAnsiTheme="minorHAnsi" w:cs="Times New Roman"/>
                <w:color w:val="000000"/>
                <w:sz w:val="20"/>
                <w:szCs w:val="20"/>
                <w:lang w:eastAsia="en-AU"/>
              </w:rPr>
            </w:pPr>
          </w:p>
          <w:p w14:paraId="411000B9" w14:textId="7A72197E" w:rsidR="0067599A" w:rsidRPr="00ED79DF" w:rsidRDefault="00E161A8" w:rsidP="0075247A">
            <w:pPr>
              <w:spacing w:before="120" w:after="120" w:line="276" w:lineRule="auto"/>
              <w:rPr>
                <w:rFonts w:asciiTheme="minorHAnsi" w:eastAsia="Times New Roman" w:hAnsiTheme="minorHAnsi" w:cs="Times New Roman"/>
                <w:color w:val="000000"/>
                <w:sz w:val="20"/>
                <w:szCs w:val="20"/>
                <w:lang w:eastAsia="en-AU"/>
              </w:rPr>
            </w:pPr>
            <w:r>
              <w:rPr>
                <w:rFonts w:asciiTheme="minorHAnsi" w:eastAsia="Times New Roman" w:hAnsiTheme="minorHAnsi" w:cs="Times New Roman"/>
                <w:color w:val="000000"/>
                <w:sz w:val="20"/>
                <w:szCs w:val="20"/>
                <w:lang w:eastAsia="en-AU"/>
              </w:rPr>
              <w:t>Immunosuppressant</w:t>
            </w:r>
            <w:r w:rsidR="0067599A">
              <w:rPr>
                <w:rFonts w:asciiTheme="minorHAnsi" w:eastAsia="Times New Roman" w:hAnsiTheme="minorHAnsi" w:cs="Times New Roman"/>
                <w:color w:val="000000"/>
                <w:sz w:val="20"/>
                <w:szCs w:val="20"/>
                <w:lang w:eastAsia="en-AU"/>
              </w:rPr>
              <w:t xml:space="preserve"> agents that are alternative therapies are: </w:t>
            </w:r>
          </w:p>
          <w:p w14:paraId="1DF88FD4" w14:textId="77777777" w:rsidR="0067599A" w:rsidRPr="007250DA" w:rsidRDefault="0067599A" w:rsidP="0075247A">
            <w:pPr>
              <w:pStyle w:val="ListParagraph"/>
              <w:numPr>
                <w:ilvl w:val="0"/>
                <w:numId w:val="14"/>
              </w:numPr>
              <w:spacing w:before="120" w:after="120" w:line="276" w:lineRule="auto"/>
              <w:rPr>
                <w:rFonts w:asciiTheme="minorHAnsi" w:eastAsia="Times New Roman" w:hAnsiTheme="minorHAnsi" w:cs="Times New Roman"/>
                <w:color w:val="000000"/>
                <w:sz w:val="20"/>
                <w:szCs w:val="20"/>
                <w:lang w:eastAsia="en-AU"/>
              </w:rPr>
            </w:pPr>
            <w:r w:rsidRPr="007250DA">
              <w:rPr>
                <w:rFonts w:asciiTheme="minorHAnsi" w:eastAsia="Times New Roman" w:hAnsiTheme="minorHAnsi" w:cs="Times New Roman"/>
                <w:color w:val="000000"/>
                <w:sz w:val="20"/>
                <w:szCs w:val="20"/>
                <w:lang w:eastAsia="en-AU"/>
              </w:rPr>
              <w:t>Azathioprine</w:t>
            </w:r>
          </w:p>
          <w:p w14:paraId="63B26A97" w14:textId="77777777" w:rsidR="0067599A" w:rsidRPr="007250DA" w:rsidRDefault="0067599A" w:rsidP="0075247A">
            <w:pPr>
              <w:pStyle w:val="ListParagraph"/>
              <w:numPr>
                <w:ilvl w:val="0"/>
                <w:numId w:val="14"/>
              </w:numPr>
              <w:spacing w:before="120" w:after="120" w:line="276" w:lineRule="auto"/>
              <w:rPr>
                <w:rFonts w:asciiTheme="minorHAnsi" w:eastAsia="Times New Roman" w:hAnsiTheme="minorHAnsi" w:cs="Times New Roman"/>
                <w:color w:val="000000"/>
                <w:sz w:val="20"/>
                <w:szCs w:val="20"/>
                <w:lang w:eastAsia="en-AU"/>
              </w:rPr>
            </w:pPr>
            <w:r w:rsidRPr="007250DA">
              <w:rPr>
                <w:rFonts w:asciiTheme="minorHAnsi" w:eastAsia="Times New Roman" w:hAnsiTheme="minorHAnsi" w:cs="Times New Roman"/>
                <w:color w:val="000000"/>
                <w:sz w:val="20"/>
                <w:szCs w:val="20"/>
                <w:lang w:eastAsia="en-AU"/>
              </w:rPr>
              <w:t>Methotrexate</w:t>
            </w:r>
          </w:p>
          <w:p w14:paraId="4EB013FF" w14:textId="77777777" w:rsidR="0067599A" w:rsidRPr="007250DA" w:rsidRDefault="0067599A" w:rsidP="0075247A">
            <w:pPr>
              <w:pStyle w:val="ListParagraph"/>
              <w:numPr>
                <w:ilvl w:val="0"/>
                <w:numId w:val="14"/>
              </w:numPr>
              <w:spacing w:before="120" w:after="120" w:line="276" w:lineRule="auto"/>
              <w:rPr>
                <w:rFonts w:asciiTheme="minorHAnsi" w:eastAsia="Times New Roman" w:hAnsiTheme="minorHAnsi" w:cs="Times New Roman"/>
                <w:color w:val="000000"/>
                <w:sz w:val="20"/>
                <w:szCs w:val="20"/>
                <w:lang w:eastAsia="en-AU"/>
              </w:rPr>
            </w:pPr>
            <w:r w:rsidRPr="007250DA">
              <w:rPr>
                <w:rFonts w:asciiTheme="minorHAnsi" w:eastAsia="Times New Roman" w:hAnsiTheme="minorHAnsi" w:cs="Times New Roman"/>
                <w:color w:val="000000"/>
                <w:sz w:val="20"/>
                <w:szCs w:val="20"/>
                <w:lang w:eastAsia="en-AU"/>
              </w:rPr>
              <w:t>Cyclophosphamide</w:t>
            </w:r>
          </w:p>
          <w:p w14:paraId="53FC021D" w14:textId="77777777" w:rsidR="0067599A" w:rsidRPr="007250DA" w:rsidRDefault="0067599A" w:rsidP="0075247A">
            <w:pPr>
              <w:pStyle w:val="ListParagraph"/>
              <w:numPr>
                <w:ilvl w:val="0"/>
                <w:numId w:val="14"/>
              </w:numPr>
              <w:spacing w:before="120" w:after="120" w:line="276" w:lineRule="auto"/>
              <w:rPr>
                <w:rFonts w:asciiTheme="minorHAnsi" w:eastAsia="Times New Roman" w:hAnsiTheme="minorHAnsi" w:cs="Times New Roman"/>
                <w:color w:val="000000"/>
                <w:sz w:val="20"/>
                <w:szCs w:val="20"/>
                <w:lang w:eastAsia="en-AU"/>
              </w:rPr>
            </w:pPr>
            <w:r w:rsidRPr="007250DA">
              <w:rPr>
                <w:rFonts w:asciiTheme="minorHAnsi" w:eastAsia="Times New Roman" w:hAnsiTheme="minorHAnsi" w:cs="Times New Roman"/>
                <w:color w:val="000000"/>
                <w:sz w:val="20"/>
                <w:szCs w:val="20"/>
                <w:lang w:eastAsia="en-AU"/>
              </w:rPr>
              <w:t>Chlorambucil</w:t>
            </w:r>
          </w:p>
          <w:p w14:paraId="05EA02A2" w14:textId="77777777" w:rsidR="0067599A" w:rsidRPr="007250DA" w:rsidRDefault="0067599A" w:rsidP="0075247A">
            <w:pPr>
              <w:pStyle w:val="ListParagraph"/>
              <w:numPr>
                <w:ilvl w:val="0"/>
                <w:numId w:val="14"/>
              </w:numPr>
              <w:spacing w:before="120" w:after="120" w:line="276" w:lineRule="auto"/>
              <w:rPr>
                <w:rFonts w:asciiTheme="minorHAnsi" w:eastAsia="Times New Roman" w:hAnsiTheme="minorHAnsi" w:cs="Times New Roman"/>
                <w:color w:val="000000"/>
                <w:sz w:val="20"/>
                <w:szCs w:val="20"/>
                <w:lang w:eastAsia="en-AU"/>
              </w:rPr>
            </w:pPr>
            <w:r w:rsidRPr="007250DA">
              <w:rPr>
                <w:rFonts w:asciiTheme="minorHAnsi" w:eastAsia="Times New Roman" w:hAnsiTheme="minorHAnsi" w:cs="Times New Roman"/>
                <w:color w:val="000000"/>
                <w:sz w:val="20"/>
                <w:szCs w:val="20"/>
                <w:lang w:eastAsia="en-AU"/>
              </w:rPr>
              <w:t>Cyclosporin A</w:t>
            </w:r>
          </w:p>
          <w:p w14:paraId="24F763B0" w14:textId="77777777" w:rsidR="0067599A" w:rsidRDefault="0067599A" w:rsidP="0075247A">
            <w:pPr>
              <w:spacing w:before="120" w:after="120"/>
            </w:pPr>
          </w:p>
          <w:p w14:paraId="2D80F53D" w14:textId="77777777" w:rsidR="0067599A" w:rsidRDefault="0067599A" w:rsidP="0075247A">
            <w:pPr>
              <w:spacing w:before="120" w:after="120"/>
              <w:rPr>
                <w:ins w:id="90" w:author="Philippa Hetzel" w:date="2015-10-22T14:59:00Z"/>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SWG noted that</w:t>
            </w:r>
            <w:r w:rsidRPr="00AA7314">
              <w:rPr>
                <w:rFonts w:asciiTheme="minorHAnsi" w:eastAsia="Times New Roman" w:hAnsiTheme="minorHAnsi" w:cs="Times New Roman"/>
                <w:color w:val="000000"/>
                <w:lang w:eastAsia="en-AU"/>
              </w:rPr>
              <w:t xml:space="preserve"> when PM/DM very acute and severe – Ig is likely to be used in the early phase of the disease while immunosuppressant medications are still taking effect. </w:t>
            </w:r>
            <w:r>
              <w:rPr>
                <w:rFonts w:asciiTheme="minorHAnsi" w:eastAsia="Times New Roman" w:hAnsiTheme="minorHAnsi" w:cs="Times New Roman"/>
                <w:color w:val="000000"/>
                <w:lang w:eastAsia="en-AU"/>
              </w:rPr>
              <w:t xml:space="preserve">This has been accommodated in the qualifying criteria. </w:t>
            </w:r>
            <w:r w:rsidRPr="00AA7314">
              <w:rPr>
                <w:rFonts w:asciiTheme="minorHAnsi" w:eastAsia="Times New Roman" w:hAnsiTheme="minorHAnsi" w:cs="Times New Roman"/>
                <w:color w:val="000000"/>
                <w:lang w:eastAsia="en-AU"/>
              </w:rPr>
              <w:t xml:space="preserve"> </w:t>
            </w:r>
          </w:p>
          <w:p w14:paraId="474CEDEA" w14:textId="77777777" w:rsidR="005F588E" w:rsidRDefault="005F588E" w:rsidP="0075247A">
            <w:pPr>
              <w:spacing w:before="120" w:after="120"/>
              <w:rPr>
                <w:ins w:id="91" w:author="Philippa Hetzel" w:date="2015-10-22T14:59:00Z"/>
                <w:rFonts w:asciiTheme="minorHAnsi" w:eastAsia="Times New Roman" w:hAnsiTheme="minorHAnsi" w:cs="Times New Roman"/>
                <w:color w:val="000000"/>
                <w:lang w:eastAsia="en-AU"/>
              </w:rPr>
            </w:pPr>
          </w:p>
          <w:p w14:paraId="6D501228" w14:textId="77777777" w:rsidR="005F588E" w:rsidRDefault="005F588E" w:rsidP="0075247A">
            <w:pPr>
              <w:spacing w:before="120" w:after="120"/>
              <w:rPr>
                <w:ins w:id="92" w:author="Philippa Hetzel" w:date="2015-10-22T14:59:00Z"/>
                <w:rFonts w:asciiTheme="minorHAnsi" w:eastAsia="Times New Roman" w:hAnsiTheme="minorHAnsi" w:cs="Times New Roman"/>
                <w:color w:val="000000"/>
                <w:lang w:eastAsia="en-AU"/>
              </w:rPr>
            </w:pPr>
          </w:p>
          <w:p w14:paraId="7FAD26E4" w14:textId="30BA0399" w:rsidR="00FB2214" w:rsidRDefault="00FB2214" w:rsidP="00FB2214">
            <w:pPr>
              <w:spacing w:before="120" w:after="120"/>
              <w:rPr>
                <w:ins w:id="93" w:author="Philippa Hetzel" w:date="2015-10-26T17:36:00Z"/>
                <w:rFonts w:asciiTheme="minorHAnsi" w:eastAsia="Times New Roman" w:hAnsiTheme="minorHAnsi" w:cs="Times New Roman"/>
                <w:color w:val="000000"/>
                <w:lang w:eastAsia="en-AU"/>
              </w:rPr>
            </w:pPr>
            <w:ins w:id="94" w:author="Philippa Hetzel" w:date="2015-10-26T17:36:00Z">
              <w:r>
                <w:rPr>
                  <w:rFonts w:asciiTheme="minorHAnsi" w:eastAsia="Times New Roman" w:hAnsiTheme="minorHAnsi" w:cs="Times New Roman"/>
                  <w:color w:val="000000"/>
                  <w:lang w:eastAsia="en-AU"/>
                </w:rPr>
                <w:t xml:space="preserve">New indication for children with relevant diagnostic criteria and CMAS as the assessment method. </w:t>
              </w:r>
            </w:ins>
          </w:p>
          <w:p w14:paraId="33D574CE" w14:textId="77777777" w:rsidR="005F588E" w:rsidRDefault="005F588E" w:rsidP="0075247A">
            <w:pPr>
              <w:spacing w:before="120" w:after="120"/>
              <w:rPr>
                <w:ins w:id="95" w:author="Philippa Hetzel" w:date="2015-10-22T14:59:00Z"/>
                <w:rFonts w:asciiTheme="minorHAnsi" w:eastAsia="Times New Roman" w:hAnsiTheme="minorHAnsi" w:cs="Times New Roman"/>
                <w:color w:val="000000"/>
                <w:lang w:eastAsia="en-AU"/>
              </w:rPr>
            </w:pPr>
          </w:p>
          <w:p w14:paraId="1EEEC872" w14:textId="77777777" w:rsidR="005F588E" w:rsidRDefault="005F588E" w:rsidP="0075247A">
            <w:pPr>
              <w:spacing w:before="120" w:after="120"/>
              <w:rPr>
                <w:ins w:id="96" w:author="Philippa Hetzel" w:date="2015-10-22T14:59:00Z"/>
                <w:rFonts w:asciiTheme="minorHAnsi" w:eastAsia="Times New Roman" w:hAnsiTheme="minorHAnsi" w:cs="Times New Roman"/>
                <w:color w:val="000000"/>
                <w:lang w:eastAsia="en-AU"/>
              </w:rPr>
            </w:pPr>
          </w:p>
          <w:p w14:paraId="498C8D70" w14:textId="77777777" w:rsidR="005F588E" w:rsidRDefault="005F588E" w:rsidP="0075247A">
            <w:pPr>
              <w:spacing w:before="120" w:after="120"/>
              <w:rPr>
                <w:ins w:id="97" w:author="Philippa Hetzel" w:date="2015-10-22T14:59:00Z"/>
                <w:rFonts w:asciiTheme="minorHAnsi" w:eastAsia="Times New Roman" w:hAnsiTheme="minorHAnsi" w:cs="Times New Roman"/>
                <w:color w:val="000000"/>
                <w:lang w:eastAsia="en-AU"/>
              </w:rPr>
            </w:pPr>
          </w:p>
          <w:p w14:paraId="301ADB3A" w14:textId="77777777" w:rsidR="005F588E" w:rsidRDefault="005F588E" w:rsidP="0075247A">
            <w:pPr>
              <w:spacing w:before="120" w:after="120"/>
              <w:rPr>
                <w:ins w:id="98" w:author="Philippa Hetzel" w:date="2015-10-22T14:59:00Z"/>
                <w:rFonts w:asciiTheme="minorHAnsi" w:eastAsia="Times New Roman" w:hAnsiTheme="minorHAnsi" w:cs="Times New Roman"/>
                <w:color w:val="000000"/>
                <w:lang w:eastAsia="en-AU"/>
              </w:rPr>
            </w:pPr>
          </w:p>
          <w:p w14:paraId="11591C3C" w14:textId="77777777" w:rsidR="005F588E" w:rsidRDefault="005F588E" w:rsidP="0075247A">
            <w:pPr>
              <w:spacing w:before="120" w:after="120"/>
              <w:rPr>
                <w:ins w:id="99" w:author="Philippa Hetzel" w:date="2015-10-22T14:59:00Z"/>
                <w:rFonts w:asciiTheme="minorHAnsi" w:eastAsia="Times New Roman" w:hAnsiTheme="minorHAnsi" w:cs="Times New Roman"/>
                <w:color w:val="000000"/>
                <w:lang w:eastAsia="en-AU"/>
              </w:rPr>
            </w:pPr>
          </w:p>
          <w:p w14:paraId="229CED4F" w14:textId="77777777" w:rsidR="005F588E" w:rsidRDefault="005F588E" w:rsidP="0075247A">
            <w:pPr>
              <w:spacing w:before="120" w:after="120"/>
              <w:rPr>
                <w:ins w:id="100" w:author="Philippa Hetzel" w:date="2015-10-22T14:59:00Z"/>
                <w:rFonts w:asciiTheme="minorHAnsi" w:eastAsia="Times New Roman" w:hAnsiTheme="minorHAnsi" w:cs="Times New Roman"/>
                <w:color w:val="000000"/>
                <w:lang w:eastAsia="en-AU"/>
              </w:rPr>
            </w:pPr>
          </w:p>
          <w:p w14:paraId="7948BC6C" w14:textId="77777777" w:rsidR="005F588E" w:rsidRDefault="005F588E" w:rsidP="0075247A">
            <w:pPr>
              <w:spacing w:before="120" w:after="120"/>
              <w:rPr>
                <w:ins w:id="101" w:author="Philippa Hetzel" w:date="2015-10-22T14:59:00Z"/>
                <w:rFonts w:asciiTheme="minorHAnsi" w:eastAsia="Times New Roman" w:hAnsiTheme="minorHAnsi" w:cs="Times New Roman"/>
                <w:color w:val="000000"/>
                <w:lang w:eastAsia="en-AU"/>
              </w:rPr>
            </w:pPr>
          </w:p>
          <w:p w14:paraId="792D47A8" w14:textId="64757FA7" w:rsidR="005F588E" w:rsidRPr="00C25D3F" w:rsidRDefault="005F588E" w:rsidP="00FB2214">
            <w:pPr>
              <w:spacing w:before="120" w:after="120"/>
            </w:pPr>
          </w:p>
        </w:tc>
      </w:tr>
      <w:tr w:rsidR="0067599A" w:rsidRPr="00C25D3F" w14:paraId="1A269766" w14:textId="77777777" w:rsidTr="00D80049">
        <w:tc>
          <w:tcPr>
            <w:tcW w:w="471" w:type="pct"/>
            <w:shd w:val="clear" w:color="auto" w:fill="D9D9D9" w:themeFill="background1" w:themeFillShade="D9"/>
          </w:tcPr>
          <w:p w14:paraId="384D5BEE" w14:textId="2BB1CC07" w:rsidR="0067599A" w:rsidRPr="0075247A" w:rsidRDefault="0067599A" w:rsidP="0075247A">
            <w:pPr>
              <w:spacing w:before="120" w:after="120"/>
              <w:rPr>
                <w:b/>
              </w:rPr>
            </w:pPr>
            <w:r w:rsidRPr="0075247A">
              <w:rPr>
                <w:b/>
              </w:rPr>
              <w:lastRenderedPageBreak/>
              <w:t>Review Criteria</w:t>
            </w:r>
          </w:p>
        </w:tc>
        <w:tc>
          <w:tcPr>
            <w:tcW w:w="1348" w:type="pct"/>
          </w:tcPr>
          <w:p w14:paraId="0ACC88D0" w14:textId="77777777" w:rsidR="0067599A" w:rsidRPr="00C25D3F" w:rsidRDefault="0067599A" w:rsidP="0075247A">
            <w:pPr>
              <w:spacing w:before="120" w:after="120"/>
            </w:pPr>
            <w:r w:rsidRPr="00C25D3F">
              <w:t>IVIg should be used for three to six months (three to six courses) before determining whether the patient has responded. If there is no benefit after three to six courses, IVIg therapy should be abandoned.</w:t>
            </w:r>
          </w:p>
          <w:p w14:paraId="63A954C0" w14:textId="77777777" w:rsidR="0067599A" w:rsidRPr="00C25D3F" w:rsidRDefault="0067599A" w:rsidP="0075247A">
            <w:pPr>
              <w:spacing w:before="120" w:after="120"/>
            </w:pPr>
          </w:p>
          <w:p w14:paraId="722524A3" w14:textId="77777777" w:rsidR="0067599A" w:rsidRPr="0075247A" w:rsidRDefault="0067599A" w:rsidP="0075247A">
            <w:pPr>
              <w:spacing w:before="120" w:after="120"/>
              <w:rPr>
                <w:b/>
              </w:rPr>
            </w:pPr>
            <w:r w:rsidRPr="0075247A">
              <w:rPr>
                <w:b/>
              </w:rPr>
              <w:t>Review</w:t>
            </w:r>
          </w:p>
          <w:p w14:paraId="15FB67B8" w14:textId="77777777" w:rsidR="0067599A" w:rsidRPr="00C25D3F" w:rsidRDefault="0067599A" w:rsidP="0075247A">
            <w:pPr>
              <w:spacing w:before="120" w:after="120"/>
            </w:pPr>
            <w:r w:rsidRPr="00C25D3F">
              <w:t>Regular review by a neurologist, rheumatologist, or clinical immunologist is required; frequency as determined by clinical status of patient.</w:t>
            </w:r>
          </w:p>
          <w:p w14:paraId="68C6C3E6" w14:textId="77777777" w:rsidR="0067599A" w:rsidRPr="00C25D3F" w:rsidRDefault="0067599A" w:rsidP="0075247A">
            <w:pPr>
              <w:spacing w:before="120" w:after="120"/>
            </w:pPr>
            <w:r w:rsidRPr="00C25D3F">
              <w:t>For stable patients on maintenance treatment, review by a specialist is required at least annually.</w:t>
            </w:r>
          </w:p>
          <w:p w14:paraId="2C564864" w14:textId="77777777" w:rsidR="0067599A" w:rsidRPr="00C25D3F" w:rsidRDefault="0067599A" w:rsidP="0075247A">
            <w:pPr>
              <w:spacing w:before="120" w:after="120"/>
            </w:pPr>
          </w:p>
          <w:p w14:paraId="0523E525" w14:textId="77777777" w:rsidR="0067599A" w:rsidRPr="00C25D3F" w:rsidRDefault="0067599A" w:rsidP="0075247A">
            <w:pPr>
              <w:spacing w:before="120" w:after="120"/>
            </w:pPr>
            <w:r w:rsidRPr="00C25D3F">
              <w:t>Effectiveness</w:t>
            </w:r>
          </w:p>
          <w:p w14:paraId="4D1A747D" w14:textId="77777777" w:rsidR="0067599A" w:rsidRPr="00C25D3F" w:rsidRDefault="0067599A" w:rsidP="0075247A">
            <w:pPr>
              <w:spacing w:before="120" w:after="120"/>
            </w:pPr>
            <w:r w:rsidRPr="00C25D3F">
              <w:t>Clinical documentation of effectiveness is necessary for continuation of IVIg therapy.</w:t>
            </w:r>
          </w:p>
          <w:p w14:paraId="0AF3B428" w14:textId="77777777" w:rsidR="0067599A" w:rsidRPr="00C25D3F" w:rsidRDefault="0067599A" w:rsidP="0075247A">
            <w:pPr>
              <w:spacing w:before="120" w:after="120"/>
            </w:pPr>
            <w:r w:rsidRPr="00C25D3F">
              <w:lastRenderedPageBreak/>
              <w:t>Effectiveness can be demonstrated by objective findings of either:</w:t>
            </w:r>
          </w:p>
          <w:p w14:paraId="425326B7" w14:textId="77777777" w:rsidR="0067599A" w:rsidRPr="00C25D3F" w:rsidRDefault="0067599A" w:rsidP="0075247A">
            <w:pPr>
              <w:spacing w:before="120" w:after="120"/>
            </w:pPr>
          </w:p>
          <w:p w14:paraId="0B011F90" w14:textId="77777777" w:rsidR="0067599A" w:rsidRPr="00C25D3F" w:rsidRDefault="0067599A" w:rsidP="0075247A">
            <w:pPr>
              <w:spacing w:before="120" w:after="120"/>
            </w:pPr>
            <w:r w:rsidRPr="00C25D3F">
              <w:t>Improvement in functional scores activities of daily living (ADL) or quantitative muscle scores or Medical Research Council (MRC) muscle assessment;</w:t>
            </w:r>
          </w:p>
          <w:p w14:paraId="45248C10" w14:textId="77777777" w:rsidR="0067599A" w:rsidRPr="00C25D3F" w:rsidRDefault="0067599A" w:rsidP="0075247A">
            <w:pPr>
              <w:spacing w:before="120" w:after="120"/>
            </w:pPr>
            <w:r w:rsidRPr="00C25D3F">
              <w:t>OR</w:t>
            </w:r>
          </w:p>
          <w:p w14:paraId="261E16DC" w14:textId="77777777" w:rsidR="0067599A" w:rsidRPr="00C25D3F" w:rsidRDefault="0067599A" w:rsidP="0075247A">
            <w:pPr>
              <w:spacing w:before="120" w:after="120"/>
            </w:pPr>
          </w:p>
          <w:p w14:paraId="6B5FAF9D" w14:textId="77777777" w:rsidR="0067599A" w:rsidRPr="00C25D3F" w:rsidRDefault="0067599A" w:rsidP="0075247A">
            <w:pPr>
              <w:spacing w:before="120" w:after="120"/>
            </w:pPr>
            <w:r w:rsidRPr="00C25D3F">
              <w:t>Stabilisation of disease as defined by stable functional scores (ADLs) or quantitative muscle scores or MRC muscle assessment after previous evidence of deterioration in one of these scores.</w:t>
            </w:r>
          </w:p>
        </w:tc>
        <w:tc>
          <w:tcPr>
            <w:tcW w:w="1741" w:type="pct"/>
            <w:gridSpan w:val="3"/>
          </w:tcPr>
          <w:p w14:paraId="03CB73D2" w14:textId="6E44D4BF" w:rsidR="0072340A" w:rsidRPr="00686D26" w:rsidRDefault="0072340A" w:rsidP="0072340A">
            <w:pPr>
              <w:keepNext/>
              <w:keepLines/>
              <w:spacing w:before="120" w:after="120"/>
              <w:outlineLvl w:val="4"/>
              <w:rPr>
                <w:ins w:id="102" w:author="Philippa Hetzel" w:date="2015-10-22T14:52:00Z"/>
                <w:rFonts w:asciiTheme="minorHAnsi" w:hAnsiTheme="minorHAnsi"/>
                <w:b/>
              </w:rPr>
            </w:pPr>
            <w:ins w:id="103" w:author="Philippa Hetzel" w:date="2015-10-22T14:52:00Z">
              <w:r w:rsidRPr="00686D26">
                <w:rPr>
                  <w:rFonts w:asciiTheme="minorHAnsi" w:eastAsia="Times New Roman" w:hAnsiTheme="minorHAnsi" w:cs="Times New Roman"/>
                  <w:b/>
                  <w:color w:val="000000"/>
                  <w:lang w:eastAsia="en-AU"/>
                </w:rPr>
                <w:lastRenderedPageBreak/>
                <w:t>Adult</w:t>
              </w:r>
            </w:ins>
            <w:ins w:id="104" w:author="Philippa Hetzel" w:date="2015-10-26T17:30:00Z">
              <w:r w:rsidR="00673DA2">
                <w:rPr>
                  <w:rFonts w:asciiTheme="minorHAnsi" w:eastAsia="Times New Roman" w:hAnsiTheme="minorHAnsi" w:cs="Times New Roman"/>
                  <w:b/>
                  <w:color w:val="000000"/>
                  <w:lang w:eastAsia="en-AU"/>
                </w:rPr>
                <w:t>s</w:t>
              </w:r>
            </w:ins>
            <w:ins w:id="105" w:author="Philippa Hetzel" w:date="2015-10-22T14:52:00Z">
              <w:r w:rsidRPr="00686D26">
                <w:rPr>
                  <w:rFonts w:asciiTheme="minorHAnsi" w:eastAsia="Times New Roman" w:hAnsiTheme="minorHAnsi" w:cs="Times New Roman"/>
                  <w:b/>
                  <w:color w:val="000000"/>
                  <w:lang w:eastAsia="en-AU"/>
                </w:rPr>
                <w:t xml:space="preserve"> </w:t>
              </w:r>
            </w:ins>
            <w:r w:rsidRPr="00686D26">
              <w:rPr>
                <w:rFonts w:asciiTheme="minorHAnsi" w:eastAsia="Times New Roman" w:hAnsiTheme="minorHAnsi" w:cs="Times New Roman"/>
                <w:b/>
                <w:color w:val="000000"/>
                <w:lang w:eastAsia="en-AU"/>
              </w:rPr>
              <w:t>with biopsy-proven PM or DM</w:t>
            </w:r>
            <w:r w:rsidRPr="00686D26">
              <w:rPr>
                <w:rFonts w:asciiTheme="minorHAnsi" w:hAnsiTheme="minorHAnsi"/>
                <w:b/>
              </w:rPr>
              <w:t xml:space="preserve"> or NAM who have significant muscle weakness or dysphagia unresponsive to corticosteroids and other immunosuppressant agents.</w:t>
            </w:r>
          </w:p>
          <w:p w14:paraId="7ED72477" w14:textId="286A9AE4" w:rsidR="0067599A" w:rsidRDefault="0067599A" w:rsidP="0075247A">
            <w:pPr>
              <w:spacing w:before="120" w:after="120" w:line="276" w:lineRule="auto"/>
              <w:rPr>
                <w:rFonts w:asciiTheme="minorHAnsi" w:eastAsia="Times New Roman" w:hAnsiTheme="minorHAnsi" w:cs="Times New Roman"/>
                <w:color w:val="000000"/>
                <w:lang w:eastAsia="en-AU"/>
              </w:rPr>
            </w:pPr>
            <w:r w:rsidRPr="00AA7314">
              <w:rPr>
                <w:rFonts w:asciiTheme="minorHAnsi" w:eastAsia="Times New Roman" w:hAnsiTheme="minorHAnsi" w:cs="Times New Roman"/>
                <w:color w:val="000000"/>
                <w:lang w:eastAsia="en-AU"/>
              </w:rPr>
              <w:t>IVIg sh</w:t>
            </w:r>
            <w:r w:rsidRPr="00D80049">
              <w:rPr>
                <w:rFonts w:asciiTheme="minorHAnsi" w:eastAsia="Times New Roman" w:hAnsiTheme="minorHAnsi" w:cs="Times New Roman"/>
                <w:color w:val="000000"/>
                <w:lang w:eastAsia="en-AU"/>
              </w:rPr>
              <w:t xml:space="preserve">ould be used for up to four months (induction + </w:t>
            </w:r>
            <w:r w:rsidR="00C322C1" w:rsidRPr="00D80049">
              <w:rPr>
                <w:rFonts w:asciiTheme="minorHAnsi" w:eastAsia="Times New Roman" w:hAnsiTheme="minorHAnsi" w:cs="Times New Roman"/>
                <w:color w:val="000000"/>
                <w:lang w:eastAsia="en-AU"/>
              </w:rPr>
              <w:t>three</w:t>
            </w:r>
            <w:r w:rsidRPr="00D80049">
              <w:rPr>
                <w:rFonts w:asciiTheme="minorHAnsi" w:eastAsia="Times New Roman" w:hAnsiTheme="minorHAnsi" w:cs="Times New Roman"/>
                <w:color w:val="000000"/>
                <w:lang w:eastAsia="en-AU"/>
              </w:rPr>
              <w:t xml:space="preserve"> maintenance cycles) before determining whether the patient has responded. If there is no benefit after </w:t>
            </w:r>
            <w:r w:rsidR="00441CC8" w:rsidRPr="00D80049">
              <w:rPr>
                <w:rFonts w:asciiTheme="minorHAnsi" w:eastAsia="Times New Roman" w:hAnsiTheme="minorHAnsi" w:cs="Times New Roman"/>
                <w:color w:val="000000"/>
                <w:lang w:eastAsia="en-AU"/>
              </w:rPr>
              <w:t>this treatment</w:t>
            </w:r>
            <w:r w:rsidRPr="00D80049">
              <w:rPr>
                <w:rFonts w:asciiTheme="minorHAnsi" w:eastAsia="Times New Roman" w:hAnsiTheme="minorHAnsi" w:cs="Times New Roman"/>
                <w:color w:val="000000"/>
                <w:lang w:eastAsia="en-AU"/>
              </w:rPr>
              <w:t>, IVIg the</w:t>
            </w:r>
            <w:r w:rsidRPr="00AA7314">
              <w:rPr>
                <w:rFonts w:asciiTheme="minorHAnsi" w:eastAsia="Times New Roman" w:hAnsiTheme="minorHAnsi" w:cs="Times New Roman"/>
                <w:color w:val="000000"/>
                <w:lang w:eastAsia="en-AU"/>
              </w:rPr>
              <w:t>rapy should be abandoned.</w:t>
            </w:r>
          </w:p>
          <w:p w14:paraId="530C0672" w14:textId="29650D28" w:rsidR="0067599A" w:rsidRDefault="0067599A" w:rsidP="0075247A">
            <w:pPr>
              <w:spacing w:before="120" w:after="120" w:line="276" w:lineRule="auto"/>
              <w:rPr>
                <w:rFonts w:asciiTheme="minorHAnsi" w:eastAsia="Times New Roman" w:hAnsiTheme="minorHAnsi" w:cs="Times New Roman"/>
                <w:color w:val="000000"/>
                <w:lang w:eastAsia="en-AU"/>
              </w:rPr>
            </w:pPr>
            <w:r w:rsidRPr="00D80049">
              <w:rPr>
                <w:rFonts w:asciiTheme="minorHAnsi" w:eastAsia="Times New Roman" w:hAnsiTheme="minorHAnsi" w:cs="Times New Roman"/>
                <w:color w:val="000000"/>
                <w:lang w:eastAsia="en-AU"/>
              </w:rPr>
              <w:t xml:space="preserve">Review by a </w:t>
            </w:r>
            <w:r w:rsidR="00704E07">
              <w:rPr>
                <w:rFonts w:asciiTheme="minorHAnsi" w:eastAsia="Times New Roman" w:hAnsiTheme="minorHAnsi" w:cs="Times New Roman"/>
                <w:color w:val="000000"/>
                <w:lang w:eastAsia="en-AU"/>
              </w:rPr>
              <w:t>N</w:t>
            </w:r>
            <w:r w:rsidRPr="00D80049">
              <w:rPr>
                <w:rFonts w:asciiTheme="minorHAnsi" w:eastAsia="Times New Roman" w:hAnsiTheme="minorHAnsi" w:cs="Times New Roman"/>
                <w:color w:val="000000"/>
                <w:lang w:eastAsia="en-AU"/>
              </w:rPr>
              <w:t xml:space="preserve">eurologist, </w:t>
            </w:r>
            <w:r w:rsidR="00704E07">
              <w:rPr>
                <w:rFonts w:asciiTheme="minorHAnsi" w:eastAsia="Times New Roman" w:hAnsiTheme="minorHAnsi" w:cs="Times New Roman"/>
                <w:color w:val="000000"/>
                <w:lang w:eastAsia="en-AU"/>
              </w:rPr>
              <w:t>R</w:t>
            </w:r>
            <w:r w:rsidRPr="00D80049">
              <w:rPr>
                <w:rFonts w:asciiTheme="minorHAnsi" w:eastAsia="Times New Roman" w:hAnsiTheme="minorHAnsi" w:cs="Times New Roman"/>
                <w:color w:val="000000"/>
                <w:lang w:eastAsia="en-AU"/>
              </w:rPr>
              <w:t xml:space="preserve">heumatologist, or </w:t>
            </w:r>
            <w:r w:rsidR="00704E07">
              <w:rPr>
                <w:rFonts w:asciiTheme="minorHAnsi" w:eastAsia="Times New Roman" w:hAnsiTheme="minorHAnsi" w:cs="Times New Roman"/>
                <w:color w:val="000000"/>
                <w:lang w:eastAsia="en-AU"/>
              </w:rPr>
              <w:t>C</w:t>
            </w:r>
            <w:r w:rsidRPr="00D80049">
              <w:rPr>
                <w:rFonts w:asciiTheme="minorHAnsi" w:eastAsia="Times New Roman" w:hAnsiTheme="minorHAnsi" w:cs="Times New Roman"/>
                <w:color w:val="000000"/>
                <w:lang w:eastAsia="en-AU"/>
              </w:rPr>
              <w:t xml:space="preserve">linical </w:t>
            </w:r>
            <w:r w:rsidR="00704E07">
              <w:rPr>
                <w:rFonts w:asciiTheme="minorHAnsi" w:eastAsia="Times New Roman" w:hAnsiTheme="minorHAnsi" w:cs="Times New Roman"/>
                <w:color w:val="000000"/>
                <w:lang w:eastAsia="en-AU"/>
              </w:rPr>
              <w:t>I</w:t>
            </w:r>
            <w:r w:rsidRPr="00D80049">
              <w:rPr>
                <w:rFonts w:asciiTheme="minorHAnsi" w:eastAsia="Times New Roman" w:hAnsiTheme="minorHAnsi" w:cs="Times New Roman"/>
                <w:color w:val="000000"/>
                <w:lang w:eastAsia="en-AU"/>
              </w:rPr>
              <w:t xml:space="preserve">mmunologist is required; </w:t>
            </w:r>
            <w:r w:rsidR="002F56F4" w:rsidRPr="00D80049">
              <w:rPr>
                <w:rFonts w:asciiTheme="minorHAnsi" w:eastAsia="Times New Roman" w:hAnsiTheme="minorHAnsi" w:cs="Times New Roman"/>
                <w:color w:val="000000"/>
                <w:lang w:eastAsia="en-AU"/>
              </w:rPr>
              <w:t>within</w:t>
            </w:r>
            <w:r w:rsidR="00441CC8" w:rsidRPr="00D80049">
              <w:rPr>
                <w:rFonts w:asciiTheme="minorHAnsi" w:eastAsia="Times New Roman" w:hAnsiTheme="minorHAnsi" w:cs="Times New Roman"/>
                <w:color w:val="000000"/>
                <w:lang w:eastAsia="en-AU"/>
              </w:rPr>
              <w:t xml:space="preserve"> </w:t>
            </w:r>
            <w:r w:rsidR="00C322C1" w:rsidRPr="00D80049">
              <w:rPr>
                <w:rFonts w:asciiTheme="minorHAnsi" w:eastAsia="Times New Roman" w:hAnsiTheme="minorHAnsi" w:cs="Times New Roman"/>
                <w:color w:val="000000"/>
                <w:lang w:eastAsia="en-AU"/>
              </w:rPr>
              <w:t>four</w:t>
            </w:r>
            <w:r w:rsidRPr="00D80049">
              <w:rPr>
                <w:rFonts w:asciiTheme="minorHAnsi" w:eastAsia="Times New Roman" w:hAnsiTheme="minorHAnsi" w:cs="Times New Roman"/>
                <w:color w:val="000000"/>
                <w:lang w:eastAsia="en-AU"/>
              </w:rPr>
              <w:t xml:space="preserve"> months</w:t>
            </w:r>
            <w:r w:rsidR="00441CC8" w:rsidRPr="00D80049">
              <w:rPr>
                <w:rFonts w:asciiTheme="minorHAnsi" w:eastAsia="Times New Roman" w:hAnsiTheme="minorHAnsi" w:cs="Times New Roman"/>
                <w:color w:val="000000"/>
                <w:lang w:eastAsia="en-AU"/>
              </w:rPr>
              <w:t xml:space="preserve"> and annually thereafter</w:t>
            </w:r>
            <w:r w:rsidRPr="00D80049">
              <w:rPr>
                <w:rFonts w:asciiTheme="minorHAnsi" w:eastAsia="Times New Roman" w:hAnsiTheme="minorHAnsi" w:cs="Times New Roman"/>
                <w:color w:val="000000"/>
                <w:lang w:eastAsia="en-AU"/>
              </w:rPr>
              <w:t>.</w:t>
            </w:r>
          </w:p>
          <w:p w14:paraId="0F603828" w14:textId="24B680AA" w:rsidR="0067599A" w:rsidRPr="00ED79DF" w:rsidRDefault="00814117" w:rsidP="0075247A">
            <w:pPr>
              <w:spacing w:before="120" w:after="120" w:line="276" w:lineRule="auto"/>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D</w:t>
            </w:r>
            <w:r w:rsidR="0067599A" w:rsidRPr="00ED79DF">
              <w:rPr>
                <w:rFonts w:asciiTheme="minorHAnsi" w:eastAsia="Times New Roman" w:hAnsiTheme="minorHAnsi" w:cs="Times New Roman"/>
                <w:color w:val="000000"/>
                <w:lang w:eastAsia="en-AU"/>
              </w:rPr>
              <w:t xml:space="preserve">ocumentation of </w:t>
            </w:r>
            <w:r>
              <w:rPr>
                <w:rFonts w:asciiTheme="minorHAnsi" w:eastAsia="Times New Roman" w:hAnsiTheme="minorHAnsi" w:cs="Times New Roman"/>
                <w:color w:val="000000"/>
                <w:lang w:eastAsia="en-AU"/>
              </w:rPr>
              <w:t xml:space="preserve">clinical </w:t>
            </w:r>
            <w:r w:rsidR="0067599A" w:rsidRPr="00ED79DF">
              <w:rPr>
                <w:rFonts w:asciiTheme="minorHAnsi" w:eastAsia="Times New Roman" w:hAnsiTheme="minorHAnsi" w:cs="Times New Roman"/>
                <w:color w:val="000000"/>
                <w:lang w:eastAsia="en-AU"/>
              </w:rPr>
              <w:t>efficacy is necessary for continuation of Ig therapy.</w:t>
            </w:r>
          </w:p>
          <w:p w14:paraId="795709DB" w14:textId="77777777" w:rsidR="0067599A" w:rsidRPr="00ED79DF" w:rsidRDefault="0067599A" w:rsidP="0075247A">
            <w:pPr>
              <w:spacing w:before="120" w:after="120" w:line="276" w:lineRule="auto"/>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Efficacy can be demonstrated by objective findings of:</w:t>
            </w:r>
          </w:p>
          <w:p w14:paraId="1B2200A9" w14:textId="77777777" w:rsidR="0067599A" w:rsidRPr="00ED79DF" w:rsidRDefault="0067599A" w:rsidP="0075247A">
            <w:pPr>
              <w:pStyle w:val="ListParagraph"/>
              <w:numPr>
                <w:ilvl w:val="0"/>
                <w:numId w:val="19"/>
              </w:numPr>
              <w:spacing w:before="120" w:after="120" w:line="276" w:lineRule="auto"/>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Improvement in muscle weakness</w:t>
            </w:r>
          </w:p>
          <w:p w14:paraId="02800EAB" w14:textId="77777777" w:rsidR="0067599A" w:rsidRPr="00ED79DF" w:rsidRDefault="0067599A" w:rsidP="0075247A">
            <w:pPr>
              <w:pStyle w:val="ListParagraph"/>
              <w:numPr>
                <w:ilvl w:val="0"/>
                <w:numId w:val="19"/>
              </w:numPr>
              <w:spacing w:before="120" w:after="120" w:line="276" w:lineRule="auto"/>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Improvement in dysphagia</w:t>
            </w:r>
          </w:p>
          <w:p w14:paraId="05BF5D3D" w14:textId="77777777" w:rsidR="0067599A" w:rsidRPr="00ED79DF" w:rsidRDefault="0067599A" w:rsidP="0075247A">
            <w:pPr>
              <w:spacing w:before="120" w:after="120" w:line="276" w:lineRule="auto"/>
              <w:rPr>
                <w:rFonts w:asciiTheme="minorHAnsi" w:eastAsia="Times New Roman" w:hAnsiTheme="minorHAnsi" w:cs="Times New Roman"/>
                <w:color w:val="000000"/>
                <w:lang w:eastAsia="en-AU"/>
              </w:rPr>
            </w:pPr>
          </w:p>
          <w:p w14:paraId="5CD94209" w14:textId="794DAD16" w:rsidR="0067599A" w:rsidRDefault="0067599A" w:rsidP="0075247A">
            <w:pPr>
              <w:spacing w:before="120" w:after="120" w:line="0" w:lineRule="atLeast"/>
              <w:rPr>
                <w:rFonts w:asciiTheme="minorHAnsi" w:eastAsia="Times New Roman" w:hAnsiTheme="minorHAnsi" w:cs="Times New Roman"/>
                <w:b/>
                <w:lang w:eastAsia="en-AU"/>
              </w:rPr>
            </w:pPr>
            <w:r w:rsidRPr="0067599A">
              <w:rPr>
                <w:b/>
              </w:rPr>
              <w:lastRenderedPageBreak/>
              <w:t>On review o</w:t>
            </w:r>
            <w:r w:rsidRPr="00D80049">
              <w:rPr>
                <w:b/>
              </w:rPr>
              <w:t xml:space="preserve">f </w:t>
            </w:r>
            <w:r w:rsidR="00C322C1" w:rsidRPr="00D80049">
              <w:rPr>
                <w:b/>
              </w:rPr>
              <w:t xml:space="preserve">an </w:t>
            </w:r>
            <w:r w:rsidRPr="00D80049">
              <w:rPr>
                <w:b/>
              </w:rPr>
              <w:t>In</w:t>
            </w:r>
            <w:r w:rsidRPr="0067599A">
              <w:rPr>
                <w:b/>
              </w:rPr>
              <w:t>itial</w:t>
            </w:r>
            <w:r w:rsidRPr="0067599A">
              <w:rPr>
                <w:rFonts w:asciiTheme="minorHAnsi" w:eastAsia="Times New Roman" w:hAnsiTheme="minorHAnsi" w:cs="Times New Roman"/>
                <w:b/>
                <w:lang w:eastAsia="en-AU"/>
              </w:rPr>
              <w:t xml:space="preserve"> authorisation period</w:t>
            </w:r>
          </w:p>
          <w:p w14:paraId="17B3CEF2" w14:textId="47D696B8" w:rsidR="0067599A" w:rsidRPr="0072340A" w:rsidRDefault="0067599A" w:rsidP="0072340A">
            <w:pPr>
              <w:pStyle w:val="ListParagraph"/>
              <w:numPr>
                <w:ilvl w:val="0"/>
                <w:numId w:val="31"/>
              </w:numPr>
              <w:spacing w:before="120" w:after="120" w:line="0" w:lineRule="atLeast"/>
              <w:rPr>
                <w:rFonts w:asciiTheme="minorHAnsi" w:eastAsia="Times New Roman" w:hAnsiTheme="minorHAnsi" w:cstheme="minorHAnsi"/>
                <w:color w:val="000000"/>
                <w:lang w:eastAsia="en-AU"/>
              </w:rPr>
            </w:pPr>
            <w:r w:rsidRPr="0072340A">
              <w:rPr>
                <w:rFonts w:asciiTheme="minorHAnsi" w:eastAsia="Times New Roman" w:hAnsiTheme="minorHAnsi" w:cstheme="minorHAnsi"/>
                <w:color w:val="000000"/>
                <w:lang w:eastAsia="en-AU"/>
              </w:rPr>
              <w:t xml:space="preserve">Patient demonstrating improvement in muscle weakness as assessed by </w:t>
            </w:r>
            <w:r w:rsidR="002F23A5" w:rsidRPr="0072340A">
              <w:rPr>
                <w:rFonts w:asciiTheme="minorHAnsi" w:eastAsia="Times New Roman" w:hAnsiTheme="minorHAnsi" w:cstheme="minorHAnsi"/>
                <w:color w:val="000000"/>
                <w:lang w:eastAsia="en-AU"/>
              </w:rPr>
              <w:t xml:space="preserve">an increase in </w:t>
            </w:r>
            <w:r w:rsidRPr="0072340A">
              <w:rPr>
                <w:rFonts w:asciiTheme="minorHAnsi" w:eastAsia="Times New Roman" w:hAnsiTheme="minorHAnsi" w:cstheme="minorHAnsi"/>
                <w:color w:val="000000"/>
                <w:lang w:eastAsia="en-AU"/>
              </w:rPr>
              <w:t xml:space="preserve">MRC Sum (12) Score </w:t>
            </w:r>
            <w:r w:rsidR="002F56F4" w:rsidRPr="0072340A">
              <w:rPr>
                <w:rFonts w:asciiTheme="minorHAnsi" w:eastAsia="Times New Roman" w:hAnsiTheme="minorHAnsi" w:cstheme="minorHAnsi"/>
                <w:color w:val="000000"/>
                <w:lang w:eastAsia="en-AU"/>
              </w:rPr>
              <w:t>(</w:t>
            </w:r>
            <w:r w:rsidRPr="0072340A">
              <w:rPr>
                <w:rFonts w:asciiTheme="minorHAnsi" w:eastAsia="Times New Roman" w:hAnsiTheme="minorHAnsi" w:cstheme="minorHAnsi"/>
                <w:color w:val="000000"/>
                <w:lang w:eastAsia="en-AU"/>
              </w:rPr>
              <w:t>compared to qualifying score</w:t>
            </w:r>
            <w:r w:rsidR="002F56F4" w:rsidRPr="0072340A">
              <w:rPr>
                <w:rFonts w:asciiTheme="minorHAnsi" w:eastAsia="Times New Roman" w:hAnsiTheme="minorHAnsi" w:cstheme="minorHAnsi"/>
                <w:color w:val="000000"/>
                <w:lang w:eastAsia="en-AU"/>
              </w:rPr>
              <w:t>).</w:t>
            </w:r>
            <w:r w:rsidRPr="0072340A">
              <w:rPr>
                <w:rFonts w:asciiTheme="minorHAnsi" w:eastAsia="Times New Roman" w:hAnsiTheme="minorHAnsi" w:cstheme="minorHAnsi"/>
                <w:color w:val="000000"/>
                <w:lang w:eastAsia="en-AU"/>
              </w:rPr>
              <w:t xml:space="preserve"> </w:t>
            </w:r>
          </w:p>
          <w:p w14:paraId="0269C47C" w14:textId="77777777" w:rsidR="0067599A" w:rsidRDefault="0067599A" w:rsidP="0075247A">
            <w:pPr>
              <w:spacing w:before="120" w:after="120"/>
              <w:rPr>
                <w:rFonts w:asciiTheme="minorHAnsi" w:eastAsia="Times New Roman" w:hAnsiTheme="minorHAnsi" w:cstheme="minorHAnsi"/>
                <w:color w:val="000000"/>
                <w:lang w:eastAsia="en-AU"/>
              </w:rPr>
            </w:pPr>
            <w:r w:rsidRPr="00ED79DF">
              <w:rPr>
                <w:rFonts w:asciiTheme="minorHAnsi" w:eastAsia="Times New Roman" w:hAnsiTheme="minorHAnsi" w:cstheme="minorHAnsi"/>
                <w:color w:val="000000"/>
                <w:lang w:eastAsia="en-AU"/>
              </w:rPr>
              <w:t>OR</w:t>
            </w:r>
          </w:p>
          <w:p w14:paraId="0E60F70D" w14:textId="77777777" w:rsidR="002F56F4" w:rsidRPr="00ED79DF" w:rsidRDefault="002F56F4" w:rsidP="0075247A">
            <w:pPr>
              <w:spacing w:before="120" w:after="120"/>
              <w:rPr>
                <w:rFonts w:asciiTheme="minorHAnsi" w:eastAsia="Times New Roman" w:hAnsiTheme="minorHAnsi" w:cstheme="minorHAnsi"/>
                <w:color w:val="000000"/>
                <w:lang w:eastAsia="en-AU"/>
              </w:rPr>
            </w:pPr>
          </w:p>
          <w:p w14:paraId="2EA367B2" w14:textId="59D994AA" w:rsidR="0067599A" w:rsidRPr="00D80049" w:rsidRDefault="0067599A" w:rsidP="00D80049">
            <w:pPr>
              <w:pStyle w:val="ListParagraph"/>
              <w:numPr>
                <w:ilvl w:val="0"/>
                <w:numId w:val="22"/>
              </w:numPr>
              <w:spacing w:before="120" w:after="120"/>
              <w:rPr>
                <w:rFonts w:asciiTheme="minorHAnsi" w:eastAsia="Times New Roman" w:hAnsiTheme="minorHAnsi" w:cstheme="minorHAnsi"/>
                <w:color w:val="000000"/>
                <w:lang w:eastAsia="en-AU"/>
              </w:rPr>
            </w:pPr>
            <w:r w:rsidRPr="00D80049">
              <w:rPr>
                <w:rFonts w:asciiTheme="minorHAnsi" w:eastAsia="Times New Roman" w:hAnsiTheme="minorHAnsi" w:cstheme="minorHAnsi"/>
                <w:color w:val="000000"/>
                <w:lang w:eastAsia="en-AU"/>
              </w:rPr>
              <w:t xml:space="preserve">Patient with improvement in dysphagia as assessed by speech pathology, tolerance of food textures and/or reduced episodes of aspiration   </w:t>
            </w:r>
          </w:p>
          <w:p w14:paraId="18B70B31" w14:textId="77777777" w:rsidR="0067599A" w:rsidRPr="00ED79DF" w:rsidRDefault="0067599A" w:rsidP="0075247A">
            <w:pPr>
              <w:spacing w:before="120" w:after="120"/>
              <w:rPr>
                <w:rFonts w:asciiTheme="minorHAnsi" w:eastAsia="Times New Roman" w:hAnsiTheme="minorHAnsi" w:cs="Times New Roman"/>
                <w:color w:val="000000"/>
                <w:lang w:eastAsia="en-AU"/>
              </w:rPr>
            </w:pPr>
          </w:p>
          <w:p w14:paraId="2CAF8242" w14:textId="17FDA9A3" w:rsidR="0067599A" w:rsidRDefault="002F56F4" w:rsidP="0075247A">
            <w:pPr>
              <w:spacing w:before="120" w:after="120" w:line="0" w:lineRule="atLeast"/>
              <w:rPr>
                <w:rFonts w:asciiTheme="minorHAnsi" w:eastAsia="Times New Roman" w:hAnsiTheme="minorHAnsi" w:cs="Times New Roman"/>
                <w:b/>
                <w:color w:val="808080" w:themeColor="background1" w:themeShade="80"/>
                <w:lang w:eastAsia="en-AU"/>
              </w:rPr>
            </w:pPr>
            <w:r>
              <w:rPr>
                <w:rFonts w:asciiTheme="minorHAnsi" w:eastAsia="Times New Roman" w:hAnsiTheme="minorHAnsi" w:cs="Times New Roman"/>
                <w:b/>
                <w:lang w:eastAsia="en-AU"/>
              </w:rPr>
              <w:t xml:space="preserve">On review of a </w:t>
            </w:r>
            <w:r w:rsidRPr="00D80049">
              <w:rPr>
                <w:rFonts w:asciiTheme="minorHAnsi" w:eastAsia="Times New Roman" w:hAnsiTheme="minorHAnsi" w:cs="Times New Roman"/>
                <w:b/>
                <w:lang w:eastAsia="en-AU"/>
              </w:rPr>
              <w:t>c</w:t>
            </w:r>
            <w:r w:rsidR="0067599A" w:rsidRPr="00D80049">
              <w:rPr>
                <w:rFonts w:asciiTheme="minorHAnsi" w:eastAsia="Times New Roman" w:hAnsiTheme="minorHAnsi" w:cs="Times New Roman"/>
                <w:b/>
                <w:lang w:eastAsia="en-AU"/>
              </w:rPr>
              <w:t>ont</w:t>
            </w:r>
            <w:r w:rsidR="0067599A" w:rsidRPr="00552079">
              <w:rPr>
                <w:rFonts w:asciiTheme="minorHAnsi" w:eastAsia="Times New Roman" w:hAnsiTheme="minorHAnsi" w:cs="Times New Roman"/>
                <w:b/>
                <w:lang w:eastAsia="en-AU"/>
              </w:rPr>
              <w:t>inuing authorisation period</w:t>
            </w:r>
          </w:p>
          <w:p w14:paraId="6424DFB0" w14:textId="44E548E9" w:rsidR="0067599A" w:rsidRPr="00ED79DF" w:rsidRDefault="0067599A" w:rsidP="0075247A">
            <w:pPr>
              <w:spacing w:before="120" w:after="120" w:line="0" w:lineRule="atLeast"/>
              <w:rPr>
                <w:rFonts w:asciiTheme="minorHAnsi" w:eastAsia="Times New Roman" w:hAnsiTheme="minorHAnsi" w:cs="Times New Roman"/>
                <w:b/>
                <w:color w:val="808080" w:themeColor="background1" w:themeShade="80"/>
                <w:lang w:eastAsia="en-AU"/>
              </w:rPr>
            </w:pPr>
          </w:p>
          <w:p w14:paraId="75A6483D" w14:textId="6D6984D0" w:rsidR="0067599A" w:rsidRPr="0072340A" w:rsidRDefault="0067599A" w:rsidP="0072340A">
            <w:pPr>
              <w:pStyle w:val="ListParagraph"/>
              <w:numPr>
                <w:ilvl w:val="0"/>
                <w:numId w:val="23"/>
              </w:numPr>
              <w:spacing w:before="120" w:after="120"/>
              <w:rPr>
                <w:rFonts w:asciiTheme="minorHAnsi" w:eastAsia="Times New Roman" w:hAnsiTheme="minorHAnsi" w:cstheme="minorHAnsi"/>
                <w:color w:val="000000"/>
                <w:lang w:eastAsia="en-AU"/>
              </w:rPr>
            </w:pPr>
            <w:r w:rsidRPr="0072340A">
              <w:rPr>
                <w:rFonts w:asciiTheme="minorHAnsi" w:eastAsia="Times New Roman" w:hAnsiTheme="minorHAnsi" w:cstheme="minorHAnsi"/>
                <w:color w:val="000000"/>
                <w:lang w:eastAsia="en-AU"/>
              </w:rPr>
              <w:t xml:space="preserve">Patient demonstrating stabilisation or improvement in muscle weakness as measured by MRC Sum (12) Score </w:t>
            </w:r>
            <w:r w:rsidR="002F56F4" w:rsidRPr="0072340A">
              <w:rPr>
                <w:rFonts w:asciiTheme="minorHAnsi" w:eastAsia="Times New Roman" w:hAnsiTheme="minorHAnsi" w:cstheme="minorHAnsi"/>
                <w:color w:val="000000"/>
                <w:lang w:eastAsia="en-AU"/>
              </w:rPr>
              <w:t>(</w:t>
            </w:r>
            <w:r w:rsidRPr="0072340A">
              <w:rPr>
                <w:rFonts w:asciiTheme="minorHAnsi" w:eastAsia="Times New Roman" w:hAnsiTheme="minorHAnsi" w:cstheme="minorHAnsi"/>
                <w:color w:val="000000"/>
                <w:lang w:eastAsia="en-AU"/>
              </w:rPr>
              <w:t>greater than or equal to the previous review score</w:t>
            </w:r>
            <w:r w:rsidR="002F56F4" w:rsidRPr="0072340A">
              <w:rPr>
                <w:rFonts w:asciiTheme="minorHAnsi" w:eastAsia="Times New Roman" w:hAnsiTheme="minorHAnsi" w:cstheme="minorHAnsi"/>
                <w:color w:val="000000"/>
                <w:lang w:eastAsia="en-AU"/>
              </w:rPr>
              <w:t>).</w:t>
            </w:r>
            <w:r w:rsidRPr="0072340A">
              <w:rPr>
                <w:rFonts w:asciiTheme="minorHAnsi" w:eastAsia="Times New Roman" w:hAnsiTheme="minorHAnsi" w:cstheme="minorHAnsi"/>
                <w:color w:val="000000"/>
                <w:lang w:eastAsia="en-AU"/>
              </w:rPr>
              <w:t xml:space="preserve"> </w:t>
            </w:r>
          </w:p>
          <w:p w14:paraId="18471F83" w14:textId="77777777" w:rsidR="0067599A" w:rsidRPr="00ED79DF" w:rsidRDefault="0067599A" w:rsidP="0075247A">
            <w:pPr>
              <w:spacing w:before="120" w:after="120"/>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 xml:space="preserve">OR </w:t>
            </w:r>
          </w:p>
          <w:p w14:paraId="77DB56AD" w14:textId="77777777" w:rsidR="0067599A" w:rsidRPr="0072340A" w:rsidRDefault="0067599A" w:rsidP="0072340A">
            <w:pPr>
              <w:pStyle w:val="ListParagraph"/>
              <w:numPr>
                <w:ilvl w:val="0"/>
                <w:numId w:val="23"/>
              </w:numPr>
              <w:spacing w:before="120" w:after="120"/>
              <w:rPr>
                <w:rFonts w:asciiTheme="minorHAnsi" w:eastAsia="Times New Roman" w:hAnsiTheme="minorHAnsi" w:cs="Times New Roman"/>
                <w:color w:val="000000"/>
                <w:lang w:eastAsia="en-AU"/>
              </w:rPr>
            </w:pPr>
            <w:r w:rsidRPr="0072340A">
              <w:rPr>
                <w:rFonts w:asciiTheme="minorHAnsi" w:eastAsia="Times New Roman" w:hAnsiTheme="minorHAnsi" w:cs="Times New Roman"/>
                <w:color w:val="000000"/>
                <w:lang w:eastAsia="en-AU"/>
              </w:rPr>
              <w:t xml:space="preserve">Patient demonstrating stabilisation or improvement in dysphagia as assessed by speech therapy, improved tolerance </w:t>
            </w:r>
            <w:r w:rsidRPr="0072340A">
              <w:rPr>
                <w:rFonts w:asciiTheme="minorHAnsi" w:eastAsia="Times New Roman" w:hAnsiTheme="minorHAnsi" w:cs="Times New Roman"/>
                <w:color w:val="000000"/>
                <w:lang w:eastAsia="en-AU"/>
              </w:rPr>
              <w:lastRenderedPageBreak/>
              <w:t>of food texture and/or reduced episodes of aspiration</w:t>
            </w:r>
          </w:p>
          <w:p w14:paraId="384AEF70" w14:textId="77777777" w:rsidR="0067599A" w:rsidRPr="00ED79DF" w:rsidRDefault="0067599A" w:rsidP="0075247A">
            <w:pPr>
              <w:pStyle w:val="ListParagraph"/>
              <w:spacing w:before="120" w:after="120"/>
              <w:ind w:left="1440"/>
              <w:rPr>
                <w:rFonts w:asciiTheme="minorHAnsi" w:eastAsia="Times New Roman" w:hAnsiTheme="minorHAnsi" w:cs="Times New Roman"/>
                <w:color w:val="000000"/>
                <w:lang w:eastAsia="en-AU"/>
              </w:rPr>
            </w:pPr>
          </w:p>
          <w:p w14:paraId="2DD07E85" w14:textId="77777777" w:rsidR="0067599A" w:rsidRPr="002F56F4" w:rsidRDefault="0067599A" w:rsidP="0075247A">
            <w:pPr>
              <w:spacing w:before="120" w:after="120" w:line="20" w:lineRule="atLeast"/>
              <w:rPr>
                <w:rFonts w:asciiTheme="minorHAnsi" w:eastAsia="Times New Roman" w:hAnsiTheme="minorHAnsi" w:cs="Times New Roman"/>
                <w:lang w:eastAsia="en-AU"/>
              </w:rPr>
            </w:pPr>
            <w:r w:rsidRPr="002F56F4">
              <w:rPr>
                <w:rFonts w:asciiTheme="minorHAnsi" w:eastAsia="Times New Roman" w:hAnsiTheme="minorHAnsi" w:cs="Times New Roman"/>
                <w:lang w:eastAsia="en-AU"/>
              </w:rPr>
              <w:t>AND</w:t>
            </w:r>
          </w:p>
          <w:p w14:paraId="390021C0" w14:textId="2B2AF5ED" w:rsidR="0067599A" w:rsidRPr="00ED79DF" w:rsidRDefault="0067599A" w:rsidP="0075247A">
            <w:pPr>
              <w:spacing w:before="120" w:after="120" w:line="20" w:lineRule="atLeast"/>
              <w:rPr>
                <w:rFonts w:asciiTheme="minorHAnsi" w:eastAsia="Times New Roman" w:hAnsiTheme="minorHAnsi" w:cs="Times New Roman"/>
                <w:b/>
                <w:color w:val="808080" w:themeColor="background1" w:themeShade="80"/>
                <w:lang w:eastAsia="en-AU"/>
              </w:rPr>
            </w:pPr>
          </w:p>
          <w:p w14:paraId="551B9791" w14:textId="58042E40" w:rsidR="0067599A" w:rsidRPr="0072340A" w:rsidRDefault="0067599A" w:rsidP="0072340A">
            <w:pPr>
              <w:pStyle w:val="ListParagraph"/>
              <w:numPr>
                <w:ilvl w:val="0"/>
                <w:numId w:val="23"/>
              </w:numPr>
              <w:spacing w:before="120" w:after="120" w:line="20" w:lineRule="atLeast"/>
              <w:rPr>
                <w:rFonts w:asciiTheme="minorHAnsi" w:eastAsia="Times New Roman" w:hAnsiTheme="minorHAnsi" w:cs="Times New Roman"/>
                <w:color w:val="000000"/>
                <w:lang w:eastAsia="en-AU"/>
              </w:rPr>
            </w:pPr>
            <w:r w:rsidRPr="0072340A">
              <w:rPr>
                <w:rFonts w:asciiTheme="minorHAnsi" w:eastAsia="Times New Roman" w:hAnsiTheme="minorHAnsi" w:cs="Times New Roman"/>
                <w:color w:val="000000"/>
                <w:lang w:eastAsia="en-AU"/>
              </w:rPr>
              <w:t xml:space="preserve">A trial off Ig therapy is planned </w:t>
            </w:r>
            <w:r w:rsidR="002F56F4" w:rsidRPr="0072340A">
              <w:rPr>
                <w:rFonts w:asciiTheme="minorHAnsi" w:eastAsia="Times New Roman" w:hAnsiTheme="minorHAnsi" w:cs="Times New Roman"/>
                <w:color w:val="000000"/>
                <w:lang w:eastAsia="en-AU"/>
              </w:rPr>
              <w:t>or a valid reason is provided as to what a trial is not being planned or is contraindicated at this time.</w:t>
            </w:r>
          </w:p>
          <w:p w14:paraId="1E928732" w14:textId="77777777" w:rsidR="0067599A" w:rsidRPr="00ED79DF" w:rsidRDefault="0067599A" w:rsidP="0075247A">
            <w:pPr>
              <w:spacing w:before="120" w:after="120" w:line="20" w:lineRule="atLeast"/>
              <w:rPr>
                <w:rFonts w:asciiTheme="minorHAnsi" w:eastAsia="Times New Roman" w:hAnsiTheme="minorHAnsi" w:cs="Times New Roman"/>
                <w:color w:val="000000"/>
                <w:lang w:eastAsia="en-AU"/>
              </w:rPr>
            </w:pPr>
          </w:p>
          <w:p w14:paraId="10A12DE6" w14:textId="089C1D0C" w:rsidR="0067599A" w:rsidRPr="00ED79DF" w:rsidRDefault="0067599A" w:rsidP="0075247A">
            <w:pPr>
              <w:spacing w:before="120" w:after="120"/>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 xml:space="preserve">For stable patients on maintenance treatment, review by a specialist is required at least annually. Most patients do not require long term therapy and progressive reduction in dosing should be considered. </w:t>
            </w:r>
          </w:p>
          <w:p w14:paraId="0E4BE476" w14:textId="77777777" w:rsidR="0067599A" w:rsidRDefault="0067599A" w:rsidP="0075247A">
            <w:pPr>
              <w:spacing w:before="120" w:after="120"/>
              <w:rPr>
                <w:ins w:id="106" w:author="Philippa Hetzel" w:date="2015-10-26T17:33:00Z"/>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 xml:space="preserve">Cessation of Ig therapy should be considered once </w:t>
            </w:r>
            <w:r w:rsidRPr="00ED79DF">
              <w:t xml:space="preserve">alternative immunomodulating agents have been commenced and are effective and </w:t>
            </w:r>
            <w:r w:rsidRPr="00ED79DF">
              <w:rPr>
                <w:rFonts w:asciiTheme="minorHAnsi" w:eastAsia="Times New Roman" w:hAnsiTheme="minorHAnsi" w:cs="Times New Roman"/>
                <w:color w:val="000000"/>
                <w:lang w:eastAsia="en-AU"/>
              </w:rPr>
              <w:t xml:space="preserve">the patient is stable.  </w:t>
            </w:r>
          </w:p>
          <w:p w14:paraId="1FF9CA24" w14:textId="77777777" w:rsidR="00673DA2" w:rsidRDefault="00673DA2" w:rsidP="0075247A">
            <w:pPr>
              <w:spacing w:before="120" w:after="120"/>
              <w:rPr>
                <w:rFonts w:asciiTheme="minorHAnsi" w:eastAsia="Times New Roman" w:hAnsiTheme="minorHAnsi" w:cs="Times New Roman"/>
                <w:color w:val="000000"/>
                <w:lang w:eastAsia="en-AU"/>
              </w:rPr>
            </w:pPr>
          </w:p>
          <w:p w14:paraId="45D302E9" w14:textId="77777777" w:rsidR="00673DA2" w:rsidRPr="00686D26" w:rsidRDefault="00673DA2" w:rsidP="00673DA2">
            <w:pPr>
              <w:pStyle w:val="ListParagraph"/>
              <w:spacing w:after="200" w:line="276" w:lineRule="auto"/>
              <w:ind w:left="0"/>
              <w:rPr>
                <w:ins w:id="107" w:author="Philippa Hetzel" w:date="2015-10-26T17:31:00Z"/>
                <w:rFonts w:asciiTheme="minorHAnsi" w:hAnsiTheme="minorHAnsi"/>
                <w:b/>
              </w:rPr>
            </w:pPr>
            <w:ins w:id="108" w:author="Philippa Hetzel" w:date="2015-10-26T17:31:00Z">
              <w:r w:rsidRPr="00686D26">
                <w:rPr>
                  <w:rFonts w:asciiTheme="minorHAnsi" w:hAnsiTheme="minorHAnsi"/>
                  <w:b/>
                </w:rPr>
                <w:t>Child</w:t>
              </w:r>
              <w:r>
                <w:rPr>
                  <w:rFonts w:asciiTheme="minorHAnsi" w:hAnsiTheme="minorHAnsi"/>
                  <w:b/>
                </w:rPr>
                <w:t>ren</w:t>
              </w:r>
              <w:r w:rsidRPr="00686D26">
                <w:rPr>
                  <w:rFonts w:asciiTheme="minorHAnsi" w:hAnsiTheme="minorHAnsi"/>
                  <w:b/>
                </w:rPr>
                <w:t xml:space="preserve"> with </w:t>
              </w:r>
              <w:r>
                <w:rPr>
                  <w:rFonts w:asciiTheme="minorHAnsi" w:hAnsiTheme="minorHAnsi"/>
                  <w:b/>
                </w:rPr>
                <w:t>clinical, biochemical and imaging abnormalities consistent with definite</w:t>
              </w:r>
              <w:r w:rsidRPr="00686D26">
                <w:rPr>
                  <w:rFonts w:asciiTheme="minorHAnsi" w:hAnsiTheme="minorHAnsi"/>
                  <w:b/>
                </w:rPr>
                <w:t xml:space="preserve"> PM or DM or NAM </w:t>
              </w:r>
              <w:r>
                <w:rPr>
                  <w:rFonts w:asciiTheme="minorHAnsi" w:hAnsiTheme="minorHAnsi"/>
                  <w:b/>
                </w:rPr>
                <w:t>who have</w:t>
              </w:r>
              <w:r w:rsidRPr="00686D26">
                <w:rPr>
                  <w:rFonts w:asciiTheme="minorHAnsi" w:hAnsiTheme="minorHAnsi"/>
                  <w:b/>
                </w:rPr>
                <w:t xml:space="preserve"> significant muscle weakness or dysphagia unresponsive to corticosteroids and </w:t>
              </w:r>
              <w:r w:rsidRPr="00686D26">
                <w:rPr>
                  <w:rFonts w:asciiTheme="minorHAnsi" w:hAnsiTheme="minorHAnsi"/>
                  <w:b/>
                </w:rPr>
                <w:lastRenderedPageBreak/>
                <w:t xml:space="preserve">other immunosuppressant agents. </w:t>
              </w:r>
            </w:ins>
          </w:p>
          <w:p w14:paraId="6172BEC4" w14:textId="77777777" w:rsidR="0072340A" w:rsidRPr="0072340A" w:rsidRDefault="0072340A" w:rsidP="0072340A">
            <w:pPr>
              <w:spacing w:line="276" w:lineRule="auto"/>
              <w:rPr>
                <w:ins w:id="109" w:author="Philippa Hetzel" w:date="2015-10-22T15:04:00Z"/>
                <w:rFonts w:asciiTheme="minorHAnsi" w:eastAsia="Times New Roman" w:hAnsiTheme="minorHAnsi" w:cs="Times New Roman"/>
                <w:color w:val="000000"/>
                <w:lang w:eastAsia="en-AU"/>
              </w:rPr>
            </w:pPr>
            <w:ins w:id="110" w:author="Philippa Hetzel" w:date="2015-10-22T15:04:00Z">
              <w:r w:rsidRPr="0072340A">
                <w:rPr>
                  <w:rFonts w:asciiTheme="minorHAnsi" w:eastAsia="Times New Roman" w:hAnsiTheme="minorHAnsi" w:cs="Times New Roman"/>
                  <w:color w:val="000000"/>
                  <w:lang w:eastAsia="en-AU"/>
                </w:rPr>
                <w:t>IVIg should be used for up to four months (induction plus three maintenance cycles) before determining whether the patient has responded. If there is no benefit after this treatment, IVIg therapy should be abandoned.</w:t>
              </w:r>
            </w:ins>
          </w:p>
          <w:p w14:paraId="0A0D4591" w14:textId="77777777" w:rsidR="0072340A" w:rsidRPr="0072340A" w:rsidRDefault="0072340A" w:rsidP="0072340A">
            <w:pPr>
              <w:keepNext/>
              <w:keepLines/>
              <w:spacing w:before="200" w:line="276" w:lineRule="auto"/>
              <w:outlineLvl w:val="6"/>
              <w:rPr>
                <w:ins w:id="111" w:author="Philippa Hetzel" w:date="2015-10-22T15:04:00Z"/>
                <w:rFonts w:asciiTheme="minorHAnsi" w:eastAsia="Times New Roman" w:hAnsiTheme="minorHAnsi" w:cs="Times New Roman"/>
                <w:color w:val="000000"/>
                <w:lang w:eastAsia="en-AU"/>
              </w:rPr>
            </w:pPr>
            <w:ins w:id="112" w:author="Philippa Hetzel" w:date="2015-10-22T15:04:00Z">
              <w:r w:rsidRPr="0072340A">
                <w:rPr>
                  <w:rFonts w:asciiTheme="minorHAnsi" w:eastAsia="Times New Roman" w:hAnsiTheme="minorHAnsi" w:cs="Times New Roman"/>
                  <w:color w:val="000000"/>
                  <w:lang w:eastAsia="en-AU"/>
                </w:rPr>
                <w:t>Review by a Paediatric Neurologist, Rheumatologist, or Clinical Immunologist is required within four months and annually thereafter.</w:t>
              </w:r>
            </w:ins>
          </w:p>
          <w:p w14:paraId="3A326F6B" w14:textId="77777777" w:rsidR="0072340A" w:rsidRPr="0072340A" w:rsidRDefault="0072340A" w:rsidP="0072340A">
            <w:pPr>
              <w:spacing w:line="276" w:lineRule="auto"/>
              <w:rPr>
                <w:ins w:id="113" w:author="Philippa Hetzel" w:date="2015-10-22T15:04:00Z"/>
                <w:rFonts w:asciiTheme="minorHAnsi" w:eastAsia="Times New Roman" w:hAnsiTheme="minorHAnsi" w:cs="Times New Roman"/>
                <w:color w:val="000000"/>
                <w:lang w:eastAsia="en-AU"/>
              </w:rPr>
            </w:pPr>
            <w:ins w:id="114" w:author="Philippa Hetzel" w:date="2015-10-22T15:04:00Z">
              <w:r w:rsidRPr="0072340A">
                <w:rPr>
                  <w:rFonts w:asciiTheme="minorHAnsi" w:eastAsia="Times New Roman" w:hAnsiTheme="minorHAnsi" w:cs="Times New Roman"/>
                  <w:color w:val="000000"/>
                  <w:lang w:eastAsia="en-AU"/>
                </w:rPr>
                <w:t>Documentation of clinical efficacy is necessary for continuation of Ig therapy.</w:t>
              </w:r>
            </w:ins>
          </w:p>
          <w:p w14:paraId="3BE92800" w14:textId="77777777" w:rsidR="0072340A" w:rsidRPr="0072340A" w:rsidRDefault="0072340A" w:rsidP="0072340A">
            <w:pPr>
              <w:spacing w:line="276" w:lineRule="auto"/>
              <w:rPr>
                <w:ins w:id="115" w:author="Philippa Hetzel" w:date="2015-10-22T15:04:00Z"/>
                <w:rFonts w:asciiTheme="minorHAnsi" w:eastAsia="Times New Roman" w:hAnsiTheme="minorHAnsi" w:cs="Times New Roman"/>
                <w:color w:val="000000"/>
                <w:lang w:eastAsia="en-AU"/>
              </w:rPr>
            </w:pPr>
            <w:ins w:id="116" w:author="Philippa Hetzel" w:date="2015-10-22T15:04:00Z">
              <w:r w:rsidRPr="0072340A">
                <w:rPr>
                  <w:rFonts w:asciiTheme="minorHAnsi" w:eastAsia="Times New Roman" w:hAnsiTheme="minorHAnsi" w:cs="Times New Roman"/>
                  <w:color w:val="000000"/>
                  <w:lang w:eastAsia="en-AU"/>
                </w:rPr>
                <w:t>Efficacy can be demonstrated by objective findings of:</w:t>
              </w:r>
            </w:ins>
          </w:p>
          <w:p w14:paraId="7AB05074" w14:textId="77777777" w:rsidR="0072340A" w:rsidRPr="0072340A" w:rsidRDefault="0072340A" w:rsidP="0072340A">
            <w:pPr>
              <w:pStyle w:val="ListParagraph"/>
              <w:numPr>
                <w:ilvl w:val="0"/>
                <w:numId w:val="19"/>
              </w:numPr>
              <w:spacing w:line="276" w:lineRule="auto"/>
              <w:rPr>
                <w:ins w:id="117" w:author="Philippa Hetzel" w:date="2015-10-22T15:04:00Z"/>
                <w:rFonts w:asciiTheme="minorHAnsi" w:eastAsia="Times New Roman" w:hAnsiTheme="minorHAnsi" w:cs="Times New Roman"/>
                <w:color w:val="000000"/>
                <w:lang w:eastAsia="en-AU"/>
              </w:rPr>
            </w:pPr>
            <w:ins w:id="118" w:author="Philippa Hetzel" w:date="2015-10-22T15:04:00Z">
              <w:r w:rsidRPr="0072340A">
                <w:rPr>
                  <w:rFonts w:asciiTheme="minorHAnsi" w:eastAsia="Times New Roman" w:hAnsiTheme="minorHAnsi" w:cs="Times New Roman"/>
                  <w:color w:val="000000"/>
                  <w:lang w:eastAsia="en-AU"/>
                </w:rPr>
                <w:t>improvement in muscle weakness</w:t>
              </w:r>
            </w:ins>
          </w:p>
          <w:p w14:paraId="590B64C8" w14:textId="77777777" w:rsidR="0072340A" w:rsidRPr="0072340A" w:rsidRDefault="0072340A" w:rsidP="0072340A">
            <w:pPr>
              <w:pStyle w:val="ListParagraph"/>
              <w:numPr>
                <w:ilvl w:val="0"/>
                <w:numId w:val="19"/>
              </w:numPr>
              <w:spacing w:line="276" w:lineRule="auto"/>
              <w:rPr>
                <w:ins w:id="119" w:author="Philippa Hetzel" w:date="2015-10-22T15:04:00Z"/>
                <w:rFonts w:asciiTheme="minorHAnsi" w:eastAsia="Times New Roman" w:hAnsiTheme="minorHAnsi" w:cs="Times New Roman"/>
                <w:color w:val="000000"/>
                <w:lang w:eastAsia="en-AU"/>
              </w:rPr>
            </w:pPr>
            <w:ins w:id="120" w:author="Philippa Hetzel" w:date="2015-10-22T15:04:00Z">
              <w:r w:rsidRPr="0072340A">
                <w:rPr>
                  <w:rFonts w:asciiTheme="minorHAnsi" w:eastAsia="Times New Roman" w:hAnsiTheme="minorHAnsi" w:cs="Times New Roman"/>
                  <w:color w:val="000000"/>
                  <w:lang w:eastAsia="en-AU"/>
                </w:rPr>
                <w:t>improvement in dysphagia.</w:t>
              </w:r>
            </w:ins>
          </w:p>
          <w:p w14:paraId="25262333" w14:textId="77777777" w:rsidR="0072340A" w:rsidRPr="0072340A" w:rsidRDefault="0072340A" w:rsidP="0072340A">
            <w:pPr>
              <w:spacing w:line="276" w:lineRule="auto"/>
              <w:rPr>
                <w:ins w:id="121" w:author="Philippa Hetzel" w:date="2015-10-22T15:04:00Z"/>
                <w:rFonts w:asciiTheme="minorHAnsi" w:eastAsia="Times New Roman" w:hAnsiTheme="minorHAnsi" w:cs="Times New Roman"/>
                <w:color w:val="000000"/>
                <w:lang w:eastAsia="en-AU"/>
              </w:rPr>
            </w:pPr>
          </w:p>
          <w:p w14:paraId="43212D80" w14:textId="77777777" w:rsidR="0072340A" w:rsidRPr="0072340A" w:rsidRDefault="0072340A" w:rsidP="0072340A">
            <w:pPr>
              <w:spacing w:line="0" w:lineRule="atLeast"/>
              <w:rPr>
                <w:ins w:id="122" w:author="Philippa Hetzel" w:date="2015-10-22T15:04:00Z"/>
                <w:rFonts w:asciiTheme="minorHAnsi" w:eastAsia="Times New Roman" w:hAnsiTheme="minorHAnsi" w:cs="Times New Roman"/>
                <w:b/>
                <w:lang w:eastAsia="en-AU"/>
              </w:rPr>
            </w:pPr>
            <w:ins w:id="123" w:author="Philippa Hetzel" w:date="2015-10-22T15:04:00Z">
              <w:r w:rsidRPr="0072340A">
                <w:rPr>
                  <w:b/>
                </w:rPr>
                <w:t>On review of an initial</w:t>
              </w:r>
              <w:r w:rsidRPr="0072340A">
                <w:rPr>
                  <w:rFonts w:asciiTheme="minorHAnsi" w:eastAsia="Times New Roman" w:hAnsiTheme="minorHAnsi" w:cs="Times New Roman"/>
                  <w:b/>
                  <w:lang w:eastAsia="en-AU"/>
                </w:rPr>
                <w:t xml:space="preserve"> authorisation period</w:t>
              </w:r>
            </w:ins>
          </w:p>
          <w:p w14:paraId="6ADB5666" w14:textId="6DAB480B" w:rsidR="0072340A" w:rsidRPr="0072340A" w:rsidRDefault="0072340A" w:rsidP="0072340A">
            <w:pPr>
              <w:spacing w:line="0" w:lineRule="atLeast"/>
              <w:rPr>
                <w:ins w:id="124" w:author="Philippa Hetzel" w:date="2015-10-22T15:04:00Z"/>
                <w:rFonts w:asciiTheme="minorHAnsi" w:eastAsia="Times New Roman" w:hAnsiTheme="minorHAnsi" w:cs="Times New Roman"/>
                <w:b/>
                <w:color w:val="808080" w:themeColor="background1" w:themeShade="80"/>
                <w:lang w:eastAsia="en-AU"/>
              </w:rPr>
            </w:pPr>
          </w:p>
          <w:p w14:paraId="7B8E6B28" w14:textId="77777777" w:rsidR="0072340A" w:rsidRPr="0072340A" w:rsidRDefault="0072340A" w:rsidP="0072340A">
            <w:pPr>
              <w:rPr>
                <w:ins w:id="125" w:author="Philippa Hetzel" w:date="2015-10-22T15:04:00Z"/>
                <w:rFonts w:asciiTheme="minorHAnsi" w:eastAsia="Times New Roman" w:hAnsiTheme="minorHAnsi" w:cstheme="minorHAnsi"/>
                <w:color w:val="000000"/>
                <w:lang w:eastAsia="en-AU"/>
              </w:rPr>
            </w:pPr>
            <w:ins w:id="126" w:author="Philippa Hetzel" w:date="2015-10-22T15:04:00Z">
              <w:r w:rsidRPr="0072340A">
                <w:rPr>
                  <w:rFonts w:asciiTheme="minorHAnsi" w:eastAsia="Times New Roman" w:hAnsiTheme="minorHAnsi" w:cstheme="minorHAnsi"/>
                  <w:color w:val="000000"/>
                  <w:lang w:eastAsia="en-AU"/>
                </w:rPr>
                <w:t xml:space="preserve">Patient demonstrating improvement in muscle weakness as assessed by an increase in CMAS compared to qualifying score by at least 2 points. </w:t>
              </w:r>
            </w:ins>
          </w:p>
          <w:p w14:paraId="23293B24" w14:textId="77777777" w:rsidR="0072340A" w:rsidRPr="0072340A" w:rsidRDefault="0072340A" w:rsidP="0072340A">
            <w:pPr>
              <w:rPr>
                <w:ins w:id="127" w:author="Philippa Hetzel" w:date="2015-10-22T15:04:00Z"/>
                <w:rFonts w:asciiTheme="minorHAnsi" w:eastAsia="Times New Roman" w:hAnsiTheme="minorHAnsi" w:cstheme="minorHAnsi"/>
                <w:color w:val="000000"/>
                <w:lang w:eastAsia="en-AU"/>
              </w:rPr>
            </w:pPr>
            <w:ins w:id="128" w:author="Philippa Hetzel" w:date="2015-10-22T15:04:00Z">
              <w:r w:rsidRPr="0072340A">
                <w:rPr>
                  <w:rFonts w:asciiTheme="minorHAnsi" w:eastAsia="Times New Roman" w:hAnsiTheme="minorHAnsi" w:cstheme="minorHAnsi"/>
                  <w:color w:val="000000"/>
                  <w:lang w:eastAsia="en-AU"/>
                </w:rPr>
                <w:t>OR</w:t>
              </w:r>
            </w:ins>
          </w:p>
          <w:p w14:paraId="7FCE988F" w14:textId="77777777" w:rsidR="0072340A" w:rsidRPr="0072340A" w:rsidRDefault="0072340A" w:rsidP="0072340A">
            <w:pPr>
              <w:rPr>
                <w:ins w:id="129" w:author="Philippa Hetzel" w:date="2015-10-22T15:04:00Z"/>
                <w:rFonts w:asciiTheme="minorHAnsi" w:eastAsia="Times New Roman" w:hAnsiTheme="minorHAnsi" w:cstheme="minorHAnsi"/>
                <w:color w:val="000000"/>
                <w:lang w:eastAsia="en-AU"/>
              </w:rPr>
            </w:pPr>
            <w:ins w:id="130" w:author="Philippa Hetzel" w:date="2015-10-22T15:04:00Z">
              <w:r w:rsidRPr="0072340A">
                <w:rPr>
                  <w:rFonts w:asciiTheme="minorHAnsi" w:eastAsia="Times New Roman" w:hAnsiTheme="minorHAnsi" w:cstheme="minorHAnsi"/>
                  <w:color w:val="000000"/>
                  <w:lang w:eastAsia="en-AU"/>
                </w:rPr>
                <w:t xml:space="preserve">Patient with improvement in dysphagia as assessed by speech pathology, tolerance of food textures </w:t>
              </w:r>
              <w:r w:rsidRPr="0072340A">
                <w:rPr>
                  <w:rFonts w:asciiTheme="minorHAnsi" w:eastAsia="Times New Roman" w:hAnsiTheme="minorHAnsi" w:cstheme="minorHAnsi"/>
                  <w:color w:val="000000"/>
                  <w:lang w:eastAsia="en-AU"/>
                </w:rPr>
                <w:lastRenderedPageBreak/>
                <w:t xml:space="preserve">and/or reduced episodes of aspiration.  </w:t>
              </w:r>
            </w:ins>
          </w:p>
          <w:p w14:paraId="68207E47" w14:textId="77777777" w:rsidR="0072340A" w:rsidRPr="0072340A" w:rsidRDefault="0072340A" w:rsidP="0072340A">
            <w:pPr>
              <w:rPr>
                <w:ins w:id="131" w:author="Philippa Hetzel" w:date="2015-10-22T15:04:00Z"/>
                <w:rFonts w:asciiTheme="minorHAnsi" w:eastAsia="Times New Roman" w:hAnsiTheme="minorHAnsi" w:cstheme="minorHAnsi"/>
                <w:color w:val="000000"/>
                <w:lang w:eastAsia="en-AU"/>
              </w:rPr>
            </w:pPr>
          </w:p>
          <w:p w14:paraId="432FCA9A" w14:textId="77777777" w:rsidR="00312DD0" w:rsidRDefault="0072340A" w:rsidP="0072340A">
            <w:pPr>
              <w:spacing w:line="0" w:lineRule="atLeast"/>
              <w:rPr>
                <w:rFonts w:asciiTheme="minorHAnsi" w:eastAsia="Times New Roman" w:hAnsiTheme="minorHAnsi" w:cs="Times New Roman"/>
                <w:b/>
                <w:lang w:eastAsia="en-AU"/>
              </w:rPr>
            </w:pPr>
            <w:ins w:id="132" w:author="Philippa Hetzel" w:date="2015-10-22T15:04:00Z">
              <w:r w:rsidRPr="0072340A">
                <w:rPr>
                  <w:rFonts w:asciiTheme="minorHAnsi" w:eastAsia="Times New Roman" w:hAnsiTheme="minorHAnsi" w:cs="Times New Roman"/>
                  <w:b/>
                  <w:lang w:eastAsia="en-AU"/>
                </w:rPr>
                <w:t>On review of a continuing authorisation period</w:t>
              </w:r>
            </w:ins>
          </w:p>
          <w:p w14:paraId="33F1BF6A" w14:textId="1B7C5568" w:rsidR="0072340A" w:rsidRPr="0072340A" w:rsidRDefault="0072340A" w:rsidP="0072340A">
            <w:pPr>
              <w:spacing w:line="0" w:lineRule="atLeast"/>
              <w:rPr>
                <w:ins w:id="133" w:author="Philippa Hetzel" w:date="2015-10-22T15:04:00Z"/>
                <w:rFonts w:asciiTheme="minorHAnsi" w:eastAsia="Times New Roman" w:hAnsiTheme="minorHAnsi" w:cs="Times New Roman"/>
                <w:b/>
                <w:lang w:eastAsia="en-AU"/>
              </w:rPr>
            </w:pPr>
            <w:ins w:id="134" w:author="Philippa Hetzel" w:date="2015-10-22T15:04:00Z">
              <w:r w:rsidRPr="0072340A">
                <w:rPr>
                  <w:rFonts w:asciiTheme="minorHAnsi" w:eastAsia="Times New Roman" w:hAnsiTheme="minorHAnsi" w:cs="Times New Roman"/>
                  <w:b/>
                  <w:lang w:eastAsia="en-AU"/>
                </w:rPr>
                <w:t xml:space="preserve"> </w:t>
              </w:r>
            </w:ins>
          </w:p>
          <w:p w14:paraId="7C6CA931" w14:textId="77777777" w:rsidR="0072340A" w:rsidRPr="0072340A" w:rsidRDefault="0072340A" w:rsidP="0072340A">
            <w:pPr>
              <w:rPr>
                <w:ins w:id="135" w:author="Philippa Hetzel" w:date="2015-10-22T15:04:00Z"/>
                <w:rFonts w:asciiTheme="minorHAnsi" w:eastAsia="Times New Roman" w:hAnsiTheme="minorHAnsi" w:cstheme="minorHAnsi"/>
                <w:color w:val="000000"/>
                <w:lang w:eastAsia="en-AU"/>
              </w:rPr>
            </w:pPr>
            <w:ins w:id="136" w:author="Philippa Hetzel" w:date="2015-10-22T15:04:00Z">
              <w:r w:rsidRPr="0072340A">
                <w:rPr>
                  <w:rFonts w:asciiTheme="minorHAnsi" w:eastAsia="Times New Roman" w:hAnsiTheme="minorHAnsi" w:cstheme="minorHAnsi"/>
                  <w:color w:val="000000"/>
                  <w:lang w:eastAsia="en-AU"/>
                </w:rPr>
                <w:t xml:space="preserve">Patient demonstrating stabilisation or improvement in muscle weakness as measured by CMAS greater than or equal to the previous review score </w:t>
              </w:r>
            </w:ins>
          </w:p>
          <w:p w14:paraId="4B7248ED" w14:textId="77777777" w:rsidR="0072340A" w:rsidRPr="0072340A" w:rsidRDefault="0072340A" w:rsidP="0072340A">
            <w:pPr>
              <w:spacing w:after="200"/>
              <w:ind w:left="720"/>
              <w:rPr>
                <w:ins w:id="137" w:author="Philippa Hetzel" w:date="2015-10-22T15:04:00Z"/>
                <w:rFonts w:asciiTheme="minorHAnsi" w:eastAsia="Times New Roman" w:hAnsiTheme="minorHAnsi" w:cs="Times New Roman"/>
                <w:color w:val="000000"/>
                <w:lang w:eastAsia="en-AU"/>
              </w:rPr>
            </w:pPr>
            <w:ins w:id="138" w:author="Philippa Hetzel" w:date="2015-10-22T15:04:00Z">
              <w:r w:rsidRPr="0072340A">
                <w:rPr>
                  <w:rFonts w:asciiTheme="minorHAnsi" w:eastAsia="Times New Roman" w:hAnsiTheme="minorHAnsi" w:cs="Times New Roman"/>
                  <w:color w:val="000000"/>
                  <w:lang w:eastAsia="en-AU"/>
                </w:rPr>
                <w:t xml:space="preserve">OR </w:t>
              </w:r>
            </w:ins>
          </w:p>
          <w:p w14:paraId="7A64840F" w14:textId="77777777" w:rsidR="0072340A" w:rsidRPr="0072340A" w:rsidRDefault="0072340A" w:rsidP="0072340A">
            <w:pPr>
              <w:spacing w:after="200"/>
              <w:rPr>
                <w:ins w:id="139" w:author="Philippa Hetzel" w:date="2015-10-22T15:04:00Z"/>
                <w:rFonts w:asciiTheme="minorHAnsi" w:eastAsia="Times New Roman" w:hAnsiTheme="minorHAnsi" w:cs="Times New Roman"/>
                <w:color w:val="000000"/>
                <w:lang w:eastAsia="en-AU"/>
              </w:rPr>
            </w:pPr>
            <w:ins w:id="140" w:author="Philippa Hetzel" w:date="2015-10-22T15:04:00Z">
              <w:r w:rsidRPr="0072340A">
                <w:rPr>
                  <w:rFonts w:asciiTheme="minorHAnsi" w:eastAsia="Times New Roman" w:hAnsiTheme="minorHAnsi" w:cs="Times New Roman"/>
                  <w:color w:val="000000"/>
                  <w:lang w:eastAsia="en-AU"/>
                </w:rPr>
                <w:t>Patient demonstrating stabilisation or improvement in dysphagia as assessed by speech therapy, improved tolerance of food texture and/or reduced episodes of aspiration.</w:t>
              </w:r>
            </w:ins>
          </w:p>
          <w:p w14:paraId="7CDD793E" w14:textId="77777777" w:rsidR="0072340A" w:rsidRPr="0072340A" w:rsidRDefault="0072340A" w:rsidP="0072340A">
            <w:pPr>
              <w:spacing w:line="20" w:lineRule="atLeast"/>
              <w:rPr>
                <w:ins w:id="141" w:author="Philippa Hetzel" w:date="2015-10-22T15:04:00Z"/>
                <w:rFonts w:asciiTheme="minorHAnsi" w:eastAsia="Times New Roman" w:hAnsiTheme="minorHAnsi" w:cs="Times New Roman"/>
                <w:b/>
                <w:lang w:eastAsia="en-AU"/>
              </w:rPr>
            </w:pPr>
            <w:ins w:id="142" w:author="Philippa Hetzel" w:date="2015-10-22T15:04:00Z">
              <w:r w:rsidRPr="0072340A">
                <w:rPr>
                  <w:rFonts w:asciiTheme="minorHAnsi" w:eastAsia="Times New Roman" w:hAnsiTheme="minorHAnsi" w:cs="Times New Roman"/>
                  <w:b/>
                  <w:lang w:eastAsia="en-AU"/>
                </w:rPr>
                <w:t>AND</w:t>
              </w:r>
            </w:ins>
          </w:p>
          <w:p w14:paraId="0705C19A" w14:textId="77777777" w:rsidR="0072340A" w:rsidRDefault="0072340A" w:rsidP="0072340A">
            <w:pPr>
              <w:spacing w:line="20" w:lineRule="atLeast"/>
              <w:rPr>
                <w:rFonts w:asciiTheme="minorHAnsi" w:eastAsia="Times New Roman" w:hAnsiTheme="minorHAnsi" w:cs="Times New Roman"/>
                <w:b/>
                <w:color w:val="808080" w:themeColor="background1" w:themeShade="80"/>
                <w:lang w:eastAsia="en-AU"/>
              </w:rPr>
            </w:pPr>
          </w:p>
          <w:p w14:paraId="1BFEAC00" w14:textId="5EF7CC06" w:rsidR="0072340A" w:rsidRDefault="0072340A" w:rsidP="0072340A">
            <w:pPr>
              <w:spacing w:line="20" w:lineRule="atLeast"/>
              <w:rPr>
                <w:rFonts w:asciiTheme="minorHAnsi" w:eastAsia="Times New Roman" w:hAnsiTheme="minorHAnsi" w:cs="Times New Roman"/>
                <w:color w:val="000000"/>
                <w:lang w:eastAsia="en-AU"/>
              </w:rPr>
            </w:pPr>
            <w:ins w:id="143" w:author="Philippa Hetzel" w:date="2015-10-22T15:04:00Z">
              <w:r w:rsidRPr="0072340A">
                <w:rPr>
                  <w:rFonts w:asciiTheme="minorHAnsi" w:eastAsia="Times New Roman" w:hAnsiTheme="minorHAnsi" w:cs="Times New Roman"/>
                  <w:color w:val="000000"/>
                  <w:lang w:eastAsia="en-AU"/>
                </w:rPr>
                <w:t xml:space="preserve">A trial off Ig therapy is planned and if not planned, a valid reason is provided. </w:t>
              </w:r>
            </w:ins>
          </w:p>
          <w:p w14:paraId="635AF019" w14:textId="77777777" w:rsidR="0072340A" w:rsidRPr="0072340A" w:rsidRDefault="0072340A" w:rsidP="0072340A">
            <w:pPr>
              <w:spacing w:line="20" w:lineRule="atLeast"/>
              <w:rPr>
                <w:ins w:id="144" w:author="Philippa Hetzel" w:date="2015-10-22T15:04:00Z"/>
                <w:rFonts w:asciiTheme="minorHAnsi" w:eastAsia="Times New Roman" w:hAnsiTheme="minorHAnsi" w:cs="Times New Roman"/>
                <w:color w:val="000000"/>
                <w:lang w:eastAsia="en-AU"/>
              </w:rPr>
            </w:pPr>
          </w:p>
          <w:p w14:paraId="14192D4E" w14:textId="77777777" w:rsidR="0072340A" w:rsidRPr="0072340A" w:rsidRDefault="0072340A" w:rsidP="0072340A">
            <w:pPr>
              <w:rPr>
                <w:ins w:id="145" w:author="Philippa Hetzel" w:date="2015-10-22T15:04:00Z"/>
                <w:rFonts w:asciiTheme="minorHAnsi" w:eastAsia="Times New Roman" w:hAnsiTheme="minorHAnsi" w:cs="Times New Roman"/>
                <w:color w:val="000000"/>
                <w:lang w:eastAsia="en-AU"/>
              </w:rPr>
            </w:pPr>
            <w:ins w:id="146" w:author="Philippa Hetzel" w:date="2015-10-22T15:04:00Z">
              <w:r w:rsidRPr="0072340A">
                <w:rPr>
                  <w:rFonts w:asciiTheme="minorHAnsi" w:eastAsia="Times New Roman" w:hAnsiTheme="minorHAnsi" w:cs="Times New Roman"/>
                  <w:color w:val="000000"/>
                  <w:lang w:eastAsia="en-AU"/>
                </w:rPr>
                <w:t xml:space="preserve">For stable patients on maintenance treatment, review by </w:t>
              </w:r>
            </w:ins>
          </w:p>
          <w:p w14:paraId="24EBD0BF" w14:textId="77777777" w:rsidR="0072340A" w:rsidRPr="0072340A" w:rsidRDefault="0072340A" w:rsidP="0072340A">
            <w:pPr>
              <w:rPr>
                <w:ins w:id="147" w:author="Philippa Hetzel" w:date="2015-10-22T15:04:00Z"/>
                <w:rFonts w:asciiTheme="minorHAnsi" w:eastAsia="Times New Roman" w:hAnsiTheme="minorHAnsi" w:cs="Times New Roman"/>
                <w:color w:val="000000"/>
                <w:lang w:eastAsia="en-AU"/>
              </w:rPr>
            </w:pPr>
            <w:ins w:id="148" w:author="Philippa Hetzel" w:date="2015-10-22T15:04:00Z">
              <w:r w:rsidRPr="0072340A">
                <w:rPr>
                  <w:rFonts w:asciiTheme="minorHAnsi" w:eastAsia="Times New Roman" w:hAnsiTheme="minorHAnsi" w:cs="Times New Roman"/>
                  <w:color w:val="000000"/>
                  <w:lang w:eastAsia="en-AU"/>
                </w:rPr>
                <w:t xml:space="preserve">a specialist is required at least annually. Most patients do not require long term therapy and progressive reduction in dosing should be considered. </w:t>
              </w:r>
            </w:ins>
          </w:p>
          <w:p w14:paraId="05B3E6D6" w14:textId="77777777" w:rsidR="0072340A" w:rsidRPr="0072340A" w:rsidRDefault="0072340A" w:rsidP="0072340A">
            <w:pPr>
              <w:rPr>
                <w:ins w:id="149" w:author="Philippa Hetzel" w:date="2015-10-22T15:04:00Z"/>
                <w:rFonts w:asciiTheme="minorHAnsi" w:eastAsia="Times New Roman" w:hAnsiTheme="minorHAnsi" w:cs="Times New Roman"/>
                <w:color w:val="000000"/>
                <w:lang w:eastAsia="en-AU"/>
              </w:rPr>
            </w:pPr>
          </w:p>
          <w:p w14:paraId="61AB631A" w14:textId="77777777" w:rsidR="0072340A" w:rsidRPr="0072340A" w:rsidRDefault="0072340A" w:rsidP="0072340A">
            <w:pPr>
              <w:rPr>
                <w:ins w:id="150" w:author="Philippa Hetzel" w:date="2015-10-22T15:04:00Z"/>
                <w:rFonts w:asciiTheme="minorHAnsi" w:eastAsia="Times New Roman" w:hAnsiTheme="minorHAnsi" w:cs="Times New Roman"/>
                <w:color w:val="000000"/>
                <w:lang w:eastAsia="en-AU"/>
              </w:rPr>
            </w:pPr>
            <w:ins w:id="151" w:author="Philippa Hetzel" w:date="2015-10-22T15:04:00Z">
              <w:r w:rsidRPr="0072340A">
                <w:rPr>
                  <w:rFonts w:asciiTheme="minorHAnsi" w:eastAsia="Times New Roman" w:hAnsiTheme="minorHAnsi" w:cs="Times New Roman"/>
                  <w:color w:val="000000"/>
                  <w:lang w:eastAsia="en-AU"/>
                </w:rPr>
                <w:t xml:space="preserve">Cessation of Ig therapy should be considered once </w:t>
              </w:r>
              <w:r w:rsidRPr="0072340A">
                <w:t xml:space="preserve">alternative immunomodulating agents have been </w:t>
              </w:r>
              <w:r w:rsidRPr="0072340A">
                <w:lastRenderedPageBreak/>
                <w:t xml:space="preserve">commenced and are effective and </w:t>
              </w:r>
              <w:r w:rsidRPr="0072340A">
                <w:rPr>
                  <w:rFonts w:asciiTheme="minorHAnsi" w:eastAsia="Times New Roman" w:hAnsiTheme="minorHAnsi" w:cs="Times New Roman"/>
                  <w:color w:val="000000"/>
                  <w:lang w:eastAsia="en-AU"/>
                </w:rPr>
                <w:t xml:space="preserve">the patient is stable.  </w:t>
              </w:r>
            </w:ins>
          </w:p>
          <w:p w14:paraId="50E114FE" w14:textId="1FF8D659" w:rsidR="0072340A" w:rsidRPr="00C25D3F" w:rsidRDefault="0072340A" w:rsidP="0075247A">
            <w:pPr>
              <w:spacing w:before="120" w:after="120"/>
            </w:pPr>
          </w:p>
        </w:tc>
        <w:tc>
          <w:tcPr>
            <w:tcW w:w="1440" w:type="pct"/>
          </w:tcPr>
          <w:p w14:paraId="3F1FA903" w14:textId="6ED7A4F4" w:rsidR="0067599A" w:rsidRDefault="0067599A" w:rsidP="0075247A">
            <w:pPr>
              <w:spacing w:before="120" w:after="120"/>
            </w:pPr>
            <w:r w:rsidRPr="00276CEB">
              <w:lastRenderedPageBreak/>
              <w:t>Cessation to be considered at 4 months at initial review and</w:t>
            </w:r>
            <w:r>
              <w:t xml:space="preserve"> then</w:t>
            </w:r>
            <w:r w:rsidRPr="00276CEB">
              <w:t xml:space="preserve"> 12 monthly at annual review once stable or when alternative immunosuppressant agents have been commenced</w:t>
            </w:r>
            <w:r>
              <w:t>.</w:t>
            </w:r>
            <w:r w:rsidRPr="00276CEB">
              <w:t xml:space="preserve">. </w:t>
            </w:r>
          </w:p>
          <w:p w14:paraId="3CA3A86A" w14:textId="77777777" w:rsidR="0067599A" w:rsidRDefault="0067599A" w:rsidP="0075247A">
            <w:pPr>
              <w:spacing w:before="120" w:after="120"/>
            </w:pPr>
          </w:p>
          <w:p w14:paraId="6D80B98E" w14:textId="77777777" w:rsidR="0067599A" w:rsidRDefault="0067599A" w:rsidP="0075247A">
            <w:pPr>
              <w:spacing w:before="120" w:after="120"/>
            </w:pPr>
          </w:p>
          <w:p w14:paraId="7E5B6EA0" w14:textId="77777777" w:rsidR="0067599A" w:rsidRDefault="0067599A" w:rsidP="0075247A">
            <w:pPr>
              <w:spacing w:before="120" w:after="120"/>
            </w:pPr>
          </w:p>
          <w:p w14:paraId="14AFDBA6" w14:textId="77777777" w:rsidR="0067599A" w:rsidRDefault="0067599A" w:rsidP="0075247A">
            <w:pPr>
              <w:spacing w:before="120" w:after="120"/>
            </w:pPr>
          </w:p>
          <w:p w14:paraId="398A3BF5" w14:textId="77777777" w:rsidR="0067599A" w:rsidRDefault="0067599A" w:rsidP="0075247A">
            <w:pPr>
              <w:spacing w:before="120" w:after="120"/>
            </w:pPr>
          </w:p>
          <w:p w14:paraId="072AF8E1" w14:textId="77777777" w:rsidR="0067599A" w:rsidRDefault="0067599A" w:rsidP="0075247A">
            <w:pPr>
              <w:spacing w:before="120" w:after="120"/>
            </w:pPr>
          </w:p>
          <w:p w14:paraId="169A7F2C" w14:textId="77777777" w:rsidR="0067599A" w:rsidRDefault="0067599A" w:rsidP="0075247A">
            <w:pPr>
              <w:spacing w:before="120" w:after="120"/>
            </w:pPr>
          </w:p>
          <w:p w14:paraId="400D6DA3" w14:textId="77777777" w:rsidR="0067599A" w:rsidRDefault="0067599A" w:rsidP="0075247A">
            <w:pPr>
              <w:spacing w:before="120" w:after="120"/>
            </w:pPr>
          </w:p>
          <w:p w14:paraId="5E33D7F6" w14:textId="77777777" w:rsidR="0067599A" w:rsidRDefault="0067599A" w:rsidP="0075247A">
            <w:pPr>
              <w:spacing w:before="120" w:after="120"/>
            </w:pPr>
          </w:p>
          <w:p w14:paraId="05F0D8BB" w14:textId="77777777" w:rsidR="0067599A" w:rsidRDefault="0067599A" w:rsidP="0075247A">
            <w:pPr>
              <w:spacing w:before="120" w:after="120"/>
            </w:pPr>
          </w:p>
          <w:p w14:paraId="03B721AE" w14:textId="77777777" w:rsidR="0067599A" w:rsidRDefault="0067599A" w:rsidP="0075247A">
            <w:pPr>
              <w:spacing w:before="120" w:after="120"/>
            </w:pPr>
          </w:p>
          <w:p w14:paraId="2393B5FA" w14:textId="77777777" w:rsidR="0067599A" w:rsidRDefault="0067599A" w:rsidP="0075247A">
            <w:pPr>
              <w:spacing w:before="120" w:after="120"/>
            </w:pPr>
          </w:p>
          <w:p w14:paraId="74B90046" w14:textId="77777777" w:rsidR="0067599A" w:rsidRDefault="0067599A" w:rsidP="0075247A">
            <w:pPr>
              <w:spacing w:before="120" w:after="120"/>
            </w:pPr>
          </w:p>
          <w:p w14:paraId="784C7011" w14:textId="77777777" w:rsidR="0067599A" w:rsidRDefault="0067599A" w:rsidP="0075247A">
            <w:pPr>
              <w:spacing w:before="120" w:after="120"/>
            </w:pPr>
          </w:p>
          <w:p w14:paraId="27743915" w14:textId="77777777" w:rsidR="0067599A" w:rsidRDefault="0067599A" w:rsidP="0075247A">
            <w:pPr>
              <w:spacing w:before="120" w:after="120"/>
            </w:pPr>
          </w:p>
          <w:p w14:paraId="42FE17E7" w14:textId="77777777" w:rsidR="0067599A" w:rsidRDefault="0067599A" w:rsidP="0075247A">
            <w:pPr>
              <w:spacing w:before="120" w:after="120"/>
            </w:pPr>
          </w:p>
          <w:p w14:paraId="28E7D1A3" w14:textId="77777777" w:rsidR="0067599A" w:rsidRDefault="0067599A" w:rsidP="0075247A">
            <w:pPr>
              <w:spacing w:before="120" w:after="120"/>
            </w:pPr>
          </w:p>
          <w:p w14:paraId="5BC93659" w14:textId="77777777" w:rsidR="0067599A" w:rsidRDefault="0067599A" w:rsidP="0075247A">
            <w:pPr>
              <w:spacing w:before="120" w:after="120"/>
            </w:pPr>
          </w:p>
          <w:p w14:paraId="5136CE8C" w14:textId="77777777" w:rsidR="0067599A" w:rsidRDefault="0067599A" w:rsidP="0075247A">
            <w:pPr>
              <w:spacing w:before="120" w:after="120"/>
            </w:pPr>
          </w:p>
          <w:p w14:paraId="10626381" w14:textId="12BC8FDE" w:rsidR="0067599A" w:rsidRPr="00276CEB" w:rsidRDefault="0067599A" w:rsidP="0075247A">
            <w:pPr>
              <w:spacing w:before="120" w:after="120"/>
              <w:rPr>
                <w:rFonts w:asciiTheme="minorHAnsi" w:eastAsia="Times New Roman" w:hAnsiTheme="minorHAnsi" w:cs="Times New Roman"/>
                <w:color w:val="000000"/>
                <w:lang w:eastAsia="en-AU"/>
              </w:rPr>
            </w:pPr>
            <w:r w:rsidRPr="00276CEB">
              <w:rPr>
                <w:rFonts w:asciiTheme="minorHAnsi" w:eastAsia="Times New Roman" w:hAnsiTheme="minorHAnsi" w:cs="Times New Roman"/>
                <w:color w:val="000000"/>
                <w:lang w:eastAsia="en-AU"/>
              </w:rPr>
              <w:t xml:space="preserve">Review criteria were discussed and </w:t>
            </w:r>
            <w:r>
              <w:rPr>
                <w:rFonts w:asciiTheme="minorHAnsi" w:eastAsia="Times New Roman" w:hAnsiTheme="minorHAnsi" w:cs="Times New Roman"/>
                <w:color w:val="000000"/>
                <w:lang w:eastAsia="en-AU"/>
              </w:rPr>
              <w:t xml:space="preserve">SWG </w:t>
            </w:r>
            <w:r w:rsidRPr="00276CEB">
              <w:rPr>
                <w:rFonts w:asciiTheme="minorHAnsi" w:eastAsia="Times New Roman" w:hAnsiTheme="minorHAnsi" w:cs="Times New Roman"/>
                <w:color w:val="000000"/>
                <w:lang w:eastAsia="en-AU"/>
              </w:rPr>
              <w:t xml:space="preserve">agreed that there was insufficient data available to be prescriptive on specific improvement levels for response.  </w:t>
            </w:r>
            <w:r>
              <w:rPr>
                <w:rFonts w:asciiTheme="minorHAnsi" w:eastAsia="Times New Roman" w:hAnsiTheme="minorHAnsi" w:cs="Times New Roman"/>
                <w:color w:val="000000"/>
                <w:lang w:eastAsia="en-AU"/>
              </w:rPr>
              <w:t>The review score must be greater than the qualifying score.</w:t>
            </w:r>
          </w:p>
          <w:p w14:paraId="3E9E9F03" w14:textId="77777777" w:rsidR="0067599A" w:rsidRDefault="0067599A" w:rsidP="0075247A">
            <w:pPr>
              <w:spacing w:before="120" w:after="120"/>
            </w:pPr>
          </w:p>
          <w:p w14:paraId="6646FADF" w14:textId="77777777" w:rsidR="0067599A" w:rsidRDefault="0067599A" w:rsidP="0075247A">
            <w:pPr>
              <w:spacing w:before="120" w:after="120"/>
            </w:pPr>
          </w:p>
          <w:p w14:paraId="4C133379" w14:textId="77777777" w:rsidR="0067599A" w:rsidRDefault="0067599A" w:rsidP="0075247A">
            <w:pPr>
              <w:spacing w:before="120" w:after="120"/>
            </w:pPr>
          </w:p>
          <w:p w14:paraId="17AA8978" w14:textId="77777777" w:rsidR="0067599A" w:rsidRDefault="0067599A" w:rsidP="0075247A">
            <w:pPr>
              <w:spacing w:before="120" w:after="120"/>
            </w:pPr>
          </w:p>
          <w:p w14:paraId="04687246" w14:textId="77777777" w:rsidR="0067599A" w:rsidRDefault="0067599A" w:rsidP="0075247A">
            <w:pPr>
              <w:spacing w:before="120" w:after="120"/>
            </w:pPr>
          </w:p>
          <w:p w14:paraId="35F4AB51" w14:textId="77777777" w:rsidR="0067599A" w:rsidRDefault="0067599A" w:rsidP="0075247A">
            <w:pPr>
              <w:spacing w:before="120" w:after="120"/>
            </w:pPr>
          </w:p>
          <w:p w14:paraId="3968B0BF" w14:textId="77777777" w:rsidR="0067599A" w:rsidRDefault="0067599A" w:rsidP="0075247A">
            <w:pPr>
              <w:spacing w:before="120" w:after="120"/>
            </w:pPr>
          </w:p>
          <w:p w14:paraId="61E01E19" w14:textId="77777777" w:rsidR="0075247A" w:rsidRDefault="0075247A" w:rsidP="0075247A">
            <w:pPr>
              <w:spacing w:before="120" w:after="120"/>
            </w:pPr>
          </w:p>
          <w:p w14:paraId="6DEF8FDA" w14:textId="77777777" w:rsidR="0075247A" w:rsidRDefault="0075247A" w:rsidP="0075247A">
            <w:pPr>
              <w:spacing w:before="120" w:after="120"/>
            </w:pPr>
          </w:p>
          <w:p w14:paraId="005160B0" w14:textId="77777777" w:rsidR="0067599A" w:rsidRDefault="0067599A" w:rsidP="0075247A">
            <w:pPr>
              <w:spacing w:before="120" w:after="120"/>
            </w:pPr>
          </w:p>
          <w:p w14:paraId="4CF6F67C" w14:textId="77777777" w:rsidR="0067599A" w:rsidRDefault="0067599A" w:rsidP="0075247A">
            <w:pPr>
              <w:spacing w:before="120" w:after="120"/>
            </w:pPr>
          </w:p>
          <w:p w14:paraId="395AD5E1" w14:textId="77777777" w:rsidR="0067599A" w:rsidRDefault="0067599A" w:rsidP="0075247A">
            <w:pPr>
              <w:spacing w:before="120" w:after="120"/>
            </w:pPr>
          </w:p>
          <w:p w14:paraId="6CCBF100" w14:textId="77777777" w:rsidR="0067599A" w:rsidRDefault="0067599A" w:rsidP="0075247A">
            <w:pPr>
              <w:spacing w:before="120" w:after="120"/>
            </w:pPr>
          </w:p>
          <w:p w14:paraId="66E98C27" w14:textId="77777777" w:rsidR="0067599A" w:rsidRDefault="0067599A" w:rsidP="0075247A">
            <w:pPr>
              <w:spacing w:before="120" w:after="120"/>
            </w:pPr>
          </w:p>
          <w:p w14:paraId="28B29773" w14:textId="77777777" w:rsidR="0067599A" w:rsidRDefault="0067599A" w:rsidP="0075247A">
            <w:pPr>
              <w:spacing w:before="120" w:after="120"/>
            </w:pPr>
          </w:p>
          <w:p w14:paraId="6103A4AA" w14:textId="77777777" w:rsidR="0067599A" w:rsidRDefault="0067599A" w:rsidP="0075247A">
            <w:pPr>
              <w:spacing w:before="120" w:after="120"/>
            </w:pPr>
          </w:p>
          <w:p w14:paraId="63D10B30" w14:textId="77777777" w:rsidR="0067599A" w:rsidRDefault="0067599A" w:rsidP="0075247A">
            <w:pPr>
              <w:spacing w:before="120" w:after="120"/>
            </w:pPr>
          </w:p>
          <w:p w14:paraId="4CCC9D35" w14:textId="77777777" w:rsidR="0067599A" w:rsidRDefault="0067599A" w:rsidP="0075247A">
            <w:pPr>
              <w:spacing w:before="120" w:after="120"/>
              <w:rPr>
                <w:ins w:id="152" w:author="Philippa Hetzel" w:date="2015-10-26T17:33:00Z"/>
              </w:rPr>
            </w:pPr>
            <w:r>
              <w:t>Script added noting that long term therapy is not required and progressive reduction i</w:t>
            </w:r>
            <w:r w:rsidR="0075247A">
              <w:t xml:space="preserve">n dosing should be considered. </w:t>
            </w:r>
          </w:p>
          <w:p w14:paraId="60B7DF71" w14:textId="77777777" w:rsidR="00673DA2" w:rsidRDefault="00673DA2" w:rsidP="0075247A">
            <w:pPr>
              <w:spacing w:before="120" w:after="120"/>
              <w:rPr>
                <w:ins w:id="153" w:author="Philippa Hetzel" w:date="2015-10-26T17:33:00Z"/>
              </w:rPr>
            </w:pPr>
          </w:p>
          <w:p w14:paraId="0903EAD7" w14:textId="77777777" w:rsidR="00673DA2" w:rsidRDefault="00673DA2" w:rsidP="0075247A">
            <w:pPr>
              <w:spacing w:before="120" w:after="120"/>
              <w:rPr>
                <w:ins w:id="154" w:author="Philippa Hetzel" w:date="2015-10-26T17:33:00Z"/>
              </w:rPr>
            </w:pPr>
          </w:p>
          <w:p w14:paraId="7654E616" w14:textId="77777777" w:rsidR="00673DA2" w:rsidRDefault="00673DA2" w:rsidP="0075247A">
            <w:pPr>
              <w:spacing w:before="120" w:after="120"/>
              <w:rPr>
                <w:ins w:id="155" w:author="Philippa Hetzel" w:date="2015-10-26T17:33:00Z"/>
              </w:rPr>
            </w:pPr>
          </w:p>
          <w:p w14:paraId="320BCBBC" w14:textId="77777777" w:rsidR="00673DA2" w:rsidRDefault="00673DA2" w:rsidP="0075247A">
            <w:pPr>
              <w:spacing w:before="120" w:after="120"/>
              <w:rPr>
                <w:ins w:id="156" w:author="Philippa Hetzel" w:date="2015-10-26T17:33:00Z"/>
              </w:rPr>
            </w:pPr>
          </w:p>
          <w:p w14:paraId="0993BAF3" w14:textId="77777777" w:rsidR="00673DA2" w:rsidRDefault="00673DA2" w:rsidP="0075247A">
            <w:pPr>
              <w:spacing w:before="120" w:after="120"/>
              <w:rPr>
                <w:ins w:id="157" w:author="Philippa Hetzel" w:date="2015-10-26T17:33:00Z"/>
              </w:rPr>
            </w:pPr>
          </w:p>
          <w:p w14:paraId="0377B2FB" w14:textId="77777777" w:rsidR="00673DA2" w:rsidRDefault="00673DA2" w:rsidP="0075247A">
            <w:pPr>
              <w:spacing w:before="120" w:after="120"/>
              <w:rPr>
                <w:ins w:id="158" w:author="Philippa Hetzel" w:date="2015-10-26T17:33:00Z"/>
              </w:rPr>
            </w:pPr>
          </w:p>
          <w:p w14:paraId="65EF30F5" w14:textId="1796A3A9" w:rsidR="00673DA2" w:rsidRPr="00C25D3F" w:rsidRDefault="00673DA2" w:rsidP="00673DA2">
            <w:pPr>
              <w:spacing w:before="120" w:after="120"/>
            </w:pPr>
            <w:ins w:id="159" w:author="Philippa Hetzel" w:date="2015-10-26T17:33:00Z">
              <w:r>
                <w:t xml:space="preserve">Review for children including CMAS as </w:t>
              </w:r>
            </w:ins>
            <w:ins w:id="160" w:author="Philippa Hetzel" w:date="2015-10-26T17:34:00Z">
              <w:r>
                <w:t xml:space="preserve">the </w:t>
              </w:r>
            </w:ins>
            <w:ins w:id="161" w:author="Philippa Hetzel" w:date="2015-10-26T17:33:00Z">
              <w:r>
                <w:t xml:space="preserve">assessment method. </w:t>
              </w:r>
            </w:ins>
          </w:p>
        </w:tc>
      </w:tr>
      <w:tr w:rsidR="0067599A" w:rsidRPr="00C25D3F" w14:paraId="16DE8E8B" w14:textId="77777777" w:rsidTr="00D80049">
        <w:tc>
          <w:tcPr>
            <w:tcW w:w="471" w:type="pct"/>
            <w:shd w:val="clear" w:color="auto" w:fill="D9D9D9" w:themeFill="background1" w:themeFillShade="D9"/>
          </w:tcPr>
          <w:p w14:paraId="558AE04C" w14:textId="77777777" w:rsidR="0067599A" w:rsidRPr="0075247A" w:rsidRDefault="0067599A" w:rsidP="0075247A">
            <w:pPr>
              <w:spacing w:before="120" w:after="120"/>
              <w:rPr>
                <w:b/>
              </w:rPr>
            </w:pPr>
            <w:r w:rsidRPr="0075247A">
              <w:rPr>
                <w:b/>
              </w:rPr>
              <w:lastRenderedPageBreak/>
              <w:t>Dose</w:t>
            </w:r>
          </w:p>
        </w:tc>
        <w:tc>
          <w:tcPr>
            <w:tcW w:w="1348" w:type="pct"/>
          </w:tcPr>
          <w:p w14:paraId="4BCB9EF2" w14:textId="77777777" w:rsidR="0067599A" w:rsidRPr="00C25D3F" w:rsidRDefault="0067599A" w:rsidP="0075247A">
            <w:pPr>
              <w:spacing w:before="120" w:after="120"/>
            </w:pPr>
            <w:r w:rsidRPr="00C25D3F">
              <w:t>Induction: 2 g/kg in 2 to 5 divided doses.</w:t>
            </w:r>
          </w:p>
          <w:p w14:paraId="5D9D93DC" w14:textId="77777777" w:rsidR="0067599A" w:rsidRPr="00C25D3F" w:rsidRDefault="0067599A" w:rsidP="0075247A">
            <w:pPr>
              <w:spacing w:before="120" w:after="120"/>
            </w:pPr>
            <w:r w:rsidRPr="00C25D3F">
              <w:t>Maintenance: 0.4–1 g/kg, 4–6 weekly.</w:t>
            </w:r>
          </w:p>
          <w:p w14:paraId="013E58FC" w14:textId="77777777" w:rsidR="0067599A" w:rsidRPr="00C25D3F" w:rsidRDefault="0067599A" w:rsidP="0075247A">
            <w:pPr>
              <w:spacing w:before="120" w:after="120"/>
            </w:pPr>
            <w:r w:rsidRPr="00C25D3F">
              <w:t>Aim for the minimum dose to maintain optimal functional status.</w:t>
            </w:r>
          </w:p>
          <w:p w14:paraId="4FE86AE7" w14:textId="77777777" w:rsidR="0067599A" w:rsidRPr="00C25D3F" w:rsidRDefault="0067599A" w:rsidP="0075247A">
            <w:pPr>
              <w:spacing w:before="120" w:after="120"/>
            </w:pPr>
            <w:r w:rsidRPr="00C25D3F">
              <w:t>Dosing above 1 g/kg per day is contraindicated for some IVIg products.</w:t>
            </w:r>
          </w:p>
          <w:p w14:paraId="2259F1F8" w14:textId="77777777" w:rsidR="0067599A" w:rsidRPr="00C25D3F" w:rsidRDefault="0067599A" w:rsidP="0075247A">
            <w:pPr>
              <w:spacing w:before="120" w:after="120"/>
            </w:pPr>
          </w:p>
          <w:p w14:paraId="6FA4720F" w14:textId="77777777" w:rsidR="0067599A" w:rsidRPr="00C25D3F" w:rsidRDefault="0067599A" w:rsidP="0075247A">
            <w:pPr>
              <w:spacing w:before="120" w:after="120"/>
            </w:pPr>
            <w:r w:rsidRPr="00C25D3F">
              <w:t>Refer to the current product information sheet for further information.</w:t>
            </w:r>
          </w:p>
          <w:p w14:paraId="12B8A7C8" w14:textId="77777777" w:rsidR="0067599A" w:rsidRPr="00C25D3F" w:rsidRDefault="0067599A" w:rsidP="0075247A">
            <w:pPr>
              <w:spacing w:before="120" w:after="120"/>
            </w:pPr>
          </w:p>
          <w:p w14:paraId="510960B9" w14:textId="77777777" w:rsidR="0067599A" w:rsidRPr="00C25D3F" w:rsidRDefault="0067599A" w:rsidP="0075247A">
            <w:pPr>
              <w:spacing w:before="120" w:after="120"/>
            </w:pPr>
            <w:r w:rsidRPr="00C25D3F">
              <w:t>The aim should be to use the lowest dose possible that achieves the appropriate clinical outcome for each patient.</w:t>
            </w:r>
          </w:p>
        </w:tc>
        <w:tc>
          <w:tcPr>
            <w:tcW w:w="1741" w:type="pct"/>
            <w:gridSpan w:val="3"/>
          </w:tcPr>
          <w:p w14:paraId="0DCD8264" w14:textId="77777777" w:rsidR="0067599A" w:rsidRPr="00EB02B2" w:rsidRDefault="0067599A" w:rsidP="0075247A">
            <w:pPr>
              <w:spacing w:before="120" w:after="120"/>
              <w:rPr>
                <w:rFonts w:asciiTheme="minorHAnsi" w:eastAsia="Times New Roman" w:hAnsiTheme="minorHAnsi" w:cstheme="minorHAnsi"/>
                <w:color w:val="000000"/>
              </w:rPr>
            </w:pPr>
            <w:r w:rsidRPr="00EB02B2">
              <w:rPr>
                <w:rFonts w:asciiTheme="minorHAnsi" w:eastAsia="Times New Roman" w:hAnsiTheme="minorHAnsi" w:cstheme="minorHAnsi"/>
                <w:b/>
                <w:color w:val="000000"/>
              </w:rPr>
              <w:t>Induction</w:t>
            </w:r>
            <w:r w:rsidRPr="00EB02B2">
              <w:rPr>
                <w:rFonts w:asciiTheme="minorHAnsi" w:eastAsia="Times New Roman" w:hAnsiTheme="minorHAnsi" w:cstheme="minorHAnsi"/>
                <w:color w:val="000000"/>
              </w:rPr>
              <w:t xml:space="preserve"> - 2 g/kg in 2 to 5 divided doses.</w:t>
            </w:r>
          </w:p>
          <w:p w14:paraId="11713C33" w14:textId="77777777" w:rsidR="0067599A" w:rsidRPr="00EB02B2" w:rsidRDefault="0067599A" w:rsidP="0075247A">
            <w:pPr>
              <w:spacing w:before="120" w:after="120"/>
            </w:pPr>
            <w:r w:rsidRPr="00EB02B2">
              <w:rPr>
                <w:rFonts w:asciiTheme="minorHAnsi" w:eastAsia="Times New Roman" w:hAnsiTheme="minorHAnsi" w:cstheme="minorHAnsi"/>
                <w:b/>
                <w:color w:val="000000"/>
              </w:rPr>
              <w:t>Maintenance</w:t>
            </w:r>
            <w:r w:rsidRPr="00EB02B2">
              <w:rPr>
                <w:rFonts w:asciiTheme="minorHAnsi" w:eastAsia="Times New Roman" w:hAnsiTheme="minorHAnsi" w:cstheme="minorHAnsi"/>
                <w:color w:val="000000"/>
              </w:rPr>
              <w:t xml:space="preserve"> 0.4–1 g/kg, 4–6 weekly</w:t>
            </w:r>
          </w:p>
          <w:p w14:paraId="10ECE25D" w14:textId="0329EEB9" w:rsidR="0067599A" w:rsidRPr="00D80049" w:rsidRDefault="0067599A" w:rsidP="0075247A">
            <w:pPr>
              <w:spacing w:before="120" w:after="120"/>
            </w:pPr>
            <w:r w:rsidRPr="00EB02B2">
              <w:rPr>
                <w:rFonts w:asciiTheme="minorHAnsi" w:eastAsia="Times New Roman" w:hAnsiTheme="minorHAnsi" w:cs="Times New Roman"/>
                <w:color w:val="000000"/>
                <w:lang w:eastAsia="en-AU"/>
              </w:rPr>
              <w:t>A maximum total do</w:t>
            </w:r>
            <w:r w:rsidRPr="00D80049">
              <w:rPr>
                <w:rFonts w:asciiTheme="minorHAnsi" w:eastAsia="Times New Roman" w:hAnsiTheme="minorHAnsi" w:cs="Times New Roman"/>
                <w:color w:val="000000"/>
                <w:lang w:eastAsia="en-AU"/>
              </w:rPr>
              <w:t>se of 1g/kg</w:t>
            </w:r>
            <w:r w:rsidRPr="00D80049">
              <w:rPr>
                <w:rFonts w:asciiTheme="minorHAnsi" w:eastAsia="Times New Roman" w:hAnsiTheme="minorHAnsi" w:cs="Times New Roman"/>
                <w:b/>
                <w:color w:val="000000"/>
                <w:lang w:eastAsia="en-AU"/>
              </w:rPr>
              <w:t xml:space="preserve"> </w:t>
            </w:r>
            <w:r w:rsidRPr="00D80049">
              <w:t xml:space="preserve">may be given in any four week period. This can be administered in weekly divided doses, provided </w:t>
            </w:r>
            <w:r w:rsidR="004B5468" w:rsidRPr="00D80049">
              <w:t xml:space="preserve">the </w:t>
            </w:r>
            <w:r w:rsidRPr="00D80049">
              <w:t>total maximum is not exceeded</w:t>
            </w:r>
          </w:p>
          <w:p w14:paraId="401B2AD3" w14:textId="320F0FEB" w:rsidR="0067599A" w:rsidRPr="00EB02B2" w:rsidRDefault="002F56F4" w:rsidP="0075247A">
            <w:pPr>
              <w:spacing w:before="120" w:after="120"/>
              <w:rPr>
                <w:rFonts w:asciiTheme="minorHAnsi" w:eastAsia="Times New Roman" w:hAnsiTheme="minorHAnsi" w:cstheme="minorHAnsi"/>
                <w:color w:val="000000"/>
              </w:rPr>
            </w:pPr>
            <w:r w:rsidRPr="00D80049">
              <w:rPr>
                <w:rFonts w:asciiTheme="minorHAnsi" w:eastAsia="Times New Roman" w:hAnsiTheme="minorHAnsi" w:cstheme="minorHAnsi"/>
                <w:color w:val="000000"/>
              </w:rPr>
              <w:t>Induction dose can be given only once, unless treatment has been ceased and re</w:t>
            </w:r>
            <w:r w:rsidR="00D80049" w:rsidRPr="00D80049">
              <w:rPr>
                <w:rFonts w:asciiTheme="minorHAnsi" w:eastAsia="Times New Roman" w:hAnsiTheme="minorHAnsi" w:cstheme="minorHAnsi"/>
                <w:color w:val="000000"/>
              </w:rPr>
              <w:t>-</w:t>
            </w:r>
            <w:r w:rsidRPr="00D80049">
              <w:rPr>
                <w:rFonts w:asciiTheme="minorHAnsi" w:eastAsia="Times New Roman" w:hAnsiTheme="minorHAnsi" w:cstheme="minorHAnsi"/>
                <w:color w:val="000000"/>
              </w:rPr>
              <w:t>treatment is required at a later date.</w:t>
            </w:r>
            <w:r>
              <w:rPr>
                <w:rFonts w:asciiTheme="minorHAnsi" w:eastAsia="Times New Roman" w:hAnsiTheme="minorHAnsi" w:cstheme="minorHAnsi"/>
                <w:color w:val="000000"/>
              </w:rPr>
              <w:t xml:space="preserve"> </w:t>
            </w:r>
          </w:p>
          <w:p w14:paraId="0FC3D2AE" w14:textId="7EAE73E9" w:rsidR="0067599A" w:rsidRDefault="0067599A" w:rsidP="0075247A">
            <w:pPr>
              <w:spacing w:before="120" w:after="120"/>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 xml:space="preserve">Most patients do not require long term therapy and progressive reduction in dosing should be considered. </w:t>
            </w:r>
          </w:p>
          <w:p w14:paraId="74CE6103" w14:textId="77777777" w:rsidR="0067599A" w:rsidRPr="00ED79DF" w:rsidRDefault="0067599A" w:rsidP="0075247A">
            <w:pPr>
              <w:spacing w:before="120" w:after="120"/>
              <w:rPr>
                <w:rFonts w:asciiTheme="minorHAnsi" w:eastAsia="Times New Roman" w:hAnsiTheme="minorHAnsi" w:cs="Times New Roman"/>
                <w:color w:val="000000"/>
                <w:lang w:eastAsia="en-AU"/>
              </w:rPr>
            </w:pPr>
          </w:p>
          <w:p w14:paraId="66761422" w14:textId="19282B98" w:rsidR="0067599A" w:rsidRPr="00ED79DF" w:rsidRDefault="0067599A" w:rsidP="0075247A">
            <w:pPr>
              <w:spacing w:before="120" w:after="120"/>
              <w:rPr>
                <w:rFonts w:asciiTheme="minorHAnsi" w:eastAsia="Times New Roman" w:hAnsiTheme="minorHAnsi" w:cs="Times New Roman"/>
                <w:color w:val="000000"/>
                <w:lang w:eastAsia="en-AU"/>
              </w:rPr>
            </w:pPr>
            <w:r w:rsidRPr="00ED79DF">
              <w:rPr>
                <w:rFonts w:asciiTheme="minorHAnsi" w:eastAsia="Times New Roman" w:hAnsiTheme="minorHAnsi" w:cs="Times New Roman"/>
                <w:color w:val="000000"/>
                <w:lang w:eastAsia="en-AU"/>
              </w:rPr>
              <w:t xml:space="preserve">Cessation of Ig therapy should be considered once </w:t>
            </w:r>
            <w:r w:rsidRPr="00ED79DF">
              <w:t xml:space="preserve">alternative </w:t>
            </w:r>
            <w:r>
              <w:t>immuno</w:t>
            </w:r>
            <w:r w:rsidRPr="00ED79DF">
              <w:t xml:space="preserve">modulating agents have been commenced and are effective and </w:t>
            </w:r>
            <w:r w:rsidRPr="00ED79DF">
              <w:rPr>
                <w:rFonts w:asciiTheme="minorHAnsi" w:eastAsia="Times New Roman" w:hAnsiTheme="minorHAnsi" w:cs="Times New Roman"/>
                <w:color w:val="000000"/>
                <w:lang w:eastAsia="en-AU"/>
              </w:rPr>
              <w:t xml:space="preserve">the patient is stable.  </w:t>
            </w:r>
          </w:p>
          <w:p w14:paraId="0129A642" w14:textId="3B89B9C3" w:rsidR="0067599A" w:rsidRPr="0067599A" w:rsidRDefault="0067599A" w:rsidP="0075247A">
            <w:pPr>
              <w:spacing w:before="120" w:after="120"/>
              <w:rPr>
                <w:rFonts w:asciiTheme="minorHAnsi" w:eastAsia="Times New Roman" w:hAnsiTheme="minorHAnsi" w:cs="Times New Roman"/>
                <w:color w:val="000000"/>
                <w:lang w:eastAsia="en-AU"/>
              </w:rPr>
            </w:pPr>
            <w:r w:rsidRPr="0067599A">
              <w:rPr>
                <w:rFonts w:asciiTheme="minorHAnsi" w:eastAsia="Times New Roman" w:hAnsiTheme="minorHAnsi" w:cs="Times New Roman"/>
                <w:color w:val="000000"/>
                <w:lang w:eastAsia="en-AU"/>
              </w:rPr>
              <w:t>The aim should be to use the lowest dose possible that achieves the appropriate clinical outcome for each patient.</w:t>
            </w:r>
          </w:p>
          <w:p w14:paraId="15963E13" w14:textId="4D96278B" w:rsidR="0067599A" w:rsidRPr="0067599A" w:rsidRDefault="0067599A" w:rsidP="0075247A">
            <w:pPr>
              <w:spacing w:before="120" w:after="120"/>
              <w:rPr>
                <w:rFonts w:asciiTheme="minorHAnsi" w:eastAsia="Times New Roman" w:hAnsiTheme="minorHAnsi" w:cs="Times New Roman"/>
                <w:color w:val="000000"/>
                <w:lang w:eastAsia="en-AU"/>
              </w:rPr>
            </w:pPr>
            <w:r w:rsidRPr="0067599A">
              <w:rPr>
                <w:rFonts w:asciiTheme="minorHAnsi" w:eastAsia="Times New Roman" w:hAnsiTheme="minorHAnsi" w:cs="Times New Roman"/>
                <w:color w:val="000000"/>
                <w:lang w:eastAsia="en-AU"/>
              </w:rPr>
              <w:lastRenderedPageBreak/>
              <w:t>Dosing above 1 g/kg per day is contraindicated for some IVIg products.</w:t>
            </w:r>
          </w:p>
          <w:p w14:paraId="6FD07478" w14:textId="163AF0D5" w:rsidR="0067599A" w:rsidRPr="00C25D3F" w:rsidRDefault="0067599A" w:rsidP="0075247A">
            <w:pPr>
              <w:spacing w:before="120" w:after="120"/>
            </w:pPr>
            <w:r w:rsidRPr="0067599A">
              <w:rPr>
                <w:rFonts w:asciiTheme="minorHAnsi" w:eastAsia="Times New Roman" w:hAnsiTheme="minorHAnsi" w:cs="Times New Roman"/>
                <w:b/>
                <w:color w:val="000000"/>
                <w:lang w:eastAsia="en-AU"/>
              </w:rPr>
              <w:t>Refer to the current product information sheet for further information.</w:t>
            </w:r>
          </w:p>
        </w:tc>
        <w:tc>
          <w:tcPr>
            <w:tcW w:w="1440" w:type="pct"/>
          </w:tcPr>
          <w:p w14:paraId="16C71556" w14:textId="6A9BBE65" w:rsidR="0067599A" w:rsidRDefault="0067599A" w:rsidP="0075247A">
            <w:pPr>
              <w:spacing w:before="120" w:after="120"/>
              <w:rPr>
                <w:sz w:val="18"/>
                <w:szCs w:val="18"/>
              </w:rPr>
            </w:pPr>
            <w:r>
              <w:lastRenderedPageBreak/>
              <w:t xml:space="preserve">Total dosing unchanged however script added </w:t>
            </w:r>
            <w:r w:rsidRPr="00EB02B2">
              <w:t xml:space="preserve">- </w:t>
            </w:r>
            <w:r w:rsidRPr="00EB02B2">
              <w:rPr>
                <w:rFonts w:asciiTheme="minorHAnsi" w:eastAsia="Times New Roman" w:hAnsiTheme="minorHAnsi" w:cs="Times New Roman"/>
                <w:color w:val="000000"/>
                <w:lang w:eastAsia="en-AU"/>
              </w:rPr>
              <w:t>A maximum total dose of 1g/kg</w:t>
            </w:r>
            <w:r w:rsidRPr="00EB02B2">
              <w:rPr>
                <w:rFonts w:asciiTheme="minorHAnsi" w:eastAsia="Times New Roman" w:hAnsiTheme="minorHAnsi" w:cs="Times New Roman"/>
                <w:b/>
                <w:color w:val="000000"/>
                <w:lang w:eastAsia="en-AU"/>
              </w:rPr>
              <w:t xml:space="preserve"> </w:t>
            </w:r>
            <w:r w:rsidRPr="00EB02B2">
              <w:t xml:space="preserve">may be given in any 4 week period. This can be administered in weekly divided doses, provided </w:t>
            </w:r>
            <w:r w:rsidR="005B3F22">
              <w:t xml:space="preserve">the </w:t>
            </w:r>
            <w:r w:rsidRPr="00EB02B2">
              <w:t>total maximum is not exceeded</w:t>
            </w:r>
            <w:r w:rsidR="005B3F22">
              <w:t>. (A)</w:t>
            </w:r>
          </w:p>
          <w:p w14:paraId="2B110293" w14:textId="6B0E863D" w:rsidR="0067599A" w:rsidRPr="00C25D3F" w:rsidRDefault="0067599A" w:rsidP="0075247A">
            <w:pPr>
              <w:spacing w:before="120" w:after="120"/>
            </w:pPr>
          </w:p>
        </w:tc>
      </w:tr>
    </w:tbl>
    <w:p w14:paraId="03A21226" w14:textId="77777777" w:rsidR="00434C96" w:rsidRDefault="00434C96" w:rsidP="0075247A">
      <w:pPr>
        <w:spacing w:before="120" w:after="120"/>
        <w:rPr>
          <w:rFonts w:asciiTheme="minorHAnsi" w:hAnsiTheme="minorHAnsi"/>
          <w:b/>
        </w:rPr>
        <w:sectPr w:rsidR="00434C96" w:rsidSect="0067599A">
          <w:footerReference w:type="default" r:id="rId8"/>
          <w:pgSz w:w="16839" w:h="11907" w:orient="landscape" w:code="9"/>
          <w:pgMar w:top="1440" w:right="1440" w:bottom="1133" w:left="1440" w:header="708" w:footer="708" w:gutter="0"/>
          <w:cols w:space="708"/>
          <w:titlePg/>
          <w:docGrid w:linePitch="360"/>
        </w:sectPr>
      </w:pPr>
    </w:p>
    <w:tbl>
      <w:tblPr>
        <w:tblStyle w:val="TableGrid"/>
        <w:tblW w:w="5001" w:type="pct"/>
        <w:tblLook w:val="0680" w:firstRow="0" w:lastRow="0" w:firstColumn="1" w:lastColumn="0" w:noHBand="1" w:noVBand="1"/>
      </w:tblPr>
      <w:tblGrid>
        <w:gridCol w:w="14178"/>
      </w:tblGrid>
      <w:tr w:rsidR="00434C96" w:rsidRPr="006716C5" w14:paraId="4D0A2354" w14:textId="77777777" w:rsidTr="00437A43">
        <w:tc>
          <w:tcPr>
            <w:tcW w:w="5000" w:type="pct"/>
            <w:shd w:val="clear" w:color="auto" w:fill="DBE5F1" w:themeFill="accent1" w:themeFillTint="33"/>
          </w:tcPr>
          <w:p w14:paraId="5321A6D5" w14:textId="6570AC81" w:rsidR="00434C96" w:rsidRPr="006716C5" w:rsidRDefault="006716C5" w:rsidP="006716C5">
            <w:pPr>
              <w:spacing w:before="120" w:after="120"/>
              <w:jc w:val="center"/>
              <w:rPr>
                <w:rFonts w:asciiTheme="minorHAnsi" w:hAnsiTheme="minorHAnsi"/>
                <w:b/>
              </w:rPr>
            </w:pPr>
            <w:r w:rsidRPr="006716C5">
              <w:rPr>
                <w:rFonts w:asciiTheme="minorHAnsi" w:hAnsiTheme="minorHAnsi"/>
                <w:b/>
              </w:rPr>
              <w:lastRenderedPageBreak/>
              <w:t>BIBLIOGRAPHY</w:t>
            </w:r>
          </w:p>
        </w:tc>
      </w:tr>
      <w:tr w:rsidR="006716C5" w:rsidRPr="00434C96" w14:paraId="32441ECB" w14:textId="77777777" w:rsidTr="006716C5">
        <w:tc>
          <w:tcPr>
            <w:tcW w:w="5000" w:type="pct"/>
            <w:shd w:val="clear" w:color="auto" w:fill="auto"/>
          </w:tcPr>
          <w:p w14:paraId="57AD668D" w14:textId="1BA3AB8E" w:rsidR="006716C5" w:rsidRPr="006716C5" w:rsidRDefault="006716C5" w:rsidP="00434C96">
            <w:pPr>
              <w:spacing w:before="120" w:after="120"/>
              <w:rPr>
                <w:rFonts w:asciiTheme="minorHAnsi" w:hAnsiTheme="minorHAnsi"/>
                <w:b/>
              </w:rPr>
            </w:pPr>
            <w:r w:rsidRPr="006716C5">
              <w:rPr>
                <w:rFonts w:asciiTheme="minorHAnsi" w:hAnsiTheme="minorHAnsi" w:cs="Arial"/>
                <w:color w:val="333333"/>
                <w:sz w:val="21"/>
                <w:szCs w:val="21"/>
              </w:rPr>
              <w:t>Association of British Neurologists 2005,</w:t>
            </w:r>
            <w:r w:rsidRPr="006716C5">
              <w:rPr>
                <w:rStyle w:val="Emphasis"/>
                <w:rFonts w:asciiTheme="minorHAnsi" w:hAnsiTheme="minorHAnsi" w:cs="Arial"/>
                <w:color w:val="333333"/>
                <w:sz w:val="21"/>
                <w:szCs w:val="21"/>
              </w:rPr>
              <w:t xml:space="preserve"> Guidelines for the use of intravenous immunoglobulin in neurological diseases</w:t>
            </w:r>
            <w:r w:rsidRPr="006716C5">
              <w:rPr>
                <w:rFonts w:asciiTheme="minorHAnsi" w:hAnsiTheme="minorHAnsi" w:cs="Arial"/>
                <w:color w:val="333333"/>
                <w:sz w:val="21"/>
                <w:szCs w:val="21"/>
              </w:rPr>
              <w:t xml:space="preserve">, The Association, London. Available from: </w:t>
            </w:r>
            <w:hyperlink r:id="rId9" w:history="1">
              <w:r w:rsidRPr="006716C5">
                <w:rPr>
                  <w:rStyle w:val="Hyperlink"/>
                  <w:rFonts w:asciiTheme="minorHAnsi" w:hAnsiTheme="minorHAnsi" w:cs="Arial"/>
                  <w:sz w:val="21"/>
                  <w:szCs w:val="21"/>
                </w:rPr>
                <w:t>www.theabn.org/abn/userfiles/file/IVIg-guidelines-final-July05.pdf</w:t>
              </w:r>
            </w:hyperlink>
            <w:r w:rsidRPr="006716C5">
              <w:rPr>
                <w:rFonts w:asciiTheme="minorHAnsi" w:hAnsiTheme="minorHAnsi" w:cs="Arial"/>
                <w:color w:val="333333"/>
                <w:sz w:val="21"/>
                <w:szCs w:val="21"/>
              </w:rPr>
              <w:t>. [cited 7 Dec 2007]</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t xml:space="preserve">Cherin, P, Pelletier, S, Teixeira, A, et al 2002, ‘Results and long-term follow up of intravenous immunoglobulin infusions in chronic, refractory polymyositis: an open study with thirty-five adult patients’, </w:t>
            </w:r>
            <w:r w:rsidRPr="006716C5">
              <w:rPr>
                <w:rStyle w:val="Emphasis"/>
                <w:rFonts w:asciiTheme="minorHAnsi" w:hAnsiTheme="minorHAnsi" w:cs="Arial"/>
                <w:color w:val="333333"/>
                <w:sz w:val="21"/>
                <w:szCs w:val="21"/>
              </w:rPr>
              <w:t>Arthritis &amp; Rheumatism</w:t>
            </w:r>
            <w:r w:rsidRPr="006716C5">
              <w:rPr>
                <w:rFonts w:asciiTheme="minorHAnsi" w:hAnsiTheme="minorHAnsi" w:cs="Arial"/>
                <w:color w:val="333333"/>
                <w:sz w:val="21"/>
                <w:szCs w:val="21"/>
              </w:rPr>
              <w:t>, vol. 46, no. 2, pp. 467–74.</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t xml:space="preserve">Choy, EHS, Hoogendijk, JE, Lecky, B, et al 2005, ‘Immunosuppressant and immunomodulatory treatment for dermatomyositis and polymyositis (Cochrane Review)’, in </w:t>
            </w:r>
            <w:r w:rsidRPr="006716C5">
              <w:rPr>
                <w:rStyle w:val="Emphasis"/>
                <w:rFonts w:asciiTheme="minorHAnsi" w:hAnsiTheme="minorHAnsi" w:cs="Arial"/>
                <w:color w:val="333333"/>
                <w:sz w:val="21"/>
                <w:szCs w:val="21"/>
              </w:rPr>
              <w:t>The Cochrane Library,</w:t>
            </w:r>
            <w:r w:rsidRPr="006716C5">
              <w:rPr>
                <w:rFonts w:asciiTheme="minorHAnsi" w:hAnsiTheme="minorHAnsi" w:cs="Arial"/>
                <w:color w:val="333333"/>
                <w:sz w:val="21"/>
                <w:szCs w:val="21"/>
              </w:rPr>
              <w:t xml:space="preserve"> Issue 3, John Wiley &amp; Sons, Ltd, Chichester, UK.</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t xml:space="preserve">Dalakas, MC 2004, ‘The use of intravenous immunoglobulin in the treatment of autoimmune neuromuscular diseases: evidence-based indications and safety profile’, </w:t>
            </w:r>
            <w:r w:rsidRPr="006716C5">
              <w:rPr>
                <w:rStyle w:val="Emphasis"/>
                <w:rFonts w:asciiTheme="minorHAnsi" w:hAnsiTheme="minorHAnsi" w:cs="Arial"/>
                <w:color w:val="333333"/>
                <w:sz w:val="21"/>
                <w:szCs w:val="21"/>
              </w:rPr>
              <w:t>Pharmacology &amp; Therapeutics</w:t>
            </w:r>
            <w:r w:rsidRPr="006716C5">
              <w:rPr>
                <w:rFonts w:asciiTheme="minorHAnsi" w:hAnsiTheme="minorHAnsi" w:cs="Arial"/>
                <w:color w:val="333333"/>
                <w:sz w:val="21"/>
                <w:szCs w:val="21"/>
              </w:rPr>
              <w:t>, vol. 102, no. 3, pp. 177–93.</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t xml:space="preserve">Dalakas, MC 2005, ‘Polymyositis, dermatomyositis, and inclusion body myositis’, in DL Kasper, E Braunwald, AS Fauci, et al (eds), </w:t>
            </w:r>
            <w:r w:rsidRPr="006716C5">
              <w:rPr>
                <w:rStyle w:val="Emphasis"/>
                <w:rFonts w:asciiTheme="minorHAnsi" w:hAnsiTheme="minorHAnsi" w:cs="Arial"/>
                <w:color w:val="333333"/>
                <w:sz w:val="21"/>
                <w:szCs w:val="21"/>
              </w:rPr>
              <w:t>Harrison’s Textbook of Medicine</w:t>
            </w:r>
            <w:r w:rsidRPr="006716C5">
              <w:rPr>
                <w:rFonts w:asciiTheme="minorHAnsi" w:hAnsiTheme="minorHAnsi" w:cs="Arial"/>
                <w:color w:val="333333"/>
                <w:sz w:val="21"/>
                <w:szCs w:val="21"/>
              </w:rPr>
              <w:t>, 16th edn, McGraw-Hill, New York, pp. 2540–45.</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t xml:space="preserve">Dalakas, MC, Illa, I, Dambrosia, JM, et al 1993, ‘A controlled trial of high-dose intravenous immune globulin infusions as treatment for dermatomyositis’, </w:t>
            </w:r>
            <w:r w:rsidRPr="006716C5">
              <w:rPr>
                <w:rStyle w:val="Emphasis"/>
                <w:rFonts w:asciiTheme="minorHAnsi" w:hAnsiTheme="minorHAnsi" w:cs="Arial"/>
                <w:color w:val="333333"/>
                <w:sz w:val="21"/>
                <w:szCs w:val="21"/>
              </w:rPr>
              <w:t>New England Journal of Medicine</w:t>
            </w:r>
            <w:r w:rsidRPr="006716C5">
              <w:rPr>
                <w:rFonts w:asciiTheme="minorHAnsi" w:hAnsiTheme="minorHAnsi" w:cs="Arial"/>
                <w:color w:val="333333"/>
                <w:sz w:val="21"/>
                <w:szCs w:val="21"/>
              </w:rPr>
              <w:t>, vol. 329, no. 27, pp. 1993–2000.</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t xml:space="preserve">Dalakas, MC, Koffman, B, Fujii, M, et al 2001, ‘A controlled study of intravenous immunoglobulin combined with prednisone in the treatment of IBM’, </w:t>
            </w:r>
            <w:r w:rsidRPr="006716C5">
              <w:rPr>
                <w:rStyle w:val="Emphasis"/>
                <w:rFonts w:asciiTheme="minorHAnsi" w:hAnsiTheme="minorHAnsi" w:cs="Arial"/>
                <w:color w:val="333333"/>
                <w:sz w:val="21"/>
                <w:szCs w:val="21"/>
              </w:rPr>
              <w:t>Neurology</w:t>
            </w:r>
            <w:r w:rsidRPr="006716C5">
              <w:rPr>
                <w:rFonts w:asciiTheme="minorHAnsi" w:hAnsiTheme="minorHAnsi" w:cs="Arial"/>
                <w:color w:val="333333"/>
                <w:sz w:val="21"/>
                <w:szCs w:val="21"/>
              </w:rPr>
              <w:t>, vol. 56, no. 3, pp. 323–7.</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t xml:space="preserve">Dalakas, MC, Sonies, B, Dambrosia, J, et al 1997, ‘Treatment of inclusion body myositis with IVIg: a double-blind, placebo-controlled study’, 7, vol. 48, no. 3, pp. </w:t>
            </w:r>
            <w:r w:rsidRPr="006716C5">
              <w:rPr>
                <w:rFonts w:asciiTheme="minorHAnsi" w:hAnsiTheme="minorHAnsi" w:cs="Arial"/>
                <w:color w:val="333333"/>
                <w:sz w:val="21"/>
                <w:szCs w:val="21"/>
              </w:rPr>
              <w:lastRenderedPageBreak/>
              <w:t>712–6.</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t>Kornberg, AJ, for the Asia–Pacific IVIg Advisory Board 2004,</w:t>
            </w:r>
            <w:r w:rsidRPr="006716C5">
              <w:rPr>
                <w:rStyle w:val="Emphasis"/>
                <w:rFonts w:asciiTheme="minorHAnsi" w:hAnsiTheme="minorHAnsi" w:cs="Arial"/>
                <w:color w:val="333333"/>
                <w:sz w:val="21"/>
                <w:szCs w:val="21"/>
              </w:rPr>
              <w:t xml:space="preserve"> Bringing consensus to the use of IVIg in neurology. Expert consensus statements on the use of IVIg in neurology</w:t>
            </w:r>
            <w:r w:rsidRPr="006716C5">
              <w:rPr>
                <w:rFonts w:asciiTheme="minorHAnsi" w:hAnsiTheme="minorHAnsi" w:cs="Arial"/>
                <w:color w:val="333333"/>
                <w:sz w:val="21"/>
                <w:szCs w:val="21"/>
              </w:rPr>
              <w:t>, 1st edn, Asia–Pacific IVIg Advisory Board, Melbourne.</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t xml:space="preserve">Walter, MC, Lochmuller, H, Toepfer, M, et al 2000, ‘High-dose immunoglobulin therapy in sporadic inclusion body myositis: a double-blind, placebo-controlled study’, </w:t>
            </w:r>
            <w:r w:rsidRPr="006716C5">
              <w:rPr>
                <w:rStyle w:val="Emphasis"/>
                <w:rFonts w:asciiTheme="minorHAnsi" w:hAnsiTheme="minorHAnsi" w:cs="Arial"/>
                <w:color w:val="333333"/>
                <w:sz w:val="21"/>
                <w:szCs w:val="21"/>
              </w:rPr>
              <w:t>Journal of Neurolology</w:t>
            </w:r>
            <w:r w:rsidRPr="006716C5">
              <w:rPr>
                <w:rFonts w:asciiTheme="minorHAnsi" w:hAnsiTheme="minorHAnsi" w:cs="Arial"/>
                <w:color w:val="333333"/>
                <w:sz w:val="21"/>
                <w:szCs w:val="21"/>
              </w:rPr>
              <w:t>, vol. 247, no. 1, pp. 22–8.</w:t>
            </w:r>
            <w:r w:rsidRPr="006716C5">
              <w:rPr>
                <w:rFonts w:asciiTheme="minorHAnsi" w:hAnsiTheme="minorHAnsi" w:cs="Arial"/>
                <w:color w:val="333333"/>
                <w:sz w:val="21"/>
                <w:szCs w:val="21"/>
              </w:rPr>
              <w:br/>
            </w:r>
            <w:r w:rsidRPr="006716C5">
              <w:rPr>
                <w:rFonts w:asciiTheme="minorHAnsi" w:hAnsiTheme="minorHAnsi" w:cs="Arial"/>
                <w:color w:val="333333"/>
                <w:sz w:val="21"/>
                <w:szCs w:val="21"/>
              </w:rPr>
              <w:br/>
              <w:t xml:space="preserve">Wiles, CM, Brown, P, Chapel, H, et al 2002, ‘Intravenous immunoglobulin in neurological disease: a specialist review’, </w:t>
            </w:r>
            <w:r w:rsidRPr="006716C5">
              <w:rPr>
                <w:rStyle w:val="Emphasis"/>
                <w:rFonts w:asciiTheme="minorHAnsi" w:hAnsiTheme="minorHAnsi" w:cs="Arial"/>
                <w:color w:val="333333"/>
                <w:sz w:val="21"/>
                <w:szCs w:val="21"/>
              </w:rPr>
              <w:t>Journal of Neurology, Neurosurgery and Psychiatry,</w:t>
            </w:r>
            <w:r w:rsidRPr="006716C5">
              <w:rPr>
                <w:rFonts w:asciiTheme="minorHAnsi" w:hAnsiTheme="minorHAnsi" w:cs="Arial"/>
                <w:color w:val="333333"/>
                <w:sz w:val="21"/>
                <w:szCs w:val="21"/>
              </w:rPr>
              <w:t xml:space="preserve"> vol. 72, no. 4, pp. 440–8.</w:t>
            </w:r>
          </w:p>
        </w:tc>
      </w:tr>
      <w:tr w:rsidR="006716C5" w:rsidRPr="00434C96" w14:paraId="6D38C3CA" w14:textId="77777777" w:rsidTr="00437A43">
        <w:tc>
          <w:tcPr>
            <w:tcW w:w="5000" w:type="pct"/>
            <w:shd w:val="clear" w:color="auto" w:fill="DBE5F1" w:themeFill="accent1" w:themeFillTint="33"/>
          </w:tcPr>
          <w:p w14:paraId="06A46EBC" w14:textId="4C6ED0C8" w:rsidR="006716C5" w:rsidRPr="00434C96" w:rsidRDefault="006716C5" w:rsidP="006716C5">
            <w:pPr>
              <w:spacing w:before="120" w:after="120"/>
              <w:jc w:val="center"/>
              <w:rPr>
                <w:rFonts w:asciiTheme="minorHAnsi" w:hAnsiTheme="minorHAnsi"/>
                <w:b/>
              </w:rPr>
            </w:pPr>
            <w:r w:rsidRPr="00434C96">
              <w:rPr>
                <w:rFonts w:asciiTheme="minorHAnsi" w:hAnsiTheme="minorHAnsi"/>
                <w:b/>
              </w:rPr>
              <w:lastRenderedPageBreak/>
              <w:t>END OF DOCUMENT</w:t>
            </w:r>
          </w:p>
        </w:tc>
      </w:tr>
    </w:tbl>
    <w:p w14:paraId="6355863E" w14:textId="77777777" w:rsidR="0067599A" w:rsidRPr="00C25D3F" w:rsidRDefault="0067599A" w:rsidP="00434C96"/>
    <w:sectPr w:rsidR="0067599A" w:rsidRPr="00C25D3F" w:rsidSect="00434C96">
      <w:type w:val="continuous"/>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47A7A" w14:textId="77777777" w:rsidR="005F588E" w:rsidRDefault="005F588E" w:rsidP="00856708">
      <w:pPr>
        <w:spacing w:after="0"/>
      </w:pPr>
      <w:r>
        <w:separator/>
      </w:r>
    </w:p>
  </w:endnote>
  <w:endnote w:type="continuationSeparator" w:id="0">
    <w:p w14:paraId="654ED734" w14:textId="77777777" w:rsidR="005F588E" w:rsidRDefault="005F588E"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altName w:val="Cambria"/>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58F49" w14:textId="77777777" w:rsidR="005F588E" w:rsidRPr="00856708" w:rsidRDefault="005F588E"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E12832">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2360D" w14:textId="77777777" w:rsidR="005F588E" w:rsidRDefault="005F588E" w:rsidP="00856708">
      <w:pPr>
        <w:spacing w:after="0"/>
      </w:pPr>
      <w:r>
        <w:separator/>
      </w:r>
    </w:p>
  </w:footnote>
  <w:footnote w:type="continuationSeparator" w:id="0">
    <w:p w14:paraId="5EB84A62" w14:textId="77777777" w:rsidR="005F588E" w:rsidRDefault="005F588E"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312A4"/>
    <w:multiLevelType w:val="hybridMultilevel"/>
    <w:tmpl w:val="C3D0B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3A7648"/>
    <w:multiLevelType w:val="hybridMultilevel"/>
    <w:tmpl w:val="ED4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2499F"/>
    <w:multiLevelType w:val="hybridMultilevel"/>
    <w:tmpl w:val="3616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882520"/>
    <w:multiLevelType w:val="hybridMultilevel"/>
    <w:tmpl w:val="E5707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B718B"/>
    <w:multiLevelType w:val="hybridMultilevel"/>
    <w:tmpl w:val="82AC8E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963238D"/>
    <w:multiLevelType w:val="hybridMultilevel"/>
    <w:tmpl w:val="093ED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41D94"/>
    <w:multiLevelType w:val="hybridMultilevel"/>
    <w:tmpl w:val="ECE6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A486B"/>
    <w:multiLevelType w:val="hybridMultilevel"/>
    <w:tmpl w:val="5B067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33AE5825"/>
    <w:multiLevelType w:val="hybridMultilevel"/>
    <w:tmpl w:val="839E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5276E"/>
    <w:multiLevelType w:val="hybridMultilevel"/>
    <w:tmpl w:val="B0BCBD02"/>
    <w:lvl w:ilvl="0" w:tplc="0409001B">
      <w:start w:val="1"/>
      <w:numFmt w:val="lowerRoman"/>
      <w:lvlText w:val="%1."/>
      <w:lvlJc w:val="right"/>
      <w:pPr>
        <w:ind w:left="2520"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6">
    <w:nsid w:val="36C55946"/>
    <w:multiLevelType w:val="hybridMultilevel"/>
    <w:tmpl w:val="EB46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1367B"/>
    <w:multiLevelType w:val="hybridMultilevel"/>
    <w:tmpl w:val="75A2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973703"/>
    <w:multiLevelType w:val="hybridMultilevel"/>
    <w:tmpl w:val="B956A236"/>
    <w:lvl w:ilvl="0" w:tplc="F70E6E9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184E95"/>
    <w:multiLevelType w:val="hybridMultilevel"/>
    <w:tmpl w:val="4D6ECAF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1843466"/>
    <w:multiLevelType w:val="hybridMultilevel"/>
    <w:tmpl w:val="827A18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52B4BEE"/>
    <w:multiLevelType w:val="hybridMultilevel"/>
    <w:tmpl w:val="82AC8E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5A31392"/>
    <w:multiLevelType w:val="hybridMultilevel"/>
    <w:tmpl w:val="DE8E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241BE8"/>
    <w:multiLevelType w:val="hybridMultilevel"/>
    <w:tmpl w:val="827A18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43A2AE0"/>
    <w:multiLevelType w:val="hybridMultilevel"/>
    <w:tmpl w:val="EB56E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E5F5ACC"/>
    <w:multiLevelType w:val="hybridMultilevel"/>
    <w:tmpl w:val="F3A6CF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8"/>
  </w:num>
  <w:num w:numId="4">
    <w:abstractNumId w:val="26"/>
  </w:num>
  <w:num w:numId="5">
    <w:abstractNumId w:val="12"/>
  </w:num>
  <w:num w:numId="6">
    <w:abstractNumId w:val="2"/>
  </w:num>
  <w:num w:numId="7">
    <w:abstractNumId w:val="1"/>
  </w:num>
  <w:num w:numId="8">
    <w:abstractNumId w:val="4"/>
  </w:num>
  <w:num w:numId="9">
    <w:abstractNumId w:val="0"/>
  </w:num>
  <w:num w:numId="10">
    <w:abstractNumId w:val="28"/>
  </w:num>
  <w:num w:numId="11">
    <w:abstractNumId w:val="23"/>
  </w:num>
  <w:num w:numId="12">
    <w:abstractNumId w:val="16"/>
  </w:num>
  <w:num w:numId="13">
    <w:abstractNumId w:val="22"/>
  </w:num>
  <w:num w:numId="14">
    <w:abstractNumId w:val="14"/>
  </w:num>
  <w:num w:numId="15">
    <w:abstractNumId w:val="11"/>
  </w:num>
  <w:num w:numId="16">
    <w:abstractNumId w:val="7"/>
  </w:num>
  <w:num w:numId="17">
    <w:abstractNumId w:val="24"/>
  </w:num>
  <w:num w:numId="18">
    <w:abstractNumId w:val="25"/>
  </w:num>
  <w:num w:numId="19">
    <w:abstractNumId w:val="9"/>
  </w:num>
  <w:num w:numId="20">
    <w:abstractNumId w:val="29"/>
  </w:num>
  <w:num w:numId="21">
    <w:abstractNumId w:val="19"/>
  </w:num>
  <w:num w:numId="22">
    <w:abstractNumId w:val="27"/>
  </w:num>
  <w:num w:numId="23">
    <w:abstractNumId w:val="3"/>
  </w:num>
  <w:num w:numId="24">
    <w:abstractNumId w:val="10"/>
  </w:num>
  <w:num w:numId="25">
    <w:abstractNumId w:val="17"/>
  </w:num>
  <w:num w:numId="26">
    <w:abstractNumId w:val="5"/>
  </w:num>
  <w:num w:numId="27">
    <w:abstractNumId w:val="21"/>
  </w:num>
  <w:num w:numId="28">
    <w:abstractNumId w:val="8"/>
  </w:num>
  <w:num w:numId="29">
    <w:abstractNumId w:val="20"/>
  </w:num>
  <w:num w:numId="30">
    <w:abstractNumId w:val="1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4E46"/>
    <w:rsid w:val="00036EDC"/>
    <w:rsid w:val="000E0203"/>
    <w:rsid w:val="00165F48"/>
    <w:rsid w:val="0017270F"/>
    <w:rsid w:val="001849B2"/>
    <w:rsid w:val="001A2460"/>
    <w:rsid w:val="00226561"/>
    <w:rsid w:val="00240825"/>
    <w:rsid w:val="002537F2"/>
    <w:rsid w:val="00275679"/>
    <w:rsid w:val="00276CEB"/>
    <w:rsid w:val="002936DD"/>
    <w:rsid w:val="00295CD3"/>
    <w:rsid w:val="00297D6D"/>
    <w:rsid w:val="002C1345"/>
    <w:rsid w:val="002F23A5"/>
    <w:rsid w:val="002F56F4"/>
    <w:rsid w:val="00305725"/>
    <w:rsid w:val="00312DD0"/>
    <w:rsid w:val="00331F28"/>
    <w:rsid w:val="00343453"/>
    <w:rsid w:val="00386621"/>
    <w:rsid w:val="003D27F1"/>
    <w:rsid w:val="00434C96"/>
    <w:rsid w:val="00437A43"/>
    <w:rsid w:val="00441CC8"/>
    <w:rsid w:val="00460325"/>
    <w:rsid w:val="00463B0C"/>
    <w:rsid w:val="004B5468"/>
    <w:rsid w:val="004D4636"/>
    <w:rsid w:val="004E4CDF"/>
    <w:rsid w:val="00523579"/>
    <w:rsid w:val="00531E6D"/>
    <w:rsid w:val="00540020"/>
    <w:rsid w:val="00552079"/>
    <w:rsid w:val="005A555C"/>
    <w:rsid w:val="005B3F22"/>
    <w:rsid w:val="005D2C3D"/>
    <w:rsid w:val="005F439C"/>
    <w:rsid w:val="005F588E"/>
    <w:rsid w:val="00603073"/>
    <w:rsid w:val="00644285"/>
    <w:rsid w:val="00657F36"/>
    <w:rsid w:val="00670D34"/>
    <w:rsid w:val="006716C5"/>
    <w:rsid w:val="00673DA2"/>
    <w:rsid w:val="0067599A"/>
    <w:rsid w:val="00686D26"/>
    <w:rsid w:val="006A4A3F"/>
    <w:rsid w:val="006A687A"/>
    <w:rsid w:val="00704E07"/>
    <w:rsid w:val="0072340A"/>
    <w:rsid w:val="0075247A"/>
    <w:rsid w:val="007B2100"/>
    <w:rsid w:val="007D4AA1"/>
    <w:rsid w:val="007E60EC"/>
    <w:rsid w:val="00814117"/>
    <w:rsid w:val="00835282"/>
    <w:rsid w:val="00856708"/>
    <w:rsid w:val="00870295"/>
    <w:rsid w:val="00893E0A"/>
    <w:rsid w:val="00896161"/>
    <w:rsid w:val="008F16A3"/>
    <w:rsid w:val="00951B85"/>
    <w:rsid w:val="009764B5"/>
    <w:rsid w:val="009944C2"/>
    <w:rsid w:val="009B5144"/>
    <w:rsid w:val="009D701E"/>
    <w:rsid w:val="009E38CC"/>
    <w:rsid w:val="00AA7314"/>
    <w:rsid w:val="00AD7BB8"/>
    <w:rsid w:val="00B3548E"/>
    <w:rsid w:val="00B3726E"/>
    <w:rsid w:val="00C01151"/>
    <w:rsid w:val="00C21A3C"/>
    <w:rsid w:val="00C25D3F"/>
    <w:rsid w:val="00C322C1"/>
    <w:rsid w:val="00C34D27"/>
    <w:rsid w:val="00C762F4"/>
    <w:rsid w:val="00CC720F"/>
    <w:rsid w:val="00CD5856"/>
    <w:rsid w:val="00CF3B84"/>
    <w:rsid w:val="00D24193"/>
    <w:rsid w:val="00D37096"/>
    <w:rsid w:val="00D80049"/>
    <w:rsid w:val="00DB1925"/>
    <w:rsid w:val="00DD166F"/>
    <w:rsid w:val="00E067F9"/>
    <w:rsid w:val="00E12832"/>
    <w:rsid w:val="00E161A8"/>
    <w:rsid w:val="00EB02B2"/>
    <w:rsid w:val="00EB78FB"/>
    <w:rsid w:val="00ED79DF"/>
    <w:rsid w:val="00EE62F6"/>
    <w:rsid w:val="00FB22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8A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character" w:styleId="Hyperlink">
    <w:name w:val="Hyperlink"/>
    <w:basedOn w:val="DefaultParagraphFont"/>
    <w:uiPriority w:val="99"/>
    <w:semiHidden/>
    <w:unhideWhenUsed/>
    <w:rsid w:val="00434C96"/>
    <w:rPr>
      <w:color w:val="00335E"/>
      <w:u w:val="single"/>
    </w:rPr>
  </w:style>
  <w:style w:type="paragraph" w:styleId="NormalWeb">
    <w:name w:val="Normal (Web)"/>
    <w:basedOn w:val="Normal"/>
    <w:uiPriority w:val="99"/>
    <w:unhideWhenUsed/>
    <w:rsid w:val="00434C96"/>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34C96"/>
    <w:rPr>
      <w:i/>
      <w:iCs/>
    </w:rPr>
  </w:style>
  <w:style w:type="character" w:customStyle="1" w:styleId="ListParagraphChar">
    <w:name w:val="List Paragraph Char"/>
    <w:link w:val="ListParagraph"/>
    <w:uiPriority w:val="34"/>
    <w:rsid w:val="009D701E"/>
    <w:rPr>
      <w:rFonts w:ascii="Calibri" w:eastAsia="Dotum" w:hAnsi="Calibri" w:cs="Calibri"/>
    </w:rPr>
  </w:style>
  <w:style w:type="character" w:styleId="CommentReference">
    <w:name w:val="annotation reference"/>
    <w:basedOn w:val="DefaultParagraphFont"/>
    <w:uiPriority w:val="99"/>
    <w:semiHidden/>
    <w:unhideWhenUsed/>
    <w:rsid w:val="002F56F4"/>
    <w:rPr>
      <w:sz w:val="18"/>
      <w:szCs w:val="18"/>
    </w:rPr>
  </w:style>
  <w:style w:type="paragraph" w:styleId="CommentText">
    <w:name w:val="annotation text"/>
    <w:basedOn w:val="Normal"/>
    <w:link w:val="CommentTextChar"/>
    <w:uiPriority w:val="99"/>
    <w:semiHidden/>
    <w:unhideWhenUsed/>
    <w:rsid w:val="002F56F4"/>
    <w:rPr>
      <w:sz w:val="24"/>
      <w:szCs w:val="24"/>
    </w:rPr>
  </w:style>
  <w:style w:type="character" w:customStyle="1" w:styleId="CommentTextChar">
    <w:name w:val="Comment Text Char"/>
    <w:basedOn w:val="DefaultParagraphFont"/>
    <w:link w:val="CommentText"/>
    <w:uiPriority w:val="99"/>
    <w:semiHidden/>
    <w:rsid w:val="002F56F4"/>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2F56F4"/>
    <w:rPr>
      <w:b/>
      <w:bCs/>
      <w:sz w:val="20"/>
      <w:szCs w:val="20"/>
    </w:rPr>
  </w:style>
  <w:style w:type="character" w:customStyle="1" w:styleId="CommentSubjectChar">
    <w:name w:val="Comment Subject Char"/>
    <w:basedOn w:val="CommentTextChar"/>
    <w:link w:val="CommentSubject"/>
    <w:uiPriority w:val="99"/>
    <w:semiHidden/>
    <w:rsid w:val="002F56F4"/>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character" w:styleId="Hyperlink">
    <w:name w:val="Hyperlink"/>
    <w:basedOn w:val="DefaultParagraphFont"/>
    <w:uiPriority w:val="99"/>
    <w:semiHidden/>
    <w:unhideWhenUsed/>
    <w:rsid w:val="00434C96"/>
    <w:rPr>
      <w:color w:val="00335E"/>
      <w:u w:val="single"/>
    </w:rPr>
  </w:style>
  <w:style w:type="paragraph" w:styleId="NormalWeb">
    <w:name w:val="Normal (Web)"/>
    <w:basedOn w:val="Normal"/>
    <w:uiPriority w:val="99"/>
    <w:unhideWhenUsed/>
    <w:rsid w:val="00434C96"/>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34C96"/>
    <w:rPr>
      <w:i/>
      <w:iCs/>
    </w:rPr>
  </w:style>
  <w:style w:type="character" w:customStyle="1" w:styleId="ListParagraphChar">
    <w:name w:val="List Paragraph Char"/>
    <w:link w:val="ListParagraph"/>
    <w:uiPriority w:val="34"/>
    <w:rsid w:val="009D701E"/>
    <w:rPr>
      <w:rFonts w:ascii="Calibri" w:eastAsia="Dotum" w:hAnsi="Calibri" w:cs="Calibri"/>
    </w:rPr>
  </w:style>
  <w:style w:type="character" w:styleId="CommentReference">
    <w:name w:val="annotation reference"/>
    <w:basedOn w:val="DefaultParagraphFont"/>
    <w:uiPriority w:val="99"/>
    <w:semiHidden/>
    <w:unhideWhenUsed/>
    <w:rsid w:val="002F56F4"/>
    <w:rPr>
      <w:sz w:val="18"/>
      <w:szCs w:val="18"/>
    </w:rPr>
  </w:style>
  <w:style w:type="paragraph" w:styleId="CommentText">
    <w:name w:val="annotation text"/>
    <w:basedOn w:val="Normal"/>
    <w:link w:val="CommentTextChar"/>
    <w:uiPriority w:val="99"/>
    <w:semiHidden/>
    <w:unhideWhenUsed/>
    <w:rsid w:val="002F56F4"/>
    <w:rPr>
      <w:sz w:val="24"/>
      <w:szCs w:val="24"/>
    </w:rPr>
  </w:style>
  <w:style w:type="character" w:customStyle="1" w:styleId="CommentTextChar">
    <w:name w:val="Comment Text Char"/>
    <w:basedOn w:val="DefaultParagraphFont"/>
    <w:link w:val="CommentText"/>
    <w:uiPriority w:val="99"/>
    <w:semiHidden/>
    <w:rsid w:val="002F56F4"/>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2F56F4"/>
    <w:rPr>
      <w:b/>
      <w:bCs/>
      <w:sz w:val="20"/>
      <w:szCs w:val="20"/>
    </w:rPr>
  </w:style>
  <w:style w:type="character" w:customStyle="1" w:styleId="CommentSubjectChar">
    <w:name w:val="Comment Subject Char"/>
    <w:basedOn w:val="CommentTextChar"/>
    <w:link w:val="CommentSubject"/>
    <w:uiPriority w:val="99"/>
    <w:semiHidden/>
    <w:rsid w:val="002F56F4"/>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13796">
      <w:bodyDiv w:val="1"/>
      <w:marLeft w:val="0"/>
      <w:marRight w:val="0"/>
      <w:marTop w:val="0"/>
      <w:marBottom w:val="0"/>
      <w:divBdr>
        <w:top w:val="none" w:sz="0" w:space="0" w:color="auto"/>
        <w:left w:val="none" w:sz="0" w:space="0" w:color="auto"/>
        <w:bottom w:val="none" w:sz="0" w:space="0" w:color="auto"/>
        <w:right w:val="none" w:sz="0" w:space="0" w:color="auto"/>
      </w:divBdr>
      <w:divsChild>
        <w:div w:id="808322031">
          <w:marLeft w:val="0"/>
          <w:marRight w:val="0"/>
          <w:marTop w:val="0"/>
          <w:marBottom w:val="0"/>
          <w:divBdr>
            <w:top w:val="none" w:sz="0" w:space="0" w:color="auto"/>
            <w:left w:val="none" w:sz="0" w:space="0" w:color="auto"/>
            <w:bottom w:val="none" w:sz="0" w:space="0" w:color="auto"/>
            <w:right w:val="none" w:sz="0" w:space="0" w:color="auto"/>
          </w:divBdr>
          <w:divsChild>
            <w:div w:id="1175802136">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abn.org/abn/userfiles/file/IVIg-guidelines-final-July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3055</Words>
  <Characters>17903</Characters>
  <Application>Microsoft Office Word</Application>
  <DocSecurity>4</DocSecurity>
  <Lines>725</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Petra</cp:lastModifiedBy>
  <cp:revision>2</cp:revision>
  <dcterms:created xsi:type="dcterms:W3CDTF">2015-11-16T00:39:00Z</dcterms:created>
  <dcterms:modified xsi:type="dcterms:W3CDTF">2015-11-16T00:39:00Z</dcterms:modified>
</cp:coreProperties>
</file>