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5" w:rsidRDefault="00391235" w:rsidP="006E22B9"/>
    <w:p w:rsidR="00F029DE" w:rsidRDefault="00F029DE" w:rsidP="006E22B9">
      <w:bookmarkStart w:id="0" w:name="_Toc275414998"/>
      <w:bookmarkEnd w:id="0"/>
    </w:p>
    <w:p w:rsidR="00B3726E" w:rsidRDefault="00F029DE" w:rsidP="00F029DE">
      <w:pPr>
        <w:pStyle w:val="Heading2"/>
      </w:pPr>
      <w:r>
        <w:t>Tender Outcomes - Imported Plasma and Recombinant Products – Patients with Bleeding Disorders</w:t>
      </w:r>
    </w:p>
    <w:p w:rsidR="00F029DE" w:rsidRDefault="00F029DE" w:rsidP="00F029DE"/>
    <w:p w:rsidR="00F029DE" w:rsidRDefault="00F029DE" w:rsidP="00F029DE">
      <w:pPr>
        <w:pStyle w:val="Heading3"/>
      </w:pPr>
      <w:r>
        <w:t>Information for Health Professionals</w:t>
      </w:r>
    </w:p>
    <w:p w:rsidR="00ED6759" w:rsidRPr="00162CD6" w:rsidRDefault="00ED6759" w:rsidP="00ED6759">
      <w:r w:rsidRPr="00162CD6">
        <w:t>Th</w:t>
      </w:r>
      <w:r w:rsidR="004E19E4">
        <w:t>e National Blood Authority (NBA), on behalf of Australian governments,</w:t>
      </w:r>
      <w:r w:rsidRPr="00162CD6">
        <w:t xml:space="preserve"> has successfully concluded the tender process for the supply of recombinant Factor VIII (r</w:t>
      </w:r>
      <w:r w:rsidR="00262CC6">
        <w:t>F</w:t>
      </w:r>
      <w:r w:rsidRPr="00162CD6">
        <w:t xml:space="preserve">VIII) and IX (rFIX) products, to replace the contracts for these products which expire on 30 June 2014. </w:t>
      </w:r>
    </w:p>
    <w:p w:rsidR="00F029DE" w:rsidRDefault="00F029DE" w:rsidP="00F029DE">
      <w:r>
        <w:t>Patients will continue to have access to these products free of charge under the national blood arrangements.</w:t>
      </w:r>
    </w:p>
    <w:p w:rsidR="00A75F6E" w:rsidRDefault="00A75F6E" w:rsidP="00F029DE">
      <w:r>
        <w:t>As a result of this process the NBA has obtained significantly improved prices, while continuing to ensure supply of high quality rFVIII and rFIX products from multiple suppliers together with a range of supplier service obligations.</w:t>
      </w:r>
    </w:p>
    <w:p w:rsidR="00F029DE" w:rsidRDefault="00F029DE" w:rsidP="00F029DE">
      <w:r>
        <w:t xml:space="preserve">The </w:t>
      </w:r>
      <w:r w:rsidR="00A75F6E">
        <w:t>products available under the new arrangements are</w:t>
      </w:r>
      <w:r>
        <w:t xml:space="preserve">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552"/>
        <w:gridCol w:w="2211"/>
      </w:tblGrid>
      <w:tr w:rsidR="00935809" w:rsidRPr="005A02EE" w:rsidTr="00935809">
        <w:tc>
          <w:tcPr>
            <w:tcW w:w="3369" w:type="dxa"/>
          </w:tcPr>
          <w:p w:rsidR="00935809" w:rsidRPr="005A02EE" w:rsidRDefault="00935809" w:rsidP="009358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Product</w:t>
            </w:r>
          </w:p>
        </w:tc>
        <w:tc>
          <w:tcPr>
            <w:tcW w:w="1417" w:type="dxa"/>
          </w:tcPr>
          <w:p w:rsidR="00935809" w:rsidRPr="005A02EE" w:rsidRDefault="00935809" w:rsidP="009358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Supplier</w:t>
            </w:r>
          </w:p>
        </w:tc>
        <w:tc>
          <w:tcPr>
            <w:tcW w:w="2552" w:type="dxa"/>
          </w:tcPr>
          <w:p w:rsidR="00935809" w:rsidRPr="005A02EE" w:rsidRDefault="00935809" w:rsidP="0093580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Vial sizes available</w:t>
            </w:r>
            <w:r>
              <w:rPr>
                <w:i/>
              </w:rPr>
              <w:br/>
              <w:t>(international units)</w:t>
            </w:r>
          </w:p>
        </w:tc>
        <w:tc>
          <w:tcPr>
            <w:tcW w:w="2211" w:type="dxa"/>
          </w:tcPr>
          <w:p w:rsidR="00935809" w:rsidRPr="005A02EE" w:rsidRDefault="00935809" w:rsidP="00C9690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Price per IU</w:t>
            </w:r>
            <w:r>
              <w:rPr>
                <w:i/>
              </w:rPr>
              <w:br/>
              <w:t xml:space="preserve">($A, GST </w:t>
            </w:r>
            <w:r w:rsidR="00C96901">
              <w:rPr>
                <w:i/>
              </w:rPr>
              <w:t>inclusive</w:t>
            </w:r>
            <w:r w:rsidR="005221D3">
              <w:rPr>
                <w:i/>
              </w:rPr>
              <w:t>*</w:t>
            </w:r>
            <w:r>
              <w:rPr>
                <w:i/>
              </w:rPr>
              <w:t>)</w:t>
            </w:r>
          </w:p>
        </w:tc>
      </w:tr>
      <w:tr w:rsidR="00935809" w:rsidTr="00935809">
        <w:tc>
          <w:tcPr>
            <w:tcW w:w="9549" w:type="dxa"/>
            <w:gridSpan w:val="4"/>
            <w:shd w:val="clear" w:color="auto" w:fill="D9D9D9" w:themeFill="background1" w:themeFillShade="D9"/>
          </w:tcPr>
          <w:p w:rsidR="00935809" w:rsidRPr="00A05C58" w:rsidRDefault="00935809" w:rsidP="00935809">
            <w:pPr>
              <w:spacing w:before="60" w:after="60"/>
            </w:pPr>
            <w:r w:rsidRPr="00A05C58">
              <w:t>Recombinant factor VIII</w:t>
            </w:r>
          </w:p>
        </w:tc>
      </w:tr>
      <w:tr w:rsidR="00935809" w:rsidTr="00935809">
        <w:tc>
          <w:tcPr>
            <w:tcW w:w="3369" w:type="dxa"/>
          </w:tcPr>
          <w:p w:rsidR="00935809" w:rsidRPr="005A02EE" w:rsidRDefault="00935809" w:rsidP="00935809">
            <w:pPr>
              <w:spacing w:before="60" w:after="60"/>
              <w:jc w:val="center"/>
              <w:rPr>
                <w:b/>
                <w:i/>
              </w:rPr>
            </w:pPr>
            <w:r w:rsidRPr="005A02EE">
              <w:rPr>
                <w:b/>
                <w:i/>
              </w:rPr>
              <w:t>National preferred</w:t>
            </w:r>
            <w:r>
              <w:rPr>
                <w:b/>
                <w:i/>
              </w:rPr>
              <w:t xml:space="preserve"> rFVIII</w:t>
            </w:r>
            <w:r w:rsidRPr="005A02EE">
              <w:rPr>
                <w:b/>
                <w:i/>
              </w:rPr>
              <w:t xml:space="preserve"> product</w:t>
            </w:r>
          </w:p>
          <w:p w:rsidR="00935809" w:rsidRPr="005A02EE" w:rsidRDefault="00C96901" w:rsidP="00935809">
            <w:pPr>
              <w:spacing w:before="60" w:after="60"/>
              <w:jc w:val="center"/>
            </w:pPr>
            <w:r>
              <w:t>ADVATE</w:t>
            </w:r>
          </w:p>
        </w:tc>
        <w:tc>
          <w:tcPr>
            <w:tcW w:w="1417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Baxter Healthcare</w:t>
            </w:r>
          </w:p>
        </w:tc>
        <w:tc>
          <w:tcPr>
            <w:tcW w:w="2552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250IU, 500IU, 1000IU, 1500IU, 2000IU, 3000IU</w:t>
            </w:r>
          </w:p>
        </w:tc>
        <w:tc>
          <w:tcPr>
            <w:tcW w:w="2211" w:type="dxa"/>
          </w:tcPr>
          <w:p w:rsidR="00935809" w:rsidRDefault="00613D45" w:rsidP="00935809">
            <w:pPr>
              <w:spacing w:before="60" w:after="60"/>
              <w:jc w:val="center"/>
            </w:pPr>
            <w:r>
              <w:t>$0.33</w:t>
            </w:r>
          </w:p>
        </w:tc>
      </w:tr>
      <w:tr w:rsidR="00935809" w:rsidTr="00935809">
        <w:tc>
          <w:tcPr>
            <w:tcW w:w="3369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Xyntha</w:t>
            </w:r>
          </w:p>
        </w:tc>
        <w:tc>
          <w:tcPr>
            <w:tcW w:w="1417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Pfizer Australia</w:t>
            </w:r>
          </w:p>
        </w:tc>
        <w:tc>
          <w:tcPr>
            <w:tcW w:w="2552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250IU, 500IU, 1000IU, 2000IU, 3000IU</w:t>
            </w:r>
          </w:p>
        </w:tc>
        <w:tc>
          <w:tcPr>
            <w:tcW w:w="2211" w:type="dxa"/>
          </w:tcPr>
          <w:p w:rsidR="00935809" w:rsidRDefault="006833F2" w:rsidP="00935809">
            <w:pPr>
              <w:spacing w:before="60" w:after="60"/>
              <w:jc w:val="center"/>
            </w:pPr>
            <w:r>
              <w:t>$0.45</w:t>
            </w:r>
          </w:p>
        </w:tc>
      </w:tr>
      <w:tr w:rsidR="004413D9" w:rsidTr="00935809">
        <w:tc>
          <w:tcPr>
            <w:tcW w:w="3369" w:type="dxa"/>
          </w:tcPr>
          <w:p w:rsidR="004413D9" w:rsidRDefault="004413D9" w:rsidP="00935809">
            <w:pPr>
              <w:spacing w:before="60" w:after="60"/>
              <w:jc w:val="center"/>
            </w:pPr>
            <w:proofErr w:type="spellStart"/>
            <w:r>
              <w:t>Kogenate</w:t>
            </w:r>
            <w:proofErr w:type="spellEnd"/>
            <w:r>
              <w:t xml:space="preserve"> FS</w:t>
            </w:r>
            <w:r w:rsidR="005221D3">
              <w:t>**</w:t>
            </w:r>
          </w:p>
          <w:p w:rsidR="00A71A1E" w:rsidRPr="00A71A1E" w:rsidRDefault="00A71A1E" w:rsidP="0093580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A71A1E">
              <w:rPr>
                <w:i/>
                <w:sz w:val="20"/>
                <w:szCs w:val="20"/>
              </w:rPr>
              <w:t>Not available after a transition period</w:t>
            </w:r>
          </w:p>
        </w:tc>
        <w:tc>
          <w:tcPr>
            <w:tcW w:w="1417" w:type="dxa"/>
          </w:tcPr>
          <w:p w:rsidR="004413D9" w:rsidRDefault="004413D9" w:rsidP="00935809">
            <w:pPr>
              <w:spacing w:before="60" w:after="60"/>
              <w:jc w:val="center"/>
            </w:pPr>
            <w:r>
              <w:t>Bayer Healthcare</w:t>
            </w:r>
          </w:p>
        </w:tc>
        <w:tc>
          <w:tcPr>
            <w:tcW w:w="2552" w:type="dxa"/>
          </w:tcPr>
          <w:p w:rsidR="004413D9" w:rsidRDefault="004413D9" w:rsidP="00935809">
            <w:pPr>
              <w:spacing w:before="60" w:after="60"/>
              <w:jc w:val="center"/>
            </w:pPr>
            <w:r>
              <w:t>250IU, 500IU, 1000IU, 2000IU, 3000IU</w:t>
            </w:r>
          </w:p>
        </w:tc>
        <w:tc>
          <w:tcPr>
            <w:tcW w:w="2211" w:type="dxa"/>
          </w:tcPr>
          <w:p w:rsidR="004413D9" w:rsidRDefault="006833F2" w:rsidP="00935809">
            <w:pPr>
              <w:spacing w:before="60" w:after="60"/>
              <w:jc w:val="center"/>
            </w:pPr>
            <w:r>
              <w:t>$0.65</w:t>
            </w:r>
          </w:p>
        </w:tc>
      </w:tr>
      <w:tr w:rsidR="00935809" w:rsidTr="00935809">
        <w:tc>
          <w:tcPr>
            <w:tcW w:w="9549" w:type="dxa"/>
            <w:gridSpan w:val="4"/>
            <w:shd w:val="clear" w:color="auto" w:fill="D9D9D9" w:themeFill="background1" w:themeFillShade="D9"/>
          </w:tcPr>
          <w:p w:rsidR="00935809" w:rsidRPr="00A05C58" w:rsidRDefault="00935809" w:rsidP="00935809">
            <w:pPr>
              <w:spacing w:before="60" w:after="60"/>
            </w:pPr>
            <w:r w:rsidRPr="00A05C58">
              <w:t>Recombinant factor IX</w:t>
            </w:r>
          </w:p>
        </w:tc>
      </w:tr>
      <w:tr w:rsidR="00935809" w:rsidTr="00935809">
        <w:tc>
          <w:tcPr>
            <w:tcW w:w="3369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BeneFIX</w:t>
            </w:r>
          </w:p>
        </w:tc>
        <w:tc>
          <w:tcPr>
            <w:tcW w:w="1417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Pfizer Australia</w:t>
            </w:r>
          </w:p>
        </w:tc>
        <w:tc>
          <w:tcPr>
            <w:tcW w:w="2552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250IU, 500IU, 1000IU, 2000IU, 3000IU</w:t>
            </w:r>
          </w:p>
        </w:tc>
        <w:tc>
          <w:tcPr>
            <w:tcW w:w="2211" w:type="dxa"/>
          </w:tcPr>
          <w:p w:rsidR="00935809" w:rsidRDefault="006833F2" w:rsidP="00935809">
            <w:pPr>
              <w:spacing w:before="60" w:after="60"/>
              <w:jc w:val="center"/>
            </w:pPr>
            <w:r>
              <w:t>$1.06</w:t>
            </w:r>
          </w:p>
        </w:tc>
      </w:tr>
      <w:tr w:rsidR="00935809" w:rsidTr="00935809">
        <w:tc>
          <w:tcPr>
            <w:tcW w:w="3369" w:type="dxa"/>
          </w:tcPr>
          <w:p w:rsidR="00935809" w:rsidRDefault="00C96901" w:rsidP="00935809">
            <w:pPr>
              <w:spacing w:before="60" w:after="60"/>
              <w:jc w:val="center"/>
            </w:pPr>
            <w:r>
              <w:t>RIXUBIS</w:t>
            </w:r>
            <w:r w:rsidR="00935809">
              <w:t>*</w:t>
            </w:r>
            <w:r w:rsidR="00FF0CEB">
              <w:t>*</w:t>
            </w:r>
            <w:r w:rsidR="005221D3">
              <w:t>*</w:t>
            </w:r>
          </w:p>
        </w:tc>
        <w:tc>
          <w:tcPr>
            <w:tcW w:w="1417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Baxter Healthcare</w:t>
            </w:r>
          </w:p>
        </w:tc>
        <w:tc>
          <w:tcPr>
            <w:tcW w:w="2552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250IU, 500IU, 1000IU, 2000IU, 3000IU</w:t>
            </w:r>
          </w:p>
        </w:tc>
        <w:tc>
          <w:tcPr>
            <w:tcW w:w="2211" w:type="dxa"/>
          </w:tcPr>
          <w:p w:rsidR="00935809" w:rsidRDefault="00935809" w:rsidP="00935809">
            <w:pPr>
              <w:spacing w:before="60" w:after="60"/>
              <w:jc w:val="center"/>
            </w:pPr>
            <w:r>
              <w:t>$0</w:t>
            </w:r>
            <w:r w:rsidR="005221D3">
              <w:t>.86</w:t>
            </w:r>
          </w:p>
        </w:tc>
      </w:tr>
    </w:tbl>
    <w:p w:rsidR="005221D3" w:rsidRPr="005221D3" w:rsidRDefault="005221D3" w:rsidP="005221D3">
      <w:pPr>
        <w:rPr>
          <w:sz w:val="18"/>
          <w:szCs w:val="18"/>
        </w:rPr>
      </w:pPr>
      <w:r w:rsidRPr="005221D3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5221D3">
        <w:rPr>
          <w:sz w:val="18"/>
          <w:szCs w:val="18"/>
        </w:rPr>
        <w:t>Prices rounded to two decimal places</w:t>
      </w:r>
    </w:p>
    <w:p w:rsidR="00FF0CEB" w:rsidRDefault="00FF0CEB" w:rsidP="0093580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5221D3">
        <w:rPr>
          <w:sz w:val="18"/>
          <w:szCs w:val="18"/>
        </w:rPr>
        <w:t>*</w:t>
      </w:r>
      <w:r w:rsidRPr="00FF0CEB">
        <w:rPr>
          <w:sz w:val="18"/>
          <w:szCs w:val="18"/>
        </w:rPr>
        <w:t xml:space="preserve"> </w:t>
      </w:r>
      <w:r w:rsidRPr="00C150D2">
        <w:rPr>
          <w:sz w:val="18"/>
          <w:szCs w:val="18"/>
        </w:rPr>
        <w:t>For patients on active immune tolerance therapy using Kogenate FS as at the time of the tender announcement, exceptional arrangements will be available for continuation of this product for a longer period where this is clinically necessary.</w:t>
      </w:r>
    </w:p>
    <w:p w:rsidR="00935809" w:rsidRPr="00B21679" w:rsidRDefault="00935809" w:rsidP="00935809">
      <w:pPr>
        <w:rPr>
          <w:sz w:val="18"/>
          <w:szCs w:val="18"/>
        </w:rPr>
      </w:pPr>
      <w:r w:rsidRPr="00B21679">
        <w:rPr>
          <w:sz w:val="18"/>
          <w:szCs w:val="18"/>
        </w:rPr>
        <w:t>*</w:t>
      </w:r>
      <w:r w:rsidR="00FF0CEB">
        <w:rPr>
          <w:sz w:val="18"/>
          <w:szCs w:val="18"/>
        </w:rPr>
        <w:t>*</w:t>
      </w:r>
      <w:r w:rsidR="005221D3">
        <w:rPr>
          <w:sz w:val="18"/>
          <w:szCs w:val="18"/>
        </w:rPr>
        <w:t>*</w:t>
      </w:r>
      <w:r>
        <w:rPr>
          <w:sz w:val="18"/>
          <w:szCs w:val="18"/>
        </w:rPr>
        <w:t xml:space="preserve">At the time of implementation of the new arrangements from 1 July 2014, the registered indications for </w:t>
      </w:r>
      <w:r w:rsidR="00613D45">
        <w:rPr>
          <w:sz w:val="18"/>
          <w:szCs w:val="18"/>
        </w:rPr>
        <w:t>RIXUBIS</w:t>
      </w:r>
      <w:r>
        <w:rPr>
          <w:sz w:val="18"/>
          <w:szCs w:val="18"/>
        </w:rPr>
        <w:t xml:space="preserve"> will include routine prophylaxis, treatment and prevention of bleeding episodes, and perioperative management in adults</w:t>
      </w:r>
      <w:r w:rsidR="00C96901">
        <w:rPr>
          <w:sz w:val="18"/>
          <w:szCs w:val="18"/>
        </w:rPr>
        <w:t xml:space="preserve"> (18</w:t>
      </w:r>
      <w:r w:rsidR="00087970">
        <w:rPr>
          <w:sz w:val="18"/>
          <w:szCs w:val="18"/>
        </w:rPr>
        <w:t xml:space="preserve"> years and older)</w:t>
      </w:r>
      <w:r>
        <w:rPr>
          <w:sz w:val="18"/>
          <w:szCs w:val="18"/>
        </w:rPr>
        <w:t xml:space="preserve"> in haemophilia B, but will not include registered indications for paediatric patients.</w:t>
      </w:r>
    </w:p>
    <w:p w:rsidR="003F318F" w:rsidRDefault="003F318F" w:rsidP="003F318F">
      <w:r w:rsidRPr="00BC1D22">
        <w:t xml:space="preserve">From 1 July 2014 the </w:t>
      </w:r>
      <w:proofErr w:type="spellStart"/>
      <w:r w:rsidRPr="00BC1D22">
        <w:t>rFVIII</w:t>
      </w:r>
      <w:proofErr w:type="spellEnd"/>
      <w:r w:rsidRPr="00BC1D22">
        <w:t xml:space="preserve"> products provided under the national supply arrangements to treat Haemophilia A will be the Baxter product ADVATE and the Pfizer product </w:t>
      </w:r>
      <w:proofErr w:type="spellStart"/>
      <w:r w:rsidRPr="00BC1D22">
        <w:t>Xyntha</w:t>
      </w:r>
      <w:proofErr w:type="spellEnd"/>
      <w:r>
        <w:t xml:space="preserve">. </w:t>
      </w:r>
      <w:r w:rsidRPr="00411D5A">
        <w:t xml:space="preserve"> The new supply arrangements </w:t>
      </w:r>
      <w:r>
        <w:t>will apply for up to five years.</w:t>
      </w:r>
    </w:p>
    <w:p w:rsidR="00F830DC" w:rsidRDefault="00F830DC" w:rsidP="00F830DC">
      <w:r>
        <w:lastRenderedPageBreak/>
        <w:t>A</w:t>
      </w:r>
      <w:r w:rsidR="00C96901">
        <w:t>DVATE</w:t>
      </w:r>
      <w:r>
        <w:t xml:space="preserve"> was previously available under the national blood arrangements in the Australian market and Xyntha is already used by many Australian patients.  </w:t>
      </w:r>
    </w:p>
    <w:p w:rsidR="00F50DDA" w:rsidRDefault="00F830DC" w:rsidP="00F830DC">
      <w:r>
        <w:t>For the first time in the Australian market there will be two imported recombinant products for Haemophilia B</w:t>
      </w:r>
      <w:r w:rsidR="00112587">
        <w:t xml:space="preserve"> patients, the Pfizer product BeneFIX</w:t>
      </w:r>
      <w:r>
        <w:t xml:space="preserve"> and</w:t>
      </w:r>
      <w:r w:rsidR="00112587">
        <w:t xml:space="preserve"> the Baxter product RIXUBIS.</w:t>
      </w:r>
      <w:r>
        <w:t xml:space="preserve">  </w:t>
      </w:r>
      <w:r w:rsidR="00F50DDA">
        <w:t xml:space="preserve">BeneFIX is already used by Australian patients whereas </w:t>
      </w:r>
      <w:r>
        <w:t xml:space="preserve">RIXUBIS is a new entrant to the Australian </w:t>
      </w:r>
      <w:r w:rsidR="00F50DDA">
        <w:t>market.</w:t>
      </w:r>
    </w:p>
    <w:p w:rsidR="00F830DC" w:rsidRDefault="00F830DC" w:rsidP="00F830DC">
      <w:pPr>
        <w:rPr>
          <w:lang w:val="en-GB"/>
        </w:rPr>
      </w:pPr>
      <w:r w:rsidRPr="006F0B42">
        <w:t>These products</w:t>
      </w:r>
      <w:r>
        <w:t xml:space="preserve"> were chosen as a result of an extensive tender </w:t>
      </w:r>
      <w:r w:rsidRPr="006F0B42">
        <w:t>process</w:t>
      </w:r>
      <w:r>
        <w:t xml:space="preserve"> which took into account</w:t>
      </w:r>
      <w:r w:rsidRPr="006F0B42">
        <w:t xml:space="preserve"> </w:t>
      </w:r>
      <w:r>
        <w:t xml:space="preserve">clinical and patient requirements and appropriate high-level </w:t>
      </w:r>
      <w:r w:rsidRPr="006F0B42">
        <w:t>supply security and other support arrangements</w:t>
      </w:r>
      <w:r>
        <w:t xml:space="preserve"> that </w:t>
      </w:r>
      <w:r w:rsidRPr="006F0B42">
        <w:rPr>
          <w:lang w:val="en-GB"/>
        </w:rPr>
        <w:t>suppliers will be required to provide.</w:t>
      </w:r>
    </w:p>
    <w:p w:rsidR="00585AC7" w:rsidRDefault="00585AC7" w:rsidP="00585AC7">
      <w:r>
        <w:t>The new supply arrangements w</w:t>
      </w:r>
      <w:r w:rsidR="00AE7AD0">
        <w:t>ill commence from 1 July 2014.</w:t>
      </w:r>
      <w:r>
        <w:t xml:space="preserve">  The transition arrangements from the current contracts are described in more detail below.</w:t>
      </w:r>
    </w:p>
    <w:p w:rsidR="00935809" w:rsidRDefault="00585AC7" w:rsidP="00935809">
      <w:r>
        <w:t>Please note f</w:t>
      </w:r>
      <w:r w:rsidR="00935809">
        <w:t>or patients on active immune tolerance therapy using Kogenate FS</w:t>
      </w:r>
      <w:r w:rsidR="00A71A1E">
        <w:t>,</w:t>
      </w:r>
      <w:r w:rsidR="00935809">
        <w:t xml:space="preserve"> exceptional arrangements will be available for continuation of this product for a longer period where this is clinically necessary.</w:t>
      </w:r>
    </w:p>
    <w:p w:rsidR="00E1151E" w:rsidRDefault="00E1151E" w:rsidP="00E1151E">
      <w:pPr>
        <w:pStyle w:val="Heading3"/>
        <w:rPr>
          <w:rFonts w:ascii="Calibri" w:hAnsi="Calibri" w:cs="Calibri"/>
          <w:sz w:val="22"/>
          <w:szCs w:val="22"/>
          <w:lang w:val="en-GB"/>
        </w:rPr>
      </w:pPr>
      <w:r>
        <w:rPr>
          <w:lang w:val="en-GB"/>
        </w:rPr>
        <w:t>National Preferred Product Arrangement</w:t>
      </w:r>
    </w:p>
    <w:p w:rsidR="00BC0756" w:rsidRPr="00411D5A" w:rsidRDefault="00112587" w:rsidP="00BC0756">
      <w:r>
        <w:t xml:space="preserve">To maximise value for money outcomes from the Tender, the </w:t>
      </w:r>
      <w:r w:rsidR="00A75F6E">
        <w:t>rFVIII product A</w:t>
      </w:r>
      <w:r w:rsidR="00C96901">
        <w:t>DVATE</w:t>
      </w:r>
      <w:r w:rsidR="00A75F6E">
        <w:t xml:space="preserve"> has been designated as the </w:t>
      </w:r>
      <w:r w:rsidR="00A75F6E" w:rsidRPr="00831A35">
        <w:t>national preferred r</w:t>
      </w:r>
      <w:r w:rsidR="00266C77">
        <w:t>F</w:t>
      </w:r>
      <w:r w:rsidR="00A75F6E" w:rsidRPr="00831A35">
        <w:t>VIII product</w:t>
      </w:r>
      <w:r w:rsidR="00A75F6E">
        <w:t xml:space="preserve">.  </w:t>
      </w:r>
      <w:r w:rsidR="00A75F6E" w:rsidRPr="003B5D8A">
        <w:t xml:space="preserve">This means that the NBA recommends that </w:t>
      </w:r>
      <w:proofErr w:type="spellStart"/>
      <w:r w:rsidR="00A75F6E" w:rsidRPr="003B5D8A">
        <w:t>rFVIII</w:t>
      </w:r>
      <w:proofErr w:type="spellEnd"/>
      <w:r w:rsidR="00A75F6E" w:rsidRPr="003B5D8A">
        <w:t xml:space="preserve"> patients should</w:t>
      </w:r>
      <w:r w:rsidR="00D25E98" w:rsidRPr="003B5D8A">
        <w:t>,</w:t>
      </w:r>
      <w:r w:rsidR="00A75F6E" w:rsidRPr="003B5D8A">
        <w:t xml:space="preserve"> where possible</w:t>
      </w:r>
      <w:r w:rsidR="00D25E98" w:rsidRPr="003B5D8A">
        <w:t>, be treated</w:t>
      </w:r>
      <w:r w:rsidR="00A75F6E" w:rsidRPr="003B5D8A">
        <w:t xml:space="preserve"> with A</w:t>
      </w:r>
      <w:r w:rsidR="00C96901" w:rsidRPr="003B5D8A">
        <w:t>DVATE</w:t>
      </w:r>
      <w:r w:rsidR="00A75F6E" w:rsidRPr="003B5D8A">
        <w:t xml:space="preserve"> in order to obtain the best value for money from the more favourable price obtained for this product.</w:t>
      </w:r>
      <w:r w:rsidR="00BC0756">
        <w:t xml:space="preserve">  P</w:t>
      </w:r>
      <w:r w:rsidR="00BC0756" w:rsidRPr="000A6970">
        <w:t xml:space="preserve">atients may be treated with </w:t>
      </w:r>
      <w:r w:rsidR="00BC0756">
        <w:t xml:space="preserve">the </w:t>
      </w:r>
      <w:r w:rsidR="004279E3">
        <w:t>second</w:t>
      </w:r>
      <w:r w:rsidR="00BC0756" w:rsidRPr="000A6970">
        <w:t xml:space="preserve"> product </w:t>
      </w:r>
      <w:r w:rsidR="009C6AD4">
        <w:t>Xyntha</w:t>
      </w:r>
      <w:r w:rsidR="00BC0756">
        <w:t xml:space="preserve"> </w:t>
      </w:r>
      <w:r w:rsidR="00BC0756" w:rsidRPr="000A6970">
        <w:t>in cases where direction of the patient to the national preferred product is likely to compromis</w:t>
      </w:r>
      <w:r w:rsidR="00BC0756">
        <w:t xml:space="preserve">e appropriate treatment and care. </w:t>
      </w:r>
    </w:p>
    <w:p w:rsidR="00F029DE" w:rsidRDefault="00F830DC" w:rsidP="00F029DE">
      <w:r>
        <w:t xml:space="preserve">These arrangements </w:t>
      </w:r>
      <w:r w:rsidR="00266C77">
        <w:t>will</w:t>
      </w:r>
      <w:r>
        <w:t xml:space="preserve"> include the following:</w:t>
      </w:r>
    </w:p>
    <w:p w:rsidR="00F830DC" w:rsidRPr="00F830DC" w:rsidRDefault="00F830DC" w:rsidP="00F830DC">
      <w:pPr>
        <w:numPr>
          <w:ilvl w:val="0"/>
          <w:numId w:val="41"/>
        </w:numPr>
        <w:rPr>
          <w:lang w:val="en-US"/>
        </w:rPr>
      </w:pPr>
      <w:r w:rsidRPr="00F830DC">
        <w:rPr>
          <w:lang w:val="en-US"/>
        </w:rPr>
        <w:t>A</w:t>
      </w:r>
      <w:r w:rsidR="00BA5261">
        <w:rPr>
          <w:lang w:val="en-US"/>
        </w:rPr>
        <w:t xml:space="preserve"> managed transition of</w:t>
      </w:r>
      <w:r w:rsidRPr="00F830DC">
        <w:rPr>
          <w:lang w:val="en-US"/>
        </w:rPr>
        <w:t xml:space="preserve"> patients </w:t>
      </w:r>
      <w:r w:rsidR="00BC0756">
        <w:rPr>
          <w:lang w:val="en-US"/>
        </w:rPr>
        <w:t xml:space="preserve">from Kogenate </w:t>
      </w:r>
      <w:r w:rsidRPr="00F830DC">
        <w:rPr>
          <w:lang w:val="en-US"/>
        </w:rPr>
        <w:t xml:space="preserve">to </w:t>
      </w:r>
      <w:r w:rsidR="00266C77">
        <w:rPr>
          <w:lang w:val="en-US"/>
        </w:rPr>
        <w:t>A</w:t>
      </w:r>
      <w:r w:rsidR="0051407A">
        <w:rPr>
          <w:lang w:val="en-US"/>
        </w:rPr>
        <w:t>DVATE</w:t>
      </w:r>
      <w:r w:rsidR="00266C77" w:rsidRPr="00F830DC">
        <w:rPr>
          <w:lang w:val="en-US"/>
        </w:rPr>
        <w:t xml:space="preserve"> </w:t>
      </w:r>
      <w:r w:rsidR="00266C77">
        <w:rPr>
          <w:lang w:val="en-US"/>
        </w:rPr>
        <w:t>as the national preferred product</w:t>
      </w:r>
    </w:p>
    <w:p w:rsidR="00F830DC" w:rsidRPr="00F830DC" w:rsidRDefault="00F830DC" w:rsidP="00F830DC">
      <w:pPr>
        <w:numPr>
          <w:ilvl w:val="0"/>
          <w:numId w:val="41"/>
        </w:numPr>
        <w:rPr>
          <w:lang w:val="en-US"/>
        </w:rPr>
      </w:pPr>
      <w:r w:rsidRPr="00F830DC">
        <w:rPr>
          <w:lang w:val="en-US"/>
        </w:rPr>
        <w:t>A managed allocation of new patients on an ongoing basis to</w:t>
      </w:r>
      <w:r w:rsidR="00266C77">
        <w:rPr>
          <w:lang w:val="en-US"/>
        </w:rPr>
        <w:t xml:space="preserve"> A</w:t>
      </w:r>
      <w:r w:rsidR="00C96901">
        <w:rPr>
          <w:lang w:val="en-US"/>
        </w:rPr>
        <w:t>DVATE</w:t>
      </w:r>
      <w:r w:rsidR="00266C77">
        <w:rPr>
          <w:lang w:val="en-US"/>
        </w:rPr>
        <w:t xml:space="preserve"> as</w:t>
      </w:r>
      <w:r w:rsidRPr="00F830DC">
        <w:rPr>
          <w:lang w:val="en-US"/>
        </w:rPr>
        <w:t xml:space="preserve"> the national preferred product</w:t>
      </w:r>
    </w:p>
    <w:p w:rsidR="00676155" w:rsidRPr="00676155" w:rsidRDefault="00266C77" w:rsidP="00676155">
      <w:pPr>
        <w:pStyle w:val="ListParagraph"/>
        <w:numPr>
          <w:ilvl w:val="0"/>
          <w:numId w:val="41"/>
        </w:numPr>
      </w:pPr>
      <w:r>
        <w:rPr>
          <w:lang w:val="en-US"/>
        </w:rPr>
        <w:t>Consideration being given to the</w:t>
      </w:r>
      <w:r w:rsidR="00676155">
        <w:rPr>
          <w:lang w:val="en-US"/>
        </w:rPr>
        <w:t xml:space="preserve"> </w:t>
      </w:r>
      <w:r>
        <w:rPr>
          <w:lang w:val="en-US"/>
        </w:rPr>
        <w:t>transition of</w:t>
      </w:r>
      <w:r w:rsidR="00676155" w:rsidRPr="005B4D78">
        <w:rPr>
          <w:lang w:val="en-US"/>
        </w:rPr>
        <w:t xml:space="preserve"> </w:t>
      </w:r>
      <w:r w:rsidR="00676155">
        <w:rPr>
          <w:lang w:val="en-US"/>
        </w:rPr>
        <w:t xml:space="preserve">patients currently </w:t>
      </w:r>
      <w:r w:rsidR="004E0FE4">
        <w:rPr>
          <w:lang w:val="en-US"/>
        </w:rPr>
        <w:t xml:space="preserve">being treated with </w:t>
      </w:r>
      <w:r w:rsidR="00676155">
        <w:rPr>
          <w:lang w:val="en-US"/>
        </w:rPr>
        <w:t xml:space="preserve">Xyntha </w:t>
      </w:r>
      <w:r w:rsidR="00676155" w:rsidRPr="005B4D78">
        <w:rPr>
          <w:lang w:val="en-US"/>
        </w:rPr>
        <w:t>to</w:t>
      </w:r>
      <w:r>
        <w:rPr>
          <w:lang w:val="en-US"/>
        </w:rPr>
        <w:t xml:space="preserve"> A</w:t>
      </w:r>
      <w:r w:rsidR="00C96901">
        <w:rPr>
          <w:lang w:val="en-US"/>
        </w:rPr>
        <w:t>DVATE</w:t>
      </w:r>
      <w:r>
        <w:rPr>
          <w:lang w:val="en-US"/>
        </w:rPr>
        <w:t xml:space="preserve"> as</w:t>
      </w:r>
      <w:r w:rsidR="00676155" w:rsidRPr="005B4D78">
        <w:rPr>
          <w:lang w:val="en-US"/>
        </w:rPr>
        <w:t xml:space="preserve"> the national preferred product</w:t>
      </w:r>
      <w:r>
        <w:rPr>
          <w:lang w:val="en-US"/>
        </w:rPr>
        <w:t xml:space="preserve"> </w:t>
      </w:r>
      <w:r w:rsidR="00676155" w:rsidRPr="005B4D78">
        <w:rPr>
          <w:lang w:val="en-US"/>
        </w:rPr>
        <w:t>at the next suitable patient review opportunity</w:t>
      </w:r>
    </w:p>
    <w:p w:rsidR="00676155" w:rsidRPr="005B4D78" w:rsidRDefault="00676155" w:rsidP="00676155">
      <w:pPr>
        <w:pStyle w:val="ListParagraph"/>
        <w:ind w:left="360"/>
      </w:pPr>
    </w:p>
    <w:p w:rsidR="00676155" w:rsidRPr="00BC3957" w:rsidRDefault="009C6AD4" w:rsidP="00676155">
      <w:pPr>
        <w:pStyle w:val="ListParagraph"/>
        <w:numPr>
          <w:ilvl w:val="0"/>
          <w:numId w:val="41"/>
        </w:numPr>
      </w:pPr>
      <w:r>
        <w:rPr>
          <w:lang w:val="en-US"/>
        </w:rPr>
        <w:t>B</w:t>
      </w:r>
      <w:r w:rsidR="00676155">
        <w:rPr>
          <w:lang w:val="en-US"/>
        </w:rPr>
        <w:t xml:space="preserve">est </w:t>
      </w:r>
      <w:r>
        <w:rPr>
          <w:lang w:val="en-US"/>
        </w:rPr>
        <w:t>endeavors</w:t>
      </w:r>
      <w:r w:rsidR="00676155">
        <w:rPr>
          <w:lang w:val="en-US"/>
        </w:rPr>
        <w:t xml:space="preserve"> </w:t>
      </w:r>
      <w:r>
        <w:rPr>
          <w:lang w:val="en-US"/>
        </w:rPr>
        <w:t xml:space="preserve">being made across all Haemophilia Treatment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to</w:t>
      </w:r>
      <w:r w:rsidR="00676155">
        <w:rPr>
          <w:lang w:val="en-US"/>
        </w:rPr>
        <w:t xml:space="preserve"> maintain a</w:t>
      </w:r>
      <w:r>
        <w:rPr>
          <w:lang w:val="en-US"/>
        </w:rPr>
        <w:t>n appropriate</w:t>
      </w:r>
      <w:r w:rsidR="00676155">
        <w:rPr>
          <w:lang w:val="en-US"/>
        </w:rPr>
        <w:t xml:space="preserve"> minimum </w:t>
      </w:r>
      <w:r>
        <w:rPr>
          <w:lang w:val="en-US"/>
        </w:rPr>
        <w:t>level of supply of Xyntha</w:t>
      </w:r>
      <w:r w:rsidR="00676155">
        <w:rPr>
          <w:lang w:val="en-US"/>
        </w:rPr>
        <w:t xml:space="preserve"> to provide clinical choice and to </w:t>
      </w:r>
      <w:r w:rsidR="00676155" w:rsidRPr="00BC3957">
        <w:t>enhance supply security</w:t>
      </w:r>
      <w:r w:rsidR="00676155">
        <w:t>.</w:t>
      </w:r>
    </w:p>
    <w:p w:rsidR="00A75F6E" w:rsidRDefault="00A75F6E" w:rsidP="00A75F6E">
      <w:r w:rsidRPr="00831A35">
        <w:t xml:space="preserve">It is important to note that designation of </w:t>
      </w:r>
      <w:r w:rsidR="00C96901" w:rsidRPr="00831A35">
        <w:t>ADVATE</w:t>
      </w:r>
      <w:r w:rsidRPr="00831A35">
        <w:t xml:space="preserve"> as the national preferred r</w:t>
      </w:r>
      <w:r w:rsidR="0051407A">
        <w:t>F</w:t>
      </w:r>
      <w:r w:rsidRPr="00831A35">
        <w:t>VIII product does not relate to any difference in</w:t>
      </w:r>
      <w:r w:rsidR="00A71A1E">
        <w:t xml:space="preserve"> </w:t>
      </w:r>
      <w:r w:rsidR="003F318F" w:rsidRPr="003B5D8A">
        <w:t>safety and</w:t>
      </w:r>
      <w:r w:rsidR="003F318F">
        <w:t xml:space="preserve"> </w:t>
      </w:r>
      <w:r w:rsidRPr="00831A35">
        <w:t xml:space="preserve">quality between the </w:t>
      </w:r>
      <w:proofErr w:type="spellStart"/>
      <w:r w:rsidRPr="00831A35">
        <w:t>rFVIII</w:t>
      </w:r>
      <w:proofErr w:type="spellEnd"/>
      <w:r w:rsidRPr="00831A35">
        <w:t xml:space="preserve"> products or the product support services available from either rFVIII supplier under the national arrangements.</w:t>
      </w:r>
    </w:p>
    <w:p w:rsidR="00A75F6E" w:rsidRDefault="00A75F6E" w:rsidP="00A75F6E">
      <w:r>
        <w:t>Because both A</w:t>
      </w:r>
      <w:r w:rsidR="00C96901">
        <w:t>DVATE</w:t>
      </w:r>
      <w:r>
        <w:t xml:space="preserve"> and Xyntha are imported products, there are supply security benefits in ensuring that there is a level of active supply of both products around Australia.   While</w:t>
      </w:r>
      <w:r w:rsidRPr="0074637F">
        <w:t xml:space="preserve"> A</w:t>
      </w:r>
      <w:r w:rsidR="00C96901" w:rsidRPr="0074637F">
        <w:t>DVATE</w:t>
      </w:r>
      <w:r w:rsidRPr="0074637F">
        <w:t xml:space="preserve"> is </w:t>
      </w:r>
      <w:r>
        <w:t xml:space="preserve">designated as </w:t>
      </w:r>
      <w:r w:rsidRPr="0074637F">
        <w:t>the national preferred r</w:t>
      </w:r>
      <w:r>
        <w:t>F</w:t>
      </w:r>
      <w:r w:rsidRPr="0074637F">
        <w:t>VIII product</w:t>
      </w:r>
      <w:r>
        <w:t xml:space="preserve"> for value for money purposes</w:t>
      </w:r>
      <w:r w:rsidRPr="0074637F">
        <w:t>, the NBA</w:t>
      </w:r>
      <w:r>
        <w:t xml:space="preserve"> will also work with all Haemophilia Treatment Centres and other stakeholders to ensure that an appr</w:t>
      </w:r>
      <w:r w:rsidR="00266C77">
        <w:t>opriate minimum level of Xyntha</w:t>
      </w:r>
      <w:r w:rsidR="00BC0756">
        <w:t xml:space="preserve"> </w:t>
      </w:r>
      <w:r>
        <w:t>is maintained in supply.</w:t>
      </w:r>
    </w:p>
    <w:p w:rsidR="00E1151E" w:rsidRDefault="00BA5261" w:rsidP="004279E3">
      <w:pPr>
        <w:pStyle w:val="Heading3"/>
        <w:tabs>
          <w:tab w:val="left" w:pos="4051"/>
        </w:tabs>
      </w:pPr>
      <w:r>
        <w:t>Transition Process</w:t>
      </w:r>
      <w:r w:rsidR="004279E3">
        <w:tab/>
      </w:r>
    </w:p>
    <w:p w:rsidR="000E79E6" w:rsidRDefault="00F830DC" w:rsidP="00F830DC">
      <w:r>
        <w:t>The new supply arrangements will commence from 1 July 2014</w:t>
      </w:r>
      <w:r w:rsidR="003F318F">
        <w:t>.</w:t>
      </w:r>
      <w:r>
        <w:t xml:space="preserve"> </w:t>
      </w:r>
      <w:r w:rsidR="003F318F">
        <w:t xml:space="preserve">  </w:t>
      </w:r>
      <w:r w:rsidR="00D918F0">
        <w:t xml:space="preserve">The </w:t>
      </w:r>
      <w:r w:rsidR="0000052F">
        <w:t>expectation is that transitioning patients will be switched to A</w:t>
      </w:r>
      <w:r w:rsidR="00C96901">
        <w:t>DVATE</w:t>
      </w:r>
      <w:r w:rsidR="0000052F">
        <w:t xml:space="preserve"> as the national preferred pro</w:t>
      </w:r>
      <w:r w:rsidR="00262AEC">
        <w:t xml:space="preserve">duct over a period of </w:t>
      </w:r>
      <w:r w:rsidR="00262AEC" w:rsidRPr="00D25E98">
        <w:t>6 months</w:t>
      </w:r>
      <w:r w:rsidR="00935809">
        <w:t xml:space="preserve"> </w:t>
      </w:r>
      <w:r w:rsidR="00D25E98">
        <w:t xml:space="preserve">(1 July to 31 December 2014) </w:t>
      </w:r>
      <w:r w:rsidR="00935809">
        <w:t>in order to obtain the best value for money from the more favourable price obtained for this product</w:t>
      </w:r>
      <w:r w:rsidR="00262AEC">
        <w:t>.</w:t>
      </w:r>
    </w:p>
    <w:p w:rsidR="00F830DC" w:rsidRDefault="00F830DC" w:rsidP="00F830DC">
      <w:r>
        <w:t>Patients are encouraged to discuss the preferred national product arrangement and product transition with the</w:t>
      </w:r>
      <w:r w:rsidR="0000052F">
        <w:t>ir</w:t>
      </w:r>
      <w:r>
        <w:t xml:space="preserve"> specialist and</w:t>
      </w:r>
      <w:r w:rsidR="0000052F">
        <w:t xml:space="preserve"> Haemophilia Treatment Centre to ensure patient care and treatment.</w:t>
      </w:r>
    </w:p>
    <w:p w:rsidR="00A75F6E" w:rsidRDefault="00A75F6E" w:rsidP="00C96901">
      <w:pPr>
        <w:pStyle w:val="Heading4"/>
      </w:pPr>
      <w:r>
        <w:t>P</w:t>
      </w:r>
      <w:r w:rsidRPr="00BD11C8">
        <w:t>atients currentl</w:t>
      </w:r>
      <w:r>
        <w:t>y treated with Kogenate FS</w:t>
      </w:r>
    </w:p>
    <w:p w:rsidR="00A75F6E" w:rsidRDefault="00676155" w:rsidP="00C96901">
      <w:r>
        <w:t>I</w:t>
      </w:r>
      <w:r w:rsidR="00A75F6E" w:rsidRPr="00411D5A">
        <w:t>n most cases</w:t>
      </w:r>
      <w:r>
        <w:t xml:space="preserve">, patients currently using Kogenate FS </w:t>
      </w:r>
      <w:r w:rsidR="00A75F6E" w:rsidRPr="00411D5A">
        <w:t xml:space="preserve">will change to the national preferred rFVIII product </w:t>
      </w:r>
      <w:r w:rsidR="00C96901" w:rsidRPr="00411D5A">
        <w:t>ADVATE</w:t>
      </w:r>
      <w:r w:rsidR="00A75F6E" w:rsidRPr="00411D5A">
        <w:t xml:space="preserve">.  This change should be made before </w:t>
      </w:r>
      <w:r w:rsidR="00BC0756">
        <w:t>3</w:t>
      </w:r>
      <w:r w:rsidR="00A75F6E" w:rsidRPr="00411D5A">
        <w:t xml:space="preserve">1 </w:t>
      </w:r>
      <w:r w:rsidR="00BC0756">
        <w:t>December 2014</w:t>
      </w:r>
      <w:r w:rsidR="00A75F6E" w:rsidRPr="00411D5A">
        <w:t>.</w:t>
      </w:r>
    </w:p>
    <w:p w:rsidR="00C92850" w:rsidRPr="006F1E7E" w:rsidRDefault="00A773DE" w:rsidP="00C96901">
      <w:r w:rsidRPr="00411D5A">
        <w:t>For patients on active immune tolerance therapy using Kogenate FS exceptional arrangements will be available for continuation of this product for a longer period where this is clinically necessary.</w:t>
      </w:r>
      <w:r w:rsidR="00030A2B">
        <w:t xml:space="preserve"> </w:t>
      </w:r>
      <w:r w:rsidR="009C6AD4">
        <w:t>The NBA will work closely with</w:t>
      </w:r>
      <w:r w:rsidR="00C92850" w:rsidRPr="006F1E7E">
        <w:t xml:space="preserve"> the</w:t>
      </w:r>
      <w:r w:rsidR="009C6AD4">
        <w:t xml:space="preserve"> Tolerisation Advisory Committee of the</w:t>
      </w:r>
      <w:r w:rsidR="00C92850" w:rsidRPr="006F1E7E">
        <w:t xml:space="preserve"> Australian Haemophilia Centre Directors Organisation (AHCDO)</w:t>
      </w:r>
      <w:r w:rsidR="009C6AD4">
        <w:t xml:space="preserve"> and with individual Haemophilia Treatment Centres to coordinate the </w:t>
      </w:r>
      <w:r w:rsidR="00C92850" w:rsidRPr="006F1E7E">
        <w:t xml:space="preserve">supply of product for this </w:t>
      </w:r>
      <w:r w:rsidR="009C6AD4">
        <w:t>purpose</w:t>
      </w:r>
      <w:r w:rsidR="00C92850" w:rsidRPr="006F1E7E">
        <w:t>.</w:t>
      </w:r>
    </w:p>
    <w:p w:rsidR="00A75F6E" w:rsidRDefault="00A75F6E" w:rsidP="00C96901">
      <w:pPr>
        <w:pStyle w:val="Heading4"/>
      </w:pPr>
      <w:r>
        <w:t>P</w:t>
      </w:r>
      <w:r w:rsidRPr="00A63F8F">
        <w:t>atients cu</w:t>
      </w:r>
      <w:r>
        <w:t>rrently treated with Xyntha</w:t>
      </w:r>
    </w:p>
    <w:p w:rsidR="007F38B1" w:rsidRDefault="00A75F6E" w:rsidP="00C96901">
      <w:r w:rsidRPr="00411D5A">
        <w:t xml:space="preserve">For patients currently being treated with Xyntha, consideration should be given to </w:t>
      </w:r>
      <w:r w:rsidR="00676155">
        <w:t xml:space="preserve">transitioning these patients to </w:t>
      </w:r>
      <w:r w:rsidR="00FB09A8">
        <w:t>A</w:t>
      </w:r>
      <w:r w:rsidR="00C96901">
        <w:t>DVATE</w:t>
      </w:r>
      <w:r w:rsidR="00FB09A8">
        <w:t xml:space="preserve"> as the national preferred product </w:t>
      </w:r>
      <w:r w:rsidRPr="00411D5A">
        <w:t>at the next suitable patient review opportunity</w:t>
      </w:r>
      <w:r w:rsidR="007F38B1">
        <w:t xml:space="preserve">. </w:t>
      </w:r>
    </w:p>
    <w:p w:rsidR="00AC1FF3" w:rsidRPr="00411D5A" w:rsidRDefault="00AC1FF3" w:rsidP="00C96901">
      <w:r>
        <w:t>P</w:t>
      </w:r>
      <w:r w:rsidRPr="000A6970">
        <w:t xml:space="preserve">atients may </w:t>
      </w:r>
      <w:r>
        <w:t xml:space="preserve">continue to be </w:t>
      </w:r>
      <w:r w:rsidRPr="000A6970">
        <w:t xml:space="preserve">treated with </w:t>
      </w:r>
      <w:r>
        <w:t xml:space="preserve">Xyntha </w:t>
      </w:r>
      <w:r w:rsidRPr="000A6970">
        <w:t xml:space="preserve">in cases where direction of the patient to </w:t>
      </w:r>
      <w:r>
        <w:t>A</w:t>
      </w:r>
      <w:r w:rsidR="00C96901">
        <w:t>DVATE</w:t>
      </w:r>
      <w:r>
        <w:t xml:space="preserve"> </w:t>
      </w:r>
      <w:r w:rsidRPr="000A6970">
        <w:t>is likely to compromis</w:t>
      </w:r>
      <w:r>
        <w:t xml:space="preserve">e appropriate treatment and care. </w:t>
      </w:r>
    </w:p>
    <w:p w:rsidR="00A75F6E" w:rsidRDefault="00A75F6E" w:rsidP="00C96901">
      <w:pPr>
        <w:pStyle w:val="Heading4"/>
      </w:pPr>
      <w:r w:rsidRPr="00A63F8F">
        <w:t>New patients commencing treatment after 1 July 2014</w:t>
      </w:r>
      <w:r>
        <w:t xml:space="preserve"> </w:t>
      </w:r>
    </w:p>
    <w:p w:rsidR="00A75F6E" w:rsidRPr="00411D5A" w:rsidRDefault="00A75F6E" w:rsidP="00C96901">
      <w:r w:rsidRPr="00411D5A">
        <w:t xml:space="preserve">In most cases these patients should be commenced on treatment with the national preferred product </w:t>
      </w:r>
      <w:r w:rsidR="00C96901" w:rsidRPr="00411D5A">
        <w:t>ADVATE</w:t>
      </w:r>
      <w:r w:rsidRPr="00411D5A">
        <w:t>.</w:t>
      </w:r>
    </w:p>
    <w:p w:rsidR="00A75F6E" w:rsidRPr="00411D5A" w:rsidRDefault="00A75F6E" w:rsidP="00A75F6E">
      <w:pPr>
        <w:rPr>
          <w:rFonts w:asciiTheme="minorHAnsi" w:hAnsiTheme="minorHAnsi" w:cstheme="minorHAnsi"/>
        </w:rPr>
      </w:pPr>
      <w:r w:rsidRPr="00411D5A">
        <w:rPr>
          <w:rFonts w:asciiTheme="minorHAnsi" w:hAnsiTheme="minorHAnsi" w:cstheme="minorHAnsi"/>
        </w:rPr>
        <w:t xml:space="preserve">Xyntha </w:t>
      </w:r>
      <w:r w:rsidR="004279E3">
        <w:rPr>
          <w:rFonts w:asciiTheme="minorHAnsi" w:hAnsiTheme="minorHAnsi" w:cstheme="minorHAnsi"/>
        </w:rPr>
        <w:t>will be</w:t>
      </w:r>
      <w:r w:rsidRPr="00411D5A">
        <w:rPr>
          <w:rFonts w:asciiTheme="minorHAnsi" w:hAnsiTheme="minorHAnsi" w:cstheme="minorHAnsi"/>
        </w:rPr>
        <w:t xml:space="preserve"> available:</w:t>
      </w:r>
    </w:p>
    <w:p w:rsidR="00A75F6E" w:rsidRDefault="00A75F6E" w:rsidP="00391A39">
      <w:pPr>
        <w:pStyle w:val="ListParagraph"/>
        <w:numPr>
          <w:ilvl w:val="0"/>
          <w:numId w:val="43"/>
        </w:numPr>
        <w:ind w:left="360"/>
        <w:contextualSpacing w:val="0"/>
        <w:rPr>
          <w:rFonts w:asciiTheme="minorHAnsi" w:hAnsiTheme="minorHAnsi" w:cstheme="minorHAnsi"/>
        </w:rPr>
      </w:pPr>
      <w:r w:rsidRPr="00411D5A">
        <w:rPr>
          <w:rFonts w:asciiTheme="minorHAnsi" w:hAnsiTheme="minorHAnsi" w:cstheme="minorHAnsi"/>
        </w:rPr>
        <w:t xml:space="preserve">where direction to the national preferred rFVIII product </w:t>
      </w:r>
      <w:r w:rsidR="00C96901" w:rsidRPr="00411D5A">
        <w:rPr>
          <w:rFonts w:asciiTheme="minorHAnsi" w:hAnsiTheme="minorHAnsi" w:cstheme="minorHAnsi"/>
        </w:rPr>
        <w:t>ADVATE</w:t>
      </w:r>
      <w:r w:rsidRPr="00411D5A">
        <w:rPr>
          <w:rFonts w:asciiTheme="minorHAnsi" w:hAnsiTheme="minorHAnsi" w:cstheme="minorHAnsi"/>
        </w:rPr>
        <w:t xml:space="preserve"> would be likely to compromise appropriate treatment and care of a patient</w:t>
      </w:r>
    </w:p>
    <w:p w:rsidR="00A75F6E" w:rsidRPr="00A75F6E" w:rsidRDefault="00A75F6E" w:rsidP="00391A39">
      <w:pPr>
        <w:pStyle w:val="ListParagraph"/>
        <w:numPr>
          <w:ilvl w:val="0"/>
          <w:numId w:val="43"/>
        </w:numPr>
        <w:ind w:left="360"/>
        <w:contextualSpacing w:val="0"/>
        <w:rPr>
          <w:rFonts w:asciiTheme="minorHAnsi" w:hAnsiTheme="minorHAnsi" w:cstheme="minorHAnsi"/>
        </w:rPr>
      </w:pPr>
      <w:proofErr w:type="gramStart"/>
      <w:r w:rsidRPr="00A75F6E">
        <w:rPr>
          <w:rFonts w:asciiTheme="minorHAnsi" w:hAnsiTheme="minorHAnsi" w:cstheme="minorHAnsi"/>
        </w:rPr>
        <w:t>so</w:t>
      </w:r>
      <w:proofErr w:type="gramEnd"/>
      <w:r w:rsidRPr="00A75F6E">
        <w:rPr>
          <w:rFonts w:asciiTheme="minorHAnsi" w:hAnsiTheme="minorHAnsi" w:cstheme="minorHAnsi"/>
        </w:rPr>
        <w:t xml:space="preserve"> that an appropriate minimum </w:t>
      </w:r>
      <w:r w:rsidR="00266C77">
        <w:rPr>
          <w:rFonts w:asciiTheme="minorHAnsi" w:hAnsiTheme="minorHAnsi" w:cstheme="minorHAnsi"/>
        </w:rPr>
        <w:t>level</w:t>
      </w:r>
      <w:r w:rsidRPr="00A75F6E">
        <w:rPr>
          <w:rFonts w:asciiTheme="minorHAnsi" w:hAnsiTheme="minorHAnsi" w:cstheme="minorHAnsi"/>
        </w:rPr>
        <w:t xml:space="preserve"> of Xyntha is maintained in supply at all treatment centres.</w:t>
      </w:r>
    </w:p>
    <w:p w:rsidR="00127C2F" w:rsidRDefault="00127C2F" w:rsidP="00127C2F">
      <w:pPr>
        <w:pStyle w:val="Heading3"/>
      </w:pPr>
      <w:r w:rsidRPr="00127C2F">
        <w:t>Clinical</w:t>
      </w:r>
      <w:r w:rsidR="00D42F22">
        <w:t xml:space="preserve"> </w:t>
      </w:r>
      <w:r w:rsidR="00FB09A8">
        <w:t>a</w:t>
      </w:r>
      <w:r w:rsidRPr="00127C2F">
        <w:t>dvice</w:t>
      </w:r>
    </w:p>
    <w:p w:rsidR="00E45711" w:rsidRDefault="00E45711" w:rsidP="00E45711">
      <w:r w:rsidRPr="008456AD">
        <w:t xml:space="preserve">All products selected through the tender are registered on the Australian </w:t>
      </w:r>
      <w:r>
        <w:t>Register of Therapeutic Goods and</w:t>
      </w:r>
      <w:r w:rsidRPr="008456AD">
        <w:t xml:space="preserve"> are assessed as fulfilling tender requirements to a high standard.</w:t>
      </w:r>
      <w:r w:rsidR="00FB09A8">
        <w:t xml:space="preserve">  In addition, the tender process included consideration of clinically relevant product characteristics by a specialist Clinical Advisory Group.</w:t>
      </w:r>
    </w:p>
    <w:p w:rsidR="00FB09A8" w:rsidRDefault="00FB09A8" w:rsidP="00E45711">
      <w:r>
        <w:t>With regard to the question of inhibitor development, a recent review article</w:t>
      </w:r>
      <w:r w:rsidR="004279E3">
        <w:t xml:space="preserve"> </w:t>
      </w:r>
      <w:r>
        <w:t>(</w:t>
      </w:r>
      <w:proofErr w:type="spellStart"/>
      <w:r>
        <w:t>Hemophilia</w:t>
      </w:r>
      <w:proofErr w:type="spellEnd"/>
      <w:r>
        <w:t xml:space="preserve"> (2014), 20 (Suppl. 4), 87-93) has confirmed advice previously obtained by the NBA from AHCDO to the following effect:</w:t>
      </w:r>
    </w:p>
    <w:p w:rsidR="00FB09A8" w:rsidRDefault="00BA5261" w:rsidP="00FB09A8">
      <w:pPr>
        <w:pStyle w:val="ListParagraph"/>
        <w:numPr>
          <w:ilvl w:val="0"/>
          <w:numId w:val="45"/>
        </w:numPr>
      </w:pPr>
      <w:r>
        <w:t>The evaluation of data currently available</w:t>
      </w:r>
      <w:r w:rsidR="0074160A">
        <w:t xml:space="preserve"> in the literature</w:t>
      </w:r>
      <w:r>
        <w:t xml:space="preserve"> does not prove unequivocally that a difference in the immunogenicity exists betwee</w:t>
      </w:r>
      <w:r w:rsidR="00FB09A8">
        <w:t>n FVIII products.</w:t>
      </w:r>
    </w:p>
    <w:p w:rsidR="00BA5261" w:rsidRPr="003B5D8A" w:rsidRDefault="00FB09A8" w:rsidP="00FB09A8">
      <w:pPr>
        <w:pStyle w:val="ListParagraph"/>
        <w:numPr>
          <w:ilvl w:val="0"/>
          <w:numId w:val="45"/>
        </w:numPr>
      </w:pPr>
      <w:r w:rsidRPr="003B5D8A">
        <w:t>N</w:t>
      </w:r>
      <w:r w:rsidR="00BA5261" w:rsidRPr="003B5D8A">
        <w:t xml:space="preserve">ational product switches </w:t>
      </w:r>
      <w:r w:rsidR="004A5E9B" w:rsidRPr="003B5D8A">
        <w:t xml:space="preserve">have occurred and switching </w:t>
      </w:r>
      <w:r w:rsidR="00BA5261" w:rsidRPr="003B5D8A">
        <w:t xml:space="preserve">was not associated with an enhanced inhibitor </w:t>
      </w:r>
      <w:r w:rsidR="003B5D8A" w:rsidRPr="003B5D8A">
        <w:t>risk</w:t>
      </w:r>
      <w:r w:rsidR="00B0301E" w:rsidRPr="003B5D8A">
        <w:t>.</w:t>
      </w:r>
      <w:bookmarkStart w:id="1" w:name="_GoBack"/>
      <w:bookmarkEnd w:id="1"/>
    </w:p>
    <w:p w:rsidR="00FB09A8" w:rsidRDefault="00FB09A8" w:rsidP="00FB09A8">
      <w:pPr>
        <w:pStyle w:val="Heading3"/>
      </w:pPr>
      <w:r>
        <w:t>Further information</w:t>
      </w:r>
    </w:p>
    <w:p w:rsidR="00F830DC" w:rsidRPr="00F029DE" w:rsidRDefault="00D918F0" w:rsidP="00F029DE">
      <w:r>
        <w:t xml:space="preserve">Further information on the tender process can be </w:t>
      </w:r>
      <w:r w:rsidR="00FB09A8">
        <w:t>obtained</w:t>
      </w:r>
      <w:r>
        <w:t xml:space="preserve"> by contacting the National Blood Authority by email at </w:t>
      </w:r>
      <w:hyperlink r:id="rId8" w:history="1">
        <w:r w:rsidRPr="00993974">
          <w:rPr>
            <w:rStyle w:val="Hyperlink"/>
          </w:rPr>
          <w:t>supply.management.plasma@blood.gov.au</w:t>
        </w:r>
      </w:hyperlink>
      <w:r>
        <w:t xml:space="preserve"> </w:t>
      </w:r>
    </w:p>
    <w:sectPr w:rsidR="00F830DC" w:rsidRPr="00F029DE" w:rsidSect="00856708">
      <w:footerReference w:type="default" r:id="rId9"/>
      <w:headerReference w:type="first" r:id="rId10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1E" w:rsidRDefault="00A71A1E" w:rsidP="00856708">
      <w:pPr>
        <w:spacing w:after="0"/>
      </w:pPr>
      <w:r>
        <w:separator/>
      </w:r>
    </w:p>
  </w:endnote>
  <w:endnote w:type="continuationSeparator" w:id="0">
    <w:p w:rsidR="00A71A1E" w:rsidRDefault="00A71A1E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1E" w:rsidRPr="00856708" w:rsidRDefault="00A71A1E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3B5D8A">
      <w:rPr>
        <w:noProof/>
        <w:sz w:val="20"/>
        <w:szCs w:val="20"/>
      </w:rPr>
      <w:t>3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1E" w:rsidRDefault="00A71A1E" w:rsidP="00856708">
      <w:pPr>
        <w:spacing w:after="0"/>
      </w:pPr>
      <w:r>
        <w:separator/>
      </w:r>
    </w:p>
  </w:footnote>
  <w:footnote w:type="continuationSeparator" w:id="0">
    <w:p w:rsidR="00A71A1E" w:rsidRDefault="00A71A1E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1E" w:rsidRDefault="00A71A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CC4084D" wp14:editId="577F2526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785B76"/>
    <w:multiLevelType w:val="hybridMultilevel"/>
    <w:tmpl w:val="3CF0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54C72"/>
    <w:multiLevelType w:val="hybridMultilevel"/>
    <w:tmpl w:val="BE0C6452"/>
    <w:lvl w:ilvl="0" w:tplc="00C272AC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7A6A91"/>
    <w:multiLevelType w:val="hybridMultilevel"/>
    <w:tmpl w:val="3AA2B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35458CD"/>
    <w:multiLevelType w:val="hybridMultilevel"/>
    <w:tmpl w:val="D5BAE3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2957B9"/>
    <w:multiLevelType w:val="hybridMultilevel"/>
    <w:tmpl w:val="39A02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90B8D"/>
    <w:multiLevelType w:val="hybridMultilevel"/>
    <w:tmpl w:val="B5806D3C"/>
    <w:lvl w:ilvl="0" w:tplc="13CCD54E">
      <w:numFmt w:val="bullet"/>
      <w:lvlText w:val=""/>
      <w:lvlJc w:val="left"/>
      <w:pPr>
        <w:ind w:left="720" w:hanging="360"/>
      </w:pPr>
      <w:rPr>
        <w:rFonts w:ascii="Symbol" w:eastAsia="Dotum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5"/>
  </w:num>
  <w:num w:numId="4">
    <w:abstractNumId w:val="41"/>
  </w:num>
  <w:num w:numId="5">
    <w:abstractNumId w:val="19"/>
  </w:num>
  <w:num w:numId="6">
    <w:abstractNumId w:val="9"/>
  </w:num>
  <w:num w:numId="7">
    <w:abstractNumId w:val="30"/>
  </w:num>
  <w:num w:numId="8">
    <w:abstractNumId w:val="21"/>
  </w:num>
  <w:num w:numId="9">
    <w:abstractNumId w:val="7"/>
  </w:num>
  <w:num w:numId="10">
    <w:abstractNumId w:val="35"/>
  </w:num>
  <w:num w:numId="11">
    <w:abstractNumId w:val="12"/>
  </w:num>
  <w:num w:numId="12">
    <w:abstractNumId w:val="37"/>
  </w:num>
  <w:num w:numId="13">
    <w:abstractNumId w:val="13"/>
  </w:num>
  <w:num w:numId="14">
    <w:abstractNumId w:val="18"/>
  </w:num>
  <w:num w:numId="15">
    <w:abstractNumId w:val="2"/>
  </w:num>
  <w:num w:numId="16">
    <w:abstractNumId w:val="27"/>
  </w:num>
  <w:num w:numId="17">
    <w:abstractNumId w:val="17"/>
  </w:num>
  <w:num w:numId="18">
    <w:abstractNumId w:val="14"/>
  </w:num>
  <w:num w:numId="19">
    <w:abstractNumId w:val="40"/>
  </w:num>
  <w:num w:numId="20">
    <w:abstractNumId w:val="11"/>
  </w:num>
  <w:num w:numId="21">
    <w:abstractNumId w:val="8"/>
  </w:num>
  <w:num w:numId="22">
    <w:abstractNumId w:val="16"/>
  </w:num>
  <w:num w:numId="23">
    <w:abstractNumId w:val="36"/>
  </w:num>
  <w:num w:numId="24">
    <w:abstractNumId w:val="42"/>
  </w:num>
  <w:num w:numId="25">
    <w:abstractNumId w:val="26"/>
  </w:num>
  <w:num w:numId="26">
    <w:abstractNumId w:val="0"/>
  </w:num>
  <w:num w:numId="27">
    <w:abstractNumId w:val="6"/>
  </w:num>
  <w:num w:numId="28">
    <w:abstractNumId w:val="1"/>
  </w:num>
  <w:num w:numId="29">
    <w:abstractNumId w:val="31"/>
  </w:num>
  <w:num w:numId="30">
    <w:abstractNumId w:val="39"/>
  </w:num>
  <w:num w:numId="31">
    <w:abstractNumId w:val="4"/>
  </w:num>
  <w:num w:numId="32">
    <w:abstractNumId w:val="44"/>
  </w:num>
  <w:num w:numId="33">
    <w:abstractNumId w:val="28"/>
  </w:num>
  <w:num w:numId="34">
    <w:abstractNumId w:val="3"/>
  </w:num>
  <w:num w:numId="35">
    <w:abstractNumId w:val="5"/>
  </w:num>
  <w:num w:numId="36">
    <w:abstractNumId w:val="38"/>
  </w:num>
  <w:num w:numId="37">
    <w:abstractNumId w:val="32"/>
  </w:num>
  <w:num w:numId="38">
    <w:abstractNumId w:val="10"/>
  </w:num>
  <w:num w:numId="39">
    <w:abstractNumId w:val="43"/>
  </w:num>
  <w:num w:numId="40">
    <w:abstractNumId w:val="33"/>
  </w:num>
  <w:num w:numId="41">
    <w:abstractNumId w:val="24"/>
  </w:num>
  <w:num w:numId="42">
    <w:abstractNumId w:val="29"/>
  </w:num>
  <w:num w:numId="43">
    <w:abstractNumId w:val="15"/>
  </w:num>
  <w:num w:numId="44">
    <w:abstractNumId w:val="20"/>
  </w:num>
  <w:num w:numId="45">
    <w:abstractNumId w:val="2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DE"/>
    <w:rsid w:val="0000052F"/>
    <w:rsid w:val="00030A2B"/>
    <w:rsid w:val="00036EDC"/>
    <w:rsid w:val="00087970"/>
    <w:rsid w:val="000E79E6"/>
    <w:rsid w:val="00112587"/>
    <w:rsid w:val="00127C2F"/>
    <w:rsid w:val="001949D7"/>
    <w:rsid w:val="002061EB"/>
    <w:rsid w:val="002537F2"/>
    <w:rsid w:val="00262AEC"/>
    <w:rsid w:val="00262CC6"/>
    <w:rsid w:val="00266C77"/>
    <w:rsid w:val="00294DA4"/>
    <w:rsid w:val="002F079E"/>
    <w:rsid w:val="00391235"/>
    <w:rsid w:val="00391A39"/>
    <w:rsid w:val="0039529F"/>
    <w:rsid w:val="003B5D8A"/>
    <w:rsid w:val="003F318F"/>
    <w:rsid w:val="004279E3"/>
    <w:rsid w:val="004413D9"/>
    <w:rsid w:val="00441851"/>
    <w:rsid w:val="004A5E9B"/>
    <w:rsid w:val="004D4636"/>
    <w:rsid w:val="004E0FE4"/>
    <w:rsid w:val="004E19E4"/>
    <w:rsid w:val="0051407A"/>
    <w:rsid w:val="005221D3"/>
    <w:rsid w:val="00585AC7"/>
    <w:rsid w:val="005B13CF"/>
    <w:rsid w:val="005F0F61"/>
    <w:rsid w:val="00613D45"/>
    <w:rsid w:val="0062330C"/>
    <w:rsid w:val="00676155"/>
    <w:rsid w:val="006833F2"/>
    <w:rsid w:val="006E22B9"/>
    <w:rsid w:val="00706757"/>
    <w:rsid w:val="0074160A"/>
    <w:rsid w:val="00796D0F"/>
    <w:rsid w:val="007F38B1"/>
    <w:rsid w:val="00831A35"/>
    <w:rsid w:val="00856708"/>
    <w:rsid w:val="00893E0A"/>
    <w:rsid w:val="008A5304"/>
    <w:rsid w:val="00935809"/>
    <w:rsid w:val="00951B85"/>
    <w:rsid w:val="009C6AD4"/>
    <w:rsid w:val="009E38CC"/>
    <w:rsid w:val="00A63E1B"/>
    <w:rsid w:val="00A70E7A"/>
    <w:rsid w:val="00A71A1E"/>
    <w:rsid w:val="00A75F6E"/>
    <w:rsid w:val="00A773DE"/>
    <w:rsid w:val="00AC1FF3"/>
    <w:rsid w:val="00AD02D0"/>
    <w:rsid w:val="00AE7AD0"/>
    <w:rsid w:val="00B0301E"/>
    <w:rsid w:val="00B3726E"/>
    <w:rsid w:val="00B51DC6"/>
    <w:rsid w:val="00B54A09"/>
    <w:rsid w:val="00BA5261"/>
    <w:rsid w:val="00BC0756"/>
    <w:rsid w:val="00C15EDB"/>
    <w:rsid w:val="00C7337B"/>
    <w:rsid w:val="00C92850"/>
    <w:rsid w:val="00C96901"/>
    <w:rsid w:val="00CD46A2"/>
    <w:rsid w:val="00D25E98"/>
    <w:rsid w:val="00D42F22"/>
    <w:rsid w:val="00D65DF9"/>
    <w:rsid w:val="00D918F0"/>
    <w:rsid w:val="00E01F8A"/>
    <w:rsid w:val="00E1151E"/>
    <w:rsid w:val="00E364D2"/>
    <w:rsid w:val="00E45711"/>
    <w:rsid w:val="00E7294B"/>
    <w:rsid w:val="00EB409B"/>
    <w:rsid w:val="00ED6759"/>
    <w:rsid w:val="00F029DE"/>
    <w:rsid w:val="00F50DDA"/>
    <w:rsid w:val="00F830DC"/>
    <w:rsid w:val="00FA1A41"/>
    <w:rsid w:val="00FB09A8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F9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F9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DF9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DF9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y.management.plasma@bloo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152DD5AA</Template>
  <TotalTime>536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Donna</dc:creator>
  <cp:lastModifiedBy>Nicholls, Donna</cp:lastModifiedBy>
  <cp:revision>36</cp:revision>
  <dcterms:created xsi:type="dcterms:W3CDTF">2014-04-09T04:24:00Z</dcterms:created>
  <dcterms:modified xsi:type="dcterms:W3CDTF">2014-05-28T01:18:00Z</dcterms:modified>
</cp:coreProperties>
</file>