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6E" w:rsidRDefault="00B3726E" w:rsidP="006E22B9">
      <w:bookmarkStart w:id="0" w:name="_Toc275414998"/>
      <w:bookmarkEnd w:id="0"/>
    </w:p>
    <w:p w:rsidR="000054CE" w:rsidRDefault="000054CE" w:rsidP="006E22B9"/>
    <w:p w:rsidR="000054CE" w:rsidRDefault="000054CE" w:rsidP="000054CE">
      <w:pPr>
        <w:pStyle w:val="Heading1"/>
        <w:jc w:val="center"/>
      </w:pPr>
      <w:r>
        <w:t xml:space="preserve">Transition Principles – </w:t>
      </w:r>
      <w:proofErr w:type="spellStart"/>
      <w:r>
        <w:t>rFVIII</w:t>
      </w:r>
      <w:proofErr w:type="spellEnd"/>
    </w:p>
    <w:p w:rsidR="00162CD6" w:rsidRDefault="00162CD6" w:rsidP="000054CE">
      <w:pPr>
        <w:rPr>
          <w:rFonts w:ascii="Calibri" w:hAnsi="Calibri" w:cs="Calibri"/>
          <w:sz w:val="22"/>
          <w:szCs w:val="22"/>
        </w:rPr>
      </w:pPr>
    </w:p>
    <w:p w:rsidR="00162CD6" w:rsidRPr="00162CD6" w:rsidRDefault="00162CD6" w:rsidP="00162CD6">
      <w:pPr>
        <w:rPr>
          <w:rFonts w:ascii="Calibri" w:hAnsi="Calibri" w:cs="Calibri"/>
          <w:sz w:val="22"/>
          <w:szCs w:val="22"/>
        </w:rPr>
      </w:pPr>
      <w:r w:rsidRPr="00162CD6">
        <w:rPr>
          <w:rFonts w:ascii="Calibri" w:hAnsi="Calibri" w:cs="Calibri"/>
          <w:sz w:val="22"/>
          <w:szCs w:val="22"/>
        </w:rPr>
        <w:t>The National Blood Authority (NBA)</w:t>
      </w:r>
      <w:r w:rsidR="007A66EA">
        <w:rPr>
          <w:rFonts w:ascii="Calibri" w:hAnsi="Calibri" w:cs="Calibri"/>
          <w:sz w:val="22"/>
          <w:szCs w:val="22"/>
        </w:rPr>
        <w:t>, on behalf of all Australian governments</w:t>
      </w:r>
      <w:r w:rsidRPr="00162CD6">
        <w:rPr>
          <w:rFonts w:ascii="Calibri" w:hAnsi="Calibri" w:cs="Calibri"/>
          <w:sz w:val="22"/>
          <w:szCs w:val="22"/>
        </w:rPr>
        <w:t xml:space="preserve"> has successfully concluded the tender process for the supply of recombinant Factor VIII (</w:t>
      </w:r>
      <w:proofErr w:type="spellStart"/>
      <w:r w:rsidRPr="00162CD6">
        <w:rPr>
          <w:rFonts w:ascii="Calibri" w:hAnsi="Calibri" w:cs="Calibri"/>
          <w:sz w:val="22"/>
          <w:szCs w:val="22"/>
        </w:rPr>
        <w:t>rVIII</w:t>
      </w:r>
      <w:proofErr w:type="spellEnd"/>
      <w:r w:rsidRPr="00162CD6">
        <w:rPr>
          <w:rFonts w:ascii="Calibri" w:hAnsi="Calibri" w:cs="Calibri"/>
          <w:sz w:val="22"/>
          <w:szCs w:val="22"/>
        </w:rPr>
        <w:t>) and IX (</w:t>
      </w:r>
      <w:proofErr w:type="spellStart"/>
      <w:r w:rsidRPr="00162CD6">
        <w:rPr>
          <w:rFonts w:ascii="Calibri" w:hAnsi="Calibri" w:cs="Calibri"/>
          <w:sz w:val="22"/>
          <w:szCs w:val="22"/>
        </w:rPr>
        <w:t>rFIX</w:t>
      </w:r>
      <w:proofErr w:type="spellEnd"/>
      <w:r w:rsidRPr="00162CD6">
        <w:rPr>
          <w:rFonts w:ascii="Calibri" w:hAnsi="Calibri" w:cs="Calibri"/>
          <w:sz w:val="22"/>
          <w:szCs w:val="22"/>
        </w:rPr>
        <w:t xml:space="preserve">) products, to replace the contracts for these products which expire on 30 June 2014. </w:t>
      </w:r>
    </w:p>
    <w:p w:rsidR="00162CD6" w:rsidRDefault="00162CD6" w:rsidP="00162CD6"/>
    <w:p w:rsidR="00162CD6" w:rsidRPr="00162CD6" w:rsidRDefault="00162CD6" w:rsidP="00162CD6">
      <w:pPr>
        <w:rPr>
          <w:rFonts w:ascii="Calibri" w:hAnsi="Calibri" w:cs="Calibri"/>
          <w:sz w:val="22"/>
          <w:szCs w:val="22"/>
        </w:rPr>
      </w:pPr>
      <w:r w:rsidRPr="00162CD6">
        <w:rPr>
          <w:rFonts w:ascii="Calibri" w:hAnsi="Calibri" w:cs="Calibri"/>
          <w:sz w:val="22"/>
          <w:szCs w:val="22"/>
        </w:rPr>
        <w:t>Patients will continue to have access to these products free of charge under the national blood arrangements.</w:t>
      </w:r>
    </w:p>
    <w:p w:rsidR="00162CD6" w:rsidRPr="00162CD6" w:rsidRDefault="00162CD6" w:rsidP="00162CD6">
      <w:pPr>
        <w:rPr>
          <w:rFonts w:ascii="Calibri" w:hAnsi="Calibri" w:cs="Calibri"/>
          <w:sz w:val="22"/>
          <w:szCs w:val="22"/>
        </w:rPr>
      </w:pPr>
    </w:p>
    <w:p w:rsidR="000054CE" w:rsidRPr="00411D5A" w:rsidRDefault="000054CE" w:rsidP="000054CE">
      <w:pPr>
        <w:rPr>
          <w:rFonts w:ascii="Calibri" w:hAnsi="Calibri" w:cs="Calibri"/>
          <w:sz w:val="22"/>
          <w:szCs w:val="22"/>
        </w:rPr>
      </w:pPr>
      <w:r w:rsidRPr="00411D5A">
        <w:rPr>
          <w:rFonts w:ascii="Calibri" w:hAnsi="Calibri" w:cs="Calibri"/>
          <w:sz w:val="22"/>
          <w:szCs w:val="22"/>
        </w:rPr>
        <w:t xml:space="preserve">As a result of </w:t>
      </w:r>
      <w:r w:rsidR="00162CD6">
        <w:rPr>
          <w:rFonts w:ascii="Calibri" w:hAnsi="Calibri" w:cs="Calibri"/>
          <w:sz w:val="22"/>
          <w:szCs w:val="22"/>
        </w:rPr>
        <w:t xml:space="preserve">the </w:t>
      </w:r>
      <w:r w:rsidRPr="00411D5A">
        <w:rPr>
          <w:rFonts w:ascii="Calibri" w:hAnsi="Calibri" w:cs="Calibri"/>
          <w:sz w:val="22"/>
          <w:szCs w:val="22"/>
        </w:rPr>
        <w:t xml:space="preserve">tendering for </w:t>
      </w:r>
      <w:proofErr w:type="spellStart"/>
      <w:r w:rsidRPr="00411D5A">
        <w:rPr>
          <w:rFonts w:ascii="Calibri" w:hAnsi="Calibri" w:cs="Calibri"/>
          <w:sz w:val="22"/>
          <w:szCs w:val="22"/>
        </w:rPr>
        <w:t>rFVIII</w:t>
      </w:r>
      <w:proofErr w:type="spellEnd"/>
      <w:r w:rsidRPr="00411D5A">
        <w:rPr>
          <w:rFonts w:ascii="Calibri" w:hAnsi="Calibri" w:cs="Calibri"/>
          <w:sz w:val="22"/>
          <w:szCs w:val="22"/>
        </w:rPr>
        <w:t xml:space="preserve"> products, a number of patients </w:t>
      </w:r>
      <w:r w:rsidR="004C5B0E">
        <w:rPr>
          <w:rFonts w:ascii="Calibri" w:hAnsi="Calibri" w:cs="Calibri"/>
          <w:sz w:val="22"/>
          <w:szCs w:val="22"/>
        </w:rPr>
        <w:t xml:space="preserve">will need to change </w:t>
      </w:r>
      <w:r w:rsidRPr="00411D5A">
        <w:rPr>
          <w:rFonts w:ascii="Calibri" w:hAnsi="Calibri" w:cs="Calibri"/>
          <w:sz w:val="22"/>
          <w:szCs w:val="22"/>
        </w:rPr>
        <w:t>from one product to another because the patient’s current product will no longer be supplied and funded under the national blood arrangements.</w:t>
      </w:r>
    </w:p>
    <w:p w:rsidR="000054CE" w:rsidRDefault="000054CE" w:rsidP="000054CE">
      <w:pPr>
        <w:rPr>
          <w:sz w:val="22"/>
          <w:szCs w:val="22"/>
        </w:rPr>
      </w:pPr>
    </w:p>
    <w:p w:rsidR="00162CD6" w:rsidRDefault="00162CD6" w:rsidP="00162CD6">
      <w:pPr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The details of the new supply arrangements for these products compared to the previous arrangement are outlined in the table below.</w:t>
      </w:r>
    </w:p>
    <w:p w:rsidR="00162CD6" w:rsidRDefault="00162CD6" w:rsidP="00162CD6">
      <w:pPr>
        <w:rPr>
          <w:rFonts w:ascii="Calibri" w:hAnsi="Calibri" w:cs="Calibri"/>
          <w:color w:val="222222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3621"/>
        <w:gridCol w:w="4110"/>
      </w:tblGrid>
      <w:tr w:rsidR="00B34351" w:rsidRPr="00C150D2" w:rsidTr="00460AAA">
        <w:tc>
          <w:tcPr>
            <w:tcW w:w="1341" w:type="dxa"/>
            <w:shd w:val="clear" w:color="auto" w:fill="auto"/>
          </w:tcPr>
          <w:p w:rsidR="00B34351" w:rsidRPr="00C150D2" w:rsidRDefault="00B34351" w:rsidP="009B463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150D2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C150D2">
              <w:rPr>
                <w:rFonts w:ascii="Calibri" w:hAnsi="Calibri" w:cs="Calibri"/>
                <w:b/>
                <w:sz w:val="22"/>
                <w:szCs w:val="22"/>
              </w:rPr>
              <w:t>Imported Product</w:t>
            </w:r>
          </w:p>
        </w:tc>
        <w:tc>
          <w:tcPr>
            <w:tcW w:w="3621" w:type="dxa"/>
          </w:tcPr>
          <w:p w:rsidR="00B34351" w:rsidRPr="00C150D2" w:rsidRDefault="00B34351" w:rsidP="00B343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150D2">
              <w:rPr>
                <w:rFonts w:ascii="Calibri" w:hAnsi="Calibri" w:cs="Calibri"/>
                <w:b/>
                <w:sz w:val="22"/>
                <w:szCs w:val="22"/>
              </w:rPr>
              <w:t>New Arrangements</w:t>
            </w:r>
          </w:p>
          <w:p w:rsidR="00B34351" w:rsidRPr="00C150D2" w:rsidRDefault="00B34351" w:rsidP="00B343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150D2">
              <w:rPr>
                <w:rFonts w:ascii="Calibri" w:hAnsi="Calibri" w:cs="Calibri"/>
                <w:b/>
                <w:i/>
                <w:sz w:val="22"/>
                <w:szCs w:val="22"/>
              </w:rPr>
              <w:t>Trade Name (Supplier)</w:t>
            </w:r>
          </w:p>
        </w:tc>
        <w:tc>
          <w:tcPr>
            <w:tcW w:w="4110" w:type="dxa"/>
            <w:shd w:val="clear" w:color="auto" w:fill="auto"/>
          </w:tcPr>
          <w:p w:rsidR="00B34351" w:rsidRPr="00C150D2" w:rsidRDefault="00B34351" w:rsidP="009B463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150D2">
              <w:rPr>
                <w:rFonts w:ascii="Calibri" w:hAnsi="Calibri" w:cs="Calibri"/>
                <w:b/>
                <w:sz w:val="22"/>
                <w:szCs w:val="22"/>
              </w:rPr>
              <w:t xml:space="preserve">Previous Arrangements </w:t>
            </w:r>
          </w:p>
          <w:p w:rsidR="00B34351" w:rsidRPr="00C150D2" w:rsidRDefault="00B34351" w:rsidP="009B463E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150D2">
              <w:rPr>
                <w:rFonts w:ascii="Calibri" w:hAnsi="Calibri" w:cs="Calibri"/>
                <w:b/>
                <w:i/>
                <w:sz w:val="22"/>
                <w:szCs w:val="22"/>
              </w:rPr>
              <w:t>Trade Name (Supplier)</w:t>
            </w:r>
          </w:p>
        </w:tc>
      </w:tr>
      <w:tr w:rsidR="00B34351" w:rsidRPr="00C150D2" w:rsidTr="00460AAA">
        <w:tc>
          <w:tcPr>
            <w:tcW w:w="1341" w:type="dxa"/>
            <w:vMerge w:val="restart"/>
            <w:shd w:val="clear" w:color="auto" w:fill="auto"/>
          </w:tcPr>
          <w:p w:rsidR="00B34351" w:rsidRPr="00C150D2" w:rsidRDefault="00B34351" w:rsidP="009B463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34351" w:rsidRPr="00C150D2" w:rsidRDefault="00B34351" w:rsidP="009B463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150D2">
              <w:rPr>
                <w:rFonts w:ascii="Calibri" w:hAnsi="Calibri" w:cs="Calibri"/>
                <w:sz w:val="22"/>
                <w:szCs w:val="22"/>
              </w:rPr>
              <w:t>rFVIII</w:t>
            </w:r>
            <w:proofErr w:type="spellEnd"/>
          </w:p>
        </w:tc>
        <w:tc>
          <w:tcPr>
            <w:tcW w:w="3621" w:type="dxa"/>
          </w:tcPr>
          <w:p w:rsidR="00B34351" w:rsidRPr="009B463E" w:rsidRDefault="00B34351" w:rsidP="00B34351">
            <w:pPr>
              <w:spacing w:line="276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B463E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National preferred </w:t>
            </w:r>
            <w:proofErr w:type="spellStart"/>
            <w:r w:rsidRPr="009B463E">
              <w:rPr>
                <w:rFonts w:ascii="Calibri" w:hAnsi="Calibri" w:cs="Calibri"/>
                <w:b/>
                <w:i/>
                <w:sz w:val="22"/>
                <w:szCs w:val="22"/>
              </w:rPr>
              <w:t>rFVIII</w:t>
            </w:r>
            <w:proofErr w:type="spellEnd"/>
            <w:r w:rsidRPr="009B463E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product</w:t>
            </w:r>
          </w:p>
          <w:p w:rsidR="00B34351" w:rsidRPr="00C150D2" w:rsidRDefault="00B34351" w:rsidP="00B3435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150D2">
              <w:rPr>
                <w:rFonts w:ascii="Calibri" w:hAnsi="Calibri" w:cs="Calibri"/>
                <w:sz w:val="22"/>
                <w:szCs w:val="22"/>
              </w:rPr>
              <w:t xml:space="preserve">ADVATE (Baxter) </w:t>
            </w:r>
          </w:p>
        </w:tc>
        <w:tc>
          <w:tcPr>
            <w:tcW w:w="4110" w:type="dxa"/>
            <w:shd w:val="clear" w:color="auto" w:fill="auto"/>
          </w:tcPr>
          <w:p w:rsidR="00B34351" w:rsidRDefault="00B34351" w:rsidP="009B463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B34351" w:rsidRPr="00C150D2" w:rsidRDefault="00B34351" w:rsidP="009B463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4351" w:rsidRPr="00C150D2" w:rsidTr="00460AAA">
        <w:tc>
          <w:tcPr>
            <w:tcW w:w="1341" w:type="dxa"/>
            <w:vMerge/>
            <w:shd w:val="clear" w:color="auto" w:fill="auto"/>
          </w:tcPr>
          <w:p w:rsidR="00B34351" w:rsidRPr="00C150D2" w:rsidDel="003A3698" w:rsidRDefault="00B34351" w:rsidP="009B46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1" w:type="dxa"/>
          </w:tcPr>
          <w:p w:rsidR="00B34351" w:rsidRPr="00C150D2" w:rsidRDefault="00B34351" w:rsidP="00B3435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150D2">
              <w:rPr>
                <w:rFonts w:ascii="Calibri" w:hAnsi="Calibri" w:cs="Calibri"/>
                <w:sz w:val="22"/>
                <w:szCs w:val="22"/>
              </w:rPr>
              <w:t>Xyntha</w:t>
            </w:r>
            <w:proofErr w:type="spellEnd"/>
            <w:r w:rsidRPr="00C150D2">
              <w:rPr>
                <w:rFonts w:ascii="Calibri" w:hAnsi="Calibri" w:cs="Calibri"/>
                <w:sz w:val="22"/>
                <w:szCs w:val="22"/>
              </w:rPr>
              <w:t xml:space="preserve"> (Pfizer)</w:t>
            </w:r>
          </w:p>
        </w:tc>
        <w:tc>
          <w:tcPr>
            <w:tcW w:w="4110" w:type="dxa"/>
            <w:shd w:val="clear" w:color="auto" w:fill="auto"/>
          </w:tcPr>
          <w:p w:rsidR="00B34351" w:rsidRPr="00C150D2" w:rsidDel="0099246D" w:rsidRDefault="00B34351" w:rsidP="009B463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150D2">
              <w:rPr>
                <w:rFonts w:ascii="Calibri" w:hAnsi="Calibri" w:cs="Calibri"/>
                <w:sz w:val="22"/>
                <w:szCs w:val="22"/>
              </w:rPr>
              <w:t>Xyntha</w:t>
            </w:r>
            <w:proofErr w:type="spellEnd"/>
            <w:r w:rsidRPr="00C150D2">
              <w:rPr>
                <w:rFonts w:ascii="Calibri" w:hAnsi="Calibri" w:cs="Calibri"/>
                <w:sz w:val="22"/>
                <w:szCs w:val="22"/>
              </w:rPr>
              <w:t xml:space="preserve"> (Pfizer)</w:t>
            </w:r>
          </w:p>
        </w:tc>
      </w:tr>
      <w:tr w:rsidR="00B34351" w:rsidRPr="00C150D2" w:rsidTr="00460AAA">
        <w:tc>
          <w:tcPr>
            <w:tcW w:w="1341" w:type="dxa"/>
            <w:vMerge/>
            <w:shd w:val="clear" w:color="auto" w:fill="auto"/>
          </w:tcPr>
          <w:p w:rsidR="00B34351" w:rsidRPr="00C150D2" w:rsidRDefault="00B34351" w:rsidP="009B46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1" w:type="dxa"/>
          </w:tcPr>
          <w:p w:rsidR="00B34351" w:rsidRDefault="00B34351" w:rsidP="00B3435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Kogenate</w:t>
            </w:r>
            <w:proofErr w:type="spellEnd"/>
            <w:r w:rsidRPr="00C150D2">
              <w:rPr>
                <w:rFonts w:ascii="Calibri" w:hAnsi="Calibri" w:cs="Calibri"/>
                <w:sz w:val="22"/>
                <w:szCs w:val="22"/>
              </w:rPr>
              <w:t xml:space="preserve"> FS</w:t>
            </w: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Pr="00C150D2">
              <w:rPr>
                <w:rFonts w:ascii="Calibri" w:hAnsi="Calibri" w:cs="Calibri"/>
                <w:sz w:val="22"/>
                <w:szCs w:val="22"/>
              </w:rPr>
              <w:t xml:space="preserve"> (Bayer)</w:t>
            </w:r>
          </w:p>
          <w:p w:rsidR="00B34351" w:rsidRPr="00BC1D22" w:rsidRDefault="00B34351" w:rsidP="00B34351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BC1D22">
              <w:rPr>
                <w:rFonts w:ascii="Calibri" w:hAnsi="Calibri" w:cs="Calibri"/>
                <w:i/>
                <w:sz w:val="22"/>
                <w:szCs w:val="22"/>
              </w:rPr>
              <w:t>Not available after a transition period</w:t>
            </w:r>
          </w:p>
        </w:tc>
        <w:tc>
          <w:tcPr>
            <w:tcW w:w="4110" w:type="dxa"/>
            <w:shd w:val="clear" w:color="auto" w:fill="auto"/>
          </w:tcPr>
          <w:p w:rsidR="00B34351" w:rsidRPr="00C150D2" w:rsidRDefault="00B34351" w:rsidP="009B463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Kogenate</w:t>
            </w:r>
            <w:proofErr w:type="spellEnd"/>
            <w:r w:rsidRPr="00C150D2">
              <w:rPr>
                <w:rFonts w:ascii="Calibri" w:hAnsi="Calibri" w:cs="Calibri"/>
                <w:sz w:val="22"/>
                <w:szCs w:val="22"/>
              </w:rPr>
              <w:t xml:space="preserve"> FS (Bayer)</w:t>
            </w:r>
          </w:p>
        </w:tc>
      </w:tr>
      <w:tr w:rsidR="00B34351" w:rsidRPr="00C150D2" w:rsidTr="00460AAA">
        <w:tc>
          <w:tcPr>
            <w:tcW w:w="1341" w:type="dxa"/>
            <w:vMerge w:val="restart"/>
            <w:shd w:val="clear" w:color="auto" w:fill="auto"/>
            <w:vAlign w:val="center"/>
          </w:tcPr>
          <w:p w:rsidR="00B34351" w:rsidRPr="00C150D2" w:rsidRDefault="00B34351" w:rsidP="009B463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150D2">
              <w:rPr>
                <w:rFonts w:ascii="Calibri" w:hAnsi="Calibri" w:cs="Calibri"/>
                <w:sz w:val="22"/>
                <w:szCs w:val="22"/>
              </w:rPr>
              <w:t>rFIX</w:t>
            </w:r>
            <w:proofErr w:type="spellEnd"/>
          </w:p>
        </w:tc>
        <w:tc>
          <w:tcPr>
            <w:tcW w:w="3621" w:type="dxa"/>
          </w:tcPr>
          <w:p w:rsidR="00B34351" w:rsidRPr="00C150D2" w:rsidRDefault="00B34351" w:rsidP="00B3435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150D2">
              <w:rPr>
                <w:rFonts w:ascii="Calibri" w:hAnsi="Calibri" w:cs="Calibri"/>
                <w:sz w:val="22"/>
                <w:szCs w:val="22"/>
              </w:rPr>
              <w:t>BeneFIX</w:t>
            </w:r>
            <w:proofErr w:type="spellEnd"/>
            <w:r w:rsidRPr="00C150D2">
              <w:rPr>
                <w:rFonts w:ascii="Calibri" w:hAnsi="Calibri" w:cs="Calibri"/>
                <w:sz w:val="22"/>
                <w:szCs w:val="22"/>
              </w:rPr>
              <w:t xml:space="preserve"> (Pfizer)</w:t>
            </w:r>
          </w:p>
        </w:tc>
        <w:tc>
          <w:tcPr>
            <w:tcW w:w="4110" w:type="dxa"/>
            <w:shd w:val="clear" w:color="auto" w:fill="auto"/>
          </w:tcPr>
          <w:p w:rsidR="00B34351" w:rsidRPr="00C150D2" w:rsidRDefault="00B34351" w:rsidP="009B463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150D2">
              <w:rPr>
                <w:rFonts w:ascii="Calibri" w:hAnsi="Calibri" w:cs="Calibri"/>
                <w:sz w:val="22"/>
                <w:szCs w:val="22"/>
              </w:rPr>
              <w:t>BeneFIX</w:t>
            </w:r>
            <w:proofErr w:type="spellEnd"/>
            <w:r w:rsidRPr="00C150D2">
              <w:rPr>
                <w:rFonts w:ascii="Calibri" w:hAnsi="Calibri" w:cs="Calibri"/>
                <w:sz w:val="22"/>
                <w:szCs w:val="22"/>
              </w:rPr>
              <w:t xml:space="preserve"> (Pfizer)</w:t>
            </w:r>
          </w:p>
        </w:tc>
      </w:tr>
      <w:tr w:rsidR="00B34351" w:rsidRPr="00C150D2" w:rsidTr="00460AAA">
        <w:tc>
          <w:tcPr>
            <w:tcW w:w="1341" w:type="dxa"/>
            <w:vMerge/>
            <w:shd w:val="clear" w:color="auto" w:fill="auto"/>
          </w:tcPr>
          <w:p w:rsidR="00B34351" w:rsidRPr="00C150D2" w:rsidRDefault="00B34351" w:rsidP="009B46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1" w:type="dxa"/>
          </w:tcPr>
          <w:p w:rsidR="00B34351" w:rsidRPr="00C150D2" w:rsidRDefault="00B34351" w:rsidP="00B3435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RIXUBIS</w:t>
            </w:r>
            <w:r w:rsidRPr="00C150D2">
              <w:rPr>
                <w:rFonts w:ascii="Calibri" w:hAnsi="Calibri" w:cs="Calibri"/>
                <w:sz w:val="22"/>
                <w:szCs w:val="22"/>
              </w:rPr>
              <w:t>** (Baxter)</w:t>
            </w:r>
          </w:p>
        </w:tc>
        <w:tc>
          <w:tcPr>
            <w:tcW w:w="4110" w:type="dxa"/>
            <w:shd w:val="clear" w:color="auto" w:fill="auto"/>
          </w:tcPr>
          <w:p w:rsidR="00B34351" w:rsidRPr="00C150D2" w:rsidRDefault="00B34351" w:rsidP="009B463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62CD6" w:rsidRPr="00C150D2" w:rsidRDefault="00162CD6" w:rsidP="00162CD6">
      <w:pPr>
        <w:spacing w:after="200"/>
        <w:rPr>
          <w:rFonts w:ascii="Calibri" w:eastAsia="Dotum" w:hAnsi="Calibri" w:cs="Calibri"/>
          <w:sz w:val="18"/>
          <w:szCs w:val="18"/>
          <w:lang w:eastAsia="en-US"/>
        </w:rPr>
      </w:pPr>
      <w:r w:rsidRPr="00C150D2">
        <w:rPr>
          <w:rFonts w:ascii="Calibri" w:eastAsia="Dotum" w:hAnsi="Calibri" w:cs="Calibri"/>
          <w:sz w:val="18"/>
          <w:szCs w:val="18"/>
          <w:lang w:eastAsia="en-US"/>
        </w:rPr>
        <w:t>*</w:t>
      </w:r>
      <w:r w:rsidRPr="00C150D2">
        <w:rPr>
          <w:rFonts w:ascii="Calibri" w:eastAsia="Dotum" w:hAnsi="Calibri" w:cs="Calibri"/>
          <w:sz w:val="22"/>
          <w:szCs w:val="22"/>
          <w:lang w:eastAsia="en-US"/>
        </w:rPr>
        <w:t xml:space="preserve"> </w:t>
      </w:r>
      <w:r w:rsidRPr="00C150D2">
        <w:rPr>
          <w:rFonts w:ascii="Calibri" w:eastAsia="Dotum" w:hAnsi="Calibri" w:cs="Calibri"/>
          <w:sz w:val="18"/>
          <w:szCs w:val="18"/>
          <w:lang w:eastAsia="en-US"/>
        </w:rPr>
        <w:t xml:space="preserve">For patients on active immune tolerance therapy using </w:t>
      </w:r>
      <w:proofErr w:type="spellStart"/>
      <w:r w:rsidRPr="00C150D2">
        <w:rPr>
          <w:rFonts w:ascii="Calibri" w:eastAsia="Dotum" w:hAnsi="Calibri" w:cs="Calibri"/>
          <w:sz w:val="18"/>
          <w:szCs w:val="18"/>
          <w:lang w:eastAsia="en-US"/>
        </w:rPr>
        <w:t>Kogenate</w:t>
      </w:r>
      <w:proofErr w:type="spellEnd"/>
      <w:r w:rsidRPr="00C150D2">
        <w:rPr>
          <w:rFonts w:ascii="Calibri" w:eastAsia="Dotum" w:hAnsi="Calibri" w:cs="Calibri"/>
          <w:sz w:val="18"/>
          <w:szCs w:val="18"/>
          <w:lang w:eastAsia="en-US"/>
        </w:rPr>
        <w:t xml:space="preserve"> FS as at the time of the tender announcement, exceptional arrangements will be available for continuation of this product for a longer period where this is clinically necessary.</w:t>
      </w:r>
    </w:p>
    <w:p w:rsidR="00162CD6" w:rsidRPr="00C150D2" w:rsidRDefault="00162CD6" w:rsidP="00162CD6">
      <w:pPr>
        <w:spacing w:after="200"/>
        <w:rPr>
          <w:rFonts w:ascii="Calibri" w:eastAsia="Dotum" w:hAnsi="Calibri" w:cs="Calibri"/>
          <w:sz w:val="22"/>
          <w:szCs w:val="22"/>
          <w:lang w:eastAsia="en-US"/>
        </w:rPr>
      </w:pPr>
      <w:r w:rsidRPr="00C150D2">
        <w:rPr>
          <w:rFonts w:ascii="Calibri" w:eastAsia="Dotum" w:hAnsi="Calibri" w:cs="Calibri"/>
          <w:sz w:val="18"/>
          <w:szCs w:val="18"/>
          <w:lang w:eastAsia="en-US"/>
        </w:rPr>
        <w:t>**At the time of implementation of the new arrangements from 1 July 2014, the registered indications for R</w:t>
      </w:r>
      <w:r w:rsidR="006C05B7" w:rsidRPr="00C150D2">
        <w:rPr>
          <w:rFonts w:ascii="Calibri" w:eastAsia="Dotum" w:hAnsi="Calibri" w:cs="Calibri"/>
          <w:sz w:val="18"/>
          <w:szCs w:val="18"/>
          <w:lang w:eastAsia="en-US"/>
        </w:rPr>
        <w:t>IXUBIS</w:t>
      </w:r>
      <w:r w:rsidRPr="00C150D2">
        <w:rPr>
          <w:rFonts w:ascii="Calibri" w:eastAsia="Dotum" w:hAnsi="Calibri" w:cs="Calibri"/>
          <w:sz w:val="18"/>
          <w:szCs w:val="18"/>
          <w:lang w:eastAsia="en-US"/>
        </w:rPr>
        <w:t xml:space="preserve"> will include routine prophylaxis, treatment and prevention of bleeding episodes, and perioperative management in adults </w:t>
      </w:r>
      <w:r w:rsidR="006C05B7">
        <w:rPr>
          <w:rFonts w:ascii="Calibri" w:eastAsia="Dotum" w:hAnsi="Calibri" w:cs="Calibri"/>
          <w:sz w:val="18"/>
          <w:szCs w:val="18"/>
          <w:lang w:eastAsia="en-US"/>
        </w:rPr>
        <w:t>(18</w:t>
      </w:r>
      <w:r w:rsidR="009B463E">
        <w:rPr>
          <w:rFonts w:ascii="Calibri" w:eastAsia="Dotum" w:hAnsi="Calibri" w:cs="Calibri"/>
          <w:sz w:val="18"/>
          <w:szCs w:val="18"/>
          <w:lang w:eastAsia="en-US"/>
        </w:rPr>
        <w:t xml:space="preserve"> years and older) </w:t>
      </w:r>
      <w:r w:rsidRPr="00C150D2">
        <w:rPr>
          <w:rFonts w:ascii="Calibri" w:eastAsia="Dotum" w:hAnsi="Calibri" w:cs="Calibri"/>
          <w:sz w:val="18"/>
          <w:szCs w:val="18"/>
          <w:lang w:eastAsia="en-US"/>
        </w:rPr>
        <w:t xml:space="preserve">in haemophilia B, but will </w:t>
      </w:r>
      <w:r w:rsidRPr="00E849C4">
        <w:rPr>
          <w:rFonts w:ascii="Calibri" w:eastAsia="Dotum" w:hAnsi="Calibri" w:cs="Calibri"/>
          <w:b/>
          <w:sz w:val="18"/>
          <w:szCs w:val="18"/>
          <w:lang w:eastAsia="en-US"/>
        </w:rPr>
        <w:t>not</w:t>
      </w:r>
      <w:r w:rsidRPr="00C150D2">
        <w:rPr>
          <w:rFonts w:ascii="Calibri" w:eastAsia="Dotum" w:hAnsi="Calibri" w:cs="Calibri"/>
          <w:sz w:val="18"/>
          <w:szCs w:val="18"/>
          <w:lang w:eastAsia="en-US"/>
        </w:rPr>
        <w:t xml:space="preserve"> include registered indications for paediatric patients</w:t>
      </w:r>
      <w:r w:rsidR="009B463E">
        <w:rPr>
          <w:rFonts w:ascii="Calibri" w:eastAsia="Dotum" w:hAnsi="Calibri" w:cs="Calibri"/>
          <w:sz w:val="18"/>
          <w:szCs w:val="18"/>
          <w:lang w:eastAsia="en-US"/>
        </w:rPr>
        <w:t>.</w:t>
      </w:r>
    </w:p>
    <w:p w:rsidR="002B2FFD" w:rsidRDefault="00BC1D22" w:rsidP="002B2FFD">
      <w:pPr>
        <w:rPr>
          <w:rFonts w:ascii="Calibri" w:hAnsi="Calibri" w:cs="Calibri"/>
          <w:sz w:val="22"/>
          <w:szCs w:val="22"/>
        </w:rPr>
      </w:pPr>
      <w:r w:rsidRPr="00BC1D22">
        <w:rPr>
          <w:rFonts w:ascii="Calibri" w:hAnsi="Calibri" w:cs="Calibri"/>
          <w:sz w:val="22"/>
          <w:szCs w:val="22"/>
        </w:rPr>
        <w:t xml:space="preserve">From 1 July 2014 the </w:t>
      </w:r>
      <w:proofErr w:type="spellStart"/>
      <w:r w:rsidRPr="00BC1D22">
        <w:rPr>
          <w:rFonts w:ascii="Calibri" w:hAnsi="Calibri" w:cs="Calibri"/>
          <w:sz w:val="22"/>
          <w:szCs w:val="22"/>
        </w:rPr>
        <w:t>rFVIII</w:t>
      </w:r>
      <w:proofErr w:type="spellEnd"/>
      <w:r w:rsidRPr="00BC1D22">
        <w:rPr>
          <w:rFonts w:ascii="Calibri" w:hAnsi="Calibri" w:cs="Calibri"/>
          <w:sz w:val="22"/>
          <w:szCs w:val="22"/>
        </w:rPr>
        <w:t xml:space="preserve"> products provided under the national supply arrangements to treat Haemophilia A will be the Baxter product ADVATE and the Pfizer product </w:t>
      </w:r>
      <w:proofErr w:type="spellStart"/>
      <w:r w:rsidRPr="00BC1D22">
        <w:rPr>
          <w:rFonts w:ascii="Calibri" w:hAnsi="Calibri" w:cs="Calibri"/>
          <w:sz w:val="22"/>
          <w:szCs w:val="22"/>
        </w:rPr>
        <w:t>Xyntha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r w:rsidRPr="00411D5A">
        <w:rPr>
          <w:rFonts w:ascii="Calibri" w:hAnsi="Calibri" w:cs="Calibri"/>
          <w:sz w:val="22"/>
          <w:szCs w:val="22"/>
        </w:rPr>
        <w:t xml:space="preserve"> </w:t>
      </w:r>
      <w:r w:rsidR="002B2FFD" w:rsidRPr="00411D5A">
        <w:rPr>
          <w:rFonts w:ascii="Calibri" w:hAnsi="Calibri" w:cs="Calibri"/>
          <w:sz w:val="22"/>
          <w:szCs w:val="22"/>
        </w:rPr>
        <w:t xml:space="preserve">The new supply arrangements </w:t>
      </w:r>
      <w:r w:rsidR="009B463E">
        <w:rPr>
          <w:rFonts w:ascii="Calibri" w:hAnsi="Calibri" w:cs="Calibri"/>
          <w:sz w:val="22"/>
          <w:szCs w:val="22"/>
        </w:rPr>
        <w:t xml:space="preserve">will apply </w:t>
      </w:r>
      <w:r w:rsidR="00736479">
        <w:rPr>
          <w:rFonts w:ascii="Calibri" w:hAnsi="Calibri" w:cs="Calibri"/>
          <w:sz w:val="22"/>
          <w:szCs w:val="22"/>
        </w:rPr>
        <w:t xml:space="preserve">for </w:t>
      </w:r>
      <w:r w:rsidR="009B463E">
        <w:rPr>
          <w:rFonts w:ascii="Calibri" w:hAnsi="Calibri" w:cs="Calibri"/>
          <w:sz w:val="22"/>
          <w:szCs w:val="22"/>
        </w:rPr>
        <w:t>up to five years.</w:t>
      </w:r>
    </w:p>
    <w:p w:rsidR="00162CD6" w:rsidRDefault="00162CD6" w:rsidP="002B2FFD">
      <w:pPr>
        <w:rPr>
          <w:rFonts w:ascii="Calibri" w:hAnsi="Calibri" w:cs="Calibri"/>
          <w:sz w:val="22"/>
          <w:szCs w:val="22"/>
        </w:rPr>
      </w:pPr>
    </w:p>
    <w:p w:rsidR="00BD11C8" w:rsidRPr="00411D5A" w:rsidRDefault="002B2FFD" w:rsidP="00BD11C8">
      <w:pPr>
        <w:rPr>
          <w:rFonts w:ascii="Calibri" w:hAnsi="Calibri" w:cs="Calibri"/>
          <w:sz w:val="22"/>
          <w:szCs w:val="22"/>
        </w:rPr>
      </w:pPr>
      <w:r w:rsidRPr="00411D5A">
        <w:rPr>
          <w:rFonts w:ascii="Calibri" w:hAnsi="Calibri" w:cs="Calibri"/>
          <w:sz w:val="22"/>
          <w:szCs w:val="22"/>
        </w:rPr>
        <w:t xml:space="preserve">The </w:t>
      </w:r>
      <w:r w:rsidR="00BC1D22">
        <w:rPr>
          <w:rFonts w:ascii="Calibri" w:hAnsi="Calibri" w:cs="Calibri"/>
          <w:sz w:val="22"/>
          <w:szCs w:val="22"/>
        </w:rPr>
        <w:t xml:space="preserve">Bayer product </w:t>
      </w:r>
      <w:proofErr w:type="spellStart"/>
      <w:r w:rsidRPr="00411D5A">
        <w:rPr>
          <w:rFonts w:ascii="Calibri" w:hAnsi="Calibri" w:cs="Calibri"/>
          <w:sz w:val="22"/>
          <w:szCs w:val="22"/>
        </w:rPr>
        <w:t>Kogenate</w:t>
      </w:r>
      <w:proofErr w:type="spellEnd"/>
      <w:r w:rsidRPr="00411D5A">
        <w:rPr>
          <w:rFonts w:ascii="Calibri" w:hAnsi="Calibri" w:cs="Calibri"/>
          <w:sz w:val="22"/>
          <w:szCs w:val="22"/>
        </w:rPr>
        <w:t xml:space="preserve"> </w:t>
      </w:r>
      <w:r w:rsidR="00BC1D22">
        <w:rPr>
          <w:rFonts w:ascii="Calibri" w:hAnsi="Calibri" w:cs="Calibri"/>
          <w:sz w:val="22"/>
          <w:szCs w:val="22"/>
        </w:rPr>
        <w:t xml:space="preserve">FS </w:t>
      </w:r>
      <w:r w:rsidRPr="00411D5A">
        <w:rPr>
          <w:rFonts w:ascii="Calibri" w:hAnsi="Calibri" w:cs="Calibri"/>
          <w:sz w:val="22"/>
          <w:szCs w:val="22"/>
        </w:rPr>
        <w:t>will continue to be available during a transition period</w:t>
      </w:r>
      <w:r w:rsidR="00BD11C8" w:rsidRPr="00411D5A">
        <w:rPr>
          <w:rFonts w:ascii="Calibri" w:hAnsi="Calibri" w:cs="Calibri"/>
          <w:sz w:val="22"/>
          <w:szCs w:val="22"/>
        </w:rPr>
        <w:t xml:space="preserve">. </w:t>
      </w:r>
      <w:r w:rsidRPr="00411D5A">
        <w:rPr>
          <w:rFonts w:ascii="Calibri" w:hAnsi="Calibri" w:cs="Calibri"/>
          <w:sz w:val="22"/>
          <w:szCs w:val="22"/>
        </w:rPr>
        <w:t xml:space="preserve"> </w:t>
      </w:r>
      <w:r w:rsidR="00BD11C8" w:rsidRPr="00411D5A">
        <w:rPr>
          <w:rFonts w:ascii="Calibri" w:hAnsi="Calibri" w:cs="Calibri"/>
          <w:sz w:val="22"/>
          <w:szCs w:val="22"/>
        </w:rPr>
        <w:t xml:space="preserve">For patients on active immune tolerance therapy using </w:t>
      </w:r>
      <w:proofErr w:type="spellStart"/>
      <w:r w:rsidR="00BD11C8" w:rsidRPr="00411D5A">
        <w:rPr>
          <w:rFonts w:ascii="Calibri" w:hAnsi="Calibri" w:cs="Calibri"/>
          <w:sz w:val="22"/>
          <w:szCs w:val="22"/>
        </w:rPr>
        <w:t>Kogenate</w:t>
      </w:r>
      <w:proofErr w:type="spellEnd"/>
      <w:r w:rsidR="00BD11C8" w:rsidRPr="00411D5A">
        <w:rPr>
          <w:rFonts w:ascii="Calibri" w:hAnsi="Calibri" w:cs="Calibri"/>
          <w:sz w:val="22"/>
          <w:szCs w:val="22"/>
        </w:rPr>
        <w:t xml:space="preserve"> FS exceptional arrangements will be available for continuation of this product for a longer period where this is clinically necessary.</w:t>
      </w:r>
    </w:p>
    <w:p w:rsidR="002B2FFD" w:rsidRPr="00411D5A" w:rsidRDefault="002B2FFD" w:rsidP="002B2FFD">
      <w:pPr>
        <w:rPr>
          <w:rFonts w:ascii="Calibri" w:hAnsi="Calibri" w:cs="Calibri"/>
          <w:sz w:val="22"/>
          <w:szCs w:val="22"/>
        </w:rPr>
      </w:pPr>
    </w:p>
    <w:p w:rsidR="002B2FFD" w:rsidRDefault="002B2FFD" w:rsidP="002B2FFD">
      <w:pPr>
        <w:rPr>
          <w:rFonts w:ascii="Calibri" w:hAnsi="Calibri" w:cs="Calibri"/>
          <w:sz w:val="22"/>
          <w:szCs w:val="22"/>
        </w:rPr>
      </w:pPr>
      <w:r w:rsidRPr="00411D5A">
        <w:rPr>
          <w:rFonts w:ascii="Calibri" w:hAnsi="Calibri" w:cs="Calibri"/>
          <w:sz w:val="22"/>
          <w:szCs w:val="22"/>
        </w:rPr>
        <w:t xml:space="preserve">The following principles have been developed by the NBA in conjunction with the Australian Haemophilia Centre Directors’ Organisation (AHCDO), Haemophilia </w:t>
      </w:r>
      <w:r w:rsidR="009B463E">
        <w:rPr>
          <w:rFonts w:ascii="Calibri" w:hAnsi="Calibri" w:cs="Calibri"/>
          <w:sz w:val="22"/>
          <w:szCs w:val="22"/>
        </w:rPr>
        <w:t>Foundation</w:t>
      </w:r>
      <w:r w:rsidRPr="00411D5A">
        <w:rPr>
          <w:rFonts w:ascii="Calibri" w:hAnsi="Calibri" w:cs="Calibri"/>
          <w:sz w:val="22"/>
          <w:szCs w:val="22"/>
        </w:rPr>
        <w:t xml:space="preserve"> Australia (HFA) and the Australian Haemophilia Nurses Group (AHNG) to guide the </w:t>
      </w:r>
      <w:r w:rsidR="00411D5A">
        <w:rPr>
          <w:rFonts w:ascii="Calibri" w:hAnsi="Calibri" w:cs="Calibri"/>
          <w:sz w:val="22"/>
          <w:szCs w:val="22"/>
        </w:rPr>
        <w:t xml:space="preserve">planning and communication for the </w:t>
      </w:r>
      <w:r w:rsidRPr="00411D5A">
        <w:rPr>
          <w:rFonts w:ascii="Calibri" w:hAnsi="Calibri" w:cs="Calibri"/>
          <w:sz w:val="22"/>
          <w:szCs w:val="22"/>
        </w:rPr>
        <w:t>transition process for patients.</w:t>
      </w:r>
    </w:p>
    <w:p w:rsidR="00411D5A" w:rsidRDefault="00411D5A" w:rsidP="00411D5A">
      <w:pPr>
        <w:rPr>
          <w:rFonts w:ascii="Calibri" w:hAnsi="Calibri" w:cs="Calibri"/>
          <w:sz w:val="22"/>
          <w:szCs w:val="22"/>
        </w:rPr>
      </w:pPr>
    </w:p>
    <w:p w:rsidR="00411D5A" w:rsidRPr="00411D5A" w:rsidRDefault="00411D5A" w:rsidP="00411D5A">
      <w:pPr>
        <w:rPr>
          <w:rFonts w:ascii="Calibri" w:hAnsi="Calibri" w:cs="Calibri"/>
          <w:sz w:val="22"/>
          <w:szCs w:val="22"/>
        </w:rPr>
      </w:pPr>
      <w:r w:rsidRPr="00411D5A">
        <w:rPr>
          <w:rFonts w:ascii="Calibri" w:hAnsi="Calibri" w:cs="Calibri"/>
          <w:sz w:val="22"/>
          <w:szCs w:val="22"/>
        </w:rPr>
        <w:lastRenderedPageBreak/>
        <w:t>The NBA will work cooperatively with national clinical and patient stakeholder groups, as well as all H</w:t>
      </w:r>
      <w:r w:rsidR="008B41CF">
        <w:rPr>
          <w:rFonts w:ascii="Calibri" w:hAnsi="Calibri" w:cs="Calibri"/>
          <w:sz w:val="22"/>
          <w:szCs w:val="22"/>
        </w:rPr>
        <w:t>aemophilia Treatment Centres (H</w:t>
      </w:r>
      <w:r w:rsidRPr="00411D5A">
        <w:rPr>
          <w:rFonts w:ascii="Calibri" w:hAnsi="Calibri" w:cs="Calibri"/>
          <w:sz w:val="22"/>
          <w:szCs w:val="22"/>
        </w:rPr>
        <w:t>TCs</w:t>
      </w:r>
      <w:r w:rsidR="008B41CF">
        <w:rPr>
          <w:rFonts w:ascii="Calibri" w:hAnsi="Calibri" w:cs="Calibri"/>
          <w:sz w:val="22"/>
          <w:szCs w:val="22"/>
        </w:rPr>
        <w:t>)</w:t>
      </w:r>
      <w:r w:rsidRPr="00411D5A">
        <w:rPr>
          <w:rFonts w:ascii="Calibri" w:hAnsi="Calibri" w:cs="Calibri"/>
          <w:sz w:val="22"/>
          <w:szCs w:val="22"/>
        </w:rPr>
        <w:t xml:space="preserve"> and </w:t>
      </w:r>
      <w:r w:rsidR="00BC1D22">
        <w:rPr>
          <w:rFonts w:ascii="Calibri" w:hAnsi="Calibri" w:cs="Calibri"/>
          <w:sz w:val="22"/>
          <w:szCs w:val="22"/>
        </w:rPr>
        <w:t>s</w:t>
      </w:r>
      <w:r w:rsidRPr="00411D5A">
        <w:rPr>
          <w:rFonts w:ascii="Calibri" w:hAnsi="Calibri" w:cs="Calibri"/>
          <w:sz w:val="22"/>
          <w:szCs w:val="22"/>
        </w:rPr>
        <w:t xml:space="preserve">tate and </w:t>
      </w:r>
      <w:r w:rsidR="00BC1D22">
        <w:rPr>
          <w:rFonts w:ascii="Calibri" w:hAnsi="Calibri" w:cs="Calibri"/>
          <w:sz w:val="22"/>
          <w:szCs w:val="22"/>
        </w:rPr>
        <w:t>t</w:t>
      </w:r>
      <w:r w:rsidRPr="00411D5A">
        <w:rPr>
          <w:rFonts w:ascii="Calibri" w:hAnsi="Calibri" w:cs="Calibri"/>
          <w:sz w:val="22"/>
          <w:szCs w:val="22"/>
        </w:rPr>
        <w:t>erritory health departments, on the detailed implementation of these arrangements.</w:t>
      </w:r>
    </w:p>
    <w:p w:rsidR="00411D5A" w:rsidRPr="00411D5A" w:rsidRDefault="00411D5A" w:rsidP="00411D5A">
      <w:pPr>
        <w:rPr>
          <w:rFonts w:ascii="Calibri" w:hAnsi="Calibri" w:cs="Calibri"/>
          <w:sz w:val="22"/>
          <w:szCs w:val="22"/>
        </w:rPr>
      </w:pPr>
    </w:p>
    <w:p w:rsidR="00BD11C8" w:rsidRDefault="00BD11C8" w:rsidP="00BD11C8">
      <w:pPr>
        <w:pStyle w:val="Heading3"/>
      </w:pPr>
      <w:r>
        <w:t>Implementation and Transition Arrangements</w:t>
      </w:r>
    </w:p>
    <w:p w:rsidR="00BD11C8" w:rsidRDefault="00BD11C8" w:rsidP="00BD11C8">
      <w:pPr>
        <w:rPr>
          <w:lang w:eastAsia="en-US"/>
        </w:rPr>
      </w:pPr>
    </w:p>
    <w:p w:rsidR="00BD11C8" w:rsidRDefault="00BD11C8" w:rsidP="00BD11C8">
      <w:pPr>
        <w:rPr>
          <w:rFonts w:ascii="Calibri" w:hAnsi="Calibri" w:cs="Calibri"/>
          <w:sz w:val="22"/>
          <w:szCs w:val="22"/>
        </w:rPr>
      </w:pPr>
      <w:r w:rsidRPr="00B633E5">
        <w:rPr>
          <w:rFonts w:ascii="Calibri" w:hAnsi="Calibri" w:cs="Calibri"/>
          <w:sz w:val="22"/>
          <w:szCs w:val="22"/>
        </w:rPr>
        <w:t xml:space="preserve">The </w:t>
      </w:r>
      <w:proofErr w:type="spellStart"/>
      <w:r w:rsidRPr="00B633E5">
        <w:rPr>
          <w:rFonts w:ascii="Calibri" w:hAnsi="Calibri" w:cs="Calibri"/>
          <w:sz w:val="22"/>
          <w:szCs w:val="22"/>
        </w:rPr>
        <w:t>rFVIII</w:t>
      </w:r>
      <w:proofErr w:type="spellEnd"/>
      <w:r w:rsidRPr="00B633E5">
        <w:rPr>
          <w:rFonts w:ascii="Calibri" w:hAnsi="Calibri" w:cs="Calibri"/>
          <w:sz w:val="22"/>
          <w:szCs w:val="22"/>
        </w:rPr>
        <w:t xml:space="preserve"> products currently supplied under NBA contracts are </w:t>
      </w:r>
      <w:proofErr w:type="spellStart"/>
      <w:r w:rsidRPr="00B633E5">
        <w:rPr>
          <w:rFonts w:ascii="Calibri" w:hAnsi="Calibri" w:cs="Calibri"/>
          <w:sz w:val="22"/>
          <w:szCs w:val="22"/>
        </w:rPr>
        <w:t>Kogenate</w:t>
      </w:r>
      <w:proofErr w:type="spellEnd"/>
      <w:r w:rsidRPr="00B633E5">
        <w:rPr>
          <w:rFonts w:ascii="Calibri" w:hAnsi="Calibri" w:cs="Calibri"/>
          <w:sz w:val="22"/>
          <w:szCs w:val="22"/>
        </w:rPr>
        <w:t xml:space="preserve"> FS (Bayer) and </w:t>
      </w:r>
      <w:proofErr w:type="spellStart"/>
      <w:r w:rsidRPr="00B633E5">
        <w:rPr>
          <w:rFonts w:ascii="Calibri" w:hAnsi="Calibri" w:cs="Calibri"/>
          <w:sz w:val="22"/>
          <w:szCs w:val="22"/>
        </w:rPr>
        <w:t>Xyntha</w:t>
      </w:r>
      <w:proofErr w:type="spellEnd"/>
      <w:r w:rsidRPr="00B633E5">
        <w:rPr>
          <w:rFonts w:ascii="Calibri" w:hAnsi="Calibri" w:cs="Calibri"/>
          <w:sz w:val="22"/>
          <w:szCs w:val="22"/>
        </w:rPr>
        <w:t xml:space="preserve"> (Pfizer).  Approximately 45% of current </w:t>
      </w:r>
      <w:proofErr w:type="spellStart"/>
      <w:r w:rsidRPr="00B633E5">
        <w:rPr>
          <w:rFonts w:ascii="Calibri" w:hAnsi="Calibri" w:cs="Calibri"/>
          <w:sz w:val="22"/>
          <w:szCs w:val="22"/>
        </w:rPr>
        <w:t>rFVIII</w:t>
      </w:r>
      <w:proofErr w:type="spellEnd"/>
      <w:r w:rsidRPr="00B633E5">
        <w:rPr>
          <w:rFonts w:ascii="Calibri" w:hAnsi="Calibri" w:cs="Calibri"/>
          <w:sz w:val="22"/>
          <w:szCs w:val="22"/>
        </w:rPr>
        <w:t xml:space="preserve"> patients receive </w:t>
      </w:r>
      <w:proofErr w:type="spellStart"/>
      <w:r w:rsidRPr="00B633E5">
        <w:rPr>
          <w:rFonts w:ascii="Calibri" w:hAnsi="Calibri" w:cs="Calibri"/>
          <w:sz w:val="22"/>
          <w:szCs w:val="22"/>
        </w:rPr>
        <w:t>Kogenate</w:t>
      </w:r>
      <w:proofErr w:type="spellEnd"/>
      <w:r w:rsidRPr="00B633E5">
        <w:rPr>
          <w:rFonts w:ascii="Calibri" w:hAnsi="Calibri" w:cs="Calibri"/>
          <w:sz w:val="22"/>
          <w:szCs w:val="22"/>
        </w:rPr>
        <w:t xml:space="preserve"> FS.</w:t>
      </w:r>
      <w:r w:rsidRPr="00411D5A">
        <w:rPr>
          <w:rFonts w:ascii="Calibri" w:hAnsi="Calibri" w:cs="Calibri"/>
          <w:sz w:val="22"/>
          <w:szCs w:val="22"/>
        </w:rPr>
        <w:t xml:space="preserve"> </w:t>
      </w:r>
    </w:p>
    <w:p w:rsidR="00132906" w:rsidRDefault="00132906" w:rsidP="00BD11C8">
      <w:pPr>
        <w:rPr>
          <w:rFonts w:ascii="Calibri" w:hAnsi="Calibri" w:cs="Calibri"/>
          <w:sz w:val="22"/>
          <w:szCs w:val="22"/>
        </w:rPr>
      </w:pPr>
    </w:p>
    <w:p w:rsidR="00B633E5" w:rsidRPr="00B633E5" w:rsidRDefault="00B633E5" w:rsidP="00B633E5">
      <w:pPr>
        <w:rPr>
          <w:rFonts w:cs="Arial"/>
        </w:rPr>
      </w:pPr>
      <w:r w:rsidRPr="00B633E5">
        <w:rPr>
          <w:rFonts w:ascii="Calibri" w:hAnsi="Calibri" w:cs="Calibri"/>
          <w:sz w:val="22"/>
          <w:szCs w:val="22"/>
        </w:rPr>
        <w:t xml:space="preserve">Supply of funded </w:t>
      </w:r>
      <w:proofErr w:type="spellStart"/>
      <w:r w:rsidRPr="00B633E5">
        <w:rPr>
          <w:rFonts w:ascii="Calibri" w:hAnsi="Calibri" w:cs="Calibri"/>
          <w:sz w:val="22"/>
          <w:szCs w:val="22"/>
        </w:rPr>
        <w:t>Kogenate</w:t>
      </w:r>
      <w:proofErr w:type="spellEnd"/>
      <w:r w:rsidRPr="00B633E5">
        <w:rPr>
          <w:rFonts w:ascii="Calibri" w:hAnsi="Calibri" w:cs="Calibri"/>
          <w:sz w:val="22"/>
          <w:szCs w:val="22"/>
        </w:rPr>
        <w:t xml:space="preserve"> FS under the national arrangements will not be available after the transition period. For patients on active immune tolerance therapy using </w:t>
      </w:r>
      <w:proofErr w:type="spellStart"/>
      <w:r w:rsidRPr="00B633E5">
        <w:rPr>
          <w:rFonts w:ascii="Calibri" w:hAnsi="Calibri" w:cs="Calibri"/>
          <w:sz w:val="22"/>
          <w:szCs w:val="22"/>
        </w:rPr>
        <w:t>Kogenate</w:t>
      </w:r>
      <w:proofErr w:type="spellEnd"/>
      <w:r w:rsidRPr="00B633E5">
        <w:rPr>
          <w:rFonts w:ascii="Calibri" w:hAnsi="Calibri" w:cs="Calibri"/>
          <w:sz w:val="22"/>
          <w:szCs w:val="22"/>
        </w:rPr>
        <w:t xml:space="preserve"> FS exceptional arrangements will be available for continuation of this product for a longer period where this is clinically necessary</w:t>
      </w:r>
      <w:r w:rsidRPr="00411D5A">
        <w:t>.</w:t>
      </w:r>
      <w:r>
        <w:t xml:space="preserve"> </w:t>
      </w:r>
    </w:p>
    <w:p w:rsidR="00B633E5" w:rsidRDefault="00B633E5" w:rsidP="00BD11C8">
      <w:pPr>
        <w:rPr>
          <w:rFonts w:ascii="Calibri" w:hAnsi="Calibri" w:cs="Calibri"/>
          <w:sz w:val="22"/>
          <w:szCs w:val="22"/>
        </w:rPr>
      </w:pPr>
    </w:p>
    <w:p w:rsidR="00BC1D22" w:rsidRDefault="00132906" w:rsidP="00BD11C8">
      <w:pPr>
        <w:rPr>
          <w:rFonts w:ascii="Calibri" w:hAnsi="Calibri" w:cs="Calibri"/>
          <w:sz w:val="22"/>
          <w:szCs w:val="22"/>
        </w:rPr>
      </w:pPr>
      <w:r w:rsidRPr="000A6970">
        <w:rPr>
          <w:rFonts w:ascii="Calibri" w:hAnsi="Calibri" w:cs="Calibri"/>
          <w:sz w:val="22"/>
          <w:szCs w:val="22"/>
        </w:rPr>
        <w:t xml:space="preserve">To maximise value for money outcomes from the Tender, the </w:t>
      </w:r>
      <w:proofErr w:type="spellStart"/>
      <w:r w:rsidR="000A6970" w:rsidRPr="000A6970">
        <w:rPr>
          <w:rFonts w:ascii="Calibri" w:hAnsi="Calibri" w:cs="Calibri"/>
          <w:sz w:val="22"/>
          <w:szCs w:val="22"/>
        </w:rPr>
        <w:t>r</w:t>
      </w:r>
      <w:r w:rsidR="003E5061">
        <w:rPr>
          <w:rFonts w:ascii="Calibri" w:hAnsi="Calibri" w:cs="Calibri"/>
          <w:sz w:val="22"/>
          <w:szCs w:val="22"/>
        </w:rPr>
        <w:t>FVIII</w:t>
      </w:r>
      <w:proofErr w:type="spellEnd"/>
      <w:r w:rsidR="003E5061">
        <w:rPr>
          <w:rFonts w:ascii="Calibri" w:hAnsi="Calibri" w:cs="Calibri"/>
          <w:sz w:val="22"/>
          <w:szCs w:val="22"/>
        </w:rPr>
        <w:t xml:space="preserve"> </w:t>
      </w:r>
      <w:r w:rsidRPr="000A6970">
        <w:rPr>
          <w:rFonts w:ascii="Calibri" w:hAnsi="Calibri" w:cs="Calibri"/>
          <w:sz w:val="22"/>
          <w:szCs w:val="22"/>
        </w:rPr>
        <w:t>product A</w:t>
      </w:r>
      <w:r w:rsidR="006C05B7" w:rsidRPr="000A6970">
        <w:rPr>
          <w:rFonts w:ascii="Calibri" w:hAnsi="Calibri" w:cs="Calibri"/>
          <w:sz w:val="22"/>
          <w:szCs w:val="22"/>
        </w:rPr>
        <w:t>DVATE</w:t>
      </w:r>
      <w:r w:rsidRPr="000A6970">
        <w:rPr>
          <w:rFonts w:ascii="Calibri" w:hAnsi="Calibri" w:cs="Calibri"/>
          <w:sz w:val="22"/>
          <w:szCs w:val="22"/>
        </w:rPr>
        <w:t xml:space="preserve"> has been designated as the national preferred </w:t>
      </w:r>
      <w:proofErr w:type="spellStart"/>
      <w:r w:rsidR="003E5061">
        <w:rPr>
          <w:rFonts w:ascii="Calibri" w:hAnsi="Calibri" w:cs="Calibri"/>
          <w:sz w:val="22"/>
          <w:szCs w:val="22"/>
        </w:rPr>
        <w:t>rFVIII</w:t>
      </w:r>
      <w:proofErr w:type="spellEnd"/>
      <w:r w:rsidRPr="000A6970">
        <w:rPr>
          <w:rFonts w:ascii="Calibri" w:hAnsi="Calibri" w:cs="Calibri"/>
          <w:sz w:val="22"/>
          <w:szCs w:val="22"/>
        </w:rPr>
        <w:t xml:space="preserve"> product.  </w:t>
      </w:r>
      <w:r w:rsidRPr="0005494C">
        <w:rPr>
          <w:rFonts w:ascii="Calibri" w:hAnsi="Calibri" w:cs="Calibri"/>
          <w:sz w:val="22"/>
          <w:szCs w:val="22"/>
        </w:rPr>
        <w:t xml:space="preserve">This means </w:t>
      </w:r>
      <w:r w:rsidR="00373C66" w:rsidRPr="0005494C">
        <w:rPr>
          <w:rFonts w:ascii="Calibri" w:hAnsi="Calibri" w:cs="Calibri"/>
          <w:sz w:val="22"/>
          <w:szCs w:val="22"/>
        </w:rPr>
        <w:t>that the NBA recommends</w:t>
      </w:r>
      <w:r w:rsidRPr="0005494C">
        <w:rPr>
          <w:rFonts w:ascii="Calibri" w:hAnsi="Calibri" w:cs="Calibri"/>
          <w:sz w:val="22"/>
          <w:szCs w:val="22"/>
        </w:rPr>
        <w:t xml:space="preserve"> that </w:t>
      </w:r>
      <w:proofErr w:type="spellStart"/>
      <w:r w:rsidR="003E5061" w:rsidRPr="0005494C">
        <w:rPr>
          <w:rFonts w:ascii="Calibri" w:hAnsi="Calibri" w:cs="Calibri"/>
          <w:sz w:val="22"/>
          <w:szCs w:val="22"/>
        </w:rPr>
        <w:t>rFVIII</w:t>
      </w:r>
      <w:proofErr w:type="spellEnd"/>
      <w:r w:rsidR="003E5061" w:rsidRPr="0005494C">
        <w:rPr>
          <w:rFonts w:ascii="Calibri" w:hAnsi="Calibri" w:cs="Calibri"/>
          <w:sz w:val="22"/>
          <w:szCs w:val="22"/>
        </w:rPr>
        <w:t xml:space="preserve"> </w:t>
      </w:r>
      <w:r w:rsidRPr="0005494C">
        <w:rPr>
          <w:rFonts w:ascii="Calibri" w:hAnsi="Calibri" w:cs="Calibri"/>
          <w:sz w:val="22"/>
          <w:szCs w:val="22"/>
        </w:rPr>
        <w:t>patients should be treated where possible with A</w:t>
      </w:r>
      <w:r w:rsidR="006C05B7" w:rsidRPr="0005494C">
        <w:rPr>
          <w:rFonts w:ascii="Calibri" w:hAnsi="Calibri" w:cs="Calibri"/>
          <w:sz w:val="22"/>
          <w:szCs w:val="22"/>
        </w:rPr>
        <w:t>DVATE</w:t>
      </w:r>
      <w:r w:rsidRPr="0005494C">
        <w:rPr>
          <w:rFonts w:ascii="Calibri" w:hAnsi="Calibri" w:cs="Calibri"/>
          <w:sz w:val="22"/>
          <w:szCs w:val="22"/>
        </w:rPr>
        <w:t xml:space="preserve"> in order to obtain the best value for money from the more favourable price obtained for this product.</w:t>
      </w:r>
      <w:bookmarkStart w:id="1" w:name="_GoBack"/>
      <w:bookmarkEnd w:id="1"/>
      <w:r w:rsidR="00CE5CDC" w:rsidRPr="000A6970">
        <w:rPr>
          <w:rFonts w:ascii="Calibri" w:hAnsi="Calibri" w:cs="Calibri"/>
          <w:sz w:val="22"/>
          <w:szCs w:val="22"/>
        </w:rPr>
        <w:t xml:space="preserve"> </w:t>
      </w:r>
      <w:r w:rsidR="000A6970" w:rsidRPr="000A6970">
        <w:rPr>
          <w:rFonts w:ascii="Calibri" w:hAnsi="Calibri" w:cs="Calibri"/>
          <w:sz w:val="22"/>
          <w:szCs w:val="22"/>
        </w:rPr>
        <w:t xml:space="preserve">  </w:t>
      </w:r>
    </w:p>
    <w:p w:rsidR="00BC1D22" w:rsidRDefault="00BC1D22" w:rsidP="00BD11C8">
      <w:pPr>
        <w:rPr>
          <w:rFonts w:ascii="Calibri" w:hAnsi="Calibri" w:cs="Calibri"/>
          <w:sz w:val="22"/>
          <w:szCs w:val="22"/>
        </w:rPr>
      </w:pPr>
    </w:p>
    <w:p w:rsidR="00132906" w:rsidRPr="00411D5A" w:rsidRDefault="000A6970" w:rsidP="00BD11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0A6970">
        <w:rPr>
          <w:rFonts w:ascii="Calibri" w:hAnsi="Calibri" w:cs="Calibri"/>
          <w:sz w:val="22"/>
          <w:szCs w:val="22"/>
        </w:rPr>
        <w:t xml:space="preserve">atients may be treated with </w:t>
      </w:r>
      <w:r>
        <w:rPr>
          <w:rFonts w:ascii="Calibri" w:hAnsi="Calibri" w:cs="Calibri"/>
          <w:sz w:val="22"/>
          <w:szCs w:val="22"/>
        </w:rPr>
        <w:t xml:space="preserve">the </w:t>
      </w:r>
      <w:r w:rsidR="00373C66">
        <w:rPr>
          <w:rFonts w:ascii="Calibri" w:hAnsi="Calibri" w:cs="Calibri"/>
          <w:sz w:val="22"/>
          <w:szCs w:val="22"/>
        </w:rPr>
        <w:t>second</w:t>
      </w:r>
      <w:r w:rsidRPr="000A6970">
        <w:rPr>
          <w:rFonts w:ascii="Calibri" w:hAnsi="Calibri" w:cs="Calibri"/>
          <w:sz w:val="22"/>
          <w:szCs w:val="22"/>
        </w:rPr>
        <w:t xml:space="preserve"> product </w:t>
      </w:r>
      <w:proofErr w:type="spellStart"/>
      <w:r w:rsidR="00373C66">
        <w:rPr>
          <w:rFonts w:ascii="Calibri" w:hAnsi="Calibri" w:cs="Calibri"/>
          <w:sz w:val="22"/>
          <w:szCs w:val="22"/>
        </w:rPr>
        <w:t>Xyntha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0A6970">
        <w:rPr>
          <w:rFonts w:ascii="Calibri" w:hAnsi="Calibri" w:cs="Calibri"/>
          <w:sz w:val="22"/>
          <w:szCs w:val="22"/>
        </w:rPr>
        <w:t>in cases where direction of the patient to the national preferred product is likely to compromis</w:t>
      </w:r>
      <w:r>
        <w:rPr>
          <w:rFonts w:ascii="Calibri" w:hAnsi="Calibri" w:cs="Calibri"/>
          <w:sz w:val="22"/>
          <w:szCs w:val="22"/>
        </w:rPr>
        <w:t xml:space="preserve">e appropriate treatment and care. </w:t>
      </w:r>
    </w:p>
    <w:p w:rsidR="00BD11C8" w:rsidRDefault="00BD11C8" w:rsidP="00BD11C8"/>
    <w:p w:rsidR="00373C66" w:rsidRPr="00373C66" w:rsidRDefault="00373C66" w:rsidP="006C05B7">
      <w:pPr>
        <w:outlineLvl w:val="3"/>
        <w:rPr>
          <w:rFonts w:eastAsia="Dotum" w:cs="Arial"/>
          <w:b/>
          <w:sz w:val="22"/>
          <w:szCs w:val="22"/>
          <w:lang w:eastAsia="en-US"/>
        </w:rPr>
      </w:pPr>
      <w:r w:rsidRPr="00373C66">
        <w:rPr>
          <w:rFonts w:eastAsia="Dotum" w:cs="Arial"/>
          <w:b/>
          <w:sz w:val="22"/>
          <w:szCs w:val="22"/>
          <w:lang w:eastAsia="en-US"/>
        </w:rPr>
        <w:t xml:space="preserve">Patients currently treated with </w:t>
      </w:r>
      <w:proofErr w:type="spellStart"/>
      <w:r w:rsidRPr="00373C66">
        <w:rPr>
          <w:rFonts w:eastAsia="Dotum" w:cs="Arial"/>
          <w:b/>
          <w:sz w:val="22"/>
          <w:szCs w:val="22"/>
          <w:lang w:eastAsia="en-US"/>
        </w:rPr>
        <w:t>Kogenate</w:t>
      </w:r>
      <w:proofErr w:type="spellEnd"/>
      <w:r w:rsidRPr="00373C66">
        <w:rPr>
          <w:rFonts w:eastAsia="Dotum" w:cs="Arial"/>
          <w:b/>
          <w:sz w:val="22"/>
          <w:szCs w:val="22"/>
          <w:lang w:eastAsia="en-US"/>
        </w:rPr>
        <w:t xml:space="preserve"> FS</w:t>
      </w:r>
    </w:p>
    <w:p w:rsidR="00373C66" w:rsidRPr="00373C66" w:rsidRDefault="00373C66" w:rsidP="006C05B7">
      <w:pPr>
        <w:spacing w:after="200"/>
        <w:rPr>
          <w:rFonts w:ascii="Calibri" w:eastAsia="Dotum" w:hAnsi="Calibri" w:cs="Calibri"/>
          <w:sz w:val="22"/>
          <w:szCs w:val="22"/>
          <w:lang w:eastAsia="en-US"/>
        </w:rPr>
      </w:pPr>
      <w:r w:rsidRPr="00373C66">
        <w:rPr>
          <w:rFonts w:ascii="Calibri" w:eastAsia="Dotum" w:hAnsi="Calibri" w:cs="Calibri"/>
          <w:sz w:val="22"/>
          <w:szCs w:val="22"/>
          <w:lang w:eastAsia="en-US"/>
        </w:rPr>
        <w:t xml:space="preserve">In most cases, patients currently using </w:t>
      </w:r>
      <w:proofErr w:type="spellStart"/>
      <w:r w:rsidRPr="00373C66">
        <w:rPr>
          <w:rFonts w:ascii="Calibri" w:eastAsia="Dotum" w:hAnsi="Calibri" w:cs="Calibri"/>
          <w:sz w:val="22"/>
          <w:szCs w:val="22"/>
          <w:lang w:eastAsia="en-US"/>
        </w:rPr>
        <w:t>Kogenate</w:t>
      </w:r>
      <w:proofErr w:type="spellEnd"/>
      <w:r w:rsidRPr="00373C66">
        <w:rPr>
          <w:rFonts w:ascii="Calibri" w:eastAsia="Dotum" w:hAnsi="Calibri" w:cs="Calibri"/>
          <w:sz w:val="22"/>
          <w:szCs w:val="22"/>
          <w:lang w:eastAsia="en-US"/>
        </w:rPr>
        <w:t xml:space="preserve"> FS will change to the national preferred </w:t>
      </w:r>
      <w:proofErr w:type="spellStart"/>
      <w:r w:rsidRPr="00373C66">
        <w:rPr>
          <w:rFonts w:ascii="Calibri" w:eastAsia="Dotum" w:hAnsi="Calibri" w:cs="Calibri"/>
          <w:sz w:val="22"/>
          <w:szCs w:val="22"/>
          <w:lang w:eastAsia="en-US"/>
        </w:rPr>
        <w:t>rFVIII</w:t>
      </w:r>
      <w:proofErr w:type="spellEnd"/>
      <w:r w:rsidRPr="00373C66">
        <w:rPr>
          <w:rFonts w:ascii="Calibri" w:eastAsia="Dotum" w:hAnsi="Calibri" w:cs="Calibri"/>
          <w:sz w:val="22"/>
          <w:szCs w:val="22"/>
          <w:lang w:eastAsia="en-US"/>
        </w:rPr>
        <w:t xml:space="preserve"> product A</w:t>
      </w:r>
      <w:r w:rsidR="006C05B7" w:rsidRPr="00373C66">
        <w:rPr>
          <w:rFonts w:ascii="Calibri" w:eastAsia="Dotum" w:hAnsi="Calibri" w:cs="Calibri"/>
          <w:sz w:val="22"/>
          <w:szCs w:val="22"/>
          <w:lang w:eastAsia="en-US"/>
        </w:rPr>
        <w:t>DVATE</w:t>
      </w:r>
      <w:r w:rsidRPr="00373C66">
        <w:rPr>
          <w:rFonts w:ascii="Calibri" w:eastAsia="Dotum" w:hAnsi="Calibri" w:cs="Calibri"/>
          <w:sz w:val="22"/>
          <w:szCs w:val="22"/>
          <w:lang w:eastAsia="en-US"/>
        </w:rPr>
        <w:t>.  This change should be made before 31 December 2014.</w:t>
      </w:r>
    </w:p>
    <w:p w:rsidR="00373C66" w:rsidRPr="00373C66" w:rsidRDefault="00373C66" w:rsidP="006C05B7">
      <w:pPr>
        <w:spacing w:after="200"/>
        <w:rPr>
          <w:rFonts w:ascii="Calibri" w:eastAsia="Dotum" w:hAnsi="Calibri" w:cs="Calibri"/>
          <w:sz w:val="22"/>
          <w:szCs w:val="22"/>
          <w:lang w:eastAsia="en-US"/>
        </w:rPr>
      </w:pPr>
      <w:r w:rsidRPr="00373C66">
        <w:rPr>
          <w:rFonts w:ascii="Calibri" w:eastAsia="Dotum" w:hAnsi="Calibri" w:cs="Calibri"/>
          <w:sz w:val="22"/>
          <w:szCs w:val="22"/>
          <w:lang w:eastAsia="en-US"/>
        </w:rPr>
        <w:t xml:space="preserve">For patients on active immune tolerance therapy using </w:t>
      </w:r>
      <w:proofErr w:type="spellStart"/>
      <w:r w:rsidRPr="00373C66">
        <w:rPr>
          <w:rFonts w:ascii="Calibri" w:eastAsia="Dotum" w:hAnsi="Calibri" w:cs="Calibri"/>
          <w:sz w:val="22"/>
          <w:szCs w:val="22"/>
          <w:lang w:eastAsia="en-US"/>
        </w:rPr>
        <w:t>Kogenate</w:t>
      </w:r>
      <w:proofErr w:type="spellEnd"/>
      <w:r w:rsidRPr="00373C66">
        <w:rPr>
          <w:rFonts w:ascii="Calibri" w:eastAsia="Dotum" w:hAnsi="Calibri" w:cs="Calibri"/>
          <w:sz w:val="22"/>
          <w:szCs w:val="22"/>
          <w:lang w:eastAsia="en-US"/>
        </w:rPr>
        <w:t xml:space="preserve"> FS exceptional arrangements will be available for continuation of this product for a longer period where this is clinically necessary. The NBA will work closely with the </w:t>
      </w:r>
      <w:proofErr w:type="spellStart"/>
      <w:r w:rsidRPr="00373C66">
        <w:rPr>
          <w:rFonts w:ascii="Calibri" w:eastAsia="Dotum" w:hAnsi="Calibri" w:cs="Calibri"/>
          <w:sz w:val="22"/>
          <w:szCs w:val="22"/>
          <w:lang w:eastAsia="en-US"/>
        </w:rPr>
        <w:t>Tolerisation</w:t>
      </w:r>
      <w:proofErr w:type="spellEnd"/>
      <w:r w:rsidRPr="00373C66">
        <w:rPr>
          <w:rFonts w:ascii="Calibri" w:eastAsia="Dotum" w:hAnsi="Calibri" w:cs="Calibri"/>
          <w:sz w:val="22"/>
          <w:szCs w:val="22"/>
          <w:lang w:eastAsia="en-US"/>
        </w:rPr>
        <w:t xml:space="preserve"> Advisory Committee of the AHCDO and with individual Haemophilia Treatment Centres to coordinate the </w:t>
      </w:r>
      <w:r w:rsidR="00D749D1">
        <w:rPr>
          <w:rFonts w:ascii="Calibri" w:eastAsia="Dotum" w:hAnsi="Calibri" w:cs="Calibri"/>
          <w:sz w:val="22"/>
          <w:szCs w:val="22"/>
          <w:lang w:eastAsia="en-US"/>
        </w:rPr>
        <w:t>s</w:t>
      </w:r>
      <w:r w:rsidRPr="00373C66">
        <w:rPr>
          <w:rFonts w:ascii="Calibri" w:eastAsia="Dotum" w:hAnsi="Calibri" w:cs="Calibri"/>
          <w:sz w:val="22"/>
          <w:szCs w:val="22"/>
          <w:lang w:eastAsia="en-US"/>
        </w:rPr>
        <w:t>upply of the product for this purpose.</w:t>
      </w:r>
    </w:p>
    <w:p w:rsidR="00373C66" w:rsidRPr="00373C66" w:rsidRDefault="00373C66" w:rsidP="006C05B7">
      <w:pPr>
        <w:outlineLvl w:val="3"/>
        <w:rPr>
          <w:rFonts w:eastAsia="Dotum" w:cs="Arial"/>
          <w:b/>
          <w:sz w:val="22"/>
          <w:szCs w:val="22"/>
          <w:lang w:eastAsia="en-US"/>
        </w:rPr>
      </w:pPr>
      <w:r w:rsidRPr="00373C66">
        <w:rPr>
          <w:rFonts w:eastAsia="Dotum" w:cs="Arial"/>
          <w:b/>
          <w:sz w:val="22"/>
          <w:szCs w:val="22"/>
          <w:lang w:eastAsia="en-US"/>
        </w:rPr>
        <w:t xml:space="preserve">Patients currently treated with </w:t>
      </w:r>
      <w:proofErr w:type="spellStart"/>
      <w:r w:rsidRPr="00373C66">
        <w:rPr>
          <w:rFonts w:eastAsia="Dotum" w:cs="Arial"/>
          <w:b/>
          <w:sz w:val="22"/>
          <w:szCs w:val="22"/>
          <w:lang w:eastAsia="en-US"/>
        </w:rPr>
        <w:t>Xyntha</w:t>
      </w:r>
      <w:proofErr w:type="spellEnd"/>
    </w:p>
    <w:p w:rsidR="00D749D1" w:rsidRDefault="00373C66" w:rsidP="006C05B7">
      <w:pPr>
        <w:spacing w:after="200"/>
        <w:rPr>
          <w:rFonts w:ascii="Calibri" w:eastAsia="Dotum" w:hAnsi="Calibri" w:cs="Calibri"/>
          <w:sz w:val="22"/>
          <w:szCs w:val="22"/>
          <w:lang w:eastAsia="en-US"/>
        </w:rPr>
      </w:pPr>
      <w:r w:rsidRPr="00373C66">
        <w:rPr>
          <w:rFonts w:ascii="Calibri" w:eastAsia="Dotum" w:hAnsi="Calibri" w:cs="Calibri"/>
          <w:sz w:val="22"/>
          <w:szCs w:val="22"/>
          <w:lang w:eastAsia="en-US"/>
        </w:rPr>
        <w:t xml:space="preserve">For patients currently being treated with </w:t>
      </w:r>
      <w:proofErr w:type="spellStart"/>
      <w:r w:rsidRPr="00373C66">
        <w:rPr>
          <w:rFonts w:ascii="Calibri" w:eastAsia="Dotum" w:hAnsi="Calibri" w:cs="Calibri"/>
          <w:sz w:val="22"/>
          <w:szCs w:val="22"/>
          <w:lang w:eastAsia="en-US"/>
        </w:rPr>
        <w:t>Xyntha</w:t>
      </w:r>
      <w:proofErr w:type="spellEnd"/>
      <w:r w:rsidRPr="00373C66">
        <w:rPr>
          <w:rFonts w:ascii="Calibri" w:eastAsia="Dotum" w:hAnsi="Calibri" w:cs="Calibri"/>
          <w:sz w:val="22"/>
          <w:szCs w:val="22"/>
          <w:lang w:eastAsia="en-US"/>
        </w:rPr>
        <w:t>, consideration should be given to transitioning these patients to A</w:t>
      </w:r>
      <w:r w:rsidR="006C05B7" w:rsidRPr="00373C66">
        <w:rPr>
          <w:rFonts w:ascii="Calibri" w:eastAsia="Dotum" w:hAnsi="Calibri" w:cs="Calibri"/>
          <w:sz w:val="22"/>
          <w:szCs w:val="22"/>
          <w:lang w:eastAsia="en-US"/>
        </w:rPr>
        <w:t>DVATE</w:t>
      </w:r>
      <w:r w:rsidRPr="00373C66">
        <w:rPr>
          <w:rFonts w:ascii="Calibri" w:eastAsia="Dotum" w:hAnsi="Calibri" w:cs="Calibri"/>
          <w:sz w:val="22"/>
          <w:szCs w:val="22"/>
          <w:lang w:eastAsia="en-US"/>
        </w:rPr>
        <w:t xml:space="preserve"> as the national preferred product at the next suit</w:t>
      </w:r>
      <w:r w:rsidR="00D749D1">
        <w:rPr>
          <w:rFonts w:ascii="Calibri" w:eastAsia="Dotum" w:hAnsi="Calibri" w:cs="Calibri"/>
          <w:sz w:val="22"/>
          <w:szCs w:val="22"/>
          <w:lang w:eastAsia="en-US"/>
        </w:rPr>
        <w:t>able patient review opportunity.</w:t>
      </w:r>
      <w:r w:rsidRPr="00373C66">
        <w:rPr>
          <w:rFonts w:ascii="Calibri" w:eastAsia="Dotum" w:hAnsi="Calibri" w:cs="Calibri"/>
          <w:sz w:val="22"/>
          <w:szCs w:val="22"/>
          <w:lang w:eastAsia="en-US"/>
        </w:rPr>
        <w:t xml:space="preserve"> </w:t>
      </w:r>
    </w:p>
    <w:p w:rsidR="00373C66" w:rsidRPr="00373C66" w:rsidRDefault="00373C66" w:rsidP="006C05B7">
      <w:pPr>
        <w:spacing w:after="200"/>
        <w:rPr>
          <w:rFonts w:ascii="Calibri" w:eastAsia="Dotum" w:hAnsi="Calibri" w:cs="Calibri"/>
          <w:sz w:val="22"/>
          <w:szCs w:val="22"/>
          <w:lang w:eastAsia="en-US"/>
        </w:rPr>
      </w:pPr>
      <w:r w:rsidRPr="00373C66">
        <w:rPr>
          <w:rFonts w:ascii="Calibri" w:eastAsia="Dotum" w:hAnsi="Calibri" w:cs="Calibri"/>
          <w:sz w:val="22"/>
          <w:szCs w:val="22"/>
          <w:lang w:eastAsia="en-US"/>
        </w:rPr>
        <w:t xml:space="preserve">Patients may continue to be treated with </w:t>
      </w:r>
      <w:proofErr w:type="spellStart"/>
      <w:r w:rsidRPr="00373C66">
        <w:rPr>
          <w:rFonts w:ascii="Calibri" w:eastAsia="Dotum" w:hAnsi="Calibri" w:cs="Calibri"/>
          <w:sz w:val="22"/>
          <w:szCs w:val="22"/>
          <w:lang w:eastAsia="en-US"/>
        </w:rPr>
        <w:t>Xyntha</w:t>
      </w:r>
      <w:proofErr w:type="spellEnd"/>
      <w:r w:rsidRPr="00373C66">
        <w:rPr>
          <w:rFonts w:ascii="Calibri" w:eastAsia="Dotum" w:hAnsi="Calibri" w:cs="Calibri"/>
          <w:sz w:val="22"/>
          <w:szCs w:val="22"/>
          <w:lang w:eastAsia="en-US"/>
        </w:rPr>
        <w:t xml:space="preserve"> in cases where direction of the patient to A</w:t>
      </w:r>
      <w:r w:rsidR="00460AAA" w:rsidRPr="00373C66">
        <w:rPr>
          <w:rFonts w:ascii="Calibri" w:eastAsia="Dotum" w:hAnsi="Calibri" w:cs="Calibri"/>
          <w:sz w:val="22"/>
          <w:szCs w:val="22"/>
          <w:lang w:eastAsia="en-US"/>
        </w:rPr>
        <w:t>DVATE</w:t>
      </w:r>
      <w:r w:rsidRPr="00373C66">
        <w:rPr>
          <w:rFonts w:ascii="Calibri" w:eastAsia="Dotum" w:hAnsi="Calibri" w:cs="Calibri"/>
          <w:sz w:val="22"/>
          <w:szCs w:val="22"/>
          <w:lang w:eastAsia="en-US"/>
        </w:rPr>
        <w:t xml:space="preserve"> is likely to compromise appropriate treatment and care. </w:t>
      </w:r>
    </w:p>
    <w:p w:rsidR="00373C66" w:rsidRPr="00373C66" w:rsidRDefault="00373C66" w:rsidP="006C05B7">
      <w:pPr>
        <w:outlineLvl w:val="3"/>
        <w:rPr>
          <w:rFonts w:eastAsia="Dotum" w:cs="Arial"/>
          <w:b/>
          <w:sz w:val="22"/>
          <w:szCs w:val="22"/>
          <w:lang w:eastAsia="en-US"/>
        </w:rPr>
      </w:pPr>
      <w:r w:rsidRPr="00373C66">
        <w:rPr>
          <w:rFonts w:eastAsia="Dotum" w:cs="Arial"/>
          <w:b/>
          <w:sz w:val="22"/>
          <w:szCs w:val="22"/>
          <w:lang w:eastAsia="en-US"/>
        </w:rPr>
        <w:t xml:space="preserve">New patients commencing treatment after 1 July 2014 </w:t>
      </w:r>
    </w:p>
    <w:p w:rsidR="00373C66" w:rsidRPr="00373C66" w:rsidRDefault="00373C66" w:rsidP="006C05B7">
      <w:pPr>
        <w:spacing w:after="200"/>
        <w:rPr>
          <w:rFonts w:ascii="Calibri" w:eastAsia="Dotum" w:hAnsi="Calibri" w:cs="Calibri"/>
          <w:sz w:val="22"/>
          <w:szCs w:val="22"/>
          <w:lang w:eastAsia="en-US"/>
        </w:rPr>
      </w:pPr>
      <w:r w:rsidRPr="00373C66">
        <w:rPr>
          <w:rFonts w:ascii="Calibri" w:eastAsia="Dotum" w:hAnsi="Calibri" w:cs="Calibri"/>
          <w:sz w:val="22"/>
          <w:szCs w:val="22"/>
          <w:lang w:eastAsia="en-US"/>
        </w:rPr>
        <w:t>In most cases these patients should be commenced on treatment with the national preferred product A</w:t>
      </w:r>
      <w:r w:rsidR="006C05B7" w:rsidRPr="00373C66">
        <w:rPr>
          <w:rFonts w:ascii="Calibri" w:eastAsia="Dotum" w:hAnsi="Calibri" w:cs="Calibri"/>
          <w:sz w:val="22"/>
          <w:szCs w:val="22"/>
          <w:lang w:eastAsia="en-US"/>
        </w:rPr>
        <w:t>DVATE</w:t>
      </w:r>
      <w:r w:rsidRPr="00373C66">
        <w:rPr>
          <w:rFonts w:ascii="Calibri" w:eastAsia="Dotum" w:hAnsi="Calibri" w:cs="Calibri"/>
          <w:sz w:val="22"/>
          <w:szCs w:val="22"/>
          <w:lang w:eastAsia="en-US"/>
        </w:rPr>
        <w:t>.</w:t>
      </w:r>
    </w:p>
    <w:p w:rsidR="00373C66" w:rsidRPr="00373C66" w:rsidRDefault="00373C66" w:rsidP="00373C66">
      <w:pPr>
        <w:spacing w:after="200"/>
        <w:rPr>
          <w:rFonts w:asciiTheme="minorHAnsi" w:eastAsia="Dotum" w:hAnsiTheme="minorHAnsi" w:cstheme="minorHAnsi"/>
          <w:sz w:val="22"/>
          <w:szCs w:val="22"/>
          <w:lang w:eastAsia="en-US"/>
        </w:rPr>
      </w:pPr>
      <w:proofErr w:type="spellStart"/>
      <w:r w:rsidRPr="00373C66">
        <w:rPr>
          <w:rFonts w:asciiTheme="minorHAnsi" w:eastAsia="Dotum" w:hAnsiTheme="minorHAnsi" w:cstheme="minorHAnsi"/>
          <w:sz w:val="22"/>
          <w:szCs w:val="22"/>
          <w:lang w:eastAsia="en-US"/>
        </w:rPr>
        <w:t>Xyntha</w:t>
      </w:r>
      <w:proofErr w:type="spellEnd"/>
      <w:r w:rsidRPr="00373C66">
        <w:rPr>
          <w:rFonts w:asciiTheme="minorHAnsi" w:eastAsia="Dotum" w:hAnsiTheme="minorHAnsi" w:cstheme="minorHAnsi"/>
          <w:sz w:val="22"/>
          <w:szCs w:val="22"/>
          <w:lang w:eastAsia="en-US"/>
        </w:rPr>
        <w:t xml:space="preserve"> will be available:</w:t>
      </w:r>
    </w:p>
    <w:p w:rsidR="00373C66" w:rsidRPr="00373C66" w:rsidRDefault="00373C66" w:rsidP="00373C66">
      <w:pPr>
        <w:numPr>
          <w:ilvl w:val="0"/>
          <w:numId w:val="41"/>
        </w:numPr>
        <w:spacing w:after="200"/>
        <w:rPr>
          <w:rFonts w:asciiTheme="minorHAnsi" w:eastAsia="Dotum" w:hAnsiTheme="minorHAnsi" w:cstheme="minorHAnsi"/>
          <w:sz w:val="22"/>
          <w:szCs w:val="22"/>
          <w:lang w:eastAsia="en-US"/>
        </w:rPr>
      </w:pPr>
      <w:r w:rsidRPr="00373C66">
        <w:rPr>
          <w:rFonts w:asciiTheme="minorHAnsi" w:eastAsia="Dotum" w:hAnsiTheme="minorHAnsi" w:cstheme="minorHAnsi"/>
          <w:sz w:val="22"/>
          <w:szCs w:val="22"/>
          <w:lang w:eastAsia="en-US"/>
        </w:rPr>
        <w:t xml:space="preserve">where direction to the national preferred </w:t>
      </w:r>
      <w:proofErr w:type="spellStart"/>
      <w:r w:rsidRPr="00373C66">
        <w:rPr>
          <w:rFonts w:asciiTheme="minorHAnsi" w:eastAsia="Dotum" w:hAnsiTheme="minorHAnsi" w:cstheme="minorHAnsi"/>
          <w:sz w:val="22"/>
          <w:szCs w:val="22"/>
          <w:lang w:eastAsia="en-US"/>
        </w:rPr>
        <w:t>rFVIII</w:t>
      </w:r>
      <w:proofErr w:type="spellEnd"/>
      <w:r w:rsidRPr="00373C66">
        <w:rPr>
          <w:rFonts w:asciiTheme="minorHAnsi" w:eastAsia="Dotum" w:hAnsiTheme="minorHAnsi" w:cstheme="minorHAnsi"/>
          <w:sz w:val="22"/>
          <w:szCs w:val="22"/>
          <w:lang w:eastAsia="en-US"/>
        </w:rPr>
        <w:t xml:space="preserve"> product A</w:t>
      </w:r>
      <w:r w:rsidR="006C05B7" w:rsidRPr="00373C66">
        <w:rPr>
          <w:rFonts w:asciiTheme="minorHAnsi" w:eastAsia="Dotum" w:hAnsiTheme="minorHAnsi" w:cstheme="minorHAnsi"/>
          <w:sz w:val="22"/>
          <w:szCs w:val="22"/>
          <w:lang w:eastAsia="en-US"/>
        </w:rPr>
        <w:t>DVATE</w:t>
      </w:r>
      <w:r w:rsidRPr="00373C66">
        <w:rPr>
          <w:rFonts w:asciiTheme="minorHAnsi" w:eastAsia="Dotum" w:hAnsiTheme="minorHAnsi" w:cstheme="minorHAnsi"/>
          <w:sz w:val="22"/>
          <w:szCs w:val="22"/>
          <w:lang w:eastAsia="en-US"/>
        </w:rPr>
        <w:t xml:space="preserve"> would be likely to compromise appropriate treatment and care of a patient</w:t>
      </w:r>
    </w:p>
    <w:p w:rsidR="00373C66" w:rsidRPr="00373C66" w:rsidRDefault="00373C66" w:rsidP="00373C66">
      <w:pPr>
        <w:numPr>
          <w:ilvl w:val="0"/>
          <w:numId w:val="41"/>
        </w:numPr>
        <w:spacing w:after="200"/>
        <w:rPr>
          <w:rFonts w:asciiTheme="minorHAnsi" w:eastAsia="Dotum" w:hAnsiTheme="minorHAnsi" w:cstheme="minorHAnsi"/>
          <w:sz w:val="22"/>
          <w:szCs w:val="22"/>
          <w:lang w:eastAsia="en-US"/>
        </w:rPr>
      </w:pPr>
      <w:proofErr w:type="gramStart"/>
      <w:r w:rsidRPr="00373C66">
        <w:rPr>
          <w:rFonts w:asciiTheme="minorHAnsi" w:eastAsia="Dotum" w:hAnsiTheme="minorHAnsi" w:cstheme="minorHAnsi"/>
          <w:sz w:val="22"/>
          <w:szCs w:val="22"/>
          <w:lang w:eastAsia="en-US"/>
        </w:rPr>
        <w:t>so</w:t>
      </w:r>
      <w:proofErr w:type="gramEnd"/>
      <w:r w:rsidRPr="00373C66">
        <w:rPr>
          <w:rFonts w:asciiTheme="minorHAnsi" w:eastAsia="Dotum" w:hAnsiTheme="minorHAnsi" w:cstheme="minorHAnsi"/>
          <w:sz w:val="22"/>
          <w:szCs w:val="22"/>
          <w:lang w:eastAsia="en-US"/>
        </w:rPr>
        <w:t xml:space="preserve"> that an appropriate minimum level of </w:t>
      </w:r>
      <w:proofErr w:type="spellStart"/>
      <w:r w:rsidRPr="00373C66">
        <w:rPr>
          <w:rFonts w:asciiTheme="minorHAnsi" w:eastAsia="Dotum" w:hAnsiTheme="minorHAnsi" w:cstheme="minorHAnsi"/>
          <w:sz w:val="22"/>
          <w:szCs w:val="22"/>
          <w:lang w:eastAsia="en-US"/>
        </w:rPr>
        <w:t>Xyntha</w:t>
      </w:r>
      <w:proofErr w:type="spellEnd"/>
      <w:r w:rsidRPr="00373C66">
        <w:rPr>
          <w:rFonts w:asciiTheme="minorHAnsi" w:eastAsia="Dotum" w:hAnsiTheme="minorHAnsi" w:cstheme="minorHAnsi"/>
          <w:sz w:val="22"/>
          <w:szCs w:val="22"/>
          <w:lang w:eastAsia="en-US"/>
        </w:rPr>
        <w:t xml:space="preserve"> is maintained in supply at all treatment centres.</w:t>
      </w:r>
    </w:p>
    <w:p w:rsidR="00411D5A" w:rsidRDefault="00411D5A" w:rsidP="00411D5A">
      <w:pPr>
        <w:pStyle w:val="Heading3"/>
      </w:pPr>
      <w:r>
        <w:t>Management</w:t>
      </w:r>
    </w:p>
    <w:p w:rsidR="00C13490" w:rsidRPr="00C13490" w:rsidRDefault="00C13490" w:rsidP="00C13490">
      <w:pPr>
        <w:spacing w:before="120"/>
        <w:rPr>
          <w:rFonts w:ascii="Calibri" w:hAnsi="Calibri" w:cs="Calibri"/>
          <w:sz w:val="22"/>
          <w:szCs w:val="22"/>
        </w:rPr>
      </w:pPr>
      <w:r w:rsidRPr="00C13490">
        <w:rPr>
          <w:rFonts w:ascii="Calibri" w:hAnsi="Calibri" w:cs="Calibri"/>
          <w:sz w:val="22"/>
          <w:szCs w:val="22"/>
        </w:rPr>
        <w:t>AHCDO will provide clinical leadership</w:t>
      </w:r>
      <w:r w:rsidR="009B463E">
        <w:rPr>
          <w:rFonts w:ascii="Calibri" w:hAnsi="Calibri" w:cs="Calibri"/>
          <w:sz w:val="22"/>
          <w:szCs w:val="22"/>
        </w:rPr>
        <w:t xml:space="preserve"> </w:t>
      </w:r>
      <w:r w:rsidRPr="00C13490">
        <w:rPr>
          <w:rFonts w:ascii="Calibri" w:hAnsi="Calibri" w:cs="Calibri"/>
          <w:sz w:val="22"/>
          <w:szCs w:val="22"/>
        </w:rPr>
        <w:t>to inform the transition requirements</w:t>
      </w:r>
      <w:r w:rsidR="00373C66" w:rsidRPr="00373C66">
        <w:rPr>
          <w:rFonts w:ascii="Calibri" w:hAnsi="Calibri" w:cs="Calibri"/>
          <w:sz w:val="22"/>
          <w:szCs w:val="22"/>
        </w:rPr>
        <w:t xml:space="preserve"> </w:t>
      </w:r>
      <w:r w:rsidR="00373C66">
        <w:rPr>
          <w:rFonts w:ascii="Calibri" w:hAnsi="Calibri" w:cs="Calibri"/>
          <w:sz w:val="22"/>
          <w:szCs w:val="22"/>
        </w:rPr>
        <w:t>in conjunction with the NBA</w:t>
      </w:r>
      <w:r w:rsidRPr="00C13490">
        <w:rPr>
          <w:rFonts w:ascii="Calibri" w:hAnsi="Calibri" w:cs="Calibri"/>
          <w:sz w:val="22"/>
          <w:szCs w:val="22"/>
        </w:rPr>
        <w:t xml:space="preserve">.  </w:t>
      </w:r>
      <w:r w:rsidR="009B463E">
        <w:rPr>
          <w:rFonts w:ascii="Calibri" w:hAnsi="Calibri" w:cs="Calibri"/>
          <w:sz w:val="22"/>
          <w:szCs w:val="22"/>
        </w:rPr>
        <w:t>NBA will seek a</w:t>
      </w:r>
      <w:r w:rsidRPr="00C13490">
        <w:rPr>
          <w:rFonts w:ascii="Calibri" w:hAnsi="Calibri" w:cs="Calibri"/>
          <w:sz w:val="22"/>
          <w:szCs w:val="22"/>
        </w:rPr>
        <w:t xml:space="preserve">dvice from HFA, AHNG, other allied health professionals through </w:t>
      </w:r>
      <w:bookmarkStart w:id="2" w:name="OLE_LINK1"/>
      <w:r w:rsidR="001C2546">
        <w:rPr>
          <w:rFonts w:ascii="Calibri" w:hAnsi="Calibri" w:cs="Calibri"/>
          <w:sz w:val="22"/>
          <w:szCs w:val="22"/>
        </w:rPr>
        <w:t>Australia/New Zealand Haemophilia Social Workers’ and Counsellors’ Group (</w:t>
      </w:r>
      <w:r w:rsidRPr="001C2546">
        <w:rPr>
          <w:rFonts w:ascii="Calibri" w:hAnsi="Calibri" w:cs="Calibri"/>
          <w:sz w:val="22"/>
          <w:szCs w:val="22"/>
        </w:rPr>
        <w:t>ANZHSWCG</w:t>
      </w:r>
      <w:r w:rsidR="001C2546" w:rsidRPr="001C2546">
        <w:rPr>
          <w:rFonts w:ascii="Calibri" w:hAnsi="Calibri" w:cs="Calibri"/>
          <w:sz w:val="22"/>
          <w:szCs w:val="22"/>
        </w:rPr>
        <w:t>)</w:t>
      </w:r>
      <w:r w:rsidRPr="001C2546">
        <w:rPr>
          <w:rFonts w:ascii="Calibri" w:hAnsi="Calibri" w:cs="Calibri"/>
          <w:sz w:val="22"/>
          <w:szCs w:val="22"/>
        </w:rPr>
        <w:t xml:space="preserve"> and </w:t>
      </w:r>
      <w:r w:rsidR="001C2546">
        <w:rPr>
          <w:rFonts w:ascii="Calibri" w:hAnsi="Calibri" w:cs="Calibri"/>
          <w:sz w:val="22"/>
          <w:szCs w:val="22"/>
        </w:rPr>
        <w:t>Australian and New Zealand Physiotherapy Haemophilia Group (</w:t>
      </w:r>
      <w:r w:rsidRPr="001C2546">
        <w:rPr>
          <w:rFonts w:ascii="Calibri" w:hAnsi="Calibri" w:cs="Calibri"/>
          <w:sz w:val="22"/>
          <w:szCs w:val="22"/>
        </w:rPr>
        <w:t>ANZPHG</w:t>
      </w:r>
      <w:r w:rsidR="001C2546">
        <w:rPr>
          <w:rFonts w:ascii="Calibri" w:hAnsi="Calibri" w:cs="Calibri"/>
          <w:sz w:val="22"/>
          <w:szCs w:val="22"/>
        </w:rPr>
        <w:t>)</w:t>
      </w:r>
      <w:r w:rsidRPr="00C13490">
        <w:rPr>
          <w:rFonts w:ascii="Calibri" w:hAnsi="Calibri" w:cs="Calibri"/>
          <w:sz w:val="22"/>
          <w:szCs w:val="22"/>
        </w:rPr>
        <w:t xml:space="preserve">, </w:t>
      </w:r>
      <w:bookmarkEnd w:id="2"/>
      <w:r w:rsidRPr="00C13490">
        <w:rPr>
          <w:rFonts w:ascii="Calibri" w:hAnsi="Calibri" w:cs="Calibri"/>
          <w:sz w:val="22"/>
          <w:szCs w:val="22"/>
        </w:rPr>
        <w:t>and relevant suppliers and distributors.</w:t>
      </w:r>
    </w:p>
    <w:p w:rsidR="00C13490" w:rsidRPr="00C13490" w:rsidRDefault="00C13490" w:rsidP="00C13490">
      <w:pPr>
        <w:spacing w:before="120"/>
        <w:rPr>
          <w:rFonts w:ascii="Calibri" w:hAnsi="Calibri" w:cs="Calibri"/>
          <w:sz w:val="22"/>
          <w:szCs w:val="22"/>
        </w:rPr>
      </w:pPr>
      <w:r w:rsidRPr="00C13490">
        <w:rPr>
          <w:rFonts w:ascii="Calibri" w:hAnsi="Calibri" w:cs="Calibri"/>
          <w:sz w:val="22"/>
          <w:szCs w:val="22"/>
        </w:rPr>
        <w:t>HTC directors and staff are responsible for the management of the transition</w:t>
      </w:r>
      <w:r w:rsidR="009B463E">
        <w:rPr>
          <w:rFonts w:ascii="Calibri" w:hAnsi="Calibri" w:cs="Calibri"/>
          <w:sz w:val="22"/>
          <w:szCs w:val="22"/>
        </w:rPr>
        <w:t xml:space="preserve"> at each centre</w:t>
      </w:r>
      <w:r w:rsidRPr="00C13490">
        <w:rPr>
          <w:rFonts w:ascii="Calibri" w:hAnsi="Calibri" w:cs="Calibri"/>
          <w:sz w:val="22"/>
          <w:szCs w:val="22"/>
        </w:rPr>
        <w:t>.</w:t>
      </w:r>
      <w:r w:rsidR="00D749D1">
        <w:rPr>
          <w:rFonts w:ascii="Calibri" w:hAnsi="Calibri" w:cs="Calibri"/>
          <w:sz w:val="22"/>
          <w:szCs w:val="22"/>
        </w:rPr>
        <w:t xml:space="preserve"> </w:t>
      </w:r>
      <w:r w:rsidRPr="00C13490">
        <w:rPr>
          <w:rFonts w:ascii="Calibri" w:hAnsi="Calibri" w:cs="Calibri"/>
          <w:sz w:val="22"/>
          <w:szCs w:val="22"/>
        </w:rPr>
        <w:t>The specific transition support arrangements for each HTC will be determined by that HTC.</w:t>
      </w:r>
    </w:p>
    <w:p w:rsidR="00C13490" w:rsidRPr="00C13490" w:rsidRDefault="00373C66" w:rsidP="00C13490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 the transition of </w:t>
      </w:r>
      <w:proofErr w:type="spellStart"/>
      <w:r>
        <w:rPr>
          <w:rFonts w:ascii="Calibri" w:hAnsi="Calibri" w:cs="Calibri"/>
          <w:sz w:val="22"/>
          <w:szCs w:val="22"/>
        </w:rPr>
        <w:t>Kogenate</w:t>
      </w:r>
      <w:proofErr w:type="spellEnd"/>
      <w:r>
        <w:rPr>
          <w:rFonts w:ascii="Calibri" w:hAnsi="Calibri" w:cs="Calibri"/>
          <w:sz w:val="22"/>
          <w:szCs w:val="22"/>
        </w:rPr>
        <w:t xml:space="preserve"> FS patients, </w:t>
      </w:r>
      <w:r w:rsidR="00B31C02">
        <w:rPr>
          <w:rFonts w:ascii="Calibri" w:hAnsi="Calibri" w:cs="Calibri"/>
          <w:sz w:val="22"/>
          <w:szCs w:val="22"/>
        </w:rPr>
        <w:t xml:space="preserve">Baxter </w:t>
      </w:r>
      <w:r>
        <w:rPr>
          <w:rFonts w:ascii="Calibri" w:hAnsi="Calibri" w:cs="Calibri"/>
          <w:sz w:val="22"/>
          <w:szCs w:val="22"/>
        </w:rPr>
        <w:t>will be</w:t>
      </w:r>
      <w:r w:rsidR="00B31C02">
        <w:rPr>
          <w:rFonts w:ascii="Calibri" w:hAnsi="Calibri" w:cs="Calibri"/>
          <w:sz w:val="22"/>
          <w:szCs w:val="22"/>
        </w:rPr>
        <w:t xml:space="preserve"> primarily</w:t>
      </w:r>
      <w:r w:rsidR="00C13490" w:rsidRPr="00C13490">
        <w:rPr>
          <w:rFonts w:ascii="Calibri" w:hAnsi="Calibri" w:cs="Calibri"/>
          <w:sz w:val="22"/>
          <w:szCs w:val="22"/>
        </w:rPr>
        <w:t xml:space="preserve"> responsible for providing product information materials and in-service training </w:t>
      </w:r>
      <w:r w:rsidR="00C13490">
        <w:rPr>
          <w:rFonts w:ascii="Calibri" w:hAnsi="Calibri" w:cs="Calibri"/>
          <w:sz w:val="22"/>
          <w:szCs w:val="22"/>
        </w:rPr>
        <w:t xml:space="preserve">on </w:t>
      </w:r>
      <w:r w:rsidR="00736479">
        <w:rPr>
          <w:rFonts w:ascii="Calibri" w:hAnsi="Calibri" w:cs="Calibri"/>
          <w:sz w:val="22"/>
          <w:szCs w:val="22"/>
        </w:rPr>
        <w:t>A</w:t>
      </w:r>
      <w:r w:rsidR="006C05B7">
        <w:rPr>
          <w:rFonts w:ascii="Calibri" w:hAnsi="Calibri" w:cs="Calibri"/>
          <w:sz w:val="22"/>
          <w:szCs w:val="22"/>
        </w:rPr>
        <w:t>DVATE</w:t>
      </w:r>
      <w:r w:rsidR="00C13490" w:rsidRPr="00C13490">
        <w:rPr>
          <w:rFonts w:ascii="Calibri" w:hAnsi="Calibri" w:cs="Calibri"/>
          <w:sz w:val="22"/>
          <w:szCs w:val="22"/>
        </w:rPr>
        <w:t xml:space="preserve"> for HTC clinicians and other staff, as determined by the HTCs and in a timeframe determined by the HTCs.  </w:t>
      </w:r>
      <w:r>
        <w:rPr>
          <w:rFonts w:ascii="Calibri" w:hAnsi="Calibri" w:cs="Calibri"/>
          <w:sz w:val="22"/>
          <w:szCs w:val="22"/>
        </w:rPr>
        <w:t>These activities will be overseen and coordinated</w:t>
      </w:r>
      <w:r w:rsidR="00C13490" w:rsidRPr="00C13490">
        <w:rPr>
          <w:rFonts w:ascii="Calibri" w:hAnsi="Calibri" w:cs="Calibri"/>
          <w:sz w:val="22"/>
          <w:szCs w:val="22"/>
        </w:rPr>
        <w:t xml:space="preserve"> with the NBA.  All supplier activities and marketing materials must </w:t>
      </w:r>
      <w:r w:rsidR="00CE5CDC">
        <w:rPr>
          <w:rFonts w:ascii="Calibri" w:hAnsi="Calibri" w:cs="Calibri"/>
          <w:sz w:val="22"/>
          <w:szCs w:val="22"/>
        </w:rPr>
        <w:t xml:space="preserve">comply </w:t>
      </w:r>
      <w:r w:rsidR="00C13490" w:rsidRPr="00C13490">
        <w:rPr>
          <w:rFonts w:ascii="Calibri" w:hAnsi="Calibri" w:cs="Calibri"/>
          <w:sz w:val="22"/>
          <w:szCs w:val="22"/>
        </w:rPr>
        <w:t xml:space="preserve">with Medicines Australia Code of Conduct. </w:t>
      </w:r>
    </w:p>
    <w:p w:rsidR="00CE5CDC" w:rsidRDefault="00C13490" w:rsidP="00C13490">
      <w:pPr>
        <w:spacing w:before="120"/>
        <w:rPr>
          <w:rFonts w:ascii="Calibri" w:hAnsi="Calibri" w:cs="Calibri"/>
          <w:sz w:val="22"/>
          <w:szCs w:val="22"/>
        </w:rPr>
      </w:pPr>
      <w:r w:rsidRPr="00C13490">
        <w:rPr>
          <w:rFonts w:ascii="Calibri" w:hAnsi="Calibri" w:cs="Calibri"/>
          <w:sz w:val="22"/>
          <w:szCs w:val="22"/>
        </w:rPr>
        <w:t>In most jurisdictions</w:t>
      </w:r>
      <w:r w:rsidR="00CE5CDC">
        <w:rPr>
          <w:rFonts w:ascii="Calibri" w:hAnsi="Calibri" w:cs="Calibri"/>
          <w:sz w:val="22"/>
          <w:szCs w:val="22"/>
        </w:rPr>
        <w:t>,</w:t>
      </w:r>
      <w:r w:rsidRPr="00C13490">
        <w:rPr>
          <w:rFonts w:ascii="Calibri" w:hAnsi="Calibri" w:cs="Calibri"/>
          <w:sz w:val="22"/>
          <w:szCs w:val="22"/>
        </w:rPr>
        <w:t xml:space="preserve"> </w:t>
      </w:r>
      <w:r w:rsidR="00373C66">
        <w:rPr>
          <w:rFonts w:ascii="Calibri" w:hAnsi="Calibri" w:cs="Calibri"/>
          <w:sz w:val="22"/>
          <w:szCs w:val="22"/>
        </w:rPr>
        <w:t>Baxter and Pfizer</w:t>
      </w:r>
      <w:r w:rsidRPr="00C13490">
        <w:rPr>
          <w:rFonts w:ascii="Calibri" w:hAnsi="Calibri" w:cs="Calibri"/>
          <w:sz w:val="22"/>
          <w:szCs w:val="22"/>
        </w:rPr>
        <w:t xml:space="preserve"> will be responsible for arrangements required to support delivery of products requested by HTCs.  </w:t>
      </w:r>
    </w:p>
    <w:p w:rsidR="00C13490" w:rsidRPr="00C13490" w:rsidRDefault="00C13490" w:rsidP="00C13490">
      <w:pPr>
        <w:spacing w:before="120"/>
        <w:rPr>
          <w:rFonts w:ascii="Calibri" w:hAnsi="Calibri" w:cs="Calibri"/>
          <w:sz w:val="22"/>
          <w:szCs w:val="22"/>
        </w:rPr>
      </w:pPr>
      <w:r w:rsidRPr="00C13490">
        <w:rPr>
          <w:rFonts w:ascii="Calibri" w:hAnsi="Calibri" w:cs="Calibri"/>
          <w:sz w:val="22"/>
          <w:szCs w:val="22"/>
        </w:rPr>
        <w:t>In NSW and SA, where the Blood Service distributes these products, HTCs, suppliers and the Blood Service will coordinate transition arrangements consistent with these principles.</w:t>
      </w:r>
    </w:p>
    <w:p w:rsidR="00FE6476" w:rsidRDefault="00C13490" w:rsidP="00D44528">
      <w:pPr>
        <w:spacing w:before="120"/>
      </w:pPr>
      <w:r>
        <w:rPr>
          <w:rFonts w:ascii="Calibri" w:hAnsi="Calibri" w:cs="Calibri"/>
          <w:sz w:val="22"/>
          <w:szCs w:val="22"/>
        </w:rPr>
        <w:t xml:space="preserve">The NBA will provide </w:t>
      </w:r>
      <w:r w:rsidR="00736479">
        <w:rPr>
          <w:rFonts w:ascii="Calibri" w:hAnsi="Calibri" w:cs="Calibri"/>
          <w:sz w:val="22"/>
          <w:szCs w:val="22"/>
        </w:rPr>
        <w:t xml:space="preserve">regular </w:t>
      </w:r>
      <w:r w:rsidR="00CE5CDC">
        <w:rPr>
          <w:rFonts w:ascii="Calibri" w:hAnsi="Calibri" w:cs="Calibri"/>
          <w:sz w:val="22"/>
          <w:szCs w:val="22"/>
        </w:rPr>
        <w:t xml:space="preserve">reports </w:t>
      </w:r>
      <w:r w:rsidR="00D749D1">
        <w:rPr>
          <w:rFonts w:ascii="Calibri" w:hAnsi="Calibri" w:cs="Calibri"/>
          <w:sz w:val="22"/>
          <w:szCs w:val="22"/>
        </w:rPr>
        <w:t>to HTC</w:t>
      </w:r>
      <w:r w:rsidR="007A66EA">
        <w:rPr>
          <w:rFonts w:ascii="Calibri" w:hAnsi="Calibri" w:cs="Calibri"/>
          <w:sz w:val="22"/>
          <w:szCs w:val="22"/>
        </w:rPr>
        <w:t>s,</w:t>
      </w:r>
      <w:r>
        <w:rPr>
          <w:rFonts w:ascii="Calibri" w:hAnsi="Calibri" w:cs="Calibri"/>
          <w:sz w:val="22"/>
          <w:szCs w:val="22"/>
        </w:rPr>
        <w:t xml:space="preserve"> AHCDO</w:t>
      </w:r>
      <w:r w:rsidR="00460AAA">
        <w:rPr>
          <w:rFonts w:ascii="Calibri" w:hAnsi="Calibri" w:cs="Calibri"/>
          <w:sz w:val="22"/>
          <w:szCs w:val="22"/>
        </w:rPr>
        <w:t xml:space="preserve"> and jurisdictional health departments</w:t>
      </w:r>
      <w:r>
        <w:rPr>
          <w:rFonts w:ascii="Calibri" w:hAnsi="Calibri" w:cs="Calibri"/>
          <w:sz w:val="22"/>
          <w:szCs w:val="22"/>
        </w:rPr>
        <w:t>.</w:t>
      </w:r>
      <w:r w:rsidR="0028455E">
        <w:rPr>
          <w:rFonts w:ascii="Calibri" w:hAnsi="Calibri" w:cs="Calibri"/>
          <w:sz w:val="22"/>
          <w:szCs w:val="22"/>
        </w:rPr>
        <w:t xml:space="preserve"> </w:t>
      </w:r>
    </w:p>
    <w:p w:rsidR="00C13490" w:rsidRDefault="00C13490" w:rsidP="00C13490">
      <w:pPr>
        <w:spacing w:before="120"/>
        <w:rPr>
          <w:rFonts w:ascii="Calibri" w:hAnsi="Calibri" w:cs="Calibri"/>
          <w:sz w:val="22"/>
          <w:szCs w:val="22"/>
        </w:rPr>
      </w:pPr>
    </w:p>
    <w:p w:rsidR="00FE33B3" w:rsidRDefault="00FE33B3" w:rsidP="00FE33B3">
      <w:pPr>
        <w:pStyle w:val="Heading3"/>
      </w:pPr>
      <w:r>
        <w:t>Monitoring</w:t>
      </w:r>
    </w:p>
    <w:p w:rsidR="00FE33B3" w:rsidRPr="00526B8F" w:rsidRDefault="00FE33B3" w:rsidP="00FE33B3">
      <w:pPr>
        <w:spacing w:before="120"/>
        <w:rPr>
          <w:rFonts w:ascii="Calibri" w:hAnsi="Calibri" w:cs="Calibri"/>
          <w:sz w:val="24"/>
        </w:rPr>
      </w:pPr>
      <w:r w:rsidRPr="00FE33B3">
        <w:rPr>
          <w:rFonts w:ascii="Calibri" w:hAnsi="Calibri" w:cs="Calibri"/>
          <w:sz w:val="22"/>
          <w:szCs w:val="22"/>
        </w:rPr>
        <w:t>During the transition period, the capture and timely reporting of data by HTCs, suppliers and patients is essential to facilitate the monitoring and management of product supply</w:t>
      </w:r>
      <w:r w:rsidRPr="00526B8F">
        <w:rPr>
          <w:rFonts w:ascii="Calibri" w:hAnsi="Calibri" w:cs="Calibri"/>
          <w:sz w:val="24"/>
        </w:rPr>
        <w:t>.</w:t>
      </w:r>
    </w:p>
    <w:p w:rsidR="00FE33B3" w:rsidRPr="00FE33B3" w:rsidRDefault="00FE33B3" w:rsidP="00FE33B3">
      <w:pPr>
        <w:rPr>
          <w:lang w:eastAsia="en-US"/>
        </w:rPr>
      </w:pPr>
    </w:p>
    <w:sectPr w:rsidR="00FE33B3" w:rsidRPr="00FE33B3" w:rsidSect="00856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51" w:rsidRDefault="00B34351" w:rsidP="00856708">
      <w:r>
        <w:separator/>
      </w:r>
    </w:p>
  </w:endnote>
  <w:endnote w:type="continuationSeparator" w:id="0">
    <w:p w:rsidR="00B34351" w:rsidRDefault="00B34351" w:rsidP="0085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Gothic-Extra">
    <w:panose1 w:val="00000000000000000000"/>
    <w:charset w:val="81"/>
    <w:family w:val="roman"/>
    <w:notTrueType/>
    <w:pitch w:val="default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51" w:rsidRDefault="00B343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51" w:rsidRPr="00856708" w:rsidRDefault="00B34351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  <w:t xml:space="preserve">pg.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 w:rsidR="0005494C">
      <w:rPr>
        <w:noProof/>
        <w:sz w:val="20"/>
        <w:szCs w:val="20"/>
      </w:rPr>
      <w:t>3</w:t>
    </w:r>
    <w:r w:rsidRPr="00856708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51" w:rsidRDefault="00B343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51" w:rsidRDefault="00B34351" w:rsidP="00856708">
      <w:r>
        <w:separator/>
      </w:r>
    </w:p>
  </w:footnote>
  <w:footnote w:type="continuationSeparator" w:id="0">
    <w:p w:rsidR="00B34351" w:rsidRDefault="00B34351" w:rsidP="00856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51" w:rsidRDefault="00B343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51" w:rsidRDefault="00B343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51" w:rsidRDefault="00B3435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0CC4084D" wp14:editId="577F2526">
          <wp:simplePos x="0" y="0"/>
          <wp:positionH relativeFrom="column">
            <wp:posOffset>-923925</wp:posOffset>
          </wp:positionH>
          <wp:positionV relativeFrom="paragraph">
            <wp:posOffset>-478155</wp:posOffset>
          </wp:positionV>
          <wp:extent cx="7588342" cy="10725150"/>
          <wp:effectExtent l="0" t="0" r="0" b="0"/>
          <wp:wrapNone/>
          <wp:docPr id="1" name="Pictur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342" cy="1072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ECD"/>
    <w:multiLevelType w:val="hybridMultilevel"/>
    <w:tmpl w:val="9F9E0D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D21FB"/>
    <w:multiLevelType w:val="hybridMultilevel"/>
    <w:tmpl w:val="C05E48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B6293"/>
    <w:multiLevelType w:val="multilevel"/>
    <w:tmpl w:val="E75C6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87AA8"/>
    <w:multiLevelType w:val="hybridMultilevel"/>
    <w:tmpl w:val="9B3254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C2EE4"/>
    <w:multiLevelType w:val="hybridMultilevel"/>
    <w:tmpl w:val="23805F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33BDA"/>
    <w:multiLevelType w:val="hybridMultilevel"/>
    <w:tmpl w:val="BD48FA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B3050"/>
    <w:multiLevelType w:val="hybridMultilevel"/>
    <w:tmpl w:val="41303F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357727"/>
    <w:multiLevelType w:val="hybridMultilevel"/>
    <w:tmpl w:val="B308DB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73067"/>
    <w:multiLevelType w:val="multilevel"/>
    <w:tmpl w:val="2446D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100DDA"/>
    <w:multiLevelType w:val="multilevel"/>
    <w:tmpl w:val="2854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CC1FCA"/>
    <w:multiLevelType w:val="multilevel"/>
    <w:tmpl w:val="658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F27882"/>
    <w:multiLevelType w:val="hybridMultilevel"/>
    <w:tmpl w:val="BBAAFD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35B5E"/>
    <w:multiLevelType w:val="multilevel"/>
    <w:tmpl w:val="CD3A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6E4D91"/>
    <w:multiLevelType w:val="multilevel"/>
    <w:tmpl w:val="F0BE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91065A"/>
    <w:multiLevelType w:val="multilevel"/>
    <w:tmpl w:val="9086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031087"/>
    <w:multiLevelType w:val="multilevel"/>
    <w:tmpl w:val="9DB6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785B76"/>
    <w:multiLevelType w:val="hybridMultilevel"/>
    <w:tmpl w:val="3CF02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47C5B7C"/>
    <w:multiLevelType w:val="hybridMultilevel"/>
    <w:tmpl w:val="D0AE2D92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9D0428"/>
    <w:multiLevelType w:val="multilevel"/>
    <w:tmpl w:val="2556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D07BEF"/>
    <w:multiLevelType w:val="multilevel"/>
    <w:tmpl w:val="97B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5974D3"/>
    <w:multiLevelType w:val="hybridMultilevel"/>
    <w:tmpl w:val="0B669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2B7DB9"/>
    <w:multiLevelType w:val="hybridMultilevel"/>
    <w:tmpl w:val="F02A0778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2E8159E1"/>
    <w:multiLevelType w:val="multilevel"/>
    <w:tmpl w:val="CB2E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351022"/>
    <w:multiLevelType w:val="hybridMultilevel"/>
    <w:tmpl w:val="35CA00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91279D"/>
    <w:multiLevelType w:val="multilevel"/>
    <w:tmpl w:val="B834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0164E5"/>
    <w:multiLevelType w:val="hybridMultilevel"/>
    <w:tmpl w:val="CCE4EA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BF7D9C"/>
    <w:multiLevelType w:val="multilevel"/>
    <w:tmpl w:val="2D4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5D94856"/>
    <w:multiLevelType w:val="hybridMultilevel"/>
    <w:tmpl w:val="A96AF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8A3631"/>
    <w:multiLevelType w:val="hybridMultilevel"/>
    <w:tmpl w:val="7AC2C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83141C"/>
    <w:multiLevelType w:val="hybridMultilevel"/>
    <w:tmpl w:val="4D5AF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96398A"/>
    <w:multiLevelType w:val="multilevel"/>
    <w:tmpl w:val="3E98A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ED414D"/>
    <w:multiLevelType w:val="hybridMultilevel"/>
    <w:tmpl w:val="B60A35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B3B22A7"/>
    <w:multiLevelType w:val="hybridMultilevel"/>
    <w:tmpl w:val="8D64C2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643EE7"/>
    <w:multiLevelType w:val="hybridMultilevel"/>
    <w:tmpl w:val="C1E8604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ED3E7D"/>
    <w:multiLevelType w:val="multilevel"/>
    <w:tmpl w:val="E93C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EA0AF5"/>
    <w:multiLevelType w:val="hybridMultilevel"/>
    <w:tmpl w:val="F2BCB0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A48A4"/>
    <w:multiLevelType w:val="hybridMultilevel"/>
    <w:tmpl w:val="052E2BBA"/>
    <w:lvl w:ilvl="0" w:tplc="0C09000F">
      <w:start w:val="1"/>
      <w:numFmt w:val="decimal"/>
      <w:lvlText w:val="%1."/>
      <w:lvlJc w:val="left"/>
      <w:pPr>
        <w:ind w:left="60" w:hanging="360"/>
      </w:pPr>
    </w:lvl>
    <w:lvl w:ilvl="1" w:tplc="0C090019" w:tentative="1">
      <w:start w:val="1"/>
      <w:numFmt w:val="lowerLetter"/>
      <w:lvlText w:val="%2."/>
      <w:lvlJc w:val="left"/>
      <w:pPr>
        <w:ind w:left="780" w:hanging="360"/>
      </w:pPr>
    </w:lvl>
    <w:lvl w:ilvl="2" w:tplc="0C09001B" w:tentative="1">
      <w:start w:val="1"/>
      <w:numFmt w:val="lowerRoman"/>
      <w:lvlText w:val="%3."/>
      <w:lvlJc w:val="right"/>
      <w:pPr>
        <w:ind w:left="1500" w:hanging="180"/>
      </w:pPr>
    </w:lvl>
    <w:lvl w:ilvl="3" w:tplc="0C09000F" w:tentative="1">
      <w:start w:val="1"/>
      <w:numFmt w:val="decimal"/>
      <w:lvlText w:val="%4."/>
      <w:lvlJc w:val="left"/>
      <w:pPr>
        <w:ind w:left="2220" w:hanging="360"/>
      </w:pPr>
    </w:lvl>
    <w:lvl w:ilvl="4" w:tplc="0C090019" w:tentative="1">
      <w:start w:val="1"/>
      <w:numFmt w:val="lowerLetter"/>
      <w:lvlText w:val="%5."/>
      <w:lvlJc w:val="left"/>
      <w:pPr>
        <w:ind w:left="2940" w:hanging="360"/>
      </w:pPr>
    </w:lvl>
    <w:lvl w:ilvl="5" w:tplc="0C09001B" w:tentative="1">
      <w:start w:val="1"/>
      <w:numFmt w:val="lowerRoman"/>
      <w:lvlText w:val="%6."/>
      <w:lvlJc w:val="right"/>
      <w:pPr>
        <w:ind w:left="3660" w:hanging="180"/>
      </w:pPr>
    </w:lvl>
    <w:lvl w:ilvl="6" w:tplc="0C09000F" w:tentative="1">
      <w:start w:val="1"/>
      <w:numFmt w:val="decimal"/>
      <w:lvlText w:val="%7."/>
      <w:lvlJc w:val="left"/>
      <w:pPr>
        <w:ind w:left="4380" w:hanging="360"/>
      </w:pPr>
    </w:lvl>
    <w:lvl w:ilvl="7" w:tplc="0C090019" w:tentative="1">
      <w:start w:val="1"/>
      <w:numFmt w:val="lowerLetter"/>
      <w:lvlText w:val="%8."/>
      <w:lvlJc w:val="left"/>
      <w:pPr>
        <w:ind w:left="5100" w:hanging="360"/>
      </w:pPr>
    </w:lvl>
    <w:lvl w:ilvl="8" w:tplc="0C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40">
    <w:nsid w:val="6B2A7D0F"/>
    <w:multiLevelType w:val="multilevel"/>
    <w:tmpl w:val="E13C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CD30C5"/>
    <w:multiLevelType w:val="hybridMultilevel"/>
    <w:tmpl w:val="45B6CC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972CB"/>
    <w:multiLevelType w:val="hybridMultilevel"/>
    <w:tmpl w:val="9C6C64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8E40F3A"/>
    <w:multiLevelType w:val="hybridMultilevel"/>
    <w:tmpl w:val="D3223E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5748BA"/>
    <w:multiLevelType w:val="hybridMultilevel"/>
    <w:tmpl w:val="8F4E0E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5"/>
  </w:num>
  <w:num w:numId="4">
    <w:abstractNumId w:val="41"/>
  </w:num>
  <w:num w:numId="5">
    <w:abstractNumId w:val="21"/>
  </w:num>
  <w:num w:numId="6">
    <w:abstractNumId w:val="10"/>
  </w:num>
  <w:num w:numId="7">
    <w:abstractNumId w:val="29"/>
  </w:num>
  <w:num w:numId="8">
    <w:abstractNumId w:val="23"/>
  </w:num>
  <w:num w:numId="9">
    <w:abstractNumId w:val="8"/>
  </w:num>
  <w:num w:numId="10">
    <w:abstractNumId w:val="33"/>
  </w:num>
  <w:num w:numId="11">
    <w:abstractNumId w:val="13"/>
  </w:num>
  <w:num w:numId="12">
    <w:abstractNumId w:val="37"/>
  </w:num>
  <w:num w:numId="13">
    <w:abstractNumId w:val="14"/>
  </w:num>
  <w:num w:numId="14">
    <w:abstractNumId w:val="19"/>
  </w:num>
  <w:num w:numId="15">
    <w:abstractNumId w:val="2"/>
  </w:num>
  <w:num w:numId="16">
    <w:abstractNumId w:val="27"/>
  </w:num>
  <w:num w:numId="17">
    <w:abstractNumId w:val="18"/>
  </w:num>
  <w:num w:numId="18">
    <w:abstractNumId w:val="15"/>
  </w:num>
  <w:num w:numId="19">
    <w:abstractNumId w:val="40"/>
  </w:num>
  <w:num w:numId="20">
    <w:abstractNumId w:val="12"/>
  </w:num>
  <w:num w:numId="21">
    <w:abstractNumId w:val="9"/>
  </w:num>
  <w:num w:numId="22">
    <w:abstractNumId w:val="17"/>
  </w:num>
  <w:num w:numId="23">
    <w:abstractNumId w:val="35"/>
  </w:num>
  <w:num w:numId="24">
    <w:abstractNumId w:val="42"/>
  </w:num>
  <w:num w:numId="25">
    <w:abstractNumId w:val="26"/>
  </w:num>
  <w:num w:numId="26">
    <w:abstractNumId w:val="0"/>
  </w:num>
  <w:num w:numId="27">
    <w:abstractNumId w:val="7"/>
  </w:num>
  <w:num w:numId="28">
    <w:abstractNumId w:val="1"/>
  </w:num>
  <w:num w:numId="29">
    <w:abstractNumId w:val="30"/>
  </w:num>
  <w:num w:numId="30">
    <w:abstractNumId w:val="39"/>
  </w:num>
  <w:num w:numId="31">
    <w:abstractNumId w:val="4"/>
  </w:num>
  <w:num w:numId="32">
    <w:abstractNumId w:val="45"/>
  </w:num>
  <w:num w:numId="33">
    <w:abstractNumId w:val="28"/>
  </w:num>
  <w:num w:numId="34">
    <w:abstractNumId w:val="3"/>
  </w:num>
  <w:num w:numId="35">
    <w:abstractNumId w:val="5"/>
  </w:num>
  <w:num w:numId="36">
    <w:abstractNumId w:val="38"/>
  </w:num>
  <w:num w:numId="37">
    <w:abstractNumId w:val="31"/>
  </w:num>
  <w:num w:numId="38">
    <w:abstractNumId w:val="11"/>
  </w:num>
  <w:num w:numId="39">
    <w:abstractNumId w:val="44"/>
  </w:num>
  <w:num w:numId="40">
    <w:abstractNumId w:val="32"/>
  </w:num>
  <w:num w:numId="41">
    <w:abstractNumId w:val="16"/>
  </w:num>
  <w:num w:numId="42">
    <w:abstractNumId w:val="36"/>
  </w:num>
  <w:num w:numId="43">
    <w:abstractNumId w:val="20"/>
  </w:num>
  <w:num w:numId="44">
    <w:abstractNumId w:val="34"/>
  </w:num>
  <w:num w:numId="45">
    <w:abstractNumId w:val="22"/>
  </w:num>
  <w:num w:numId="46">
    <w:abstractNumId w:val="43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CE"/>
    <w:rsid w:val="000054CE"/>
    <w:rsid w:val="00036EDC"/>
    <w:rsid w:val="0005494C"/>
    <w:rsid w:val="000A6970"/>
    <w:rsid w:val="000D6AD2"/>
    <w:rsid w:val="00132906"/>
    <w:rsid w:val="00162CD6"/>
    <w:rsid w:val="001A7668"/>
    <w:rsid w:val="001C2546"/>
    <w:rsid w:val="002537F2"/>
    <w:rsid w:val="0028455E"/>
    <w:rsid w:val="002B2FFD"/>
    <w:rsid w:val="002F079E"/>
    <w:rsid w:val="00373C66"/>
    <w:rsid w:val="00391235"/>
    <w:rsid w:val="0039529F"/>
    <w:rsid w:val="003A781C"/>
    <w:rsid w:val="003E5061"/>
    <w:rsid w:val="00411D5A"/>
    <w:rsid w:val="00460AAA"/>
    <w:rsid w:val="004C5B0E"/>
    <w:rsid w:val="004D4636"/>
    <w:rsid w:val="006C05B7"/>
    <w:rsid w:val="006E22B9"/>
    <w:rsid w:val="006F1E7E"/>
    <w:rsid w:val="00736479"/>
    <w:rsid w:val="007A66EA"/>
    <w:rsid w:val="00856708"/>
    <w:rsid w:val="0086388B"/>
    <w:rsid w:val="00885203"/>
    <w:rsid w:val="00893E0A"/>
    <w:rsid w:val="008B41CF"/>
    <w:rsid w:val="00951B85"/>
    <w:rsid w:val="009B463E"/>
    <w:rsid w:val="009E38CC"/>
    <w:rsid w:val="00A63F8F"/>
    <w:rsid w:val="00AD02D0"/>
    <w:rsid w:val="00B31C02"/>
    <w:rsid w:val="00B34351"/>
    <w:rsid w:val="00B3726E"/>
    <w:rsid w:val="00B633E5"/>
    <w:rsid w:val="00BC1D22"/>
    <w:rsid w:val="00BD11C8"/>
    <w:rsid w:val="00C1114A"/>
    <w:rsid w:val="00C13490"/>
    <w:rsid w:val="00C15EDB"/>
    <w:rsid w:val="00C23023"/>
    <w:rsid w:val="00C7337B"/>
    <w:rsid w:val="00C770C1"/>
    <w:rsid w:val="00CC2A63"/>
    <w:rsid w:val="00CE5CDC"/>
    <w:rsid w:val="00D44528"/>
    <w:rsid w:val="00D749D1"/>
    <w:rsid w:val="00E7294B"/>
    <w:rsid w:val="00F43966"/>
    <w:rsid w:val="00F861E2"/>
    <w:rsid w:val="00FA1A41"/>
    <w:rsid w:val="00FE33B3"/>
    <w:rsid w:val="00FE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C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next w:val="Normal"/>
    <w:link w:val="Heading1Char"/>
    <w:uiPriority w:val="9"/>
    <w:qFormat/>
    <w:rsid w:val="00B3726E"/>
    <w:pPr>
      <w:widowControl w:val="0"/>
      <w:spacing w:before="48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26E"/>
    <w:pPr>
      <w:outlineLvl w:val="2"/>
    </w:pPr>
    <w:rPr>
      <w:rFonts w:eastAsia="Dotum" w:cs="Arial"/>
      <w:b/>
      <w:color w:val="C60C30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outlineLvl w:val="3"/>
    </w:pPr>
    <w:rPr>
      <w:rFonts w:eastAsia="Dotum" w:cs="Arial"/>
      <w:b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26E"/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26E"/>
    <w:rPr>
      <w:rFonts w:ascii="Arial" w:eastAsia="Dotum" w:hAnsi="Arial" w:cs="Arial"/>
      <w:b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B3726E"/>
    <w:pPr>
      <w:spacing w:after="200"/>
      <w:ind w:left="720"/>
      <w:contextualSpacing/>
    </w:pPr>
    <w:rPr>
      <w:rFonts w:ascii="Calibri" w:eastAsia="Dotum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eastAsiaTheme="majorEastAsia" w:cstheme="majorBidi"/>
      <w:caps/>
      <w:color w:val="1E1E1E"/>
      <w:spacing w:val="-22"/>
      <w:w w:val="105"/>
      <w:kern w:val="28"/>
      <w:sz w:val="80"/>
      <w:szCs w:val="8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pPr>
      <w:spacing w:after="200"/>
    </w:pPr>
    <w:rPr>
      <w:rFonts w:asciiTheme="majorHAnsi" w:eastAsiaTheme="majorEastAsia" w:hAnsiTheme="majorHAnsi" w:cstheme="majorBidi"/>
      <w:i/>
      <w:iCs/>
      <w:color w:val="C60C30"/>
      <w:spacing w:val="15"/>
      <w:sz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nhideWhenUsed/>
    <w:rsid w:val="00856708"/>
    <w:pPr>
      <w:tabs>
        <w:tab w:val="center" w:pos="4513"/>
        <w:tab w:val="right" w:pos="9026"/>
      </w:tabs>
    </w:pPr>
    <w:rPr>
      <w:rFonts w:ascii="Calibri" w:eastAsia="Dotum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</w:pPr>
    <w:rPr>
      <w:rFonts w:ascii="Calibri" w:eastAsia="Dotum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A6970"/>
    <w:rPr>
      <w:rFonts w:ascii="Calibri" w:eastAsia="Dotum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C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next w:val="Normal"/>
    <w:link w:val="Heading1Char"/>
    <w:uiPriority w:val="9"/>
    <w:qFormat/>
    <w:rsid w:val="00B3726E"/>
    <w:pPr>
      <w:widowControl w:val="0"/>
      <w:spacing w:before="48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26E"/>
    <w:pPr>
      <w:outlineLvl w:val="2"/>
    </w:pPr>
    <w:rPr>
      <w:rFonts w:eastAsia="Dotum" w:cs="Arial"/>
      <w:b/>
      <w:color w:val="C60C30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outlineLvl w:val="3"/>
    </w:pPr>
    <w:rPr>
      <w:rFonts w:eastAsia="Dotum" w:cs="Arial"/>
      <w:b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26E"/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26E"/>
    <w:rPr>
      <w:rFonts w:ascii="Arial" w:eastAsia="Dotum" w:hAnsi="Arial" w:cs="Arial"/>
      <w:b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B3726E"/>
    <w:pPr>
      <w:spacing w:after="200"/>
      <w:ind w:left="720"/>
      <w:contextualSpacing/>
    </w:pPr>
    <w:rPr>
      <w:rFonts w:ascii="Calibri" w:eastAsia="Dotum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eastAsiaTheme="majorEastAsia" w:cstheme="majorBidi"/>
      <w:caps/>
      <w:color w:val="1E1E1E"/>
      <w:spacing w:val="-22"/>
      <w:w w:val="105"/>
      <w:kern w:val="28"/>
      <w:sz w:val="80"/>
      <w:szCs w:val="8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pPr>
      <w:spacing w:after="200"/>
    </w:pPr>
    <w:rPr>
      <w:rFonts w:asciiTheme="majorHAnsi" w:eastAsiaTheme="majorEastAsia" w:hAnsiTheme="majorHAnsi" w:cstheme="majorBidi"/>
      <w:i/>
      <w:iCs/>
      <w:color w:val="C60C30"/>
      <w:spacing w:val="15"/>
      <w:sz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nhideWhenUsed/>
    <w:rsid w:val="00856708"/>
    <w:pPr>
      <w:tabs>
        <w:tab w:val="center" w:pos="4513"/>
        <w:tab w:val="right" w:pos="9026"/>
      </w:tabs>
    </w:pPr>
    <w:rPr>
      <w:rFonts w:ascii="Calibri" w:eastAsia="Dotum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</w:pPr>
    <w:rPr>
      <w:rFonts w:ascii="Calibri" w:eastAsia="Dotum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A6970"/>
    <w:rPr>
      <w:rFonts w:ascii="Calibri" w:eastAsia="Dotum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6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7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B2E12362</Template>
  <TotalTime>274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Nicholls, Donna</dc:creator>
  <cp:lastModifiedBy>Nicholls, Donna</cp:lastModifiedBy>
  <cp:revision>22</cp:revision>
  <cp:lastPrinted>2014-04-22T05:37:00Z</cp:lastPrinted>
  <dcterms:created xsi:type="dcterms:W3CDTF">2014-04-11T04:03:00Z</dcterms:created>
  <dcterms:modified xsi:type="dcterms:W3CDTF">2014-05-28T01:21:00Z</dcterms:modified>
</cp:coreProperties>
</file>