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4F4" w:rsidRDefault="0087665C" w:rsidP="006874F4">
      <w:pPr>
        <w:widowControl/>
        <w:spacing w:after="200" w:line="276" w:lineRule="auto"/>
        <w:ind w:left="-1134"/>
        <w:rPr>
          <w:rFonts w:asciiTheme="majorHAnsi" w:eastAsiaTheme="majorEastAsia" w:hAnsiTheme="majorHAnsi" w:cstheme="majorHAnsi"/>
          <w:b/>
          <w:bCs/>
          <w:sz w:val="24"/>
          <w:szCs w:val="28"/>
        </w:rPr>
      </w:pPr>
      <w:bookmarkStart w:id="0" w:name="_Toc411414844"/>
      <w:bookmarkStart w:id="1" w:name="_Toc364168319"/>
      <w:r>
        <w:rPr>
          <w:rFonts w:asciiTheme="majorHAnsi" w:eastAsiaTheme="majorEastAsia" w:hAnsiTheme="majorHAnsi" w:cstheme="majorHAnsi"/>
          <w:b/>
          <w:bCs/>
          <w:noProof/>
          <w:sz w:val="24"/>
          <w:szCs w:val="28"/>
          <w:lang w:eastAsia="en-AU"/>
        </w:rPr>
        <w:drawing>
          <wp:inline distT="0" distB="0" distL="0" distR="0">
            <wp:extent cx="7742712" cy="1094889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on product choice and dose calculation1808201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48204" cy="10956658"/>
                    </a:xfrm>
                    <a:prstGeom prst="rect">
                      <a:avLst/>
                    </a:prstGeom>
                  </pic:spPr>
                </pic:pic>
              </a:graphicData>
            </a:graphic>
          </wp:inline>
        </w:drawing>
      </w:r>
    </w:p>
    <w:p w:rsidR="00620C45" w:rsidRDefault="00620C45" w:rsidP="00BF2D8B">
      <w:pPr>
        <w:pStyle w:val="Heading1"/>
        <w:sectPr w:rsidR="00620C45" w:rsidSect="00516387">
          <w:footerReference w:type="default" r:id="rId10"/>
          <w:footnotePr>
            <w:numFmt w:val="lowerLetter"/>
          </w:footnotePr>
          <w:pgSz w:w="11906" w:h="16838"/>
          <w:pgMar w:top="0" w:right="1134" w:bottom="0" w:left="1134" w:header="709" w:footer="0" w:gutter="0"/>
          <w:pgNumType w:start="0"/>
          <w:cols w:space="708"/>
          <w:titlePg/>
          <w:docGrid w:linePitch="360"/>
        </w:sectPr>
      </w:pPr>
    </w:p>
    <w:bookmarkEnd w:id="0"/>
    <w:p w:rsidR="00620C45" w:rsidRDefault="00620C45" w:rsidP="00620C45">
      <w:pPr>
        <w:ind w:right="-20"/>
        <w:rPr>
          <w:rFonts w:ascii="Times New Roman" w:eastAsia="Times New Roman" w:hAnsi="Times New Roman" w:cs="Times New Roman"/>
          <w:sz w:val="20"/>
          <w:szCs w:val="20"/>
        </w:rPr>
      </w:pPr>
      <w:r>
        <w:rPr>
          <w:rFonts w:ascii="TitilliumText25L" w:eastAsia="TitilliumText25L" w:hAnsi="TitilliumText25L" w:cs="TitilliumText25L"/>
          <w:color w:val="808080"/>
          <w:position w:val="-16"/>
          <w:sz w:val="102"/>
          <w:szCs w:val="102"/>
        </w:rPr>
        <w:lastRenderedPageBreak/>
        <w:t xml:space="preserve"> </w:t>
      </w:r>
      <w:r>
        <w:rPr>
          <w:noProof/>
          <w:lang w:eastAsia="en-AU"/>
        </w:rPr>
        <w:drawing>
          <wp:inline distT="0" distB="0" distL="0" distR="0" wp14:anchorId="6C2AA3F0" wp14:editId="3AE022B4">
            <wp:extent cx="1333500" cy="49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495300"/>
                    </a:xfrm>
                    <a:prstGeom prst="rect">
                      <a:avLst/>
                    </a:prstGeom>
                    <a:noFill/>
                    <a:ln>
                      <a:noFill/>
                    </a:ln>
                  </pic:spPr>
                </pic:pic>
              </a:graphicData>
            </a:graphic>
          </wp:inline>
        </w:drawing>
      </w:r>
    </w:p>
    <w:p w:rsidR="00620C45" w:rsidRDefault="00620C45" w:rsidP="00620C45">
      <w:pPr>
        <w:spacing w:before="4" w:line="120" w:lineRule="exact"/>
        <w:rPr>
          <w:sz w:val="12"/>
          <w:szCs w:val="12"/>
        </w:rPr>
      </w:pPr>
    </w:p>
    <w:p w:rsidR="00620C45" w:rsidRDefault="00620C45" w:rsidP="00620C45">
      <w:pPr>
        <w:spacing w:line="200" w:lineRule="exact"/>
        <w:rPr>
          <w:sz w:val="20"/>
          <w:szCs w:val="20"/>
        </w:rPr>
      </w:pPr>
    </w:p>
    <w:p w:rsidR="00731F23" w:rsidRPr="00731F23" w:rsidRDefault="00731F23" w:rsidP="00731F23">
      <w:pPr>
        <w:widowControl/>
        <w:suppressAutoHyphens/>
        <w:autoSpaceDE w:val="0"/>
        <w:autoSpaceDN w:val="0"/>
        <w:adjustRightInd w:val="0"/>
        <w:spacing w:line="288" w:lineRule="auto"/>
        <w:ind w:left="284"/>
        <w:textAlignment w:val="center"/>
        <w:rPr>
          <w:rFonts w:ascii="TitilliumText25L" w:eastAsia="Dotum" w:hAnsi="TitilliumText25L" w:cs="TitilliumText25L"/>
          <w:color w:val="000000"/>
        </w:rPr>
      </w:pPr>
      <w:r w:rsidRPr="00731F23">
        <w:rPr>
          <w:rFonts w:ascii="TitilliumText25L" w:eastAsia="Dotum" w:hAnsi="TitilliumText25L" w:cs="TitilliumText25L"/>
          <w:color w:val="000000"/>
        </w:rPr>
        <w:t xml:space="preserve">With the exception of any logos and registered trademarks, and where otherwise noted, all material presented in this document is provided under a Creative Commons Attribution 3.0 Australia (http://creativecommons.org/ licenses/by/3.0/au/) licence. </w:t>
      </w:r>
    </w:p>
    <w:p w:rsidR="00731F23" w:rsidRPr="00731F23" w:rsidRDefault="00731F23" w:rsidP="00731F23">
      <w:pPr>
        <w:widowControl/>
        <w:suppressAutoHyphens/>
        <w:autoSpaceDE w:val="0"/>
        <w:autoSpaceDN w:val="0"/>
        <w:adjustRightInd w:val="0"/>
        <w:spacing w:line="288" w:lineRule="auto"/>
        <w:ind w:left="284"/>
        <w:textAlignment w:val="center"/>
        <w:rPr>
          <w:rFonts w:ascii="TitilliumText25L" w:eastAsia="Dotum" w:hAnsi="TitilliumText25L" w:cs="TitilliumText25L"/>
          <w:color w:val="000000"/>
        </w:rPr>
      </w:pPr>
    </w:p>
    <w:p w:rsidR="00731F23" w:rsidRPr="00731F23" w:rsidRDefault="00731F23" w:rsidP="00731F23">
      <w:pPr>
        <w:widowControl/>
        <w:suppressAutoHyphens/>
        <w:autoSpaceDE w:val="0"/>
        <w:autoSpaceDN w:val="0"/>
        <w:adjustRightInd w:val="0"/>
        <w:spacing w:line="288" w:lineRule="auto"/>
        <w:ind w:left="284"/>
        <w:textAlignment w:val="center"/>
        <w:rPr>
          <w:rFonts w:ascii="TitilliumText25L" w:eastAsia="Dotum" w:hAnsi="TitilliumText25L" w:cs="TitilliumText25L"/>
          <w:color w:val="000000"/>
        </w:rPr>
      </w:pPr>
      <w:r w:rsidRPr="00731F23">
        <w:rPr>
          <w:rFonts w:ascii="TitilliumText25L" w:eastAsia="Dotum" w:hAnsi="TitilliumText25L" w:cs="TitilliumText25L"/>
          <w:color w:val="000000"/>
        </w:rPr>
        <w:t xml:space="preserve">The details of the relevant licence conditions are available on the Creative Commons website (accessible using the links provided) as is the full legal code for the CC BY 3.0 AU license (http://creativecommons.org/licenses/by/3.0/au/legalcode). </w:t>
      </w:r>
    </w:p>
    <w:p w:rsidR="00731F23" w:rsidRPr="00731F23" w:rsidRDefault="00731F23" w:rsidP="00731F23">
      <w:pPr>
        <w:widowControl/>
        <w:suppressAutoHyphens/>
        <w:autoSpaceDE w:val="0"/>
        <w:autoSpaceDN w:val="0"/>
        <w:adjustRightInd w:val="0"/>
        <w:spacing w:line="288" w:lineRule="auto"/>
        <w:ind w:left="284"/>
        <w:textAlignment w:val="center"/>
        <w:rPr>
          <w:rFonts w:ascii="TitilliumText25L" w:eastAsia="Dotum" w:hAnsi="TitilliumText25L" w:cs="TitilliumText25L"/>
          <w:color w:val="000000"/>
        </w:rPr>
      </w:pPr>
    </w:p>
    <w:p w:rsidR="00731F23" w:rsidRPr="00731F23" w:rsidRDefault="00731F23" w:rsidP="00731F23">
      <w:pPr>
        <w:widowControl/>
        <w:suppressAutoHyphens/>
        <w:autoSpaceDE w:val="0"/>
        <w:autoSpaceDN w:val="0"/>
        <w:adjustRightInd w:val="0"/>
        <w:spacing w:line="288" w:lineRule="auto"/>
        <w:ind w:left="284"/>
        <w:textAlignment w:val="center"/>
        <w:rPr>
          <w:rFonts w:ascii="TitilliumText25L" w:eastAsia="Dotum" w:hAnsi="TitilliumText25L" w:cs="TitilliumText25L"/>
          <w:color w:val="000000"/>
        </w:rPr>
      </w:pPr>
      <w:r w:rsidRPr="00731F23">
        <w:rPr>
          <w:rFonts w:ascii="TitilliumText25L" w:eastAsia="Dotum" w:hAnsi="TitilliumText25L" w:cs="TitilliumText25L"/>
          <w:color w:val="000000"/>
        </w:rPr>
        <w:t>The content obtained from this document or derivative of this work must be attributed as the Iron Product Choice and Dose Calculation.</w:t>
      </w:r>
    </w:p>
    <w:p w:rsidR="00731F23" w:rsidRPr="00731F23" w:rsidRDefault="00731F23" w:rsidP="00731F23">
      <w:pPr>
        <w:widowControl/>
        <w:suppressAutoHyphens/>
        <w:autoSpaceDE w:val="0"/>
        <w:autoSpaceDN w:val="0"/>
        <w:adjustRightInd w:val="0"/>
        <w:spacing w:line="288" w:lineRule="auto"/>
        <w:ind w:left="284"/>
        <w:textAlignment w:val="center"/>
        <w:rPr>
          <w:rFonts w:ascii="TitilliumText25L" w:eastAsia="Dotum" w:hAnsi="TitilliumText25L" w:cs="TitilliumText25L"/>
          <w:color w:val="000000"/>
        </w:rPr>
      </w:pPr>
    </w:p>
    <w:p w:rsidR="00731F23" w:rsidRPr="00731F23" w:rsidRDefault="00731F23" w:rsidP="00731F23">
      <w:pPr>
        <w:widowControl/>
        <w:suppressAutoHyphens/>
        <w:autoSpaceDE w:val="0"/>
        <w:autoSpaceDN w:val="0"/>
        <w:adjustRightInd w:val="0"/>
        <w:spacing w:line="288" w:lineRule="auto"/>
        <w:ind w:left="284"/>
        <w:textAlignment w:val="center"/>
        <w:rPr>
          <w:rFonts w:ascii="TitilliumText25L" w:eastAsia="Dotum" w:hAnsi="TitilliumText25L" w:cs="TitilliumText25L"/>
          <w:color w:val="000000"/>
        </w:rPr>
      </w:pPr>
      <w:proofErr w:type="gramStart"/>
      <w:r w:rsidRPr="00731F23">
        <w:rPr>
          <w:rFonts w:ascii="TitilliumText25L" w:eastAsia="Dotum" w:hAnsi="TitilliumText25L" w:cs="TitilliumText25L"/>
          <w:color w:val="000000"/>
        </w:rPr>
        <w:t>© National Blood Authority, 2015.</w:t>
      </w:r>
      <w:proofErr w:type="gramEnd"/>
      <w:r w:rsidRPr="00731F23">
        <w:rPr>
          <w:rFonts w:ascii="TitilliumText25L" w:eastAsia="Dotum" w:hAnsi="TitilliumText25L" w:cs="TitilliumText25L"/>
          <w:color w:val="000000"/>
        </w:rPr>
        <w:t xml:space="preserve"> </w:t>
      </w:r>
    </w:p>
    <w:p w:rsidR="00346DCE" w:rsidRPr="00346DCE" w:rsidRDefault="00731F23" w:rsidP="00346DCE">
      <w:pPr>
        <w:ind w:firstLine="284"/>
        <w:rPr>
          <w:rFonts w:ascii="TitilliumText25L (OTF) 400 wt" w:eastAsia="Dotum" w:hAnsi="TitilliumText25L (OTF) 400 wt" w:cs="TitilliumText25L (OTF) 400 wt"/>
          <w:color w:val="000000"/>
        </w:rPr>
      </w:pPr>
      <w:proofErr w:type="gramStart"/>
      <w:r w:rsidRPr="00731F23">
        <w:rPr>
          <w:rFonts w:ascii="TitilliumText25L" w:eastAsia="Dotum" w:hAnsi="TitilliumText25L" w:cs="TitilliumText25L"/>
          <w:color w:val="000000"/>
        </w:rPr>
        <w:t xml:space="preserve">ISBN </w:t>
      </w:r>
      <w:r w:rsidR="00346DCE" w:rsidRPr="00346DCE">
        <w:rPr>
          <w:rFonts w:ascii="TitilliumText25L (OTF) 400 wt" w:eastAsia="Dotum" w:hAnsi="TitilliumText25L (OTF) 400 wt" w:cs="TitilliumText25L (OTF) 400 wt"/>
          <w:color w:val="000000"/>
        </w:rPr>
        <w:t>:</w:t>
      </w:r>
      <w:proofErr w:type="gramEnd"/>
      <w:r w:rsidR="00346DCE" w:rsidRPr="00346DCE">
        <w:rPr>
          <w:rFonts w:ascii="TitilliumText25L (OTF) 400 wt" w:eastAsia="Dotum" w:hAnsi="TitilliumText25L (OTF) 400 wt" w:cs="TitilliumText25L (OTF) 400 wt"/>
          <w:color w:val="000000"/>
        </w:rPr>
        <w:t xml:space="preserve"> 978-0-9924971-9-4</w:t>
      </w:r>
    </w:p>
    <w:p w:rsidR="00731F23" w:rsidRPr="00731F23" w:rsidRDefault="00731F23" w:rsidP="00731F23">
      <w:pPr>
        <w:widowControl/>
        <w:suppressAutoHyphens/>
        <w:autoSpaceDE w:val="0"/>
        <w:autoSpaceDN w:val="0"/>
        <w:adjustRightInd w:val="0"/>
        <w:spacing w:line="288" w:lineRule="auto"/>
        <w:ind w:left="284"/>
        <w:textAlignment w:val="center"/>
        <w:rPr>
          <w:rFonts w:ascii="TitilliumText25L" w:eastAsia="Dotum" w:hAnsi="TitilliumText25L" w:cs="TitilliumText25L"/>
          <w:color w:val="000000"/>
        </w:rPr>
      </w:pPr>
      <w:r w:rsidRPr="00731F23">
        <w:rPr>
          <w:rFonts w:ascii="TitilliumText25L" w:eastAsia="Dotum" w:hAnsi="TitilliumText25L" w:cs="TitilliumText25L"/>
          <w:color w:val="000000"/>
        </w:rPr>
        <w:t xml:space="preserve">This report is available online at: </w:t>
      </w:r>
      <w:r w:rsidRPr="00731F23">
        <w:rPr>
          <w:rFonts w:ascii="TitilliumText25L" w:eastAsia="Dotum" w:hAnsi="TitilliumText25L" w:cs="TitilliumText25L"/>
          <w:color w:val="0000FF"/>
          <w:u w:val="thick" w:color="0000FF"/>
        </w:rPr>
        <w:t>www.blood.gov.au</w:t>
      </w:r>
      <w:r w:rsidRPr="00731F23">
        <w:rPr>
          <w:rFonts w:ascii="TitilliumText25L" w:eastAsia="Dotum" w:hAnsi="TitilliumText25L" w:cs="TitilliumText25L"/>
          <w:color w:val="000000"/>
        </w:rPr>
        <w:t xml:space="preserve">  </w:t>
      </w:r>
    </w:p>
    <w:p w:rsidR="00731F23" w:rsidRPr="00731F23" w:rsidRDefault="00731F23" w:rsidP="00731F23">
      <w:pPr>
        <w:widowControl/>
        <w:suppressAutoHyphens/>
        <w:autoSpaceDE w:val="0"/>
        <w:autoSpaceDN w:val="0"/>
        <w:adjustRightInd w:val="0"/>
        <w:spacing w:line="288" w:lineRule="auto"/>
        <w:ind w:left="284"/>
        <w:textAlignment w:val="center"/>
        <w:rPr>
          <w:rFonts w:ascii="TitilliumText25L" w:eastAsia="Dotum" w:hAnsi="TitilliumText25L" w:cs="TitilliumText25L"/>
          <w:color w:val="000000"/>
        </w:rPr>
      </w:pPr>
    </w:p>
    <w:p w:rsidR="00731F23" w:rsidRPr="00731F23" w:rsidRDefault="00731F23" w:rsidP="00731F23">
      <w:pPr>
        <w:widowControl/>
        <w:suppressAutoHyphens/>
        <w:autoSpaceDE w:val="0"/>
        <w:autoSpaceDN w:val="0"/>
        <w:adjustRightInd w:val="0"/>
        <w:spacing w:line="288" w:lineRule="auto"/>
        <w:ind w:left="284"/>
        <w:textAlignment w:val="center"/>
        <w:rPr>
          <w:rFonts w:ascii="TitilliumText25L" w:eastAsia="Dotum" w:hAnsi="TitilliumText25L" w:cs="TitilliumText25L"/>
          <w:color w:val="000000"/>
        </w:rPr>
      </w:pPr>
      <w:r w:rsidRPr="00731F23">
        <w:rPr>
          <w:rFonts w:ascii="TitilliumText25L" w:eastAsia="Dotum" w:hAnsi="TitilliumText25L" w:cs="TitilliumText25L"/>
          <w:color w:val="000000"/>
        </w:rPr>
        <w:t xml:space="preserve">For more information: </w:t>
      </w:r>
    </w:p>
    <w:p w:rsidR="00731F23" w:rsidRPr="00731F23" w:rsidRDefault="00731F23" w:rsidP="00731F23">
      <w:pPr>
        <w:widowControl/>
        <w:suppressAutoHyphens/>
        <w:autoSpaceDE w:val="0"/>
        <w:autoSpaceDN w:val="0"/>
        <w:adjustRightInd w:val="0"/>
        <w:spacing w:line="288" w:lineRule="auto"/>
        <w:ind w:left="284"/>
        <w:textAlignment w:val="center"/>
        <w:rPr>
          <w:rFonts w:ascii="TitilliumText25L" w:eastAsia="Dotum" w:hAnsi="TitilliumText25L" w:cs="TitilliumText25L"/>
          <w:color w:val="000000"/>
        </w:rPr>
      </w:pPr>
      <w:r w:rsidRPr="00731F23">
        <w:rPr>
          <w:rFonts w:ascii="TitilliumText25L" w:eastAsia="Dotum" w:hAnsi="TitilliumText25L" w:cs="TitilliumText25L"/>
          <w:color w:val="000000"/>
        </w:rPr>
        <w:t xml:space="preserve">Patient Blood Management </w:t>
      </w:r>
    </w:p>
    <w:p w:rsidR="00731F23" w:rsidRPr="00731F23" w:rsidRDefault="00731F23" w:rsidP="00731F23">
      <w:pPr>
        <w:widowControl/>
        <w:suppressAutoHyphens/>
        <w:autoSpaceDE w:val="0"/>
        <w:autoSpaceDN w:val="0"/>
        <w:adjustRightInd w:val="0"/>
        <w:spacing w:line="288" w:lineRule="auto"/>
        <w:ind w:left="284"/>
        <w:textAlignment w:val="center"/>
        <w:rPr>
          <w:rFonts w:ascii="TitilliumText25L" w:eastAsia="Dotum" w:hAnsi="TitilliumText25L" w:cs="TitilliumText25L"/>
          <w:color w:val="000000"/>
        </w:rPr>
      </w:pPr>
      <w:r w:rsidRPr="00731F23">
        <w:rPr>
          <w:rFonts w:ascii="TitilliumText25L" w:eastAsia="Dotum" w:hAnsi="TitilliumText25L" w:cs="TitilliumText25L"/>
          <w:color w:val="000000"/>
        </w:rPr>
        <w:t xml:space="preserve">National Blood Authority </w:t>
      </w:r>
    </w:p>
    <w:p w:rsidR="00731F23" w:rsidRPr="00731F23" w:rsidRDefault="00731F23" w:rsidP="00731F23">
      <w:pPr>
        <w:widowControl/>
        <w:suppressAutoHyphens/>
        <w:autoSpaceDE w:val="0"/>
        <w:autoSpaceDN w:val="0"/>
        <w:adjustRightInd w:val="0"/>
        <w:spacing w:line="288" w:lineRule="auto"/>
        <w:ind w:left="284"/>
        <w:textAlignment w:val="center"/>
        <w:rPr>
          <w:rFonts w:ascii="TitilliumText25L" w:eastAsia="Dotum" w:hAnsi="TitilliumText25L" w:cs="TitilliumText25L"/>
          <w:color w:val="000000"/>
        </w:rPr>
      </w:pPr>
      <w:r w:rsidRPr="00731F23">
        <w:rPr>
          <w:rFonts w:ascii="TitilliumText25L" w:eastAsia="Dotum" w:hAnsi="TitilliumText25L" w:cs="TitilliumText25L"/>
          <w:color w:val="000000"/>
        </w:rPr>
        <w:t xml:space="preserve">Locked Bag 8430 Canberra ACT 2601 </w:t>
      </w:r>
    </w:p>
    <w:p w:rsidR="00731F23" w:rsidRPr="00731F23" w:rsidRDefault="00731F23" w:rsidP="00731F23">
      <w:pPr>
        <w:widowControl/>
        <w:suppressAutoHyphens/>
        <w:autoSpaceDE w:val="0"/>
        <w:autoSpaceDN w:val="0"/>
        <w:adjustRightInd w:val="0"/>
        <w:spacing w:line="288" w:lineRule="auto"/>
        <w:ind w:left="284"/>
        <w:textAlignment w:val="center"/>
        <w:rPr>
          <w:rFonts w:ascii="TitilliumText25L" w:eastAsia="Dotum" w:hAnsi="TitilliumText25L" w:cs="TitilliumText25L"/>
          <w:color w:val="000000"/>
        </w:rPr>
      </w:pPr>
      <w:r w:rsidRPr="00731F23">
        <w:rPr>
          <w:rFonts w:ascii="TitilliumText25L" w:eastAsia="Dotum" w:hAnsi="TitilliumText25L" w:cs="TitilliumText25L"/>
          <w:color w:val="000000"/>
        </w:rPr>
        <w:t xml:space="preserve">Phone: 13000 BLOOD (13 000 25663) </w:t>
      </w:r>
    </w:p>
    <w:p w:rsidR="00620C45" w:rsidRDefault="00731F23" w:rsidP="00731F23">
      <w:pPr>
        <w:widowControl/>
        <w:spacing w:after="200" w:line="276" w:lineRule="auto"/>
        <w:ind w:left="284"/>
        <w:rPr>
          <w:rFonts w:ascii="TitilliumText25L" w:eastAsia="TitilliumText25L" w:hAnsi="TitilliumText25L" w:cs="TitilliumText25L"/>
          <w:color w:val="231F20"/>
        </w:rPr>
      </w:pPr>
      <w:r w:rsidRPr="00731F23">
        <w:rPr>
          <w:rFonts w:ascii="TitilliumText25L" w:eastAsia="Dotum" w:hAnsi="TitilliumText25L" w:cs="TitilliumText25L"/>
          <w:color w:val="000000"/>
        </w:rPr>
        <w:t xml:space="preserve">Email: </w:t>
      </w:r>
      <w:proofErr w:type="gramStart"/>
      <w:r w:rsidRPr="00731F23">
        <w:rPr>
          <w:rFonts w:ascii="TitilliumText25L" w:eastAsia="Dotum" w:hAnsi="TitilliumText25L" w:cs="TitilliumText25L"/>
          <w:color w:val="0000FF"/>
          <w:u w:val="thick" w:color="0000FF"/>
        </w:rPr>
        <w:t>patientbloodmanagement@blood.gov.au</w:t>
      </w:r>
      <w:r w:rsidRPr="00731F23">
        <w:rPr>
          <w:rFonts w:ascii="TitilliumText25L" w:eastAsia="Dotum" w:hAnsi="TitilliumText25L" w:cs="TitilliumText25L"/>
          <w:color w:val="000000"/>
        </w:rPr>
        <w:t xml:space="preserve">  </w:t>
      </w:r>
      <w:r w:rsidRPr="00731F23">
        <w:rPr>
          <w:rFonts w:ascii="TitilliumText25L" w:eastAsia="Dotum" w:hAnsi="TitilliumText25L" w:cs="TitilliumText25L"/>
          <w:color w:val="0000FF"/>
          <w:u w:val="thick" w:color="0000FF"/>
        </w:rPr>
        <w:t>www.blood.gov.au</w:t>
      </w:r>
      <w:proofErr w:type="gramEnd"/>
      <w:r w:rsidR="00620C45">
        <w:rPr>
          <w:rFonts w:ascii="TitilliumText25L" w:eastAsia="TitilliumText25L" w:hAnsi="TitilliumText25L" w:cs="TitilliumText25L"/>
          <w:color w:val="231F20"/>
        </w:rPr>
        <w:br w:type="page"/>
      </w:r>
    </w:p>
    <w:p w:rsidR="00731F23" w:rsidRPr="00D41B7B" w:rsidRDefault="00731F23" w:rsidP="00D41B7B">
      <w:pPr>
        <w:pStyle w:val="Heading1"/>
        <w:ind w:hanging="567"/>
        <w:rPr>
          <w:rFonts w:ascii="TitilliumText25L" w:eastAsia="TitilliumText25L" w:hAnsi="TitilliumText25L" w:cs="TitilliumText25L"/>
          <w:b w:val="0"/>
          <w:color w:val="D0202E"/>
          <w:sz w:val="60"/>
          <w:szCs w:val="60"/>
        </w:rPr>
      </w:pPr>
      <w:r w:rsidRPr="00731F23">
        <w:rPr>
          <w:rFonts w:ascii="TitilliumText25L" w:eastAsia="TitilliumText25L" w:hAnsi="TitilliumText25L" w:cs="TitilliumText25L"/>
          <w:b w:val="0"/>
          <w:color w:val="D0202E"/>
          <w:position w:val="-1"/>
          <w:sz w:val="102"/>
          <w:szCs w:val="102"/>
        </w:rPr>
        <w:lastRenderedPageBreak/>
        <w:t>&gt;</w:t>
      </w:r>
      <w:r w:rsidRPr="00731F23">
        <w:rPr>
          <w:rFonts w:ascii="TitilliumText25L" w:eastAsia="TitilliumText25L" w:hAnsi="TitilliumText25L" w:cs="TitilliumText25L"/>
          <w:b w:val="0"/>
          <w:bCs w:val="0"/>
          <w:color w:val="D0202E"/>
          <w:sz w:val="60"/>
          <w:szCs w:val="60"/>
        </w:rPr>
        <w:t xml:space="preserve">IRON PRODUCT CHOICE AND </w:t>
      </w:r>
      <w:r>
        <w:rPr>
          <w:rFonts w:ascii="TitilliumText25L" w:eastAsia="TitilliumText25L" w:hAnsi="TitilliumText25L" w:cs="TitilliumText25L"/>
          <w:b w:val="0"/>
          <w:bCs w:val="0"/>
          <w:color w:val="D0202E"/>
          <w:sz w:val="60"/>
          <w:szCs w:val="60"/>
        </w:rPr>
        <w:br/>
      </w:r>
      <w:r w:rsidRPr="00731F23">
        <w:rPr>
          <w:rFonts w:ascii="TitilliumText25L" w:eastAsia="TitilliumText25L" w:hAnsi="TitilliumText25L" w:cs="TitilliumText25L"/>
          <w:b w:val="0"/>
          <w:bCs w:val="0"/>
          <w:color w:val="D0202E"/>
          <w:sz w:val="60"/>
          <w:szCs w:val="60"/>
        </w:rPr>
        <w:t xml:space="preserve">DOSE CALCULATION </w:t>
      </w:r>
      <w:r w:rsidR="00D41B7B" w:rsidRPr="00D41B7B">
        <w:rPr>
          <w:rFonts w:ascii="TitilliumText25L" w:eastAsia="TitilliumText25L" w:hAnsi="TitilliumText25L" w:cs="TitilliumText25L"/>
          <w:b w:val="0"/>
          <w:bCs w:val="0"/>
          <w:color w:val="D0202E"/>
          <w:sz w:val="60"/>
          <w:szCs w:val="60"/>
        </w:rPr>
        <w:t>–</w:t>
      </w:r>
      <w:r w:rsidRPr="00D41B7B">
        <w:rPr>
          <w:rFonts w:ascii="TitilliumText25L" w:eastAsia="TitilliumText25L" w:hAnsi="TitilliumText25L" w:cs="TitilliumText25L"/>
          <w:b w:val="0"/>
          <w:bCs w:val="0"/>
          <w:color w:val="D0202E"/>
          <w:sz w:val="60"/>
          <w:szCs w:val="60"/>
        </w:rPr>
        <w:t xml:space="preserve"> </w:t>
      </w:r>
      <w:r w:rsidRPr="00D41B7B">
        <w:rPr>
          <w:rFonts w:ascii="TitilliumText25L" w:eastAsia="TitilliumText25L" w:hAnsi="TitilliumText25L" w:cs="TitilliumText25L"/>
          <w:b w:val="0"/>
          <w:color w:val="D0202E"/>
          <w:sz w:val="60"/>
          <w:szCs w:val="60"/>
        </w:rPr>
        <w:t>ADULTS</w:t>
      </w:r>
    </w:p>
    <w:p w:rsidR="00D41B7B" w:rsidRDefault="00D41B7B" w:rsidP="00D41B7B">
      <w:r>
        <w:t xml:space="preserve">This guide has been developed to assist clinicians determine the appropriate formulation and dosage of iron replacement therapy for adults who have been diagnosed </w:t>
      </w:r>
      <w:r w:rsidRPr="001073F7">
        <w:t>with iron deficiency (ID) and/or ir</w:t>
      </w:r>
      <w:r>
        <w:t>on deficiency anaemia (IDA).</w:t>
      </w:r>
      <w:bookmarkStart w:id="2" w:name="0_pgfId-1095384"/>
      <w:bookmarkEnd w:id="2"/>
    </w:p>
    <w:p w:rsidR="00D41B7B" w:rsidRDefault="00D41B7B" w:rsidP="00D41B7B">
      <w:r>
        <w:t>Iron requirements for infants, children and adolescents are included in Chapter 4 of the Patient Blood Management Guidelines: Module 6 Neonatal and Paediatric (in development)</w:t>
      </w:r>
    </w:p>
    <w:p w:rsidR="00D41B7B" w:rsidRDefault="00D41B7B" w:rsidP="00D41B7B">
      <w:r>
        <w:t xml:space="preserve">For resources on aetiology, prevention, diagnosis and investigation of iron deficiency refer to </w:t>
      </w:r>
      <w:r w:rsidRPr="00176DE2">
        <w:rPr>
          <w:b/>
        </w:rPr>
        <w:t>Appendix 1</w:t>
      </w:r>
      <w:r>
        <w:t>.</w:t>
      </w:r>
    </w:p>
    <w:p w:rsidR="00D41B7B" w:rsidRDefault="00D41B7B" w:rsidP="00D41B7B"/>
    <w:p w:rsidR="00D41B7B" w:rsidRPr="00D41B7B" w:rsidRDefault="00D41B7B" w:rsidP="00D41B7B">
      <w:pPr>
        <w:pStyle w:val="Heading1"/>
        <w:rPr>
          <w:rFonts w:ascii="TitilliumText25L" w:eastAsia="TitilliumText25L" w:hAnsi="TitilliumText25L" w:cs="TitilliumText25L"/>
          <w:b w:val="0"/>
          <w:bCs w:val="0"/>
          <w:color w:val="D0202E"/>
          <w:sz w:val="60"/>
          <w:szCs w:val="60"/>
        </w:rPr>
      </w:pPr>
      <w:r w:rsidRPr="00D41B7B">
        <w:rPr>
          <w:rFonts w:ascii="TitilliumText25L" w:eastAsia="TitilliumText25L" w:hAnsi="TitilliumText25L" w:cs="TitilliumText25L"/>
          <w:b w:val="0"/>
          <w:bCs w:val="0"/>
          <w:color w:val="D0202E"/>
          <w:sz w:val="60"/>
          <w:szCs w:val="60"/>
        </w:rPr>
        <w:t>IRON FORMULATIONS</w:t>
      </w:r>
    </w:p>
    <w:p w:rsidR="00D41B7B" w:rsidRPr="00D60F15" w:rsidRDefault="00D41B7B" w:rsidP="00D41B7B">
      <w:pPr>
        <w:rPr>
          <w:b/>
        </w:rPr>
      </w:pPr>
      <w:r w:rsidRPr="00D60F15">
        <w:t xml:space="preserve">All patients with </w:t>
      </w:r>
      <w:r>
        <w:t>ID</w:t>
      </w:r>
      <w:r w:rsidRPr="00D60F15">
        <w:t xml:space="preserve"> should have iron supplementation to correct anaemia and/or </w:t>
      </w:r>
      <w:proofErr w:type="gramStart"/>
      <w:r w:rsidRPr="00D60F15">
        <w:t>replete</w:t>
      </w:r>
      <w:proofErr w:type="gramEnd"/>
      <w:r w:rsidRPr="00D60F15">
        <w:t xml:space="preserve"> body stores.</w:t>
      </w:r>
      <w:r w:rsidRPr="00D60F15">
        <w:rPr>
          <w:vertAlign w:val="superscript"/>
        </w:rPr>
        <w:t>1</w:t>
      </w:r>
      <w:r>
        <w:rPr>
          <w:vertAlign w:val="superscript"/>
        </w:rPr>
        <w:t>-</w:t>
      </w:r>
      <w:r w:rsidRPr="00D60F15">
        <w:rPr>
          <w:vertAlign w:val="superscript"/>
        </w:rPr>
        <w:t>3</w:t>
      </w:r>
    </w:p>
    <w:p w:rsidR="00D41B7B" w:rsidRPr="002F4FA9" w:rsidRDefault="00D41B7B" w:rsidP="00D41B7B">
      <w:r w:rsidRPr="00176DE2">
        <w:t>Patients should be provided with information brochures about the iron therapy prescribed</w:t>
      </w:r>
      <w:r w:rsidRPr="00D60F15">
        <w:rPr>
          <w:rFonts w:cstheme="minorHAnsi"/>
        </w:rPr>
        <w:t>.</w:t>
      </w:r>
    </w:p>
    <w:p w:rsidR="00D41B7B" w:rsidRPr="007A490F" w:rsidRDefault="00D41B7B" w:rsidP="007A490F">
      <w:pPr>
        <w:pStyle w:val="ListParagraph"/>
        <w:spacing w:before="240"/>
        <w:rPr>
          <w:rFonts w:ascii="TitilliumText25L" w:hAnsi="TitilliumText25L" w:cs="TitilliumText25L"/>
          <w:color w:val="333740"/>
          <w:sz w:val="28"/>
          <w:szCs w:val="28"/>
        </w:rPr>
      </w:pPr>
      <w:r w:rsidRPr="007A490F">
        <w:rPr>
          <w:rFonts w:ascii="TitilliumText25L" w:hAnsi="TitilliumText25L" w:cs="TitilliumText25L"/>
          <w:color w:val="333740"/>
          <w:sz w:val="28"/>
          <w:szCs w:val="28"/>
        </w:rPr>
        <w:t>Diet</w:t>
      </w:r>
    </w:p>
    <w:p w:rsidR="00D41B7B" w:rsidRDefault="00D41B7B" w:rsidP="00D41B7B">
      <w:pPr>
        <w:rPr>
          <w:rFonts w:cstheme="minorHAnsi"/>
        </w:rPr>
      </w:pPr>
      <w:r>
        <w:t>Increase in dietary iron may be valuable for secondary prevention of iron deficiency</w:t>
      </w:r>
      <w:r w:rsidRPr="003051B9">
        <w:rPr>
          <w:vertAlign w:val="superscript"/>
        </w:rPr>
        <w:t>1</w:t>
      </w:r>
      <w:r>
        <w:t xml:space="preserve"> but should not be relied upon as treatment. </w:t>
      </w:r>
      <w:r>
        <w:rPr>
          <w:rFonts w:cstheme="minorHAnsi"/>
        </w:rPr>
        <w:t xml:space="preserve">Consider referral to </w:t>
      </w:r>
      <w:r w:rsidRPr="003252C1">
        <w:rPr>
          <w:rFonts w:cstheme="minorHAnsi"/>
        </w:rPr>
        <w:t>an Accredited Practising Dietician</w:t>
      </w:r>
      <w:r>
        <w:rPr>
          <w:rFonts w:cstheme="minorHAnsi"/>
        </w:rPr>
        <w:t>.</w:t>
      </w:r>
    </w:p>
    <w:p w:rsidR="00D41B7B" w:rsidRDefault="00D41B7B" w:rsidP="00D41B7B"/>
    <w:p w:rsidR="00D41B7B" w:rsidRPr="007A490F" w:rsidRDefault="00D41B7B" w:rsidP="007A490F">
      <w:pPr>
        <w:pStyle w:val="ListParagraph"/>
        <w:spacing w:before="240"/>
        <w:rPr>
          <w:rFonts w:ascii="TitilliumText25L" w:hAnsi="TitilliumText25L" w:cs="TitilliumText25L"/>
          <w:color w:val="333740"/>
          <w:sz w:val="28"/>
          <w:szCs w:val="28"/>
        </w:rPr>
      </w:pPr>
      <w:r w:rsidRPr="007A490F">
        <w:rPr>
          <w:rFonts w:ascii="TitilliumText25L" w:hAnsi="TitilliumText25L" w:cs="TitilliumText25L"/>
          <w:color w:val="333740"/>
          <w:sz w:val="28"/>
          <w:szCs w:val="28"/>
        </w:rPr>
        <w:t>Oral therapy</w:t>
      </w:r>
    </w:p>
    <w:p w:rsidR="00D41B7B" w:rsidRPr="000F726C" w:rsidRDefault="00D41B7B" w:rsidP="00D41B7B">
      <w:pPr>
        <w:rPr>
          <w:rFonts w:cstheme="minorHAnsi"/>
        </w:rPr>
      </w:pPr>
      <w:r w:rsidRPr="0007199B">
        <w:rPr>
          <w:rFonts w:cstheme="minorHAnsi"/>
        </w:rPr>
        <w:t xml:space="preserve">Oral iron therapy is suitable and effective </w:t>
      </w:r>
      <w:r>
        <w:rPr>
          <w:rFonts w:cstheme="minorHAnsi"/>
        </w:rPr>
        <w:t xml:space="preserve">as first line therapy </w:t>
      </w:r>
      <w:r w:rsidRPr="0007199B">
        <w:rPr>
          <w:rFonts w:cstheme="minorHAnsi"/>
        </w:rPr>
        <w:t>in most patients</w:t>
      </w:r>
      <w:r>
        <w:rPr>
          <w:rFonts w:cstheme="minorHAnsi"/>
        </w:rPr>
        <w:t xml:space="preserve"> with iron deficiency or iron deficiency anaemia</w:t>
      </w:r>
      <w:r w:rsidRPr="0007199B">
        <w:rPr>
          <w:rFonts w:cstheme="minorHAnsi"/>
        </w:rPr>
        <w:t>.</w:t>
      </w:r>
      <w:r>
        <w:rPr>
          <w:rFonts w:cstheme="minorHAnsi"/>
          <w:vertAlign w:val="superscript"/>
        </w:rPr>
        <w:t>1</w:t>
      </w:r>
      <w:r w:rsidRPr="0007199B">
        <w:rPr>
          <w:rFonts w:cstheme="minorHAnsi"/>
        </w:rPr>
        <w:t xml:space="preserve"> </w:t>
      </w:r>
      <w:proofErr w:type="gramStart"/>
      <w:r w:rsidRPr="0007199B">
        <w:rPr>
          <w:rFonts w:cstheme="minorHAnsi"/>
        </w:rPr>
        <w:t>When</w:t>
      </w:r>
      <w:proofErr w:type="gramEnd"/>
      <w:r w:rsidRPr="0007199B">
        <w:rPr>
          <w:rFonts w:cstheme="minorHAnsi"/>
        </w:rPr>
        <w:t xml:space="preserve"> given at equivalent elemental iron doses, different oral iron salts have sim</w:t>
      </w:r>
      <w:r>
        <w:rPr>
          <w:rFonts w:cstheme="minorHAnsi"/>
        </w:rPr>
        <w:t>ilar efficacy and tolerability.</w:t>
      </w:r>
      <w:r w:rsidRPr="00B616D7">
        <w:rPr>
          <w:rFonts w:cstheme="minorHAnsi"/>
          <w:vertAlign w:val="superscript"/>
        </w:rPr>
        <w:t>1</w:t>
      </w:r>
    </w:p>
    <w:p w:rsidR="00D41B7B" w:rsidRPr="0086318C" w:rsidRDefault="00D41B7B" w:rsidP="00D41B7B">
      <w:pPr>
        <w:rPr>
          <w:rFonts w:cstheme="minorHAnsi"/>
        </w:rPr>
      </w:pPr>
    </w:p>
    <w:p w:rsidR="00D41B7B" w:rsidRPr="007A490F" w:rsidRDefault="00D41B7B" w:rsidP="007A490F">
      <w:pPr>
        <w:pStyle w:val="ListParagraph"/>
        <w:spacing w:before="240"/>
        <w:rPr>
          <w:rFonts w:ascii="TitilliumText25L" w:hAnsi="TitilliumText25L" w:cs="TitilliumText25L"/>
          <w:color w:val="333740"/>
          <w:sz w:val="28"/>
          <w:szCs w:val="28"/>
        </w:rPr>
      </w:pPr>
      <w:r w:rsidRPr="007A490F">
        <w:rPr>
          <w:rFonts w:ascii="TitilliumText25L" w:hAnsi="TitilliumText25L" w:cs="TitilliumText25L"/>
          <w:color w:val="333740"/>
          <w:sz w:val="28"/>
          <w:szCs w:val="28"/>
        </w:rPr>
        <w:t>Intramuscular therapy</w:t>
      </w:r>
    </w:p>
    <w:p w:rsidR="00D41B7B" w:rsidRDefault="00D41B7B" w:rsidP="00D41B7B">
      <w:pPr>
        <w:rPr>
          <w:rFonts w:cstheme="minorHAnsi"/>
        </w:rPr>
      </w:pPr>
      <w:r>
        <w:rPr>
          <w:rFonts w:cstheme="minorHAnsi"/>
        </w:rPr>
        <w:t>Intramuscular (</w:t>
      </w:r>
      <w:r w:rsidRPr="0007199B">
        <w:rPr>
          <w:rFonts w:cstheme="minorHAnsi"/>
        </w:rPr>
        <w:t>IM</w:t>
      </w:r>
      <w:r>
        <w:rPr>
          <w:rFonts w:cstheme="minorHAnsi"/>
        </w:rPr>
        <w:t xml:space="preserve">) </w:t>
      </w:r>
      <w:r w:rsidRPr="0007199B">
        <w:rPr>
          <w:rFonts w:cstheme="minorHAnsi"/>
        </w:rPr>
        <w:t>iron is effective</w:t>
      </w:r>
      <w:r>
        <w:rPr>
          <w:rFonts w:cstheme="minorHAnsi"/>
        </w:rPr>
        <w:t xml:space="preserve"> but</w:t>
      </w:r>
      <w:r w:rsidRPr="0007199B">
        <w:rPr>
          <w:rFonts w:cstheme="minorHAnsi"/>
        </w:rPr>
        <w:t xml:space="preserve"> painful</w:t>
      </w:r>
      <w:r>
        <w:rPr>
          <w:rFonts w:cstheme="minorHAnsi"/>
        </w:rPr>
        <w:t xml:space="preserve"> and may be </w:t>
      </w:r>
      <w:r w:rsidRPr="0007199B">
        <w:rPr>
          <w:rFonts w:cstheme="minorHAnsi"/>
        </w:rPr>
        <w:t>associated with permanent skin staining</w:t>
      </w:r>
      <w:r>
        <w:rPr>
          <w:rFonts w:cstheme="minorHAnsi"/>
        </w:rPr>
        <w:t>. It is no safer than IV infusion.</w:t>
      </w:r>
      <w:r w:rsidRPr="00BB03EE">
        <w:rPr>
          <w:rFonts w:cstheme="minorHAnsi"/>
          <w:vertAlign w:val="superscript"/>
        </w:rPr>
        <w:t>1</w:t>
      </w:r>
      <w:r>
        <w:rPr>
          <w:rFonts w:cstheme="minorHAnsi"/>
        </w:rPr>
        <w:t xml:space="preserve"> </w:t>
      </w:r>
      <w:r w:rsidRPr="0007199B">
        <w:rPr>
          <w:rFonts w:cstheme="minorHAnsi"/>
        </w:rPr>
        <w:t xml:space="preserve">Its use is </w:t>
      </w:r>
      <w:r w:rsidRPr="009773D8">
        <w:rPr>
          <w:rFonts w:cstheme="minorHAnsi"/>
        </w:rPr>
        <w:t>discouraged</w:t>
      </w:r>
      <w:r>
        <w:rPr>
          <w:rFonts w:cstheme="minorHAnsi"/>
        </w:rPr>
        <w:t>.</w:t>
      </w:r>
      <w:r w:rsidRPr="009773D8">
        <w:rPr>
          <w:rFonts w:cstheme="minorHAnsi"/>
          <w:vertAlign w:val="superscript"/>
        </w:rPr>
        <w:t>1</w:t>
      </w:r>
      <w:proofErr w:type="gramStart"/>
      <w:r>
        <w:rPr>
          <w:rFonts w:cstheme="minorHAnsi"/>
          <w:vertAlign w:val="superscript"/>
        </w:rPr>
        <w:t>,2</w:t>
      </w:r>
      <w:proofErr w:type="gramEnd"/>
    </w:p>
    <w:p w:rsidR="00D41B7B" w:rsidRPr="00952461" w:rsidRDefault="00D41B7B" w:rsidP="00D41B7B">
      <w:pPr>
        <w:rPr>
          <w:rFonts w:cstheme="minorHAnsi"/>
        </w:rPr>
      </w:pPr>
    </w:p>
    <w:p w:rsidR="00D41B7B" w:rsidRPr="007A490F" w:rsidRDefault="00D41B7B" w:rsidP="007A490F">
      <w:pPr>
        <w:pStyle w:val="ListParagraph"/>
        <w:spacing w:before="240"/>
        <w:rPr>
          <w:rFonts w:ascii="TitilliumText25L" w:hAnsi="TitilliumText25L" w:cs="TitilliumText25L"/>
          <w:color w:val="333740"/>
          <w:sz w:val="28"/>
          <w:szCs w:val="28"/>
        </w:rPr>
      </w:pPr>
      <w:r w:rsidRPr="007A490F">
        <w:rPr>
          <w:rFonts w:ascii="TitilliumText25L" w:hAnsi="TitilliumText25L" w:cs="TitilliumText25L"/>
          <w:color w:val="333740"/>
          <w:sz w:val="28"/>
          <w:szCs w:val="28"/>
        </w:rPr>
        <w:t>Intravenous therapy</w:t>
      </w:r>
    </w:p>
    <w:p w:rsidR="00D41B7B" w:rsidRDefault="00D41B7B" w:rsidP="00D41B7B">
      <w:pPr>
        <w:rPr>
          <w:rFonts w:cstheme="minorHAnsi"/>
        </w:rPr>
      </w:pPr>
      <w:r w:rsidRPr="0007199B">
        <w:rPr>
          <w:rFonts w:cstheme="minorHAnsi"/>
        </w:rPr>
        <w:t>Three preparations of intravenous i</w:t>
      </w:r>
      <w:r>
        <w:rPr>
          <w:rFonts w:cstheme="minorHAnsi"/>
        </w:rPr>
        <w:t>ron (IV) are approved for IV use in Australia:</w:t>
      </w:r>
    </w:p>
    <w:p w:rsidR="00D41B7B" w:rsidRPr="00833276" w:rsidRDefault="00D41B7B" w:rsidP="003A5515">
      <w:pPr>
        <w:pStyle w:val="ListParagraph"/>
        <w:widowControl/>
        <w:numPr>
          <w:ilvl w:val="0"/>
          <w:numId w:val="1"/>
        </w:numPr>
        <w:spacing w:after="200"/>
        <w:contextualSpacing/>
        <w:rPr>
          <w:rFonts w:cstheme="minorHAnsi"/>
        </w:rPr>
      </w:pPr>
      <w:r w:rsidRPr="00833276">
        <w:rPr>
          <w:rFonts w:cstheme="minorHAnsi"/>
        </w:rPr>
        <w:t xml:space="preserve">Ferric </w:t>
      </w:r>
      <w:proofErr w:type="spellStart"/>
      <w:r w:rsidRPr="00833276">
        <w:rPr>
          <w:rFonts w:cstheme="minorHAnsi"/>
        </w:rPr>
        <w:t>carboxymaltose</w:t>
      </w:r>
      <w:proofErr w:type="spellEnd"/>
      <w:r w:rsidRPr="00833276">
        <w:rPr>
          <w:rFonts w:cstheme="minorHAnsi"/>
        </w:rPr>
        <w:t xml:space="preserve">: </w:t>
      </w:r>
      <w:hyperlink r:id="rId12" w:history="1">
        <w:proofErr w:type="spellStart"/>
        <w:r w:rsidRPr="00833276">
          <w:rPr>
            <w:rStyle w:val="Hyperlink"/>
            <w:rFonts w:cstheme="minorHAnsi"/>
          </w:rPr>
          <w:t>Ferinject</w:t>
        </w:r>
        <w:proofErr w:type="spellEnd"/>
        <w:r w:rsidRPr="00833276">
          <w:rPr>
            <w:rStyle w:val="Hyperlink"/>
            <w:rFonts w:cstheme="minorHAnsi"/>
          </w:rPr>
          <w:t>®</w:t>
        </w:r>
      </w:hyperlink>
    </w:p>
    <w:p w:rsidR="00D41B7B" w:rsidRPr="00880498" w:rsidRDefault="00D41B7B" w:rsidP="003A5515">
      <w:pPr>
        <w:pStyle w:val="ListParagraph"/>
        <w:widowControl/>
        <w:numPr>
          <w:ilvl w:val="0"/>
          <w:numId w:val="1"/>
        </w:numPr>
        <w:spacing w:after="200"/>
        <w:contextualSpacing/>
        <w:rPr>
          <w:sz w:val="20"/>
          <w:szCs w:val="20"/>
        </w:rPr>
      </w:pPr>
      <w:r w:rsidRPr="0007199B">
        <w:rPr>
          <w:rFonts w:cstheme="minorHAnsi"/>
        </w:rPr>
        <w:t xml:space="preserve">Iron </w:t>
      </w:r>
      <w:proofErr w:type="spellStart"/>
      <w:r w:rsidRPr="0007199B">
        <w:rPr>
          <w:rFonts w:cstheme="minorHAnsi"/>
        </w:rPr>
        <w:t>polymaltose</w:t>
      </w:r>
      <w:proofErr w:type="spellEnd"/>
      <w:r w:rsidRPr="0007199B">
        <w:rPr>
          <w:rFonts w:cstheme="minorHAnsi"/>
        </w:rPr>
        <w:t xml:space="preserve">: </w:t>
      </w:r>
      <w:hyperlink r:id="rId13" w:history="1">
        <w:proofErr w:type="spellStart"/>
        <w:r w:rsidRPr="00880498">
          <w:rPr>
            <w:rStyle w:val="Hyperlink"/>
          </w:rPr>
          <w:t>Ferrosig</w:t>
        </w:r>
        <w:proofErr w:type="spellEnd"/>
        <w:r w:rsidRPr="00880498">
          <w:rPr>
            <w:rStyle w:val="Hyperlink"/>
            <w:rFonts w:cstheme="minorHAnsi"/>
          </w:rPr>
          <w:t>®</w:t>
        </w:r>
      </w:hyperlink>
    </w:p>
    <w:p w:rsidR="00D41B7B" w:rsidRPr="00F5593F" w:rsidRDefault="00D41B7B" w:rsidP="003A5515">
      <w:pPr>
        <w:pStyle w:val="ListParagraph"/>
        <w:widowControl/>
        <w:numPr>
          <w:ilvl w:val="0"/>
          <w:numId w:val="1"/>
        </w:numPr>
        <w:spacing w:after="200"/>
        <w:contextualSpacing/>
        <w:rPr>
          <w:sz w:val="20"/>
          <w:szCs w:val="20"/>
        </w:rPr>
      </w:pPr>
      <w:r w:rsidRPr="0007199B">
        <w:t xml:space="preserve">Iron sucrose: </w:t>
      </w:r>
      <w:hyperlink r:id="rId14" w:history="1">
        <w:proofErr w:type="spellStart"/>
        <w:r w:rsidRPr="00880498">
          <w:rPr>
            <w:rStyle w:val="Hyperlink"/>
            <w:rFonts w:cstheme="minorHAnsi"/>
          </w:rPr>
          <w:t>Venofer</w:t>
        </w:r>
        <w:proofErr w:type="spellEnd"/>
        <w:r w:rsidRPr="00880498">
          <w:rPr>
            <w:rStyle w:val="Hyperlink"/>
            <w:rFonts w:cstheme="minorHAnsi"/>
          </w:rPr>
          <w:t>®</w:t>
        </w:r>
      </w:hyperlink>
    </w:p>
    <w:p w:rsidR="00D41B7B" w:rsidRPr="00F829CD" w:rsidRDefault="00D41B7B" w:rsidP="00D41B7B">
      <w:pPr>
        <w:rPr>
          <w:rFonts w:cstheme="minorHAnsi"/>
        </w:rPr>
      </w:pPr>
      <w:r w:rsidRPr="00F829CD">
        <w:rPr>
          <w:rFonts w:cstheme="minorHAnsi"/>
        </w:rPr>
        <w:t xml:space="preserve">See </w:t>
      </w:r>
      <w:r w:rsidRPr="00176DE2">
        <w:rPr>
          <w:rFonts w:cstheme="minorHAnsi"/>
          <w:b/>
        </w:rPr>
        <w:t>Appendix 2</w:t>
      </w:r>
      <w:r w:rsidRPr="00F829CD">
        <w:rPr>
          <w:rFonts w:cstheme="minorHAnsi"/>
        </w:rPr>
        <w:t xml:space="preserve"> for indications and comparison information</w:t>
      </w:r>
      <w:r>
        <w:rPr>
          <w:rFonts w:cstheme="minorHAnsi"/>
        </w:rPr>
        <w:t>.</w:t>
      </w:r>
    </w:p>
    <w:p w:rsidR="00D41B7B" w:rsidRDefault="00D41B7B" w:rsidP="00D41B7B">
      <w:pPr>
        <w:spacing w:line="276" w:lineRule="auto"/>
        <w:rPr>
          <w:rFonts w:cstheme="minorHAnsi"/>
        </w:rPr>
      </w:pPr>
      <w:r>
        <w:rPr>
          <w:rFonts w:cstheme="minorHAnsi"/>
        </w:rPr>
        <w:br w:type="page"/>
      </w:r>
    </w:p>
    <w:p w:rsidR="00D41B7B" w:rsidRDefault="00D41B7B" w:rsidP="00D41B7B">
      <w:pPr>
        <w:pStyle w:val="Heading3"/>
      </w:pPr>
    </w:p>
    <w:p w:rsidR="00D41B7B" w:rsidRDefault="00D41B7B" w:rsidP="00D41B7B">
      <w:pPr>
        <w:pStyle w:val="Heading3"/>
      </w:pPr>
    </w:p>
    <w:p w:rsidR="00D41B7B" w:rsidRPr="007A490F" w:rsidRDefault="00D41B7B" w:rsidP="007A490F">
      <w:pPr>
        <w:pStyle w:val="ListParagraph"/>
        <w:spacing w:before="240"/>
        <w:rPr>
          <w:rFonts w:ascii="TitilliumText25L" w:hAnsi="TitilliumText25L" w:cs="TitilliumText25L"/>
          <w:color w:val="333740"/>
          <w:sz w:val="28"/>
          <w:szCs w:val="28"/>
        </w:rPr>
      </w:pPr>
      <w:r w:rsidRPr="007A490F">
        <w:rPr>
          <w:rFonts w:ascii="TitilliumText25L" w:hAnsi="TitilliumText25L" w:cs="TitilliumText25L"/>
          <w:color w:val="333740"/>
          <w:sz w:val="28"/>
          <w:szCs w:val="28"/>
        </w:rPr>
        <w:t>Making the choice</w:t>
      </w:r>
    </w:p>
    <w:p w:rsidR="00D41B7B" w:rsidRDefault="00D41B7B" w:rsidP="00D41B7B">
      <w:r w:rsidRPr="0007199B">
        <w:rPr>
          <w:rFonts w:cstheme="minorHAnsi"/>
        </w:rPr>
        <w:t xml:space="preserve">Oral iron therapy is suitable and effective </w:t>
      </w:r>
      <w:r>
        <w:rPr>
          <w:rFonts w:cstheme="minorHAnsi"/>
        </w:rPr>
        <w:t xml:space="preserve">as first line therapy </w:t>
      </w:r>
      <w:r w:rsidRPr="0007199B">
        <w:rPr>
          <w:rFonts w:cstheme="minorHAnsi"/>
        </w:rPr>
        <w:t>in most patients</w:t>
      </w:r>
      <w:r>
        <w:rPr>
          <w:rFonts w:cstheme="minorHAnsi"/>
        </w:rPr>
        <w:t>,</w:t>
      </w:r>
      <w:r w:rsidRPr="007D6A30">
        <w:rPr>
          <w:rFonts w:cstheme="minorHAnsi"/>
        </w:rPr>
        <w:t xml:space="preserve"> </w:t>
      </w:r>
      <w:r>
        <w:rPr>
          <w:rFonts w:cstheme="minorHAnsi"/>
        </w:rPr>
        <w:t>including most obstetric patients</w:t>
      </w:r>
      <w:proofErr w:type="gramStart"/>
      <w:r>
        <w:rPr>
          <w:rFonts w:cstheme="minorHAnsi"/>
        </w:rPr>
        <w:t>,</w:t>
      </w:r>
      <w:r w:rsidRPr="007D6A30">
        <w:rPr>
          <w:rFonts w:cstheme="minorHAnsi"/>
          <w:vertAlign w:val="superscript"/>
        </w:rPr>
        <w:t>4</w:t>
      </w:r>
      <w:r>
        <w:rPr>
          <w:rFonts w:cstheme="minorHAnsi"/>
          <w:vertAlign w:val="superscript"/>
        </w:rPr>
        <w:t>,5</w:t>
      </w:r>
      <w:proofErr w:type="gramEnd"/>
      <w:r>
        <w:rPr>
          <w:rFonts w:cstheme="minorHAnsi"/>
        </w:rPr>
        <w:t xml:space="preserve"> with iron deficiency or iron deficiency anaemia</w:t>
      </w:r>
      <w:r w:rsidRPr="0007199B">
        <w:rPr>
          <w:rFonts w:cstheme="minorHAnsi"/>
        </w:rPr>
        <w:t>.</w:t>
      </w:r>
      <w:r w:rsidRPr="002F0D81">
        <w:rPr>
          <w:rFonts w:cstheme="minorHAnsi"/>
          <w:vertAlign w:val="superscript"/>
        </w:rPr>
        <w:t>1</w:t>
      </w:r>
      <w:r>
        <w:rPr>
          <w:rFonts w:cstheme="minorHAnsi"/>
        </w:rPr>
        <w:t xml:space="preserve"> Indications for intravenous iron include</w:t>
      </w:r>
      <w:r>
        <w:t>:</w:t>
      </w:r>
      <w:r w:rsidRPr="005A08A9">
        <w:rPr>
          <w:vertAlign w:val="superscript"/>
        </w:rPr>
        <w:t>1,3,</w:t>
      </w:r>
      <w:r>
        <w:rPr>
          <w:vertAlign w:val="superscript"/>
        </w:rPr>
        <w:t>5,6</w:t>
      </w:r>
    </w:p>
    <w:p w:rsidR="00D41B7B" w:rsidRPr="007E69A6" w:rsidRDefault="00D41B7B" w:rsidP="003A5515">
      <w:pPr>
        <w:pStyle w:val="ListParagraph"/>
        <w:widowControl/>
        <w:numPr>
          <w:ilvl w:val="0"/>
          <w:numId w:val="6"/>
        </w:numPr>
        <w:spacing w:after="200"/>
        <w:contextualSpacing/>
        <w:rPr>
          <w:rFonts w:cstheme="minorHAnsi"/>
        </w:rPr>
      </w:pPr>
      <w:r>
        <w:rPr>
          <w:rFonts w:cstheme="minorHAnsi"/>
        </w:rPr>
        <w:t xml:space="preserve">contraindications to oral iron, or </w:t>
      </w:r>
      <w:r>
        <w:t>compliance or tolerance (side effect) issues</w:t>
      </w:r>
    </w:p>
    <w:p w:rsidR="00D41B7B" w:rsidRPr="007E69A6" w:rsidRDefault="00D41B7B" w:rsidP="003A5515">
      <w:pPr>
        <w:pStyle w:val="ListParagraph"/>
        <w:widowControl/>
        <w:numPr>
          <w:ilvl w:val="0"/>
          <w:numId w:val="6"/>
        </w:numPr>
        <w:spacing w:after="200"/>
        <w:contextualSpacing/>
        <w:rPr>
          <w:rFonts w:cstheme="minorHAnsi"/>
        </w:rPr>
      </w:pPr>
      <w:r>
        <w:t>pregnancy (beyond the first trimester) and postpartum if oral iron not suitable or effective, or to prevent physiological decompensation</w:t>
      </w:r>
    </w:p>
    <w:p w:rsidR="00D41B7B" w:rsidRPr="003E0357" w:rsidRDefault="00D41B7B" w:rsidP="003A5515">
      <w:pPr>
        <w:pStyle w:val="ListParagraph"/>
        <w:widowControl/>
        <w:numPr>
          <w:ilvl w:val="0"/>
          <w:numId w:val="6"/>
        </w:numPr>
        <w:spacing w:after="200"/>
        <w:contextualSpacing/>
        <w:rPr>
          <w:rFonts w:cstheme="minorHAnsi"/>
        </w:rPr>
      </w:pPr>
      <w:r>
        <w:t>comorbidities which may impact on absorption (</w:t>
      </w:r>
      <w:proofErr w:type="spellStart"/>
      <w:r>
        <w:t>eg</w:t>
      </w:r>
      <w:proofErr w:type="spellEnd"/>
      <w:r>
        <w:t>. intestinal mucosal disorders), or bone marrow response</w:t>
      </w:r>
    </w:p>
    <w:p w:rsidR="00D41B7B" w:rsidRPr="003E0357" w:rsidRDefault="00D41B7B" w:rsidP="003A5515">
      <w:pPr>
        <w:pStyle w:val="ListParagraph"/>
        <w:widowControl/>
        <w:numPr>
          <w:ilvl w:val="0"/>
          <w:numId w:val="6"/>
        </w:numPr>
        <w:spacing w:after="200"/>
        <w:contextualSpacing/>
        <w:rPr>
          <w:rFonts w:cstheme="minorHAnsi"/>
        </w:rPr>
      </w:pPr>
      <w:r>
        <w:t>chronic renal impairment receiving erythropoiesis-stimulating agent therapy</w:t>
      </w:r>
    </w:p>
    <w:p w:rsidR="00D41B7B" w:rsidRPr="003E0357" w:rsidRDefault="00D41B7B" w:rsidP="003A5515">
      <w:pPr>
        <w:pStyle w:val="ListParagraph"/>
        <w:widowControl/>
        <w:numPr>
          <w:ilvl w:val="0"/>
          <w:numId w:val="6"/>
        </w:numPr>
        <w:spacing w:after="200"/>
        <w:contextualSpacing/>
        <w:rPr>
          <w:rFonts w:cstheme="minorHAnsi"/>
        </w:rPr>
      </w:pPr>
      <w:r>
        <w:t>ongoing iron losses that exceed absorptive capacity</w:t>
      </w:r>
    </w:p>
    <w:p w:rsidR="00D41B7B" w:rsidRPr="00977787" w:rsidRDefault="00D41B7B" w:rsidP="003A5515">
      <w:pPr>
        <w:pStyle w:val="ListParagraph"/>
        <w:widowControl/>
        <w:numPr>
          <w:ilvl w:val="0"/>
          <w:numId w:val="6"/>
        </w:numPr>
        <w:contextualSpacing/>
        <w:rPr>
          <w:rFonts w:cstheme="minorHAnsi"/>
        </w:rPr>
      </w:pPr>
      <w:r>
        <w:t>requirement for rapid iron repletion (</w:t>
      </w:r>
      <w:proofErr w:type="spellStart"/>
      <w:r>
        <w:t>eg</w:t>
      </w:r>
      <w:proofErr w:type="spellEnd"/>
      <w:r>
        <w:t>. prevention of physiological decompensation or preoperatively for non-deferrable surgery)</w:t>
      </w:r>
    </w:p>
    <w:p w:rsidR="00D41B7B" w:rsidRPr="00977787" w:rsidRDefault="00D41B7B" w:rsidP="00D41B7B">
      <w:pPr>
        <w:rPr>
          <w:rFonts w:cstheme="minorHAnsi"/>
        </w:rPr>
      </w:pPr>
    </w:p>
    <w:p w:rsidR="00D41B7B" w:rsidRPr="00F565ED" w:rsidRDefault="00D41B7B" w:rsidP="00D41B7B">
      <w:pPr>
        <w:rPr>
          <w:rFonts w:cstheme="minorHAnsi"/>
        </w:rPr>
      </w:pPr>
      <w:r w:rsidRPr="0007199B">
        <w:rPr>
          <w:rFonts w:cstheme="minorHAnsi"/>
        </w:rPr>
        <w:t xml:space="preserve">Although the initial rise in </w:t>
      </w:r>
      <w:r>
        <w:rPr>
          <w:rFonts w:cstheme="minorHAnsi"/>
        </w:rPr>
        <w:t>haemoglobin (</w:t>
      </w:r>
      <w:proofErr w:type="spellStart"/>
      <w:r>
        <w:rPr>
          <w:rFonts w:cstheme="minorHAnsi"/>
        </w:rPr>
        <w:t>Hb</w:t>
      </w:r>
      <w:proofErr w:type="spellEnd"/>
      <w:r>
        <w:rPr>
          <w:rFonts w:cstheme="minorHAnsi"/>
        </w:rPr>
        <w:t>)</w:t>
      </w:r>
      <w:r w:rsidRPr="0007199B">
        <w:rPr>
          <w:rFonts w:cstheme="minorHAnsi"/>
        </w:rPr>
        <w:t xml:space="preserve"> is more rapid with parenteral iron, the rise in </w:t>
      </w:r>
      <w:proofErr w:type="spellStart"/>
      <w:r w:rsidRPr="0007199B">
        <w:rPr>
          <w:rFonts w:cstheme="minorHAnsi"/>
        </w:rPr>
        <w:t>Hb</w:t>
      </w:r>
      <w:proofErr w:type="spellEnd"/>
      <w:r w:rsidRPr="0007199B">
        <w:rPr>
          <w:rFonts w:cstheme="minorHAnsi"/>
        </w:rPr>
        <w:t xml:space="preserve"> at 12 weeks is similar to that obs</w:t>
      </w:r>
      <w:r>
        <w:rPr>
          <w:rFonts w:cstheme="minorHAnsi"/>
        </w:rPr>
        <w:t>erved during oral iron therapy.</w:t>
      </w:r>
      <w:r w:rsidRPr="006770B7">
        <w:rPr>
          <w:rFonts w:cstheme="minorHAnsi"/>
          <w:vertAlign w:val="superscript"/>
        </w:rPr>
        <w:t>3</w:t>
      </w:r>
    </w:p>
    <w:p w:rsidR="00D41B7B" w:rsidRDefault="00D41B7B" w:rsidP="00D41B7B">
      <w:pPr>
        <w:rPr>
          <w:rFonts w:cstheme="minorHAnsi"/>
        </w:rPr>
      </w:pPr>
    </w:p>
    <w:p w:rsidR="00D41B7B" w:rsidRPr="003E0357" w:rsidRDefault="00D41B7B" w:rsidP="00D41B7B">
      <w:pPr>
        <w:rPr>
          <w:rFonts w:cstheme="minorHAnsi"/>
        </w:rPr>
      </w:pPr>
      <w:r>
        <w:t>Availability of IV preparations, dosing schedules and facilities for administration are also important considerations.</w:t>
      </w:r>
    </w:p>
    <w:p w:rsidR="00D41B7B" w:rsidRDefault="00D41B7B" w:rsidP="00D41B7B">
      <w:pPr>
        <w:spacing w:line="276" w:lineRule="auto"/>
        <w:rPr>
          <w:rFonts w:eastAsia="HYGothic-Extra"/>
          <w:bCs/>
          <w:color w:val="1E1E1E"/>
          <w:spacing w:val="-20"/>
          <w:sz w:val="56"/>
          <w:szCs w:val="72"/>
        </w:rPr>
      </w:pPr>
      <w:r>
        <w:br w:type="page"/>
      </w:r>
    </w:p>
    <w:p w:rsidR="00D41B7B" w:rsidRPr="00D41B7B" w:rsidRDefault="00D41B7B" w:rsidP="00D41B7B">
      <w:pPr>
        <w:pStyle w:val="Heading1"/>
        <w:rPr>
          <w:rFonts w:ascii="TitilliumText25L" w:eastAsia="TitilliumText25L" w:hAnsi="TitilliumText25L" w:cs="TitilliumText25L"/>
          <w:b w:val="0"/>
          <w:bCs w:val="0"/>
          <w:color w:val="D0202E"/>
          <w:sz w:val="60"/>
          <w:szCs w:val="60"/>
        </w:rPr>
      </w:pPr>
      <w:r w:rsidRPr="00D41B7B">
        <w:rPr>
          <w:rFonts w:ascii="TitilliumText25L" w:eastAsia="TitilliumText25L" w:hAnsi="TitilliumText25L" w:cs="TitilliumText25L"/>
          <w:b w:val="0"/>
          <w:bCs w:val="0"/>
          <w:color w:val="D0202E"/>
          <w:sz w:val="60"/>
          <w:szCs w:val="60"/>
        </w:rPr>
        <w:lastRenderedPageBreak/>
        <w:t>IRON DOSE</w:t>
      </w:r>
    </w:p>
    <w:p w:rsidR="00D41B7B" w:rsidRPr="007A490F" w:rsidRDefault="00D41B7B" w:rsidP="007A490F">
      <w:pPr>
        <w:pStyle w:val="ListParagraph"/>
        <w:spacing w:before="240"/>
        <w:rPr>
          <w:rFonts w:ascii="TitilliumText25L" w:hAnsi="TitilliumText25L" w:cs="TitilliumText25L"/>
          <w:color w:val="333740"/>
          <w:sz w:val="28"/>
          <w:szCs w:val="28"/>
        </w:rPr>
      </w:pPr>
      <w:r w:rsidRPr="007A490F">
        <w:rPr>
          <w:rFonts w:ascii="TitilliumText25L" w:hAnsi="TitilliumText25L" w:cs="TitilliumText25L"/>
          <w:color w:val="333740"/>
          <w:sz w:val="28"/>
          <w:szCs w:val="28"/>
        </w:rPr>
        <w:t>Oral therapy</w:t>
      </w:r>
    </w:p>
    <w:p w:rsidR="00D41B7B" w:rsidRPr="007D6A30" w:rsidRDefault="00D41B7B" w:rsidP="00D41B7B">
      <w:pPr>
        <w:rPr>
          <w:rFonts w:cstheme="minorHAnsi"/>
        </w:rPr>
      </w:pPr>
      <w:r>
        <w:t>The usual recommended dose in adults is 100–200 mg of elemental iron daily, in 2 to 3 divided doses.</w:t>
      </w:r>
      <w:r>
        <w:rPr>
          <w:vertAlign w:val="superscript"/>
        </w:rPr>
        <w:t>1</w:t>
      </w:r>
      <w:r w:rsidRPr="0007199B">
        <w:rPr>
          <w:rFonts w:cstheme="minorHAnsi"/>
        </w:rPr>
        <w:t xml:space="preserve"> Lower doses may be as effective and better </w:t>
      </w:r>
      <w:r w:rsidRPr="00B06B83">
        <w:rPr>
          <w:rFonts w:cstheme="minorHAnsi"/>
        </w:rPr>
        <w:t>tolerated</w:t>
      </w:r>
      <w:r>
        <w:rPr>
          <w:rFonts w:cstheme="minorHAnsi"/>
        </w:rPr>
        <w:t>.</w:t>
      </w:r>
      <w:r>
        <w:rPr>
          <w:rFonts w:cstheme="minorHAnsi"/>
          <w:vertAlign w:val="superscript"/>
        </w:rPr>
        <w:t xml:space="preserve">1 </w:t>
      </w:r>
      <w:proofErr w:type="gramStart"/>
      <w:r w:rsidRPr="007D6A30">
        <w:rPr>
          <w:rFonts w:cstheme="minorHAnsi"/>
        </w:rPr>
        <w:t>In</w:t>
      </w:r>
      <w:proofErr w:type="gramEnd"/>
      <w:r>
        <w:rPr>
          <w:rFonts w:cstheme="minorHAnsi"/>
        </w:rPr>
        <w:t xml:space="preserve"> maternity patients with iron deficiency without anaemia, a low dose of elemental iron (</w:t>
      </w:r>
      <w:proofErr w:type="spellStart"/>
      <w:r>
        <w:rPr>
          <w:rFonts w:cstheme="minorHAnsi"/>
        </w:rPr>
        <w:t>eg</w:t>
      </w:r>
      <w:proofErr w:type="spellEnd"/>
      <w:r>
        <w:rPr>
          <w:rFonts w:cstheme="minorHAnsi"/>
        </w:rPr>
        <w:t>. 20-80 mg daily) may be considered, and may be better tolerated than higher doses.</w:t>
      </w:r>
      <w:r>
        <w:rPr>
          <w:rFonts w:cstheme="minorHAnsi"/>
          <w:vertAlign w:val="superscript"/>
        </w:rPr>
        <w:t>5</w:t>
      </w:r>
    </w:p>
    <w:p w:rsidR="00D41B7B" w:rsidRPr="0007199B" w:rsidRDefault="00D41B7B" w:rsidP="00D41B7B">
      <w:pPr>
        <w:rPr>
          <w:rFonts w:cstheme="minorHAnsi"/>
        </w:rPr>
      </w:pPr>
      <w:bookmarkStart w:id="3" w:name="0_pgfId-1105698"/>
      <w:bookmarkEnd w:id="3"/>
      <w:r>
        <w:rPr>
          <w:rFonts w:cstheme="minorHAnsi"/>
        </w:rPr>
        <w:t>M</w:t>
      </w:r>
      <w:r w:rsidRPr="0007199B">
        <w:rPr>
          <w:rFonts w:cstheme="minorHAnsi"/>
        </w:rPr>
        <w:t>ore than 100 preparations containing iron are available over th</w:t>
      </w:r>
      <w:r>
        <w:rPr>
          <w:rFonts w:cstheme="minorHAnsi"/>
        </w:rPr>
        <w:t xml:space="preserve">e counter in Australia; </w:t>
      </w:r>
      <w:r w:rsidRPr="00D60F15">
        <w:rPr>
          <w:rFonts w:cstheme="minorHAnsi"/>
        </w:rPr>
        <w:t>however few contain sufficient elemental iron to treat IDA effectively.</w:t>
      </w:r>
      <w:r w:rsidRPr="00D60F15">
        <w:rPr>
          <w:rFonts w:cstheme="minorHAnsi"/>
          <w:vertAlign w:val="superscript"/>
        </w:rPr>
        <w:t>1</w:t>
      </w:r>
      <w:r w:rsidRPr="00D60F15">
        <w:rPr>
          <w:rFonts w:cstheme="minorHAnsi"/>
        </w:rPr>
        <w:t xml:space="preserve"> </w:t>
      </w:r>
      <w:proofErr w:type="gramStart"/>
      <w:r w:rsidRPr="00D60F15">
        <w:rPr>
          <w:rFonts w:cstheme="minorHAnsi"/>
        </w:rPr>
        <w:t>Appropriate</w:t>
      </w:r>
      <w:proofErr w:type="gramEnd"/>
      <w:r w:rsidRPr="00D60F15">
        <w:rPr>
          <w:rFonts w:cstheme="minorHAnsi"/>
        </w:rPr>
        <w:t xml:space="preserve"> formulations are outlined in the </w:t>
      </w:r>
      <w:r w:rsidRPr="00D60F15">
        <w:rPr>
          <w:rFonts w:cstheme="minorHAnsi"/>
          <w:spacing w:val="-2"/>
        </w:rPr>
        <w:t>O</w:t>
      </w:r>
      <w:r w:rsidRPr="00D60F15">
        <w:rPr>
          <w:rFonts w:cstheme="minorHAnsi"/>
        </w:rPr>
        <w:t>ral</w:t>
      </w:r>
      <w:r w:rsidRPr="00D60F15">
        <w:rPr>
          <w:rFonts w:cstheme="minorHAnsi"/>
          <w:spacing w:val="-14"/>
        </w:rPr>
        <w:t xml:space="preserve"> </w:t>
      </w:r>
      <w:r>
        <w:rPr>
          <w:rFonts w:cstheme="minorHAnsi"/>
          <w:spacing w:val="-1"/>
        </w:rPr>
        <w:t>p</w:t>
      </w:r>
      <w:r w:rsidRPr="00D60F15">
        <w:rPr>
          <w:rFonts w:cstheme="minorHAnsi"/>
        </w:rPr>
        <w:t>repa</w:t>
      </w:r>
      <w:r w:rsidRPr="00D60F15">
        <w:rPr>
          <w:rFonts w:cstheme="minorHAnsi"/>
          <w:spacing w:val="2"/>
        </w:rPr>
        <w:t>r</w:t>
      </w:r>
      <w:r w:rsidRPr="00D60F15">
        <w:rPr>
          <w:rFonts w:cstheme="minorHAnsi"/>
        </w:rPr>
        <w:t>ations</w:t>
      </w:r>
      <w:r w:rsidRPr="00D60F15">
        <w:rPr>
          <w:rFonts w:cstheme="minorHAnsi"/>
          <w:spacing w:val="-13"/>
        </w:rPr>
        <w:t xml:space="preserve"> </w:t>
      </w:r>
      <w:r w:rsidRPr="00D60F15">
        <w:rPr>
          <w:rFonts w:cstheme="minorHAnsi"/>
        </w:rPr>
        <w:t>for</w:t>
      </w:r>
      <w:r w:rsidRPr="00D60F15">
        <w:rPr>
          <w:rFonts w:cstheme="minorHAnsi"/>
          <w:spacing w:val="-14"/>
        </w:rPr>
        <w:t xml:space="preserve"> </w:t>
      </w:r>
      <w:r>
        <w:rPr>
          <w:rFonts w:cstheme="minorHAnsi"/>
        </w:rPr>
        <w:t>t</w:t>
      </w:r>
      <w:r w:rsidRPr="00D60F15">
        <w:rPr>
          <w:rFonts w:cstheme="minorHAnsi"/>
          <w:spacing w:val="-3"/>
        </w:rPr>
        <w:t>r</w:t>
      </w:r>
      <w:r w:rsidRPr="00D60F15">
        <w:rPr>
          <w:rFonts w:cstheme="minorHAnsi"/>
        </w:rPr>
        <w:t>eat</w:t>
      </w:r>
      <w:r w:rsidRPr="00D60F15">
        <w:rPr>
          <w:rFonts w:cstheme="minorHAnsi"/>
          <w:spacing w:val="-2"/>
        </w:rPr>
        <w:t>m</w:t>
      </w:r>
      <w:r w:rsidRPr="00D60F15">
        <w:rPr>
          <w:rFonts w:cstheme="minorHAnsi"/>
        </w:rPr>
        <w:t>ent</w:t>
      </w:r>
      <w:r w:rsidRPr="00D60F15">
        <w:rPr>
          <w:rFonts w:cstheme="minorHAnsi"/>
          <w:spacing w:val="-14"/>
        </w:rPr>
        <w:t xml:space="preserve"> </w:t>
      </w:r>
      <w:r w:rsidRPr="00D60F15">
        <w:rPr>
          <w:rFonts w:cstheme="minorHAnsi"/>
        </w:rPr>
        <w:t>of</w:t>
      </w:r>
      <w:r w:rsidRPr="00D60F15">
        <w:rPr>
          <w:rFonts w:cstheme="minorHAnsi"/>
          <w:spacing w:val="-14"/>
        </w:rPr>
        <w:t xml:space="preserve"> </w:t>
      </w:r>
      <w:r>
        <w:rPr>
          <w:rFonts w:cstheme="minorHAnsi"/>
        </w:rPr>
        <w:t>i</w:t>
      </w:r>
      <w:r w:rsidRPr="00D60F15">
        <w:rPr>
          <w:rFonts w:cstheme="minorHAnsi"/>
        </w:rPr>
        <w:t>ron</w:t>
      </w:r>
      <w:r w:rsidRPr="00D60F15">
        <w:rPr>
          <w:rFonts w:cstheme="minorHAnsi"/>
          <w:spacing w:val="-13"/>
        </w:rPr>
        <w:t xml:space="preserve"> </w:t>
      </w:r>
      <w:r>
        <w:rPr>
          <w:rFonts w:cstheme="minorHAnsi"/>
          <w:spacing w:val="-1"/>
        </w:rPr>
        <w:t>d</w:t>
      </w:r>
      <w:r w:rsidRPr="00D60F15">
        <w:rPr>
          <w:rFonts w:cstheme="minorHAnsi"/>
        </w:rPr>
        <w:t>efi</w:t>
      </w:r>
      <w:r w:rsidRPr="00D60F15">
        <w:rPr>
          <w:rFonts w:cstheme="minorHAnsi"/>
          <w:spacing w:val="1"/>
        </w:rPr>
        <w:t>c</w:t>
      </w:r>
      <w:r w:rsidRPr="00D60F15">
        <w:rPr>
          <w:rFonts w:cstheme="minorHAnsi"/>
        </w:rPr>
        <w:t>ie</w:t>
      </w:r>
      <w:r w:rsidRPr="00D60F15">
        <w:rPr>
          <w:rFonts w:cstheme="minorHAnsi"/>
          <w:spacing w:val="-2"/>
        </w:rPr>
        <w:t>n</w:t>
      </w:r>
      <w:r w:rsidRPr="00D60F15">
        <w:rPr>
          <w:rFonts w:cstheme="minorHAnsi"/>
          <w:spacing w:val="1"/>
        </w:rPr>
        <w:t>c</w:t>
      </w:r>
      <w:r w:rsidRPr="00D60F15">
        <w:rPr>
          <w:rFonts w:cstheme="minorHAnsi"/>
        </w:rPr>
        <w:t>y</w:t>
      </w:r>
      <w:r w:rsidRPr="00D60F15">
        <w:rPr>
          <w:rFonts w:cstheme="minorHAnsi"/>
          <w:spacing w:val="-16"/>
        </w:rPr>
        <w:t xml:space="preserve"> </w:t>
      </w:r>
      <w:r>
        <w:rPr>
          <w:rFonts w:cstheme="minorHAnsi"/>
          <w:spacing w:val="-1"/>
        </w:rPr>
        <w:t>a</w:t>
      </w:r>
      <w:r w:rsidRPr="00D60F15">
        <w:rPr>
          <w:rFonts w:cstheme="minorHAnsi"/>
        </w:rPr>
        <w:t>nae</w:t>
      </w:r>
      <w:r w:rsidRPr="00D60F15">
        <w:rPr>
          <w:rFonts w:cstheme="minorHAnsi"/>
          <w:spacing w:val="-2"/>
        </w:rPr>
        <w:t>m</w:t>
      </w:r>
      <w:r w:rsidRPr="00D60F15">
        <w:rPr>
          <w:rFonts w:cstheme="minorHAnsi"/>
        </w:rPr>
        <w:t>ia</w:t>
      </w:r>
      <w:r w:rsidRPr="00D60F15">
        <w:rPr>
          <w:rFonts w:cstheme="minorHAnsi"/>
          <w:spacing w:val="-12"/>
        </w:rPr>
        <w:t xml:space="preserve"> </w:t>
      </w:r>
      <w:r w:rsidRPr="00D60F15">
        <w:rPr>
          <w:rFonts w:cstheme="minorHAnsi"/>
        </w:rPr>
        <w:t>(I</w:t>
      </w:r>
      <w:r w:rsidRPr="00D60F15">
        <w:rPr>
          <w:rFonts w:cstheme="minorHAnsi"/>
          <w:spacing w:val="-1"/>
        </w:rPr>
        <w:t>DA</w:t>
      </w:r>
      <w:r w:rsidRPr="00D60F15">
        <w:rPr>
          <w:rFonts w:cstheme="minorHAnsi"/>
        </w:rPr>
        <w:t>)</w:t>
      </w:r>
      <w:r w:rsidRPr="00D60F15">
        <w:rPr>
          <w:rFonts w:cstheme="minorHAnsi"/>
          <w:spacing w:val="-14"/>
        </w:rPr>
        <w:t xml:space="preserve"> chart </w:t>
      </w:r>
      <w:r w:rsidRPr="00D60F15">
        <w:rPr>
          <w:rFonts w:cstheme="minorHAnsi"/>
        </w:rPr>
        <w:t>(</w:t>
      </w:r>
      <w:r w:rsidRPr="00176DE2">
        <w:rPr>
          <w:rFonts w:cstheme="minorHAnsi"/>
          <w:b/>
        </w:rPr>
        <w:t>Appendix 3</w:t>
      </w:r>
      <w:r w:rsidRPr="00D60F15">
        <w:rPr>
          <w:rFonts w:cstheme="minorHAnsi"/>
        </w:rPr>
        <w:t>).</w:t>
      </w:r>
      <w:r>
        <w:rPr>
          <w:rFonts w:cstheme="minorHAnsi"/>
        </w:rPr>
        <w:t xml:space="preserve"> </w:t>
      </w:r>
      <w:r w:rsidRPr="0007199B">
        <w:rPr>
          <w:rFonts w:cstheme="minorHAnsi"/>
        </w:rPr>
        <w:t>Multivitamin-mineral supplements should not be used to treat IDA as iron content is low and absorption may be reduced.</w:t>
      </w:r>
      <w:r>
        <w:rPr>
          <w:rFonts w:cstheme="minorHAnsi"/>
          <w:vertAlign w:val="superscript"/>
        </w:rPr>
        <w:t>1</w:t>
      </w:r>
    </w:p>
    <w:p w:rsidR="00D41B7B" w:rsidRPr="002266DB" w:rsidRDefault="00D41B7B" w:rsidP="00D41B7B">
      <w:bookmarkStart w:id="4" w:name="0_pgfId-1105718"/>
      <w:bookmarkStart w:id="5" w:name="0_pgfId-1105725"/>
      <w:bookmarkStart w:id="6" w:name="0_pgfId-1105732"/>
      <w:bookmarkEnd w:id="4"/>
      <w:bookmarkEnd w:id="5"/>
      <w:bookmarkEnd w:id="6"/>
      <w:r w:rsidRPr="0007199B">
        <w:rPr>
          <w:rFonts w:cstheme="minorHAnsi"/>
        </w:rPr>
        <w:t xml:space="preserve">After therapeutic doses of oral iron, </w:t>
      </w:r>
      <w:proofErr w:type="spellStart"/>
      <w:r w:rsidRPr="0007199B">
        <w:rPr>
          <w:rFonts w:cstheme="minorHAnsi"/>
        </w:rPr>
        <w:t>reticulocytosis</w:t>
      </w:r>
      <w:proofErr w:type="spellEnd"/>
      <w:r w:rsidRPr="0007199B">
        <w:rPr>
          <w:rFonts w:cstheme="minorHAnsi"/>
        </w:rPr>
        <w:t xml:space="preserve"> should occur within 72 hours, and </w:t>
      </w:r>
      <w:proofErr w:type="spellStart"/>
      <w:r w:rsidRPr="0007199B">
        <w:rPr>
          <w:rFonts w:cstheme="minorHAnsi"/>
        </w:rPr>
        <w:t>Hb</w:t>
      </w:r>
      <w:proofErr w:type="spellEnd"/>
      <w:r w:rsidRPr="0007199B">
        <w:rPr>
          <w:rFonts w:cstheme="minorHAnsi"/>
        </w:rPr>
        <w:t xml:space="preserve"> levels should rise by about 20 g/L every 3 weeks. Oral iron should be continued for </w:t>
      </w:r>
      <w:r>
        <w:rPr>
          <w:rFonts w:cstheme="minorHAnsi"/>
        </w:rPr>
        <w:t xml:space="preserve">3 months </w:t>
      </w:r>
      <w:r w:rsidRPr="0007199B">
        <w:rPr>
          <w:rFonts w:cstheme="minorHAnsi"/>
        </w:rPr>
        <w:t xml:space="preserve">after </w:t>
      </w:r>
      <w:r>
        <w:rPr>
          <w:rFonts w:cstheme="minorHAnsi"/>
        </w:rPr>
        <w:t>anaemia</w:t>
      </w:r>
      <w:r w:rsidRPr="0007199B">
        <w:rPr>
          <w:rFonts w:cstheme="minorHAnsi"/>
        </w:rPr>
        <w:t xml:space="preserve"> has bee</w:t>
      </w:r>
      <w:r>
        <w:rPr>
          <w:rFonts w:cstheme="minorHAnsi"/>
        </w:rPr>
        <w:t>n corrected to</w:t>
      </w:r>
      <w:r w:rsidRPr="0007199B">
        <w:rPr>
          <w:rFonts w:cstheme="minorHAnsi"/>
        </w:rPr>
        <w:t xml:space="preserve"> replenish</w:t>
      </w:r>
      <w:r>
        <w:rPr>
          <w:rFonts w:cstheme="minorHAnsi"/>
        </w:rPr>
        <w:t xml:space="preserve"> stores</w:t>
      </w:r>
      <w:r w:rsidRPr="0007199B">
        <w:rPr>
          <w:rFonts w:cstheme="minorHAnsi"/>
        </w:rPr>
        <w:t>.</w:t>
      </w:r>
      <w:r w:rsidRPr="006770B7">
        <w:rPr>
          <w:rFonts w:cstheme="minorHAnsi"/>
          <w:vertAlign w:val="superscript"/>
        </w:rPr>
        <w:t>1,3</w:t>
      </w:r>
      <w:r w:rsidRPr="0007199B">
        <w:rPr>
          <w:rFonts w:cstheme="minorHAnsi"/>
        </w:rPr>
        <w:t xml:space="preserve"> </w:t>
      </w:r>
      <w:r w:rsidRPr="00E34496">
        <w:t>Inadequate response to oral iron therapy can be due to a number of factors</w:t>
      </w:r>
      <w:r>
        <w:t>, such as inadequate intake or absorption, ongoing losses, coexisting conditions or incorrect diagnosis,</w:t>
      </w:r>
      <w:r w:rsidRPr="00E34496">
        <w:t xml:space="preserve"> with more than one often being involved.</w:t>
      </w:r>
      <w:r>
        <w:rPr>
          <w:vertAlign w:val="superscript"/>
        </w:rPr>
        <w:t>1</w:t>
      </w:r>
    </w:p>
    <w:p w:rsidR="00D41B7B" w:rsidRPr="00B94470" w:rsidRDefault="00D41B7B" w:rsidP="00D41B7B"/>
    <w:p w:rsidR="00D41B7B" w:rsidRPr="00D41B7B" w:rsidRDefault="00D41B7B" w:rsidP="00D41B7B">
      <w:pPr>
        <w:pStyle w:val="Heading1"/>
        <w:rPr>
          <w:rFonts w:ascii="TitilliumText25L" w:eastAsia="TitilliumText25L" w:hAnsi="TitilliumText25L" w:cs="TitilliumText25L"/>
          <w:b w:val="0"/>
          <w:bCs w:val="0"/>
          <w:color w:val="D0202E"/>
          <w:sz w:val="60"/>
          <w:szCs w:val="60"/>
        </w:rPr>
      </w:pPr>
      <w:r w:rsidRPr="00D41B7B">
        <w:rPr>
          <w:rFonts w:ascii="TitilliumText25L" w:eastAsia="TitilliumText25L" w:hAnsi="TitilliumText25L" w:cs="TitilliumText25L"/>
          <w:b w:val="0"/>
          <w:bCs w:val="0"/>
          <w:color w:val="D0202E"/>
          <w:sz w:val="60"/>
          <w:szCs w:val="60"/>
        </w:rPr>
        <w:t>INTRAVENOUS THERAPY</w:t>
      </w:r>
    </w:p>
    <w:p w:rsidR="00D41B7B" w:rsidRPr="007A490F" w:rsidRDefault="00D41B7B" w:rsidP="007A490F">
      <w:pPr>
        <w:pStyle w:val="ListParagraph"/>
        <w:spacing w:before="240"/>
        <w:rPr>
          <w:rFonts w:ascii="TitilliumText25L" w:hAnsi="TitilliumText25L" w:cs="TitilliumText25L"/>
          <w:color w:val="333740"/>
          <w:sz w:val="28"/>
          <w:szCs w:val="28"/>
        </w:rPr>
      </w:pPr>
      <w:r w:rsidRPr="007A490F">
        <w:rPr>
          <w:rFonts w:ascii="TitilliumText25L" w:hAnsi="TitilliumText25L" w:cs="TitilliumText25L"/>
          <w:color w:val="333740"/>
          <w:sz w:val="28"/>
          <w:szCs w:val="28"/>
        </w:rPr>
        <w:t>Calculating total body iron deficit</w:t>
      </w:r>
    </w:p>
    <w:p w:rsidR="00D41B7B" w:rsidRPr="00515925" w:rsidRDefault="00D41B7B" w:rsidP="00D41B7B">
      <w:bookmarkStart w:id="7" w:name="0_pgfId-1105756"/>
      <w:bookmarkEnd w:id="7"/>
      <w:r>
        <w:t>T</w:t>
      </w:r>
      <w:r w:rsidRPr="00504D00">
        <w:t xml:space="preserve">he patient’s total body iron deficit (cumulative amount of iron required to </w:t>
      </w:r>
      <w:proofErr w:type="gramStart"/>
      <w:r w:rsidRPr="004F5D39">
        <w:t>replete</w:t>
      </w:r>
      <w:proofErr w:type="gramEnd"/>
      <w:r w:rsidRPr="00504D00">
        <w:t xml:space="preserve"> body iron stores)</w:t>
      </w:r>
      <w:r>
        <w:t xml:space="preserve"> is </w:t>
      </w:r>
      <w:r w:rsidRPr="00504D00">
        <w:t xml:space="preserve">NOT the </w:t>
      </w:r>
      <w:r>
        <w:t xml:space="preserve">same as the </w:t>
      </w:r>
      <w:r w:rsidRPr="00504D00">
        <w:t xml:space="preserve">allowable iron dose per infusion which is DIFFERENT for each product. </w:t>
      </w:r>
      <w:r>
        <w:t xml:space="preserve">Calculate the deficit to determine how many doses of the desired preparation is required. </w:t>
      </w:r>
      <w:r w:rsidRPr="00504D00">
        <w:t xml:space="preserve">Refer to the specific product information and </w:t>
      </w:r>
      <w:r>
        <w:t xml:space="preserve">local </w:t>
      </w:r>
      <w:r w:rsidRPr="00504D00">
        <w:t>administration guidelines for information on the maximum iron dose per infusion for each product</w:t>
      </w:r>
      <w:r>
        <w:t xml:space="preserve"> (</w:t>
      </w:r>
      <w:r w:rsidRPr="00B539C9">
        <w:rPr>
          <w:b/>
        </w:rPr>
        <w:t>Appendix 2</w:t>
      </w:r>
      <w:r w:rsidRPr="00515925">
        <w:t>).</w:t>
      </w:r>
    </w:p>
    <w:p w:rsidR="00D41B7B" w:rsidRDefault="00D41B7B" w:rsidP="00D41B7B">
      <w:r>
        <w:t xml:space="preserve">The cumulative dose for repletion of iron is based on the patient’s </w:t>
      </w:r>
      <w:proofErr w:type="spellStart"/>
      <w:r>
        <w:t>Hb</w:t>
      </w:r>
      <w:proofErr w:type="spellEnd"/>
      <w:r>
        <w:t xml:space="preserve"> and body weight and should not be exceeded. There are two methods for determining the cumulative dose – the </w:t>
      </w:r>
      <w:proofErr w:type="spellStart"/>
      <w:r w:rsidRPr="00B539C9">
        <w:rPr>
          <w:b/>
        </w:rPr>
        <w:t>Ganzoni</w:t>
      </w:r>
      <w:proofErr w:type="spellEnd"/>
      <w:r w:rsidRPr="00B539C9">
        <w:rPr>
          <w:b/>
        </w:rPr>
        <w:t xml:space="preserve"> formula</w:t>
      </w:r>
      <w:r w:rsidRPr="00B539C9">
        <w:rPr>
          <w:b/>
          <w:color w:val="000000"/>
          <w:vertAlign w:val="superscript"/>
        </w:rPr>
        <w:t>7</w:t>
      </w:r>
      <w:r>
        <w:t xml:space="preserve"> and the </w:t>
      </w:r>
      <w:r w:rsidRPr="00B539C9">
        <w:rPr>
          <w:b/>
        </w:rPr>
        <w:t>Simplified Method.</w:t>
      </w:r>
      <w:r>
        <w:rPr>
          <w:vertAlign w:val="superscript"/>
        </w:rPr>
        <w:t>8</w:t>
      </w:r>
    </w:p>
    <w:p w:rsidR="00D41B7B" w:rsidRPr="007A490F" w:rsidRDefault="00D41B7B" w:rsidP="007A490F">
      <w:pPr>
        <w:pStyle w:val="ListParagraph"/>
        <w:spacing w:before="240"/>
        <w:rPr>
          <w:rFonts w:ascii="TitilliumText25L" w:hAnsi="TitilliumText25L" w:cs="TitilliumText25L"/>
          <w:color w:val="333740"/>
          <w:sz w:val="28"/>
          <w:szCs w:val="28"/>
        </w:rPr>
      </w:pPr>
      <w:proofErr w:type="spellStart"/>
      <w:r w:rsidRPr="007A490F">
        <w:rPr>
          <w:rFonts w:ascii="TitilliumText25L" w:hAnsi="TitilliumText25L" w:cs="TitilliumText25L"/>
          <w:color w:val="333740"/>
          <w:sz w:val="28"/>
          <w:szCs w:val="28"/>
        </w:rPr>
        <w:t>Ganzoni</w:t>
      </w:r>
      <w:proofErr w:type="spellEnd"/>
      <w:r w:rsidRPr="007A490F">
        <w:rPr>
          <w:rFonts w:ascii="TitilliumText25L" w:hAnsi="TitilliumText25L" w:cs="TitilliumText25L"/>
          <w:color w:val="333740"/>
          <w:sz w:val="28"/>
          <w:szCs w:val="28"/>
        </w:rPr>
        <w:t xml:space="preserve"> formula:</w:t>
      </w:r>
    </w:p>
    <w:p w:rsidR="00D41B7B" w:rsidRPr="00504D00" w:rsidRDefault="00D41B7B" w:rsidP="00D41B7B">
      <w:pPr>
        <w:pStyle w:val="SAH-BulletPointsCopy"/>
        <w:numPr>
          <w:ilvl w:val="0"/>
          <w:numId w:val="0"/>
        </w:numPr>
        <w:spacing w:line="240" w:lineRule="auto"/>
        <w:rPr>
          <w:rFonts w:asciiTheme="minorHAnsi" w:hAnsiTheme="minorHAnsi" w:cstheme="minorHAnsi"/>
          <w:sz w:val="22"/>
          <w:szCs w:val="22"/>
        </w:rPr>
      </w:pPr>
      <w:r w:rsidRPr="00504D00">
        <w:rPr>
          <w:rFonts w:asciiTheme="minorHAnsi" w:hAnsiTheme="minorHAnsi" w:cstheme="minorHAnsi"/>
          <w:color w:val="000000"/>
          <w:sz w:val="22"/>
          <w:szCs w:val="22"/>
        </w:rPr>
        <w:t>Total body iron deficit</w:t>
      </w:r>
      <w:r>
        <w:rPr>
          <w:rFonts w:asciiTheme="minorHAnsi" w:hAnsiTheme="minorHAnsi" w:cstheme="minorHAnsi"/>
          <w:color w:val="000000"/>
          <w:sz w:val="22"/>
          <w:szCs w:val="22"/>
        </w:rPr>
        <w:t>/cumulative iron dose</w:t>
      </w:r>
      <w:r w:rsidRPr="00504D00">
        <w:rPr>
          <w:rFonts w:asciiTheme="minorHAnsi" w:hAnsiTheme="minorHAnsi" w:cstheme="minorHAnsi"/>
          <w:sz w:val="22"/>
          <w:szCs w:val="22"/>
        </w:rPr>
        <w:t xml:space="preserve"> (mg) = </w:t>
      </w:r>
    </w:p>
    <w:p w:rsidR="00D41B7B" w:rsidRDefault="00D41B7B" w:rsidP="00D41B7B">
      <w:pPr>
        <w:pStyle w:val="SAH-BulletPointsCopylastline"/>
        <w:numPr>
          <w:ilvl w:val="0"/>
          <w:numId w:val="0"/>
        </w:numPr>
        <w:ind w:left="720" w:hanging="360"/>
        <w:rPr>
          <w:rFonts w:asciiTheme="minorHAnsi" w:hAnsiTheme="minorHAnsi" w:cstheme="minorHAnsi"/>
          <w:sz w:val="22"/>
          <w:szCs w:val="22"/>
        </w:rPr>
      </w:pPr>
      <w:proofErr w:type="gramStart"/>
      <w:r w:rsidRPr="00504D00">
        <w:rPr>
          <w:rFonts w:asciiTheme="minorHAnsi" w:hAnsiTheme="minorHAnsi" w:cstheme="minorHAnsi"/>
          <w:sz w:val="22"/>
          <w:szCs w:val="22"/>
        </w:rPr>
        <w:t>body</w:t>
      </w:r>
      <w:proofErr w:type="gramEnd"/>
      <w:r w:rsidRPr="00504D00">
        <w:rPr>
          <w:rFonts w:asciiTheme="minorHAnsi" w:hAnsiTheme="minorHAnsi" w:cstheme="minorHAnsi"/>
          <w:sz w:val="22"/>
          <w:szCs w:val="22"/>
        </w:rPr>
        <w:t xml:space="preserve"> weight</w:t>
      </w:r>
      <w:r>
        <w:rPr>
          <w:rFonts w:asciiTheme="minorHAnsi" w:hAnsiTheme="minorHAnsi" w:cstheme="minorHAnsi"/>
          <w:sz w:val="22"/>
          <w:szCs w:val="22"/>
        </w:rPr>
        <w:t>*</w:t>
      </w:r>
      <w:r w:rsidRPr="00504D00">
        <w:rPr>
          <w:rFonts w:asciiTheme="minorHAnsi" w:hAnsiTheme="minorHAnsi" w:cstheme="minorHAnsi"/>
          <w:sz w:val="22"/>
          <w:szCs w:val="22"/>
        </w:rPr>
        <w:t xml:space="preserve"> (kg) x (target </w:t>
      </w:r>
      <w:proofErr w:type="spellStart"/>
      <w:r w:rsidRPr="00504D00">
        <w:rPr>
          <w:rFonts w:asciiTheme="minorHAnsi" w:hAnsiTheme="minorHAnsi" w:cstheme="minorHAnsi"/>
          <w:sz w:val="22"/>
          <w:szCs w:val="22"/>
        </w:rPr>
        <w:t>Hb</w:t>
      </w:r>
      <w:proofErr w:type="spellEnd"/>
      <w:r w:rsidRPr="00504D00">
        <w:rPr>
          <w:rFonts w:asciiTheme="minorHAnsi" w:hAnsiTheme="minorHAnsi" w:cstheme="minorHAnsi"/>
          <w:sz w:val="22"/>
          <w:szCs w:val="22"/>
        </w:rPr>
        <w:t xml:space="preserve"> – actual </w:t>
      </w:r>
      <w:proofErr w:type="spellStart"/>
      <w:r w:rsidRPr="00504D00">
        <w:rPr>
          <w:rFonts w:asciiTheme="minorHAnsi" w:hAnsiTheme="minorHAnsi" w:cstheme="minorHAnsi"/>
          <w:sz w:val="22"/>
          <w:szCs w:val="22"/>
        </w:rPr>
        <w:t>Hb</w:t>
      </w:r>
      <w:proofErr w:type="spellEnd"/>
      <w:r w:rsidRPr="00504D00">
        <w:rPr>
          <w:rFonts w:asciiTheme="minorHAnsi" w:hAnsiTheme="minorHAnsi" w:cstheme="minorHAnsi"/>
          <w:sz w:val="22"/>
          <w:szCs w:val="22"/>
        </w:rPr>
        <w:t xml:space="preserve"> in g/L) x 0.24*</w:t>
      </w:r>
      <w:r>
        <w:rPr>
          <w:rFonts w:asciiTheme="minorHAnsi" w:hAnsiTheme="minorHAnsi" w:cstheme="minorHAnsi"/>
          <w:sz w:val="22"/>
          <w:szCs w:val="22"/>
        </w:rPr>
        <w:t>*</w:t>
      </w:r>
      <w:r w:rsidRPr="00504D00">
        <w:rPr>
          <w:rFonts w:asciiTheme="minorHAnsi" w:hAnsiTheme="minorHAnsi" w:cstheme="minorHAnsi"/>
          <w:sz w:val="22"/>
          <w:szCs w:val="22"/>
        </w:rPr>
        <w:t xml:space="preserve"> + iron depot (mg)**</w:t>
      </w:r>
      <w:r>
        <w:rPr>
          <w:rFonts w:asciiTheme="minorHAnsi" w:hAnsiTheme="minorHAnsi" w:cstheme="minorHAnsi"/>
          <w:sz w:val="22"/>
          <w:szCs w:val="22"/>
        </w:rPr>
        <w:t>*</w:t>
      </w:r>
    </w:p>
    <w:p w:rsidR="00D41B7B" w:rsidRPr="005A08A9" w:rsidRDefault="00D41B7B" w:rsidP="00D41B7B">
      <w:pPr>
        <w:rPr>
          <w:sz w:val="20"/>
          <w:szCs w:val="20"/>
          <w:lang w:val="en-GB"/>
        </w:rPr>
      </w:pPr>
    </w:p>
    <w:p w:rsidR="00D41B7B" w:rsidRDefault="00D41B7B" w:rsidP="00D41B7B">
      <w:pPr>
        <w:pStyle w:val="SAH-Subhead2"/>
        <w:spacing w:before="120" w:after="0" w:line="240" w:lineRule="auto"/>
        <w:ind w:firstLine="720"/>
        <w:rPr>
          <w:rFonts w:asciiTheme="minorHAnsi" w:eastAsia="Calibri" w:hAnsiTheme="minorHAnsi" w:cstheme="minorHAnsi"/>
          <w:b w:val="0"/>
          <w:color w:val="auto"/>
          <w:sz w:val="20"/>
          <w:szCs w:val="20"/>
        </w:rPr>
      </w:pPr>
      <w:r w:rsidRPr="00B327ED">
        <w:rPr>
          <w:rFonts w:asciiTheme="minorHAnsi" w:eastAsia="Calibri" w:hAnsiTheme="minorHAnsi" w:cstheme="minorHAnsi"/>
          <w:b w:val="0"/>
          <w:color w:val="auto"/>
          <w:sz w:val="20"/>
          <w:szCs w:val="20"/>
        </w:rPr>
        <w:t>*Use ideal body weight in overweight patients. If underweight, use actual body weight</w:t>
      </w:r>
    </w:p>
    <w:p w:rsidR="00D41B7B" w:rsidRPr="001203EC" w:rsidRDefault="00D41B7B" w:rsidP="00D41B7B">
      <w:pPr>
        <w:pStyle w:val="SAH-BulletPointsCopy"/>
        <w:numPr>
          <w:ilvl w:val="0"/>
          <w:numId w:val="0"/>
        </w:numPr>
        <w:spacing w:line="240" w:lineRule="auto"/>
        <w:ind w:left="720"/>
        <w:rPr>
          <w:rFonts w:cs="Arial"/>
          <w:szCs w:val="20"/>
        </w:rPr>
      </w:pPr>
      <w:r>
        <w:rPr>
          <w:rFonts w:cs="Arial"/>
          <w:szCs w:val="20"/>
        </w:rPr>
        <w:t>*</w:t>
      </w:r>
      <w:r w:rsidRPr="001203EC">
        <w:rPr>
          <w:rFonts w:cs="Arial"/>
          <w:szCs w:val="20"/>
        </w:rPr>
        <w:t>*The factor 0.24= 0.0034 x 0.07 x 1,000:</w:t>
      </w:r>
    </w:p>
    <w:p w:rsidR="00D41B7B" w:rsidRPr="001203EC" w:rsidRDefault="00D41B7B" w:rsidP="00D41B7B">
      <w:pPr>
        <w:pStyle w:val="SAH-BulletPointsCopylastline"/>
        <w:numPr>
          <w:ilvl w:val="0"/>
          <w:numId w:val="0"/>
        </w:numPr>
        <w:ind w:left="1440"/>
        <w:rPr>
          <w:rFonts w:cs="Arial"/>
          <w:szCs w:val="20"/>
        </w:rPr>
      </w:pPr>
      <w:r w:rsidRPr="001203EC">
        <w:rPr>
          <w:rFonts w:cs="Arial"/>
          <w:szCs w:val="20"/>
        </w:rPr>
        <w:t>For this calculation the iron content of haemoglobin = 0.34%</w:t>
      </w:r>
      <w:proofErr w:type="gramStart"/>
      <w:r w:rsidRPr="001203EC">
        <w:rPr>
          <w:rFonts w:cs="Arial"/>
          <w:szCs w:val="20"/>
        </w:rPr>
        <w:t>,</w:t>
      </w:r>
      <w:proofErr w:type="gramEnd"/>
      <w:r>
        <w:rPr>
          <w:rFonts w:cs="Arial"/>
          <w:szCs w:val="20"/>
        </w:rPr>
        <w:br/>
      </w:r>
      <w:r w:rsidRPr="001203EC">
        <w:rPr>
          <w:rFonts w:cs="Arial"/>
          <w:szCs w:val="20"/>
        </w:rPr>
        <w:t>blood volume = 7% of the bodyweight</w:t>
      </w:r>
      <w:r>
        <w:rPr>
          <w:rFonts w:cs="Arial"/>
          <w:szCs w:val="20"/>
        </w:rPr>
        <w:t>,</w:t>
      </w:r>
      <w:r w:rsidRPr="001203EC">
        <w:rPr>
          <w:rFonts w:cs="Arial"/>
          <w:szCs w:val="20"/>
        </w:rPr>
        <w:t xml:space="preserve"> and </w:t>
      </w:r>
      <w:r>
        <w:rPr>
          <w:rFonts w:cs="Arial"/>
          <w:szCs w:val="20"/>
        </w:rPr>
        <w:br/>
      </w:r>
      <w:r w:rsidRPr="001203EC">
        <w:rPr>
          <w:rFonts w:cs="Arial"/>
          <w:szCs w:val="20"/>
        </w:rPr>
        <w:t>1,000 is the conversion from g to mg</w:t>
      </w:r>
    </w:p>
    <w:p w:rsidR="00D41B7B" w:rsidRPr="001203EC" w:rsidRDefault="00D41B7B" w:rsidP="00D41B7B">
      <w:pPr>
        <w:pStyle w:val="SAH-BulletPointsCopy"/>
        <w:numPr>
          <w:ilvl w:val="0"/>
          <w:numId w:val="0"/>
        </w:numPr>
        <w:spacing w:line="240" w:lineRule="auto"/>
        <w:ind w:left="720"/>
        <w:rPr>
          <w:rFonts w:cs="Arial"/>
          <w:szCs w:val="20"/>
        </w:rPr>
      </w:pPr>
      <w:r>
        <w:rPr>
          <w:rFonts w:cs="Arial"/>
          <w:szCs w:val="20"/>
        </w:rPr>
        <w:t>*</w:t>
      </w:r>
      <w:r w:rsidRPr="001203EC">
        <w:rPr>
          <w:rFonts w:cs="Arial"/>
          <w:szCs w:val="20"/>
        </w:rPr>
        <w:t>**Iron depot:</w:t>
      </w:r>
    </w:p>
    <w:p w:rsidR="00D41B7B" w:rsidRPr="001203EC" w:rsidRDefault="00D41B7B" w:rsidP="00D41B7B">
      <w:pPr>
        <w:ind w:left="1440"/>
        <w:rPr>
          <w:rFonts w:cstheme="minorHAnsi"/>
          <w:sz w:val="20"/>
          <w:szCs w:val="20"/>
        </w:rPr>
      </w:pPr>
      <w:r w:rsidRPr="001203EC">
        <w:rPr>
          <w:rFonts w:cstheme="minorHAnsi"/>
          <w:sz w:val="20"/>
          <w:szCs w:val="20"/>
        </w:rPr>
        <w:t>&lt;35 kg body weight</w:t>
      </w:r>
      <w:r>
        <w:rPr>
          <w:rFonts w:cstheme="minorHAnsi"/>
          <w:sz w:val="20"/>
          <w:szCs w:val="20"/>
        </w:rPr>
        <w:t>:</w:t>
      </w:r>
      <w:r w:rsidRPr="001203EC">
        <w:rPr>
          <w:rFonts w:cstheme="minorHAnsi"/>
          <w:sz w:val="20"/>
          <w:szCs w:val="20"/>
        </w:rPr>
        <w:t xml:space="preserve"> iron depot = 15 mg/kg body weight</w:t>
      </w:r>
    </w:p>
    <w:p w:rsidR="00D41B7B" w:rsidRPr="001203EC" w:rsidRDefault="00D41B7B" w:rsidP="00D41B7B">
      <w:pPr>
        <w:ind w:left="1440"/>
        <w:rPr>
          <w:rFonts w:cstheme="minorHAnsi"/>
          <w:sz w:val="20"/>
          <w:szCs w:val="20"/>
        </w:rPr>
      </w:pPr>
      <w:r w:rsidRPr="001203EC">
        <w:rPr>
          <w:rFonts w:cstheme="minorHAnsi"/>
          <w:sz w:val="20"/>
          <w:szCs w:val="20"/>
        </w:rPr>
        <w:t>≥35 kg body weight: iron depot = 500 mg</w:t>
      </w:r>
    </w:p>
    <w:p w:rsidR="00D41B7B" w:rsidRPr="005A08A9" w:rsidRDefault="00D41B7B" w:rsidP="00D41B7B">
      <w:pPr>
        <w:rPr>
          <w:rFonts w:cstheme="minorHAnsi"/>
          <w:sz w:val="20"/>
          <w:szCs w:val="20"/>
        </w:rPr>
      </w:pPr>
    </w:p>
    <w:p w:rsidR="00D41B7B" w:rsidRDefault="00D41B7B" w:rsidP="00D41B7B">
      <w:pPr>
        <w:rPr>
          <w:rFonts w:cstheme="minorHAnsi"/>
        </w:rPr>
      </w:pPr>
      <w:r>
        <w:rPr>
          <w:rFonts w:cstheme="minorHAnsi"/>
        </w:rPr>
        <w:t xml:space="preserve">For example a 70 kg female with </w:t>
      </w:r>
      <w:proofErr w:type="spellStart"/>
      <w:r>
        <w:rPr>
          <w:rFonts w:cstheme="minorHAnsi"/>
        </w:rPr>
        <w:t>Hb</w:t>
      </w:r>
      <w:proofErr w:type="spellEnd"/>
      <w:r>
        <w:rPr>
          <w:rFonts w:cstheme="minorHAnsi"/>
        </w:rPr>
        <w:t xml:space="preserve"> 80 g/L has an iron deficit of:</w:t>
      </w:r>
    </w:p>
    <w:p w:rsidR="00D41B7B" w:rsidRDefault="00D41B7B" w:rsidP="00D41B7B">
      <w:pPr>
        <w:rPr>
          <w:rFonts w:cstheme="minorHAnsi"/>
        </w:rPr>
      </w:pPr>
      <w:r>
        <w:rPr>
          <w:rFonts w:cstheme="minorHAnsi"/>
        </w:rPr>
        <w:tab/>
        <w:t>70 x (150 – 80) x 0.24 + 500 = 1676 mg i.e. approx. 1700 mg</w:t>
      </w:r>
    </w:p>
    <w:p w:rsidR="00D41B7B" w:rsidRDefault="00D41B7B" w:rsidP="00D41B7B">
      <w:pPr>
        <w:rPr>
          <w:rFonts w:cstheme="minorHAnsi"/>
        </w:rPr>
      </w:pPr>
    </w:p>
    <w:p w:rsidR="00D41B7B" w:rsidRDefault="00D41B7B" w:rsidP="00D41B7B">
      <w:pPr>
        <w:rPr>
          <w:rFonts w:cstheme="minorHAnsi"/>
        </w:rPr>
      </w:pPr>
    </w:p>
    <w:p w:rsidR="00D41B7B" w:rsidRDefault="00D41B7B" w:rsidP="00D41B7B">
      <w:pPr>
        <w:rPr>
          <w:rFonts w:cstheme="minorHAnsi"/>
        </w:rPr>
      </w:pPr>
    </w:p>
    <w:p w:rsidR="00D41B7B" w:rsidRDefault="00D41B7B" w:rsidP="00D41B7B">
      <w:pPr>
        <w:rPr>
          <w:rFonts w:cstheme="minorHAnsi"/>
        </w:rPr>
      </w:pPr>
    </w:p>
    <w:p w:rsidR="00D41B7B" w:rsidRDefault="00D41B7B" w:rsidP="00D41B7B">
      <w:pPr>
        <w:rPr>
          <w:rFonts w:cstheme="minorHAnsi"/>
        </w:rPr>
      </w:pPr>
    </w:p>
    <w:p w:rsidR="00D41B7B" w:rsidRPr="006A529A" w:rsidRDefault="00D41B7B" w:rsidP="00D41B7B">
      <w:r>
        <w:rPr>
          <w:rFonts w:cstheme="minorHAnsi"/>
        </w:rPr>
        <w:t xml:space="preserve">Note that the target </w:t>
      </w:r>
      <w:proofErr w:type="spellStart"/>
      <w:r>
        <w:rPr>
          <w:rFonts w:cstheme="minorHAnsi"/>
        </w:rPr>
        <w:t>Hb</w:t>
      </w:r>
      <w:proofErr w:type="spellEnd"/>
      <w:r>
        <w:rPr>
          <w:rFonts w:cstheme="minorHAnsi"/>
        </w:rPr>
        <w:t xml:space="preserve"> may vary according to patient population. The UK guidelines on the management of</w:t>
      </w:r>
      <w:r>
        <w:rPr>
          <w:lang w:val="en"/>
        </w:rPr>
        <w:t xml:space="preserve"> iron deficiency in pregnancy</w:t>
      </w:r>
      <w:r w:rsidRPr="006A529A">
        <w:rPr>
          <w:vertAlign w:val="superscript"/>
          <w:lang w:val="en"/>
        </w:rPr>
        <w:t>4</w:t>
      </w:r>
      <w:r>
        <w:rPr>
          <w:lang w:val="en"/>
        </w:rPr>
        <w:t xml:space="preserve"> recommend a target </w:t>
      </w:r>
      <w:proofErr w:type="spellStart"/>
      <w:r>
        <w:rPr>
          <w:lang w:val="en"/>
        </w:rPr>
        <w:t>Hb</w:t>
      </w:r>
      <w:proofErr w:type="spellEnd"/>
      <w:r>
        <w:rPr>
          <w:lang w:val="en"/>
        </w:rPr>
        <w:t xml:space="preserve"> of 110 g/L, based on pre-pregnancy weight, in women from the </w:t>
      </w:r>
      <w:r w:rsidRPr="006A529A">
        <w:rPr>
          <w:rFonts w:ascii="Arial" w:hAnsi="Arial" w:cs="Arial"/>
        </w:rPr>
        <w:t>second trimester onwards and postpartum period, with iron deficiency anaemia who fail to respond to, or are intolerant of, oral iron. Refer to local policies and procedures.</w:t>
      </w:r>
    </w:p>
    <w:p w:rsidR="00D41B7B" w:rsidRDefault="00D41B7B" w:rsidP="00D41B7B">
      <w:pPr>
        <w:rPr>
          <w:rFonts w:cstheme="minorHAnsi"/>
        </w:rPr>
      </w:pPr>
    </w:p>
    <w:p w:rsidR="00D41B7B" w:rsidRPr="007A490F" w:rsidRDefault="00D41B7B" w:rsidP="007A490F">
      <w:pPr>
        <w:pStyle w:val="ListParagraph"/>
        <w:spacing w:before="240"/>
        <w:rPr>
          <w:rFonts w:ascii="TitilliumText25L" w:hAnsi="TitilliumText25L" w:cs="TitilliumText25L"/>
          <w:color w:val="333740"/>
          <w:sz w:val="28"/>
          <w:szCs w:val="28"/>
        </w:rPr>
      </w:pPr>
      <w:r w:rsidRPr="007A490F">
        <w:rPr>
          <w:rFonts w:ascii="TitilliumText25L" w:hAnsi="TitilliumText25L" w:cs="TitilliumText25L"/>
          <w:color w:val="333740"/>
          <w:sz w:val="28"/>
          <w:szCs w:val="28"/>
        </w:rPr>
        <w:t>Simplified Method:</w:t>
      </w:r>
    </w:p>
    <w:p w:rsidR="00D41B7B" w:rsidRPr="00A23894" w:rsidRDefault="00D41B7B" w:rsidP="00D41B7B">
      <w:r w:rsidRPr="00A23894">
        <w:t xml:space="preserve">To date only the product information (PI) of </w:t>
      </w:r>
      <w:proofErr w:type="spellStart"/>
      <w:r w:rsidRPr="00A23894">
        <w:t>Ferinject</w:t>
      </w:r>
      <w:proofErr w:type="spellEnd"/>
      <w:r w:rsidRPr="00A23894">
        <w:t xml:space="preserve">® </w:t>
      </w:r>
      <w:r>
        <w:t>incorporates</w:t>
      </w:r>
      <w:r w:rsidRPr="00A23894">
        <w:t xml:space="preserve"> the Simplified Method. </w:t>
      </w:r>
      <w:r>
        <w:t xml:space="preserve">However, expert practice and </w:t>
      </w:r>
      <w:r w:rsidRPr="00CC28DB">
        <w:t>published localised drug guidelines</w:t>
      </w:r>
      <w:r>
        <w:rPr>
          <w:vertAlign w:val="superscript"/>
        </w:rPr>
        <w:t>9</w:t>
      </w:r>
      <w:proofErr w:type="gramStart"/>
      <w:r>
        <w:rPr>
          <w:vertAlign w:val="superscript"/>
        </w:rPr>
        <w:t>,10</w:t>
      </w:r>
      <w:proofErr w:type="gramEnd"/>
      <w:r w:rsidRPr="00A15D1D">
        <w:rPr>
          <w:vertAlign w:val="superscript"/>
        </w:rPr>
        <w:t xml:space="preserve"> </w:t>
      </w:r>
      <w:r>
        <w:t>now</w:t>
      </w:r>
      <w:r w:rsidRPr="00A23894">
        <w:t xml:space="preserve"> reflect this change.</w:t>
      </w:r>
    </w:p>
    <w:p w:rsidR="00D41B7B" w:rsidRPr="009E31B7" w:rsidRDefault="00D41B7B" w:rsidP="00D41B7B">
      <w:pPr>
        <w:pStyle w:val="SAH-Subhead2"/>
        <w:spacing w:before="0" w:line="240" w:lineRule="auto"/>
        <w:rPr>
          <w:rFonts w:eastAsia="Calibri"/>
          <w:b w:val="0"/>
          <w:color w:val="auto"/>
          <w:sz w:val="22"/>
          <w:szCs w:val="22"/>
        </w:rPr>
      </w:pPr>
      <w:r w:rsidRPr="009E31B7">
        <w:rPr>
          <w:rFonts w:eastAsia="Calibri"/>
          <w:b w:val="0"/>
          <w:color w:val="auto"/>
          <w:sz w:val="22"/>
          <w:szCs w:val="22"/>
        </w:rPr>
        <w:t>The following table can be used</w:t>
      </w:r>
      <w:r>
        <w:rPr>
          <w:rFonts w:eastAsia="Calibri"/>
          <w:b w:val="0"/>
          <w:color w:val="auto"/>
          <w:sz w:val="22"/>
          <w:szCs w:val="22"/>
        </w:rPr>
        <w:t xml:space="preserve"> </w:t>
      </w:r>
      <w:r w:rsidRPr="009E31B7">
        <w:rPr>
          <w:rFonts w:eastAsia="Calibri"/>
          <w:b w:val="0"/>
          <w:color w:val="auto"/>
          <w:sz w:val="22"/>
          <w:szCs w:val="22"/>
        </w:rPr>
        <w:t xml:space="preserve">for estimating </w:t>
      </w:r>
      <w:r w:rsidRPr="000B6B23">
        <w:rPr>
          <w:rFonts w:eastAsia="Calibri"/>
          <w:b w:val="0"/>
          <w:color w:val="auto"/>
          <w:sz w:val="22"/>
          <w:szCs w:val="22"/>
        </w:rPr>
        <w:t xml:space="preserve">the </w:t>
      </w:r>
      <w:r w:rsidRPr="005A08A9">
        <w:rPr>
          <w:rFonts w:asciiTheme="minorHAnsi" w:hAnsiTheme="minorHAnsi" w:cstheme="minorHAnsi"/>
          <w:b w:val="0"/>
          <w:color w:val="auto"/>
          <w:sz w:val="22"/>
          <w:szCs w:val="22"/>
        </w:rPr>
        <w:t xml:space="preserve">cumulative amount of iron required to </w:t>
      </w:r>
      <w:proofErr w:type="gramStart"/>
      <w:r w:rsidRPr="00B94470">
        <w:rPr>
          <w:rFonts w:asciiTheme="minorHAnsi" w:hAnsiTheme="minorHAnsi" w:cstheme="minorHAnsi"/>
          <w:b w:val="0"/>
          <w:color w:val="auto"/>
          <w:sz w:val="22"/>
          <w:szCs w:val="22"/>
        </w:rPr>
        <w:t>replete</w:t>
      </w:r>
      <w:proofErr w:type="gramEnd"/>
      <w:r w:rsidRPr="005A08A9">
        <w:rPr>
          <w:rFonts w:asciiTheme="minorHAnsi" w:hAnsiTheme="minorHAnsi" w:cstheme="minorHAnsi"/>
          <w:b w:val="0"/>
          <w:color w:val="auto"/>
          <w:sz w:val="22"/>
          <w:szCs w:val="22"/>
        </w:rPr>
        <w:t xml:space="preserve"> body iron stores</w:t>
      </w:r>
      <w:r w:rsidRPr="000B6B23" w:rsidDel="000B6B23">
        <w:rPr>
          <w:rFonts w:eastAsia="Calibri"/>
          <w:b w:val="0"/>
          <w:color w:val="auto"/>
          <w:sz w:val="22"/>
          <w:szCs w:val="22"/>
        </w:rPr>
        <w:t xml:space="preserve"> </w:t>
      </w:r>
      <w:r w:rsidRPr="009E31B7">
        <w:rPr>
          <w:rFonts w:eastAsia="Calibri"/>
          <w:b w:val="0"/>
          <w:color w:val="auto"/>
          <w:sz w:val="22"/>
          <w:szCs w:val="22"/>
        </w:rPr>
        <w:t xml:space="preserve">(for adult patients of body weight </w:t>
      </w:r>
      <w:r w:rsidRPr="009E31B7">
        <w:rPr>
          <w:rFonts w:eastAsia="Calibri" w:cs="Arial"/>
          <w:b w:val="0"/>
          <w:color w:val="auto"/>
          <w:sz w:val="22"/>
          <w:szCs w:val="22"/>
        </w:rPr>
        <w:t>≥</w:t>
      </w:r>
      <w:r w:rsidRPr="009E31B7">
        <w:rPr>
          <w:rFonts w:eastAsia="Calibri"/>
          <w:b w:val="0"/>
          <w:color w:val="auto"/>
          <w:sz w:val="22"/>
          <w:szCs w:val="22"/>
        </w:rPr>
        <w:t xml:space="preserve"> 35 kg</w:t>
      </w:r>
      <w:r>
        <w:rPr>
          <w:rFonts w:eastAsia="Calibri"/>
          <w:b w:val="0"/>
          <w:color w:val="auto"/>
          <w:sz w:val="22"/>
          <w:szCs w:val="22"/>
        </w:rPr>
        <w:t>).</w:t>
      </w:r>
    </w:p>
    <w:p w:rsidR="00D41B7B" w:rsidRPr="002830E1" w:rsidRDefault="00D41B7B" w:rsidP="00D41B7B">
      <w:pPr>
        <w:pStyle w:val="SAH-Subhead3"/>
        <w:rPr>
          <w:rFonts w:asciiTheme="minorHAnsi" w:hAnsiTheme="minorHAnsi" w:cstheme="minorHAnsi"/>
          <w:sz w:val="22"/>
          <w:szCs w:val="22"/>
        </w:rPr>
      </w:pPr>
      <w:r w:rsidRPr="002830E1">
        <w:rPr>
          <w:rFonts w:asciiTheme="minorHAnsi" w:hAnsiTheme="minorHAnsi" w:cstheme="minorHAnsi"/>
          <w:sz w:val="22"/>
          <w:szCs w:val="22"/>
        </w:rPr>
        <w:t xml:space="preserve">Estimated </w:t>
      </w:r>
      <w:r>
        <w:rPr>
          <w:rFonts w:asciiTheme="minorHAnsi" w:hAnsiTheme="minorHAnsi" w:cstheme="minorHAnsi"/>
          <w:sz w:val="22"/>
          <w:szCs w:val="22"/>
        </w:rPr>
        <w:t>cumulative iron dose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3402"/>
        <w:gridCol w:w="3119"/>
      </w:tblGrid>
      <w:tr w:rsidR="00D41B7B" w:rsidRPr="009E31B7" w:rsidTr="00D91A9C">
        <w:trPr>
          <w:trHeight w:val="469"/>
        </w:trPr>
        <w:tc>
          <w:tcPr>
            <w:tcW w:w="2126" w:type="dxa"/>
            <w:shd w:val="clear" w:color="auto" w:fill="auto"/>
            <w:vAlign w:val="center"/>
          </w:tcPr>
          <w:p w:rsidR="00D41B7B" w:rsidRPr="009E31B7" w:rsidRDefault="00D41B7B" w:rsidP="00D91A9C">
            <w:pPr>
              <w:pStyle w:val="SAH-Subhead2"/>
              <w:spacing w:before="120" w:line="240" w:lineRule="auto"/>
              <w:jc w:val="center"/>
              <w:rPr>
                <w:rFonts w:eastAsia="Calibri"/>
                <w:color w:val="auto"/>
                <w:sz w:val="22"/>
                <w:szCs w:val="22"/>
              </w:rPr>
            </w:pPr>
            <w:proofErr w:type="spellStart"/>
            <w:r w:rsidRPr="009E31B7">
              <w:rPr>
                <w:color w:val="auto"/>
                <w:sz w:val="22"/>
                <w:szCs w:val="22"/>
              </w:rPr>
              <w:t>Hb</w:t>
            </w:r>
            <w:proofErr w:type="spellEnd"/>
            <w:r w:rsidRPr="009E31B7">
              <w:rPr>
                <w:color w:val="auto"/>
                <w:sz w:val="22"/>
                <w:szCs w:val="22"/>
              </w:rPr>
              <w:t xml:space="preserve"> g/L</w:t>
            </w:r>
          </w:p>
        </w:tc>
        <w:tc>
          <w:tcPr>
            <w:tcW w:w="3402" w:type="dxa"/>
            <w:shd w:val="clear" w:color="auto" w:fill="auto"/>
            <w:vAlign w:val="center"/>
          </w:tcPr>
          <w:p w:rsidR="00D41B7B" w:rsidRPr="009E31B7" w:rsidRDefault="00D41B7B" w:rsidP="00D91A9C">
            <w:pPr>
              <w:pStyle w:val="SAH-Subhead2"/>
              <w:spacing w:before="120" w:line="240" w:lineRule="auto"/>
              <w:jc w:val="center"/>
              <w:rPr>
                <w:rFonts w:eastAsia="Calibri"/>
                <w:color w:val="auto"/>
                <w:sz w:val="22"/>
                <w:szCs w:val="22"/>
              </w:rPr>
            </w:pPr>
            <w:r w:rsidRPr="009E31B7">
              <w:rPr>
                <w:rFonts w:eastAsia="Calibri"/>
                <w:color w:val="auto"/>
                <w:sz w:val="22"/>
                <w:szCs w:val="22"/>
              </w:rPr>
              <w:t>Body weight 35 kg to &lt;70 kg</w:t>
            </w:r>
            <w:r>
              <w:rPr>
                <w:rFonts w:eastAsia="Calibri"/>
                <w:color w:val="auto"/>
                <w:sz w:val="22"/>
                <w:szCs w:val="22"/>
              </w:rPr>
              <w:t>*</w:t>
            </w:r>
          </w:p>
        </w:tc>
        <w:tc>
          <w:tcPr>
            <w:tcW w:w="3119" w:type="dxa"/>
            <w:shd w:val="clear" w:color="auto" w:fill="auto"/>
            <w:vAlign w:val="center"/>
          </w:tcPr>
          <w:p w:rsidR="00D41B7B" w:rsidRPr="009E31B7" w:rsidRDefault="00D41B7B" w:rsidP="00D91A9C">
            <w:pPr>
              <w:pStyle w:val="SAH-Subhead2"/>
              <w:spacing w:before="120" w:line="240" w:lineRule="auto"/>
              <w:jc w:val="center"/>
              <w:rPr>
                <w:rFonts w:eastAsia="Calibri"/>
                <w:color w:val="auto"/>
                <w:sz w:val="22"/>
                <w:szCs w:val="22"/>
              </w:rPr>
            </w:pPr>
            <w:r w:rsidRPr="009E31B7">
              <w:rPr>
                <w:rFonts w:eastAsia="Calibri"/>
                <w:color w:val="auto"/>
                <w:sz w:val="22"/>
                <w:szCs w:val="22"/>
              </w:rPr>
              <w:t>Body weight ≥70 kg</w:t>
            </w:r>
            <w:r>
              <w:rPr>
                <w:rFonts w:eastAsia="Calibri"/>
                <w:color w:val="auto"/>
                <w:sz w:val="22"/>
                <w:szCs w:val="22"/>
              </w:rPr>
              <w:t>*</w:t>
            </w:r>
          </w:p>
        </w:tc>
      </w:tr>
      <w:tr w:rsidR="00D41B7B" w:rsidRPr="009E31B7" w:rsidTr="00D91A9C">
        <w:trPr>
          <w:trHeight w:val="469"/>
        </w:trPr>
        <w:tc>
          <w:tcPr>
            <w:tcW w:w="2126" w:type="dxa"/>
            <w:shd w:val="clear" w:color="auto" w:fill="auto"/>
            <w:vAlign w:val="center"/>
          </w:tcPr>
          <w:p w:rsidR="00D41B7B" w:rsidRPr="009E31B7" w:rsidRDefault="00D41B7B" w:rsidP="00D91A9C">
            <w:pPr>
              <w:pStyle w:val="SAH-Subhead2"/>
              <w:spacing w:before="120" w:line="240" w:lineRule="auto"/>
              <w:jc w:val="center"/>
              <w:rPr>
                <w:rFonts w:eastAsia="Calibri"/>
                <w:b w:val="0"/>
                <w:color w:val="auto"/>
                <w:sz w:val="22"/>
                <w:szCs w:val="22"/>
              </w:rPr>
            </w:pPr>
            <w:r w:rsidRPr="009E31B7">
              <w:rPr>
                <w:color w:val="auto"/>
                <w:sz w:val="22"/>
                <w:szCs w:val="22"/>
              </w:rPr>
              <w:t>&lt;100 g/L</w:t>
            </w:r>
          </w:p>
        </w:tc>
        <w:tc>
          <w:tcPr>
            <w:tcW w:w="3402" w:type="dxa"/>
            <w:shd w:val="clear" w:color="auto" w:fill="auto"/>
            <w:vAlign w:val="center"/>
          </w:tcPr>
          <w:p w:rsidR="00D41B7B" w:rsidRPr="009E31B7" w:rsidRDefault="00D41B7B" w:rsidP="00D91A9C">
            <w:pPr>
              <w:pStyle w:val="SAH-Subhead2"/>
              <w:spacing w:before="120" w:line="240" w:lineRule="auto"/>
              <w:jc w:val="center"/>
              <w:rPr>
                <w:rFonts w:eastAsia="Calibri"/>
                <w:b w:val="0"/>
                <w:color w:val="auto"/>
                <w:sz w:val="22"/>
                <w:szCs w:val="22"/>
              </w:rPr>
            </w:pPr>
            <w:r w:rsidRPr="009E31B7">
              <w:rPr>
                <w:b w:val="0"/>
                <w:color w:val="auto"/>
                <w:sz w:val="22"/>
                <w:szCs w:val="22"/>
              </w:rPr>
              <w:t>1,500 mg</w:t>
            </w:r>
          </w:p>
        </w:tc>
        <w:tc>
          <w:tcPr>
            <w:tcW w:w="3119" w:type="dxa"/>
            <w:shd w:val="clear" w:color="auto" w:fill="auto"/>
            <w:vAlign w:val="center"/>
          </w:tcPr>
          <w:p w:rsidR="00D41B7B" w:rsidRPr="009E31B7" w:rsidRDefault="00D41B7B" w:rsidP="00D91A9C">
            <w:pPr>
              <w:pStyle w:val="SAH-Subhead2"/>
              <w:spacing w:before="120" w:line="240" w:lineRule="auto"/>
              <w:jc w:val="center"/>
              <w:rPr>
                <w:rFonts w:eastAsia="Calibri"/>
                <w:b w:val="0"/>
                <w:color w:val="auto"/>
                <w:sz w:val="22"/>
                <w:szCs w:val="22"/>
              </w:rPr>
            </w:pPr>
            <w:r w:rsidRPr="009E31B7">
              <w:rPr>
                <w:b w:val="0"/>
                <w:color w:val="auto"/>
                <w:sz w:val="22"/>
                <w:szCs w:val="22"/>
              </w:rPr>
              <w:t>2,000 mg</w:t>
            </w:r>
          </w:p>
        </w:tc>
      </w:tr>
      <w:tr w:rsidR="00D41B7B" w:rsidRPr="009E31B7" w:rsidTr="00D91A9C">
        <w:trPr>
          <w:trHeight w:val="470"/>
        </w:trPr>
        <w:tc>
          <w:tcPr>
            <w:tcW w:w="2126" w:type="dxa"/>
            <w:shd w:val="clear" w:color="auto" w:fill="auto"/>
            <w:vAlign w:val="center"/>
          </w:tcPr>
          <w:p w:rsidR="00D41B7B" w:rsidRPr="009E31B7" w:rsidRDefault="00D41B7B" w:rsidP="00D91A9C">
            <w:pPr>
              <w:pStyle w:val="SAH-Subhead2"/>
              <w:spacing w:before="120" w:line="240" w:lineRule="auto"/>
              <w:jc w:val="center"/>
              <w:rPr>
                <w:rFonts w:eastAsia="Calibri"/>
                <w:b w:val="0"/>
                <w:color w:val="auto"/>
                <w:sz w:val="22"/>
                <w:szCs w:val="22"/>
              </w:rPr>
            </w:pPr>
            <w:r w:rsidRPr="009E31B7">
              <w:rPr>
                <w:color w:val="auto"/>
                <w:sz w:val="22"/>
                <w:szCs w:val="22"/>
              </w:rPr>
              <w:t>≥100 g/L</w:t>
            </w:r>
          </w:p>
        </w:tc>
        <w:tc>
          <w:tcPr>
            <w:tcW w:w="3402" w:type="dxa"/>
            <w:shd w:val="clear" w:color="auto" w:fill="auto"/>
            <w:vAlign w:val="center"/>
          </w:tcPr>
          <w:p w:rsidR="00D41B7B" w:rsidRPr="009E31B7" w:rsidRDefault="00D41B7B" w:rsidP="00D91A9C">
            <w:pPr>
              <w:pStyle w:val="SAH-Subhead2"/>
              <w:spacing w:before="120" w:line="240" w:lineRule="auto"/>
              <w:jc w:val="center"/>
              <w:rPr>
                <w:rFonts w:eastAsia="Calibri"/>
                <w:b w:val="0"/>
                <w:color w:val="auto"/>
                <w:sz w:val="22"/>
                <w:szCs w:val="22"/>
              </w:rPr>
            </w:pPr>
            <w:r w:rsidRPr="009E31B7">
              <w:rPr>
                <w:rFonts w:eastAsia="Calibri"/>
                <w:b w:val="0"/>
                <w:color w:val="auto"/>
                <w:sz w:val="22"/>
                <w:szCs w:val="22"/>
              </w:rPr>
              <w:t>1,000 mg</w:t>
            </w:r>
          </w:p>
        </w:tc>
        <w:tc>
          <w:tcPr>
            <w:tcW w:w="3119" w:type="dxa"/>
            <w:shd w:val="clear" w:color="auto" w:fill="auto"/>
            <w:vAlign w:val="center"/>
          </w:tcPr>
          <w:p w:rsidR="00D41B7B" w:rsidRPr="009E31B7" w:rsidRDefault="00D41B7B" w:rsidP="00D91A9C">
            <w:pPr>
              <w:pStyle w:val="SAH-Subhead2"/>
              <w:spacing w:before="120" w:line="240" w:lineRule="auto"/>
              <w:jc w:val="center"/>
              <w:rPr>
                <w:rFonts w:eastAsia="Calibri"/>
                <w:b w:val="0"/>
                <w:color w:val="auto"/>
                <w:sz w:val="22"/>
                <w:szCs w:val="22"/>
              </w:rPr>
            </w:pPr>
            <w:r w:rsidRPr="009E31B7">
              <w:rPr>
                <w:rFonts w:eastAsia="Calibri"/>
                <w:b w:val="0"/>
                <w:color w:val="auto"/>
                <w:sz w:val="22"/>
                <w:szCs w:val="22"/>
              </w:rPr>
              <w:t>1,500 mg</w:t>
            </w:r>
          </w:p>
        </w:tc>
      </w:tr>
    </w:tbl>
    <w:p w:rsidR="00D41B7B" w:rsidRDefault="00D41B7B" w:rsidP="00D41B7B">
      <w:pPr>
        <w:pStyle w:val="SAH-Subhead2"/>
        <w:spacing w:before="120" w:after="0" w:line="240" w:lineRule="auto"/>
        <w:ind w:firstLine="720"/>
        <w:rPr>
          <w:rFonts w:asciiTheme="minorHAnsi" w:eastAsia="Calibri" w:hAnsiTheme="minorHAnsi" w:cstheme="minorHAnsi"/>
          <w:b w:val="0"/>
          <w:color w:val="auto"/>
          <w:sz w:val="20"/>
          <w:szCs w:val="20"/>
        </w:rPr>
      </w:pPr>
      <w:r w:rsidRPr="00B327ED">
        <w:rPr>
          <w:rFonts w:asciiTheme="minorHAnsi" w:eastAsia="Calibri" w:hAnsiTheme="minorHAnsi" w:cstheme="minorHAnsi"/>
          <w:b w:val="0"/>
          <w:color w:val="auto"/>
          <w:sz w:val="20"/>
          <w:szCs w:val="20"/>
        </w:rPr>
        <w:t>*Use ideal body weight in overweight patients. If underweight, use actual body weight</w:t>
      </w:r>
    </w:p>
    <w:p w:rsidR="00D41B7B" w:rsidRPr="00B327ED" w:rsidRDefault="00D41B7B" w:rsidP="00D41B7B">
      <w:pPr>
        <w:pStyle w:val="SAH-Subhead2"/>
        <w:spacing w:before="0" w:after="0" w:line="240" w:lineRule="auto"/>
        <w:rPr>
          <w:rFonts w:asciiTheme="minorHAnsi" w:eastAsia="Calibri" w:hAnsiTheme="minorHAnsi" w:cstheme="minorHAnsi"/>
          <w:b w:val="0"/>
          <w:color w:val="auto"/>
          <w:sz w:val="20"/>
          <w:szCs w:val="20"/>
        </w:rPr>
      </w:pPr>
    </w:p>
    <w:p w:rsidR="00D41B7B" w:rsidRDefault="00D41B7B" w:rsidP="00D41B7B">
      <w:pPr>
        <w:rPr>
          <w:color w:val="000000"/>
        </w:rPr>
      </w:pPr>
      <w:r w:rsidRPr="00A23894">
        <w:t xml:space="preserve">Caution is recommended with the Simplified Method as it is based on experience in a single clinical trial in adults with inflammatory bowel disease with a median </w:t>
      </w:r>
      <w:proofErr w:type="spellStart"/>
      <w:r w:rsidRPr="00A23894">
        <w:t>Hb</w:t>
      </w:r>
      <w:proofErr w:type="spellEnd"/>
      <w:r w:rsidRPr="00A23894">
        <w:t xml:space="preserve"> 104 g/L (range 61-146 g/L) and body weight ≥ 35 kg. </w:t>
      </w:r>
      <w:r w:rsidRPr="00A23894">
        <w:rPr>
          <w:color w:val="000000"/>
        </w:rPr>
        <w:t>Seek expert advice</w:t>
      </w:r>
      <w:r>
        <w:rPr>
          <w:color w:val="000000"/>
        </w:rPr>
        <w:t xml:space="preserve"> from a haematologist</w:t>
      </w:r>
      <w:r w:rsidRPr="00A23894">
        <w:rPr>
          <w:color w:val="000000"/>
        </w:rPr>
        <w:t xml:space="preserve"> if in doubt.</w:t>
      </w:r>
    </w:p>
    <w:p w:rsidR="00D41B7B" w:rsidRPr="005A08A9" w:rsidRDefault="00D41B7B" w:rsidP="00D41B7B">
      <w:pPr>
        <w:rPr>
          <w:color w:val="131313"/>
        </w:rPr>
      </w:pPr>
    </w:p>
    <w:p w:rsidR="00D41B7B" w:rsidRPr="007A490F" w:rsidRDefault="00D41B7B" w:rsidP="007A490F">
      <w:pPr>
        <w:pStyle w:val="ListParagraph"/>
        <w:spacing w:before="240"/>
        <w:rPr>
          <w:rFonts w:ascii="TitilliumText25L" w:hAnsi="TitilliumText25L" w:cs="TitilliumText25L"/>
          <w:color w:val="333740"/>
          <w:sz w:val="28"/>
          <w:szCs w:val="28"/>
        </w:rPr>
      </w:pPr>
      <w:r w:rsidRPr="007A490F">
        <w:rPr>
          <w:rFonts w:ascii="TitilliumText25L" w:hAnsi="TitilliumText25L" w:cs="TitilliumText25L"/>
          <w:color w:val="333740"/>
          <w:sz w:val="28"/>
          <w:szCs w:val="28"/>
        </w:rPr>
        <w:t>Administration</w:t>
      </w:r>
    </w:p>
    <w:p w:rsidR="00D41B7B" w:rsidRDefault="00D41B7B" w:rsidP="00D41B7B">
      <w:r w:rsidRPr="00656DB8">
        <w:t>Infusion rates, maximum dose per infusion and dilution are NOT interchangeable between IV iron products. Refer to the specific product information and administration guidelines.</w:t>
      </w:r>
    </w:p>
    <w:p w:rsidR="00D41B7B" w:rsidRPr="00656DB8" w:rsidRDefault="00D41B7B" w:rsidP="00D41B7B">
      <w:r w:rsidRPr="00656DB8">
        <w:t xml:space="preserve">Oral iron is not required after IV iron is given if the total iron deficit has been (or will be) </w:t>
      </w:r>
      <w:proofErr w:type="spellStart"/>
      <w:r w:rsidRPr="00B94470">
        <w:t>repleted</w:t>
      </w:r>
      <w:proofErr w:type="spellEnd"/>
      <w:r w:rsidRPr="00656DB8">
        <w:t xml:space="preserve"> with IV iron therapy</w:t>
      </w:r>
      <w:r>
        <w:t>.</w:t>
      </w:r>
    </w:p>
    <w:p w:rsidR="00D41B7B" w:rsidRDefault="00D41B7B" w:rsidP="00D41B7B">
      <w:pPr>
        <w:rPr>
          <w:rFonts w:cstheme="minorHAnsi"/>
        </w:rPr>
      </w:pPr>
      <w:r w:rsidRPr="00532003">
        <w:rPr>
          <w:rFonts w:cstheme="minorHAnsi"/>
        </w:rPr>
        <w:t xml:space="preserve">A “total-dose” infusion (where iron stores can be </w:t>
      </w:r>
      <w:proofErr w:type="spellStart"/>
      <w:r w:rsidRPr="00B94470">
        <w:rPr>
          <w:rFonts w:cstheme="minorHAnsi"/>
        </w:rPr>
        <w:t>repleted</w:t>
      </w:r>
      <w:proofErr w:type="spellEnd"/>
      <w:r w:rsidRPr="00532003">
        <w:rPr>
          <w:rFonts w:cstheme="minorHAnsi"/>
        </w:rPr>
        <w:t xml:space="preserve"> in a single treatment episode) can be administered with iron </w:t>
      </w:r>
      <w:proofErr w:type="spellStart"/>
      <w:r w:rsidRPr="00532003">
        <w:rPr>
          <w:rFonts w:cstheme="minorHAnsi"/>
        </w:rPr>
        <w:t>polymaltose</w:t>
      </w:r>
      <w:proofErr w:type="spellEnd"/>
      <w:r>
        <w:rPr>
          <w:rFonts w:cstheme="minorHAnsi"/>
        </w:rPr>
        <w:t xml:space="preserve"> and in mild cases of IDA with ferric </w:t>
      </w:r>
      <w:proofErr w:type="spellStart"/>
      <w:proofErr w:type="gramStart"/>
      <w:r>
        <w:rPr>
          <w:rFonts w:cstheme="minorHAnsi"/>
        </w:rPr>
        <w:t>carboxymaltose</w:t>
      </w:r>
      <w:proofErr w:type="spellEnd"/>
      <w:r>
        <w:rPr>
          <w:rFonts w:cstheme="minorHAnsi"/>
        </w:rPr>
        <w:t>,</w:t>
      </w:r>
      <w:proofErr w:type="gramEnd"/>
      <w:r>
        <w:rPr>
          <w:rFonts w:cstheme="minorHAnsi"/>
        </w:rPr>
        <w:t xml:space="preserve"> however iron sucrose requires </w:t>
      </w:r>
      <w:r w:rsidRPr="00532003">
        <w:rPr>
          <w:rFonts w:cstheme="minorHAnsi"/>
        </w:rPr>
        <w:t>multiple small intermittent doses over days to weeks</w:t>
      </w:r>
      <w:r>
        <w:rPr>
          <w:rFonts w:cstheme="minorHAnsi"/>
        </w:rPr>
        <w:t>.</w:t>
      </w:r>
    </w:p>
    <w:p w:rsidR="00D41B7B" w:rsidRDefault="00D41B7B" w:rsidP="00D41B7B">
      <w:pPr>
        <w:rPr>
          <w:rFonts w:cstheme="minorHAnsi"/>
        </w:rPr>
      </w:pPr>
      <w:r w:rsidRPr="0007199B">
        <w:rPr>
          <w:rFonts w:cstheme="minorHAnsi"/>
        </w:rPr>
        <w:t>Anaphylaxis may occur</w:t>
      </w:r>
      <w:r>
        <w:rPr>
          <w:rFonts w:cstheme="minorHAnsi"/>
        </w:rPr>
        <w:t xml:space="preserve"> with IV iron</w:t>
      </w:r>
      <w:r w:rsidRPr="0007199B">
        <w:rPr>
          <w:rFonts w:cstheme="minorHAnsi"/>
        </w:rPr>
        <w:t xml:space="preserve"> and resuscitation facilities should be available</w:t>
      </w:r>
      <w:r>
        <w:rPr>
          <w:rFonts w:cstheme="minorHAnsi"/>
        </w:rPr>
        <w:t>.</w:t>
      </w:r>
      <w:r>
        <w:rPr>
          <w:rFonts w:cstheme="minorHAnsi"/>
          <w:vertAlign w:val="superscript"/>
        </w:rPr>
        <w:t>11</w:t>
      </w:r>
      <w:r>
        <w:rPr>
          <w:rFonts w:cstheme="minorHAnsi"/>
        </w:rPr>
        <w:t xml:space="preserve"> </w:t>
      </w:r>
      <w:proofErr w:type="gramStart"/>
      <w:r>
        <w:rPr>
          <w:rFonts w:cstheme="minorHAnsi"/>
        </w:rPr>
        <w:t>It</w:t>
      </w:r>
      <w:proofErr w:type="gramEnd"/>
      <w:r>
        <w:rPr>
          <w:rFonts w:cstheme="minorHAnsi"/>
        </w:rPr>
        <w:t xml:space="preserve"> would appear that iron </w:t>
      </w:r>
      <w:proofErr w:type="spellStart"/>
      <w:r>
        <w:rPr>
          <w:rFonts w:cstheme="minorHAnsi"/>
        </w:rPr>
        <w:t>polymaltose</w:t>
      </w:r>
      <w:proofErr w:type="spellEnd"/>
      <w:r>
        <w:rPr>
          <w:rFonts w:cstheme="minorHAnsi"/>
        </w:rPr>
        <w:t xml:space="preserve"> may have a higher incidence of severe systemic reactions than iron sucrose and ferric </w:t>
      </w:r>
      <w:proofErr w:type="spellStart"/>
      <w:r>
        <w:rPr>
          <w:rFonts w:cstheme="minorHAnsi"/>
        </w:rPr>
        <w:t>carboxymaltose</w:t>
      </w:r>
      <w:proofErr w:type="spellEnd"/>
      <w:r>
        <w:rPr>
          <w:rFonts w:cstheme="minorHAnsi"/>
        </w:rPr>
        <w:t xml:space="preserve">. </w:t>
      </w:r>
    </w:p>
    <w:p w:rsidR="00D41B7B" w:rsidRDefault="00D41B7B" w:rsidP="00D41B7B">
      <w:pPr>
        <w:rPr>
          <w:color w:val="1F497D"/>
        </w:rPr>
      </w:pPr>
      <w:proofErr w:type="spellStart"/>
      <w:r w:rsidRPr="00B539C9">
        <w:t>Hypophosphataemia</w:t>
      </w:r>
      <w:proofErr w:type="spellEnd"/>
      <w:r w:rsidRPr="00B539C9">
        <w:t xml:space="preserve"> has been reported with all three intravenous iron preparations and may be more common and severe with ferric </w:t>
      </w:r>
      <w:proofErr w:type="spellStart"/>
      <w:r w:rsidRPr="00B539C9">
        <w:t>carboxymaltose</w:t>
      </w:r>
      <w:proofErr w:type="spellEnd"/>
      <w:r w:rsidRPr="00B539C9">
        <w:t>. Caution should be taken with patients at risk</w:t>
      </w:r>
      <w:r>
        <w:rPr>
          <w:color w:val="1F497D"/>
        </w:rPr>
        <w:t>.</w:t>
      </w:r>
    </w:p>
    <w:p w:rsidR="00D41B7B" w:rsidRPr="004D7C36" w:rsidRDefault="00D41B7B" w:rsidP="00D41B7B">
      <w:pPr>
        <w:rPr>
          <w:rFonts w:cstheme="minorHAnsi"/>
        </w:rPr>
      </w:pPr>
      <w:r>
        <w:rPr>
          <w:rFonts w:cstheme="minorHAnsi"/>
        </w:rPr>
        <w:t>All three iron preparations have similar mild adverse event profiles.</w:t>
      </w:r>
      <w:r w:rsidRPr="00650596">
        <w:rPr>
          <w:rFonts w:cstheme="minorHAnsi"/>
          <w:vertAlign w:val="superscript"/>
        </w:rPr>
        <w:t>1</w:t>
      </w:r>
      <w:proofErr w:type="gramStart"/>
      <w:r w:rsidRPr="00650596">
        <w:rPr>
          <w:rFonts w:cstheme="minorHAnsi"/>
          <w:vertAlign w:val="superscript"/>
        </w:rPr>
        <w:t>,3</w:t>
      </w:r>
      <w:proofErr w:type="gramEnd"/>
      <w:r w:rsidRPr="007454C4">
        <w:br w:type="page"/>
      </w:r>
    </w:p>
    <w:p w:rsidR="00D41B7B" w:rsidRPr="00D41B7B" w:rsidRDefault="00D41B7B" w:rsidP="00D41B7B">
      <w:pPr>
        <w:pStyle w:val="Heading1"/>
        <w:ind w:hanging="567"/>
        <w:rPr>
          <w:rFonts w:ascii="TitilliumText25L" w:eastAsia="TitilliumText25L" w:hAnsi="TitilliumText25L" w:cs="TitilliumText25L"/>
          <w:b w:val="0"/>
          <w:bCs w:val="0"/>
          <w:color w:val="D0202E"/>
          <w:sz w:val="60"/>
          <w:szCs w:val="60"/>
        </w:rPr>
      </w:pPr>
      <w:r w:rsidRPr="00731F23">
        <w:rPr>
          <w:rFonts w:ascii="TitilliumText25L" w:eastAsia="TitilliumText25L" w:hAnsi="TitilliumText25L" w:cs="TitilliumText25L"/>
          <w:b w:val="0"/>
          <w:color w:val="D0202E"/>
          <w:position w:val="-1"/>
          <w:sz w:val="102"/>
          <w:szCs w:val="102"/>
        </w:rPr>
        <w:lastRenderedPageBreak/>
        <w:t>&gt;</w:t>
      </w:r>
      <w:r>
        <w:rPr>
          <w:rFonts w:ascii="TitilliumText25L" w:eastAsia="TitilliumText25L" w:hAnsi="TitilliumText25L" w:cs="TitilliumText25L"/>
          <w:b w:val="0"/>
          <w:color w:val="D0202E"/>
          <w:position w:val="-1"/>
          <w:sz w:val="102"/>
          <w:szCs w:val="102"/>
        </w:rPr>
        <w:t xml:space="preserve"> </w:t>
      </w:r>
      <w:r w:rsidRPr="00D41B7B">
        <w:rPr>
          <w:rFonts w:ascii="TitilliumText25L" w:eastAsia="TitilliumText25L" w:hAnsi="TitilliumText25L" w:cs="TitilliumText25L"/>
          <w:b w:val="0"/>
          <w:bCs w:val="0"/>
          <w:color w:val="D0202E"/>
          <w:sz w:val="60"/>
          <w:szCs w:val="60"/>
        </w:rPr>
        <w:t>REFERENCES</w:t>
      </w:r>
    </w:p>
    <w:p w:rsidR="00D41B7B" w:rsidRDefault="00D41B7B" w:rsidP="003A5515">
      <w:pPr>
        <w:pStyle w:val="ListParagraph"/>
        <w:widowControl/>
        <w:numPr>
          <w:ilvl w:val="0"/>
          <w:numId w:val="2"/>
        </w:numPr>
        <w:spacing w:after="200"/>
        <w:ind w:left="360"/>
        <w:contextualSpacing/>
        <w:rPr>
          <w:rFonts w:cstheme="minorHAnsi"/>
        </w:rPr>
      </w:pPr>
      <w:proofErr w:type="spellStart"/>
      <w:r w:rsidRPr="0007199B">
        <w:rPr>
          <w:rFonts w:cstheme="minorHAnsi"/>
        </w:rPr>
        <w:t>Pasricha</w:t>
      </w:r>
      <w:proofErr w:type="spellEnd"/>
      <w:r w:rsidRPr="0007199B">
        <w:rPr>
          <w:rFonts w:cstheme="minorHAnsi"/>
        </w:rPr>
        <w:t xml:space="preserve"> SR, </w:t>
      </w:r>
      <w:proofErr w:type="spellStart"/>
      <w:r w:rsidRPr="0007199B">
        <w:rPr>
          <w:rFonts w:cstheme="minorHAnsi"/>
        </w:rPr>
        <w:t>Flecknoe</w:t>
      </w:r>
      <w:proofErr w:type="spellEnd"/>
      <w:r w:rsidRPr="0007199B">
        <w:rPr>
          <w:rFonts w:cstheme="minorHAnsi"/>
        </w:rPr>
        <w:t>-Brown SC, Allen KJ, Gibson PR, McMahon LP, Olynyk JK, et al.</w:t>
      </w:r>
      <w:r>
        <w:rPr>
          <w:rFonts w:cstheme="minorHAnsi"/>
        </w:rPr>
        <w:t xml:space="preserve"> </w:t>
      </w:r>
      <w:hyperlink r:id="rId15" w:tgtFrame="_blank" w:tooltip="Links to www.mja.com.au" w:history="1">
        <w:r w:rsidRPr="0007199B">
          <w:rPr>
            <w:rStyle w:val="Hyperlink"/>
            <w:rFonts w:cstheme="minorHAnsi"/>
          </w:rPr>
          <w:t>Diagnosis and management of iron deficiency anaemia: a clinical update.</w:t>
        </w:r>
      </w:hyperlink>
      <w:r w:rsidRPr="0007199B">
        <w:rPr>
          <w:rFonts w:cstheme="minorHAnsi"/>
        </w:rPr>
        <w:t xml:space="preserve"> MJA 2010</w:t>
      </w:r>
      <w:proofErr w:type="gramStart"/>
      <w:r w:rsidRPr="0007199B">
        <w:rPr>
          <w:rFonts w:cstheme="minorHAnsi"/>
        </w:rPr>
        <w:t>;193:525</w:t>
      </w:r>
      <w:proofErr w:type="gramEnd"/>
      <w:r w:rsidRPr="0007199B">
        <w:rPr>
          <w:rFonts w:cstheme="minorHAnsi"/>
        </w:rPr>
        <w:t xml:space="preserve">–532. Available </w:t>
      </w:r>
      <w:r>
        <w:rPr>
          <w:rFonts w:cstheme="minorHAnsi"/>
        </w:rPr>
        <w:t>at</w:t>
      </w:r>
      <w:r w:rsidRPr="0007199B">
        <w:rPr>
          <w:rFonts w:cstheme="minorHAnsi"/>
        </w:rPr>
        <w:t xml:space="preserve">: </w:t>
      </w:r>
      <w:hyperlink r:id="rId16" w:history="1">
        <w:r w:rsidRPr="00042AE7">
          <w:rPr>
            <w:rStyle w:val="Hyperlink"/>
            <w:rFonts w:cstheme="minorHAnsi"/>
          </w:rPr>
          <w:t>http://www.mja.com.au</w:t>
        </w:r>
      </w:hyperlink>
      <w:r w:rsidRPr="0007199B">
        <w:rPr>
          <w:rFonts w:cstheme="minorHAnsi"/>
        </w:rPr>
        <w:t>.</w:t>
      </w:r>
    </w:p>
    <w:p w:rsidR="00D41B7B" w:rsidRDefault="00D41B7B" w:rsidP="00D41B7B">
      <w:pPr>
        <w:pStyle w:val="ListParagraph"/>
        <w:ind w:left="360"/>
        <w:rPr>
          <w:rFonts w:cstheme="minorHAnsi"/>
        </w:rPr>
      </w:pPr>
    </w:p>
    <w:p w:rsidR="00D41B7B" w:rsidRDefault="00D41B7B" w:rsidP="003A5515">
      <w:pPr>
        <w:pStyle w:val="ListParagraph"/>
        <w:widowControl/>
        <w:numPr>
          <w:ilvl w:val="0"/>
          <w:numId w:val="2"/>
        </w:numPr>
        <w:spacing w:after="200"/>
        <w:ind w:left="360"/>
        <w:contextualSpacing/>
        <w:rPr>
          <w:rFonts w:cstheme="minorHAnsi"/>
        </w:rPr>
      </w:pPr>
      <w:r w:rsidRPr="00F60C2E">
        <w:rPr>
          <w:rFonts w:cstheme="minorHAnsi"/>
        </w:rPr>
        <w:t xml:space="preserve">Gastroenterological Society of Australia. </w:t>
      </w:r>
      <w:hyperlink r:id="rId17" w:tgtFrame="_blank" w:tooltip="Links to www.gesa.org.au" w:history="1">
        <w:r w:rsidRPr="00F60C2E">
          <w:rPr>
            <w:rStyle w:val="Hyperlink"/>
            <w:rFonts w:cstheme="minorHAnsi"/>
          </w:rPr>
          <w:t>Clinical update: Iron deficiency, First Edition.</w:t>
        </w:r>
      </w:hyperlink>
      <w:r w:rsidRPr="00F60C2E">
        <w:rPr>
          <w:rFonts w:cstheme="minorHAnsi"/>
        </w:rPr>
        <w:t xml:space="preserve"> Sydney, Australia, Digestive Health Foundation, 2008. Available </w:t>
      </w:r>
      <w:r>
        <w:rPr>
          <w:rFonts w:cstheme="minorHAnsi"/>
        </w:rPr>
        <w:t>at</w:t>
      </w:r>
      <w:r w:rsidRPr="00F60C2E">
        <w:rPr>
          <w:rFonts w:cstheme="minorHAnsi"/>
        </w:rPr>
        <w:t xml:space="preserve">: </w:t>
      </w:r>
      <w:hyperlink r:id="rId18" w:history="1">
        <w:r w:rsidRPr="00F60C2E">
          <w:rPr>
            <w:rStyle w:val="Hyperlink"/>
            <w:rFonts w:cstheme="minorHAnsi"/>
          </w:rPr>
          <w:t>http://www.gesa.org.au</w:t>
        </w:r>
      </w:hyperlink>
      <w:r w:rsidRPr="00F60C2E">
        <w:rPr>
          <w:rFonts w:cstheme="minorHAnsi"/>
        </w:rPr>
        <w:t>.</w:t>
      </w:r>
    </w:p>
    <w:p w:rsidR="00D41B7B" w:rsidRPr="00F60C2E" w:rsidRDefault="00D41B7B" w:rsidP="00D41B7B">
      <w:pPr>
        <w:pStyle w:val="ListParagraph"/>
        <w:ind w:left="360"/>
        <w:rPr>
          <w:rFonts w:cstheme="minorHAnsi"/>
        </w:rPr>
      </w:pPr>
    </w:p>
    <w:p w:rsidR="00D41B7B" w:rsidRDefault="00D41B7B" w:rsidP="003A5515">
      <w:pPr>
        <w:pStyle w:val="ListParagraph"/>
        <w:widowControl/>
        <w:numPr>
          <w:ilvl w:val="0"/>
          <w:numId w:val="2"/>
        </w:numPr>
        <w:spacing w:after="200"/>
        <w:ind w:left="360"/>
        <w:contextualSpacing/>
        <w:rPr>
          <w:rFonts w:cstheme="minorHAnsi"/>
        </w:rPr>
      </w:pPr>
      <w:r w:rsidRPr="0007199B">
        <w:rPr>
          <w:rFonts w:cstheme="minorHAnsi"/>
        </w:rPr>
        <w:t xml:space="preserve">Goddard AF, James MW, McIntyre AS, Scott BB on behalf of the British Society of Gastroenterology. </w:t>
      </w:r>
      <w:hyperlink r:id="rId19" w:tgtFrame="_blank" w:tooltip="Links to www.bsg.org.uk" w:history="1">
        <w:r w:rsidRPr="0007199B">
          <w:rPr>
            <w:rStyle w:val="Hyperlink"/>
            <w:rFonts w:cstheme="minorHAnsi"/>
          </w:rPr>
          <w:t>Guidelines for the management of iron deficiency anaemia.</w:t>
        </w:r>
      </w:hyperlink>
      <w:r w:rsidRPr="0007199B">
        <w:rPr>
          <w:rFonts w:cstheme="minorHAnsi"/>
        </w:rPr>
        <w:t xml:space="preserve"> Gut 2011</w:t>
      </w:r>
      <w:proofErr w:type="gramStart"/>
      <w:r w:rsidRPr="0007199B">
        <w:rPr>
          <w:rFonts w:cstheme="minorHAnsi"/>
        </w:rPr>
        <w:t>;60:1309</w:t>
      </w:r>
      <w:proofErr w:type="gramEnd"/>
      <w:r w:rsidRPr="0007199B">
        <w:rPr>
          <w:rFonts w:cstheme="minorHAnsi"/>
        </w:rPr>
        <w:t xml:space="preserve">–1316. Available </w:t>
      </w:r>
      <w:r>
        <w:rPr>
          <w:rFonts w:cstheme="minorHAnsi"/>
        </w:rPr>
        <w:t>at</w:t>
      </w:r>
      <w:r w:rsidRPr="0007199B">
        <w:rPr>
          <w:rFonts w:cstheme="minorHAnsi"/>
        </w:rPr>
        <w:t xml:space="preserve">: </w:t>
      </w:r>
      <w:hyperlink r:id="rId20" w:history="1">
        <w:r w:rsidRPr="00042AE7">
          <w:rPr>
            <w:rStyle w:val="Hyperlink"/>
            <w:rFonts w:cstheme="minorHAnsi"/>
          </w:rPr>
          <w:t>http://www.bsg.org.uk</w:t>
        </w:r>
      </w:hyperlink>
      <w:r w:rsidRPr="0007199B">
        <w:rPr>
          <w:rFonts w:cstheme="minorHAnsi"/>
        </w:rPr>
        <w:t>.</w:t>
      </w:r>
    </w:p>
    <w:p w:rsidR="00D41B7B" w:rsidRPr="00877B92" w:rsidRDefault="00D41B7B" w:rsidP="00D41B7B">
      <w:pPr>
        <w:pStyle w:val="ListParagraph"/>
        <w:ind w:left="360"/>
        <w:rPr>
          <w:rFonts w:cstheme="minorHAnsi"/>
        </w:rPr>
      </w:pPr>
    </w:p>
    <w:p w:rsidR="00D41B7B" w:rsidRPr="00603187" w:rsidRDefault="00D41B7B" w:rsidP="003A5515">
      <w:pPr>
        <w:pStyle w:val="ListParagraph"/>
        <w:widowControl/>
        <w:numPr>
          <w:ilvl w:val="0"/>
          <w:numId w:val="2"/>
        </w:numPr>
        <w:spacing w:after="200"/>
        <w:ind w:left="426" w:hanging="426"/>
        <w:contextualSpacing/>
        <w:rPr>
          <w:rFonts w:cstheme="minorHAnsi"/>
        </w:rPr>
      </w:pPr>
      <w:proofErr w:type="spellStart"/>
      <w:r w:rsidRPr="00603187">
        <w:rPr>
          <w:rFonts w:cstheme="minorHAnsi"/>
        </w:rPr>
        <w:t>Pavord</w:t>
      </w:r>
      <w:proofErr w:type="spellEnd"/>
      <w:r w:rsidRPr="00603187">
        <w:rPr>
          <w:rFonts w:cstheme="minorHAnsi"/>
        </w:rPr>
        <w:t>, S., Myers, B., Robinson, S., Allard, S., Strong, J., Oppenheimer, C. and on</w:t>
      </w:r>
      <w:r>
        <w:rPr>
          <w:lang w:val="en"/>
        </w:rPr>
        <w:t xml:space="preserve"> behalf of the British Committee for Standards in </w:t>
      </w:r>
      <w:proofErr w:type="spellStart"/>
      <w:r>
        <w:rPr>
          <w:lang w:val="en"/>
        </w:rPr>
        <w:t>Haematology</w:t>
      </w:r>
      <w:proofErr w:type="spellEnd"/>
      <w:r>
        <w:rPr>
          <w:lang w:val="en"/>
        </w:rPr>
        <w:t xml:space="preserve">. </w:t>
      </w:r>
      <w:hyperlink r:id="rId21" w:history="1">
        <w:r w:rsidRPr="00603187">
          <w:rPr>
            <w:rStyle w:val="Hyperlink"/>
            <w:lang w:val="en"/>
          </w:rPr>
          <w:t>UK guidelines on the management of iron deficiency in pregnancy</w:t>
        </w:r>
      </w:hyperlink>
      <w:r>
        <w:rPr>
          <w:lang w:val="en"/>
        </w:rPr>
        <w:t xml:space="preserve">. British Journal of </w:t>
      </w:r>
      <w:proofErr w:type="spellStart"/>
      <w:r>
        <w:rPr>
          <w:lang w:val="en"/>
        </w:rPr>
        <w:t>Haematology</w:t>
      </w:r>
      <w:proofErr w:type="spellEnd"/>
      <w:r>
        <w:rPr>
          <w:lang w:val="en"/>
        </w:rPr>
        <w:t xml:space="preserve"> 2012</w:t>
      </w:r>
      <w:proofErr w:type="gramStart"/>
      <w:r>
        <w:rPr>
          <w:lang w:val="en"/>
        </w:rPr>
        <w:t>;156:588</w:t>
      </w:r>
      <w:proofErr w:type="gramEnd"/>
      <w:r>
        <w:rPr>
          <w:lang w:val="en"/>
        </w:rPr>
        <w:t xml:space="preserve">–600. Available at: </w:t>
      </w:r>
      <w:hyperlink r:id="rId22" w:history="1">
        <w:r w:rsidRPr="00FE15CB">
          <w:rPr>
            <w:rStyle w:val="Hyperlink"/>
            <w:lang w:val="en"/>
          </w:rPr>
          <w:t>http://www.bcshguidelines.com</w:t>
        </w:r>
      </w:hyperlink>
    </w:p>
    <w:p w:rsidR="00D41B7B" w:rsidRPr="00603187" w:rsidRDefault="00D41B7B" w:rsidP="00D41B7B">
      <w:pPr>
        <w:pStyle w:val="ListParagraph"/>
        <w:ind w:left="360"/>
        <w:rPr>
          <w:rFonts w:cstheme="minorHAnsi"/>
        </w:rPr>
      </w:pPr>
    </w:p>
    <w:p w:rsidR="00D41B7B" w:rsidRPr="0055619B" w:rsidRDefault="00D41B7B" w:rsidP="003A5515">
      <w:pPr>
        <w:pStyle w:val="ListParagraph"/>
        <w:widowControl/>
        <w:numPr>
          <w:ilvl w:val="0"/>
          <w:numId w:val="2"/>
        </w:numPr>
        <w:spacing w:after="200"/>
        <w:ind w:left="360"/>
        <w:contextualSpacing/>
        <w:rPr>
          <w:rStyle w:val="Hyperlink"/>
          <w:rFonts w:cstheme="minorHAnsi"/>
        </w:rPr>
      </w:pPr>
      <w:r w:rsidRPr="0055619B">
        <w:rPr>
          <w:rFonts w:cstheme="minorHAnsi"/>
        </w:rPr>
        <w:t xml:space="preserve">National Blood Authority. Patient Blood Management Guidelines: Module 5 – Obstetrics and Maternity. Australia, 2015. Available at: </w:t>
      </w:r>
      <w:hyperlink r:id="rId23" w:history="1">
        <w:r w:rsidRPr="0055619B">
          <w:rPr>
            <w:rStyle w:val="Hyperlink"/>
            <w:rFonts w:cstheme="minorHAnsi"/>
          </w:rPr>
          <w:t>http://www.blood.gov.au/pbm-module-5</w:t>
        </w:r>
      </w:hyperlink>
    </w:p>
    <w:p w:rsidR="00D41B7B" w:rsidRPr="007D6A30" w:rsidRDefault="00D41B7B" w:rsidP="00D41B7B">
      <w:pPr>
        <w:pStyle w:val="ListParagraph"/>
        <w:ind w:left="360"/>
        <w:rPr>
          <w:rFonts w:cstheme="minorHAnsi"/>
        </w:rPr>
      </w:pPr>
    </w:p>
    <w:p w:rsidR="00D41B7B" w:rsidRPr="001100EA" w:rsidRDefault="00D41B7B" w:rsidP="003A5515">
      <w:pPr>
        <w:pStyle w:val="ListParagraph"/>
        <w:widowControl/>
        <w:numPr>
          <w:ilvl w:val="0"/>
          <w:numId w:val="2"/>
        </w:numPr>
        <w:spacing w:after="200"/>
        <w:ind w:left="360"/>
        <w:contextualSpacing/>
        <w:rPr>
          <w:rStyle w:val="Hyperlink"/>
          <w:rFonts w:cstheme="minorHAnsi"/>
        </w:rPr>
      </w:pPr>
      <w:r w:rsidRPr="0007199B">
        <w:rPr>
          <w:rFonts w:cstheme="minorHAnsi"/>
        </w:rPr>
        <w:t xml:space="preserve">National Blood Authority. Patient Blood Management Guidelines: Module 2 – Perioperative. Australia, 2012. Available at: </w:t>
      </w:r>
      <w:hyperlink r:id="rId24" w:history="1">
        <w:r w:rsidRPr="0007199B">
          <w:rPr>
            <w:rStyle w:val="Hyperlink"/>
            <w:rFonts w:cstheme="minorHAnsi"/>
          </w:rPr>
          <w:t>http://www.blood.gov.au/pbm-module-2</w:t>
        </w:r>
      </w:hyperlink>
    </w:p>
    <w:p w:rsidR="00D41B7B" w:rsidRPr="001100EA" w:rsidRDefault="00D41B7B" w:rsidP="00D41B7B">
      <w:pPr>
        <w:pStyle w:val="ListParagraph"/>
        <w:ind w:left="360"/>
        <w:rPr>
          <w:rFonts w:cstheme="minorHAnsi"/>
        </w:rPr>
      </w:pPr>
    </w:p>
    <w:p w:rsidR="00D41B7B" w:rsidRDefault="00D41B7B" w:rsidP="003A5515">
      <w:pPr>
        <w:pStyle w:val="ListParagraph"/>
        <w:widowControl/>
        <w:numPr>
          <w:ilvl w:val="0"/>
          <w:numId w:val="2"/>
        </w:numPr>
        <w:spacing w:after="200"/>
        <w:ind w:left="360"/>
        <w:contextualSpacing/>
        <w:rPr>
          <w:rFonts w:cstheme="minorHAnsi"/>
        </w:rPr>
      </w:pPr>
      <w:proofErr w:type="spellStart"/>
      <w:r>
        <w:rPr>
          <w:rFonts w:cstheme="minorHAnsi"/>
        </w:rPr>
        <w:t>Ganzoni</w:t>
      </w:r>
      <w:proofErr w:type="spellEnd"/>
      <w:r>
        <w:rPr>
          <w:rFonts w:cstheme="minorHAnsi"/>
        </w:rPr>
        <w:t xml:space="preserve"> AM. </w:t>
      </w:r>
      <w:r w:rsidRPr="0007199B">
        <w:rPr>
          <w:rFonts w:cstheme="minorHAnsi"/>
        </w:rPr>
        <w:t>Intravenous iron-dextran: therapeutic</w:t>
      </w:r>
      <w:r>
        <w:rPr>
          <w:rFonts w:cstheme="minorHAnsi"/>
        </w:rPr>
        <w:t xml:space="preserve"> and experimental possibilities.</w:t>
      </w:r>
      <w:r w:rsidRPr="0007199B">
        <w:rPr>
          <w:rFonts w:cstheme="minorHAnsi"/>
        </w:rPr>
        <w:t xml:space="preserve"> </w:t>
      </w:r>
      <w:proofErr w:type="spellStart"/>
      <w:r w:rsidRPr="0007199B">
        <w:rPr>
          <w:rFonts w:cstheme="minorHAnsi"/>
        </w:rPr>
        <w:t>Schweiz</w:t>
      </w:r>
      <w:proofErr w:type="spellEnd"/>
      <w:r w:rsidRPr="0007199B">
        <w:rPr>
          <w:rFonts w:cstheme="minorHAnsi"/>
        </w:rPr>
        <w:t xml:space="preserve"> Med </w:t>
      </w:r>
      <w:proofErr w:type="spellStart"/>
      <w:r w:rsidRPr="0007199B">
        <w:rPr>
          <w:rFonts w:cstheme="minorHAnsi"/>
        </w:rPr>
        <w:t>Wochenschr</w:t>
      </w:r>
      <w:proofErr w:type="spellEnd"/>
      <w:r w:rsidRPr="0007199B">
        <w:rPr>
          <w:rFonts w:cstheme="minorHAnsi"/>
        </w:rPr>
        <w:t>. 1970</w:t>
      </w:r>
      <w:proofErr w:type="gramStart"/>
      <w:r w:rsidRPr="0007199B">
        <w:rPr>
          <w:rFonts w:cstheme="minorHAnsi"/>
        </w:rPr>
        <w:t>;100:301</w:t>
      </w:r>
      <w:proofErr w:type="gramEnd"/>
      <w:r w:rsidRPr="0007199B">
        <w:rPr>
          <w:rFonts w:cstheme="minorHAnsi"/>
        </w:rPr>
        <w:t>–303</w:t>
      </w:r>
      <w:r>
        <w:rPr>
          <w:rFonts w:cstheme="minorHAnsi"/>
        </w:rPr>
        <w:t xml:space="preserve">. Available at: </w:t>
      </w:r>
      <w:hyperlink r:id="rId25" w:history="1">
        <w:r w:rsidRPr="00390E9A">
          <w:rPr>
            <w:rStyle w:val="Hyperlink"/>
            <w:rFonts w:cstheme="minorHAnsi"/>
          </w:rPr>
          <w:t>http://www.ncbi.nlm.nih.gov/pubmed/5413918</w:t>
        </w:r>
      </w:hyperlink>
    </w:p>
    <w:p w:rsidR="00D41B7B" w:rsidRPr="001100EA" w:rsidRDefault="00D41B7B" w:rsidP="00D41B7B">
      <w:pPr>
        <w:pStyle w:val="ListParagraph"/>
        <w:ind w:left="360"/>
        <w:rPr>
          <w:rFonts w:cstheme="minorHAnsi"/>
        </w:rPr>
      </w:pPr>
    </w:p>
    <w:p w:rsidR="00D41B7B" w:rsidRDefault="00D41B7B" w:rsidP="003A5515">
      <w:pPr>
        <w:pStyle w:val="ListParagraph"/>
        <w:widowControl/>
        <w:numPr>
          <w:ilvl w:val="0"/>
          <w:numId w:val="2"/>
        </w:numPr>
        <w:spacing w:after="200"/>
        <w:ind w:left="360"/>
        <w:contextualSpacing/>
        <w:rPr>
          <w:rFonts w:cstheme="minorHAnsi"/>
        </w:rPr>
      </w:pPr>
      <w:proofErr w:type="spellStart"/>
      <w:r w:rsidRPr="00536A29">
        <w:rPr>
          <w:rFonts w:cstheme="minorHAnsi"/>
        </w:rPr>
        <w:t>Evstatiev</w:t>
      </w:r>
      <w:proofErr w:type="spellEnd"/>
      <w:r w:rsidRPr="00536A29">
        <w:rPr>
          <w:rFonts w:cstheme="minorHAnsi"/>
        </w:rPr>
        <w:t xml:space="preserve"> R, Marteau P, Iqbal T, </w:t>
      </w:r>
      <w:proofErr w:type="spellStart"/>
      <w:r w:rsidRPr="00536A29">
        <w:rPr>
          <w:rFonts w:cstheme="minorHAnsi"/>
        </w:rPr>
        <w:t>Khalif</w:t>
      </w:r>
      <w:proofErr w:type="spellEnd"/>
      <w:r w:rsidRPr="00536A29">
        <w:rPr>
          <w:rFonts w:cstheme="minorHAnsi"/>
        </w:rPr>
        <w:t xml:space="preserve"> IL, Stein J, </w:t>
      </w:r>
      <w:proofErr w:type="spellStart"/>
      <w:r w:rsidRPr="00536A29">
        <w:rPr>
          <w:rFonts w:cstheme="minorHAnsi"/>
        </w:rPr>
        <w:t>Bokemeyer</w:t>
      </w:r>
      <w:proofErr w:type="spellEnd"/>
      <w:r w:rsidRPr="00536A29">
        <w:rPr>
          <w:rFonts w:cstheme="minorHAnsi"/>
        </w:rPr>
        <w:t xml:space="preserve"> B, et </w:t>
      </w:r>
      <w:proofErr w:type="spellStart"/>
      <w:r w:rsidRPr="00536A29">
        <w:rPr>
          <w:rFonts w:cstheme="minorHAnsi"/>
        </w:rPr>
        <w:t>al;FERGI</w:t>
      </w:r>
      <w:proofErr w:type="spellEnd"/>
      <w:r w:rsidRPr="00536A29">
        <w:rPr>
          <w:rFonts w:cstheme="minorHAnsi"/>
        </w:rPr>
        <w:t xml:space="preserve"> Study Group. </w:t>
      </w:r>
      <w:proofErr w:type="spellStart"/>
      <w:r w:rsidRPr="00536A29">
        <w:rPr>
          <w:rFonts w:cstheme="minorHAnsi"/>
        </w:rPr>
        <w:t>FERGIcor</w:t>
      </w:r>
      <w:proofErr w:type="spellEnd"/>
      <w:r w:rsidRPr="00536A29">
        <w:rPr>
          <w:rFonts w:cstheme="minorHAnsi"/>
        </w:rPr>
        <w:t xml:space="preserve">, a randomized controlled trial on ferric </w:t>
      </w:r>
      <w:proofErr w:type="spellStart"/>
      <w:r w:rsidRPr="00536A29">
        <w:rPr>
          <w:rFonts w:cstheme="minorHAnsi"/>
        </w:rPr>
        <w:t>carboxymaltose</w:t>
      </w:r>
      <w:proofErr w:type="spellEnd"/>
      <w:r w:rsidRPr="00536A29">
        <w:rPr>
          <w:rFonts w:cstheme="minorHAnsi"/>
        </w:rPr>
        <w:t xml:space="preserve"> for iron deficiency </w:t>
      </w:r>
      <w:proofErr w:type="spellStart"/>
      <w:r w:rsidRPr="00536A29">
        <w:rPr>
          <w:rFonts w:cstheme="minorHAnsi"/>
        </w:rPr>
        <w:t>anemia</w:t>
      </w:r>
      <w:proofErr w:type="spellEnd"/>
      <w:r w:rsidRPr="00536A29">
        <w:rPr>
          <w:rFonts w:cstheme="minorHAnsi"/>
        </w:rPr>
        <w:t xml:space="preserve"> in inflammatory bowel disease. Gastroenterology 2011</w:t>
      </w:r>
      <w:proofErr w:type="gramStart"/>
      <w:r w:rsidRPr="00536A29">
        <w:rPr>
          <w:rFonts w:cstheme="minorHAnsi"/>
        </w:rPr>
        <w:t>;141:846</w:t>
      </w:r>
      <w:proofErr w:type="gramEnd"/>
      <w:r w:rsidRPr="00536A29">
        <w:rPr>
          <w:rFonts w:cstheme="minorHAnsi"/>
        </w:rPr>
        <w:t>-853.e2.</w:t>
      </w:r>
      <w:r>
        <w:rPr>
          <w:rFonts w:cstheme="minorHAnsi"/>
        </w:rPr>
        <w:t xml:space="preserve"> Available at: </w:t>
      </w:r>
      <w:hyperlink r:id="rId26" w:history="1">
        <w:r w:rsidRPr="00390E9A">
          <w:rPr>
            <w:rStyle w:val="Hyperlink"/>
            <w:rFonts w:cstheme="minorHAnsi"/>
          </w:rPr>
          <w:t>http://www.ncbi.nlm.nih.gov/pubmed/21699794</w:t>
        </w:r>
      </w:hyperlink>
    </w:p>
    <w:p w:rsidR="00D41B7B" w:rsidRDefault="00D41B7B" w:rsidP="00D41B7B">
      <w:pPr>
        <w:pStyle w:val="ListParagraph"/>
        <w:ind w:left="426"/>
        <w:rPr>
          <w:rFonts w:cstheme="minorHAnsi"/>
        </w:rPr>
      </w:pPr>
    </w:p>
    <w:p w:rsidR="00D41B7B" w:rsidRPr="00033E9F" w:rsidRDefault="00D41B7B" w:rsidP="003A5515">
      <w:pPr>
        <w:pStyle w:val="ListParagraph"/>
        <w:widowControl/>
        <w:numPr>
          <w:ilvl w:val="0"/>
          <w:numId w:val="2"/>
        </w:numPr>
        <w:ind w:left="426" w:hanging="426"/>
        <w:contextualSpacing/>
        <w:rPr>
          <w:rFonts w:ascii="Arial" w:hAnsi="Arial" w:cs="Arial"/>
          <w:color w:val="000000"/>
        </w:rPr>
      </w:pPr>
      <w:r w:rsidRPr="00033E9F">
        <w:rPr>
          <w:rFonts w:cstheme="minorHAnsi"/>
          <w:sz w:val="21"/>
          <w:szCs w:val="21"/>
        </w:rPr>
        <w:t>SA Maternal &amp; Neonatal Clinical Network. Policy. Clinical Guideline. South Australian Perinatal Practice Guidelines – iron infusion. Approved 10 June 2014. Available at:</w:t>
      </w:r>
      <w:r w:rsidRPr="00033E9F">
        <w:rPr>
          <w:rFonts w:ascii="Arial" w:hAnsi="Arial" w:cs="Arial"/>
        </w:rPr>
        <w:t xml:space="preserve"> </w:t>
      </w:r>
      <w:hyperlink r:id="rId27" w:history="1">
        <w:r w:rsidRPr="00033E9F">
          <w:rPr>
            <w:rStyle w:val="Hyperlink"/>
            <w:rFonts w:ascii="Arial" w:hAnsi="Arial" w:cs="Arial"/>
            <w:color w:val="0000CC"/>
          </w:rPr>
          <w:t>http://www.sahealth.sa.gov.au/wps/wcm/connect/public+content/sa+health+internet/resources/policies/iron+infusion+-+sa+perinatal+practice+guidelines</w:t>
        </w:r>
      </w:hyperlink>
      <w:r w:rsidRPr="00033E9F">
        <w:rPr>
          <w:rFonts w:ascii="Arial" w:hAnsi="Arial" w:cs="Arial"/>
          <w:color w:val="000000"/>
        </w:rPr>
        <w:t xml:space="preserve"> </w:t>
      </w:r>
      <w:r w:rsidRPr="00033E9F">
        <w:rPr>
          <w:rFonts w:ascii="Arial" w:hAnsi="Arial" w:cs="Arial"/>
        </w:rPr>
        <w:t>[accessed January 2015]</w:t>
      </w:r>
    </w:p>
    <w:p w:rsidR="00D41B7B" w:rsidRPr="00033E9F" w:rsidRDefault="00D41B7B" w:rsidP="00D41B7B">
      <w:pPr>
        <w:pStyle w:val="ListParagraph"/>
        <w:ind w:left="426"/>
        <w:rPr>
          <w:rFonts w:ascii="Arial" w:hAnsi="Arial" w:cs="Arial"/>
          <w:color w:val="000000"/>
        </w:rPr>
      </w:pPr>
    </w:p>
    <w:p w:rsidR="00D41B7B" w:rsidRPr="00AF263E" w:rsidRDefault="00D41B7B" w:rsidP="003A5515">
      <w:pPr>
        <w:pStyle w:val="ListParagraph"/>
        <w:widowControl/>
        <w:numPr>
          <w:ilvl w:val="0"/>
          <w:numId w:val="2"/>
        </w:numPr>
        <w:ind w:left="426" w:hanging="426"/>
        <w:contextualSpacing/>
      </w:pPr>
      <w:r w:rsidRPr="00E34496">
        <w:t>Fremantle Hospital and Health Service, Department of Pharm</w:t>
      </w:r>
      <w:r>
        <w:t xml:space="preserve">acy. Specialised Drug Guideline – Ferric </w:t>
      </w:r>
      <w:proofErr w:type="spellStart"/>
      <w:r>
        <w:t>Carboxymaltose</w:t>
      </w:r>
      <w:proofErr w:type="spellEnd"/>
      <w:r>
        <w:t xml:space="preserve">. Available at: </w:t>
      </w:r>
      <w:hyperlink r:id="rId28" w:history="1">
        <w:r w:rsidRPr="00033E9F">
          <w:rPr>
            <w:rStyle w:val="Hyperlink"/>
            <w:rFonts w:ascii="Arial" w:hAnsi="Arial" w:cs="Arial"/>
          </w:rPr>
          <w:t>http://www.health.wa.gov.au/bloodmanagement/docs/default.carboxy.pdf</w:t>
        </w:r>
      </w:hyperlink>
      <w:r w:rsidRPr="00033E9F">
        <w:rPr>
          <w:rFonts w:ascii="Arial" w:hAnsi="Arial" w:cs="Arial"/>
        </w:rPr>
        <w:t xml:space="preserve"> [accessed June 2014]</w:t>
      </w:r>
    </w:p>
    <w:p w:rsidR="00D41B7B" w:rsidRDefault="00D41B7B" w:rsidP="00D41B7B">
      <w:pPr>
        <w:pStyle w:val="ListParagraph"/>
        <w:ind w:left="426"/>
      </w:pPr>
    </w:p>
    <w:p w:rsidR="00D41B7B" w:rsidRPr="004D7C36" w:rsidRDefault="00D41B7B" w:rsidP="003A5515">
      <w:pPr>
        <w:pStyle w:val="ListParagraph"/>
        <w:widowControl/>
        <w:numPr>
          <w:ilvl w:val="0"/>
          <w:numId w:val="2"/>
        </w:numPr>
        <w:ind w:left="426" w:hanging="426"/>
        <w:contextualSpacing/>
        <w:rPr>
          <w:rStyle w:val="Hyperlink"/>
          <w:rFonts w:cstheme="minorHAnsi"/>
        </w:rPr>
      </w:pPr>
      <w:r w:rsidRPr="00AF263E">
        <w:rPr>
          <w:rFonts w:cstheme="minorHAnsi"/>
        </w:rPr>
        <w:t xml:space="preserve">National Prescribing Service (NPS). Ferric </w:t>
      </w:r>
      <w:proofErr w:type="spellStart"/>
      <w:r w:rsidRPr="00AF263E">
        <w:rPr>
          <w:rFonts w:cstheme="minorHAnsi"/>
        </w:rPr>
        <w:t>carboxymaltose</w:t>
      </w:r>
      <w:proofErr w:type="spellEnd"/>
      <w:r w:rsidRPr="00AF263E">
        <w:rPr>
          <w:rFonts w:cstheme="minorHAnsi"/>
        </w:rPr>
        <w:t xml:space="preserve"> (</w:t>
      </w:r>
      <w:proofErr w:type="spellStart"/>
      <w:r w:rsidRPr="00AF263E">
        <w:rPr>
          <w:rFonts w:cstheme="minorHAnsi"/>
        </w:rPr>
        <w:t>Ferinject</w:t>
      </w:r>
      <w:proofErr w:type="spellEnd"/>
      <w:r w:rsidRPr="00AF263E">
        <w:rPr>
          <w:rFonts w:cstheme="minorHAnsi"/>
        </w:rPr>
        <w:t xml:space="preserve">) for iron deficiency anaemia. NPS Radar. Published 1 August 2014. Available at: </w:t>
      </w:r>
      <w:hyperlink r:id="rId29" w:history="1">
        <w:r w:rsidRPr="00FE15CB">
          <w:rPr>
            <w:rStyle w:val="Hyperlink"/>
            <w:rFonts w:cstheme="minorHAnsi"/>
          </w:rPr>
          <w:t>http://www.nps.org.au/publications/health-professional/nps-radar/2014/july-2014/ferric-carboxymaltose</w:t>
        </w:r>
      </w:hyperlink>
    </w:p>
    <w:p w:rsidR="00D41B7B" w:rsidRPr="004D7C36" w:rsidRDefault="00D41B7B" w:rsidP="00D41B7B">
      <w:pPr>
        <w:pStyle w:val="ListParagraph"/>
        <w:ind w:left="426"/>
        <w:rPr>
          <w:rFonts w:cstheme="minorHAnsi"/>
        </w:rPr>
      </w:pPr>
    </w:p>
    <w:p w:rsidR="00D41B7B" w:rsidRPr="004D7C36" w:rsidRDefault="00D41B7B" w:rsidP="003A5515">
      <w:pPr>
        <w:pStyle w:val="ListParagraph"/>
        <w:widowControl/>
        <w:numPr>
          <w:ilvl w:val="0"/>
          <w:numId w:val="2"/>
        </w:numPr>
        <w:spacing w:after="200"/>
        <w:ind w:left="426" w:hanging="426"/>
        <w:contextualSpacing/>
        <w:rPr>
          <w:rFonts w:cstheme="minorHAnsi"/>
        </w:rPr>
      </w:pPr>
      <w:r>
        <w:br w:type="page"/>
      </w:r>
    </w:p>
    <w:p w:rsidR="00D41B7B" w:rsidRPr="00D41B7B" w:rsidRDefault="00D41B7B" w:rsidP="00D41B7B">
      <w:pPr>
        <w:pStyle w:val="Heading1"/>
        <w:ind w:hanging="567"/>
        <w:rPr>
          <w:rFonts w:ascii="TitilliumText25L" w:eastAsia="TitilliumText25L" w:hAnsi="TitilliumText25L" w:cs="TitilliumText25L"/>
          <w:color w:val="D0202E"/>
          <w:sz w:val="60"/>
          <w:szCs w:val="60"/>
        </w:rPr>
      </w:pPr>
      <w:r w:rsidRPr="00731F23">
        <w:rPr>
          <w:rFonts w:ascii="TitilliumText25L" w:eastAsia="TitilliumText25L" w:hAnsi="TitilliumText25L" w:cs="TitilliumText25L"/>
          <w:b w:val="0"/>
          <w:color w:val="D0202E"/>
          <w:position w:val="-1"/>
          <w:sz w:val="102"/>
          <w:szCs w:val="102"/>
        </w:rPr>
        <w:lastRenderedPageBreak/>
        <w:t>&gt;</w:t>
      </w:r>
      <w:r w:rsidRPr="00D41B7B">
        <w:rPr>
          <w:rFonts w:ascii="TitilliumText25L" w:eastAsia="TitilliumText25L" w:hAnsi="TitilliumText25L" w:cs="TitilliumText25L"/>
          <w:b w:val="0"/>
          <w:bCs w:val="0"/>
          <w:color w:val="D0202E"/>
          <w:sz w:val="60"/>
          <w:szCs w:val="60"/>
        </w:rPr>
        <w:t>APPENDIX 1: IRON THERAPY RESOURCES</w:t>
      </w:r>
      <w:r>
        <w:rPr>
          <w:rFonts w:ascii="TitilliumText25L" w:eastAsia="TitilliumText25L" w:hAnsi="TitilliumText25L" w:cs="TitilliumText25L"/>
          <w:b w:val="0"/>
          <w:bCs w:val="0"/>
          <w:color w:val="D0202E"/>
          <w:sz w:val="60"/>
          <w:szCs w:val="60"/>
        </w:rPr>
        <w:t xml:space="preserve"> </w:t>
      </w:r>
    </w:p>
    <w:p w:rsidR="00DE6E3B" w:rsidRPr="00DE6E3B" w:rsidRDefault="00DE6E3B" w:rsidP="00DE6E3B">
      <w:pPr>
        <w:pStyle w:val="ListParagraph"/>
        <w:spacing w:before="240"/>
        <w:rPr>
          <w:rFonts w:ascii="TitilliumText25L" w:hAnsi="TitilliumText25L" w:cs="TitilliumText25L"/>
          <w:color w:val="333740"/>
          <w:sz w:val="28"/>
          <w:szCs w:val="28"/>
        </w:rPr>
      </w:pPr>
      <w:r w:rsidRPr="00DE6E3B">
        <w:rPr>
          <w:rFonts w:ascii="TitilliumText25L" w:hAnsi="TitilliumText25L" w:cs="TitilliumText25L"/>
          <w:color w:val="333740"/>
          <w:sz w:val="28"/>
          <w:szCs w:val="28"/>
        </w:rPr>
        <w:t>Iron deficiency anaemia guidelines/references:</w:t>
      </w:r>
    </w:p>
    <w:p w:rsidR="00DE6E3B" w:rsidRPr="0007199B" w:rsidRDefault="00DE6E3B" w:rsidP="00DE6E3B">
      <w:pPr>
        <w:rPr>
          <w:rFonts w:cstheme="minorHAnsi"/>
        </w:rPr>
      </w:pPr>
      <w:proofErr w:type="spellStart"/>
      <w:r w:rsidRPr="0007199B">
        <w:rPr>
          <w:rFonts w:cstheme="minorHAnsi"/>
        </w:rPr>
        <w:t>Pasricha</w:t>
      </w:r>
      <w:proofErr w:type="spellEnd"/>
      <w:r w:rsidRPr="0007199B">
        <w:rPr>
          <w:rFonts w:cstheme="minorHAnsi"/>
        </w:rPr>
        <w:t xml:space="preserve"> SR, </w:t>
      </w:r>
      <w:proofErr w:type="spellStart"/>
      <w:r w:rsidRPr="0007199B">
        <w:rPr>
          <w:rFonts w:cstheme="minorHAnsi"/>
        </w:rPr>
        <w:t>Flecknoe</w:t>
      </w:r>
      <w:proofErr w:type="spellEnd"/>
      <w:r w:rsidRPr="0007199B">
        <w:rPr>
          <w:rFonts w:cstheme="minorHAnsi"/>
        </w:rPr>
        <w:t xml:space="preserve">-Brown SC, Allen KJ, Gibson PR, McMahon LP, Olynyk JK, et al. </w:t>
      </w:r>
      <w:hyperlink r:id="rId30" w:tgtFrame="_blank" w:tooltip="Links to www.mja.com.au" w:history="1">
        <w:r w:rsidRPr="0007199B">
          <w:rPr>
            <w:rStyle w:val="Hyperlink"/>
            <w:rFonts w:cstheme="minorHAnsi"/>
          </w:rPr>
          <w:t>Diagnosis and management of iron deficiency anaemia: a clinical update.</w:t>
        </w:r>
      </w:hyperlink>
      <w:r w:rsidRPr="0007199B">
        <w:rPr>
          <w:rFonts w:cstheme="minorHAnsi"/>
        </w:rPr>
        <w:t xml:space="preserve"> MJA 2010</w:t>
      </w:r>
      <w:proofErr w:type="gramStart"/>
      <w:r w:rsidRPr="0007199B">
        <w:rPr>
          <w:rFonts w:cstheme="minorHAnsi"/>
        </w:rPr>
        <w:t>;193:525</w:t>
      </w:r>
      <w:proofErr w:type="gramEnd"/>
      <w:r w:rsidRPr="0007199B">
        <w:rPr>
          <w:rFonts w:cstheme="minorHAnsi"/>
        </w:rPr>
        <w:t>–532.</w:t>
      </w:r>
      <w:r>
        <w:rPr>
          <w:rFonts w:cstheme="minorHAnsi"/>
        </w:rPr>
        <w:t xml:space="preserve"> </w:t>
      </w:r>
      <w:r>
        <w:rPr>
          <w:rFonts w:ascii="Arial" w:hAnsi="Arial" w:cs="Arial"/>
        </w:rPr>
        <w:t xml:space="preserve">Available at: </w:t>
      </w:r>
      <w:hyperlink r:id="rId31" w:history="1">
        <w:r>
          <w:rPr>
            <w:rStyle w:val="Hyperlink"/>
            <w:rFonts w:ascii="Arial" w:hAnsi="Arial" w:cs="Arial"/>
          </w:rPr>
          <w:t>http://www.mja.com.au</w:t>
        </w:r>
      </w:hyperlink>
    </w:p>
    <w:p w:rsidR="00DE6E3B" w:rsidRDefault="00DE6E3B" w:rsidP="00DE6E3B">
      <w:pPr>
        <w:rPr>
          <w:rFonts w:cstheme="minorHAnsi"/>
        </w:rPr>
      </w:pPr>
    </w:p>
    <w:p w:rsidR="00DE6E3B" w:rsidRPr="0007199B" w:rsidRDefault="00DE6E3B" w:rsidP="00DE6E3B">
      <w:pPr>
        <w:rPr>
          <w:rFonts w:cstheme="minorHAnsi"/>
        </w:rPr>
      </w:pPr>
      <w:proofErr w:type="gramStart"/>
      <w:r w:rsidRPr="0007199B">
        <w:rPr>
          <w:rFonts w:cstheme="minorHAnsi"/>
        </w:rPr>
        <w:t>Gastroenterological Society of Australia.</w:t>
      </w:r>
      <w:proofErr w:type="gramEnd"/>
      <w:r w:rsidRPr="0007199B">
        <w:rPr>
          <w:rFonts w:cstheme="minorHAnsi"/>
        </w:rPr>
        <w:t xml:space="preserve"> </w:t>
      </w:r>
      <w:hyperlink r:id="rId32" w:tgtFrame="_blank" w:tooltip="Links to www.gesa.org.au" w:history="1">
        <w:r w:rsidRPr="0007199B">
          <w:rPr>
            <w:rStyle w:val="Hyperlink"/>
            <w:rFonts w:cstheme="minorHAnsi"/>
          </w:rPr>
          <w:t>Clinical update: Iron deficiency, First Edition.</w:t>
        </w:r>
      </w:hyperlink>
      <w:r w:rsidRPr="0007199B">
        <w:rPr>
          <w:rFonts w:cstheme="minorHAnsi"/>
        </w:rPr>
        <w:t xml:space="preserve"> </w:t>
      </w:r>
      <w:proofErr w:type="gramStart"/>
      <w:r w:rsidRPr="0007199B">
        <w:rPr>
          <w:rFonts w:cstheme="minorHAnsi"/>
        </w:rPr>
        <w:t>Sydney, Australia, Digestive Health Foundation, 2008.</w:t>
      </w:r>
      <w:proofErr w:type="gramEnd"/>
      <w:r>
        <w:rPr>
          <w:rFonts w:cstheme="minorHAnsi"/>
        </w:rPr>
        <w:t xml:space="preserve"> </w:t>
      </w:r>
      <w:r>
        <w:rPr>
          <w:rFonts w:ascii="Arial" w:hAnsi="Arial" w:cs="Arial"/>
        </w:rPr>
        <w:t xml:space="preserve">Available at: </w:t>
      </w:r>
      <w:hyperlink r:id="rId33" w:history="1">
        <w:r>
          <w:rPr>
            <w:rStyle w:val="Hyperlink"/>
            <w:rFonts w:ascii="Arial" w:hAnsi="Arial" w:cs="Arial"/>
          </w:rPr>
          <w:t>http://www.gesa.org.au</w:t>
        </w:r>
      </w:hyperlink>
    </w:p>
    <w:p w:rsidR="00DE6E3B" w:rsidRDefault="00DE6E3B" w:rsidP="00DE6E3B">
      <w:pPr>
        <w:rPr>
          <w:rFonts w:cstheme="minorHAnsi"/>
        </w:rPr>
      </w:pPr>
    </w:p>
    <w:p w:rsidR="00DE6E3B" w:rsidRDefault="00DE6E3B" w:rsidP="00DE6E3B">
      <w:pPr>
        <w:rPr>
          <w:rFonts w:cstheme="minorHAnsi"/>
        </w:rPr>
      </w:pPr>
      <w:r w:rsidRPr="0007199B">
        <w:rPr>
          <w:rFonts w:cstheme="minorHAnsi"/>
        </w:rPr>
        <w:t xml:space="preserve">Goddard AF, James MW, McIntyre AS, Scott BB on behalf of the British Society of Gastroenterology. </w:t>
      </w:r>
      <w:hyperlink r:id="rId34" w:tgtFrame="_blank" w:tooltip="Links to www.bsg.org.uk" w:history="1">
        <w:r w:rsidRPr="0007199B">
          <w:rPr>
            <w:rStyle w:val="Hyperlink"/>
            <w:rFonts w:cstheme="minorHAnsi"/>
          </w:rPr>
          <w:t>Guidelines for the management of iron deficiency anaemia.</w:t>
        </w:r>
      </w:hyperlink>
      <w:r w:rsidRPr="0007199B">
        <w:rPr>
          <w:rFonts w:cstheme="minorHAnsi"/>
        </w:rPr>
        <w:t xml:space="preserve"> Gut 2011</w:t>
      </w:r>
      <w:proofErr w:type="gramStart"/>
      <w:r w:rsidRPr="0007199B">
        <w:rPr>
          <w:rFonts w:cstheme="minorHAnsi"/>
        </w:rPr>
        <w:t>;60:1309</w:t>
      </w:r>
      <w:proofErr w:type="gramEnd"/>
      <w:r w:rsidRPr="0007199B">
        <w:rPr>
          <w:rFonts w:cstheme="minorHAnsi"/>
        </w:rPr>
        <w:t>–1316</w:t>
      </w:r>
      <w:r>
        <w:rPr>
          <w:rFonts w:cstheme="minorHAnsi"/>
        </w:rPr>
        <w:t xml:space="preserve">. </w:t>
      </w:r>
      <w:r>
        <w:rPr>
          <w:rFonts w:ascii="Arial" w:hAnsi="Arial" w:cs="Arial"/>
        </w:rPr>
        <w:t xml:space="preserve">Available at: </w:t>
      </w:r>
      <w:hyperlink r:id="rId35" w:history="1">
        <w:r>
          <w:rPr>
            <w:rStyle w:val="Hyperlink"/>
            <w:rFonts w:ascii="Arial" w:hAnsi="Arial" w:cs="Arial"/>
          </w:rPr>
          <w:t>http://www.bsg.org.uk</w:t>
        </w:r>
      </w:hyperlink>
    </w:p>
    <w:p w:rsidR="00DE6E3B" w:rsidRDefault="00DE6E3B" w:rsidP="00DE6E3B">
      <w:pPr>
        <w:rPr>
          <w:rFonts w:cstheme="minorHAnsi"/>
        </w:rPr>
      </w:pPr>
    </w:p>
    <w:p w:rsidR="00DE6E3B" w:rsidRPr="007865D6" w:rsidRDefault="00DE6E3B" w:rsidP="00DE6E3B">
      <w:pPr>
        <w:rPr>
          <w:rFonts w:cstheme="minorHAnsi"/>
        </w:rPr>
      </w:pPr>
      <w:proofErr w:type="spellStart"/>
      <w:proofErr w:type="gramStart"/>
      <w:r w:rsidRPr="007865D6">
        <w:rPr>
          <w:rFonts w:cstheme="minorHAnsi"/>
        </w:rPr>
        <w:t>Pavord</w:t>
      </w:r>
      <w:proofErr w:type="spellEnd"/>
      <w:r w:rsidRPr="007865D6">
        <w:rPr>
          <w:rFonts w:cstheme="minorHAnsi"/>
        </w:rPr>
        <w:t>, S., Myers, B., Robinson, S., Allard, S., Strong, J., Oppenheimer, C. and on</w:t>
      </w:r>
      <w:r w:rsidRPr="007865D6">
        <w:rPr>
          <w:lang w:val="en"/>
        </w:rPr>
        <w:t xml:space="preserve"> behalf of the British Committee for Standards in </w:t>
      </w:r>
      <w:proofErr w:type="spellStart"/>
      <w:r w:rsidRPr="007865D6">
        <w:rPr>
          <w:lang w:val="en"/>
        </w:rPr>
        <w:t>Haematology</w:t>
      </w:r>
      <w:proofErr w:type="spellEnd"/>
      <w:r w:rsidRPr="007865D6">
        <w:rPr>
          <w:lang w:val="en"/>
        </w:rPr>
        <w:t>.</w:t>
      </w:r>
      <w:proofErr w:type="gramEnd"/>
      <w:r w:rsidRPr="007865D6">
        <w:rPr>
          <w:lang w:val="en"/>
        </w:rPr>
        <w:t xml:space="preserve"> </w:t>
      </w:r>
      <w:hyperlink r:id="rId36" w:history="1">
        <w:proofErr w:type="gramStart"/>
        <w:r w:rsidRPr="007865D6">
          <w:rPr>
            <w:rStyle w:val="Hyperlink"/>
            <w:lang w:val="en"/>
          </w:rPr>
          <w:t>UK guidelines on the management of iron deficiency in pregnancy</w:t>
        </w:r>
      </w:hyperlink>
      <w:r w:rsidRPr="007865D6">
        <w:rPr>
          <w:lang w:val="en"/>
        </w:rPr>
        <w:t>.</w:t>
      </w:r>
      <w:proofErr w:type="gramEnd"/>
      <w:r w:rsidRPr="007865D6">
        <w:rPr>
          <w:lang w:val="en"/>
        </w:rPr>
        <w:t xml:space="preserve"> British Journal of </w:t>
      </w:r>
      <w:proofErr w:type="spellStart"/>
      <w:r w:rsidRPr="007865D6">
        <w:rPr>
          <w:lang w:val="en"/>
        </w:rPr>
        <w:t>Haematology</w:t>
      </w:r>
      <w:proofErr w:type="spellEnd"/>
      <w:r w:rsidRPr="007865D6">
        <w:rPr>
          <w:lang w:val="en"/>
        </w:rPr>
        <w:t xml:space="preserve"> 2012</w:t>
      </w:r>
      <w:proofErr w:type="gramStart"/>
      <w:r w:rsidRPr="007865D6">
        <w:rPr>
          <w:lang w:val="en"/>
        </w:rPr>
        <w:t>;156:588</w:t>
      </w:r>
      <w:proofErr w:type="gramEnd"/>
      <w:r w:rsidRPr="007865D6">
        <w:rPr>
          <w:lang w:val="en"/>
        </w:rPr>
        <w:t xml:space="preserve">–600. Available at: </w:t>
      </w:r>
      <w:hyperlink r:id="rId37" w:history="1">
        <w:r w:rsidRPr="007865D6">
          <w:rPr>
            <w:rStyle w:val="Hyperlink"/>
            <w:lang w:val="en"/>
          </w:rPr>
          <w:t>http://www.bcshguidelines.com</w:t>
        </w:r>
      </w:hyperlink>
    </w:p>
    <w:p w:rsidR="00DE6E3B" w:rsidRDefault="00DE6E3B" w:rsidP="00DE6E3B">
      <w:pPr>
        <w:contextualSpacing/>
        <w:rPr>
          <w:rFonts w:ascii="Arial" w:hAnsi="Arial" w:cs="Arial"/>
        </w:rPr>
      </w:pPr>
    </w:p>
    <w:p w:rsidR="00DE6E3B" w:rsidRDefault="00DE6E3B" w:rsidP="00DE6E3B">
      <w:pPr>
        <w:contextualSpacing/>
        <w:rPr>
          <w:rStyle w:val="Hyperlink"/>
          <w:rFonts w:ascii="Arial" w:hAnsi="Arial" w:cs="Arial"/>
        </w:rPr>
      </w:pPr>
      <w:proofErr w:type="spellStart"/>
      <w:r>
        <w:rPr>
          <w:rFonts w:ascii="Arial" w:hAnsi="Arial" w:cs="Arial"/>
        </w:rPr>
        <w:t>Minck</w:t>
      </w:r>
      <w:proofErr w:type="spellEnd"/>
      <w:r>
        <w:rPr>
          <w:rFonts w:ascii="Arial" w:hAnsi="Arial" w:cs="Arial"/>
        </w:rPr>
        <w:t xml:space="preserve"> S, Robinson K ,Saxon B, </w:t>
      </w:r>
      <w:proofErr w:type="spellStart"/>
      <w:r>
        <w:rPr>
          <w:rFonts w:ascii="Arial" w:hAnsi="Arial" w:cs="Arial"/>
        </w:rPr>
        <w:t>Spigiel</w:t>
      </w:r>
      <w:proofErr w:type="spellEnd"/>
      <w:r>
        <w:rPr>
          <w:rFonts w:ascii="Arial" w:hAnsi="Arial" w:cs="Arial"/>
        </w:rPr>
        <w:t xml:space="preserve"> T, Thomson A. </w:t>
      </w:r>
      <w:hyperlink r:id="rId38" w:history="1">
        <w:r>
          <w:rPr>
            <w:rStyle w:val="Hyperlink"/>
            <w:rFonts w:ascii="Arial" w:hAnsi="Arial" w:cs="Arial"/>
          </w:rPr>
          <w:t>Patient Blood Management the GP’s guide</w:t>
        </w:r>
      </w:hyperlink>
      <w:r>
        <w:rPr>
          <w:rFonts w:ascii="Arial" w:hAnsi="Arial" w:cs="Arial"/>
        </w:rPr>
        <w:t xml:space="preserve">. Australian Family Physician </w:t>
      </w:r>
      <w:r w:rsidRPr="00175F6F">
        <w:rPr>
          <w:rFonts w:ascii="Arial" w:hAnsi="Arial" w:cs="Arial"/>
        </w:rPr>
        <w:t>2013</w:t>
      </w:r>
      <w:proofErr w:type="gramStart"/>
      <w:r>
        <w:rPr>
          <w:rFonts w:ascii="Arial" w:hAnsi="Arial" w:cs="Arial"/>
        </w:rPr>
        <w:t>;42:291</w:t>
      </w:r>
      <w:proofErr w:type="gramEnd"/>
      <w:r>
        <w:rPr>
          <w:rFonts w:ascii="Arial" w:hAnsi="Arial" w:cs="Arial"/>
        </w:rPr>
        <w:t xml:space="preserve">-297. Available at: </w:t>
      </w:r>
      <w:hyperlink r:id="rId39" w:history="1">
        <w:r>
          <w:rPr>
            <w:rStyle w:val="Hyperlink"/>
            <w:rFonts w:ascii="Arial" w:hAnsi="Arial" w:cs="Arial"/>
          </w:rPr>
          <w:t>http://www.racgp.org.au/afp</w:t>
        </w:r>
      </w:hyperlink>
    </w:p>
    <w:p w:rsidR="00DE6E3B" w:rsidRDefault="00DE6E3B" w:rsidP="00DE6E3B"/>
    <w:p w:rsidR="00DE6E3B" w:rsidRPr="00DE6E3B" w:rsidRDefault="00DE6E3B" w:rsidP="00DE6E3B">
      <w:pPr>
        <w:pStyle w:val="ListParagraph"/>
        <w:spacing w:before="240"/>
        <w:rPr>
          <w:rFonts w:ascii="TitilliumText25L" w:hAnsi="TitilliumText25L" w:cs="TitilliumText25L"/>
          <w:color w:val="333740"/>
          <w:sz w:val="28"/>
          <w:szCs w:val="28"/>
        </w:rPr>
      </w:pPr>
      <w:r w:rsidRPr="00DE6E3B">
        <w:rPr>
          <w:rFonts w:ascii="TitilliumText25L" w:hAnsi="TitilliumText25L" w:cs="TitilliumText25L"/>
          <w:color w:val="333740"/>
          <w:sz w:val="28"/>
          <w:szCs w:val="28"/>
        </w:rPr>
        <w:t>Iron deficiency anaemia education/information/tools:</w:t>
      </w:r>
    </w:p>
    <w:p w:rsidR="00DE6E3B" w:rsidRDefault="00DE6E3B" w:rsidP="00DE6E3B">
      <w:pPr>
        <w:rPr>
          <w:rFonts w:cstheme="minorHAnsi"/>
        </w:rPr>
      </w:pPr>
      <w:proofErr w:type="spellStart"/>
      <w:r w:rsidRPr="0007199B">
        <w:rPr>
          <w:rFonts w:cstheme="minorHAnsi"/>
        </w:rPr>
        <w:t>BloodSafe</w:t>
      </w:r>
      <w:proofErr w:type="spellEnd"/>
      <w:r w:rsidRPr="0007199B">
        <w:rPr>
          <w:rFonts w:cstheme="minorHAnsi"/>
        </w:rPr>
        <w:t xml:space="preserve"> </w:t>
      </w:r>
      <w:r>
        <w:rPr>
          <w:rFonts w:cstheme="minorHAnsi"/>
        </w:rPr>
        <w:t>eLearning Australia:</w:t>
      </w:r>
    </w:p>
    <w:p w:rsidR="00DE6E3B" w:rsidRDefault="00D91A9C" w:rsidP="00DE6E3B">
      <w:pPr>
        <w:pStyle w:val="ListParagraph"/>
        <w:widowControl/>
        <w:numPr>
          <w:ilvl w:val="0"/>
          <w:numId w:val="11"/>
        </w:numPr>
        <w:contextualSpacing/>
        <w:rPr>
          <w:rFonts w:cstheme="minorHAnsi"/>
        </w:rPr>
      </w:pPr>
      <w:hyperlink r:id="rId40" w:history="1">
        <w:r w:rsidR="00DE6E3B" w:rsidRPr="00520B45">
          <w:rPr>
            <w:rStyle w:val="Hyperlink"/>
            <w:rFonts w:cstheme="minorHAnsi"/>
          </w:rPr>
          <w:t>Iron deficiency anaemia algorithm app</w:t>
        </w:r>
      </w:hyperlink>
      <w:r w:rsidR="00DE6E3B" w:rsidRPr="00520B45">
        <w:rPr>
          <w:rFonts w:cstheme="minorHAnsi"/>
        </w:rPr>
        <w:t xml:space="preserve"> (iPhone, iPad, Android)</w:t>
      </w:r>
    </w:p>
    <w:p w:rsidR="00DE6E3B" w:rsidRPr="00520B45" w:rsidRDefault="00D91A9C" w:rsidP="00DE6E3B">
      <w:pPr>
        <w:pStyle w:val="ListParagraph"/>
        <w:widowControl/>
        <w:numPr>
          <w:ilvl w:val="0"/>
          <w:numId w:val="11"/>
        </w:numPr>
        <w:contextualSpacing/>
        <w:rPr>
          <w:rFonts w:cstheme="minorHAnsi"/>
        </w:rPr>
      </w:pPr>
      <w:hyperlink r:id="rId41" w:history="1">
        <w:r w:rsidR="00DE6E3B">
          <w:rPr>
            <w:rStyle w:val="Hyperlink"/>
            <w:rFonts w:cstheme="minorHAnsi"/>
          </w:rPr>
          <w:t>I</w:t>
        </w:r>
        <w:r w:rsidR="00DE6E3B" w:rsidRPr="00520B45">
          <w:rPr>
            <w:rStyle w:val="Hyperlink"/>
            <w:rFonts w:cstheme="minorHAnsi"/>
          </w:rPr>
          <w:t xml:space="preserve">ron deficiency anaemia </w:t>
        </w:r>
      </w:hyperlink>
      <w:r w:rsidR="00DE6E3B" w:rsidRPr="00520B45">
        <w:rPr>
          <w:rFonts w:cstheme="minorHAnsi"/>
        </w:rPr>
        <w:t>course</w:t>
      </w:r>
    </w:p>
    <w:p w:rsidR="00DE6E3B" w:rsidRDefault="00DE6E3B" w:rsidP="00DE6E3B">
      <w:r>
        <w:rPr>
          <w:rFonts w:ascii="Arial" w:hAnsi="Arial" w:cs="Arial"/>
        </w:rPr>
        <w:t xml:space="preserve">Available at: </w:t>
      </w:r>
      <w:hyperlink r:id="rId42" w:history="1">
        <w:r w:rsidRPr="00270D64">
          <w:rPr>
            <w:rStyle w:val="Hyperlink"/>
          </w:rPr>
          <w:t>https://www.bloodsafelearning.org.au</w:t>
        </w:r>
      </w:hyperlink>
    </w:p>
    <w:p w:rsidR="00DE6E3B" w:rsidRDefault="00DE6E3B" w:rsidP="00DE6E3B"/>
    <w:p w:rsidR="00DE6E3B" w:rsidRDefault="00DE6E3B" w:rsidP="00DE6E3B">
      <w:pPr>
        <w:rPr>
          <w:rStyle w:val="Hyperlink"/>
          <w:rFonts w:cstheme="minorHAnsi"/>
        </w:rPr>
      </w:pPr>
      <w:r>
        <w:rPr>
          <w:rFonts w:cstheme="minorHAnsi"/>
        </w:rPr>
        <w:t xml:space="preserve">Australian Red Cross </w:t>
      </w:r>
      <w:r w:rsidRPr="0007199B">
        <w:rPr>
          <w:rFonts w:cstheme="minorHAnsi"/>
        </w:rPr>
        <w:t xml:space="preserve">Blood Service information about </w:t>
      </w:r>
      <w:hyperlink r:id="rId43" w:history="1">
        <w:r w:rsidRPr="0007199B">
          <w:rPr>
            <w:rStyle w:val="Hyperlink"/>
            <w:rFonts w:cstheme="minorHAnsi"/>
          </w:rPr>
          <w:t>Iron deficiency anaemia</w:t>
        </w:r>
      </w:hyperlink>
      <w:r>
        <w:rPr>
          <w:rStyle w:val="Hyperlink"/>
          <w:rFonts w:cstheme="minorHAnsi"/>
        </w:rPr>
        <w:t>:</w:t>
      </w:r>
    </w:p>
    <w:p w:rsidR="00DE6E3B" w:rsidRDefault="00D91A9C" w:rsidP="00DE6E3B">
      <w:pPr>
        <w:pStyle w:val="ListParagraph"/>
        <w:widowControl/>
        <w:numPr>
          <w:ilvl w:val="0"/>
          <w:numId w:val="10"/>
        </w:numPr>
        <w:contextualSpacing/>
        <w:rPr>
          <w:rFonts w:cstheme="minorHAnsi"/>
        </w:rPr>
      </w:pPr>
      <w:hyperlink r:id="rId44" w:history="1">
        <w:r w:rsidR="00DE6E3B" w:rsidRPr="009566F3">
          <w:rPr>
            <w:rStyle w:val="Hyperlink"/>
            <w:rFonts w:cstheme="minorHAnsi"/>
          </w:rPr>
          <w:t>Treatment Options for Iron Deficiency Anaemia</w:t>
        </w:r>
      </w:hyperlink>
      <w:r w:rsidR="00DE6E3B" w:rsidRPr="009566F3">
        <w:rPr>
          <w:rFonts w:cstheme="minorHAnsi"/>
        </w:rPr>
        <w:t xml:space="preserve"> </w:t>
      </w:r>
    </w:p>
    <w:p w:rsidR="00DE6E3B" w:rsidRPr="009566F3" w:rsidRDefault="00D91A9C" w:rsidP="00DE6E3B">
      <w:pPr>
        <w:pStyle w:val="ListParagraph"/>
        <w:widowControl/>
        <w:numPr>
          <w:ilvl w:val="0"/>
          <w:numId w:val="10"/>
        </w:numPr>
        <w:contextualSpacing/>
        <w:rPr>
          <w:rFonts w:cstheme="minorHAnsi"/>
        </w:rPr>
      </w:pPr>
      <w:hyperlink r:id="rId45" w:history="1">
        <w:r w:rsidR="00DE6E3B" w:rsidRPr="009566F3">
          <w:rPr>
            <w:rStyle w:val="Hyperlink"/>
            <w:rFonts w:eastAsia="Times New Roman" w:cstheme="minorHAnsi"/>
            <w:bCs/>
            <w:lang w:eastAsia="en-AU"/>
          </w:rPr>
          <w:t>Major Reasons for Inadequate Response to Oral Iron Therapy</w:t>
        </w:r>
      </w:hyperlink>
    </w:p>
    <w:p w:rsidR="00DE6E3B" w:rsidRPr="009566F3" w:rsidRDefault="00D91A9C" w:rsidP="00DE6E3B">
      <w:pPr>
        <w:pStyle w:val="ListParagraph"/>
        <w:widowControl/>
        <w:numPr>
          <w:ilvl w:val="0"/>
          <w:numId w:val="10"/>
        </w:numPr>
        <w:contextualSpacing/>
        <w:rPr>
          <w:rFonts w:cstheme="minorHAnsi"/>
        </w:rPr>
      </w:pPr>
      <w:hyperlink r:id="rId46" w:history="1">
        <w:r w:rsidR="00DE6E3B" w:rsidRPr="009566F3">
          <w:rPr>
            <w:rStyle w:val="Hyperlink"/>
            <w:rFonts w:eastAsia="Times New Roman" w:cstheme="minorHAnsi"/>
            <w:bCs/>
            <w:lang w:eastAsia="en-AU"/>
          </w:rPr>
          <w:t>Oral Iron Therapy Interactions and Management</w:t>
        </w:r>
      </w:hyperlink>
    </w:p>
    <w:p w:rsidR="00DE6E3B" w:rsidRPr="009566F3" w:rsidRDefault="00D91A9C" w:rsidP="00DE6E3B">
      <w:pPr>
        <w:pStyle w:val="ListParagraph"/>
        <w:widowControl/>
        <w:numPr>
          <w:ilvl w:val="0"/>
          <w:numId w:val="10"/>
        </w:numPr>
        <w:contextualSpacing/>
        <w:rPr>
          <w:rFonts w:cstheme="minorHAnsi"/>
        </w:rPr>
      </w:pPr>
      <w:hyperlink r:id="rId47" w:history="1">
        <w:r w:rsidR="00DE6E3B" w:rsidRPr="009566F3">
          <w:rPr>
            <w:rStyle w:val="Hyperlink"/>
            <w:rFonts w:eastAsia="Times New Roman" w:cstheme="minorHAnsi"/>
            <w:bCs/>
            <w:lang w:eastAsia="en-AU"/>
          </w:rPr>
          <w:t>Oral Iron Therapy Side Effects and Management</w:t>
        </w:r>
      </w:hyperlink>
    </w:p>
    <w:p w:rsidR="00DE6E3B" w:rsidRPr="009566F3" w:rsidRDefault="00D91A9C" w:rsidP="00DE6E3B">
      <w:pPr>
        <w:pStyle w:val="ListParagraph"/>
        <w:widowControl/>
        <w:numPr>
          <w:ilvl w:val="0"/>
          <w:numId w:val="10"/>
        </w:numPr>
        <w:contextualSpacing/>
        <w:rPr>
          <w:rFonts w:cstheme="minorHAnsi"/>
        </w:rPr>
      </w:pPr>
      <w:hyperlink r:id="rId48" w:history="1">
        <w:r w:rsidR="00DE6E3B" w:rsidRPr="009566F3">
          <w:rPr>
            <w:rStyle w:val="Hyperlink"/>
            <w:rFonts w:eastAsia="Times New Roman" w:cstheme="minorHAnsi"/>
            <w:bCs/>
            <w:lang w:eastAsia="en-AU"/>
          </w:rPr>
          <w:t>Spectrum of iron deficiency</w:t>
        </w:r>
      </w:hyperlink>
    </w:p>
    <w:p w:rsidR="00DE6E3B" w:rsidRDefault="00DE6E3B" w:rsidP="00DE6E3B">
      <w:pPr>
        <w:rPr>
          <w:rFonts w:cstheme="minorHAnsi"/>
        </w:rPr>
      </w:pPr>
      <w:r>
        <w:rPr>
          <w:rFonts w:cstheme="minorHAnsi"/>
        </w:rPr>
        <w:t xml:space="preserve">Available at: </w:t>
      </w:r>
      <w:hyperlink r:id="rId49" w:history="1">
        <w:r w:rsidRPr="00270D64">
          <w:rPr>
            <w:rStyle w:val="Hyperlink"/>
            <w:rFonts w:cstheme="minorHAnsi"/>
          </w:rPr>
          <w:t>http://www.transfusion.com.au</w:t>
        </w:r>
      </w:hyperlink>
    </w:p>
    <w:p w:rsidR="00DE6E3B" w:rsidRDefault="00DE6E3B" w:rsidP="00DE6E3B"/>
    <w:p w:rsidR="00DE6E3B" w:rsidRDefault="00DE6E3B" w:rsidP="00DE6E3B"/>
    <w:p w:rsidR="00DE6E3B" w:rsidRPr="00BF15A5" w:rsidRDefault="00DE6E3B" w:rsidP="00DE6E3B">
      <w:pPr>
        <w:jc w:val="both"/>
        <w:rPr>
          <w:rFonts w:cstheme="minorHAnsi"/>
          <w:b/>
        </w:rPr>
      </w:pPr>
      <w:r w:rsidRPr="00BF15A5">
        <w:rPr>
          <w:rFonts w:cstheme="minorHAnsi"/>
          <w:b/>
        </w:rPr>
        <w:t>Intravenous iron references</w:t>
      </w:r>
    </w:p>
    <w:p w:rsidR="00DE6E3B" w:rsidRPr="006D02B3" w:rsidRDefault="00DE6E3B" w:rsidP="00DE6E3B">
      <w:pPr>
        <w:rPr>
          <w:rFonts w:cstheme="minorHAnsi"/>
        </w:rPr>
      </w:pPr>
      <w:r w:rsidRPr="006D02B3">
        <w:rPr>
          <w:rFonts w:cstheme="minorHAnsi"/>
        </w:rPr>
        <w:t>Product information for intravenous iron preparations available in Australia</w:t>
      </w:r>
      <w:r>
        <w:rPr>
          <w:rFonts w:cstheme="minorHAnsi"/>
        </w:rPr>
        <w:t>:</w:t>
      </w:r>
    </w:p>
    <w:p w:rsidR="00DE6E3B" w:rsidRPr="00880498" w:rsidRDefault="00DE6E3B" w:rsidP="00DE6E3B">
      <w:pPr>
        <w:pStyle w:val="ListParagraph"/>
        <w:widowControl/>
        <w:numPr>
          <w:ilvl w:val="0"/>
          <w:numId w:val="9"/>
        </w:numPr>
        <w:contextualSpacing/>
        <w:rPr>
          <w:rFonts w:cstheme="minorHAnsi"/>
        </w:rPr>
      </w:pPr>
      <w:r>
        <w:rPr>
          <w:rFonts w:cstheme="minorHAnsi"/>
        </w:rPr>
        <w:t>Ferric</w:t>
      </w:r>
      <w:r w:rsidRPr="0007199B">
        <w:rPr>
          <w:rFonts w:cstheme="minorHAnsi"/>
        </w:rPr>
        <w:t xml:space="preserve"> </w:t>
      </w:r>
      <w:proofErr w:type="spellStart"/>
      <w:r w:rsidRPr="0007199B">
        <w:rPr>
          <w:rFonts w:cstheme="minorHAnsi"/>
        </w:rPr>
        <w:t>carboxymaltose</w:t>
      </w:r>
      <w:proofErr w:type="spellEnd"/>
      <w:r w:rsidRPr="0007199B">
        <w:rPr>
          <w:rFonts w:cstheme="minorHAnsi"/>
        </w:rPr>
        <w:t xml:space="preserve">: </w:t>
      </w:r>
      <w:hyperlink r:id="rId50" w:history="1">
        <w:proofErr w:type="spellStart"/>
        <w:r w:rsidRPr="00880498">
          <w:rPr>
            <w:rStyle w:val="Hyperlink"/>
            <w:rFonts w:cstheme="minorHAnsi"/>
          </w:rPr>
          <w:t>Ferinject</w:t>
        </w:r>
        <w:proofErr w:type="spellEnd"/>
        <w:r w:rsidRPr="00880498">
          <w:rPr>
            <w:rStyle w:val="Hyperlink"/>
            <w:rFonts w:cstheme="minorHAnsi"/>
          </w:rPr>
          <w:t>®</w:t>
        </w:r>
      </w:hyperlink>
    </w:p>
    <w:p w:rsidR="00DE6E3B" w:rsidRPr="00880498" w:rsidRDefault="00DE6E3B" w:rsidP="00DE6E3B">
      <w:pPr>
        <w:pStyle w:val="ListParagraph"/>
        <w:widowControl/>
        <w:numPr>
          <w:ilvl w:val="0"/>
          <w:numId w:val="9"/>
        </w:numPr>
        <w:contextualSpacing/>
        <w:rPr>
          <w:sz w:val="20"/>
          <w:szCs w:val="20"/>
        </w:rPr>
      </w:pPr>
      <w:r w:rsidRPr="0007199B">
        <w:rPr>
          <w:rFonts w:cstheme="minorHAnsi"/>
        </w:rPr>
        <w:t xml:space="preserve">Iron </w:t>
      </w:r>
      <w:proofErr w:type="spellStart"/>
      <w:r w:rsidRPr="0007199B">
        <w:rPr>
          <w:rFonts w:cstheme="minorHAnsi"/>
        </w:rPr>
        <w:t>polymaltose</w:t>
      </w:r>
      <w:proofErr w:type="spellEnd"/>
      <w:r w:rsidRPr="0007199B">
        <w:rPr>
          <w:rFonts w:cstheme="minorHAnsi"/>
        </w:rPr>
        <w:t xml:space="preserve">: </w:t>
      </w:r>
      <w:hyperlink r:id="rId51" w:history="1">
        <w:proofErr w:type="spellStart"/>
        <w:r w:rsidRPr="00880498">
          <w:rPr>
            <w:rStyle w:val="Hyperlink"/>
          </w:rPr>
          <w:t>Ferrosig</w:t>
        </w:r>
        <w:proofErr w:type="spellEnd"/>
        <w:r w:rsidRPr="00880498">
          <w:rPr>
            <w:rStyle w:val="Hyperlink"/>
            <w:rFonts w:cstheme="minorHAnsi"/>
          </w:rPr>
          <w:t>®</w:t>
        </w:r>
      </w:hyperlink>
      <w:r>
        <w:t xml:space="preserve"> and </w:t>
      </w:r>
      <w:hyperlink r:id="rId52" w:history="1">
        <w:proofErr w:type="spellStart"/>
        <w:r w:rsidRPr="00880498">
          <w:rPr>
            <w:rStyle w:val="Hyperlink"/>
            <w:rFonts w:cstheme="minorHAnsi"/>
          </w:rPr>
          <w:t>Ferrum</w:t>
        </w:r>
        <w:proofErr w:type="spellEnd"/>
        <w:r w:rsidRPr="00880498">
          <w:rPr>
            <w:rStyle w:val="Hyperlink"/>
            <w:rFonts w:cstheme="minorHAnsi"/>
          </w:rPr>
          <w:t xml:space="preserve"> H®</w:t>
        </w:r>
      </w:hyperlink>
    </w:p>
    <w:p w:rsidR="00DE6E3B" w:rsidRPr="00F5593F" w:rsidRDefault="00DE6E3B" w:rsidP="00DE6E3B">
      <w:pPr>
        <w:pStyle w:val="ListParagraph"/>
        <w:widowControl/>
        <w:numPr>
          <w:ilvl w:val="0"/>
          <w:numId w:val="9"/>
        </w:numPr>
        <w:contextualSpacing/>
        <w:rPr>
          <w:sz w:val="20"/>
          <w:szCs w:val="20"/>
        </w:rPr>
      </w:pPr>
      <w:r w:rsidRPr="0007199B">
        <w:t xml:space="preserve">Iron sucrose: </w:t>
      </w:r>
      <w:hyperlink r:id="rId53" w:history="1">
        <w:proofErr w:type="spellStart"/>
        <w:r w:rsidRPr="00880498">
          <w:rPr>
            <w:rStyle w:val="Hyperlink"/>
            <w:rFonts w:cstheme="minorHAnsi"/>
          </w:rPr>
          <w:t>Venofer</w:t>
        </w:r>
        <w:proofErr w:type="spellEnd"/>
        <w:r w:rsidRPr="00880498">
          <w:rPr>
            <w:rStyle w:val="Hyperlink"/>
            <w:rFonts w:cstheme="minorHAnsi"/>
          </w:rPr>
          <w:t>®</w:t>
        </w:r>
      </w:hyperlink>
    </w:p>
    <w:p w:rsidR="00DE6E3B" w:rsidRDefault="00DE6E3B" w:rsidP="00DE6E3B">
      <w:pPr>
        <w:rPr>
          <w:rFonts w:ascii="Arial" w:hAnsi="Arial" w:cs="Arial"/>
        </w:rPr>
      </w:pPr>
      <w:r>
        <w:rPr>
          <w:rFonts w:cstheme="minorHAnsi"/>
        </w:rPr>
        <w:t xml:space="preserve">Available at: </w:t>
      </w:r>
      <w:hyperlink r:id="rId54" w:history="1">
        <w:r>
          <w:rPr>
            <w:rStyle w:val="Hyperlink"/>
            <w:rFonts w:ascii="Arial" w:hAnsi="Arial" w:cs="Arial"/>
          </w:rPr>
          <w:t>http://www.ebs.tga.gov.au</w:t>
        </w:r>
      </w:hyperlink>
    </w:p>
    <w:p w:rsidR="00DE6E3B" w:rsidRPr="005D42D6" w:rsidRDefault="00DE6E3B" w:rsidP="00DE6E3B">
      <w:pPr>
        <w:pStyle w:val="ListParagraph"/>
        <w:rPr>
          <w:rFonts w:cstheme="minorHAnsi"/>
        </w:rPr>
      </w:pPr>
    </w:p>
    <w:p w:rsidR="00DE6E3B" w:rsidRDefault="00DE6E3B" w:rsidP="00DE6E3B">
      <w:pPr>
        <w:rPr>
          <w:rFonts w:cstheme="minorHAnsi"/>
        </w:rPr>
      </w:pPr>
      <w:r w:rsidRPr="00952461">
        <w:rPr>
          <w:rFonts w:cstheme="minorHAnsi"/>
        </w:rPr>
        <w:t>Australian Injectable Drugs Handbook</w:t>
      </w:r>
      <w:r>
        <w:rPr>
          <w:rFonts w:cstheme="minorHAnsi"/>
        </w:rPr>
        <w:t xml:space="preserve"> (AIDH)</w:t>
      </w:r>
    </w:p>
    <w:p w:rsidR="00DE6E3B" w:rsidRDefault="00D91A9C" w:rsidP="00DE6E3B">
      <w:pPr>
        <w:pStyle w:val="ListParagraph"/>
        <w:widowControl/>
        <w:numPr>
          <w:ilvl w:val="0"/>
          <w:numId w:val="9"/>
        </w:numPr>
        <w:contextualSpacing/>
        <w:rPr>
          <w:rFonts w:cstheme="minorHAnsi"/>
        </w:rPr>
      </w:pPr>
      <w:hyperlink r:id="rId55" w:history="1">
        <w:r w:rsidR="00DE6E3B" w:rsidRPr="000C7E0F">
          <w:rPr>
            <w:rStyle w:val="Hyperlink"/>
            <w:rFonts w:cstheme="minorHAnsi"/>
          </w:rPr>
          <w:t xml:space="preserve">Ferric </w:t>
        </w:r>
        <w:proofErr w:type="spellStart"/>
        <w:r w:rsidR="00DE6E3B" w:rsidRPr="000C7E0F">
          <w:rPr>
            <w:rStyle w:val="Hyperlink"/>
            <w:rFonts w:cstheme="minorHAnsi"/>
          </w:rPr>
          <w:t>carboxymaltose</w:t>
        </w:r>
        <w:proofErr w:type="spellEnd"/>
      </w:hyperlink>
    </w:p>
    <w:p w:rsidR="00DE6E3B" w:rsidRPr="00F778D3" w:rsidRDefault="00D91A9C" w:rsidP="00DE6E3B">
      <w:pPr>
        <w:pStyle w:val="ListParagraph"/>
        <w:widowControl/>
        <w:numPr>
          <w:ilvl w:val="0"/>
          <w:numId w:val="9"/>
        </w:numPr>
        <w:contextualSpacing/>
        <w:rPr>
          <w:rStyle w:val="Hyperlink"/>
          <w:rFonts w:cstheme="minorHAnsi"/>
        </w:rPr>
      </w:pPr>
      <w:hyperlink r:id="rId56" w:history="1">
        <w:r w:rsidR="00DE6E3B" w:rsidRPr="000C7E0F">
          <w:rPr>
            <w:rStyle w:val="Hyperlink"/>
            <w:rFonts w:cstheme="minorHAnsi"/>
          </w:rPr>
          <w:t xml:space="preserve">Iron </w:t>
        </w:r>
        <w:proofErr w:type="spellStart"/>
        <w:r w:rsidR="00DE6E3B" w:rsidRPr="000C7E0F">
          <w:rPr>
            <w:rStyle w:val="Hyperlink"/>
            <w:rFonts w:cstheme="minorHAnsi"/>
          </w:rPr>
          <w:t>polymaltose</w:t>
        </w:r>
        <w:proofErr w:type="spellEnd"/>
        <w:r w:rsidR="00DE6E3B" w:rsidRPr="000C7E0F">
          <w:rPr>
            <w:rStyle w:val="Hyperlink"/>
            <w:rFonts w:cstheme="minorHAnsi"/>
          </w:rPr>
          <w:t xml:space="preserve"> complex</w:t>
        </w:r>
      </w:hyperlink>
    </w:p>
    <w:p w:rsidR="00DE6E3B" w:rsidRDefault="00DE6E3B" w:rsidP="00DE6E3B">
      <w:pPr>
        <w:rPr>
          <w:rStyle w:val="Hyperlink"/>
          <w:rFonts w:cstheme="minorHAnsi"/>
        </w:rPr>
      </w:pPr>
      <w:r>
        <w:rPr>
          <w:rFonts w:cstheme="minorHAnsi"/>
        </w:rPr>
        <w:t xml:space="preserve">Available at: </w:t>
      </w:r>
      <w:hyperlink r:id="rId57" w:history="1">
        <w:r w:rsidRPr="00270D64">
          <w:rPr>
            <w:rStyle w:val="Hyperlink"/>
            <w:rFonts w:cstheme="minorHAnsi"/>
          </w:rPr>
          <w:t>http://www.shpa.org.au/Publications/Australian-Injectable-Drugs-Handbook</w:t>
        </w:r>
      </w:hyperlink>
    </w:p>
    <w:p w:rsidR="00DE6E3B" w:rsidRDefault="00DE6E3B" w:rsidP="00DE6E3B">
      <w:pPr>
        <w:rPr>
          <w:rFonts w:cstheme="minorHAnsi"/>
        </w:rPr>
      </w:pPr>
      <w:r>
        <w:rPr>
          <w:rFonts w:cstheme="minorHAnsi"/>
        </w:rPr>
        <w:t>(</w:t>
      </w:r>
      <w:proofErr w:type="gramStart"/>
      <w:r>
        <w:rPr>
          <w:rFonts w:cstheme="minorHAnsi"/>
        </w:rPr>
        <w:t>note</w:t>
      </w:r>
      <w:proofErr w:type="gramEnd"/>
      <w:r>
        <w:rPr>
          <w:rFonts w:cstheme="minorHAnsi"/>
        </w:rPr>
        <w:t>: AIDH requires subscription; however the above pages are accessible)</w:t>
      </w:r>
    </w:p>
    <w:p w:rsidR="00DE6E3B" w:rsidRPr="00F778D3" w:rsidRDefault="00DE6E3B" w:rsidP="00DE6E3B">
      <w:pPr>
        <w:rPr>
          <w:rFonts w:cstheme="minorHAnsi"/>
        </w:rPr>
      </w:pPr>
    </w:p>
    <w:p w:rsidR="00DE6E3B" w:rsidRPr="00F24331" w:rsidRDefault="00D91A9C" w:rsidP="00DE6E3B">
      <w:pPr>
        <w:rPr>
          <w:rFonts w:cstheme="minorHAnsi"/>
        </w:rPr>
      </w:pPr>
      <w:hyperlink r:id="rId58" w:history="1">
        <w:r w:rsidR="00DE6E3B" w:rsidRPr="00F24331">
          <w:rPr>
            <w:rStyle w:val="Hyperlink"/>
            <w:rFonts w:cstheme="minorHAnsi"/>
          </w:rPr>
          <w:t>Guiding principles for the development of intravenous (IV) iron infusion practice</w:t>
        </w:r>
      </w:hyperlink>
      <w:r w:rsidR="00DE6E3B" w:rsidRPr="00F24331">
        <w:rPr>
          <w:rFonts w:cstheme="minorHAnsi"/>
        </w:rPr>
        <w:t xml:space="preserve"> developed for Victorian health services</w:t>
      </w:r>
    </w:p>
    <w:p w:rsidR="00DE6E3B" w:rsidRPr="005D42D6" w:rsidRDefault="00DE6E3B" w:rsidP="00DE6E3B">
      <w:pPr>
        <w:pStyle w:val="ListParagraph"/>
        <w:widowControl/>
        <w:numPr>
          <w:ilvl w:val="0"/>
          <w:numId w:val="9"/>
        </w:numPr>
        <w:contextualSpacing/>
        <w:rPr>
          <w:rFonts w:cstheme="minorHAnsi"/>
        </w:rPr>
      </w:pPr>
      <w:r w:rsidRPr="005D42D6">
        <w:rPr>
          <w:rFonts w:cstheme="minorHAnsi"/>
        </w:rPr>
        <w:t>Additional resources from Victorian health services</w:t>
      </w:r>
    </w:p>
    <w:p w:rsidR="00DE6E3B" w:rsidRPr="005D42D6" w:rsidRDefault="00D91A9C" w:rsidP="00DE6E3B">
      <w:pPr>
        <w:pStyle w:val="ListParagraph"/>
        <w:widowControl/>
        <w:numPr>
          <w:ilvl w:val="1"/>
          <w:numId w:val="9"/>
        </w:numPr>
        <w:contextualSpacing/>
        <w:rPr>
          <w:rFonts w:cstheme="minorHAnsi"/>
        </w:rPr>
      </w:pPr>
      <w:hyperlink r:id="rId59" w:tgtFrame="_blank" w:tooltip="webpage opens in new window" w:history="1">
        <w:r w:rsidR="00DE6E3B" w:rsidRPr="005D42D6">
          <w:rPr>
            <w:rStyle w:val="Hyperlink"/>
            <w:rFonts w:cstheme="minorHAnsi"/>
          </w:rPr>
          <w:t xml:space="preserve">Ballarat Health 2010 Iron </w:t>
        </w:r>
        <w:proofErr w:type="spellStart"/>
        <w:r w:rsidR="00DE6E3B" w:rsidRPr="005D42D6">
          <w:rPr>
            <w:rStyle w:val="Hyperlink"/>
            <w:rFonts w:cstheme="minorHAnsi"/>
          </w:rPr>
          <w:t>Polymaltose</w:t>
        </w:r>
        <w:proofErr w:type="spellEnd"/>
        <w:r w:rsidR="00DE6E3B" w:rsidRPr="005D42D6">
          <w:rPr>
            <w:rStyle w:val="Hyperlink"/>
            <w:rFonts w:cstheme="minorHAnsi"/>
          </w:rPr>
          <w:t xml:space="preserve"> infusion policy</w:t>
        </w:r>
      </w:hyperlink>
    </w:p>
    <w:p w:rsidR="00DE6E3B" w:rsidRPr="005D42D6" w:rsidRDefault="00D91A9C" w:rsidP="00DE6E3B">
      <w:pPr>
        <w:pStyle w:val="ListParagraph"/>
        <w:widowControl/>
        <w:numPr>
          <w:ilvl w:val="1"/>
          <w:numId w:val="9"/>
        </w:numPr>
        <w:contextualSpacing/>
        <w:rPr>
          <w:rFonts w:cstheme="minorHAnsi"/>
        </w:rPr>
      </w:pPr>
      <w:hyperlink r:id="rId60" w:tgtFrame="_blank" w:tooltip="webpage opens in new window" w:history="1">
        <w:r w:rsidR="00DE6E3B" w:rsidRPr="005D42D6">
          <w:rPr>
            <w:rStyle w:val="Hyperlink"/>
            <w:rFonts w:cstheme="minorHAnsi"/>
          </w:rPr>
          <w:t xml:space="preserve">Iron </w:t>
        </w:r>
        <w:proofErr w:type="spellStart"/>
        <w:r w:rsidR="00DE6E3B" w:rsidRPr="005D42D6">
          <w:rPr>
            <w:rStyle w:val="Hyperlink"/>
            <w:rFonts w:cstheme="minorHAnsi"/>
          </w:rPr>
          <w:t>carboxymaltose</w:t>
        </w:r>
        <w:proofErr w:type="spellEnd"/>
        <w:r w:rsidR="00DE6E3B" w:rsidRPr="005D42D6">
          <w:rPr>
            <w:rStyle w:val="Hyperlink"/>
            <w:rFonts w:cstheme="minorHAnsi"/>
          </w:rPr>
          <w:t xml:space="preserve"> Administration guidelines 2012 : Peter </w:t>
        </w:r>
        <w:proofErr w:type="spellStart"/>
        <w:r w:rsidR="00DE6E3B" w:rsidRPr="005D42D6">
          <w:rPr>
            <w:rStyle w:val="Hyperlink"/>
            <w:rFonts w:cstheme="minorHAnsi"/>
          </w:rPr>
          <w:t>MacCallum</w:t>
        </w:r>
        <w:proofErr w:type="spellEnd"/>
        <w:r w:rsidR="00DE6E3B" w:rsidRPr="005D42D6">
          <w:rPr>
            <w:rStyle w:val="Hyperlink"/>
            <w:rFonts w:cstheme="minorHAnsi"/>
          </w:rPr>
          <w:t xml:space="preserve"> Cancer centre</w:t>
        </w:r>
      </w:hyperlink>
    </w:p>
    <w:p w:rsidR="00DE6E3B" w:rsidRDefault="00DE6E3B" w:rsidP="00DE6E3B">
      <w:pPr>
        <w:rPr>
          <w:rFonts w:cstheme="minorHAnsi"/>
        </w:rPr>
      </w:pPr>
      <w:r>
        <w:rPr>
          <w:rFonts w:cstheme="minorHAnsi"/>
        </w:rPr>
        <w:t xml:space="preserve">Available at: </w:t>
      </w:r>
      <w:hyperlink r:id="rId61" w:history="1">
        <w:r w:rsidRPr="00270D64">
          <w:rPr>
            <w:rStyle w:val="Hyperlink"/>
            <w:rFonts w:cstheme="minorHAnsi"/>
          </w:rPr>
          <w:t>http://www.health.vic.gov.au/bloodmatters/management/guiding_principles_iron_infusion.htm</w:t>
        </w:r>
      </w:hyperlink>
    </w:p>
    <w:p w:rsidR="00DE6E3B" w:rsidRDefault="00DE6E3B" w:rsidP="00DE6E3B">
      <w:pPr>
        <w:rPr>
          <w:rFonts w:cstheme="minorHAnsi"/>
        </w:rPr>
      </w:pPr>
    </w:p>
    <w:p w:rsidR="00DE6E3B" w:rsidRPr="005D42D6" w:rsidRDefault="00DE6E3B" w:rsidP="00DE6E3B">
      <w:proofErr w:type="gramStart"/>
      <w:r w:rsidRPr="007454C4">
        <w:t>Fremantle Hospital and Health Service, Department of Pharmacy.</w:t>
      </w:r>
      <w:proofErr w:type="gramEnd"/>
      <w:r w:rsidRPr="007454C4">
        <w:t xml:space="preserve"> Specialised Drug Guideline</w:t>
      </w:r>
      <w:r>
        <w:t>s</w:t>
      </w:r>
      <w:r w:rsidRPr="005D42D6" w:rsidDel="007454C4">
        <w:t xml:space="preserve"> </w:t>
      </w:r>
      <w:r w:rsidRPr="005D42D6">
        <w:t>regarding intravenous iron use:</w:t>
      </w:r>
    </w:p>
    <w:p w:rsidR="00DE6E3B" w:rsidRPr="005D42D6" w:rsidRDefault="00D91A9C" w:rsidP="00DE6E3B">
      <w:pPr>
        <w:pStyle w:val="ListParagraph"/>
        <w:widowControl/>
        <w:numPr>
          <w:ilvl w:val="0"/>
          <w:numId w:val="9"/>
        </w:numPr>
        <w:contextualSpacing/>
        <w:rPr>
          <w:rFonts w:cstheme="minorHAnsi"/>
        </w:rPr>
      </w:pPr>
      <w:hyperlink r:id="rId62" w:history="1">
        <w:r w:rsidR="00DE6E3B" w:rsidRPr="005D42D6">
          <w:rPr>
            <w:rStyle w:val="Hyperlink"/>
            <w:rFonts w:cstheme="minorHAnsi"/>
          </w:rPr>
          <w:t xml:space="preserve">Iron </w:t>
        </w:r>
        <w:proofErr w:type="spellStart"/>
        <w:r w:rsidR="00DE6E3B" w:rsidRPr="005D42D6">
          <w:rPr>
            <w:rStyle w:val="Hyperlink"/>
            <w:rFonts w:cstheme="minorHAnsi"/>
          </w:rPr>
          <w:t>carboxymaltose</w:t>
        </w:r>
        <w:proofErr w:type="spellEnd"/>
      </w:hyperlink>
    </w:p>
    <w:p w:rsidR="00DE6E3B" w:rsidRPr="000C7E0F" w:rsidRDefault="00D91A9C" w:rsidP="00DE6E3B">
      <w:pPr>
        <w:pStyle w:val="ListParagraph"/>
        <w:widowControl/>
        <w:numPr>
          <w:ilvl w:val="0"/>
          <w:numId w:val="9"/>
        </w:numPr>
        <w:contextualSpacing/>
        <w:rPr>
          <w:rStyle w:val="Hyperlink"/>
          <w:rFonts w:cstheme="minorHAnsi"/>
        </w:rPr>
      </w:pPr>
      <w:hyperlink r:id="rId63" w:history="1">
        <w:r w:rsidR="00DE6E3B" w:rsidRPr="005D42D6">
          <w:rPr>
            <w:rStyle w:val="Hyperlink"/>
            <w:rFonts w:cstheme="minorHAnsi"/>
          </w:rPr>
          <w:t xml:space="preserve">Iron </w:t>
        </w:r>
        <w:proofErr w:type="spellStart"/>
        <w:r w:rsidR="00DE6E3B" w:rsidRPr="005D42D6">
          <w:rPr>
            <w:rStyle w:val="Hyperlink"/>
            <w:rFonts w:cstheme="minorHAnsi"/>
          </w:rPr>
          <w:t>polymaltose</w:t>
        </w:r>
        <w:proofErr w:type="spellEnd"/>
      </w:hyperlink>
    </w:p>
    <w:p w:rsidR="00DE6E3B" w:rsidRPr="008A4E3E" w:rsidRDefault="00D91A9C" w:rsidP="00DE6E3B">
      <w:pPr>
        <w:pStyle w:val="ListParagraph"/>
        <w:widowControl/>
        <w:numPr>
          <w:ilvl w:val="0"/>
          <w:numId w:val="9"/>
        </w:numPr>
        <w:contextualSpacing/>
        <w:rPr>
          <w:rStyle w:val="Hyperlink"/>
          <w:rFonts w:cstheme="minorHAnsi"/>
        </w:rPr>
      </w:pPr>
      <w:hyperlink r:id="rId64" w:history="1">
        <w:r w:rsidR="00DE6E3B" w:rsidRPr="005D42D6">
          <w:rPr>
            <w:rStyle w:val="Hyperlink"/>
            <w:rFonts w:cstheme="minorHAnsi"/>
          </w:rPr>
          <w:t>Iron sucrose</w:t>
        </w:r>
      </w:hyperlink>
    </w:p>
    <w:p w:rsidR="00DE6E3B" w:rsidRPr="008A4E3E" w:rsidRDefault="00DE6E3B" w:rsidP="00DE6E3B">
      <w:pPr>
        <w:rPr>
          <w:rFonts w:ascii="Arial" w:hAnsi="Arial" w:cs="Arial"/>
        </w:rPr>
      </w:pPr>
      <w:r w:rsidRPr="008A4E3E">
        <w:rPr>
          <w:rFonts w:ascii="Arial" w:hAnsi="Arial" w:cs="Arial"/>
        </w:rPr>
        <w:t xml:space="preserve">Available at: </w:t>
      </w:r>
      <w:hyperlink r:id="rId65" w:history="1">
        <w:r w:rsidRPr="008A4E3E">
          <w:rPr>
            <w:rStyle w:val="Hyperlink"/>
            <w:rFonts w:ascii="Arial" w:hAnsi="Arial" w:cs="Arial"/>
          </w:rPr>
          <w:t>http://www.health.wa.gov.au/bloodmanagement</w:t>
        </w:r>
      </w:hyperlink>
    </w:p>
    <w:p w:rsidR="00DE6E3B" w:rsidRDefault="00DE6E3B" w:rsidP="00DE6E3B">
      <w:pPr>
        <w:rPr>
          <w:rStyle w:val="Hyperlink"/>
          <w:rFonts w:cstheme="minorHAnsi"/>
        </w:rPr>
      </w:pPr>
    </w:p>
    <w:p w:rsidR="00DE6E3B" w:rsidRDefault="00DE6E3B" w:rsidP="00DE6E3B">
      <w:pPr>
        <w:rPr>
          <w:rFonts w:cstheme="minorHAnsi"/>
          <w:sz w:val="21"/>
          <w:szCs w:val="21"/>
        </w:rPr>
      </w:pPr>
      <w:proofErr w:type="gramStart"/>
      <w:r w:rsidRPr="0055619B">
        <w:rPr>
          <w:rFonts w:cstheme="minorHAnsi"/>
          <w:sz w:val="21"/>
          <w:szCs w:val="21"/>
        </w:rPr>
        <w:t>SA Maternal &amp; Neonatal Clinical Network.</w:t>
      </w:r>
      <w:proofErr w:type="gramEnd"/>
      <w:r w:rsidRPr="0055619B">
        <w:rPr>
          <w:rFonts w:cstheme="minorHAnsi"/>
          <w:sz w:val="21"/>
          <w:szCs w:val="21"/>
        </w:rPr>
        <w:t xml:space="preserve"> </w:t>
      </w:r>
      <w:proofErr w:type="gramStart"/>
      <w:r w:rsidRPr="0055619B">
        <w:rPr>
          <w:rFonts w:cstheme="minorHAnsi"/>
          <w:sz w:val="21"/>
          <w:szCs w:val="21"/>
        </w:rPr>
        <w:t>Policy.</w:t>
      </w:r>
      <w:proofErr w:type="gramEnd"/>
      <w:r w:rsidRPr="0055619B">
        <w:rPr>
          <w:rFonts w:cstheme="minorHAnsi"/>
          <w:sz w:val="21"/>
          <w:szCs w:val="21"/>
        </w:rPr>
        <w:t xml:space="preserve"> </w:t>
      </w:r>
      <w:proofErr w:type="gramStart"/>
      <w:r w:rsidRPr="0055619B">
        <w:rPr>
          <w:rFonts w:cstheme="minorHAnsi"/>
          <w:sz w:val="21"/>
          <w:szCs w:val="21"/>
        </w:rPr>
        <w:t>Clinical Guideline.</w:t>
      </w:r>
      <w:proofErr w:type="gramEnd"/>
      <w:r w:rsidRPr="0055619B">
        <w:rPr>
          <w:rFonts w:cstheme="minorHAnsi"/>
          <w:sz w:val="21"/>
          <w:szCs w:val="21"/>
        </w:rPr>
        <w:t xml:space="preserve"> </w:t>
      </w:r>
      <w:hyperlink r:id="rId66" w:history="1">
        <w:r w:rsidRPr="0055619B">
          <w:rPr>
            <w:rStyle w:val="Hyperlink"/>
            <w:rFonts w:cstheme="minorHAnsi"/>
            <w:sz w:val="21"/>
            <w:szCs w:val="21"/>
          </w:rPr>
          <w:t>South Australian Perinatal Practice Guidelines – iron infusion</w:t>
        </w:r>
      </w:hyperlink>
      <w:r w:rsidRPr="0055619B">
        <w:rPr>
          <w:rFonts w:cstheme="minorHAnsi"/>
          <w:sz w:val="21"/>
          <w:szCs w:val="21"/>
        </w:rPr>
        <w:t>.</w:t>
      </w:r>
    </w:p>
    <w:p w:rsidR="00DE6E3B" w:rsidRDefault="00DE6E3B" w:rsidP="00DE6E3B">
      <w:pPr>
        <w:rPr>
          <w:rFonts w:ascii="Arial" w:hAnsi="Arial" w:cs="Arial"/>
        </w:rPr>
      </w:pPr>
      <w:r w:rsidRPr="0055619B">
        <w:rPr>
          <w:rFonts w:cstheme="minorHAnsi"/>
          <w:sz w:val="21"/>
          <w:szCs w:val="21"/>
        </w:rPr>
        <w:t>Available at:</w:t>
      </w:r>
      <w:r w:rsidRPr="00D33199">
        <w:rPr>
          <w:rFonts w:ascii="Arial" w:hAnsi="Arial" w:cs="Arial"/>
        </w:rPr>
        <w:t xml:space="preserve"> </w:t>
      </w:r>
      <w:hyperlink r:id="rId67" w:history="1">
        <w:r w:rsidRPr="0055619B">
          <w:rPr>
            <w:rStyle w:val="Hyperlink"/>
            <w:rFonts w:ascii="Arial" w:hAnsi="Arial" w:cs="Arial"/>
          </w:rPr>
          <w:t>http://www.sahealth.sa.gov.a</w:t>
        </w:r>
        <w:r w:rsidRPr="00FE15CB">
          <w:rPr>
            <w:rStyle w:val="Hyperlink"/>
            <w:rFonts w:ascii="Arial" w:hAnsi="Arial" w:cs="Arial"/>
          </w:rPr>
          <w:t>u</w:t>
        </w:r>
      </w:hyperlink>
    </w:p>
    <w:p w:rsidR="00DE6E3B" w:rsidRPr="0055619B" w:rsidRDefault="00DE6E3B" w:rsidP="00DE6E3B">
      <w:pPr>
        <w:rPr>
          <w:rFonts w:ascii="Arial" w:hAnsi="Arial" w:cs="Arial"/>
          <w:color w:val="000000"/>
        </w:rPr>
      </w:pPr>
    </w:p>
    <w:p w:rsidR="00DE6E3B" w:rsidRDefault="00DE6E3B" w:rsidP="00DE6E3B">
      <w:pPr>
        <w:rPr>
          <w:rFonts w:cstheme="minorHAnsi"/>
        </w:rPr>
      </w:pPr>
      <w:proofErr w:type="gramStart"/>
      <w:r w:rsidRPr="0055619B">
        <w:rPr>
          <w:rFonts w:cstheme="minorHAnsi"/>
        </w:rPr>
        <w:t>National Prescribing Service (NPS).</w:t>
      </w:r>
      <w:proofErr w:type="gramEnd"/>
      <w:r w:rsidRPr="0055619B">
        <w:rPr>
          <w:rFonts w:cstheme="minorHAnsi"/>
        </w:rPr>
        <w:t xml:space="preserve"> </w:t>
      </w:r>
      <w:hyperlink r:id="rId68" w:history="1">
        <w:proofErr w:type="gramStart"/>
        <w:r w:rsidRPr="0055619B">
          <w:rPr>
            <w:rStyle w:val="Hyperlink"/>
            <w:rFonts w:cstheme="minorHAnsi"/>
          </w:rPr>
          <w:t xml:space="preserve">Ferric </w:t>
        </w:r>
        <w:proofErr w:type="spellStart"/>
        <w:r w:rsidRPr="0055619B">
          <w:rPr>
            <w:rStyle w:val="Hyperlink"/>
            <w:rFonts w:cstheme="minorHAnsi"/>
          </w:rPr>
          <w:t>carboxymaltose</w:t>
        </w:r>
        <w:proofErr w:type="spellEnd"/>
        <w:r w:rsidRPr="0055619B">
          <w:rPr>
            <w:rStyle w:val="Hyperlink"/>
            <w:rFonts w:cstheme="minorHAnsi"/>
          </w:rPr>
          <w:t xml:space="preserve"> (</w:t>
        </w:r>
        <w:proofErr w:type="spellStart"/>
        <w:r w:rsidRPr="0055619B">
          <w:rPr>
            <w:rStyle w:val="Hyperlink"/>
            <w:rFonts w:cstheme="minorHAnsi"/>
          </w:rPr>
          <w:t>Ferinject</w:t>
        </w:r>
        <w:proofErr w:type="spellEnd"/>
        <w:r w:rsidRPr="0055619B">
          <w:rPr>
            <w:rStyle w:val="Hyperlink"/>
            <w:rFonts w:cstheme="minorHAnsi"/>
          </w:rPr>
          <w:t>) for iron deficiency anaemia</w:t>
        </w:r>
      </w:hyperlink>
      <w:r w:rsidRPr="0055619B">
        <w:rPr>
          <w:rFonts w:cstheme="minorHAnsi"/>
        </w:rPr>
        <w:t>.</w:t>
      </w:r>
      <w:proofErr w:type="gramEnd"/>
      <w:r w:rsidRPr="0055619B">
        <w:rPr>
          <w:rFonts w:cstheme="minorHAnsi"/>
        </w:rPr>
        <w:t xml:space="preserve"> </w:t>
      </w:r>
    </w:p>
    <w:p w:rsidR="00DE6E3B" w:rsidRDefault="00DE6E3B" w:rsidP="00DE6E3B">
      <w:pPr>
        <w:rPr>
          <w:rFonts w:cstheme="minorHAnsi"/>
        </w:rPr>
      </w:pPr>
      <w:r w:rsidRPr="0055619B">
        <w:rPr>
          <w:rFonts w:cstheme="minorHAnsi"/>
        </w:rPr>
        <w:t xml:space="preserve">Available at: </w:t>
      </w:r>
      <w:hyperlink r:id="rId69" w:history="1">
        <w:r w:rsidRPr="00FB0AEF">
          <w:rPr>
            <w:rStyle w:val="Hyperlink"/>
            <w:rFonts w:cstheme="minorHAnsi"/>
          </w:rPr>
          <w:t>http://www.nps.org.au</w:t>
        </w:r>
      </w:hyperlink>
    </w:p>
    <w:p w:rsidR="00DE6E3B" w:rsidRPr="0055619B" w:rsidRDefault="00DE6E3B" w:rsidP="00DE6E3B">
      <w:pPr>
        <w:rPr>
          <w:rFonts w:cstheme="minorHAnsi"/>
        </w:rPr>
      </w:pPr>
    </w:p>
    <w:p w:rsidR="00DE6E3B" w:rsidRDefault="00DE6E3B" w:rsidP="00DE6E3B">
      <w:pPr>
        <w:jc w:val="both"/>
        <w:rPr>
          <w:rFonts w:ascii="Arial" w:hAnsi="Arial" w:cs="Arial"/>
        </w:rPr>
      </w:pPr>
      <w:proofErr w:type="spellStart"/>
      <w:r w:rsidRPr="00E7588A">
        <w:rPr>
          <w:rFonts w:cstheme="minorHAnsi"/>
        </w:rPr>
        <w:t>Gozzard</w:t>
      </w:r>
      <w:proofErr w:type="spellEnd"/>
      <w:r w:rsidRPr="00E7588A">
        <w:rPr>
          <w:rFonts w:cstheme="minorHAnsi"/>
        </w:rPr>
        <w:t xml:space="preserve"> D</w:t>
      </w:r>
      <w:r w:rsidRPr="0007199B">
        <w:rPr>
          <w:rFonts w:cstheme="minorHAnsi"/>
        </w:rPr>
        <w:t xml:space="preserve">. </w:t>
      </w:r>
      <w:hyperlink r:id="rId70" w:history="1">
        <w:r w:rsidRPr="00E7588A">
          <w:rPr>
            <w:rStyle w:val="Hyperlink"/>
            <w:rFonts w:cstheme="minorHAnsi"/>
          </w:rPr>
          <w:t xml:space="preserve">When is high-dose intravenous iron repletion needed? </w:t>
        </w:r>
        <w:proofErr w:type="gramStart"/>
        <w:r w:rsidRPr="00E7588A">
          <w:rPr>
            <w:rStyle w:val="Hyperlink"/>
            <w:rFonts w:cstheme="minorHAnsi"/>
          </w:rPr>
          <w:t>Assessing new treatment options</w:t>
        </w:r>
      </w:hyperlink>
      <w:r w:rsidRPr="0007199B">
        <w:rPr>
          <w:rFonts w:cstheme="minorHAnsi"/>
        </w:rPr>
        <w:t>.</w:t>
      </w:r>
      <w:proofErr w:type="gramEnd"/>
      <w:r w:rsidRPr="0007199B">
        <w:rPr>
          <w:rFonts w:cstheme="minorHAnsi"/>
        </w:rPr>
        <w:t xml:space="preserve"> </w:t>
      </w:r>
      <w:r w:rsidRPr="00E7588A">
        <w:rPr>
          <w:rFonts w:cstheme="minorHAnsi"/>
        </w:rPr>
        <w:t xml:space="preserve">Drug Des </w:t>
      </w:r>
      <w:proofErr w:type="spellStart"/>
      <w:r w:rsidRPr="00E7588A">
        <w:rPr>
          <w:rFonts w:cstheme="minorHAnsi"/>
        </w:rPr>
        <w:t>Devel</w:t>
      </w:r>
      <w:proofErr w:type="spellEnd"/>
      <w:r w:rsidRPr="00E7588A">
        <w:rPr>
          <w:rFonts w:cstheme="minorHAnsi"/>
        </w:rPr>
        <w:t xml:space="preserve"> </w:t>
      </w:r>
      <w:proofErr w:type="spellStart"/>
      <w:r w:rsidRPr="00E7588A">
        <w:rPr>
          <w:rFonts w:cstheme="minorHAnsi"/>
        </w:rPr>
        <w:t>Ther</w:t>
      </w:r>
      <w:proofErr w:type="spellEnd"/>
      <w:r w:rsidRPr="00E7588A">
        <w:rPr>
          <w:rFonts w:cstheme="minorHAnsi"/>
        </w:rPr>
        <w:t>.</w:t>
      </w:r>
      <w:r>
        <w:rPr>
          <w:rFonts w:cstheme="minorHAnsi"/>
        </w:rPr>
        <w:t xml:space="preserve"> 2011</w:t>
      </w:r>
      <w:proofErr w:type="gramStart"/>
      <w:r>
        <w:rPr>
          <w:rFonts w:cstheme="minorHAnsi"/>
        </w:rPr>
        <w:t>;20</w:t>
      </w:r>
      <w:r w:rsidRPr="0007199B">
        <w:rPr>
          <w:rFonts w:cstheme="minorHAnsi"/>
        </w:rPr>
        <w:t>:51</w:t>
      </w:r>
      <w:proofErr w:type="gramEnd"/>
      <w:r w:rsidRPr="0007199B">
        <w:rPr>
          <w:rFonts w:cstheme="minorHAnsi"/>
        </w:rPr>
        <w:t>-60.</w:t>
      </w:r>
      <w:r>
        <w:rPr>
          <w:rFonts w:cstheme="minorHAnsi"/>
        </w:rPr>
        <w:t xml:space="preserve"> </w:t>
      </w:r>
      <w:r>
        <w:rPr>
          <w:rFonts w:ascii="Arial" w:hAnsi="Arial" w:cs="Arial"/>
        </w:rPr>
        <w:t xml:space="preserve">Available at: </w:t>
      </w:r>
      <w:hyperlink r:id="rId71" w:history="1">
        <w:r>
          <w:rPr>
            <w:rStyle w:val="Hyperlink"/>
            <w:rFonts w:ascii="Arial" w:hAnsi="Arial" w:cs="Arial"/>
          </w:rPr>
          <w:t>http://www.pubmed.gov</w:t>
        </w:r>
      </w:hyperlink>
    </w:p>
    <w:p w:rsidR="00DE6E3B" w:rsidRDefault="00DE6E3B" w:rsidP="00DE6E3B">
      <w:pPr>
        <w:rPr>
          <w:rFonts w:cstheme="minorHAnsi"/>
        </w:rPr>
      </w:pPr>
    </w:p>
    <w:p w:rsidR="00DE6E3B" w:rsidRDefault="00DE6E3B" w:rsidP="00DE6E3B">
      <w:pPr>
        <w:jc w:val="both"/>
        <w:rPr>
          <w:rFonts w:ascii="Arial" w:hAnsi="Arial" w:cs="Arial"/>
        </w:rPr>
      </w:pPr>
      <w:proofErr w:type="spellStart"/>
      <w:r w:rsidRPr="00E7588A">
        <w:rPr>
          <w:rFonts w:cstheme="minorHAnsi"/>
        </w:rPr>
        <w:t>Auerbach</w:t>
      </w:r>
      <w:proofErr w:type="spellEnd"/>
      <w:r w:rsidRPr="00E7588A">
        <w:rPr>
          <w:rFonts w:cstheme="minorHAnsi"/>
        </w:rPr>
        <w:t xml:space="preserve"> M</w:t>
      </w:r>
      <w:r w:rsidRPr="0007199B">
        <w:rPr>
          <w:rFonts w:cstheme="minorHAnsi"/>
        </w:rPr>
        <w:t xml:space="preserve">, </w:t>
      </w:r>
      <w:r w:rsidRPr="00E7588A">
        <w:rPr>
          <w:rFonts w:cstheme="minorHAnsi"/>
        </w:rPr>
        <w:t>Ballard H</w:t>
      </w:r>
      <w:r w:rsidRPr="0007199B">
        <w:rPr>
          <w:rFonts w:cstheme="minorHAnsi"/>
        </w:rPr>
        <w:t xml:space="preserve">. </w:t>
      </w:r>
      <w:hyperlink r:id="rId72" w:history="1">
        <w:r w:rsidRPr="00E7588A">
          <w:rPr>
            <w:rStyle w:val="Hyperlink"/>
            <w:rFonts w:cstheme="minorHAnsi"/>
          </w:rPr>
          <w:t>Clinical use of intravenous iron: administration, efficacy, and safety. Hematology Am Soc Hematol Educ Program</w:t>
        </w:r>
      </w:hyperlink>
      <w:r w:rsidRPr="00E7588A">
        <w:rPr>
          <w:rFonts w:cstheme="minorHAnsi"/>
        </w:rPr>
        <w:t>.</w:t>
      </w:r>
      <w:r>
        <w:rPr>
          <w:rFonts w:cstheme="minorHAnsi"/>
        </w:rPr>
        <w:t xml:space="preserve"> 2010</w:t>
      </w:r>
      <w:proofErr w:type="gramStart"/>
      <w:r>
        <w:rPr>
          <w:rFonts w:cstheme="minorHAnsi"/>
        </w:rPr>
        <w:t>;2010:338</w:t>
      </w:r>
      <w:proofErr w:type="gramEnd"/>
      <w:r>
        <w:rPr>
          <w:rFonts w:cstheme="minorHAnsi"/>
        </w:rPr>
        <w:t xml:space="preserve">-47. </w:t>
      </w:r>
      <w:r>
        <w:rPr>
          <w:rFonts w:ascii="Arial" w:hAnsi="Arial" w:cs="Arial"/>
        </w:rPr>
        <w:t xml:space="preserve">Available at: </w:t>
      </w:r>
      <w:hyperlink r:id="rId73" w:history="1">
        <w:r>
          <w:rPr>
            <w:rStyle w:val="Hyperlink"/>
            <w:rFonts w:ascii="Arial" w:hAnsi="Arial" w:cs="Arial"/>
          </w:rPr>
          <w:t>http://www.pubmed.gov</w:t>
        </w:r>
      </w:hyperlink>
    </w:p>
    <w:p w:rsidR="00DE6E3B" w:rsidRDefault="00DE6E3B" w:rsidP="00DE6E3B">
      <w:pPr>
        <w:spacing w:line="276" w:lineRule="auto"/>
        <w:rPr>
          <w:rFonts w:cstheme="minorHAnsi"/>
        </w:rPr>
      </w:pPr>
      <w:r>
        <w:rPr>
          <w:rFonts w:cstheme="minorHAnsi"/>
        </w:rPr>
        <w:br w:type="page"/>
      </w:r>
    </w:p>
    <w:p w:rsidR="00DE6E3B" w:rsidRPr="00DE6E3B" w:rsidRDefault="00DE6E3B" w:rsidP="00DE6E3B">
      <w:pPr>
        <w:pStyle w:val="ListParagraph"/>
        <w:spacing w:before="240"/>
        <w:rPr>
          <w:rFonts w:ascii="TitilliumText25L" w:hAnsi="TitilliumText25L" w:cs="TitilliumText25L"/>
          <w:color w:val="333740"/>
          <w:sz w:val="28"/>
          <w:szCs w:val="28"/>
        </w:rPr>
      </w:pPr>
      <w:r w:rsidRPr="00DE6E3B">
        <w:rPr>
          <w:rFonts w:ascii="TitilliumText25L" w:hAnsi="TitilliumText25L" w:cs="TitilliumText25L"/>
          <w:color w:val="333740"/>
          <w:sz w:val="28"/>
          <w:szCs w:val="28"/>
        </w:rPr>
        <w:lastRenderedPageBreak/>
        <w:t>Guiding Principles for the use of off-label medicines:</w:t>
      </w:r>
    </w:p>
    <w:p w:rsidR="00DE6E3B" w:rsidRDefault="00DE6E3B" w:rsidP="00DE6E3B">
      <w:pPr>
        <w:rPr>
          <w:rStyle w:val="Hyperlink"/>
          <w:rFonts w:cs="Arial"/>
        </w:rPr>
      </w:pPr>
      <w:proofErr w:type="gramStart"/>
      <w:r w:rsidRPr="00E34496">
        <w:rPr>
          <w:rFonts w:ascii="Arial" w:hAnsi="Arial" w:cs="Arial"/>
        </w:rPr>
        <w:t>Council of Australian Therapeutic Advisory Groups (CATAG).</w:t>
      </w:r>
      <w:proofErr w:type="gramEnd"/>
      <w:r w:rsidRPr="00E34496">
        <w:rPr>
          <w:rFonts w:ascii="Arial" w:hAnsi="Arial" w:cs="Arial"/>
        </w:rPr>
        <w:t xml:space="preserve"> </w:t>
      </w:r>
      <w:proofErr w:type="gramStart"/>
      <w:r w:rsidRPr="00E34496">
        <w:rPr>
          <w:rFonts w:ascii="Arial" w:hAnsi="Arial" w:cs="Arial"/>
        </w:rPr>
        <w:t>Guiding Principles for the quality use of off-label medicines.</w:t>
      </w:r>
      <w:proofErr w:type="gramEnd"/>
      <w:r w:rsidRPr="00E34496">
        <w:rPr>
          <w:rFonts w:ascii="Arial" w:hAnsi="Arial" w:cs="Arial"/>
        </w:rPr>
        <w:t xml:space="preserve"> November 2013. Available at: </w:t>
      </w:r>
      <w:hyperlink r:id="rId74" w:history="1">
        <w:r w:rsidRPr="00E34496">
          <w:rPr>
            <w:rStyle w:val="Hyperlink"/>
            <w:rFonts w:cs="Arial"/>
          </w:rPr>
          <w:t>http://www.catag.org.au/wp-content/uploads/2012/08/OKA9963-CATAG-Rethinking-Medicines-Decision-Making-final.pdf</w:t>
        </w:r>
      </w:hyperlink>
    </w:p>
    <w:p w:rsidR="00DE6E3B" w:rsidRPr="00A14FB9" w:rsidRDefault="00DE6E3B" w:rsidP="00DE6E3B">
      <w:pPr>
        <w:rPr>
          <w:rFonts w:cstheme="minorHAnsi"/>
        </w:rPr>
      </w:pPr>
    </w:p>
    <w:p w:rsidR="00DE6E3B" w:rsidRPr="00DE6E3B" w:rsidRDefault="00DE6E3B" w:rsidP="00DE6E3B">
      <w:pPr>
        <w:pStyle w:val="ListParagraph"/>
        <w:spacing w:before="240"/>
        <w:rPr>
          <w:rFonts w:ascii="TitilliumText25L" w:hAnsi="TitilliumText25L" w:cs="TitilliumText25L"/>
          <w:color w:val="333740"/>
          <w:sz w:val="28"/>
          <w:szCs w:val="28"/>
        </w:rPr>
      </w:pPr>
      <w:r w:rsidRPr="00DE6E3B">
        <w:rPr>
          <w:rFonts w:ascii="TitilliumText25L" w:hAnsi="TitilliumText25L" w:cs="TitilliumText25L"/>
          <w:color w:val="333740"/>
          <w:sz w:val="28"/>
          <w:szCs w:val="28"/>
        </w:rPr>
        <w:t>Healthcare professional resources</w:t>
      </w:r>
    </w:p>
    <w:p w:rsidR="00DE6E3B" w:rsidRDefault="00DE6E3B" w:rsidP="00DE6E3B">
      <w:pPr>
        <w:rPr>
          <w:rFonts w:cstheme="minorHAnsi"/>
        </w:rPr>
      </w:pPr>
      <w:r>
        <w:rPr>
          <w:rFonts w:cstheme="minorHAnsi"/>
        </w:rPr>
        <w:t xml:space="preserve">Dieticians Association of </w:t>
      </w:r>
      <w:r w:rsidRPr="003252C1">
        <w:rPr>
          <w:rFonts w:cstheme="minorHAnsi"/>
        </w:rPr>
        <w:t>Au</w:t>
      </w:r>
      <w:r>
        <w:rPr>
          <w:rFonts w:cstheme="minorHAnsi"/>
        </w:rPr>
        <w:t>stralia</w:t>
      </w:r>
    </w:p>
    <w:p w:rsidR="00DE6E3B" w:rsidRDefault="00DE6E3B" w:rsidP="00DE6E3B">
      <w:pPr>
        <w:rPr>
          <w:rFonts w:cstheme="minorHAnsi"/>
        </w:rPr>
      </w:pPr>
      <w:r>
        <w:t xml:space="preserve">Available at: </w:t>
      </w:r>
      <w:hyperlink r:id="rId75" w:history="1">
        <w:r w:rsidRPr="00613C34">
          <w:rPr>
            <w:rStyle w:val="Hyperlink"/>
            <w:rFonts w:cstheme="minorHAnsi"/>
          </w:rPr>
          <w:t>http://daa.asn.au/</w:t>
        </w:r>
      </w:hyperlink>
    </w:p>
    <w:p w:rsidR="00DE6E3B" w:rsidRDefault="00DE6E3B" w:rsidP="00DE6E3B"/>
    <w:p w:rsidR="00DE6E3B" w:rsidRDefault="00DE6E3B" w:rsidP="00DE6E3B">
      <w:r>
        <w:t>Patient Blood Management Guidelines</w:t>
      </w:r>
    </w:p>
    <w:p w:rsidR="00DE6E3B" w:rsidRDefault="00DE6E3B" w:rsidP="00DE6E3B">
      <w:pPr>
        <w:pStyle w:val="ListParagraph"/>
        <w:widowControl/>
        <w:numPr>
          <w:ilvl w:val="0"/>
          <w:numId w:val="12"/>
        </w:numPr>
        <w:contextualSpacing/>
      </w:pPr>
      <w:r>
        <w:t>Module 2 Perioperative</w:t>
      </w:r>
    </w:p>
    <w:p w:rsidR="00DE6E3B" w:rsidRDefault="00DE6E3B" w:rsidP="00DE6E3B">
      <w:pPr>
        <w:pStyle w:val="ListParagraph"/>
        <w:widowControl/>
        <w:numPr>
          <w:ilvl w:val="0"/>
          <w:numId w:val="12"/>
        </w:numPr>
        <w:contextualSpacing/>
      </w:pPr>
      <w:r>
        <w:t>Module 3 Medical</w:t>
      </w:r>
    </w:p>
    <w:p w:rsidR="00DE6E3B" w:rsidRDefault="00DE6E3B" w:rsidP="00DE6E3B">
      <w:pPr>
        <w:pStyle w:val="ListParagraph"/>
        <w:widowControl/>
        <w:numPr>
          <w:ilvl w:val="0"/>
          <w:numId w:val="12"/>
        </w:numPr>
        <w:contextualSpacing/>
      </w:pPr>
      <w:r>
        <w:t>Module 5 Obstetrics and Maternity</w:t>
      </w:r>
    </w:p>
    <w:p w:rsidR="00DE6E3B" w:rsidRDefault="00DE6E3B" w:rsidP="00DE6E3B">
      <w:pPr>
        <w:rPr>
          <w:rFonts w:cstheme="minorHAnsi"/>
        </w:rPr>
      </w:pPr>
      <w:r w:rsidRPr="006A529A">
        <w:rPr>
          <w:rFonts w:cstheme="minorHAnsi"/>
        </w:rPr>
        <w:t>Available at:</w:t>
      </w:r>
      <w:r>
        <w:rPr>
          <w:rFonts w:cstheme="minorHAnsi"/>
        </w:rPr>
        <w:t xml:space="preserve"> </w:t>
      </w:r>
      <w:hyperlink r:id="rId76" w:history="1">
        <w:r w:rsidRPr="00FE15CB">
          <w:rPr>
            <w:rStyle w:val="Hyperlink"/>
            <w:rFonts w:cstheme="minorHAnsi"/>
          </w:rPr>
          <w:t>http://www.blood.gov.au</w:t>
        </w:r>
      </w:hyperlink>
    </w:p>
    <w:p w:rsidR="00DE6E3B" w:rsidRPr="006A529A" w:rsidRDefault="00DE6E3B" w:rsidP="00DE6E3B">
      <w:pPr>
        <w:rPr>
          <w:rFonts w:cstheme="minorHAnsi"/>
        </w:rPr>
      </w:pPr>
    </w:p>
    <w:p w:rsidR="00DE6E3B" w:rsidRPr="0007199B" w:rsidRDefault="00DE6E3B" w:rsidP="00DE6E3B">
      <w:pPr>
        <w:rPr>
          <w:rFonts w:cstheme="minorHAnsi"/>
        </w:rPr>
      </w:pPr>
      <w:proofErr w:type="spellStart"/>
      <w:r>
        <w:t>BloodSafe</w:t>
      </w:r>
      <w:proofErr w:type="spellEnd"/>
      <w:r>
        <w:t xml:space="preserve"> </w:t>
      </w:r>
      <w:hyperlink r:id="rId77" w:history="1">
        <w:r w:rsidRPr="0007199B">
          <w:rPr>
            <w:rStyle w:val="Hyperlink"/>
            <w:rFonts w:cstheme="minorHAnsi"/>
          </w:rPr>
          <w:t>Oral iron therapy dosing chart</w:t>
        </w:r>
      </w:hyperlink>
    </w:p>
    <w:p w:rsidR="00DE6E3B" w:rsidRDefault="00DE6E3B" w:rsidP="00DE6E3B">
      <w:pPr>
        <w:rPr>
          <w:rStyle w:val="Hyperlink"/>
          <w:rFonts w:ascii="Arial" w:hAnsi="Arial" w:cs="Arial"/>
        </w:rPr>
      </w:pPr>
      <w:r w:rsidRPr="00E34496">
        <w:rPr>
          <w:rFonts w:cstheme="minorHAnsi"/>
        </w:rPr>
        <w:t xml:space="preserve">Available at: </w:t>
      </w:r>
      <w:hyperlink r:id="rId78" w:history="1">
        <w:r w:rsidRPr="00E34496">
          <w:rPr>
            <w:rStyle w:val="Hyperlink"/>
            <w:rFonts w:ascii="Arial" w:hAnsi="Arial" w:cs="Arial"/>
          </w:rPr>
          <w:t>http://www.bloodsafe.sa.gov.au</w:t>
        </w:r>
      </w:hyperlink>
    </w:p>
    <w:p w:rsidR="00DE6E3B" w:rsidRPr="00C8293B" w:rsidRDefault="00DE6E3B" w:rsidP="00DE6E3B">
      <w:pPr>
        <w:rPr>
          <w:rFonts w:cstheme="minorHAnsi"/>
        </w:rPr>
      </w:pPr>
    </w:p>
    <w:p w:rsidR="00DE6E3B" w:rsidRPr="00DE6E3B" w:rsidRDefault="00DE6E3B" w:rsidP="00DE6E3B">
      <w:pPr>
        <w:pStyle w:val="ListParagraph"/>
        <w:spacing w:before="240"/>
        <w:rPr>
          <w:rFonts w:ascii="TitilliumText25L" w:hAnsi="TitilliumText25L" w:cs="TitilliumText25L"/>
          <w:color w:val="333740"/>
          <w:sz w:val="28"/>
          <w:szCs w:val="28"/>
        </w:rPr>
      </w:pPr>
      <w:r w:rsidRPr="00DE6E3B">
        <w:rPr>
          <w:rFonts w:ascii="TitilliumText25L" w:hAnsi="TitilliumText25L" w:cs="TitilliumText25L"/>
          <w:color w:val="333740"/>
          <w:sz w:val="28"/>
          <w:szCs w:val="28"/>
        </w:rPr>
        <w:t>Resources for patients</w:t>
      </w:r>
    </w:p>
    <w:p w:rsidR="00DE6E3B" w:rsidRPr="00E34496" w:rsidRDefault="00DE6E3B" w:rsidP="00DE6E3B">
      <w:pPr>
        <w:rPr>
          <w:rFonts w:cstheme="minorHAnsi"/>
        </w:rPr>
      </w:pPr>
      <w:proofErr w:type="spellStart"/>
      <w:r w:rsidRPr="00E34496">
        <w:rPr>
          <w:rFonts w:cstheme="minorHAnsi"/>
        </w:rPr>
        <w:t>BloodSafe</w:t>
      </w:r>
      <w:proofErr w:type="spellEnd"/>
      <w:r w:rsidRPr="00E34496">
        <w:rPr>
          <w:rFonts w:cstheme="minorHAnsi"/>
        </w:rPr>
        <w:t xml:space="preserve"> </w:t>
      </w:r>
      <w:hyperlink r:id="rId79" w:history="1">
        <w:r w:rsidRPr="00E34496">
          <w:rPr>
            <w:rStyle w:val="Hyperlink"/>
            <w:rFonts w:cstheme="minorHAnsi"/>
          </w:rPr>
          <w:t>Iron therapy brochures for patients</w:t>
        </w:r>
      </w:hyperlink>
      <w:r w:rsidRPr="00E34496">
        <w:rPr>
          <w:rFonts w:cstheme="minorHAnsi"/>
        </w:rPr>
        <w:t xml:space="preserve"> (oral)</w:t>
      </w:r>
    </w:p>
    <w:p w:rsidR="00DE6E3B" w:rsidRDefault="00DE6E3B" w:rsidP="00DE6E3B">
      <w:pPr>
        <w:rPr>
          <w:rStyle w:val="Hyperlink"/>
          <w:rFonts w:ascii="Arial" w:hAnsi="Arial" w:cs="Arial"/>
        </w:rPr>
      </w:pPr>
      <w:r w:rsidRPr="00E34496">
        <w:rPr>
          <w:rFonts w:cstheme="minorHAnsi"/>
        </w:rPr>
        <w:t xml:space="preserve">Available at: </w:t>
      </w:r>
      <w:hyperlink r:id="rId80" w:history="1">
        <w:r w:rsidRPr="00E34496">
          <w:rPr>
            <w:rStyle w:val="Hyperlink"/>
            <w:rFonts w:ascii="Arial" w:hAnsi="Arial" w:cs="Arial"/>
          </w:rPr>
          <w:t>http://www.bloodsafe.sa.gov.au</w:t>
        </w:r>
      </w:hyperlink>
    </w:p>
    <w:p w:rsidR="00DE6E3B" w:rsidRPr="00B560F4" w:rsidRDefault="00DE6E3B" w:rsidP="00DE6E3B">
      <w:pPr>
        <w:rPr>
          <w:rFonts w:cstheme="minorHAnsi"/>
        </w:rPr>
      </w:pPr>
    </w:p>
    <w:p w:rsidR="00DE6E3B" w:rsidRPr="00E34496" w:rsidRDefault="00DE6E3B" w:rsidP="00DE6E3B">
      <w:pPr>
        <w:rPr>
          <w:rFonts w:cstheme="minorHAnsi"/>
        </w:rPr>
      </w:pPr>
      <w:proofErr w:type="spellStart"/>
      <w:r w:rsidRPr="00E34496">
        <w:rPr>
          <w:rFonts w:cstheme="minorHAnsi"/>
        </w:rPr>
        <w:t>BloodSafe</w:t>
      </w:r>
      <w:proofErr w:type="spellEnd"/>
      <w:r w:rsidRPr="00E34496">
        <w:rPr>
          <w:rFonts w:cstheme="minorHAnsi"/>
        </w:rPr>
        <w:t xml:space="preserve">: </w:t>
      </w:r>
      <w:hyperlink r:id="rId81" w:history="1">
        <w:r w:rsidRPr="00E34496">
          <w:rPr>
            <w:rStyle w:val="Hyperlink"/>
            <w:rFonts w:cstheme="minorHAnsi"/>
          </w:rPr>
          <w:t>Intravenous (IV) iron infusions</w:t>
        </w:r>
      </w:hyperlink>
    </w:p>
    <w:p w:rsidR="00DE6E3B" w:rsidRDefault="00DE6E3B" w:rsidP="00DE6E3B">
      <w:pPr>
        <w:rPr>
          <w:rStyle w:val="Hyperlink"/>
          <w:rFonts w:ascii="Arial" w:hAnsi="Arial" w:cs="Arial"/>
        </w:rPr>
      </w:pPr>
      <w:r w:rsidRPr="00E34496">
        <w:rPr>
          <w:rFonts w:cstheme="minorHAnsi"/>
        </w:rPr>
        <w:t xml:space="preserve">Available at: </w:t>
      </w:r>
      <w:hyperlink r:id="rId82" w:history="1">
        <w:r w:rsidRPr="00E34496">
          <w:rPr>
            <w:rStyle w:val="Hyperlink"/>
            <w:rFonts w:ascii="Arial" w:hAnsi="Arial" w:cs="Arial"/>
          </w:rPr>
          <w:t>http://www.bloodsafe.sa.gov.au</w:t>
        </w:r>
      </w:hyperlink>
    </w:p>
    <w:p w:rsidR="00DE6E3B" w:rsidRPr="00E34496" w:rsidRDefault="00DE6E3B" w:rsidP="00DE6E3B">
      <w:pPr>
        <w:rPr>
          <w:rFonts w:cstheme="minorHAnsi"/>
        </w:rPr>
      </w:pPr>
    </w:p>
    <w:p w:rsidR="00DE6E3B" w:rsidRPr="0055619B" w:rsidRDefault="00DE6E3B" w:rsidP="00DE6E3B">
      <w:pPr>
        <w:rPr>
          <w:rFonts w:cstheme="minorHAnsi"/>
        </w:rPr>
      </w:pPr>
      <w:r w:rsidRPr="0055619B">
        <w:rPr>
          <w:rFonts w:cstheme="minorHAnsi"/>
        </w:rPr>
        <w:t>Intravenous (IV) iron infusions: Fremantle Hospital and Health Service</w:t>
      </w:r>
    </w:p>
    <w:p w:rsidR="00DE6E3B" w:rsidRDefault="00DE6E3B" w:rsidP="00DE6E3B">
      <w:pPr>
        <w:rPr>
          <w:rStyle w:val="Hyperlink"/>
          <w:rFonts w:ascii="Arial" w:hAnsi="Arial" w:cs="Arial"/>
        </w:rPr>
      </w:pPr>
      <w:r w:rsidRPr="0055619B">
        <w:rPr>
          <w:rFonts w:ascii="Arial" w:hAnsi="Arial" w:cs="Arial"/>
        </w:rPr>
        <w:t xml:space="preserve">Available at: </w:t>
      </w:r>
      <w:hyperlink r:id="rId83" w:history="1">
        <w:r w:rsidRPr="00E86C93">
          <w:rPr>
            <w:rStyle w:val="Hyperlink"/>
          </w:rPr>
          <w:t>http://docs.health.vic.gov.au/docs/doc/Intravenous-iron-infusions:-Freemantle-Hospital-and-Health-Service</w:t>
        </w:r>
      </w:hyperlink>
    </w:p>
    <w:p w:rsidR="00DE6E3B" w:rsidRDefault="00DE6E3B" w:rsidP="00DE6E3B">
      <w:pPr>
        <w:rPr>
          <w:rStyle w:val="Hyperlink"/>
          <w:rFonts w:ascii="Arial" w:hAnsi="Arial" w:cs="Arial"/>
        </w:rPr>
      </w:pPr>
    </w:p>
    <w:p w:rsidR="00DE6E3B" w:rsidRPr="00E34496" w:rsidRDefault="00DE6E3B" w:rsidP="00DE6E3B">
      <w:pPr>
        <w:rPr>
          <w:rStyle w:val="Hyperlink"/>
          <w:rFonts w:cstheme="minorHAnsi"/>
        </w:rPr>
      </w:pPr>
      <w:r w:rsidRPr="00E34496">
        <w:rPr>
          <w:rFonts w:cstheme="minorHAnsi"/>
        </w:rPr>
        <w:t xml:space="preserve">Australian Red Cross Blood Service patient website: </w:t>
      </w:r>
      <w:hyperlink r:id="rId84" w:history="1">
        <w:r w:rsidRPr="00E34496">
          <w:rPr>
            <w:rStyle w:val="Hyperlink"/>
            <w:rFonts w:cstheme="minorHAnsi"/>
          </w:rPr>
          <w:t>iron deficiency anaemia for patients</w:t>
        </w:r>
      </w:hyperlink>
    </w:p>
    <w:p w:rsidR="00D41B7B" w:rsidRPr="00A061E0" w:rsidRDefault="00DE6E3B" w:rsidP="00DE6E3B">
      <w:pPr>
        <w:pStyle w:val="BodyText"/>
        <w:ind w:left="360" w:hanging="360"/>
        <w:rPr>
          <w:color w:val="0000FF"/>
          <w:u w:val="single"/>
        </w:rPr>
      </w:pPr>
      <w:r w:rsidRPr="00E34496">
        <w:rPr>
          <w:rFonts w:cstheme="minorHAnsi"/>
        </w:rPr>
        <w:t xml:space="preserve">Available at: </w:t>
      </w:r>
      <w:hyperlink r:id="rId85" w:history="1">
        <w:r w:rsidRPr="00E34496">
          <w:rPr>
            <w:rStyle w:val="Hyperlink"/>
            <w:rFonts w:cstheme="minorHAnsi"/>
          </w:rPr>
          <w:t>http://mytransfusion.com.au</w:t>
        </w:r>
      </w:hyperlink>
      <w:r w:rsidR="00D41B7B">
        <w:rPr>
          <w:rFonts w:cstheme="minorHAnsi"/>
        </w:rPr>
        <w:br w:type="page"/>
      </w:r>
    </w:p>
    <w:p w:rsidR="00D41B7B" w:rsidRDefault="00D41B7B" w:rsidP="00D41B7B">
      <w:pPr>
        <w:rPr>
          <w:rFonts w:cstheme="minorHAnsi"/>
        </w:rPr>
      </w:pPr>
      <w:r w:rsidRPr="00977787">
        <w:rPr>
          <w:rFonts w:cstheme="minorHAnsi"/>
          <w:highlight w:val="yellow"/>
        </w:rPr>
        <w:lastRenderedPageBreak/>
        <w:t>This page is intentionally blank</w:t>
      </w:r>
    </w:p>
    <w:p w:rsidR="00D41B7B" w:rsidRDefault="00D41B7B" w:rsidP="00D41B7B">
      <w:pPr>
        <w:rPr>
          <w:rFonts w:cstheme="minorHAnsi"/>
        </w:rPr>
      </w:pPr>
    </w:p>
    <w:p w:rsidR="00D41B7B" w:rsidRPr="000B6B23" w:rsidRDefault="00D41B7B" w:rsidP="00D41B7B">
      <w:pPr>
        <w:rPr>
          <w:rFonts w:cstheme="minorHAnsi"/>
        </w:rPr>
        <w:sectPr w:rsidR="00D41B7B" w:rsidRPr="000B6B23" w:rsidSect="00A061E0">
          <w:headerReference w:type="default" r:id="rId86"/>
          <w:footerReference w:type="default" r:id="rId87"/>
          <w:pgSz w:w="11906" w:h="16838"/>
          <w:pgMar w:top="1418" w:right="1418" w:bottom="1418" w:left="1418" w:header="709" w:footer="680" w:gutter="0"/>
          <w:pgNumType w:start="2"/>
          <w:cols w:space="708"/>
          <w:docGrid w:linePitch="360"/>
        </w:sectPr>
      </w:pPr>
    </w:p>
    <w:p w:rsidR="00D41B7B" w:rsidRDefault="00252CE7" w:rsidP="00252CE7">
      <w:pPr>
        <w:pStyle w:val="Heading1"/>
        <w:ind w:left="567" w:hanging="567"/>
        <w:rPr>
          <w:b w:val="0"/>
        </w:rPr>
      </w:pPr>
      <w:r w:rsidRPr="00731F23">
        <w:rPr>
          <w:rFonts w:ascii="TitilliumText25L" w:eastAsia="TitilliumText25L" w:hAnsi="TitilliumText25L" w:cs="TitilliumText25L"/>
          <w:b w:val="0"/>
          <w:color w:val="D0202E"/>
          <w:position w:val="-1"/>
          <w:sz w:val="102"/>
          <w:szCs w:val="102"/>
        </w:rPr>
        <w:lastRenderedPageBreak/>
        <w:t>&gt;</w:t>
      </w:r>
      <w:r w:rsidRPr="00252CE7">
        <w:rPr>
          <w:rFonts w:ascii="TitilliumText25L" w:eastAsia="TitilliumText25L" w:hAnsi="TitilliumText25L" w:cs="TitilliumText25L"/>
          <w:b w:val="0"/>
          <w:bCs w:val="0"/>
          <w:color w:val="D0202E"/>
          <w:sz w:val="60"/>
          <w:szCs w:val="60"/>
        </w:rPr>
        <w:t xml:space="preserve">APPENDIX 2: </w:t>
      </w:r>
      <w:r w:rsidRPr="00252CE7">
        <w:rPr>
          <w:rFonts w:ascii="TitilliumText25L" w:eastAsia="TitilliumText25L" w:hAnsi="TitilliumText25L" w:cs="TitilliumText25L"/>
          <w:b w:val="0"/>
          <w:bCs w:val="0"/>
          <w:color w:val="D0202E"/>
          <w:sz w:val="52"/>
          <w:szCs w:val="60"/>
        </w:rPr>
        <w:t>INTRAVENOUS IRON PREPARATIONS COMPARISON INFORMATION (AS PER PRODUCT INFORMATION)</w:t>
      </w:r>
    </w:p>
    <w:tbl>
      <w:tblPr>
        <w:tblStyle w:val="TableGrid"/>
        <w:tblW w:w="15417" w:type="dxa"/>
        <w:tblLook w:val="04A0" w:firstRow="1" w:lastRow="0" w:firstColumn="1" w:lastColumn="0" w:noHBand="0" w:noVBand="1"/>
      </w:tblPr>
      <w:tblGrid>
        <w:gridCol w:w="1951"/>
        <w:gridCol w:w="4488"/>
        <w:gridCol w:w="4489"/>
        <w:gridCol w:w="4489"/>
      </w:tblGrid>
      <w:tr w:rsidR="00D41B7B" w:rsidRPr="00B2761E" w:rsidTr="00D91A9C">
        <w:tc>
          <w:tcPr>
            <w:tcW w:w="1951" w:type="dxa"/>
            <w:tcBorders>
              <w:top w:val="single" w:sz="4" w:space="0" w:color="auto"/>
              <w:left w:val="single" w:sz="4" w:space="0" w:color="auto"/>
              <w:bottom w:val="single" w:sz="4" w:space="0" w:color="auto"/>
              <w:right w:val="single" w:sz="4" w:space="0" w:color="auto"/>
            </w:tcBorders>
          </w:tcPr>
          <w:p w:rsidR="00D41B7B" w:rsidRPr="00B2761E" w:rsidRDefault="00D41B7B" w:rsidP="00D91A9C">
            <w:pPr>
              <w:spacing w:before="40" w:after="40"/>
              <w:rPr>
                <w:rFonts w:cstheme="minorHAnsi"/>
                <w:b/>
                <w:sz w:val="20"/>
                <w:szCs w:val="20"/>
              </w:rPr>
            </w:pPr>
          </w:p>
        </w:tc>
        <w:tc>
          <w:tcPr>
            <w:tcW w:w="4488" w:type="dxa"/>
            <w:tcBorders>
              <w:top w:val="single" w:sz="4" w:space="0" w:color="auto"/>
              <w:left w:val="single" w:sz="4" w:space="0" w:color="auto"/>
              <w:bottom w:val="single" w:sz="4" w:space="0" w:color="auto"/>
              <w:right w:val="single" w:sz="4" w:space="0" w:color="auto"/>
            </w:tcBorders>
            <w:hideMark/>
          </w:tcPr>
          <w:p w:rsidR="00D41B7B" w:rsidRPr="00B2761E" w:rsidRDefault="00D41B7B" w:rsidP="00D91A9C">
            <w:pPr>
              <w:spacing w:before="40" w:after="40"/>
              <w:rPr>
                <w:rFonts w:cstheme="minorHAnsi"/>
                <w:b/>
                <w:sz w:val="20"/>
                <w:szCs w:val="20"/>
              </w:rPr>
            </w:pPr>
            <w:r w:rsidRPr="00B2761E">
              <w:rPr>
                <w:rFonts w:cstheme="minorHAnsi"/>
                <w:b/>
                <w:sz w:val="20"/>
                <w:szCs w:val="20"/>
              </w:rPr>
              <w:t xml:space="preserve">Ferric </w:t>
            </w:r>
            <w:proofErr w:type="spellStart"/>
            <w:r w:rsidRPr="00B2761E">
              <w:rPr>
                <w:rFonts w:cstheme="minorHAnsi"/>
                <w:b/>
                <w:sz w:val="20"/>
                <w:szCs w:val="20"/>
              </w:rPr>
              <w:t>carboxymaltose</w:t>
            </w:r>
            <w:proofErr w:type="spellEnd"/>
          </w:p>
        </w:tc>
        <w:tc>
          <w:tcPr>
            <w:tcW w:w="4489" w:type="dxa"/>
            <w:tcBorders>
              <w:top w:val="single" w:sz="4" w:space="0" w:color="auto"/>
              <w:left w:val="single" w:sz="4" w:space="0" w:color="auto"/>
              <w:bottom w:val="single" w:sz="4" w:space="0" w:color="auto"/>
              <w:right w:val="single" w:sz="4" w:space="0" w:color="auto"/>
            </w:tcBorders>
          </w:tcPr>
          <w:p w:rsidR="00D41B7B" w:rsidRPr="00B2761E" w:rsidRDefault="00D41B7B" w:rsidP="00D91A9C">
            <w:pPr>
              <w:spacing w:before="40" w:after="40"/>
              <w:rPr>
                <w:rFonts w:cstheme="minorHAnsi"/>
                <w:b/>
                <w:sz w:val="20"/>
                <w:szCs w:val="20"/>
              </w:rPr>
            </w:pPr>
            <w:r w:rsidRPr="00B2761E">
              <w:rPr>
                <w:rFonts w:cstheme="minorHAnsi"/>
                <w:b/>
                <w:sz w:val="20"/>
                <w:szCs w:val="20"/>
              </w:rPr>
              <w:t>Iron sucrose</w:t>
            </w:r>
          </w:p>
        </w:tc>
        <w:tc>
          <w:tcPr>
            <w:tcW w:w="4489" w:type="dxa"/>
            <w:tcBorders>
              <w:top w:val="single" w:sz="4" w:space="0" w:color="auto"/>
              <w:left w:val="single" w:sz="4" w:space="0" w:color="auto"/>
              <w:bottom w:val="single" w:sz="4" w:space="0" w:color="auto"/>
              <w:right w:val="single" w:sz="4" w:space="0" w:color="auto"/>
            </w:tcBorders>
            <w:hideMark/>
          </w:tcPr>
          <w:p w:rsidR="00D41B7B" w:rsidRPr="00B2761E" w:rsidRDefault="00D41B7B" w:rsidP="00D91A9C">
            <w:pPr>
              <w:spacing w:before="40" w:after="40"/>
              <w:rPr>
                <w:rFonts w:cstheme="minorHAnsi"/>
                <w:b/>
                <w:sz w:val="20"/>
                <w:szCs w:val="20"/>
              </w:rPr>
            </w:pPr>
            <w:r w:rsidRPr="00B2761E">
              <w:rPr>
                <w:rFonts w:cstheme="minorHAnsi"/>
                <w:b/>
                <w:sz w:val="20"/>
                <w:szCs w:val="20"/>
              </w:rPr>
              <w:t xml:space="preserve">Iron </w:t>
            </w:r>
            <w:proofErr w:type="spellStart"/>
            <w:r w:rsidRPr="00B2761E">
              <w:rPr>
                <w:rFonts w:cstheme="minorHAnsi"/>
                <w:b/>
                <w:sz w:val="20"/>
                <w:szCs w:val="20"/>
              </w:rPr>
              <w:t>polymaltose</w:t>
            </w:r>
            <w:proofErr w:type="spellEnd"/>
          </w:p>
        </w:tc>
      </w:tr>
      <w:tr w:rsidR="00D41B7B" w:rsidRPr="005D42D6" w:rsidTr="00D91A9C">
        <w:tc>
          <w:tcPr>
            <w:tcW w:w="1951" w:type="dxa"/>
          </w:tcPr>
          <w:p w:rsidR="00D41B7B" w:rsidRDefault="00D41B7B" w:rsidP="00D91A9C">
            <w:pPr>
              <w:spacing w:before="40" w:after="40"/>
              <w:rPr>
                <w:rFonts w:cstheme="minorHAnsi"/>
                <w:sz w:val="18"/>
                <w:szCs w:val="18"/>
              </w:rPr>
            </w:pPr>
            <w:r>
              <w:rPr>
                <w:rFonts w:cstheme="minorHAnsi"/>
                <w:sz w:val="18"/>
                <w:szCs w:val="18"/>
              </w:rPr>
              <w:t>Indication</w:t>
            </w:r>
          </w:p>
          <w:p w:rsidR="00D41B7B" w:rsidRPr="007454C4" w:rsidRDefault="00D41B7B" w:rsidP="00D91A9C">
            <w:pPr>
              <w:spacing w:before="40" w:after="40"/>
              <w:rPr>
                <w:rFonts w:cstheme="minorHAnsi"/>
                <w:sz w:val="18"/>
                <w:szCs w:val="18"/>
              </w:rPr>
            </w:pPr>
          </w:p>
        </w:tc>
        <w:tc>
          <w:tcPr>
            <w:tcW w:w="4488" w:type="dxa"/>
          </w:tcPr>
          <w:p w:rsidR="00D41B7B" w:rsidRPr="00915EAB" w:rsidRDefault="00D41B7B" w:rsidP="00D91A9C">
            <w:pPr>
              <w:spacing w:before="40" w:after="40"/>
              <w:rPr>
                <w:rFonts w:cstheme="minorHAnsi"/>
                <w:sz w:val="18"/>
                <w:szCs w:val="18"/>
              </w:rPr>
            </w:pPr>
            <w:r>
              <w:rPr>
                <w:rFonts w:cstheme="minorHAnsi"/>
                <w:sz w:val="18"/>
                <w:szCs w:val="18"/>
              </w:rPr>
              <w:t>T</w:t>
            </w:r>
            <w:r w:rsidRPr="00915EAB">
              <w:rPr>
                <w:rFonts w:cstheme="minorHAnsi"/>
                <w:sz w:val="18"/>
                <w:szCs w:val="18"/>
              </w:rPr>
              <w:t>reatment of (laboratory diagnosed) iron deficiency when oral iron preparations are ineffective or cannot be used</w:t>
            </w:r>
            <w:r>
              <w:rPr>
                <w:rFonts w:cstheme="minorHAnsi"/>
                <w:sz w:val="18"/>
                <w:szCs w:val="18"/>
              </w:rPr>
              <w:t>.</w:t>
            </w:r>
          </w:p>
        </w:tc>
        <w:tc>
          <w:tcPr>
            <w:tcW w:w="4489" w:type="dxa"/>
          </w:tcPr>
          <w:p w:rsidR="00D41B7B" w:rsidRPr="00915EAB" w:rsidRDefault="00D41B7B" w:rsidP="00D91A9C">
            <w:pPr>
              <w:spacing w:before="40" w:after="40"/>
              <w:rPr>
                <w:rFonts w:cstheme="minorHAnsi"/>
                <w:sz w:val="18"/>
                <w:szCs w:val="18"/>
              </w:rPr>
            </w:pPr>
            <w:r>
              <w:rPr>
                <w:sz w:val="18"/>
                <w:szCs w:val="18"/>
              </w:rPr>
              <w:t>T</w:t>
            </w:r>
            <w:r w:rsidRPr="00915EAB">
              <w:rPr>
                <w:sz w:val="18"/>
                <w:szCs w:val="18"/>
              </w:rPr>
              <w:t xml:space="preserve">he treatment of </w:t>
            </w:r>
            <w:r w:rsidRPr="00915EAB">
              <w:rPr>
                <w:rFonts w:cstheme="minorHAnsi"/>
                <w:sz w:val="18"/>
                <w:szCs w:val="18"/>
              </w:rPr>
              <w:t xml:space="preserve">(laboratory diagnosed) </w:t>
            </w:r>
            <w:r w:rsidRPr="00915EAB">
              <w:rPr>
                <w:sz w:val="18"/>
                <w:szCs w:val="18"/>
              </w:rPr>
              <w:t>iron deficiency anaemia in patients undergoing chronic haemodialysis and who are receiving supplemental erythropoietin therapy</w:t>
            </w:r>
            <w:r>
              <w:rPr>
                <w:sz w:val="18"/>
                <w:szCs w:val="18"/>
              </w:rPr>
              <w:t>.</w:t>
            </w:r>
          </w:p>
        </w:tc>
        <w:tc>
          <w:tcPr>
            <w:tcW w:w="4489" w:type="dxa"/>
          </w:tcPr>
          <w:p w:rsidR="00D41B7B" w:rsidRPr="00915EAB" w:rsidRDefault="00D41B7B" w:rsidP="00D91A9C">
            <w:pPr>
              <w:spacing w:before="40" w:after="40"/>
              <w:rPr>
                <w:rFonts w:cstheme="minorHAnsi"/>
                <w:sz w:val="18"/>
                <w:szCs w:val="18"/>
              </w:rPr>
            </w:pPr>
            <w:r>
              <w:rPr>
                <w:rFonts w:cstheme="minorHAnsi"/>
                <w:sz w:val="18"/>
                <w:szCs w:val="18"/>
              </w:rPr>
              <w:t>T</w:t>
            </w:r>
            <w:r w:rsidRPr="00915EAB">
              <w:rPr>
                <w:rFonts w:cstheme="minorHAnsi"/>
                <w:sz w:val="18"/>
                <w:szCs w:val="18"/>
              </w:rPr>
              <w:t xml:space="preserve">reatment of iron deficiency anaemia when oral therapy is contraindicated, enteric absorption of iron is defective or when patient non-compliance or persistent gastrointestinal intolerance makes oral therapy </w:t>
            </w:r>
            <w:r>
              <w:rPr>
                <w:rFonts w:cstheme="minorHAnsi"/>
                <w:sz w:val="18"/>
                <w:szCs w:val="18"/>
              </w:rPr>
              <w:t>impractical.</w:t>
            </w:r>
          </w:p>
        </w:tc>
      </w:tr>
      <w:tr w:rsidR="00D41B7B" w:rsidRPr="005D42D6" w:rsidTr="00D91A9C">
        <w:tc>
          <w:tcPr>
            <w:tcW w:w="1951" w:type="dxa"/>
            <w:tcBorders>
              <w:top w:val="single" w:sz="4" w:space="0" w:color="auto"/>
              <w:left w:val="single" w:sz="4" w:space="0" w:color="auto"/>
              <w:bottom w:val="single" w:sz="4" w:space="0" w:color="auto"/>
              <w:right w:val="single" w:sz="4" w:space="0" w:color="auto"/>
            </w:tcBorders>
          </w:tcPr>
          <w:p w:rsidR="00D41B7B" w:rsidRPr="007454C4" w:rsidRDefault="00D41B7B" w:rsidP="00D91A9C">
            <w:pPr>
              <w:spacing w:before="40" w:after="40"/>
              <w:rPr>
                <w:rFonts w:cstheme="minorHAnsi"/>
                <w:sz w:val="18"/>
                <w:szCs w:val="18"/>
              </w:rPr>
            </w:pPr>
            <w:r w:rsidRPr="007454C4">
              <w:rPr>
                <w:rFonts w:cstheme="minorHAnsi"/>
                <w:sz w:val="18"/>
                <w:szCs w:val="18"/>
              </w:rPr>
              <w:t>Iron concentration (mg/mL)</w:t>
            </w:r>
          </w:p>
        </w:tc>
        <w:tc>
          <w:tcPr>
            <w:tcW w:w="4488" w:type="dxa"/>
            <w:tcBorders>
              <w:top w:val="single" w:sz="4" w:space="0" w:color="auto"/>
              <w:left w:val="single" w:sz="4" w:space="0" w:color="auto"/>
              <w:bottom w:val="single" w:sz="4" w:space="0" w:color="auto"/>
              <w:right w:val="single" w:sz="4" w:space="0" w:color="auto"/>
            </w:tcBorders>
          </w:tcPr>
          <w:p w:rsidR="00D41B7B" w:rsidRPr="007454C4" w:rsidRDefault="00D41B7B" w:rsidP="00D91A9C">
            <w:pPr>
              <w:spacing w:before="40" w:after="40"/>
              <w:rPr>
                <w:rFonts w:cstheme="minorHAnsi"/>
                <w:sz w:val="18"/>
                <w:szCs w:val="18"/>
              </w:rPr>
            </w:pPr>
            <w:r w:rsidRPr="007454C4">
              <w:rPr>
                <w:rFonts w:cstheme="minorHAnsi"/>
                <w:sz w:val="18"/>
                <w:szCs w:val="18"/>
              </w:rPr>
              <w:t>50 mg/mL</w:t>
            </w:r>
          </w:p>
        </w:tc>
        <w:tc>
          <w:tcPr>
            <w:tcW w:w="4489" w:type="dxa"/>
            <w:tcBorders>
              <w:top w:val="single" w:sz="4" w:space="0" w:color="auto"/>
              <w:left w:val="single" w:sz="4" w:space="0" w:color="auto"/>
              <w:bottom w:val="single" w:sz="4" w:space="0" w:color="auto"/>
              <w:right w:val="single" w:sz="4" w:space="0" w:color="auto"/>
            </w:tcBorders>
          </w:tcPr>
          <w:p w:rsidR="00D41B7B" w:rsidRPr="007454C4" w:rsidRDefault="00D41B7B" w:rsidP="00D91A9C">
            <w:pPr>
              <w:spacing w:before="40" w:after="40"/>
              <w:rPr>
                <w:rFonts w:cstheme="minorHAnsi"/>
                <w:sz w:val="18"/>
                <w:szCs w:val="18"/>
              </w:rPr>
            </w:pPr>
            <w:r w:rsidRPr="007454C4">
              <w:rPr>
                <w:rFonts w:cstheme="minorHAnsi"/>
                <w:sz w:val="18"/>
                <w:szCs w:val="18"/>
              </w:rPr>
              <w:t>20 mg/mL</w:t>
            </w:r>
          </w:p>
        </w:tc>
        <w:tc>
          <w:tcPr>
            <w:tcW w:w="4489" w:type="dxa"/>
            <w:tcBorders>
              <w:top w:val="single" w:sz="4" w:space="0" w:color="auto"/>
              <w:left w:val="single" w:sz="4" w:space="0" w:color="auto"/>
              <w:bottom w:val="single" w:sz="4" w:space="0" w:color="auto"/>
              <w:right w:val="single" w:sz="4" w:space="0" w:color="auto"/>
            </w:tcBorders>
          </w:tcPr>
          <w:p w:rsidR="00D41B7B" w:rsidRPr="007454C4" w:rsidRDefault="00D41B7B" w:rsidP="00D91A9C">
            <w:pPr>
              <w:spacing w:before="40" w:after="40"/>
              <w:rPr>
                <w:rFonts w:cstheme="minorHAnsi"/>
                <w:sz w:val="18"/>
                <w:szCs w:val="18"/>
              </w:rPr>
            </w:pPr>
            <w:r w:rsidRPr="007454C4">
              <w:rPr>
                <w:rFonts w:cstheme="minorHAnsi"/>
                <w:sz w:val="18"/>
                <w:szCs w:val="18"/>
              </w:rPr>
              <w:t xml:space="preserve">50 mg/mL </w:t>
            </w:r>
          </w:p>
        </w:tc>
      </w:tr>
      <w:tr w:rsidR="00D41B7B" w:rsidRPr="005D42D6" w:rsidTr="00D91A9C">
        <w:tc>
          <w:tcPr>
            <w:tcW w:w="1951" w:type="dxa"/>
            <w:tcBorders>
              <w:top w:val="single" w:sz="4" w:space="0" w:color="auto"/>
              <w:left w:val="single" w:sz="4" w:space="0" w:color="auto"/>
              <w:bottom w:val="single" w:sz="4" w:space="0" w:color="auto"/>
              <w:right w:val="single" w:sz="4" w:space="0" w:color="auto"/>
            </w:tcBorders>
          </w:tcPr>
          <w:p w:rsidR="00D41B7B" w:rsidRPr="007454C4" w:rsidRDefault="00D41B7B" w:rsidP="00D91A9C">
            <w:pPr>
              <w:spacing w:before="40" w:after="40"/>
              <w:rPr>
                <w:rFonts w:cstheme="minorHAnsi"/>
                <w:sz w:val="18"/>
                <w:szCs w:val="18"/>
              </w:rPr>
            </w:pPr>
            <w:r>
              <w:rPr>
                <w:rFonts w:cstheme="minorHAnsi"/>
                <w:sz w:val="18"/>
                <w:szCs w:val="18"/>
              </w:rPr>
              <w:t>Presentation</w:t>
            </w:r>
          </w:p>
        </w:tc>
        <w:tc>
          <w:tcPr>
            <w:tcW w:w="4488" w:type="dxa"/>
            <w:tcBorders>
              <w:top w:val="single" w:sz="4" w:space="0" w:color="auto"/>
              <w:left w:val="single" w:sz="4" w:space="0" w:color="auto"/>
              <w:bottom w:val="single" w:sz="4" w:space="0" w:color="auto"/>
              <w:right w:val="single" w:sz="4" w:space="0" w:color="auto"/>
            </w:tcBorders>
          </w:tcPr>
          <w:p w:rsidR="00D41B7B" w:rsidRPr="007454C4" w:rsidRDefault="00D41B7B" w:rsidP="00D91A9C">
            <w:pPr>
              <w:spacing w:before="40" w:after="40"/>
              <w:rPr>
                <w:rFonts w:cstheme="minorHAnsi"/>
                <w:sz w:val="18"/>
                <w:szCs w:val="18"/>
              </w:rPr>
            </w:pPr>
            <w:r>
              <w:rPr>
                <w:rFonts w:cstheme="minorHAnsi"/>
                <w:sz w:val="18"/>
                <w:szCs w:val="18"/>
              </w:rPr>
              <w:t>2 mL (100 mg ) or 10 mL (500 mg) vial</w:t>
            </w:r>
          </w:p>
        </w:tc>
        <w:tc>
          <w:tcPr>
            <w:tcW w:w="4489" w:type="dxa"/>
            <w:tcBorders>
              <w:top w:val="single" w:sz="4" w:space="0" w:color="auto"/>
              <w:left w:val="single" w:sz="4" w:space="0" w:color="auto"/>
              <w:bottom w:val="single" w:sz="4" w:space="0" w:color="auto"/>
              <w:right w:val="single" w:sz="4" w:space="0" w:color="auto"/>
            </w:tcBorders>
          </w:tcPr>
          <w:p w:rsidR="00D41B7B" w:rsidRPr="007454C4" w:rsidRDefault="00D41B7B" w:rsidP="00D91A9C">
            <w:pPr>
              <w:spacing w:before="40" w:after="40"/>
              <w:rPr>
                <w:rFonts w:cstheme="minorHAnsi"/>
                <w:sz w:val="18"/>
                <w:szCs w:val="18"/>
              </w:rPr>
            </w:pPr>
            <w:r>
              <w:rPr>
                <w:rFonts w:cstheme="minorHAnsi"/>
                <w:sz w:val="18"/>
                <w:szCs w:val="18"/>
              </w:rPr>
              <w:t>5 mL ampoules</w:t>
            </w:r>
          </w:p>
        </w:tc>
        <w:tc>
          <w:tcPr>
            <w:tcW w:w="4489" w:type="dxa"/>
            <w:tcBorders>
              <w:top w:val="single" w:sz="4" w:space="0" w:color="auto"/>
              <w:left w:val="single" w:sz="4" w:space="0" w:color="auto"/>
              <w:bottom w:val="single" w:sz="4" w:space="0" w:color="auto"/>
              <w:right w:val="single" w:sz="4" w:space="0" w:color="auto"/>
            </w:tcBorders>
          </w:tcPr>
          <w:p w:rsidR="00D41B7B" w:rsidRPr="007454C4" w:rsidRDefault="00D41B7B" w:rsidP="00D91A9C">
            <w:pPr>
              <w:spacing w:before="40" w:after="40"/>
              <w:rPr>
                <w:rFonts w:cstheme="minorHAnsi"/>
                <w:sz w:val="18"/>
                <w:szCs w:val="18"/>
              </w:rPr>
            </w:pPr>
            <w:r>
              <w:rPr>
                <w:rFonts w:cstheme="minorHAnsi"/>
                <w:sz w:val="18"/>
                <w:szCs w:val="18"/>
              </w:rPr>
              <w:t>2 mL ampoules</w:t>
            </w:r>
          </w:p>
        </w:tc>
      </w:tr>
      <w:tr w:rsidR="00D41B7B" w:rsidRPr="005D42D6" w:rsidTr="00D91A9C">
        <w:tc>
          <w:tcPr>
            <w:tcW w:w="1951" w:type="dxa"/>
            <w:tcBorders>
              <w:top w:val="single" w:sz="4" w:space="0" w:color="auto"/>
              <w:left w:val="single" w:sz="4" w:space="0" w:color="auto"/>
              <w:bottom w:val="single" w:sz="4" w:space="0" w:color="auto"/>
              <w:right w:val="single" w:sz="4" w:space="0" w:color="auto"/>
            </w:tcBorders>
            <w:hideMark/>
          </w:tcPr>
          <w:p w:rsidR="00D41B7B" w:rsidRPr="007454C4" w:rsidRDefault="00D41B7B" w:rsidP="00D91A9C">
            <w:pPr>
              <w:spacing w:before="40" w:after="40"/>
              <w:rPr>
                <w:rFonts w:cstheme="minorHAnsi"/>
                <w:sz w:val="18"/>
                <w:szCs w:val="18"/>
              </w:rPr>
            </w:pPr>
            <w:r w:rsidRPr="007454C4">
              <w:rPr>
                <w:rFonts w:cstheme="minorHAnsi"/>
                <w:sz w:val="18"/>
                <w:szCs w:val="18"/>
              </w:rPr>
              <w:t>Maximum dose in a single administration</w:t>
            </w:r>
            <w:r>
              <w:rPr>
                <w:rFonts w:cstheme="minorHAnsi"/>
                <w:sz w:val="18"/>
                <w:szCs w:val="18"/>
              </w:rPr>
              <w:t xml:space="preserve"> for patients ≥35 kg</w:t>
            </w:r>
          </w:p>
        </w:tc>
        <w:tc>
          <w:tcPr>
            <w:tcW w:w="4488" w:type="dxa"/>
            <w:tcBorders>
              <w:top w:val="single" w:sz="4" w:space="0" w:color="auto"/>
              <w:left w:val="single" w:sz="4" w:space="0" w:color="auto"/>
              <w:bottom w:val="single" w:sz="4" w:space="0" w:color="auto"/>
              <w:right w:val="single" w:sz="4" w:space="0" w:color="auto"/>
            </w:tcBorders>
            <w:hideMark/>
          </w:tcPr>
          <w:p w:rsidR="00D41B7B" w:rsidRPr="007454C4" w:rsidRDefault="00D41B7B" w:rsidP="00D91A9C">
            <w:pPr>
              <w:spacing w:before="40" w:after="40"/>
              <w:rPr>
                <w:rFonts w:cstheme="minorHAnsi"/>
                <w:sz w:val="18"/>
                <w:szCs w:val="18"/>
              </w:rPr>
            </w:pPr>
            <w:r w:rsidRPr="007454C4">
              <w:rPr>
                <w:rFonts w:cstheme="minorHAnsi"/>
                <w:sz w:val="18"/>
                <w:szCs w:val="18"/>
              </w:rPr>
              <w:t>1000 mg (not more than 1000 mg per week)</w:t>
            </w:r>
          </w:p>
          <w:p w:rsidR="00D41B7B" w:rsidRPr="007454C4" w:rsidRDefault="00D41B7B" w:rsidP="00D91A9C">
            <w:pPr>
              <w:spacing w:before="40" w:after="40"/>
              <w:rPr>
                <w:rFonts w:cstheme="minorHAnsi"/>
                <w:sz w:val="18"/>
                <w:szCs w:val="18"/>
              </w:rPr>
            </w:pPr>
            <w:r w:rsidRPr="007454C4">
              <w:rPr>
                <w:rFonts w:cstheme="minorHAnsi"/>
                <w:sz w:val="18"/>
                <w:szCs w:val="18"/>
              </w:rPr>
              <w:t>(max 20 mg iron/kg body weight</w:t>
            </w:r>
            <w:r>
              <w:rPr>
                <w:rFonts w:cstheme="minorHAnsi"/>
                <w:sz w:val="18"/>
                <w:szCs w:val="18"/>
              </w:rPr>
              <w:t>*</w:t>
            </w:r>
            <w:r w:rsidRPr="007454C4">
              <w:rPr>
                <w:rFonts w:cstheme="minorHAnsi"/>
                <w:sz w:val="18"/>
                <w:szCs w:val="18"/>
              </w:rPr>
              <w:t>)</w:t>
            </w:r>
          </w:p>
        </w:tc>
        <w:tc>
          <w:tcPr>
            <w:tcW w:w="4489" w:type="dxa"/>
            <w:tcBorders>
              <w:top w:val="single" w:sz="4" w:space="0" w:color="auto"/>
              <w:left w:val="single" w:sz="4" w:space="0" w:color="auto"/>
              <w:bottom w:val="single" w:sz="4" w:space="0" w:color="auto"/>
              <w:right w:val="single" w:sz="4" w:space="0" w:color="auto"/>
            </w:tcBorders>
          </w:tcPr>
          <w:p w:rsidR="00D41B7B" w:rsidRPr="007454C4" w:rsidRDefault="00D41B7B" w:rsidP="00D91A9C">
            <w:pPr>
              <w:spacing w:before="40" w:after="40"/>
              <w:rPr>
                <w:rFonts w:cstheme="minorHAnsi"/>
                <w:sz w:val="18"/>
                <w:szCs w:val="18"/>
              </w:rPr>
            </w:pPr>
            <w:r w:rsidRPr="007454C4">
              <w:rPr>
                <w:rFonts w:cstheme="minorHAnsi"/>
                <w:sz w:val="18"/>
                <w:szCs w:val="18"/>
              </w:rPr>
              <w:t>100 mg</w:t>
            </w:r>
            <w:r>
              <w:rPr>
                <w:rFonts w:cstheme="minorHAnsi"/>
                <w:sz w:val="18"/>
                <w:szCs w:val="18"/>
              </w:rPr>
              <w:t xml:space="preserve"> not more than 3 times per week</w:t>
            </w:r>
          </w:p>
          <w:p w:rsidR="00D41B7B" w:rsidRPr="007454C4" w:rsidRDefault="00D41B7B" w:rsidP="00D91A9C">
            <w:pPr>
              <w:spacing w:before="40" w:after="40"/>
              <w:rPr>
                <w:rFonts w:cstheme="minorHAnsi"/>
                <w:sz w:val="18"/>
                <w:szCs w:val="18"/>
              </w:rPr>
            </w:pPr>
            <w:r w:rsidRPr="007454C4">
              <w:rPr>
                <w:rFonts w:cstheme="minorHAnsi"/>
                <w:sz w:val="18"/>
                <w:szCs w:val="18"/>
              </w:rPr>
              <w:t>Most patients will require a minimum cumulative dose of 1000mg</w:t>
            </w:r>
          </w:p>
        </w:tc>
        <w:tc>
          <w:tcPr>
            <w:tcW w:w="4489" w:type="dxa"/>
            <w:tcBorders>
              <w:top w:val="single" w:sz="4" w:space="0" w:color="auto"/>
              <w:left w:val="single" w:sz="4" w:space="0" w:color="auto"/>
              <w:bottom w:val="single" w:sz="4" w:space="0" w:color="auto"/>
              <w:right w:val="single" w:sz="4" w:space="0" w:color="auto"/>
            </w:tcBorders>
            <w:hideMark/>
          </w:tcPr>
          <w:p w:rsidR="00D41B7B" w:rsidRPr="007454C4" w:rsidRDefault="00D41B7B" w:rsidP="00D91A9C">
            <w:pPr>
              <w:spacing w:before="40" w:after="40"/>
              <w:rPr>
                <w:rFonts w:cstheme="minorHAnsi"/>
                <w:sz w:val="18"/>
                <w:szCs w:val="18"/>
              </w:rPr>
            </w:pPr>
            <w:r w:rsidRPr="007454C4">
              <w:rPr>
                <w:rFonts w:cstheme="minorHAnsi"/>
                <w:sz w:val="18"/>
                <w:szCs w:val="18"/>
              </w:rPr>
              <w:t>2500 mg</w:t>
            </w:r>
            <w:r>
              <w:rPr>
                <w:rFonts w:cstheme="minorHAnsi"/>
                <w:sz w:val="18"/>
                <w:szCs w:val="18"/>
              </w:rPr>
              <w:t xml:space="preserve"> </w:t>
            </w:r>
          </w:p>
        </w:tc>
      </w:tr>
      <w:tr w:rsidR="00D41B7B" w:rsidRPr="005D42D6" w:rsidTr="00D91A9C">
        <w:tc>
          <w:tcPr>
            <w:tcW w:w="1951" w:type="dxa"/>
            <w:hideMark/>
          </w:tcPr>
          <w:p w:rsidR="00D41B7B" w:rsidRDefault="00D41B7B" w:rsidP="00D91A9C">
            <w:pPr>
              <w:spacing w:before="40" w:after="40"/>
              <w:rPr>
                <w:rFonts w:cstheme="minorHAnsi"/>
                <w:sz w:val="18"/>
                <w:szCs w:val="18"/>
              </w:rPr>
            </w:pPr>
            <w:r w:rsidRPr="007454C4">
              <w:rPr>
                <w:rFonts w:cstheme="minorHAnsi"/>
                <w:sz w:val="18"/>
                <w:szCs w:val="18"/>
              </w:rPr>
              <w:t>Frequency of administration</w:t>
            </w:r>
          </w:p>
          <w:p w:rsidR="00D41B7B" w:rsidRPr="007454C4" w:rsidRDefault="00D41B7B" w:rsidP="00D91A9C">
            <w:pPr>
              <w:spacing w:before="40" w:after="40"/>
              <w:rPr>
                <w:rFonts w:cstheme="minorHAnsi"/>
                <w:sz w:val="18"/>
                <w:szCs w:val="18"/>
              </w:rPr>
            </w:pPr>
          </w:p>
        </w:tc>
        <w:tc>
          <w:tcPr>
            <w:tcW w:w="4488" w:type="dxa"/>
            <w:hideMark/>
          </w:tcPr>
          <w:p w:rsidR="00D41B7B" w:rsidRPr="007454C4" w:rsidRDefault="00D41B7B" w:rsidP="00D91A9C">
            <w:pPr>
              <w:spacing w:before="40" w:after="40"/>
              <w:rPr>
                <w:rFonts w:cstheme="minorHAnsi"/>
                <w:sz w:val="18"/>
                <w:szCs w:val="18"/>
              </w:rPr>
            </w:pPr>
            <w:r w:rsidRPr="007454C4">
              <w:rPr>
                <w:rFonts w:cstheme="minorHAnsi"/>
                <w:sz w:val="18"/>
                <w:szCs w:val="18"/>
              </w:rPr>
              <w:t xml:space="preserve">IV infusion: do not give </w:t>
            </w:r>
            <w:r>
              <w:rPr>
                <w:rFonts w:cstheme="minorHAnsi"/>
                <w:sz w:val="18"/>
                <w:szCs w:val="18"/>
              </w:rPr>
              <w:t>more than</w:t>
            </w:r>
            <w:r w:rsidRPr="007454C4">
              <w:rPr>
                <w:rFonts w:cstheme="minorHAnsi"/>
                <w:sz w:val="18"/>
                <w:szCs w:val="18"/>
              </w:rPr>
              <w:t xml:space="preserve">1000mg </w:t>
            </w:r>
            <w:r>
              <w:rPr>
                <w:rFonts w:cstheme="minorHAnsi"/>
                <w:sz w:val="18"/>
                <w:szCs w:val="18"/>
              </w:rPr>
              <w:t>iron per</w:t>
            </w:r>
            <w:r w:rsidRPr="007454C4">
              <w:rPr>
                <w:rFonts w:cstheme="minorHAnsi"/>
                <w:sz w:val="18"/>
                <w:szCs w:val="18"/>
              </w:rPr>
              <w:t xml:space="preserve"> week. Do not exceed calculated cumulative iron dose or 20 mg iron</w:t>
            </w:r>
            <w:r>
              <w:rPr>
                <w:rFonts w:cstheme="minorHAnsi"/>
                <w:sz w:val="18"/>
                <w:szCs w:val="18"/>
              </w:rPr>
              <w:t>/</w:t>
            </w:r>
            <w:r w:rsidRPr="007454C4">
              <w:rPr>
                <w:rFonts w:cstheme="minorHAnsi"/>
                <w:sz w:val="18"/>
                <w:szCs w:val="18"/>
              </w:rPr>
              <w:t>kg body weight</w:t>
            </w:r>
            <w:r>
              <w:rPr>
                <w:rFonts w:cstheme="minorHAnsi"/>
                <w:sz w:val="18"/>
                <w:szCs w:val="18"/>
              </w:rPr>
              <w:t>.</w:t>
            </w:r>
          </w:p>
          <w:p w:rsidR="00D41B7B" w:rsidRPr="007454C4" w:rsidRDefault="00D41B7B" w:rsidP="00D91A9C">
            <w:pPr>
              <w:spacing w:before="40" w:after="40"/>
              <w:rPr>
                <w:rFonts w:cstheme="minorHAnsi"/>
                <w:sz w:val="18"/>
                <w:szCs w:val="18"/>
              </w:rPr>
            </w:pPr>
            <w:r w:rsidRPr="007454C4">
              <w:rPr>
                <w:rFonts w:cstheme="minorHAnsi"/>
                <w:sz w:val="18"/>
                <w:szCs w:val="18"/>
              </w:rPr>
              <w:t>IV bolus injection: max dose of 200mg no more than 3 times a week</w:t>
            </w:r>
            <w:r>
              <w:rPr>
                <w:rFonts w:cstheme="minorHAnsi"/>
                <w:sz w:val="18"/>
                <w:szCs w:val="18"/>
              </w:rPr>
              <w:t>.</w:t>
            </w:r>
          </w:p>
        </w:tc>
        <w:tc>
          <w:tcPr>
            <w:tcW w:w="4489" w:type="dxa"/>
          </w:tcPr>
          <w:p w:rsidR="00D41B7B" w:rsidRPr="007454C4" w:rsidRDefault="00D41B7B" w:rsidP="00D91A9C">
            <w:pPr>
              <w:spacing w:before="40" w:after="40"/>
              <w:rPr>
                <w:rFonts w:cstheme="minorHAnsi"/>
                <w:sz w:val="18"/>
                <w:szCs w:val="18"/>
              </w:rPr>
            </w:pPr>
            <w:r w:rsidRPr="007454C4">
              <w:rPr>
                <w:rFonts w:cstheme="minorHAnsi"/>
                <w:sz w:val="18"/>
                <w:szCs w:val="18"/>
              </w:rPr>
              <w:t>100mg no more than three times per week.</w:t>
            </w:r>
          </w:p>
        </w:tc>
        <w:tc>
          <w:tcPr>
            <w:tcW w:w="4489" w:type="dxa"/>
          </w:tcPr>
          <w:p w:rsidR="00D41B7B" w:rsidRPr="007454C4" w:rsidRDefault="00D41B7B" w:rsidP="00D91A9C">
            <w:pPr>
              <w:spacing w:before="40" w:after="40"/>
              <w:rPr>
                <w:rFonts w:cstheme="minorHAnsi"/>
                <w:sz w:val="18"/>
                <w:szCs w:val="18"/>
              </w:rPr>
            </w:pPr>
          </w:p>
        </w:tc>
      </w:tr>
      <w:tr w:rsidR="00D41B7B" w:rsidRPr="005D42D6" w:rsidTr="00D91A9C">
        <w:tc>
          <w:tcPr>
            <w:tcW w:w="1951" w:type="dxa"/>
            <w:tcBorders>
              <w:top w:val="single" w:sz="4" w:space="0" w:color="auto"/>
              <w:left w:val="single" w:sz="4" w:space="0" w:color="auto"/>
              <w:bottom w:val="single" w:sz="4" w:space="0" w:color="auto"/>
              <w:right w:val="single" w:sz="4" w:space="0" w:color="auto"/>
            </w:tcBorders>
            <w:hideMark/>
          </w:tcPr>
          <w:p w:rsidR="00D41B7B" w:rsidRDefault="00D41B7B" w:rsidP="00D91A9C">
            <w:pPr>
              <w:spacing w:before="40" w:after="40"/>
              <w:rPr>
                <w:rFonts w:cstheme="minorHAnsi"/>
                <w:sz w:val="18"/>
                <w:szCs w:val="18"/>
              </w:rPr>
            </w:pPr>
            <w:r w:rsidRPr="007454C4">
              <w:rPr>
                <w:rFonts w:cstheme="minorHAnsi"/>
                <w:sz w:val="18"/>
                <w:szCs w:val="18"/>
              </w:rPr>
              <w:t>Rate of administration</w:t>
            </w:r>
          </w:p>
          <w:p w:rsidR="00D41B7B" w:rsidRPr="007454C4" w:rsidRDefault="00D41B7B" w:rsidP="00D91A9C">
            <w:pPr>
              <w:spacing w:before="40" w:after="40"/>
              <w:rPr>
                <w:rFonts w:cstheme="minorHAnsi"/>
                <w:sz w:val="18"/>
                <w:szCs w:val="18"/>
              </w:rPr>
            </w:pPr>
          </w:p>
        </w:tc>
        <w:tc>
          <w:tcPr>
            <w:tcW w:w="4488" w:type="dxa"/>
            <w:tcBorders>
              <w:top w:val="single" w:sz="4" w:space="0" w:color="auto"/>
              <w:left w:val="single" w:sz="4" w:space="0" w:color="auto"/>
              <w:bottom w:val="single" w:sz="4" w:space="0" w:color="auto"/>
              <w:right w:val="single" w:sz="4" w:space="0" w:color="auto"/>
            </w:tcBorders>
            <w:hideMark/>
          </w:tcPr>
          <w:p w:rsidR="00D41B7B" w:rsidRPr="007454C4" w:rsidRDefault="00D41B7B" w:rsidP="00D91A9C">
            <w:pPr>
              <w:spacing w:before="40"/>
              <w:rPr>
                <w:sz w:val="18"/>
                <w:szCs w:val="18"/>
              </w:rPr>
            </w:pPr>
            <w:r w:rsidRPr="007454C4">
              <w:rPr>
                <w:sz w:val="18"/>
                <w:szCs w:val="18"/>
              </w:rPr>
              <w:t>IV infusion:</w:t>
            </w:r>
          </w:p>
          <w:p w:rsidR="00D41B7B" w:rsidRPr="007454C4" w:rsidRDefault="00D41B7B" w:rsidP="00D91A9C">
            <w:pPr>
              <w:rPr>
                <w:sz w:val="18"/>
                <w:szCs w:val="18"/>
              </w:rPr>
            </w:pPr>
            <w:r w:rsidRPr="007454C4">
              <w:rPr>
                <w:sz w:val="18"/>
                <w:szCs w:val="18"/>
              </w:rPr>
              <w:t>100-200 mg            3 minutes</w:t>
            </w:r>
          </w:p>
          <w:p w:rsidR="00D41B7B" w:rsidRPr="007454C4" w:rsidRDefault="00D41B7B" w:rsidP="00D91A9C">
            <w:pPr>
              <w:rPr>
                <w:sz w:val="18"/>
                <w:szCs w:val="18"/>
              </w:rPr>
            </w:pPr>
            <w:r w:rsidRPr="007454C4">
              <w:rPr>
                <w:sz w:val="18"/>
                <w:szCs w:val="18"/>
              </w:rPr>
              <w:t>&gt;200-500 mg          6 minutes</w:t>
            </w:r>
          </w:p>
          <w:p w:rsidR="00D41B7B" w:rsidRPr="007454C4" w:rsidRDefault="00D41B7B" w:rsidP="00D91A9C">
            <w:pPr>
              <w:rPr>
                <w:sz w:val="18"/>
                <w:szCs w:val="18"/>
              </w:rPr>
            </w:pPr>
            <w:r w:rsidRPr="007454C4">
              <w:rPr>
                <w:sz w:val="18"/>
                <w:szCs w:val="18"/>
              </w:rPr>
              <w:t>&gt;500-1000 mg      15 minutes</w:t>
            </w:r>
          </w:p>
          <w:p w:rsidR="00D41B7B" w:rsidRPr="007454C4" w:rsidRDefault="00D41B7B" w:rsidP="00D91A9C">
            <w:pPr>
              <w:rPr>
                <w:sz w:val="18"/>
                <w:szCs w:val="18"/>
              </w:rPr>
            </w:pPr>
          </w:p>
          <w:p w:rsidR="00D41B7B" w:rsidRPr="007454C4" w:rsidRDefault="00D41B7B" w:rsidP="00D91A9C">
            <w:pPr>
              <w:rPr>
                <w:sz w:val="18"/>
                <w:szCs w:val="18"/>
              </w:rPr>
            </w:pPr>
            <w:r w:rsidRPr="007454C4">
              <w:rPr>
                <w:sz w:val="18"/>
                <w:szCs w:val="18"/>
              </w:rPr>
              <w:t>IV bolus injection:</w:t>
            </w:r>
          </w:p>
          <w:p w:rsidR="00D41B7B" w:rsidRPr="007454C4" w:rsidRDefault="00D41B7B" w:rsidP="00D91A9C">
            <w:pPr>
              <w:rPr>
                <w:sz w:val="18"/>
                <w:szCs w:val="18"/>
              </w:rPr>
            </w:pPr>
            <w:r w:rsidRPr="007454C4">
              <w:rPr>
                <w:sz w:val="18"/>
                <w:szCs w:val="18"/>
              </w:rPr>
              <w:t>200-500 mg @ 100 mg/min</w:t>
            </w:r>
          </w:p>
          <w:p w:rsidR="00D41B7B" w:rsidRPr="007454C4" w:rsidRDefault="00D41B7B" w:rsidP="00D91A9C">
            <w:pPr>
              <w:rPr>
                <w:sz w:val="18"/>
                <w:szCs w:val="18"/>
              </w:rPr>
            </w:pPr>
            <w:r w:rsidRPr="007454C4">
              <w:rPr>
                <w:sz w:val="18"/>
                <w:szCs w:val="18"/>
              </w:rPr>
              <w:t xml:space="preserve">&gt;500 – 1000 </w:t>
            </w:r>
            <w:r>
              <w:rPr>
                <w:sz w:val="18"/>
                <w:szCs w:val="18"/>
              </w:rPr>
              <w:t xml:space="preserve">mg </w:t>
            </w:r>
            <w:r w:rsidRPr="007454C4">
              <w:rPr>
                <w:sz w:val="18"/>
                <w:szCs w:val="18"/>
              </w:rPr>
              <w:t>over 15 mins</w:t>
            </w:r>
          </w:p>
        </w:tc>
        <w:tc>
          <w:tcPr>
            <w:tcW w:w="4489" w:type="dxa"/>
            <w:tcBorders>
              <w:top w:val="single" w:sz="4" w:space="0" w:color="auto"/>
              <w:left w:val="single" w:sz="4" w:space="0" w:color="auto"/>
              <w:bottom w:val="single" w:sz="4" w:space="0" w:color="auto"/>
              <w:right w:val="single" w:sz="4" w:space="0" w:color="auto"/>
            </w:tcBorders>
          </w:tcPr>
          <w:p w:rsidR="00D41B7B" w:rsidRDefault="00D41B7B" w:rsidP="00D91A9C">
            <w:pPr>
              <w:spacing w:before="40" w:after="40"/>
              <w:rPr>
                <w:rFonts w:cstheme="minorHAnsi"/>
                <w:sz w:val="18"/>
                <w:szCs w:val="18"/>
              </w:rPr>
            </w:pPr>
            <w:r w:rsidRPr="007454C4">
              <w:rPr>
                <w:rFonts w:cstheme="minorHAnsi"/>
                <w:sz w:val="18"/>
                <w:szCs w:val="18"/>
              </w:rPr>
              <w:t>Intravenous in</w:t>
            </w:r>
            <w:r>
              <w:rPr>
                <w:rFonts w:cstheme="minorHAnsi"/>
                <w:sz w:val="18"/>
                <w:szCs w:val="18"/>
              </w:rPr>
              <w:t xml:space="preserve">fusion 100 mg over 15 minutes. </w:t>
            </w:r>
          </w:p>
          <w:p w:rsidR="00D41B7B" w:rsidRPr="007454C4" w:rsidRDefault="00D41B7B" w:rsidP="00D91A9C">
            <w:pPr>
              <w:spacing w:before="40" w:after="40"/>
              <w:rPr>
                <w:rFonts w:cstheme="minorHAnsi"/>
                <w:sz w:val="18"/>
                <w:szCs w:val="18"/>
              </w:rPr>
            </w:pPr>
            <w:r w:rsidRPr="007454C4">
              <w:rPr>
                <w:rFonts w:cstheme="minorHAnsi"/>
                <w:sz w:val="18"/>
                <w:szCs w:val="18"/>
              </w:rPr>
              <w:t>For haemodialysis patient</w:t>
            </w:r>
            <w:r>
              <w:rPr>
                <w:rFonts w:cstheme="minorHAnsi"/>
                <w:sz w:val="18"/>
                <w:szCs w:val="18"/>
              </w:rPr>
              <w:t>s</w:t>
            </w:r>
            <w:r w:rsidRPr="007454C4">
              <w:rPr>
                <w:rFonts w:cstheme="minorHAnsi"/>
                <w:sz w:val="18"/>
                <w:szCs w:val="18"/>
              </w:rPr>
              <w:t xml:space="preserve"> may</w:t>
            </w:r>
            <w:r>
              <w:rPr>
                <w:rFonts w:cstheme="minorHAnsi"/>
                <w:sz w:val="18"/>
                <w:szCs w:val="18"/>
              </w:rPr>
              <w:t xml:space="preserve"> </w:t>
            </w:r>
            <w:r w:rsidRPr="007454C4">
              <w:rPr>
                <w:rFonts w:cstheme="minorHAnsi"/>
                <w:sz w:val="18"/>
                <w:szCs w:val="18"/>
              </w:rPr>
              <w:t xml:space="preserve">be given slow IV injection into the venous limb of the dialysis line </w:t>
            </w:r>
            <w:r>
              <w:rPr>
                <w:rFonts w:cstheme="minorHAnsi"/>
                <w:sz w:val="18"/>
                <w:szCs w:val="18"/>
              </w:rPr>
              <w:t>at 1 mL (</w:t>
            </w:r>
            <w:r w:rsidRPr="007454C4">
              <w:rPr>
                <w:rFonts w:cstheme="minorHAnsi"/>
                <w:sz w:val="18"/>
                <w:szCs w:val="18"/>
              </w:rPr>
              <w:t>20 mg</w:t>
            </w:r>
            <w:r>
              <w:rPr>
                <w:rFonts w:cstheme="minorHAnsi"/>
                <w:sz w:val="18"/>
                <w:szCs w:val="18"/>
              </w:rPr>
              <w:t xml:space="preserve"> iron)</w:t>
            </w:r>
            <w:r w:rsidRPr="007454C4">
              <w:rPr>
                <w:rFonts w:cstheme="minorHAnsi"/>
                <w:sz w:val="18"/>
                <w:szCs w:val="18"/>
              </w:rPr>
              <w:t xml:space="preserve"> per minute</w:t>
            </w:r>
            <w:r>
              <w:rPr>
                <w:rFonts w:cstheme="minorHAnsi"/>
                <w:sz w:val="18"/>
                <w:szCs w:val="18"/>
              </w:rPr>
              <w:t xml:space="preserve"> (</w:t>
            </w:r>
            <w:proofErr w:type="spellStart"/>
            <w:r>
              <w:rPr>
                <w:rFonts w:cstheme="minorHAnsi"/>
                <w:sz w:val="18"/>
                <w:szCs w:val="18"/>
              </w:rPr>
              <w:t>ie</w:t>
            </w:r>
            <w:proofErr w:type="spellEnd"/>
            <w:r>
              <w:rPr>
                <w:rFonts w:cstheme="minorHAnsi"/>
                <w:sz w:val="18"/>
                <w:szCs w:val="18"/>
              </w:rPr>
              <w:t>. 5 minutes per ampoule)</w:t>
            </w:r>
          </w:p>
        </w:tc>
        <w:tc>
          <w:tcPr>
            <w:tcW w:w="4489" w:type="dxa"/>
            <w:tcBorders>
              <w:top w:val="single" w:sz="4" w:space="0" w:color="auto"/>
              <w:left w:val="single" w:sz="4" w:space="0" w:color="auto"/>
              <w:bottom w:val="single" w:sz="4" w:space="0" w:color="auto"/>
              <w:right w:val="single" w:sz="4" w:space="0" w:color="auto"/>
            </w:tcBorders>
          </w:tcPr>
          <w:p w:rsidR="00D41B7B" w:rsidRDefault="00D41B7B" w:rsidP="00D91A9C">
            <w:pPr>
              <w:spacing w:before="40" w:after="40"/>
              <w:rPr>
                <w:rFonts w:cstheme="minorHAnsi"/>
                <w:sz w:val="18"/>
                <w:szCs w:val="18"/>
              </w:rPr>
            </w:pPr>
            <w:r w:rsidRPr="007004A7">
              <w:rPr>
                <w:rFonts w:cstheme="minorHAnsi"/>
                <w:sz w:val="18"/>
                <w:szCs w:val="18"/>
              </w:rPr>
              <w:t>The first 50 mL should be infused slowly at 20-40 mL/hour</w:t>
            </w:r>
          </w:p>
          <w:p w:rsidR="00D41B7B" w:rsidRPr="007454C4" w:rsidRDefault="00D41B7B" w:rsidP="00D91A9C">
            <w:pPr>
              <w:spacing w:before="40" w:after="40"/>
              <w:rPr>
                <w:rFonts w:cstheme="minorHAnsi"/>
                <w:sz w:val="18"/>
                <w:szCs w:val="18"/>
              </w:rPr>
            </w:pPr>
            <w:r>
              <w:rPr>
                <w:rFonts w:cstheme="minorHAnsi"/>
                <w:sz w:val="18"/>
                <w:szCs w:val="18"/>
              </w:rPr>
              <w:t xml:space="preserve">If tolerated may be increased to </w:t>
            </w:r>
            <w:r w:rsidRPr="007454C4">
              <w:rPr>
                <w:rFonts w:cstheme="minorHAnsi"/>
                <w:sz w:val="18"/>
                <w:szCs w:val="18"/>
              </w:rPr>
              <w:t>120 mL/</w:t>
            </w:r>
            <w:r>
              <w:rPr>
                <w:rFonts w:cstheme="minorHAnsi"/>
                <w:sz w:val="18"/>
                <w:szCs w:val="18"/>
              </w:rPr>
              <w:t>hour</w:t>
            </w:r>
          </w:p>
          <w:p w:rsidR="00D41B7B" w:rsidRPr="007454C4" w:rsidRDefault="00D41B7B" w:rsidP="00D91A9C">
            <w:pPr>
              <w:spacing w:before="40" w:after="40"/>
              <w:rPr>
                <w:rFonts w:cstheme="minorHAnsi"/>
                <w:sz w:val="18"/>
                <w:szCs w:val="18"/>
              </w:rPr>
            </w:pPr>
          </w:p>
          <w:p w:rsidR="00D41B7B" w:rsidRPr="007454C4" w:rsidRDefault="00D41B7B" w:rsidP="00D91A9C">
            <w:pPr>
              <w:spacing w:before="40" w:after="40"/>
              <w:rPr>
                <w:rFonts w:cstheme="minorHAnsi"/>
                <w:sz w:val="18"/>
                <w:szCs w:val="18"/>
              </w:rPr>
            </w:pPr>
            <w:r w:rsidRPr="007454C4">
              <w:rPr>
                <w:rFonts w:cstheme="minorHAnsi"/>
                <w:sz w:val="18"/>
                <w:szCs w:val="18"/>
              </w:rPr>
              <w:t>Note: see links below for rapid infusion information</w:t>
            </w:r>
          </w:p>
        </w:tc>
      </w:tr>
      <w:tr w:rsidR="00D41B7B" w:rsidRPr="005D42D6" w:rsidTr="00D91A9C">
        <w:tc>
          <w:tcPr>
            <w:tcW w:w="1951" w:type="dxa"/>
            <w:tcBorders>
              <w:top w:val="single" w:sz="4" w:space="0" w:color="auto"/>
              <w:left w:val="single" w:sz="4" w:space="0" w:color="auto"/>
              <w:bottom w:val="single" w:sz="4" w:space="0" w:color="auto"/>
              <w:right w:val="single" w:sz="4" w:space="0" w:color="auto"/>
            </w:tcBorders>
          </w:tcPr>
          <w:p w:rsidR="00D41B7B" w:rsidRPr="007454C4" w:rsidRDefault="00D41B7B" w:rsidP="00D91A9C">
            <w:pPr>
              <w:spacing w:before="40" w:after="40"/>
              <w:rPr>
                <w:rFonts w:cstheme="minorHAnsi"/>
                <w:sz w:val="18"/>
                <w:szCs w:val="18"/>
              </w:rPr>
            </w:pPr>
            <w:r w:rsidRPr="007454C4">
              <w:rPr>
                <w:rFonts w:cstheme="minorHAnsi"/>
                <w:sz w:val="18"/>
                <w:szCs w:val="18"/>
              </w:rPr>
              <w:t>Total dose single infusion</w:t>
            </w:r>
          </w:p>
        </w:tc>
        <w:tc>
          <w:tcPr>
            <w:tcW w:w="4488" w:type="dxa"/>
            <w:tcBorders>
              <w:top w:val="single" w:sz="4" w:space="0" w:color="auto"/>
              <w:left w:val="single" w:sz="4" w:space="0" w:color="auto"/>
              <w:bottom w:val="single" w:sz="4" w:space="0" w:color="auto"/>
              <w:right w:val="single" w:sz="4" w:space="0" w:color="auto"/>
            </w:tcBorders>
          </w:tcPr>
          <w:p w:rsidR="00D41B7B" w:rsidRPr="007454C4" w:rsidRDefault="00D41B7B" w:rsidP="00D91A9C">
            <w:pPr>
              <w:spacing w:before="40" w:after="40"/>
              <w:rPr>
                <w:rFonts w:cstheme="minorHAnsi"/>
                <w:sz w:val="18"/>
                <w:szCs w:val="18"/>
              </w:rPr>
            </w:pPr>
            <w:r>
              <w:rPr>
                <w:rFonts w:cstheme="minorHAnsi"/>
                <w:sz w:val="18"/>
                <w:szCs w:val="18"/>
              </w:rPr>
              <w:t>No</w:t>
            </w:r>
            <w:r>
              <w:rPr>
                <w:rFonts w:cstheme="minorHAnsi"/>
                <w:sz w:val="18"/>
                <w:szCs w:val="18"/>
              </w:rPr>
              <w:br/>
              <w:t>(Unless total body iron deficit is &lt;1000 mg)</w:t>
            </w:r>
          </w:p>
        </w:tc>
        <w:tc>
          <w:tcPr>
            <w:tcW w:w="4489" w:type="dxa"/>
            <w:tcBorders>
              <w:top w:val="single" w:sz="4" w:space="0" w:color="auto"/>
              <w:left w:val="single" w:sz="4" w:space="0" w:color="auto"/>
              <w:bottom w:val="single" w:sz="4" w:space="0" w:color="auto"/>
              <w:right w:val="single" w:sz="4" w:space="0" w:color="auto"/>
            </w:tcBorders>
          </w:tcPr>
          <w:p w:rsidR="00D41B7B" w:rsidRPr="007454C4" w:rsidRDefault="00D41B7B" w:rsidP="00D91A9C">
            <w:pPr>
              <w:spacing w:before="40" w:after="40"/>
              <w:rPr>
                <w:rFonts w:cstheme="minorHAnsi"/>
                <w:sz w:val="18"/>
                <w:szCs w:val="18"/>
              </w:rPr>
            </w:pPr>
            <w:r w:rsidRPr="007454C4">
              <w:rPr>
                <w:rFonts w:cstheme="minorHAnsi"/>
                <w:sz w:val="18"/>
                <w:szCs w:val="18"/>
              </w:rPr>
              <w:t>No</w:t>
            </w:r>
          </w:p>
        </w:tc>
        <w:tc>
          <w:tcPr>
            <w:tcW w:w="4489" w:type="dxa"/>
            <w:tcBorders>
              <w:top w:val="single" w:sz="4" w:space="0" w:color="auto"/>
              <w:left w:val="single" w:sz="4" w:space="0" w:color="auto"/>
              <w:bottom w:val="single" w:sz="4" w:space="0" w:color="auto"/>
              <w:right w:val="single" w:sz="4" w:space="0" w:color="auto"/>
            </w:tcBorders>
          </w:tcPr>
          <w:p w:rsidR="00D41B7B" w:rsidRPr="007454C4" w:rsidRDefault="00D41B7B" w:rsidP="00D91A9C">
            <w:pPr>
              <w:spacing w:before="40" w:after="40"/>
              <w:rPr>
                <w:rFonts w:cstheme="minorHAnsi"/>
                <w:sz w:val="18"/>
                <w:szCs w:val="18"/>
              </w:rPr>
            </w:pPr>
            <w:r>
              <w:rPr>
                <w:rFonts w:cstheme="minorHAnsi"/>
                <w:sz w:val="18"/>
                <w:szCs w:val="18"/>
              </w:rPr>
              <w:t>Yes</w:t>
            </w:r>
          </w:p>
        </w:tc>
      </w:tr>
      <w:tr w:rsidR="00D41B7B" w:rsidRPr="005D42D6" w:rsidTr="00D91A9C">
        <w:tc>
          <w:tcPr>
            <w:tcW w:w="1951" w:type="dxa"/>
            <w:tcBorders>
              <w:top w:val="single" w:sz="4" w:space="0" w:color="auto"/>
              <w:left w:val="single" w:sz="4" w:space="0" w:color="auto"/>
              <w:bottom w:val="single" w:sz="4" w:space="0" w:color="auto"/>
              <w:right w:val="single" w:sz="4" w:space="0" w:color="auto"/>
            </w:tcBorders>
            <w:hideMark/>
          </w:tcPr>
          <w:p w:rsidR="00D41B7B" w:rsidRPr="007454C4" w:rsidRDefault="00D41B7B" w:rsidP="00D91A9C">
            <w:pPr>
              <w:spacing w:before="40" w:after="40"/>
              <w:rPr>
                <w:rFonts w:cstheme="minorHAnsi"/>
                <w:sz w:val="18"/>
                <w:szCs w:val="18"/>
              </w:rPr>
            </w:pPr>
            <w:r w:rsidRPr="007454C4">
              <w:rPr>
                <w:rFonts w:cstheme="minorHAnsi"/>
                <w:sz w:val="18"/>
                <w:szCs w:val="18"/>
              </w:rPr>
              <w:t>Link to Product information</w:t>
            </w:r>
          </w:p>
        </w:tc>
        <w:tc>
          <w:tcPr>
            <w:tcW w:w="4488" w:type="dxa"/>
            <w:tcBorders>
              <w:top w:val="single" w:sz="4" w:space="0" w:color="auto"/>
              <w:left w:val="single" w:sz="4" w:space="0" w:color="auto"/>
              <w:bottom w:val="single" w:sz="4" w:space="0" w:color="auto"/>
              <w:right w:val="single" w:sz="4" w:space="0" w:color="auto"/>
            </w:tcBorders>
          </w:tcPr>
          <w:p w:rsidR="00D41B7B" w:rsidRPr="007454C4" w:rsidRDefault="00D91A9C" w:rsidP="00D91A9C">
            <w:pPr>
              <w:pStyle w:val="ListParagraph"/>
              <w:spacing w:before="40" w:after="40"/>
              <w:rPr>
                <w:rFonts w:cstheme="minorHAnsi"/>
                <w:sz w:val="18"/>
                <w:szCs w:val="18"/>
              </w:rPr>
            </w:pPr>
            <w:hyperlink r:id="rId88" w:history="1">
              <w:proofErr w:type="spellStart"/>
              <w:r w:rsidR="00D41B7B" w:rsidRPr="007454C4">
                <w:rPr>
                  <w:rStyle w:val="Hyperlink"/>
                  <w:rFonts w:cstheme="minorHAnsi"/>
                  <w:sz w:val="18"/>
                  <w:szCs w:val="18"/>
                </w:rPr>
                <w:t>Ferinject</w:t>
              </w:r>
              <w:proofErr w:type="spellEnd"/>
              <w:r w:rsidR="00D41B7B" w:rsidRPr="007454C4">
                <w:rPr>
                  <w:rStyle w:val="Hyperlink"/>
                  <w:rFonts w:cstheme="minorHAnsi"/>
                  <w:sz w:val="18"/>
                  <w:szCs w:val="18"/>
                </w:rPr>
                <w:t>®</w:t>
              </w:r>
            </w:hyperlink>
          </w:p>
        </w:tc>
        <w:tc>
          <w:tcPr>
            <w:tcW w:w="4489" w:type="dxa"/>
            <w:tcBorders>
              <w:top w:val="single" w:sz="4" w:space="0" w:color="auto"/>
              <w:left w:val="single" w:sz="4" w:space="0" w:color="auto"/>
              <w:bottom w:val="single" w:sz="4" w:space="0" w:color="auto"/>
              <w:right w:val="single" w:sz="4" w:space="0" w:color="auto"/>
            </w:tcBorders>
          </w:tcPr>
          <w:p w:rsidR="00D41B7B" w:rsidRPr="007454C4" w:rsidRDefault="00D91A9C" w:rsidP="00D91A9C">
            <w:pPr>
              <w:spacing w:before="40" w:after="40"/>
              <w:rPr>
                <w:rFonts w:cstheme="minorHAnsi"/>
                <w:sz w:val="18"/>
                <w:szCs w:val="18"/>
              </w:rPr>
            </w:pPr>
            <w:hyperlink r:id="rId89" w:history="1">
              <w:proofErr w:type="spellStart"/>
              <w:r w:rsidR="00D41B7B" w:rsidRPr="007454C4">
                <w:rPr>
                  <w:rStyle w:val="Hyperlink"/>
                  <w:rFonts w:cstheme="minorHAnsi"/>
                  <w:sz w:val="18"/>
                  <w:szCs w:val="18"/>
                </w:rPr>
                <w:t>Venofer</w:t>
              </w:r>
              <w:proofErr w:type="spellEnd"/>
              <w:r w:rsidR="00D41B7B" w:rsidRPr="007454C4">
                <w:rPr>
                  <w:rStyle w:val="Hyperlink"/>
                  <w:rFonts w:cstheme="minorHAnsi"/>
                  <w:sz w:val="18"/>
                  <w:szCs w:val="18"/>
                </w:rPr>
                <w:t>®</w:t>
              </w:r>
            </w:hyperlink>
          </w:p>
        </w:tc>
        <w:tc>
          <w:tcPr>
            <w:tcW w:w="4489" w:type="dxa"/>
            <w:tcBorders>
              <w:top w:val="single" w:sz="4" w:space="0" w:color="auto"/>
              <w:left w:val="single" w:sz="4" w:space="0" w:color="auto"/>
              <w:bottom w:val="single" w:sz="4" w:space="0" w:color="auto"/>
              <w:right w:val="single" w:sz="4" w:space="0" w:color="auto"/>
            </w:tcBorders>
            <w:hideMark/>
          </w:tcPr>
          <w:p w:rsidR="00D41B7B" w:rsidRPr="007454C4" w:rsidRDefault="00D91A9C" w:rsidP="00D91A9C">
            <w:pPr>
              <w:spacing w:before="40" w:after="40"/>
              <w:rPr>
                <w:sz w:val="18"/>
                <w:szCs w:val="18"/>
              </w:rPr>
            </w:pPr>
            <w:hyperlink r:id="rId90" w:history="1">
              <w:proofErr w:type="spellStart"/>
              <w:r w:rsidR="00D41B7B" w:rsidRPr="007454C4">
                <w:rPr>
                  <w:rStyle w:val="Hyperlink"/>
                  <w:sz w:val="18"/>
                  <w:szCs w:val="18"/>
                </w:rPr>
                <w:t>Ferrosig</w:t>
              </w:r>
              <w:proofErr w:type="spellEnd"/>
              <w:r w:rsidR="00D41B7B" w:rsidRPr="007454C4">
                <w:rPr>
                  <w:rStyle w:val="Hyperlink"/>
                  <w:rFonts w:cstheme="minorHAnsi"/>
                  <w:sz w:val="18"/>
                  <w:szCs w:val="18"/>
                </w:rPr>
                <w:t>®</w:t>
              </w:r>
            </w:hyperlink>
            <w:r w:rsidR="00D41B7B" w:rsidRPr="007454C4">
              <w:rPr>
                <w:sz w:val="18"/>
                <w:szCs w:val="18"/>
              </w:rPr>
              <w:t xml:space="preserve"> and </w:t>
            </w:r>
            <w:hyperlink r:id="rId91" w:history="1">
              <w:proofErr w:type="spellStart"/>
              <w:r w:rsidR="00D41B7B" w:rsidRPr="007454C4">
                <w:rPr>
                  <w:rStyle w:val="Hyperlink"/>
                  <w:rFonts w:cstheme="minorHAnsi"/>
                  <w:sz w:val="18"/>
                  <w:szCs w:val="18"/>
                </w:rPr>
                <w:t>Ferrum</w:t>
              </w:r>
              <w:proofErr w:type="spellEnd"/>
              <w:r w:rsidR="00D41B7B" w:rsidRPr="007454C4">
                <w:rPr>
                  <w:rStyle w:val="Hyperlink"/>
                  <w:rFonts w:cstheme="minorHAnsi"/>
                  <w:sz w:val="18"/>
                  <w:szCs w:val="18"/>
                </w:rPr>
                <w:t xml:space="preserve"> H®</w:t>
              </w:r>
            </w:hyperlink>
            <w:r w:rsidR="00D41B7B" w:rsidRPr="00977787">
              <w:rPr>
                <w:rFonts w:ascii="Arial" w:hAnsi="Arial" w:cs="Arial"/>
                <w:vertAlign w:val="superscript"/>
              </w:rPr>
              <w:t>†</w:t>
            </w:r>
          </w:p>
        </w:tc>
      </w:tr>
    </w:tbl>
    <w:p w:rsidR="00D41B7B" w:rsidRPr="00B539C9" w:rsidRDefault="00D41B7B" w:rsidP="00D41B7B">
      <w:pPr>
        <w:pStyle w:val="SAH-Subhead2"/>
        <w:spacing w:before="120" w:after="120" w:line="240" w:lineRule="auto"/>
        <w:rPr>
          <w:rFonts w:ascii="Calibri" w:eastAsia="Calibri" w:hAnsi="Calibri" w:cstheme="minorHAnsi"/>
          <w:b w:val="0"/>
          <w:color w:val="auto"/>
          <w:sz w:val="20"/>
          <w:szCs w:val="20"/>
        </w:rPr>
      </w:pPr>
      <w:r w:rsidRPr="00977787">
        <w:rPr>
          <w:rFonts w:asciiTheme="minorHAnsi" w:eastAsia="Calibri" w:hAnsiTheme="minorHAnsi" w:cstheme="minorHAnsi"/>
          <w:b w:val="0"/>
          <w:color w:val="auto"/>
          <w:sz w:val="20"/>
          <w:szCs w:val="20"/>
        </w:rPr>
        <w:t>*</w:t>
      </w:r>
      <w:r w:rsidRPr="00B539C9">
        <w:rPr>
          <w:rFonts w:ascii="Calibri" w:eastAsia="Calibri" w:hAnsi="Calibri" w:cstheme="minorHAnsi"/>
          <w:b w:val="0"/>
          <w:color w:val="auto"/>
          <w:sz w:val="20"/>
          <w:szCs w:val="20"/>
        </w:rPr>
        <w:t>Use ideal body weight in overweight patients. If underweight, use actual body weight</w:t>
      </w:r>
    </w:p>
    <w:p w:rsidR="00D41B7B" w:rsidRDefault="00D41B7B" w:rsidP="00D41B7B">
      <w:pPr>
        <w:pStyle w:val="SAH-Subhead2"/>
        <w:spacing w:before="120" w:after="120" w:line="240" w:lineRule="auto"/>
        <w:rPr>
          <w:rFonts w:ascii="Calibri" w:hAnsi="Calibri" w:cstheme="minorHAnsi"/>
          <w:b w:val="0"/>
          <w:color w:val="auto"/>
          <w:sz w:val="20"/>
          <w:szCs w:val="20"/>
          <w:vertAlign w:val="superscript"/>
        </w:rPr>
      </w:pPr>
      <w:r w:rsidRPr="00B539C9">
        <w:rPr>
          <w:rFonts w:ascii="Calibri" w:hAnsi="Calibri" w:cs="Arial"/>
          <w:b w:val="0"/>
          <w:color w:val="auto"/>
          <w:sz w:val="20"/>
          <w:szCs w:val="20"/>
          <w:vertAlign w:val="superscript"/>
        </w:rPr>
        <w:t>†</w:t>
      </w:r>
      <w:r w:rsidRPr="00B539C9">
        <w:rPr>
          <w:rFonts w:ascii="Calibri" w:hAnsi="Calibri" w:cstheme="minorHAnsi"/>
          <w:b w:val="0"/>
          <w:color w:val="auto"/>
          <w:sz w:val="20"/>
          <w:szCs w:val="20"/>
        </w:rPr>
        <w:t xml:space="preserve">Whilst considered brand equivalent to </w:t>
      </w:r>
      <w:proofErr w:type="spellStart"/>
      <w:r w:rsidRPr="00B539C9">
        <w:rPr>
          <w:rFonts w:ascii="Calibri" w:hAnsi="Calibri" w:cstheme="minorHAnsi"/>
          <w:b w:val="0"/>
          <w:color w:val="auto"/>
          <w:sz w:val="20"/>
          <w:szCs w:val="20"/>
        </w:rPr>
        <w:t>Ferrosig</w:t>
      </w:r>
      <w:proofErr w:type="spellEnd"/>
      <w:r w:rsidRPr="00B539C9">
        <w:rPr>
          <w:rFonts w:ascii="Calibri" w:hAnsi="Calibri" w:cstheme="minorHAnsi"/>
          <w:b w:val="0"/>
          <w:color w:val="auto"/>
          <w:sz w:val="20"/>
          <w:szCs w:val="20"/>
        </w:rPr>
        <w:t xml:space="preserve">®, </w:t>
      </w:r>
      <w:proofErr w:type="spellStart"/>
      <w:r w:rsidRPr="00B539C9">
        <w:rPr>
          <w:rFonts w:ascii="Calibri" w:hAnsi="Calibri" w:cstheme="minorHAnsi"/>
          <w:b w:val="0"/>
          <w:color w:val="auto"/>
          <w:sz w:val="20"/>
          <w:szCs w:val="20"/>
        </w:rPr>
        <w:t>Ferrum</w:t>
      </w:r>
      <w:proofErr w:type="spellEnd"/>
      <w:r w:rsidRPr="00B539C9">
        <w:rPr>
          <w:rFonts w:ascii="Calibri" w:hAnsi="Calibri" w:cstheme="minorHAnsi"/>
          <w:b w:val="0"/>
          <w:color w:val="auto"/>
          <w:sz w:val="20"/>
          <w:szCs w:val="20"/>
        </w:rPr>
        <w:t xml:space="preserve"> H® is not licensed for intravenous use in Australia – refer to </w:t>
      </w:r>
      <w:r w:rsidRPr="00B539C9">
        <w:rPr>
          <w:rFonts w:ascii="Calibri" w:eastAsiaTheme="minorEastAsia" w:hAnsi="Calibri" w:cstheme="minorHAnsi"/>
          <w:b w:val="0"/>
          <w:color w:val="auto"/>
          <w:sz w:val="20"/>
          <w:szCs w:val="20"/>
        </w:rPr>
        <w:t>Guiding Principles for the use of off-label medicines</w:t>
      </w:r>
      <w:r w:rsidRPr="00B539C9">
        <w:rPr>
          <w:rFonts w:ascii="Calibri" w:hAnsi="Calibri" w:cstheme="minorHAnsi"/>
          <w:b w:val="0"/>
          <w:color w:val="auto"/>
          <w:sz w:val="20"/>
          <w:szCs w:val="20"/>
        </w:rPr>
        <w:t>.</w:t>
      </w:r>
      <w:r w:rsidRPr="00B539C9">
        <w:rPr>
          <w:rFonts w:ascii="Calibri" w:hAnsi="Calibri" w:cstheme="minorHAnsi"/>
          <w:b w:val="0"/>
          <w:color w:val="auto"/>
          <w:sz w:val="20"/>
          <w:szCs w:val="20"/>
          <w:vertAlign w:val="superscript"/>
        </w:rPr>
        <w:t>1</w:t>
      </w:r>
    </w:p>
    <w:p w:rsidR="00252CE7" w:rsidRDefault="00D41B7B" w:rsidP="00D41B7B">
      <w:pPr>
        <w:pStyle w:val="SAH-Subhead2"/>
        <w:spacing w:before="120" w:after="120" w:line="240" w:lineRule="auto"/>
        <w:rPr>
          <w:rFonts w:asciiTheme="minorHAnsi" w:eastAsia="Calibri" w:hAnsiTheme="minorHAnsi" w:cstheme="minorHAnsi"/>
          <w:color w:val="auto"/>
          <w:sz w:val="22"/>
          <w:szCs w:val="22"/>
        </w:rPr>
        <w:sectPr w:rsidR="00252CE7" w:rsidSect="00252CE7">
          <w:footerReference w:type="default" r:id="rId92"/>
          <w:pgSz w:w="16838" w:h="11906" w:orient="landscape"/>
          <w:pgMar w:top="74" w:right="680" w:bottom="680" w:left="680" w:header="709" w:footer="237" w:gutter="0"/>
          <w:cols w:space="708"/>
          <w:docGrid w:linePitch="360"/>
        </w:sectPr>
      </w:pPr>
      <w:r w:rsidRPr="00B212B5">
        <w:rPr>
          <w:rFonts w:asciiTheme="minorHAnsi" w:eastAsia="Calibri" w:hAnsiTheme="minorHAnsi" w:cstheme="minorHAnsi"/>
          <w:color w:val="auto"/>
          <w:sz w:val="22"/>
          <w:szCs w:val="22"/>
        </w:rPr>
        <w:t>See o</w:t>
      </w:r>
      <w:r>
        <w:rPr>
          <w:rFonts w:asciiTheme="minorHAnsi" w:eastAsia="Calibri" w:hAnsiTheme="minorHAnsi" w:cstheme="minorHAnsi"/>
          <w:color w:val="auto"/>
          <w:sz w:val="22"/>
          <w:szCs w:val="22"/>
        </w:rPr>
        <w:t>ver for important consideration</w:t>
      </w:r>
    </w:p>
    <w:p w:rsidR="00D41B7B" w:rsidRPr="00252CE7" w:rsidRDefault="00D41B7B" w:rsidP="00252CE7">
      <w:pPr>
        <w:pStyle w:val="GreySubHeading"/>
      </w:pPr>
      <w:r w:rsidRPr="00252CE7">
        <w:lastRenderedPageBreak/>
        <w:t>Important considerations</w:t>
      </w:r>
    </w:p>
    <w:p w:rsidR="00D41B7B" w:rsidRPr="00252CE7" w:rsidRDefault="00D41B7B" w:rsidP="00D41B7B">
      <w:pPr>
        <w:pStyle w:val="ListParagraph"/>
        <w:spacing w:before="240"/>
        <w:rPr>
          <w:rFonts w:ascii="Arial" w:hAnsi="Arial" w:cs="Arial"/>
        </w:rPr>
      </w:pPr>
      <w:r w:rsidRPr="00252CE7">
        <w:rPr>
          <w:rFonts w:ascii="Arial" w:hAnsi="Arial" w:cs="Arial"/>
        </w:rPr>
        <w:t>Always refer to local health service guidelines/protocols and product information for the specific iron preparation. Maximum doses per infusion, infusion rates and dilution are not interchangeable between the different IV iron preparations.</w:t>
      </w:r>
    </w:p>
    <w:p w:rsidR="00D41B7B" w:rsidRPr="00252CE7" w:rsidRDefault="00D41B7B" w:rsidP="00D41B7B">
      <w:pPr>
        <w:pStyle w:val="ListParagraph"/>
        <w:spacing w:before="240"/>
        <w:rPr>
          <w:rFonts w:ascii="Arial" w:hAnsi="Arial" w:cs="Arial"/>
        </w:rPr>
      </w:pPr>
      <w:r w:rsidRPr="00252CE7">
        <w:rPr>
          <w:rFonts w:ascii="Arial" w:hAnsi="Arial" w:cs="Arial"/>
        </w:rPr>
        <w:t>Emerging data and regional practice indicate that alternative dosing and infusion schedules may be practical and safe.</w:t>
      </w:r>
      <w:r w:rsidRPr="00252CE7">
        <w:rPr>
          <w:rFonts w:ascii="Arial" w:hAnsi="Arial" w:cs="Arial"/>
          <w:vertAlign w:val="superscript"/>
        </w:rPr>
        <w:t>1-3</w:t>
      </w:r>
    </w:p>
    <w:p w:rsidR="00D41B7B" w:rsidRPr="00252CE7" w:rsidRDefault="00D41B7B" w:rsidP="00D41B7B">
      <w:pPr>
        <w:pStyle w:val="ListParagraph"/>
        <w:spacing w:before="120" w:after="120"/>
        <w:rPr>
          <w:rFonts w:ascii="Arial" w:eastAsia="Calibri" w:hAnsi="Arial" w:cs="Arial"/>
        </w:rPr>
      </w:pPr>
      <w:r w:rsidRPr="00252CE7">
        <w:rPr>
          <w:rFonts w:ascii="Arial" w:eastAsia="Calibri" w:hAnsi="Arial" w:cs="Arial"/>
        </w:rPr>
        <w:t>There is also evolving evidence regarding the appropriateness of the three IV iron preparations in varying clinical circumstances. If in doubt, refer to local guidelines/protocols or consult with an expert haematologist.</w:t>
      </w:r>
    </w:p>
    <w:p w:rsidR="00D41B7B" w:rsidRPr="00252CE7" w:rsidRDefault="00D41B7B" w:rsidP="00D41B7B">
      <w:pPr>
        <w:pStyle w:val="SAH-Subhead2"/>
        <w:spacing w:before="0" w:line="240" w:lineRule="auto"/>
        <w:rPr>
          <w:rFonts w:eastAsia="Calibri" w:cs="Arial"/>
          <w:b w:val="0"/>
          <w:color w:val="auto"/>
          <w:sz w:val="22"/>
          <w:szCs w:val="22"/>
        </w:rPr>
      </w:pPr>
      <w:r w:rsidRPr="00252CE7">
        <w:rPr>
          <w:rFonts w:eastAsia="Calibri" w:cs="Arial"/>
          <w:b w:val="0"/>
          <w:color w:val="auto"/>
          <w:sz w:val="22"/>
          <w:szCs w:val="22"/>
        </w:rPr>
        <w:t>Note: TEST DOSE NOT REQUIRED - The European Medicines Agency’s (EMA) Committee for Medicinal Products for Human Use (CHMP</w:t>
      </w:r>
      <w:proofErr w:type="gramStart"/>
      <w:r w:rsidRPr="00252CE7">
        <w:rPr>
          <w:rFonts w:eastAsia="Calibri" w:cs="Arial"/>
          <w:b w:val="0"/>
          <w:color w:val="auto"/>
          <w:sz w:val="22"/>
          <w:szCs w:val="22"/>
        </w:rPr>
        <w:t>)</w:t>
      </w:r>
      <w:r w:rsidRPr="00252CE7">
        <w:rPr>
          <w:rFonts w:eastAsia="Calibri" w:cs="Arial"/>
          <w:b w:val="0"/>
          <w:color w:val="auto"/>
          <w:sz w:val="22"/>
          <w:szCs w:val="22"/>
          <w:vertAlign w:val="superscript"/>
        </w:rPr>
        <w:t>4</w:t>
      </w:r>
      <w:proofErr w:type="gramEnd"/>
      <w:r w:rsidRPr="00252CE7">
        <w:rPr>
          <w:rFonts w:eastAsia="Calibri" w:cs="Arial"/>
          <w:b w:val="0"/>
          <w:color w:val="auto"/>
          <w:sz w:val="22"/>
          <w:szCs w:val="22"/>
          <w:vertAlign w:val="superscript"/>
        </w:rPr>
        <w:t xml:space="preserve"> </w:t>
      </w:r>
      <w:r w:rsidRPr="00252CE7">
        <w:rPr>
          <w:rFonts w:eastAsia="Calibri" w:cs="Arial"/>
          <w:b w:val="0"/>
          <w:color w:val="auto"/>
          <w:sz w:val="22"/>
          <w:szCs w:val="22"/>
        </w:rPr>
        <w:t>has considered that the current practice of first giving the patient a small test dose is not a reliable way to predict how the patient will respond when the full dose is given. A test dose is therefore no longer recommended but instead caution is warranted with every dose of intravenous iron that is given, even if previous administrations have been well tolerated.</w:t>
      </w:r>
      <w:r w:rsidRPr="00252CE7">
        <w:rPr>
          <w:rFonts w:eastAsia="Calibri" w:cs="Arial"/>
          <w:b w:val="0"/>
          <w:color w:val="auto"/>
          <w:sz w:val="22"/>
          <w:szCs w:val="22"/>
          <w:vertAlign w:val="superscript"/>
        </w:rPr>
        <w:t>4</w:t>
      </w:r>
    </w:p>
    <w:p w:rsidR="00D41B7B" w:rsidRPr="00252CE7" w:rsidRDefault="00D41B7B" w:rsidP="00D41B7B">
      <w:pPr>
        <w:pStyle w:val="ListParagraph"/>
        <w:spacing w:before="120" w:after="120"/>
        <w:rPr>
          <w:rFonts w:ascii="Arial" w:hAnsi="Arial" w:cs="Arial"/>
        </w:rPr>
      </w:pPr>
      <w:r w:rsidRPr="00252CE7">
        <w:rPr>
          <w:rFonts w:ascii="Arial" w:eastAsia="Calibri" w:hAnsi="Arial" w:cs="Arial"/>
        </w:rPr>
        <w:t xml:space="preserve">Current IV iron Product Information (PI) can be found on the Therapeutic Goods Administration website: </w:t>
      </w:r>
      <w:hyperlink r:id="rId93" w:history="1">
        <w:r w:rsidRPr="00252CE7">
          <w:rPr>
            <w:rFonts w:ascii="Arial" w:eastAsia="Calibri" w:hAnsi="Arial" w:cs="Arial"/>
          </w:rPr>
          <w:t>www.ebs.tga.gov.au</w:t>
        </w:r>
      </w:hyperlink>
      <w:r w:rsidRPr="00252CE7">
        <w:rPr>
          <w:rFonts w:ascii="Arial" w:eastAsia="Calibri" w:hAnsi="Arial" w:cs="Arial"/>
        </w:rPr>
        <w:t xml:space="preserve"> - click on "Public TGA Information" in menu bar on left then click on Product Information and enter product name in search box.</w:t>
      </w:r>
    </w:p>
    <w:p w:rsidR="00D41B7B" w:rsidRDefault="00D41B7B" w:rsidP="00D41B7B">
      <w:pPr>
        <w:pStyle w:val="ListParagraph"/>
        <w:spacing w:before="240"/>
        <w:rPr>
          <w:b/>
        </w:rPr>
      </w:pPr>
    </w:p>
    <w:p w:rsidR="00D41B7B" w:rsidRPr="00252CE7" w:rsidRDefault="00D41B7B" w:rsidP="00D41B7B">
      <w:pPr>
        <w:pStyle w:val="ListParagraph"/>
        <w:spacing w:before="240"/>
        <w:rPr>
          <w:rFonts w:ascii="TitilliumText25L" w:hAnsi="TitilliumText25L" w:cs="TitilliumText25L"/>
          <w:color w:val="333740"/>
          <w:sz w:val="28"/>
          <w:szCs w:val="28"/>
        </w:rPr>
      </w:pPr>
      <w:r w:rsidRPr="00252CE7">
        <w:rPr>
          <w:rFonts w:ascii="TitilliumText25L" w:hAnsi="TitilliumText25L" w:cs="TitilliumText25L"/>
          <w:color w:val="333740"/>
          <w:sz w:val="28"/>
          <w:szCs w:val="28"/>
        </w:rPr>
        <w:t>References:</w:t>
      </w:r>
    </w:p>
    <w:p w:rsidR="00D41B7B" w:rsidRDefault="00D41B7B" w:rsidP="003A5515">
      <w:pPr>
        <w:pStyle w:val="ListParagraph"/>
        <w:widowControl/>
        <w:numPr>
          <w:ilvl w:val="0"/>
          <w:numId w:val="7"/>
        </w:numPr>
        <w:spacing w:after="200"/>
        <w:contextualSpacing/>
        <w:rPr>
          <w:rFonts w:cstheme="minorHAnsi"/>
        </w:rPr>
      </w:pPr>
      <w:proofErr w:type="spellStart"/>
      <w:r>
        <w:rPr>
          <w:rFonts w:cstheme="minorHAnsi"/>
        </w:rPr>
        <w:t>Evstatiev</w:t>
      </w:r>
      <w:proofErr w:type="spellEnd"/>
      <w:r>
        <w:rPr>
          <w:rFonts w:cstheme="minorHAnsi"/>
        </w:rPr>
        <w:t xml:space="preserve"> R</w:t>
      </w:r>
      <w:r w:rsidRPr="00FC3A64">
        <w:rPr>
          <w:rFonts w:cstheme="minorHAnsi"/>
        </w:rPr>
        <w:t xml:space="preserve">, Marteau P, Iqbal T, </w:t>
      </w:r>
      <w:proofErr w:type="spellStart"/>
      <w:r w:rsidRPr="00FC3A64">
        <w:rPr>
          <w:rFonts w:cstheme="minorHAnsi"/>
        </w:rPr>
        <w:t>Khalif</w:t>
      </w:r>
      <w:proofErr w:type="spellEnd"/>
      <w:r w:rsidRPr="00FC3A64">
        <w:rPr>
          <w:rFonts w:cstheme="minorHAnsi"/>
        </w:rPr>
        <w:t xml:space="preserve"> IL, Stein J, et al; FERGI Study Group.</w:t>
      </w:r>
      <w:r>
        <w:rPr>
          <w:rFonts w:cstheme="minorHAnsi"/>
        </w:rPr>
        <w:t xml:space="preserve"> </w:t>
      </w:r>
      <w:hyperlink r:id="rId94" w:history="1">
        <w:proofErr w:type="spellStart"/>
        <w:r w:rsidRPr="00782409">
          <w:rPr>
            <w:rStyle w:val="Hyperlink"/>
            <w:rFonts w:cstheme="minorHAnsi"/>
          </w:rPr>
          <w:t>FERGIcor</w:t>
        </w:r>
        <w:proofErr w:type="spellEnd"/>
        <w:r w:rsidRPr="00782409">
          <w:rPr>
            <w:rStyle w:val="Hyperlink"/>
            <w:rFonts w:cstheme="minorHAnsi"/>
          </w:rPr>
          <w:t xml:space="preserve">, a randomized controlled trial on ferric </w:t>
        </w:r>
        <w:proofErr w:type="spellStart"/>
        <w:r w:rsidRPr="00782409">
          <w:rPr>
            <w:rStyle w:val="Hyperlink"/>
            <w:rFonts w:cstheme="minorHAnsi"/>
          </w:rPr>
          <w:t>carboxymaltose</w:t>
        </w:r>
        <w:proofErr w:type="spellEnd"/>
        <w:r w:rsidRPr="00782409">
          <w:rPr>
            <w:rStyle w:val="Hyperlink"/>
            <w:rFonts w:cstheme="minorHAnsi"/>
          </w:rPr>
          <w:t xml:space="preserve"> for iron deficiency </w:t>
        </w:r>
        <w:proofErr w:type="spellStart"/>
        <w:r w:rsidRPr="00782409">
          <w:rPr>
            <w:rStyle w:val="Hyperlink"/>
            <w:rFonts w:cstheme="minorHAnsi"/>
          </w:rPr>
          <w:t>anemia</w:t>
        </w:r>
        <w:proofErr w:type="spellEnd"/>
        <w:r w:rsidRPr="00782409">
          <w:rPr>
            <w:rStyle w:val="Hyperlink"/>
            <w:rFonts w:cstheme="minorHAnsi"/>
          </w:rPr>
          <w:t xml:space="preserve"> in inflammatory bowel disease</w:t>
        </w:r>
      </w:hyperlink>
      <w:r w:rsidRPr="00624546">
        <w:rPr>
          <w:rFonts w:cstheme="minorHAnsi"/>
        </w:rPr>
        <w:t>.</w:t>
      </w:r>
      <w:r>
        <w:rPr>
          <w:rFonts w:cstheme="minorHAnsi"/>
        </w:rPr>
        <w:t xml:space="preserve"> </w:t>
      </w:r>
      <w:r w:rsidRPr="00624546">
        <w:rPr>
          <w:rFonts w:cstheme="minorHAnsi"/>
        </w:rPr>
        <w:t>Gastroenterology 2011</w:t>
      </w:r>
      <w:proofErr w:type="gramStart"/>
      <w:r w:rsidRPr="00624546">
        <w:rPr>
          <w:rFonts w:cstheme="minorHAnsi"/>
        </w:rPr>
        <w:t>;141:846</w:t>
      </w:r>
      <w:proofErr w:type="gramEnd"/>
      <w:r w:rsidRPr="00624546">
        <w:rPr>
          <w:rFonts w:cstheme="minorHAnsi"/>
        </w:rPr>
        <w:t>-853.e2.</w:t>
      </w:r>
    </w:p>
    <w:p w:rsidR="00D41B7B" w:rsidRDefault="00D41B7B" w:rsidP="003A5515">
      <w:pPr>
        <w:pStyle w:val="ListParagraph"/>
        <w:widowControl/>
        <w:numPr>
          <w:ilvl w:val="0"/>
          <w:numId w:val="7"/>
        </w:numPr>
        <w:contextualSpacing/>
        <w:rPr>
          <w:rFonts w:cstheme="minorHAnsi"/>
          <w:sz w:val="21"/>
          <w:szCs w:val="21"/>
        </w:rPr>
      </w:pPr>
      <w:r w:rsidRPr="00624546">
        <w:rPr>
          <w:rFonts w:cstheme="minorHAnsi"/>
          <w:sz w:val="21"/>
          <w:szCs w:val="21"/>
        </w:rPr>
        <w:t xml:space="preserve">SA Maternal &amp; Neonatal Clinical Network. Policy. Clinical Guideline. </w:t>
      </w:r>
      <w:hyperlink r:id="rId95" w:history="1">
        <w:r w:rsidRPr="00624546">
          <w:rPr>
            <w:rStyle w:val="Hyperlink"/>
            <w:rFonts w:cstheme="minorHAnsi"/>
            <w:sz w:val="21"/>
            <w:szCs w:val="21"/>
          </w:rPr>
          <w:t>South Australian Perinatal Practice Guidelines – iron infusion</w:t>
        </w:r>
      </w:hyperlink>
      <w:r w:rsidRPr="00624546">
        <w:rPr>
          <w:rFonts w:cstheme="minorHAnsi"/>
          <w:sz w:val="21"/>
          <w:szCs w:val="21"/>
        </w:rPr>
        <w:t>.</w:t>
      </w:r>
    </w:p>
    <w:p w:rsidR="00D41B7B" w:rsidRPr="00624546" w:rsidRDefault="00D41B7B" w:rsidP="00D41B7B">
      <w:pPr>
        <w:pStyle w:val="ListParagraph"/>
        <w:ind w:left="360"/>
        <w:rPr>
          <w:rFonts w:cstheme="minorHAnsi"/>
          <w:sz w:val="21"/>
          <w:szCs w:val="21"/>
        </w:rPr>
      </w:pPr>
      <w:r w:rsidRPr="00624546">
        <w:rPr>
          <w:rFonts w:cstheme="minorHAnsi"/>
          <w:sz w:val="21"/>
          <w:szCs w:val="21"/>
        </w:rPr>
        <w:t>Available at:</w:t>
      </w:r>
      <w:r w:rsidRPr="00624546">
        <w:rPr>
          <w:rFonts w:ascii="Arial" w:hAnsi="Arial" w:cs="Arial"/>
        </w:rPr>
        <w:t xml:space="preserve"> </w:t>
      </w:r>
      <w:hyperlink r:id="rId96" w:history="1">
        <w:r w:rsidRPr="00624546">
          <w:rPr>
            <w:rStyle w:val="Hyperlink"/>
            <w:rFonts w:ascii="Arial" w:hAnsi="Arial" w:cs="Arial"/>
          </w:rPr>
          <w:t>http://www.sahealth.sa.gov.au</w:t>
        </w:r>
      </w:hyperlink>
    </w:p>
    <w:p w:rsidR="00D41B7B" w:rsidRDefault="00D41B7B" w:rsidP="003A5515">
      <w:pPr>
        <w:pStyle w:val="ListParagraph"/>
        <w:widowControl/>
        <w:numPr>
          <w:ilvl w:val="0"/>
          <w:numId w:val="7"/>
        </w:numPr>
        <w:contextualSpacing/>
      </w:pPr>
      <w:r w:rsidRPr="007454C4">
        <w:t>Fremantle Hospital and Health Service, Department of Pharmacy. Specialised Drug Guideline</w:t>
      </w:r>
      <w:r>
        <w:t>s</w:t>
      </w:r>
      <w:r w:rsidRPr="005D42D6" w:rsidDel="007454C4">
        <w:t xml:space="preserve"> </w:t>
      </w:r>
      <w:r w:rsidRPr="005D42D6">
        <w:t>regarding intravenous iron use:</w:t>
      </w:r>
      <w:r>
        <w:t xml:space="preserve"> Iron sucrose. </w:t>
      </w:r>
    </w:p>
    <w:p w:rsidR="00D41B7B" w:rsidRPr="005D42D6" w:rsidRDefault="00D41B7B" w:rsidP="00D41B7B">
      <w:pPr>
        <w:ind w:left="360"/>
      </w:pPr>
      <w:r>
        <w:t xml:space="preserve">Available at: </w:t>
      </w:r>
      <w:hyperlink r:id="rId97" w:history="1">
        <w:r w:rsidRPr="008A4E3E">
          <w:rPr>
            <w:rStyle w:val="Hyperlink"/>
            <w:rFonts w:ascii="Arial" w:hAnsi="Arial" w:cs="Arial"/>
          </w:rPr>
          <w:t>http://www.health.wa.gov.au/bloodmanagement</w:t>
        </w:r>
      </w:hyperlink>
    </w:p>
    <w:p w:rsidR="00D41B7B" w:rsidRPr="00B212B5" w:rsidRDefault="00D41B7B" w:rsidP="003A5515">
      <w:pPr>
        <w:pStyle w:val="ListParagraph"/>
        <w:widowControl/>
        <w:numPr>
          <w:ilvl w:val="0"/>
          <w:numId w:val="7"/>
        </w:numPr>
        <w:spacing w:after="200"/>
        <w:contextualSpacing/>
        <w:rPr>
          <w:rStyle w:val="Hyperlink"/>
          <w:rFonts w:cstheme="minorHAnsi"/>
        </w:rPr>
      </w:pPr>
      <w:r w:rsidRPr="00B212B5">
        <w:rPr>
          <w:rFonts w:cstheme="minorHAnsi"/>
        </w:rPr>
        <w:t xml:space="preserve">European Medicines Agency (EMA). New recommendations to manage risk of allergic reactions with intravenous iron-containing medicines. 28 June 2013. Available at: </w:t>
      </w:r>
      <w:hyperlink r:id="rId98" w:history="1">
        <w:r w:rsidRPr="00B212B5">
          <w:rPr>
            <w:rStyle w:val="Hyperlink"/>
            <w:rFonts w:cstheme="minorHAnsi"/>
          </w:rPr>
          <w:t>http://www.ema.europa.eu/docs/en_GB/document_library/Press_release/2013/06/WC500144874.pdf</w:t>
        </w:r>
      </w:hyperlink>
    </w:p>
    <w:p w:rsidR="00D41B7B" w:rsidRPr="00D33199" w:rsidRDefault="00D41B7B" w:rsidP="003A5515">
      <w:pPr>
        <w:pStyle w:val="ListParagraph"/>
        <w:widowControl/>
        <w:numPr>
          <w:ilvl w:val="0"/>
          <w:numId w:val="7"/>
        </w:numPr>
        <w:spacing w:after="200"/>
        <w:contextualSpacing/>
        <w:rPr>
          <w:rFonts w:cstheme="minorHAnsi"/>
        </w:rPr>
      </w:pPr>
      <w:r w:rsidRPr="00B212B5">
        <w:rPr>
          <w:rFonts w:cstheme="minorHAnsi"/>
        </w:rPr>
        <w:t>Council of Australian Therapeutic Advisory Groups (CATAG). Guiding Principles for the quality use of off-label medicines. November 2013. Available at:</w:t>
      </w:r>
      <w:r w:rsidRPr="00B212B5">
        <w:rPr>
          <w:rFonts w:ascii="Arial" w:hAnsi="Arial" w:cs="Arial"/>
        </w:rPr>
        <w:t xml:space="preserve"> </w:t>
      </w:r>
      <w:hyperlink r:id="rId99" w:history="1">
        <w:r w:rsidRPr="00B212B5">
          <w:rPr>
            <w:rStyle w:val="Hyperlink"/>
            <w:rFonts w:cs="Arial"/>
          </w:rPr>
          <w:t>http://www.catag.org.au/wp-content/uploads/2012/08/OKA9963-CATAG-Rethinking-Medicines-Decision-Making-final.pdf</w:t>
        </w:r>
      </w:hyperlink>
    </w:p>
    <w:p w:rsidR="00D41B7B" w:rsidRPr="00397788" w:rsidRDefault="00D41B7B" w:rsidP="00D41B7B">
      <w:pPr>
        <w:ind w:left="360"/>
        <w:rPr>
          <w:rFonts w:cstheme="minorHAnsi"/>
          <w:sz w:val="18"/>
          <w:szCs w:val="18"/>
        </w:rPr>
      </w:pPr>
    </w:p>
    <w:p w:rsidR="00252CE7" w:rsidRDefault="00252CE7" w:rsidP="00D41B7B">
      <w:pPr>
        <w:sectPr w:rsidR="00252CE7" w:rsidSect="00252CE7">
          <w:pgSz w:w="11906" w:h="16838"/>
          <w:pgMar w:top="680" w:right="680" w:bottom="680" w:left="851" w:header="709" w:footer="709" w:gutter="0"/>
          <w:cols w:space="708"/>
          <w:docGrid w:linePitch="360"/>
        </w:sectPr>
      </w:pPr>
    </w:p>
    <w:p w:rsidR="00D41B7B" w:rsidRDefault="00D41B7B" w:rsidP="00D41B7B">
      <w:pPr>
        <w:sectPr w:rsidR="00D41B7B" w:rsidSect="00252CE7">
          <w:type w:val="continuous"/>
          <w:pgSz w:w="11906" w:h="16838"/>
          <w:pgMar w:top="680" w:right="680" w:bottom="680" w:left="851" w:header="709" w:footer="709" w:gutter="0"/>
          <w:cols w:space="708"/>
          <w:docGrid w:linePitch="360"/>
        </w:sectPr>
      </w:pPr>
    </w:p>
    <w:p w:rsidR="00D41B7B" w:rsidRPr="00252CE7" w:rsidRDefault="00252CE7" w:rsidP="00252CE7">
      <w:pPr>
        <w:pStyle w:val="Heading1"/>
        <w:ind w:left="567" w:hanging="567"/>
        <w:rPr>
          <w:rFonts w:ascii="TitilliumText25L" w:eastAsia="TitilliumText25L" w:hAnsi="TitilliumText25L" w:cs="TitilliumText25L"/>
          <w:b w:val="0"/>
          <w:bCs w:val="0"/>
          <w:color w:val="D0202E"/>
          <w:sz w:val="60"/>
          <w:szCs w:val="60"/>
        </w:rPr>
      </w:pPr>
      <w:r w:rsidRPr="00731F23">
        <w:rPr>
          <w:rFonts w:ascii="TitilliumText25L" w:eastAsia="TitilliumText25L" w:hAnsi="TitilliumText25L" w:cs="TitilliumText25L"/>
          <w:b w:val="0"/>
          <w:color w:val="D0202E"/>
          <w:position w:val="-1"/>
          <w:sz w:val="102"/>
          <w:szCs w:val="102"/>
        </w:rPr>
        <w:lastRenderedPageBreak/>
        <w:t>&gt;</w:t>
      </w:r>
      <w:r w:rsidRPr="00252CE7">
        <w:rPr>
          <w:rFonts w:ascii="TitilliumText25L" w:eastAsia="TitilliumText25L" w:hAnsi="TitilliumText25L" w:cs="TitilliumText25L"/>
          <w:b w:val="0"/>
          <w:bCs w:val="0"/>
          <w:color w:val="D0202E"/>
          <w:sz w:val="60"/>
          <w:szCs w:val="60"/>
        </w:rPr>
        <w:t xml:space="preserve">APPENDIX 3: </w:t>
      </w:r>
      <w:r w:rsidRPr="00252CE7">
        <w:rPr>
          <w:rFonts w:ascii="TitilliumText25L" w:eastAsia="TitilliumText25L" w:hAnsi="TitilliumText25L" w:cs="TitilliumText25L"/>
          <w:b w:val="0"/>
          <w:bCs w:val="0"/>
          <w:color w:val="D0202E"/>
          <w:sz w:val="52"/>
          <w:szCs w:val="60"/>
        </w:rPr>
        <w:t xml:space="preserve">ORAL PREPARATIONS FOR TREATMENT OF IRON DEFICIENCY ANAEMIA (IDA) </w:t>
      </w:r>
      <w:r>
        <w:rPr>
          <w:rFonts w:ascii="TitilliumText25L" w:eastAsia="TitilliumText25L" w:hAnsi="TitilliumText25L" w:cs="TitilliumText25L"/>
          <w:b w:val="0"/>
          <w:bCs w:val="0"/>
          <w:color w:val="D0202E"/>
          <w:sz w:val="52"/>
          <w:szCs w:val="60"/>
        </w:rPr>
        <w:br/>
      </w:r>
      <w:r w:rsidRPr="00252CE7">
        <w:rPr>
          <w:rFonts w:ascii="TitilliumText25L" w:eastAsia="TitilliumText25L" w:hAnsi="TitilliumText25L" w:cs="TitilliumText25L"/>
          <w:b w:val="0"/>
          <w:bCs w:val="0"/>
          <w:color w:val="D0202E"/>
          <w:sz w:val="52"/>
          <w:szCs w:val="60"/>
        </w:rPr>
        <w:t>IN AUSTRALIA*</w:t>
      </w:r>
    </w:p>
    <w:tbl>
      <w:tblPr>
        <w:tblW w:w="9433" w:type="dxa"/>
        <w:tblInd w:w="101" w:type="dxa"/>
        <w:tblLayout w:type="fixed"/>
        <w:tblCellMar>
          <w:left w:w="0" w:type="dxa"/>
          <w:right w:w="0" w:type="dxa"/>
        </w:tblCellMar>
        <w:tblLook w:val="0000" w:firstRow="0" w:lastRow="0" w:firstColumn="0" w:lastColumn="0" w:noHBand="0" w:noVBand="0"/>
      </w:tblPr>
      <w:tblGrid>
        <w:gridCol w:w="2487"/>
        <w:gridCol w:w="2268"/>
        <w:gridCol w:w="2551"/>
        <w:gridCol w:w="2127"/>
      </w:tblGrid>
      <w:tr w:rsidR="00D41B7B" w:rsidRPr="000702C4" w:rsidTr="00D91A9C">
        <w:trPr>
          <w:trHeight w:hRule="exact" w:val="656"/>
        </w:trPr>
        <w:tc>
          <w:tcPr>
            <w:tcW w:w="2487" w:type="dxa"/>
            <w:tcBorders>
              <w:top w:val="single" w:sz="24" w:space="0" w:color="4B4B4B"/>
              <w:left w:val="single" w:sz="29" w:space="0" w:color="4B4B4B"/>
              <w:bottom w:val="nil"/>
              <w:right w:val="single" w:sz="29" w:space="0" w:color="4B4B4B"/>
            </w:tcBorders>
            <w:shd w:val="clear" w:color="auto" w:fill="4B4B4B"/>
          </w:tcPr>
          <w:p w:rsidR="00D41B7B" w:rsidRPr="000702C4" w:rsidRDefault="00D41B7B" w:rsidP="00D91A9C">
            <w:pPr>
              <w:kinsoku w:val="0"/>
              <w:overflowPunct w:val="0"/>
              <w:autoSpaceDE w:val="0"/>
              <w:autoSpaceDN w:val="0"/>
              <w:adjustRightInd w:val="0"/>
              <w:spacing w:line="259" w:lineRule="exact"/>
              <w:ind w:right="235"/>
              <w:jc w:val="center"/>
              <w:rPr>
                <w:rFonts w:eastAsia="Calibri" w:cstheme="minorHAnsi"/>
                <w:color w:val="000000"/>
                <w:sz w:val="18"/>
                <w:szCs w:val="18"/>
              </w:rPr>
            </w:pPr>
            <w:r w:rsidRPr="000702C4">
              <w:rPr>
                <w:rFonts w:eastAsia="Calibri" w:cstheme="minorHAnsi"/>
                <w:b/>
                <w:bCs/>
                <w:color w:val="FFFFFF"/>
                <w:spacing w:val="1"/>
                <w:sz w:val="18"/>
                <w:szCs w:val="18"/>
              </w:rPr>
              <w:t>N</w:t>
            </w:r>
            <w:r w:rsidRPr="000702C4">
              <w:rPr>
                <w:rFonts w:eastAsia="Calibri" w:cstheme="minorHAnsi"/>
                <w:b/>
                <w:bCs/>
                <w:color w:val="FFFFFF"/>
                <w:spacing w:val="-4"/>
                <w:sz w:val="18"/>
                <w:szCs w:val="18"/>
              </w:rPr>
              <w:t>A</w:t>
            </w:r>
            <w:r w:rsidRPr="000702C4">
              <w:rPr>
                <w:rFonts w:eastAsia="Calibri" w:cstheme="minorHAnsi"/>
                <w:b/>
                <w:bCs/>
                <w:color w:val="FFFFFF"/>
                <w:spacing w:val="-3"/>
                <w:sz w:val="18"/>
                <w:szCs w:val="18"/>
              </w:rPr>
              <w:t>M</w:t>
            </w:r>
            <w:r w:rsidRPr="000702C4">
              <w:rPr>
                <w:rFonts w:eastAsia="Calibri" w:cstheme="minorHAnsi"/>
                <w:b/>
                <w:bCs/>
                <w:color w:val="FFFFFF"/>
                <w:sz w:val="18"/>
                <w:szCs w:val="18"/>
              </w:rPr>
              <w:t>E</w:t>
            </w:r>
          </w:p>
          <w:p w:rsidR="00D41B7B" w:rsidRPr="000702C4" w:rsidRDefault="00D41B7B" w:rsidP="00D91A9C">
            <w:pPr>
              <w:kinsoku w:val="0"/>
              <w:overflowPunct w:val="0"/>
              <w:autoSpaceDE w:val="0"/>
              <w:autoSpaceDN w:val="0"/>
              <w:adjustRightInd w:val="0"/>
              <w:spacing w:before="2"/>
              <w:ind w:right="235"/>
              <w:jc w:val="center"/>
              <w:rPr>
                <w:rFonts w:eastAsia="Calibri" w:cstheme="minorHAnsi"/>
                <w:sz w:val="18"/>
                <w:szCs w:val="18"/>
              </w:rPr>
            </w:pPr>
            <w:r w:rsidRPr="000702C4">
              <w:rPr>
                <w:rFonts w:eastAsia="Calibri" w:cstheme="minorHAnsi"/>
                <w:color w:val="FFFFFF"/>
                <w:sz w:val="18"/>
                <w:szCs w:val="18"/>
              </w:rPr>
              <w:t>(</w:t>
            </w:r>
            <w:r w:rsidRPr="000702C4">
              <w:rPr>
                <w:rFonts w:eastAsia="Calibri" w:cstheme="minorHAnsi"/>
                <w:color w:val="FFFFFF"/>
                <w:spacing w:val="-3"/>
                <w:sz w:val="18"/>
                <w:szCs w:val="18"/>
              </w:rPr>
              <w:t>M</w:t>
            </w:r>
            <w:r w:rsidRPr="000702C4">
              <w:rPr>
                <w:rFonts w:eastAsia="Calibri" w:cstheme="minorHAnsi"/>
                <w:color w:val="FFFFFF"/>
                <w:spacing w:val="-1"/>
                <w:sz w:val="18"/>
                <w:szCs w:val="18"/>
              </w:rPr>
              <w:t>a</w:t>
            </w:r>
            <w:r w:rsidRPr="000702C4">
              <w:rPr>
                <w:rFonts w:eastAsia="Calibri" w:cstheme="minorHAnsi"/>
                <w:color w:val="FFFFFF"/>
                <w:spacing w:val="1"/>
                <w:sz w:val="18"/>
                <w:szCs w:val="18"/>
              </w:rPr>
              <w:t>n</w:t>
            </w:r>
            <w:r w:rsidRPr="000702C4">
              <w:rPr>
                <w:rFonts w:eastAsia="Calibri" w:cstheme="minorHAnsi"/>
                <w:color w:val="FFFFFF"/>
                <w:spacing w:val="-1"/>
                <w:sz w:val="18"/>
                <w:szCs w:val="18"/>
              </w:rPr>
              <w:t>u</w:t>
            </w:r>
            <w:r w:rsidRPr="000702C4">
              <w:rPr>
                <w:rFonts w:eastAsia="Calibri" w:cstheme="minorHAnsi"/>
                <w:color w:val="FFFFFF"/>
                <w:spacing w:val="3"/>
                <w:sz w:val="18"/>
                <w:szCs w:val="18"/>
              </w:rPr>
              <w:t>f</w:t>
            </w:r>
            <w:r w:rsidRPr="000702C4">
              <w:rPr>
                <w:rFonts w:eastAsia="Calibri" w:cstheme="minorHAnsi"/>
                <w:color w:val="FFFFFF"/>
                <w:spacing w:val="-1"/>
                <w:sz w:val="18"/>
                <w:szCs w:val="18"/>
              </w:rPr>
              <w:t>ac</w:t>
            </w:r>
            <w:r w:rsidRPr="000702C4">
              <w:rPr>
                <w:rFonts w:eastAsia="Calibri" w:cstheme="minorHAnsi"/>
                <w:color w:val="FFFFFF"/>
                <w:sz w:val="18"/>
                <w:szCs w:val="18"/>
              </w:rPr>
              <w:t>t</w:t>
            </w:r>
            <w:r w:rsidRPr="000702C4">
              <w:rPr>
                <w:rFonts w:eastAsia="Calibri" w:cstheme="minorHAnsi"/>
                <w:color w:val="FFFFFF"/>
                <w:spacing w:val="-1"/>
                <w:sz w:val="18"/>
                <w:szCs w:val="18"/>
              </w:rPr>
              <w:t>u</w:t>
            </w:r>
            <w:r w:rsidRPr="000702C4">
              <w:rPr>
                <w:rFonts w:eastAsia="Calibri" w:cstheme="minorHAnsi"/>
                <w:color w:val="FFFFFF"/>
                <w:sz w:val="18"/>
                <w:szCs w:val="18"/>
              </w:rPr>
              <w:t>r</w:t>
            </w:r>
            <w:r w:rsidRPr="000702C4">
              <w:rPr>
                <w:rFonts w:eastAsia="Calibri" w:cstheme="minorHAnsi"/>
                <w:color w:val="FFFFFF"/>
                <w:spacing w:val="-1"/>
                <w:sz w:val="18"/>
                <w:szCs w:val="18"/>
              </w:rPr>
              <w:t>e</w:t>
            </w:r>
            <w:r w:rsidRPr="000702C4">
              <w:rPr>
                <w:rFonts w:eastAsia="Calibri" w:cstheme="minorHAnsi"/>
                <w:color w:val="FFFFFF"/>
                <w:sz w:val="18"/>
                <w:szCs w:val="18"/>
              </w:rPr>
              <w:t>r)</w:t>
            </w:r>
          </w:p>
        </w:tc>
        <w:tc>
          <w:tcPr>
            <w:tcW w:w="2268" w:type="dxa"/>
            <w:tcBorders>
              <w:top w:val="single" w:sz="24" w:space="0" w:color="4B4B4B"/>
              <w:left w:val="single" w:sz="29" w:space="0" w:color="4B4B4B"/>
              <w:bottom w:val="nil"/>
              <w:right w:val="single" w:sz="29" w:space="0" w:color="4B4B4B"/>
            </w:tcBorders>
            <w:shd w:val="clear" w:color="auto" w:fill="4B4B4B"/>
          </w:tcPr>
          <w:p w:rsidR="00D41B7B" w:rsidRPr="000702C4" w:rsidRDefault="00D41B7B" w:rsidP="00D91A9C">
            <w:pPr>
              <w:kinsoku w:val="0"/>
              <w:overflowPunct w:val="0"/>
              <w:autoSpaceDE w:val="0"/>
              <w:autoSpaceDN w:val="0"/>
              <w:adjustRightInd w:val="0"/>
              <w:spacing w:line="259" w:lineRule="exact"/>
              <w:ind w:left="6"/>
              <w:jc w:val="center"/>
              <w:rPr>
                <w:rFonts w:eastAsia="Calibri" w:cstheme="minorHAnsi"/>
                <w:color w:val="000000"/>
                <w:sz w:val="18"/>
                <w:szCs w:val="18"/>
              </w:rPr>
            </w:pPr>
            <w:r w:rsidRPr="000702C4">
              <w:rPr>
                <w:rFonts w:eastAsia="Calibri" w:cstheme="minorHAnsi"/>
                <w:b/>
                <w:bCs/>
                <w:color w:val="FFFFFF"/>
                <w:sz w:val="18"/>
                <w:szCs w:val="18"/>
              </w:rPr>
              <w:t>T</w:t>
            </w:r>
            <w:r w:rsidRPr="000702C4">
              <w:rPr>
                <w:rFonts w:eastAsia="Calibri" w:cstheme="minorHAnsi"/>
                <w:b/>
                <w:bCs/>
                <w:color w:val="FFFFFF"/>
                <w:spacing w:val="-4"/>
                <w:sz w:val="18"/>
                <w:szCs w:val="18"/>
              </w:rPr>
              <w:t>A</w:t>
            </w:r>
            <w:r w:rsidRPr="000702C4">
              <w:rPr>
                <w:rFonts w:eastAsia="Calibri" w:cstheme="minorHAnsi"/>
                <w:b/>
                <w:bCs/>
                <w:color w:val="FFFFFF"/>
                <w:spacing w:val="-1"/>
                <w:sz w:val="18"/>
                <w:szCs w:val="18"/>
              </w:rPr>
              <w:t>B</w:t>
            </w:r>
            <w:r w:rsidRPr="000702C4">
              <w:rPr>
                <w:rFonts w:eastAsia="Calibri" w:cstheme="minorHAnsi"/>
                <w:b/>
                <w:bCs/>
                <w:color w:val="FFFFFF"/>
                <w:sz w:val="18"/>
                <w:szCs w:val="18"/>
              </w:rPr>
              <w:t>L</w:t>
            </w:r>
            <w:r w:rsidRPr="000702C4">
              <w:rPr>
                <w:rFonts w:eastAsia="Calibri" w:cstheme="minorHAnsi"/>
                <w:b/>
                <w:bCs/>
                <w:color w:val="FFFFFF"/>
                <w:spacing w:val="2"/>
                <w:sz w:val="18"/>
                <w:szCs w:val="18"/>
              </w:rPr>
              <w:t>E</w:t>
            </w:r>
            <w:r w:rsidRPr="000702C4">
              <w:rPr>
                <w:rFonts w:eastAsia="Calibri" w:cstheme="minorHAnsi"/>
                <w:b/>
                <w:bCs/>
                <w:color w:val="FFFFFF"/>
                <w:sz w:val="18"/>
                <w:szCs w:val="18"/>
              </w:rPr>
              <w:t>T</w:t>
            </w:r>
          </w:p>
          <w:p w:rsidR="00D41B7B" w:rsidRPr="000702C4" w:rsidRDefault="00D41B7B" w:rsidP="00D91A9C">
            <w:pPr>
              <w:kinsoku w:val="0"/>
              <w:overflowPunct w:val="0"/>
              <w:autoSpaceDE w:val="0"/>
              <w:autoSpaceDN w:val="0"/>
              <w:adjustRightInd w:val="0"/>
              <w:spacing w:before="2"/>
              <w:rPr>
                <w:rFonts w:eastAsia="Calibri" w:cstheme="minorHAnsi"/>
                <w:sz w:val="18"/>
                <w:szCs w:val="18"/>
              </w:rPr>
            </w:pPr>
          </w:p>
        </w:tc>
        <w:tc>
          <w:tcPr>
            <w:tcW w:w="2551" w:type="dxa"/>
            <w:tcBorders>
              <w:top w:val="single" w:sz="24" w:space="0" w:color="4B4B4B"/>
              <w:left w:val="single" w:sz="29" w:space="0" w:color="4B4B4B"/>
              <w:bottom w:val="nil"/>
              <w:right w:val="single" w:sz="29" w:space="0" w:color="4B4B4B"/>
            </w:tcBorders>
            <w:shd w:val="clear" w:color="auto" w:fill="4B4B4B"/>
          </w:tcPr>
          <w:p w:rsidR="00D41B7B" w:rsidRPr="000702C4" w:rsidRDefault="00D41B7B" w:rsidP="00D91A9C">
            <w:pPr>
              <w:kinsoku w:val="0"/>
              <w:overflowPunct w:val="0"/>
              <w:autoSpaceDE w:val="0"/>
              <w:autoSpaceDN w:val="0"/>
              <w:adjustRightInd w:val="0"/>
              <w:spacing w:before="4" w:line="120" w:lineRule="exact"/>
              <w:rPr>
                <w:rFonts w:eastAsia="Calibri" w:cstheme="minorHAnsi"/>
                <w:sz w:val="18"/>
                <w:szCs w:val="18"/>
              </w:rPr>
            </w:pPr>
          </w:p>
          <w:p w:rsidR="00D41B7B" w:rsidRPr="000702C4" w:rsidRDefault="00D41B7B" w:rsidP="00D91A9C">
            <w:pPr>
              <w:kinsoku w:val="0"/>
              <w:overflowPunct w:val="0"/>
              <w:autoSpaceDE w:val="0"/>
              <w:autoSpaceDN w:val="0"/>
              <w:adjustRightInd w:val="0"/>
              <w:ind w:left="735"/>
              <w:rPr>
                <w:rFonts w:eastAsia="Calibri" w:cstheme="minorHAnsi"/>
                <w:sz w:val="18"/>
                <w:szCs w:val="18"/>
              </w:rPr>
            </w:pPr>
            <w:r w:rsidRPr="000702C4">
              <w:rPr>
                <w:rFonts w:eastAsia="Calibri" w:cstheme="minorHAnsi"/>
                <w:b/>
                <w:bCs/>
                <w:color w:val="FFFFFF"/>
                <w:sz w:val="18"/>
                <w:szCs w:val="18"/>
              </w:rPr>
              <w:t>FO</w:t>
            </w:r>
            <w:r w:rsidRPr="000702C4">
              <w:rPr>
                <w:rFonts w:eastAsia="Calibri" w:cstheme="minorHAnsi"/>
                <w:b/>
                <w:bCs/>
                <w:color w:val="FFFFFF"/>
                <w:spacing w:val="-1"/>
                <w:sz w:val="18"/>
                <w:szCs w:val="18"/>
              </w:rPr>
              <w:t>R</w:t>
            </w:r>
            <w:r w:rsidRPr="000702C4">
              <w:rPr>
                <w:rFonts w:eastAsia="Calibri" w:cstheme="minorHAnsi"/>
                <w:b/>
                <w:bCs/>
                <w:color w:val="FFFFFF"/>
                <w:spacing w:val="-3"/>
                <w:sz w:val="18"/>
                <w:szCs w:val="18"/>
              </w:rPr>
              <w:t>M</w:t>
            </w:r>
            <w:r w:rsidRPr="000702C4">
              <w:rPr>
                <w:rFonts w:eastAsia="Calibri" w:cstheme="minorHAnsi"/>
                <w:b/>
                <w:bCs/>
                <w:color w:val="FFFFFF"/>
                <w:spacing w:val="-1"/>
                <w:sz w:val="18"/>
                <w:szCs w:val="18"/>
              </w:rPr>
              <w:t>U</w:t>
            </w:r>
            <w:r w:rsidRPr="000702C4">
              <w:rPr>
                <w:rFonts w:eastAsia="Calibri" w:cstheme="minorHAnsi"/>
                <w:b/>
                <w:bCs/>
                <w:color w:val="FFFFFF"/>
                <w:spacing w:val="3"/>
                <w:sz w:val="18"/>
                <w:szCs w:val="18"/>
              </w:rPr>
              <w:t>L</w:t>
            </w:r>
            <w:r w:rsidRPr="000702C4">
              <w:rPr>
                <w:rFonts w:eastAsia="Calibri" w:cstheme="minorHAnsi"/>
                <w:b/>
                <w:bCs/>
                <w:color w:val="FFFFFF"/>
                <w:spacing w:val="-4"/>
                <w:sz w:val="18"/>
                <w:szCs w:val="18"/>
              </w:rPr>
              <w:t>A</w:t>
            </w:r>
            <w:r w:rsidRPr="000702C4">
              <w:rPr>
                <w:rFonts w:eastAsia="Calibri" w:cstheme="minorHAnsi"/>
                <w:b/>
                <w:bCs/>
                <w:color w:val="FFFFFF"/>
                <w:spacing w:val="-5"/>
                <w:sz w:val="18"/>
                <w:szCs w:val="18"/>
              </w:rPr>
              <w:t>T</w:t>
            </w:r>
            <w:r w:rsidRPr="000702C4">
              <w:rPr>
                <w:rFonts w:eastAsia="Calibri" w:cstheme="minorHAnsi"/>
                <w:b/>
                <w:bCs/>
                <w:color w:val="FFFFFF"/>
                <w:sz w:val="18"/>
                <w:szCs w:val="18"/>
              </w:rPr>
              <w:t>ION</w:t>
            </w:r>
          </w:p>
        </w:tc>
        <w:tc>
          <w:tcPr>
            <w:tcW w:w="2127" w:type="dxa"/>
            <w:tcBorders>
              <w:top w:val="single" w:sz="24" w:space="0" w:color="4B4B4B"/>
              <w:left w:val="single" w:sz="29" w:space="0" w:color="4B4B4B"/>
              <w:bottom w:val="nil"/>
              <w:right w:val="single" w:sz="29" w:space="0" w:color="4B4B4B"/>
            </w:tcBorders>
            <w:shd w:val="clear" w:color="auto" w:fill="4B4B4B"/>
          </w:tcPr>
          <w:p w:rsidR="00D41B7B" w:rsidRPr="000702C4" w:rsidRDefault="00D41B7B" w:rsidP="00D91A9C">
            <w:pPr>
              <w:kinsoku w:val="0"/>
              <w:overflowPunct w:val="0"/>
              <w:autoSpaceDE w:val="0"/>
              <w:autoSpaceDN w:val="0"/>
              <w:adjustRightInd w:val="0"/>
              <w:spacing w:line="259" w:lineRule="exact"/>
              <w:ind w:left="1"/>
              <w:jc w:val="center"/>
              <w:rPr>
                <w:rFonts w:eastAsia="Calibri" w:cstheme="minorHAnsi"/>
                <w:color w:val="000000"/>
                <w:sz w:val="18"/>
                <w:szCs w:val="18"/>
              </w:rPr>
            </w:pPr>
            <w:r w:rsidRPr="000702C4">
              <w:rPr>
                <w:rFonts w:eastAsia="Calibri" w:cstheme="minorHAnsi"/>
                <w:b/>
                <w:bCs/>
                <w:color w:val="FFFFFF"/>
                <w:spacing w:val="-1"/>
                <w:sz w:val="18"/>
                <w:szCs w:val="18"/>
              </w:rPr>
              <w:t>E</w:t>
            </w:r>
            <w:r w:rsidRPr="000702C4">
              <w:rPr>
                <w:rFonts w:eastAsia="Calibri" w:cstheme="minorHAnsi"/>
                <w:b/>
                <w:bCs/>
                <w:color w:val="FFFFFF"/>
                <w:sz w:val="18"/>
                <w:szCs w:val="18"/>
              </w:rPr>
              <w:t>L</w:t>
            </w:r>
            <w:r w:rsidRPr="000702C4">
              <w:rPr>
                <w:rFonts w:eastAsia="Calibri" w:cstheme="minorHAnsi"/>
                <w:b/>
                <w:bCs/>
                <w:color w:val="FFFFFF"/>
                <w:spacing w:val="-1"/>
                <w:sz w:val="18"/>
                <w:szCs w:val="18"/>
              </w:rPr>
              <w:t>E</w:t>
            </w:r>
            <w:r w:rsidRPr="000702C4">
              <w:rPr>
                <w:rFonts w:eastAsia="Calibri" w:cstheme="minorHAnsi"/>
                <w:b/>
                <w:bCs/>
                <w:color w:val="FFFFFF"/>
                <w:spacing w:val="-3"/>
                <w:sz w:val="18"/>
                <w:szCs w:val="18"/>
              </w:rPr>
              <w:t>M</w:t>
            </w:r>
            <w:r w:rsidRPr="000702C4">
              <w:rPr>
                <w:rFonts w:eastAsia="Calibri" w:cstheme="minorHAnsi"/>
                <w:b/>
                <w:bCs/>
                <w:color w:val="FFFFFF"/>
                <w:spacing w:val="-1"/>
                <w:sz w:val="18"/>
                <w:szCs w:val="18"/>
              </w:rPr>
              <w:t>E</w:t>
            </w:r>
            <w:r w:rsidRPr="000702C4">
              <w:rPr>
                <w:rFonts w:eastAsia="Calibri" w:cstheme="minorHAnsi"/>
                <w:b/>
                <w:bCs/>
                <w:color w:val="FFFFFF"/>
                <w:spacing w:val="1"/>
                <w:sz w:val="18"/>
                <w:szCs w:val="18"/>
              </w:rPr>
              <w:t>N</w:t>
            </w:r>
            <w:r w:rsidRPr="000702C4">
              <w:rPr>
                <w:rFonts w:eastAsia="Calibri" w:cstheme="minorHAnsi"/>
                <w:b/>
                <w:bCs/>
                <w:color w:val="FFFFFF"/>
                <w:spacing w:val="-2"/>
                <w:sz w:val="18"/>
                <w:szCs w:val="18"/>
              </w:rPr>
              <w:t>T</w:t>
            </w:r>
            <w:r w:rsidRPr="000702C4">
              <w:rPr>
                <w:rFonts w:eastAsia="Calibri" w:cstheme="minorHAnsi"/>
                <w:b/>
                <w:bCs/>
                <w:color w:val="FFFFFF"/>
                <w:spacing w:val="-4"/>
                <w:sz w:val="18"/>
                <w:szCs w:val="18"/>
              </w:rPr>
              <w:t>A</w:t>
            </w:r>
            <w:r w:rsidRPr="000702C4">
              <w:rPr>
                <w:rFonts w:eastAsia="Calibri" w:cstheme="minorHAnsi"/>
                <w:b/>
                <w:bCs/>
                <w:color w:val="FFFFFF"/>
                <w:sz w:val="18"/>
                <w:szCs w:val="18"/>
              </w:rPr>
              <w:t>L</w:t>
            </w:r>
          </w:p>
          <w:p w:rsidR="00D41B7B" w:rsidRPr="000702C4" w:rsidRDefault="00D41B7B" w:rsidP="00D91A9C">
            <w:pPr>
              <w:kinsoku w:val="0"/>
              <w:overflowPunct w:val="0"/>
              <w:autoSpaceDE w:val="0"/>
              <w:autoSpaceDN w:val="0"/>
              <w:adjustRightInd w:val="0"/>
              <w:spacing w:line="264" w:lineRule="exact"/>
              <w:ind w:left="4"/>
              <w:jc w:val="center"/>
              <w:rPr>
                <w:rFonts w:eastAsia="Calibri" w:cstheme="minorHAnsi"/>
                <w:sz w:val="18"/>
                <w:szCs w:val="18"/>
              </w:rPr>
            </w:pPr>
            <w:r w:rsidRPr="000702C4">
              <w:rPr>
                <w:rFonts w:eastAsia="Calibri" w:cstheme="minorHAnsi"/>
                <w:b/>
                <w:bCs/>
                <w:color w:val="FFFFFF"/>
                <w:sz w:val="18"/>
                <w:szCs w:val="18"/>
              </w:rPr>
              <w:t>I</w:t>
            </w:r>
            <w:r w:rsidRPr="000702C4">
              <w:rPr>
                <w:rFonts w:eastAsia="Calibri" w:cstheme="minorHAnsi"/>
                <w:b/>
                <w:bCs/>
                <w:color w:val="FFFFFF"/>
                <w:spacing w:val="-1"/>
                <w:sz w:val="18"/>
                <w:szCs w:val="18"/>
              </w:rPr>
              <w:t>R</w:t>
            </w:r>
            <w:r w:rsidRPr="000702C4">
              <w:rPr>
                <w:rFonts w:eastAsia="Calibri" w:cstheme="minorHAnsi"/>
                <w:b/>
                <w:bCs/>
                <w:color w:val="FFFFFF"/>
                <w:sz w:val="18"/>
                <w:szCs w:val="18"/>
              </w:rPr>
              <w:t xml:space="preserve">ON </w:t>
            </w:r>
            <w:r w:rsidRPr="000702C4">
              <w:rPr>
                <w:rFonts w:eastAsia="Calibri" w:cstheme="minorHAnsi"/>
                <w:b/>
                <w:bCs/>
                <w:color w:val="FFFFFF"/>
                <w:spacing w:val="-1"/>
                <w:sz w:val="18"/>
                <w:szCs w:val="18"/>
              </w:rPr>
              <w:t>C</w:t>
            </w:r>
            <w:r w:rsidRPr="000702C4">
              <w:rPr>
                <w:rFonts w:eastAsia="Calibri" w:cstheme="minorHAnsi"/>
                <w:b/>
                <w:bCs/>
                <w:color w:val="FFFFFF"/>
                <w:sz w:val="18"/>
                <w:szCs w:val="18"/>
              </w:rPr>
              <w:t>O</w:t>
            </w:r>
            <w:r w:rsidRPr="000702C4">
              <w:rPr>
                <w:rFonts w:eastAsia="Calibri" w:cstheme="minorHAnsi"/>
                <w:b/>
                <w:bCs/>
                <w:color w:val="FFFFFF"/>
                <w:spacing w:val="-1"/>
                <w:sz w:val="18"/>
                <w:szCs w:val="18"/>
              </w:rPr>
              <w:t>N</w:t>
            </w:r>
            <w:r w:rsidRPr="000702C4">
              <w:rPr>
                <w:rFonts w:eastAsia="Calibri" w:cstheme="minorHAnsi"/>
                <w:b/>
                <w:bCs/>
                <w:color w:val="FFFFFF"/>
                <w:spacing w:val="-5"/>
                <w:sz w:val="18"/>
                <w:szCs w:val="18"/>
              </w:rPr>
              <w:t>T</w:t>
            </w:r>
            <w:r w:rsidRPr="000702C4">
              <w:rPr>
                <w:rFonts w:eastAsia="Calibri" w:cstheme="minorHAnsi"/>
                <w:b/>
                <w:bCs/>
                <w:color w:val="FFFFFF"/>
                <w:spacing w:val="-1"/>
                <w:sz w:val="18"/>
                <w:szCs w:val="18"/>
              </w:rPr>
              <w:t>E</w:t>
            </w:r>
            <w:r w:rsidRPr="000702C4">
              <w:rPr>
                <w:rFonts w:eastAsia="Calibri" w:cstheme="minorHAnsi"/>
                <w:b/>
                <w:bCs/>
                <w:color w:val="FFFFFF"/>
                <w:spacing w:val="1"/>
                <w:sz w:val="18"/>
                <w:szCs w:val="18"/>
              </w:rPr>
              <w:t>N</w:t>
            </w:r>
            <w:r w:rsidRPr="000702C4">
              <w:rPr>
                <w:rFonts w:eastAsia="Calibri" w:cstheme="minorHAnsi"/>
                <w:b/>
                <w:bCs/>
                <w:color w:val="FFFFFF"/>
                <w:sz w:val="18"/>
                <w:szCs w:val="18"/>
              </w:rPr>
              <w:t>T</w:t>
            </w:r>
          </w:p>
        </w:tc>
      </w:tr>
      <w:tr w:rsidR="00D41B7B" w:rsidRPr="008F55EE" w:rsidTr="00D91A9C">
        <w:trPr>
          <w:trHeight w:hRule="exact" w:val="1339"/>
        </w:trPr>
        <w:tc>
          <w:tcPr>
            <w:tcW w:w="2487" w:type="dxa"/>
            <w:tcBorders>
              <w:top w:val="single" w:sz="6" w:space="0" w:color="7E7E7E"/>
              <w:left w:val="single" w:sz="6" w:space="0" w:color="7E7E7E"/>
              <w:bottom w:val="single" w:sz="6" w:space="0" w:color="7E7E7E"/>
              <w:right w:val="single" w:sz="6" w:space="0" w:color="7E7E7E"/>
            </w:tcBorders>
          </w:tcPr>
          <w:p w:rsidR="00D41B7B" w:rsidRPr="008F55EE" w:rsidRDefault="00D41B7B" w:rsidP="00D91A9C">
            <w:pPr>
              <w:kinsoku w:val="0"/>
              <w:overflowPunct w:val="0"/>
              <w:autoSpaceDE w:val="0"/>
              <w:autoSpaceDN w:val="0"/>
              <w:adjustRightInd w:val="0"/>
              <w:spacing w:before="40" w:after="40"/>
              <w:jc w:val="center"/>
              <w:rPr>
                <w:rFonts w:eastAsia="Calibri" w:cstheme="minorHAnsi"/>
                <w:b/>
                <w:bCs/>
                <w:sz w:val="18"/>
                <w:szCs w:val="18"/>
              </w:rPr>
            </w:pPr>
            <w:r w:rsidRPr="008F55EE">
              <w:rPr>
                <w:rFonts w:eastAsia="Calibri" w:cstheme="minorHAnsi"/>
                <w:b/>
                <w:bCs/>
                <w:sz w:val="18"/>
                <w:szCs w:val="18"/>
              </w:rPr>
              <w:br/>
              <w:t>FERRO-LIQUID</w:t>
            </w:r>
            <w:r w:rsidRPr="008F55EE">
              <w:rPr>
                <w:rFonts w:eastAsia="Calibri" w:cstheme="minorHAnsi"/>
                <w:b/>
                <w:bCs/>
                <w:sz w:val="18"/>
                <w:szCs w:val="18"/>
              </w:rPr>
              <w:br/>
            </w:r>
            <w:r w:rsidRPr="008F55EE">
              <w:rPr>
                <w:rFonts w:eastAsia="Calibri" w:cstheme="minorHAnsi"/>
                <w:bCs/>
                <w:sz w:val="18"/>
                <w:szCs w:val="18"/>
              </w:rPr>
              <w:t>(AFT pharmaceuticals)</w:t>
            </w:r>
            <w:r w:rsidRPr="008F55EE">
              <w:rPr>
                <w:rFonts w:eastAsia="Calibri" w:cstheme="minorHAnsi"/>
                <w:b/>
                <w:bCs/>
                <w:sz w:val="18"/>
                <w:szCs w:val="18"/>
              </w:rPr>
              <w:br/>
              <w:t>PBS listed</w:t>
            </w:r>
          </w:p>
        </w:tc>
        <w:tc>
          <w:tcPr>
            <w:tcW w:w="2268" w:type="dxa"/>
            <w:tcBorders>
              <w:top w:val="single" w:sz="6" w:space="0" w:color="7E7E7E"/>
              <w:left w:val="single" w:sz="6" w:space="0" w:color="7E7E7E"/>
              <w:bottom w:val="single" w:sz="6" w:space="0" w:color="7E7E7E"/>
              <w:right w:val="single" w:sz="6" w:space="0" w:color="7E7E7E"/>
            </w:tcBorders>
          </w:tcPr>
          <w:p w:rsidR="00D41B7B" w:rsidRPr="008F55EE" w:rsidRDefault="00D41B7B" w:rsidP="00D91A9C">
            <w:pPr>
              <w:tabs>
                <w:tab w:val="left" w:pos="0"/>
                <w:tab w:val="left" w:pos="2410"/>
                <w:tab w:val="left" w:pos="3403"/>
              </w:tabs>
              <w:kinsoku w:val="0"/>
              <w:overflowPunct w:val="0"/>
              <w:autoSpaceDE w:val="0"/>
              <w:autoSpaceDN w:val="0"/>
              <w:adjustRightInd w:val="0"/>
              <w:spacing w:before="40" w:after="40"/>
              <w:jc w:val="center"/>
              <w:rPr>
                <w:rFonts w:eastAsia="Calibri" w:cstheme="minorHAnsi"/>
                <w:sz w:val="18"/>
                <w:szCs w:val="18"/>
              </w:rPr>
            </w:pPr>
            <w:r w:rsidRPr="008F55EE">
              <w:rPr>
                <w:sz w:val="18"/>
                <w:szCs w:val="18"/>
              </w:rPr>
              <w:object w:dxaOrig="73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57.05pt" o:ole="">
                  <v:imagedata r:id="rId100" o:title=""/>
                </v:shape>
                <o:OLEObject Type="Embed" ProgID="PBrush" ShapeID="_x0000_i1025" DrawAspect="Content" ObjectID="_1525261497" r:id="rId101"/>
              </w:object>
            </w:r>
            <w:r w:rsidRPr="008F55EE">
              <w:rPr>
                <w:sz w:val="18"/>
                <w:szCs w:val="18"/>
              </w:rPr>
              <w:object w:dxaOrig="3315" w:dyaOrig="7470">
                <v:shape id="_x0000_i1026" type="#_x0000_t75" style="width:26.2pt;height:58.9pt" o:ole="">
                  <v:imagedata r:id="rId102" o:title=""/>
                </v:shape>
                <o:OLEObject Type="Embed" ProgID="PBrush" ShapeID="_x0000_i1026" DrawAspect="Content" ObjectID="_1525261498" r:id="rId103"/>
              </w:object>
            </w:r>
          </w:p>
        </w:tc>
        <w:tc>
          <w:tcPr>
            <w:tcW w:w="2551" w:type="dxa"/>
            <w:tcBorders>
              <w:top w:val="single" w:sz="6" w:space="0" w:color="7E7E7E"/>
              <w:left w:val="single" w:sz="6" w:space="0" w:color="7E7E7E"/>
              <w:bottom w:val="single" w:sz="6" w:space="0" w:color="7E7E7E"/>
              <w:right w:val="single" w:sz="6" w:space="0" w:color="7E7E7E"/>
            </w:tcBorders>
          </w:tcPr>
          <w:p w:rsidR="00D41B7B" w:rsidRPr="008F55EE" w:rsidRDefault="00D41B7B" w:rsidP="00D91A9C">
            <w:pPr>
              <w:kinsoku w:val="0"/>
              <w:overflowPunct w:val="0"/>
              <w:autoSpaceDE w:val="0"/>
              <w:autoSpaceDN w:val="0"/>
              <w:adjustRightInd w:val="0"/>
              <w:spacing w:before="40" w:after="40"/>
              <w:jc w:val="center"/>
              <w:rPr>
                <w:rFonts w:eastAsia="Calibri" w:cstheme="minorHAnsi"/>
                <w:spacing w:val="-1"/>
                <w:sz w:val="18"/>
                <w:szCs w:val="18"/>
              </w:rPr>
            </w:pPr>
            <w:r>
              <w:rPr>
                <w:rFonts w:eastAsia="Calibri" w:cstheme="minorHAnsi"/>
                <w:spacing w:val="-1"/>
                <w:sz w:val="18"/>
                <w:szCs w:val="18"/>
              </w:rPr>
              <w:br/>
            </w:r>
            <w:r w:rsidRPr="008F55EE">
              <w:rPr>
                <w:rFonts w:eastAsia="Calibri" w:cstheme="minorHAnsi"/>
                <w:spacing w:val="-1"/>
                <w:sz w:val="18"/>
                <w:szCs w:val="18"/>
              </w:rPr>
              <w:t xml:space="preserve">Ferrous Sulphate </w:t>
            </w:r>
            <w:r w:rsidRPr="008F55EE">
              <w:rPr>
                <w:rFonts w:eastAsia="Calibri" w:cstheme="minorHAnsi"/>
                <w:spacing w:val="-1"/>
                <w:sz w:val="18"/>
                <w:szCs w:val="18"/>
              </w:rPr>
              <w:br/>
              <w:t>Oral</w:t>
            </w:r>
            <w:r>
              <w:rPr>
                <w:rFonts w:eastAsia="Calibri" w:cstheme="minorHAnsi"/>
                <w:spacing w:val="-1"/>
                <w:sz w:val="18"/>
                <w:szCs w:val="18"/>
              </w:rPr>
              <w:t xml:space="preserve"> solution</w:t>
            </w:r>
          </w:p>
        </w:tc>
        <w:tc>
          <w:tcPr>
            <w:tcW w:w="2127" w:type="dxa"/>
            <w:tcBorders>
              <w:top w:val="single" w:sz="6" w:space="0" w:color="7E7E7E"/>
              <w:left w:val="single" w:sz="6" w:space="0" w:color="7E7E7E"/>
              <w:bottom w:val="single" w:sz="6" w:space="0" w:color="7E7E7E"/>
              <w:right w:val="single" w:sz="6" w:space="0" w:color="7E7E7E"/>
            </w:tcBorders>
          </w:tcPr>
          <w:p w:rsidR="00D41B7B" w:rsidRPr="008F55EE" w:rsidRDefault="00D41B7B" w:rsidP="00D91A9C">
            <w:pPr>
              <w:kinsoku w:val="0"/>
              <w:overflowPunct w:val="0"/>
              <w:autoSpaceDE w:val="0"/>
              <w:autoSpaceDN w:val="0"/>
              <w:adjustRightInd w:val="0"/>
              <w:spacing w:before="40" w:after="40"/>
              <w:jc w:val="center"/>
              <w:rPr>
                <w:rFonts w:eastAsia="Calibri" w:cstheme="minorHAnsi"/>
                <w:b/>
                <w:bCs/>
                <w:sz w:val="18"/>
                <w:szCs w:val="18"/>
              </w:rPr>
            </w:pPr>
          </w:p>
          <w:p w:rsidR="00D41B7B" w:rsidRPr="008F55EE" w:rsidRDefault="00D41B7B" w:rsidP="00D91A9C">
            <w:pPr>
              <w:kinsoku w:val="0"/>
              <w:overflowPunct w:val="0"/>
              <w:autoSpaceDE w:val="0"/>
              <w:autoSpaceDN w:val="0"/>
              <w:adjustRightInd w:val="0"/>
              <w:spacing w:before="40" w:after="40"/>
              <w:jc w:val="center"/>
              <w:rPr>
                <w:rFonts w:eastAsia="Calibri" w:cstheme="minorHAnsi"/>
                <w:b/>
                <w:bCs/>
                <w:sz w:val="18"/>
                <w:szCs w:val="18"/>
              </w:rPr>
            </w:pPr>
            <w:r w:rsidRPr="008F55EE">
              <w:rPr>
                <w:rFonts w:eastAsia="Calibri" w:cstheme="minorHAnsi"/>
                <w:b/>
                <w:bCs/>
                <w:sz w:val="18"/>
                <w:szCs w:val="18"/>
              </w:rPr>
              <w:t>30 mg/5 mL</w:t>
            </w:r>
          </w:p>
        </w:tc>
      </w:tr>
      <w:tr w:rsidR="00D41B7B" w:rsidRPr="008F55EE" w:rsidTr="00D91A9C">
        <w:trPr>
          <w:trHeight w:hRule="exact" w:val="1262"/>
        </w:trPr>
        <w:tc>
          <w:tcPr>
            <w:tcW w:w="2487" w:type="dxa"/>
            <w:tcBorders>
              <w:top w:val="single" w:sz="6" w:space="0" w:color="7E7E7E"/>
              <w:left w:val="single" w:sz="6" w:space="0" w:color="7E7E7E"/>
              <w:bottom w:val="single" w:sz="6" w:space="0" w:color="7E7E7E"/>
              <w:right w:val="single" w:sz="6" w:space="0" w:color="7E7E7E"/>
            </w:tcBorders>
          </w:tcPr>
          <w:p w:rsidR="00D41B7B" w:rsidRPr="008F55EE" w:rsidRDefault="00D41B7B" w:rsidP="00D91A9C">
            <w:pPr>
              <w:kinsoku w:val="0"/>
              <w:overflowPunct w:val="0"/>
              <w:autoSpaceDE w:val="0"/>
              <w:autoSpaceDN w:val="0"/>
              <w:adjustRightInd w:val="0"/>
              <w:spacing w:before="40" w:after="40"/>
              <w:jc w:val="center"/>
              <w:rPr>
                <w:rFonts w:eastAsia="Calibri" w:cstheme="minorHAnsi"/>
                <w:b/>
                <w:bCs/>
                <w:sz w:val="18"/>
                <w:szCs w:val="18"/>
              </w:rPr>
            </w:pPr>
            <w:r w:rsidRPr="008F55EE">
              <w:rPr>
                <w:rFonts w:eastAsia="Calibri" w:cstheme="minorHAnsi"/>
                <w:b/>
                <w:bCs/>
                <w:sz w:val="18"/>
                <w:szCs w:val="18"/>
              </w:rPr>
              <w:br/>
              <w:t>FEFOL</w:t>
            </w:r>
            <w:r>
              <w:rPr>
                <w:rFonts w:eastAsia="Calibri" w:cstheme="minorHAnsi"/>
                <w:b/>
                <w:bCs/>
                <w:sz w:val="18"/>
                <w:szCs w:val="18"/>
              </w:rPr>
              <w:t>® Iron and folate supplement</w:t>
            </w:r>
            <w:r w:rsidRPr="008F55EE">
              <w:rPr>
                <w:rFonts w:eastAsia="Calibri" w:cstheme="minorHAnsi"/>
                <w:b/>
                <w:bCs/>
                <w:sz w:val="18"/>
                <w:szCs w:val="18"/>
              </w:rPr>
              <w:br/>
            </w:r>
            <w:r w:rsidRPr="00252E64">
              <w:rPr>
                <w:rFonts w:eastAsia="Calibri" w:cstheme="minorHAnsi"/>
                <w:bCs/>
                <w:sz w:val="18"/>
                <w:szCs w:val="18"/>
              </w:rPr>
              <w:t>(Pharm-a-care)</w:t>
            </w:r>
          </w:p>
        </w:tc>
        <w:tc>
          <w:tcPr>
            <w:tcW w:w="2268" w:type="dxa"/>
            <w:tcBorders>
              <w:top w:val="single" w:sz="6" w:space="0" w:color="7E7E7E"/>
              <w:left w:val="single" w:sz="6" w:space="0" w:color="7E7E7E"/>
              <w:bottom w:val="single" w:sz="6" w:space="0" w:color="7E7E7E"/>
              <w:right w:val="single" w:sz="6" w:space="0" w:color="7E7E7E"/>
            </w:tcBorders>
          </w:tcPr>
          <w:p w:rsidR="00D41B7B" w:rsidRPr="008F55EE" w:rsidRDefault="00D41B7B" w:rsidP="00D91A9C">
            <w:pPr>
              <w:kinsoku w:val="0"/>
              <w:overflowPunct w:val="0"/>
              <w:autoSpaceDE w:val="0"/>
              <w:autoSpaceDN w:val="0"/>
              <w:adjustRightInd w:val="0"/>
              <w:spacing w:before="40" w:after="40"/>
              <w:jc w:val="center"/>
              <w:rPr>
                <w:rFonts w:eastAsia="Calibri" w:cstheme="minorHAnsi"/>
                <w:noProof/>
                <w:sz w:val="18"/>
                <w:szCs w:val="18"/>
                <w:lang w:eastAsia="en-AU"/>
              </w:rPr>
            </w:pPr>
            <w:r w:rsidRPr="005C4B74">
              <w:rPr>
                <w:rFonts w:eastAsia="Calibri" w:cstheme="minorHAnsi"/>
                <w:noProof/>
                <w:sz w:val="18"/>
                <w:szCs w:val="18"/>
                <w:lang w:eastAsia="en-AU"/>
              </w:rPr>
              <w:drawing>
                <wp:inline distT="0" distB="0" distL="0" distR="0" wp14:anchorId="6A6DC189" wp14:editId="0FA6868E">
                  <wp:extent cx="687600" cy="26640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87600" cy="266400"/>
                          </a:xfrm>
                          <a:prstGeom prst="rect">
                            <a:avLst/>
                          </a:prstGeom>
                          <a:noFill/>
                        </pic:spPr>
                      </pic:pic>
                    </a:graphicData>
                  </a:graphic>
                </wp:inline>
              </w:drawing>
            </w:r>
            <w:r w:rsidRPr="008F55EE">
              <w:rPr>
                <w:rFonts w:eastAsia="Calibri" w:cstheme="minorHAnsi"/>
                <w:noProof/>
                <w:sz w:val="18"/>
                <w:szCs w:val="18"/>
                <w:lang w:eastAsia="en-AU"/>
              </w:rPr>
              <w:br/>
            </w:r>
            <w:r w:rsidRPr="005C4B74">
              <w:rPr>
                <w:rFonts w:eastAsia="Calibri" w:cstheme="minorHAnsi"/>
                <w:noProof/>
                <w:sz w:val="18"/>
                <w:szCs w:val="18"/>
                <w:lang w:eastAsia="en-AU"/>
              </w:rPr>
              <w:drawing>
                <wp:inline distT="0" distB="0" distL="0" distR="0" wp14:anchorId="0284B61A" wp14:editId="384AC5FC">
                  <wp:extent cx="541456" cy="466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1456" cy="466725"/>
                          </a:xfrm>
                          <a:prstGeom prst="rect">
                            <a:avLst/>
                          </a:prstGeom>
                          <a:noFill/>
                        </pic:spPr>
                      </pic:pic>
                    </a:graphicData>
                  </a:graphic>
                </wp:inline>
              </w:drawing>
            </w:r>
          </w:p>
          <w:p w:rsidR="00D41B7B" w:rsidRPr="008F55EE" w:rsidRDefault="00D41B7B" w:rsidP="00D91A9C">
            <w:pPr>
              <w:kinsoku w:val="0"/>
              <w:overflowPunct w:val="0"/>
              <w:autoSpaceDE w:val="0"/>
              <w:autoSpaceDN w:val="0"/>
              <w:adjustRightInd w:val="0"/>
              <w:spacing w:before="40" w:after="40"/>
              <w:rPr>
                <w:rFonts w:eastAsia="Calibri" w:cstheme="minorHAnsi"/>
                <w:sz w:val="18"/>
                <w:szCs w:val="18"/>
              </w:rPr>
            </w:pPr>
          </w:p>
        </w:tc>
        <w:tc>
          <w:tcPr>
            <w:tcW w:w="2551" w:type="dxa"/>
            <w:tcBorders>
              <w:top w:val="single" w:sz="6" w:space="0" w:color="7E7E7E"/>
              <w:left w:val="single" w:sz="6" w:space="0" w:color="7E7E7E"/>
              <w:bottom w:val="single" w:sz="6" w:space="0" w:color="7E7E7E"/>
              <w:right w:val="single" w:sz="6" w:space="0" w:color="7E7E7E"/>
            </w:tcBorders>
          </w:tcPr>
          <w:p w:rsidR="00D41B7B" w:rsidRPr="008F55EE" w:rsidRDefault="00D41B7B" w:rsidP="00D91A9C">
            <w:pPr>
              <w:kinsoku w:val="0"/>
              <w:overflowPunct w:val="0"/>
              <w:autoSpaceDE w:val="0"/>
              <w:autoSpaceDN w:val="0"/>
              <w:adjustRightInd w:val="0"/>
              <w:spacing w:before="40" w:after="40"/>
              <w:jc w:val="center"/>
              <w:rPr>
                <w:rFonts w:eastAsia="Calibri" w:cstheme="minorHAnsi"/>
                <w:spacing w:val="-1"/>
                <w:sz w:val="18"/>
                <w:szCs w:val="18"/>
              </w:rPr>
            </w:pPr>
            <w:r>
              <w:rPr>
                <w:rFonts w:eastAsia="Calibri" w:cstheme="minorHAnsi"/>
                <w:spacing w:val="-1"/>
                <w:sz w:val="18"/>
                <w:szCs w:val="18"/>
              </w:rPr>
              <w:br/>
            </w:r>
            <w:r w:rsidRPr="008F55EE">
              <w:rPr>
                <w:rFonts w:eastAsia="Calibri" w:cstheme="minorHAnsi"/>
                <w:spacing w:val="-1"/>
                <w:sz w:val="18"/>
                <w:szCs w:val="18"/>
              </w:rPr>
              <w:t xml:space="preserve">Ferrous Sulphate </w:t>
            </w:r>
            <w:r>
              <w:rPr>
                <w:rFonts w:eastAsia="Calibri" w:cstheme="minorHAnsi"/>
                <w:spacing w:val="-1"/>
                <w:sz w:val="18"/>
                <w:szCs w:val="18"/>
              </w:rPr>
              <w:t>270 mg</w:t>
            </w:r>
          </w:p>
          <w:p w:rsidR="00D41B7B" w:rsidRPr="008F55EE" w:rsidRDefault="00D41B7B" w:rsidP="00D91A9C">
            <w:pPr>
              <w:kinsoku w:val="0"/>
              <w:overflowPunct w:val="0"/>
              <w:autoSpaceDE w:val="0"/>
              <w:autoSpaceDN w:val="0"/>
              <w:adjustRightInd w:val="0"/>
              <w:spacing w:before="40" w:after="40"/>
              <w:jc w:val="center"/>
              <w:rPr>
                <w:rFonts w:eastAsia="Calibri" w:cstheme="minorHAnsi"/>
                <w:spacing w:val="-1"/>
                <w:sz w:val="18"/>
                <w:szCs w:val="18"/>
              </w:rPr>
            </w:pPr>
            <w:r w:rsidRPr="008F55EE">
              <w:rPr>
                <w:rFonts w:eastAsia="Calibri" w:cstheme="minorHAnsi"/>
                <w:spacing w:val="-1"/>
                <w:sz w:val="18"/>
                <w:szCs w:val="18"/>
              </w:rPr>
              <w:t>Folic acid 300 mcg</w:t>
            </w:r>
            <w:r w:rsidRPr="008F55EE">
              <w:rPr>
                <w:rFonts w:eastAsia="Calibri" w:cstheme="minorHAnsi"/>
                <w:spacing w:val="-1"/>
                <w:sz w:val="18"/>
                <w:szCs w:val="18"/>
              </w:rPr>
              <w:br/>
            </w:r>
            <w:r>
              <w:rPr>
                <w:rFonts w:eastAsia="Calibri" w:cstheme="minorHAnsi"/>
                <w:spacing w:val="-1"/>
                <w:sz w:val="18"/>
                <w:szCs w:val="18"/>
              </w:rPr>
              <w:t>Delayed</w:t>
            </w:r>
            <w:r w:rsidRPr="008F55EE">
              <w:rPr>
                <w:rFonts w:eastAsia="Calibri" w:cstheme="minorHAnsi"/>
                <w:spacing w:val="-1"/>
                <w:sz w:val="18"/>
                <w:szCs w:val="18"/>
              </w:rPr>
              <w:t xml:space="preserve"> release capsule</w:t>
            </w:r>
          </w:p>
        </w:tc>
        <w:tc>
          <w:tcPr>
            <w:tcW w:w="2127" w:type="dxa"/>
            <w:tcBorders>
              <w:top w:val="single" w:sz="6" w:space="0" w:color="7E7E7E"/>
              <w:left w:val="single" w:sz="6" w:space="0" w:color="7E7E7E"/>
              <w:bottom w:val="single" w:sz="6" w:space="0" w:color="7E7E7E"/>
              <w:right w:val="single" w:sz="6" w:space="0" w:color="7E7E7E"/>
            </w:tcBorders>
          </w:tcPr>
          <w:p w:rsidR="00D41B7B" w:rsidRPr="008F55EE" w:rsidRDefault="00D41B7B" w:rsidP="00D91A9C">
            <w:pPr>
              <w:kinsoku w:val="0"/>
              <w:overflowPunct w:val="0"/>
              <w:autoSpaceDE w:val="0"/>
              <w:autoSpaceDN w:val="0"/>
              <w:adjustRightInd w:val="0"/>
              <w:spacing w:before="40" w:after="40"/>
              <w:jc w:val="center"/>
              <w:rPr>
                <w:rFonts w:eastAsia="Calibri" w:cstheme="minorHAnsi"/>
                <w:b/>
                <w:bCs/>
                <w:sz w:val="18"/>
                <w:szCs w:val="18"/>
              </w:rPr>
            </w:pPr>
          </w:p>
          <w:p w:rsidR="00D41B7B" w:rsidRPr="008F55EE" w:rsidRDefault="00D41B7B" w:rsidP="00D91A9C">
            <w:pPr>
              <w:kinsoku w:val="0"/>
              <w:overflowPunct w:val="0"/>
              <w:autoSpaceDE w:val="0"/>
              <w:autoSpaceDN w:val="0"/>
              <w:adjustRightInd w:val="0"/>
              <w:spacing w:before="40" w:after="40"/>
              <w:jc w:val="center"/>
              <w:rPr>
                <w:rFonts w:eastAsia="Calibri" w:cstheme="minorHAnsi"/>
                <w:b/>
                <w:bCs/>
                <w:sz w:val="18"/>
                <w:szCs w:val="18"/>
              </w:rPr>
            </w:pPr>
            <w:r w:rsidRPr="008F55EE">
              <w:rPr>
                <w:rFonts w:eastAsia="Calibri" w:cstheme="minorHAnsi"/>
                <w:b/>
                <w:bCs/>
                <w:sz w:val="18"/>
                <w:szCs w:val="18"/>
              </w:rPr>
              <w:t>87.4 mg</w:t>
            </w:r>
          </w:p>
        </w:tc>
      </w:tr>
      <w:tr w:rsidR="00D41B7B" w:rsidRPr="008F55EE" w:rsidTr="00D91A9C">
        <w:trPr>
          <w:trHeight w:hRule="exact" w:val="1421"/>
        </w:trPr>
        <w:tc>
          <w:tcPr>
            <w:tcW w:w="2487" w:type="dxa"/>
            <w:tcBorders>
              <w:top w:val="single" w:sz="6" w:space="0" w:color="7E7E7E"/>
              <w:left w:val="single" w:sz="6" w:space="0" w:color="7E7E7E"/>
              <w:bottom w:val="single" w:sz="6" w:space="0" w:color="7E7E7E"/>
              <w:right w:val="single" w:sz="6" w:space="0" w:color="7E7E7E"/>
            </w:tcBorders>
          </w:tcPr>
          <w:p w:rsidR="00D41B7B" w:rsidRPr="008F55EE" w:rsidRDefault="00D41B7B" w:rsidP="00E86E89">
            <w:pPr>
              <w:kinsoku w:val="0"/>
              <w:overflowPunct w:val="0"/>
              <w:autoSpaceDE w:val="0"/>
              <w:autoSpaceDN w:val="0"/>
              <w:adjustRightInd w:val="0"/>
              <w:spacing w:before="40" w:after="40"/>
              <w:jc w:val="center"/>
              <w:rPr>
                <w:rFonts w:eastAsia="Calibri" w:cstheme="minorHAnsi"/>
                <w:b/>
                <w:bCs/>
                <w:sz w:val="18"/>
                <w:szCs w:val="18"/>
              </w:rPr>
            </w:pPr>
            <w:r w:rsidRPr="008F55EE">
              <w:rPr>
                <w:rFonts w:eastAsia="Calibri" w:cstheme="minorHAnsi"/>
                <w:b/>
                <w:bCs/>
                <w:sz w:val="18"/>
                <w:szCs w:val="18"/>
              </w:rPr>
              <w:br/>
              <w:t>Ferro-f-tab</w:t>
            </w:r>
            <w:r w:rsidRPr="008F55EE">
              <w:rPr>
                <w:rFonts w:eastAsia="Calibri" w:cstheme="minorHAnsi"/>
                <w:b/>
                <w:bCs/>
                <w:sz w:val="18"/>
                <w:szCs w:val="18"/>
              </w:rPr>
              <w:br/>
            </w:r>
            <w:r w:rsidRPr="00252E64">
              <w:rPr>
                <w:rFonts w:eastAsia="Calibri" w:cstheme="minorHAnsi"/>
                <w:bCs/>
                <w:sz w:val="18"/>
                <w:szCs w:val="18"/>
              </w:rPr>
              <w:t>(AFT pharmaceuticals)</w:t>
            </w:r>
            <w:r w:rsidRPr="008F55EE">
              <w:rPr>
                <w:rFonts w:eastAsia="Calibri" w:cstheme="minorHAnsi"/>
                <w:b/>
                <w:bCs/>
                <w:sz w:val="18"/>
                <w:szCs w:val="18"/>
              </w:rPr>
              <w:br/>
            </w:r>
          </w:p>
        </w:tc>
        <w:tc>
          <w:tcPr>
            <w:tcW w:w="2268" w:type="dxa"/>
            <w:tcBorders>
              <w:top w:val="single" w:sz="6" w:space="0" w:color="7E7E7E"/>
              <w:left w:val="single" w:sz="6" w:space="0" w:color="7E7E7E"/>
              <w:bottom w:val="single" w:sz="6" w:space="0" w:color="7E7E7E"/>
              <w:right w:val="single" w:sz="6" w:space="0" w:color="7E7E7E"/>
            </w:tcBorders>
          </w:tcPr>
          <w:p w:rsidR="00D41B7B" w:rsidRPr="008F55EE" w:rsidRDefault="00D41B7B" w:rsidP="00D91A9C">
            <w:pPr>
              <w:kinsoku w:val="0"/>
              <w:overflowPunct w:val="0"/>
              <w:autoSpaceDE w:val="0"/>
              <w:autoSpaceDN w:val="0"/>
              <w:adjustRightInd w:val="0"/>
              <w:spacing w:before="40" w:after="40"/>
              <w:jc w:val="center"/>
              <w:rPr>
                <w:rFonts w:eastAsia="Calibri" w:cstheme="minorHAnsi"/>
                <w:sz w:val="18"/>
                <w:szCs w:val="18"/>
              </w:rPr>
            </w:pPr>
            <w:r w:rsidRPr="005C4B74">
              <w:rPr>
                <w:rFonts w:eastAsia="Calibri" w:cstheme="minorHAnsi"/>
                <w:noProof/>
                <w:sz w:val="18"/>
                <w:szCs w:val="18"/>
                <w:lang w:eastAsia="en-AU"/>
              </w:rPr>
              <w:drawing>
                <wp:inline distT="0" distB="0" distL="0" distR="0" wp14:anchorId="279A136A" wp14:editId="5CE7A332">
                  <wp:extent cx="371475" cy="371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8F55EE">
              <w:rPr>
                <w:rFonts w:eastAsia="Calibri" w:cstheme="minorHAnsi"/>
                <w:sz w:val="18"/>
                <w:szCs w:val="18"/>
              </w:rPr>
              <w:br/>
            </w:r>
            <w:r w:rsidRPr="005C4B74">
              <w:rPr>
                <w:rFonts w:eastAsia="Calibri" w:cstheme="minorHAnsi"/>
                <w:noProof/>
                <w:sz w:val="18"/>
                <w:szCs w:val="18"/>
                <w:lang w:eastAsia="en-AU"/>
              </w:rPr>
              <w:drawing>
                <wp:inline distT="0" distB="0" distL="0" distR="0" wp14:anchorId="3D6C9F43" wp14:editId="0B26AEFA">
                  <wp:extent cx="608400" cy="352800"/>
                  <wp:effectExtent l="0" t="0" r="127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8400" cy="352800"/>
                          </a:xfrm>
                          <a:prstGeom prst="rect">
                            <a:avLst/>
                          </a:prstGeom>
                          <a:noFill/>
                        </pic:spPr>
                      </pic:pic>
                    </a:graphicData>
                  </a:graphic>
                </wp:inline>
              </w:drawing>
            </w:r>
          </w:p>
        </w:tc>
        <w:tc>
          <w:tcPr>
            <w:tcW w:w="2551" w:type="dxa"/>
            <w:tcBorders>
              <w:top w:val="single" w:sz="6" w:space="0" w:color="7E7E7E"/>
              <w:left w:val="single" w:sz="6" w:space="0" w:color="7E7E7E"/>
              <w:bottom w:val="single" w:sz="6" w:space="0" w:color="7E7E7E"/>
              <w:right w:val="single" w:sz="6" w:space="0" w:color="7E7E7E"/>
            </w:tcBorders>
          </w:tcPr>
          <w:p w:rsidR="00D41B7B" w:rsidRDefault="00D41B7B" w:rsidP="00D91A9C">
            <w:pPr>
              <w:kinsoku w:val="0"/>
              <w:overflowPunct w:val="0"/>
              <w:autoSpaceDE w:val="0"/>
              <w:autoSpaceDN w:val="0"/>
              <w:adjustRightInd w:val="0"/>
              <w:spacing w:before="40" w:after="40"/>
              <w:jc w:val="center"/>
              <w:rPr>
                <w:rFonts w:eastAsia="Calibri" w:cstheme="minorHAnsi"/>
                <w:spacing w:val="-1"/>
                <w:sz w:val="18"/>
                <w:szCs w:val="18"/>
              </w:rPr>
            </w:pPr>
            <w:r>
              <w:rPr>
                <w:rFonts w:eastAsia="Calibri" w:cstheme="minorHAnsi"/>
                <w:spacing w:val="-1"/>
                <w:sz w:val="18"/>
                <w:szCs w:val="18"/>
              </w:rPr>
              <w:br/>
            </w:r>
            <w:r w:rsidRPr="008F55EE">
              <w:rPr>
                <w:rFonts w:eastAsia="Calibri" w:cstheme="minorHAnsi"/>
                <w:spacing w:val="-1"/>
                <w:sz w:val="18"/>
                <w:szCs w:val="18"/>
              </w:rPr>
              <w:t>Ferrous Fumarate</w:t>
            </w:r>
            <w:r>
              <w:rPr>
                <w:rFonts w:eastAsia="Calibri" w:cstheme="minorHAnsi"/>
                <w:spacing w:val="-1"/>
                <w:sz w:val="18"/>
                <w:szCs w:val="18"/>
              </w:rPr>
              <w:t xml:space="preserve"> </w:t>
            </w:r>
            <w:r w:rsidRPr="008F55EE">
              <w:rPr>
                <w:rFonts w:eastAsia="Calibri" w:cstheme="minorHAnsi"/>
                <w:spacing w:val="-1"/>
                <w:sz w:val="18"/>
                <w:szCs w:val="18"/>
              </w:rPr>
              <w:t>310 mg</w:t>
            </w:r>
          </w:p>
          <w:p w:rsidR="00D41B7B" w:rsidRPr="008F55EE" w:rsidRDefault="00D41B7B" w:rsidP="00D91A9C">
            <w:pPr>
              <w:kinsoku w:val="0"/>
              <w:overflowPunct w:val="0"/>
              <w:autoSpaceDE w:val="0"/>
              <w:autoSpaceDN w:val="0"/>
              <w:adjustRightInd w:val="0"/>
              <w:spacing w:before="40" w:after="40"/>
              <w:jc w:val="center"/>
              <w:rPr>
                <w:rFonts w:eastAsia="Calibri" w:cstheme="minorHAnsi"/>
                <w:spacing w:val="-1"/>
                <w:sz w:val="18"/>
                <w:szCs w:val="18"/>
              </w:rPr>
            </w:pPr>
            <w:r w:rsidRPr="008F55EE">
              <w:rPr>
                <w:rFonts w:eastAsia="Calibri" w:cstheme="minorHAnsi"/>
                <w:spacing w:val="-1"/>
                <w:sz w:val="18"/>
                <w:szCs w:val="18"/>
              </w:rPr>
              <w:t>Folic acid 350 mcg</w:t>
            </w:r>
            <w:r w:rsidRPr="008F55EE">
              <w:rPr>
                <w:rFonts w:eastAsia="Calibri" w:cstheme="minorHAnsi"/>
                <w:spacing w:val="-1"/>
                <w:sz w:val="18"/>
                <w:szCs w:val="18"/>
              </w:rPr>
              <w:br/>
            </w:r>
          </w:p>
        </w:tc>
        <w:tc>
          <w:tcPr>
            <w:tcW w:w="2127" w:type="dxa"/>
            <w:tcBorders>
              <w:top w:val="single" w:sz="6" w:space="0" w:color="7E7E7E"/>
              <w:left w:val="single" w:sz="6" w:space="0" w:color="7E7E7E"/>
              <w:bottom w:val="single" w:sz="6" w:space="0" w:color="7E7E7E"/>
              <w:right w:val="single" w:sz="6" w:space="0" w:color="7E7E7E"/>
            </w:tcBorders>
          </w:tcPr>
          <w:p w:rsidR="00D41B7B" w:rsidRPr="008F55EE" w:rsidRDefault="00D41B7B" w:rsidP="00D91A9C">
            <w:pPr>
              <w:kinsoku w:val="0"/>
              <w:overflowPunct w:val="0"/>
              <w:autoSpaceDE w:val="0"/>
              <w:autoSpaceDN w:val="0"/>
              <w:adjustRightInd w:val="0"/>
              <w:spacing w:before="40" w:after="40"/>
              <w:jc w:val="center"/>
              <w:rPr>
                <w:rFonts w:eastAsia="Calibri" w:cstheme="minorHAnsi"/>
                <w:b/>
                <w:bCs/>
                <w:sz w:val="18"/>
                <w:szCs w:val="18"/>
              </w:rPr>
            </w:pPr>
          </w:p>
          <w:p w:rsidR="00D41B7B" w:rsidRPr="008F55EE" w:rsidRDefault="00D41B7B" w:rsidP="00D91A9C">
            <w:pPr>
              <w:kinsoku w:val="0"/>
              <w:overflowPunct w:val="0"/>
              <w:autoSpaceDE w:val="0"/>
              <w:autoSpaceDN w:val="0"/>
              <w:adjustRightInd w:val="0"/>
              <w:spacing w:before="40" w:after="40"/>
              <w:jc w:val="center"/>
              <w:rPr>
                <w:rFonts w:eastAsia="Calibri" w:cstheme="minorHAnsi"/>
                <w:b/>
                <w:bCs/>
                <w:sz w:val="18"/>
                <w:szCs w:val="18"/>
              </w:rPr>
            </w:pPr>
            <w:r w:rsidRPr="008F55EE">
              <w:rPr>
                <w:rFonts w:eastAsia="Calibri" w:cstheme="minorHAnsi"/>
                <w:b/>
                <w:bCs/>
                <w:sz w:val="18"/>
                <w:szCs w:val="18"/>
              </w:rPr>
              <w:t>100 mg</w:t>
            </w:r>
          </w:p>
        </w:tc>
      </w:tr>
      <w:tr w:rsidR="00D41B7B" w:rsidRPr="008F55EE" w:rsidTr="00D91A9C">
        <w:trPr>
          <w:trHeight w:hRule="exact" w:val="1275"/>
        </w:trPr>
        <w:tc>
          <w:tcPr>
            <w:tcW w:w="2487" w:type="dxa"/>
            <w:tcBorders>
              <w:top w:val="single" w:sz="6" w:space="0" w:color="7E7E7E"/>
              <w:left w:val="single" w:sz="6" w:space="0" w:color="7E7E7E"/>
              <w:bottom w:val="single" w:sz="6" w:space="0" w:color="7E7E7E"/>
              <w:right w:val="single" w:sz="6" w:space="0" w:color="7E7E7E"/>
            </w:tcBorders>
          </w:tcPr>
          <w:p w:rsidR="00D41B7B" w:rsidRPr="008F55EE" w:rsidRDefault="00D41B7B" w:rsidP="00E86E89">
            <w:pPr>
              <w:kinsoku w:val="0"/>
              <w:overflowPunct w:val="0"/>
              <w:autoSpaceDE w:val="0"/>
              <w:autoSpaceDN w:val="0"/>
              <w:adjustRightInd w:val="0"/>
              <w:spacing w:before="40" w:after="40"/>
              <w:jc w:val="center"/>
              <w:rPr>
                <w:rFonts w:eastAsia="Calibri" w:cstheme="minorHAnsi"/>
                <w:b/>
                <w:bCs/>
                <w:sz w:val="18"/>
                <w:szCs w:val="18"/>
              </w:rPr>
            </w:pPr>
            <w:r w:rsidRPr="008F55EE">
              <w:rPr>
                <w:rFonts w:eastAsia="Calibri" w:cstheme="minorHAnsi"/>
                <w:b/>
                <w:bCs/>
                <w:sz w:val="18"/>
                <w:szCs w:val="18"/>
              </w:rPr>
              <w:br/>
              <w:t>Ferro-tab</w:t>
            </w:r>
            <w:r w:rsidRPr="008F55EE">
              <w:rPr>
                <w:rFonts w:eastAsia="Calibri" w:cstheme="minorHAnsi"/>
                <w:b/>
                <w:bCs/>
                <w:sz w:val="18"/>
                <w:szCs w:val="18"/>
              </w:rPr>
              <w:br/>
            </w:r>
            <w:r w:rsidRPr="00252E64">
              <w:rPr>
                <w:rFonts w:eastAsia="Calibri" w:cstheme="minorHAnsi"/>
                <w:bCs/>
                <w:sz w:val="18"/>
                <w:szCs w:val="18"/>
              </w:rPr>
              <w:t>(AFT pharmaceuticals)</w:t>
            </w:r>
            <w:r w:rsidRPr="008F55EE">
              <w:rPr>
                <w:rFonts w:eastAsia="Calibri" w:cstheme="minorHAnsi"/>
                <w:b/>
                <w:bCs/>
                <w:sz w:val="18"/>
                <w:szCs w:val="18"/>
              </w:rPr>
              <w:br/>
            </w:r>
          </w:p>
        </w:tc>
        <w:tc>
          <w:tcPr>
            <w:tcW w:w="2268" w:type="dxa"/>
            <w:tcBorders>
              <w:top w:val="single" w:sz="6" w:space="0" w:color="7E7E7E"/>
              <w:left w:val="single" w:sz="6" w:space="0" w:color="7E7E7E"/>
              <w:bottom w:val="single" w:sz="6" w:space="0" w:color="7E7E7E"/>
              <w:right w:val="single" w:sz="6" w:space="0" w:color="7E7E7E"/>
            </w:tcBorders>
          </w:tcPr>
          <w:p w:rsidR="00D41B7B" w:rsidRPr="008F55EE" w:rsidRDefault="00D41B7B" w:rsidP="00D91A9C">
            <w:pPr>
              <w:kinsoku w:val="0"/>
              <w:overflowPunct w:val="0"/>
              <w:autoSpaceDE w:val="0"/>
              <w:autoSpaceDN w:val="0"/>
              <w:adjustRightInd w:val="0"/>
              <w:spacing w:before="40" w:after="40"/>
              <w:jc w:val="center"/>
              <w:rPr>
                <w:rFonts w:eastAsia="Calibri" w:cstheme="minorHAnsi"/>
                <w:sz w:val="18"/>
                <w:szCs w:val="18"/>
              </w:rPr>
            </w:pPr>
            <w:r w:rsidRPr="005C4B74">
              <w:rPr>
                <w:rFonts w:eastAsia="Calibri" w:cstheme="minorHAnsi"/>
                <w:noProof/>
                <w:sz w:val="18"/>
                <w:szCs w:val="18"/>
                <w:lang w:eastAsia="en-AU"/>
              </w:rPr>
              <w:drawing>
                <wp:inline distT="0" distB="0" distL="0" distR="0" wp14:anchorId="661353EE" wp14:editId="0E87CAA0">
                  <wp:extent cx="314325" cy="3143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8F55EE">
              <w:rPr>
                <w:rFonts w:eastAsia="Calibri" w:cstheme="minorHAnsi"/>
                <w:sz w:val="18"/>
                <w:szCs w:val="18"/>
              </w:rPr>
              <w:br/>
            </w:r>
            <w:r w:rsidRPr="005C4B74">
              <w:rPr>
                <w:rFonts w:eastAsia="Calibri" w:cstheme="minorHAnsi"/>
                <w:noProof/>
                <w:sz w:val="18"/>
                <w:szCs w:val="18"/>
                <w:lang w:eastAsia="en-AU"/>
              </w:rPr>
              <w:drawing>
                <wp:inline distT="0" distB="0" distL="0" distR="0" wp14:anchorId="0A750497" wp14:editId="463DCBA1">
                  <wp:extent cx="774065" cy="42672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74065" cy="426720"/>
                          </a:xfrm>
                          <a:prstGeom prst="rect">
                            <a:avLst/>
                          </a:prstGeom>
                          <a:noFill/>
                        </pic:spPr>
                      </pic:pic>
                    </a:graphicData>
                  </a:graphic>
                </wp:inline>
              </w:drawing>
            </w:r>
          </w:p>
          <w:p w:rsidR="00D41B7B" w:rsidRPr="008F55EE" w:rsidRDefault="00D41B7B" w:rsidP="00D91A9C">
            <w:pPr>
              <w:kinsoku w:val="0"/>
              <w:overflowPunct w:val="0"/>
              <w:autoSpaceDE w:val="0"/>
              <w:autoSpaceDN w:val="0"/>
              <w:adjustRightInd w:val="0"/>
              <w:spacing w:before="40" w:after="40"/>
              <w:rPr>
                <w:rFonts w:eastAsia="Calibri" w:cstheme="minorHAnsi"/>
                <w:sz w:val="18"/>
                <w:szCs w:val="18"/>
              </w:rPr>
            </w:pPr>
          </w:p>
        </w:tc>
        <w:tc>
          <w:tcPr>
            <w:tcW w:w="2551" w:type="dxa"/>
            <w:tcBorders>
              <w:top w:val="single" w:sz="6" w:space="0" w:color="7E7E7E"/>
              <w:left w:val="single" w:sz="6" w:space="0" w:color="7E7E7E"/>
              <w:bottom w:val="single" w:sz="6" w:space="0" w:color="7E7E7E"/>
              <w:right w:val="single" w:sz="6" w:space="0" w:color="7E7E7E"/>
            </w:tcBorders>
          </w:tcPr>
          <w:p w:rsidR="00D41B7B" w:rsidRPr="008F55EE" w:rsidRDefault="00D41B7B" w:rsidP="00D91A9C">
            <w:pPr>
              <w:kinsoku w:val="0"/>
              <w:overflowPunct w:val="0"/>
              <w:autoSpaceDE w:val="0"/>
              <w:autoSpaceDN w:val="0"/>
              <w:adjustRightInd w:val="0"/>
              <w:spacing w:before="40" w:after="40"/>
              <w:jc w:val="center"/>
              <w:rPr>
                <w:rFonts w:eastAsia="Calibri" w:cstheme="minorHAnsi"/>
                <w:spacing w:val="-1"/>
                <w:sz w:val="18"/>
                <w:szCs w:val="18"/>
              </w:rPr>
            </w:pPr>
            <w:r>
              <w:rPr>
                <w:rFonts w:eastAsia="Calibri" w:cstheme="minorHAnsi"/>
                <w:spacing w:val="-1"/>
                <w:sz w:val="18"/>
                <w:szCs w:val="18"/>
              </w:rPr>
              <w:br/>
            </w:r>
            <w:r w:rsidRPr="008F55EE">
              <w:rPr>
                <w:rFonts w:eastAsia="Calibri" w:cstheme="minorHAnsi"/>
                <w:spacing w:val="-1"/>
                <w:sz w:val="18"/>
                <w:szCs w:val="18"/>
              </w:rPr>
              <w:t>Ferrous Fumarate</w:t>
            </w:r>
            <w:r>
              <w:rPr>
                <w:rFonts w:eastAsia="Calibri" w:cstheme="minorHAnsi"/>
                <w:spacing w:val="-1"/>
                <w:sz w:val="18"/>
                <w:szCs w:val="18"/>
              </w:rPr>
              <w:t xml:space="preserve"> </w:t>
            </w:r>
            <w:r w:rsidRPr="008F55EE">
              <w:rPr>
                <w:rFonts w:eastAsia="Calibri" w:cstheme="minorHAnsi"/>
                <w:spacing w:val="-1"/>
                <w:sz w:val="18"/>
                <w:szCs w:val="18"/>
              </w:rPr>
              <w:t>200m</w:t>
            </w:r>
            <w:r>
              <w:rPr>
                <w:rFonts w:eastAsia="Calibri" w:cstheme="minorHAnsi"/>
                <w:spacing w:val="-1"/>
                <w:sz w:val="18"/>
                <w:szCs w:val="18"/>
              </w:rPr>
              <w:t>g</w:t>
            </w:r>
            <w:r w:rsidRPr="008F55EE">
              <w:rPr>
                <w:rFonts w:eastAsia="Calibri" w:cstheme="minorHAnsi"/>
                <w:spacing w:val="-1"/>
                <w:sz w:val="18"/>
                <w:szCs w:val="18"/>
              </w:rPr>
              <w:br/>
            </w:r>
          </w:p>
        </w:tc>
        <w:tc>
          <w:tcPr>
            <w:tcW w:w="2127" w:type="dxa"/>
            <w:tcBorders>
              <w:top w:val="single" w:sz="6" w:space="0" w:color="7E7E7E"/>
              <w:left w:val="single" w:sz="6" w:space="0" w:color="7E7E7E"/>
              <w:bottom w:val="single" w:sz="6" w:space="0" w:color="7E7E7E"/>
              <w:right w:val="single" w:sz="6" w:space="0" w:color="7E7E7E"/>
            </w:tcBorders>
          </w:tcPr>
          <w:p w:rsidR="00D41B7B" w:rsidRPr="008F55EE" w:rsidRDefault="00D41B7B" w:rsidP="00D91A9C">
            <w:pPr>
              <w:kinsoku w:val="0"/>
              <w:overflowPunct w:val="0"/>
              <w:autoSpaceDE w:val="0"/>
              <w:autoSpaceDN w:val="0"/>
              <w:adjustRightInd w:val="0"/>
              <w:spacing w:before="40" w:after="40"/>
              <w:jc w:val="center"/>
              <w:rPr>
                <w:rFonts w:eastAsia="Calibri" w:cstheme="minorHAnsi"/>
                <w:b/>
                <w:bCs/>
                <w:sz w:val="18"/>
                <w:szCs w:val="18"/>
              </w:rPr>
            </w:pPr>
          </w:p>
          <w:p w:rsidR="00D41B7B" w:rsidRPr="008F55EE" w:rsidRDefault="00D41B7B" w:rsidP="00D91A9C">
            <w:pPr>
              <w:kinsoku w:val="0"/>
              <w:overflowPunct w:val="0"/>
              <w:autoSpaceDE w:val="0"/>
              <w:autoSpaceDN w:val="0"/>
              <w:adjustRightInd w:val="0"/>
              <w:spacing w:before="40" w:after="40"/>
              <w:jc w:val="center"/>
              <w:rPr>
                <w:rFonts w:eastAsia="Calibri" w:cstheme="minorHAnsi"/>
                <w:b/>
                <w:bCs/>
                <w:sz w:val="18"/>
                <w:szCs w:val="18"/>
              </w:rPr>
            </w:pPr>
            <w:r w:rsidRPr="008F55EE">
              <w:rPr>
                <w:rFonts w:eastAsia="Calibri" w:cstheme="minorHAnsi"/>
                <w:b/>
                <w:bCs/>
                <w:sz w:val="18"/>
                <w:szCs w:val="18"/>
              </w:rPr>
              <w:t>65.7 mg</w:t>
            </w:r>
          </w:p>
        </w:tc>
      </w:tr>
      <w:tr w:rsidR="00D41B7B" w:rsidRPr="008F55EE" w:rsidTr="00D91A9C">
        <w:trPr>
          <w:trHeight w:hRule="exact" w:val="1251"/>
        </w:trPr>
        <w:tc>
          <w:tcPr>
            <w:tcW w:w="2487" w:type="dxa"/>
            <w:tcBorders>
              <w:top w:val="nil"/>
              <w:left w:val="single" w:sz="6" w:space="0" w:color="7E7E7E"/>
              <w:bottom w:val="single" w:sz="6" w:space="0" w:color="7E7E7E"/>
              <w:right w:val="single" w:sz="6" w:space="0" w:color="7E7E7E"/>
            </w:tcBorders>
          </w:tcPr>
          <w:p w:rsidR="00D41B7B" w:rsidRPr="008F55EE" w:rsidRDefault="00D41B7B" w:rsidP="00D91A9C">
            <w:pPr>
              <w:kinsoku w:val="0"/>
              <w:overflowPunct w:val="0"/>
              <w:autoSpaceDE w:val="0"/>
              <w:autoSpaceDN w:val="0"/>
              <w:adjustRightInd w:val="0"/>
              <w:spacing w:before="40" w:after="40"/>
              <w:jc w:val="center"/>
              <w:rPr>
                <w:rFonts w:eastAsia="Calibri" w:cstheme="minorHAnsi"/>
                <w:b/>
                <w:bCs/>
                <w:sz w:val="18"/>
                <w:szCs w:val="18"/>
              </w:rPr>
            </w:pPr>
            <w:r w:rsidRPr="008F55EE">
              <w:rPr>
                <w:rFonts w:eastAsia="Calibri" w:cstheme="minorHAnsi"/>
                <w:b/>
                <w:bCs/>
                <w:sz w:val="18"/>
                <w:szCs w:val="18"/>
              </w:rPr>
              <w:br/>
              <w:t>FERRO-GRADUMET</w:t>
            </w:r>
            <w:r w:rsidRPr="008F55EE">
              <w:rPr>
                <w:rFonts w:eastAsia="Calibri" w:cstheme="minorHAnsi"/>
                <w:b/>
                <w:bCs/>
                <w:sz w:val="18"/>
                <w:szCs w:val="18"/>
              </w:rPr>
              <w:br/>
            </w:r>
            <w:r w:rsidRPr="00252E64">
              <w:rPr>
                <w:rFonts w:eastAsia="Calibri" w:cstheme="minorHAnsi"/>
                <w:bCs/>
                <w:sz w:val="18"/>
                <w:szCs w:val="18"/>
              </w:rPr>
              <w:t>(Abbott)</w:t>
            </w:r>
          </w:p>
        </w:tc>
        <w:tc>
          <w:tcPr>
            <w:tcW w:w="2268" w:type="dxa"/>
            <w:tcBorders>
              <w:top w:val="nil"/>
              <w:left w:val="single" w:sz="6" w:space="0" w:color="7E7E7E"/>
              <w:bottom w:val="single" w:sz="6" w:space="0" w:color="7E7E7E"/>
              <w:right w:val="single" w:sz="6" w:space="0" w:color="7E7E7E"/>
            </w:tcBorders>
          </w:tcPr>
          <w:p w:rsidR="00D41B7B" w:rsidRPr="008F55EE" w:rsidRDefault="00D41B7B" w:rsidP="00D91A9C">
            <w:pPr>
              <w:kinsoku w:val="0"/>
              <w:overflowPunct w:val="0"/>
              <w:autoSpaceDE w:val="0"/>
              <w:autoSpaceDN w:val="0"/>
              <w:adjustRightInd w:val="0"/>
              <w:spacing w:before="40" w:after="40"/>
              <w:jc w:val="center"/>
              <w:rPr>
                <w:rFonts w:eastAsia="Calibri" w:cstheme="minorHAnsi"/>
                <w:sz w:val="18"/>
                <w:szCs w:val="18"/>
              </w:rPr>
            </w:pPr>
            <w:r w:rsidRPr="005C4B74">
              <w:rPr>
                <w:rFonts w:eastAsia="Calibri" w:cstheme="minorHAnsi"/>
                <w:noProof/>
                <w:sz w:val="18"/>
                <w:szCs w:val="18"/>
                <w:lang w:eastAsia="en-AU"/>
              </w:rPr>
              <w:drawing>
                <wp:inline distT="0" distB="0" distL="0" distR="0" wp14:anchorId="4BB9B0DC" wp14:editId="2DC2CBCD">
                  <wp:extent cx="361950" cy="361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5C4B74">
              <w:rPr>
                <w:noProof/>
                <w:sz w:val="18"/>
                <w:szCs w:val="18"/>
                <w:lang w:eastAsia="en-AU"/>
              </w:rPr>
              <w:drawing>
                <wp:inline distT="0" distB="0" distL="0" distR="0" wp14:anchorId="2511562F" wp14:editId="25241355">
                  <wp:extent cx="342900" cy="623454"/>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44407" cy="626193"/>
                          </a:xfrm>
                          <a:prstGeom prst="rect">
                            <a:avLst/>
                          </a:prstGeom>
                          <a:noFill/>
                          <a:ln>
                            <a:noFill/>
                          </a:ln>
                        </pic:spPr>
                      </pic:pic>
                    </a:graphicData>
                  </a:graphic>
                </wp:inline>
              </w:drawing>
            </w:r>
          </w:p>
        </w:tc>
        <w:tc>
          <w:tcPr>
            <w:tcW w:w="2551" w:type="dxa"/>
            <w:tcBorders>
              <w:top w:val="nil"/>
              <w:left w:val="single" w:sz="6" w:space="0" w:color="7E7E7E"/>
              <w:bottom w:val="single" w:sz="6" w:space="0" w:color="7E7E7E"/>
              <w:right w:val="single" w:sz="6" w:space="0" w:color="7E7E7E"/>
            </w:tcBorders>
          </w:tcPr>
          <w:p w:rsidR="00D41B7B" w:rsidRPr="008F55EE" w:rsidRDefault="00D41B7B" w:rsidP="00D91A9C">
            <w:pPr>
              <w:kinsoku w:val="0"/>
              <w:overflowPunct w:val="0"/>
              <w:autoSpaceDE w:val="0"/>
              <w:autoSpaceDN w:val="0"/>
              <w:adjustRightInd w:val="0"/>
              <w:spacing w:before="40" w:after="40"/>
              <w:jc w:val="center"/>
              <w:rPr>
                <w:rFonts w:eastAsia="Calibri" w:cstheme="minorHAnsi"/>
                <w:spacing w:val="-1"/>
                <w:sz w:val="18"/>
                <w:szCs w:val="18"/>
              </w:rPr>
            </w:pPr>
            <w:r w:rsidRPr="008F55EE">
              <w:rPr>
                <w:rFonts w:eastAsia="Calibri" w:cstheme="minorHAnsi"/>
                <w:spacing w:val="-1"/>
                <w:sz w:val="18"/>
                <w:szCs w:val="18"/>
              </w:rPr>
              <w:br/>
              <w:t>Ferrous Sulphate 325 mg</w:t>
            </w:r>
            <w:r w:rsidRPr="008F55EE">
              <w:rPr>
                <w:rFonts w:eastAsia="Calibri" w:cstheme="minorHAnsi"/>
                <w:spacing w:val="-1"/>
                <w:sz w:val="18"/>
                <w:szCs w:val="18"/>
              </w:rPr>
              <w:br/>
            </w:r>
            <w:r>
              <w:rPr>
                <w:rFonts w:eastAsia="Calibri" w:cstheme="minorHAnsi"/>
                <w:spacing w:val="-1"/>
                <w:sz w:val="18"/>
                <w:szCs w:val="18"/>
              </w:rPr>
              <w:t>Modified</w:t>
            </w:r>
            <w:r w:rsidRPr="008F55EE">
              <w:rPr>
                <w:rFonts w:eastAsia="Calibri" w:cstheme="minorHAnsi"/>
                <w:spacing w:val="-1"/>
                <w:sz w:val="18"/>
                <w:szCs w:val="18"/>
              </w:rPr>
              <w:t xml:space="preserve"> release tablet</w:t>
            </w:r>
          </w:p>
        </w:tc>
        <w:tc>
          <w:tcPr>
            <w:tcW w:w="2127" w:type="dxa"/>
            <w:tcBorders>
              <w:top w:val="nil"/>
              <w:left w:val="single" w:sz="6" w:space="0" w:color="7E7E7E"/>
              <w:bottom w:val="single" w:sz="6" w:space="0" w:color="7E7E7E"/>
              <w:right w:val="single" w:sz="6" w:space="0" w:color="7E7E7E"/>
            </w:tcBorders>
          </w:tcPr>
          <w:p w:rsidR="00D41B7B" w:rsidRPr="008F55EE" w:rsidRDefault="00D41B7B" w:rsidP="00D91A9C">
            <w:pPr>
              <w:kinsoku w:val="0"/>
              <w:overflowPunct w:val="0"/>
              <w:autoSpaceDE w:val="0"/>
              <w:autoSpaceDN w:val="0"/>
              <w:adjustRightInd w:val="0"/>
              <w:spacing w:before="40" w:after="40"/>
              <w:jc w:val="center"/>
              <w:rPr>
                <w:rFonts w:eastAsia="Calibri" w:cstheme="minorHAnsi"/>
                <w:b/>
                <w:bCs/>
                <w:sz w:val="18"/>
                <w:szCs w:val="18"/>
              </w:rPr>
            </w:pPr>
          </w:p>
          <w:p w:rsidR="00D41B7B" w:rsidRPr="008F55EE" w:rsidRDefault="00D41B7B" w:rsidP="00D91A9C">
            <w:pPr>
              <w:kinsoku w:val="0"/>
              <w:overflowPunct w:val="0"/>
              <w:autoSpaceDE w:val="0"/>
              <w:autoSpaceDN w:val="0"/>
              <w:adjustRightInd w:val="0"/>
              <w:spacing w:before="40" w:after="40"/>
              <w:jc w:val="center"/>
              <w:rPr>
                <w:rFonts w:eastAsia="Calibri" w:cstheme="minorHAnsi"/>
                <w:b/>
                <w:bCs/>
                <w:sz w:val="18"/>
                <w:szCs w:val="18"/>
              </w:rPr>
            </w:pPr>
            <w:r w:rsidRPr="008F55EE">
              <w:rPr>
                <w:rFonts w:eastAsia="Calibri" w:cstheme="minorHAnsi"/>
                <w:b/>
                <w:bCs/>
                <w:sz w:val="18"/>
                <w:szCs w:val="18"/>
              </w:rPr>
              <w:t>105 mg</w:t>
            </w:r>
          </w:p>
        </w:tc>
      </w:tr>
      <w:tr w:rsidR="00D41B7B" w:rsidRPr="008F55EE" w:rsidTr="00D91A9C">
        <w:trPr>
          <w:trHeight w:hRule="exact" w:val="1261"/>
        </w:trPr>
        <w:tc>
          <w:tcPr>
            <w:tcW w:w="2487" w:type="dxa"/>
            <w:tcBorders>
              <w:top w:val="single" w:sz="6" w:space="0" w:color="7E7E7E"/>
              <w:left w:val="single" w:sz="6" w:space="0" w:color="7E7E7E"/>
              <w:bottom w:val="single" w:sz="6" w:space="0" w:color="7E7E7E"/>
              <w:right w:val="single" w:sz="6" w:space="0" w:color="7E7E7E"/>
            </w:tcBorders>
          </w:tcPr>
          <w:p w:rsidR="00D41B7B" w:rsidRPr="008F55EE" w:rsidRDefault="00D41B7B" w:rsidP="00D91A9C">
            <w:pPr>
              <w:kinsoku w:val="0"/>
              <w:overflowPunct w:val="0"/>
              <w:autoSpaceDE w:val="0"/>
              <w:autoSpaceDN w:val="0"/>
              <w:adjustRightInd w:val="0"/>
              <w:spacing w:before="40" w:after="40"/>
              <w:jc w:val="center"/>
              <w:rPr>
                <w:rFonts w:eastAsia="Calibri" w:cstheme="minorHAnsi"/>
                <w:b/>
                <w:bCs/>
                <w:sz w:val="18"/>
                <w:szCs w:val="18"/>
              </w:rPr>
            </w:pPr>
            <w:r w:rsidRPr="008F55EE">
              <w:rPr>
                <w:rFonts w:eastAsia="Calibri" w:cstheme="minorHAnsi"/>
                <w:b/>
                <w:bCs/>
                <w:sz w:val="18"/>
                <w:szCs w:val="18"/>
              </w:rPr>
              <w:br/>
              <w:t>FERRO-GRAD C</w:t>
            </w:r>
            <w:r w:rsidRPr="008F55EE">
              <w:rPr>
                <w:rFonts w:eastAsia="Calibri" w:cstheme="minorHAnsi"/>
                <w:b/>
                <w:bCs/>
                <w:sz w:val="18"/>
                <w:szCs w:val="18"/>
              </w:rPr>
              <w:br/>
            </w:r>
            <w:r w:rsidRPr="00252E64">
              <w:rPr>
                <w:rFonts w:eastAsia="Calibri" w:cstheme="minorHAnsi"/>
                <w:bCs/>
                <w:sz w:val="18"/>
                <w:szCs w:val="18"/>
              </w:rPr>
              <w:t>(Abbott)</w:t>
            </w:r>
          </w:p>
        </w:tc>
        <w:tc>
          <w:tcPr>
            <w:tcW w:w="2268" w:type="dxa"/>
            <w:tcBorders>
              <w:top w:val="single" w:sz="6" w:space="0" w:color="7E7E7E"/>
              <w:left w:val="single" w:sz="6" w:space="0" w:color="7E7E7E"/>
              <w:bottom w:val="single" w:sz="6" w:space="0" w:color="7E7E7E"/>
              <w:right w:val="single" w:sz="6" w:space="0" w:color="7E7E7E"/>
            </w:tcBorders>
          </w:tcPr>
          <w:p w:rsidR="00D41B7B" w:rsidRPr="008F55EE" w:rsidRDefault="00D41B7B" w:rsidP="00D91A9C">
            <w:pPr>
              <w:kinsoku w:val="0"/>
              <w:overflowPunct w:val="0"/>
              <w:autoSpaceDE w:val="0"/>
              <w:autoSpaceDN w:val="0"/>
              <w:adjustRightInd w:val="0"/>
              <w:spacing w:before="40" w:after="40"/>
              <w:ind w:left="1"/>
              <w:jc w:val="center"/>
              <w:rPr>
                <w:rFonts w:eastAsia="Calibri" w:cstheme="minorHAnsi"/>
                <w:sz w:val="18"/>
                <w:szCs w:val="18"/>
              </w:rPr>
            </w:pPr>
            <w:r w:rsidRPr="005C4B74">
              <w:rPr>
                <w:rFonts w:eastAsia="Calibri" w:cstheme="minorHAnsi"/>
                <w:noProof/>
                <w:sz w:val="18"/>
                <w:szCs w:val="18"/>
                <w:lang w:eastAsia="en-AU"/>
              </w:rPr>
              <w:drawing>
                <wp:inline distT="0" distB="0" distL="0" distR="0" wp14:anchorId="74065794" wp14:editId="325AAF58">
                  <wp:extent cx="666750" cy="342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66750" cy="342900"/>
                          </a:xfrm>
                          <a:prstGeom prst="rect">
                            <a:avLst/>
                          </a:prstGeom>
                          <a:noFill/>
                          <a:ln>
                            <a:noFill/>
                          </a:ln>
                        </pic:spPr>
                      </pic:pic>
                    </a:graphicData>
                  </a:graphic>
                </wp:inline>
              </w:drawing>
            </w:r>
            <w:r w:rsidRPr="005C4B74">
              <w:rPr>
                <w:noProof/>
                <w:sz w:val="18"/>
                <w:szCs w:val="18"/>
                <w:lang w:eastAsia="en-AU"/>
              </w:rPr>
              <w:drawing>
                <wp:inline distT="0" distB="0" distL="0" distR="0" wp14:anchorId="5C059012" wp14:editId="5C74D8DB">
                  <wp:extent cx="371475" cy="5420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72460" cy="543532"/>
                          </a:xfrm>
                          <a:prstGeom prst="rect">
                            <a:avLst/>
                          </a:prstGeom>
                          <a:noFill/>
                          <a:ln>
                            <a:noFill/>
                          </a:ln>
                        </pic:spPr>
                      </pic:pic>
                    </a:graphicData>
                  </a:graphic>
                </wp:inline>
              </w:drawing>
            </w:r>
          </w:p>
        </w:tc>
        <w:tc>
          <w:tcPr>
            <w:tcW w:w="2551" w:type="dxa"/>
            <w:tcBorders>
              <w:top w:val="single" w:sz="6" w:space="0" w:color="7E7E7E"/>
              <w:left w:val="single" w:sz="6" w:space="0" w:color="7E7E7E"/>
              <w:bottom w:val="single" w:sz="6" w:space="0" w:color="7E7E7E"/>
              <w:right w:val="single" w:sz="6" w:space="0" w:color="7E7E7E"/>
            </w:tcBorders>
          </w:tcPr>
          <w:p w:rsidR="00D41B7B" w:rsidRPr="008F55EE" w:rsidRDefault="00D41B7B" w:rsidP="00D91A9C">
            <w:pPr>
              <w:kinsoku w:val="0"/>
              <w:overflowPunct w:val="0"/>
              <w:autoSpaceDE w:val="0"/>
              <w:autoSpaceDN w:val="0"/>
              <w:adjustRightInd w:val="0"/>
              <w:spacing w:before="40" w:after="40"/>
              <w:jc w:val="center"/>
              <w:rPr>
                <w:rFonts w:eastAsia="Calibri" w:cstheme="minorHAnsi"/>
                <w:spacing w:val="-1"/>
                <w:sz w:val="18"/>
                <w:szCs w:val="18"/>
              </w:rPr>
            </w:pPr>
            <w:r w:rsidRPr="008F55EE">
              <w:rPr>
                <w:rFonts w:eastAsia="Calibri" w:cstheme="minorHAnsi"/>
                <w:spacing w:val="-1"/>
                <w:sz w:val="18"/>
                <w:szCs w:val="18"/>
              </w:rPr>
              <w:br/>
              <w:t>Ferrous Sulphate</w:t>
            </w:r>
            <w:r>
              <w:rPr>
                <w:rFonts w:eastAsia="Calibri" w:cstheme="minorHAnsi"/>
                <w:spacing w:val="-1"/>
                <w:sz w:val="18"/>
                <w:szCs w:val="18"/>
              </w:rPr>
              <w:t xml:space="preserve"> </w:t>
            </w:r>
            <w:r w:rsidRPr="008F55EE">
              <w:rPr>
                <w:rFonts w:eastAsia="Calibri" w:cstheme="minorHAnsi"/>
                <w:spacing w:val="-1"/>
                <w:sz w:val="18"/>
                <w:szCs w:val="18"/>
              </w:rPr>
              <w:t>325 mg</w:t>
            </w:r>
            <w:r w:rsidRPr="008F55EE">
              <w:rPr>
                <w:rFonts w:eastAsia="Calibri" w:cstheme="minorHAnsi"/>
                <w:spacing w:val="-1"/>
                <w:sz w:val="18"/>
                <w:szCs w:val="18"/>
              </w:rPr>
              <w:br/>
              <w:t xml:space="preserve">Ascorbic acid 500 mg </w:t>
            </w:r>
            <w:r>
              <w:rPr>
                <w:rFonts w:eastAsia="Calibri" w:cstheme="minorHAnsi"/>
                <w:spacing w:val="-1"/>
                <w:sz w:val="18"/>
                <w:szCs w:val="18"/>
              </w:rPr>
              <w:br/>
              <w:t>Modified</w:t>
            </w:r>
            <w:r w:rsidRPr="008F55EE">
              <w:rPr>
                <w:rFonts w:eastAsia="Calibri" w:cstheme="minorHAnsi"/>
                <w:spacing w:val="-1"/>
                <w:sz w:val="18"/>
                <w:szCs w:val="18"/>
              </w:rPr>
              <w:t xml:space="preserve"> release tablet</w:t>
            </w:r>
          </w:p>
        </w:tc>
        <w:tc>
          <w:tcPr>
            <w:tcW w:w="2127" w:type="dxa"/>
            <w:tcBorders>
              <w:top w:val="single" w:sz="6" w:space="0" w:color="7E7E7E"/>
              <w:left w:val="single" w:sz="6" w:space="0" w:color="7E7E7E"/>
              <w:bottom w:val="single" w:sz="6" w:space="0" w:color="7E7E7E"/>
              <w:right w:val="single" w:sz="6" w:space="0" w:color="7E7E7E"/>
            </w:tcBorders>
          </w:tcPr>
          <w:p w:rsidR="00D41B7B" w:rsidRPr="008F55EE" w:rsidRDefault="00D41B7B" w:rsidP="00D91A9C">
            <w:pPr>
              <w:kinsoku w:val="0"/>
              <w:overflowPunct w:val="0"/>
              <w:autoSpaceDE w:val="0"/>
              <w:autoSpaceDN w:val="0"/>
              <w:adjustRightInd w:val="0"/>
              <w:spacing w:before="40" w:after="40"/>
              <w:jc w:val="center"/>
              <w:rPr>
                <w:rFonts w:eastAsia="Calibri" w:cstheme="minorHAnsi"/>
                <w:b/>
                <w:bCs/>
                <w:sz w:val="18"/>
                <w:szCs w:val="18"/>
              </w:rPr>
            </w:pPr>
          </w:p>
          <w:p w:rsidR="00D41B7B" w:rsidRPr="008F55EE" w:rsidRDefault="00D41B7B" w:rsidP="00D91A9C">
            <w:pPr>
              <w:kinsoku w:val="0"/>
              <w:overflowPunct w:val="0"/>
              <w:autoSpaceDE w:val="0"/>
              <w:autoSpaceDN w:val="0"/>
              <w:adjustRightInd w:val="0"/>
              <w:spacing w:before="40" w:after="40"/>
              <w:jc w:val="center"/>
              <w:rPr>
                <w:rFonts w:eastAsia="Calibri" w:cstheme="minorHAnsi"/>
                <w:b/>
                <w:bCs/>
                <w:sz w:val="18"/>
                <w:szCs w:val="18"/>
              </w:rPr>
            </w:pPr>
            <w:r w:rsidRPr="008F55EE">
              <w:rPr>
                <w:rFonts w:eastAsia="Calibri" w:cstheme="minorHAnsi"/>
                <w:b/>
                <w:bCs/>
                <w:sz w:val="18"/>
                <w:szCs w:val="18"/>
              </w:rPr>
              <w:t>105 mg</w:t>
            </w:r>
          </w:p>
        </w:tc>
      </w:tr>
      <w:tr w:rsidR="00D41B7B" w:rsidRPr="008F55EE" w:rsidTr="00D91A9C">
        <w:trPr>
          <w:trHeight w:hRule="exact" w:val="1159"/>
        </w:trPr>
        <w:tc>
          <w:tcPr>
            <w:tcW w:w="2487" w:type="dxa"/>
            <w:tcBorders>
              <w:top w:val="single" w:sz="6" w:space="0" w:color="7E7E7E"/>
              <w:left w:val="single" w:sz="6" w:space="0" w:color="7E7E7E"/>
              <w:bottom w:val="single" w:sz="6" w:space="0" w:color="7E7E7E"/>
              <w:right w:val="single" w:sz="6" w:space="0" w:color="7E7E7E"/>
            </w:tcBorders>
          </w:tcPr>
          <w:p w:rsidR="00D41B7B" w:rsidRPr="008F55EE" w:rsidRDefault="00D41B7B" w:rsidP="00D91A9C">
            <w:pPr>
              <w:kinsoku w:val="0"/>
              <w:overflowPunct w:val="0"/>
              <w:autoSpaceDE w:val="0"/>
              <w:autoSpaceDN w:val="0"/>
              <w:adjustRightInd w:val="0"/>
              <w:spacing w:before="40" w:after="40"/>
              <w:jc w:val="center"/>
              <w:rPr>
                <w:rFonts w:eastAsia="Calibri" w:cstheme="minorHAnsi"/>
                <w:b/>
                <w:bCs/>
                <w:sz w:val="18"/>
                <w:szCs w:val="18"/>
              </w:rPr>
            </w:pPr>
            <w:r w:rsidRPr="008F55EE">
              <w:rPr>
                <w:rFonts w:eastAsia="Calibri" w:cstheme="minorHAnsi"/>
                <w:b/>
                <w:bCs/>
                <w:sz w:val="18"/>
                <w:szCs w:val="18"/>
              </w:rPr>
              <w:br/>
              <w:t>FGF</w:t>
            </w:r>
            <w:r w:rsidRPr="008F55EE">
              <w:rPr>
                <w:rFonts w:eastAsia="Calibri" w:cstheme="minorHAnsi"/>
                <w:b/>
                <w:bCs/>
                <w:sz w:val="18"/>
                <w:szCs w:val="18"/>
              </w:rPr>
              <w:br/>
            </w:r>
            <w:r w:rsidRPr="00252E64">
              <w:rPr>
                <w:rFonts w:eastAsia="Calibri" w:cstheme="minorHAnsi"/>
                <w:bCs/>
                <w:sz w:val="18"/>
                <w:szCs w:val="18"/>
              </w:rPr>
              <w:t>(Abbott)</w:t>
            </w:r>
          </w:p>
        </w:tc>
        <w:tc>
          <w:tcPr>
            <w:tcW w:w="2268" w:type="dxa"/>
            <w:tcBorders>
              <w:top w:val="single" w:sz="6" w:space="0" w:color="7E7E7E"/>
              <w:left w:val="single" w:sz="6" w:space="0" w:color="7E7E7E"/>
              <w:bottom w:val="single" w:sz="6" w:space="0" w:color="7E7E7E"/>
              <w:right w:val="single" w:sz="6" w:space="0" w:color="7E7E7E"/>
            </w:tcBorders>
          </w:tcPr>
          <w:p w:rsidR="00D41B7B" w:rsidRPr="008F55EE" w:rsidRDefault="00D41B7B" w:rsidP="00D91A9C">
            <w:pPr>
              <w:kinsoku w:val="0"/>
              <w:overflowPunct w:val="0"/>
              <w:autoSpaceDE w:val="0"/>
              <w:autoSpaceDN w:val="0"/>
              <w:adjustRightInd w:val="0"/>
              <w:spacing w:before="40" w:after="40"/>
              <w:ind w:left="1"/>
              <w:jc w:val="center"/>
              <w:rPr>
                <w:rFonts w:eastAsia="Calibri" w:cstheme="minorHAnsi"/>
                <w:noProof/>
                <w:sz w:val="18"/>
                <w:szCs w:val="18"/>
                <w:lang w:eastAsia="en-AU"/>
              </w:rPr>
            </w:pPr>
            <w:r w:rsidRPr="005C4B74">
              <w:rPr>
                <w:rFonts w:eastAsia="Calibri" w:cstheme="minorHAnsi"/>
                <w:noProof/>
                <w:sz w:val="18"/>
                <w:szCs w:val="18"/>
                <w:lang w:eastAsia="en-AU"/>
              </w:rPr>
              <w:drawing>
                <wp:inline distT="0" distB="0" distL="0" distR="0" wp14:anchorId="09B02CFE" wp14:editId="46BAC12C">
                  <wp:extent cx="381000" cy="323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Pr="005C4B74">
              <w:rPr>
                <w:rFonts w:eastAsia="Calibri" w:cstheme="minorHAnsi"/>
                <w:noProof/>
                <w:sz w:val="18"/>
                <w:szCs w:val="18"/>
                <w:lang w:eastAsia="en-AU"/>
              </w:rPr>
              <w:drawing>
                <wp:inline distT="0" distB="0" distL="0" distR="0" wp14:anchorId="059197F8" wp14:editId="3D7FB68C">
                  <wp:extent cx="352425" cy="628492"/>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52895" cy="629331"/>
                          </a:xfrm>
                          <a:prstGeom prst="rect">
                            <a:avLst/>
                          </a:prstGeom>
                          <a:noFill/>
                          <a:ln>
                            <a:noFill/>
                          </a:ln>
                        </pic:spPr>
                      </pic:pic>
                    </a:graphicData>
                  </a:graphic>
                </wp:inline>
              </w:drawing>
            </w:r>
          </w:p>
          <w:p w:rsidR="00D41B7B" w:rsidRPr="008F55EE" w:rsidRDefault="00D41B7B" w:rsidP="00D91A9C">
            <w:pPr>
              <w:kinsoku w:val="0"/>
              <w:overflowPunct w:val="0"/>
              <w:autoSpaceDE w:val="0"/>
              <w:autoSpaceDN w:val="0"/>
              <w:adjustRightInd w:val="0"/>
              <w:spacing w:before="40" w:after="40"/>
              <w:rPr>
                <w:rFonts w:eastAsia="Calibri" w:cstheme="minorHAnsi"/>
                <w:noProof/>
                <w:sz w:val="18"/>
                <w:szCs w:val="18"/>
                <w:lang w:eastAsia="en-AU"/>
              </w:rPr>
            </w:pPr>
          </w:p>
        </w:tc>
        <w:tc>
          <w:tcPr>
            <w:tcW w:w="2551" w:type="dxa"/>
            <w:tcBorders>
              <w:top w:val="single" w:sz="6" w:space="0" w:color="7E7E7E"/>
              <w:left w:val="single" w:sz="6" w:space="0" w:color="7E7E7E"/>
              <w:bottom w:val="single" w:sz="6" w:space="0" w:color="7E7E7E"/>
              <w:right w:val="single" w:sz="6" w:space="0" w:color="7E7E7E"/>
            </w:tcBorders>
          </w:tcPr>
          <w:p w:rsidR="00D41B7B" w:rsidRPr="008F55EE" w:rsidRDefault="00D41B7B" w:rsidP="00D91A9C">
            <w:pPr>
              <w:kinsoku w:val="0"/>
              <w:overflowPunct w:val="0"/>
              <w:autoSpaceDE w:val="0"/>
              <w:autoSpaceDN w:val="0"/>
              <w:adjustRightInd w:val="0"/>
              <w:spacing w:before="40" w:after="40"/>
              <w:jc w:val="center"/>
              <w:rPr>
                <w:rFonts w:eastAsia="Calibri" w:cstheme="minorHAnsi"/>
                <w:spacing w:val="-1"/>
                <w:sz w:val="18"/>
                <w:szCs w:val="18"/>
              </w:rPr>
            </w:pPr>
            <w:r w:rsidRPr="008F55EE">
              <w:rPr>
                <w:rFonts w:eastAsia="Calibri" w:cstheme="minorHAnsi"/>
                <w:spacing w:val="-1"/>
                <w:sz w:val="18"/>
                <w:szCs w:val="18"/>
              </w:rPr>
              <w:t xml:space="preserve">250 mg </w:t>
            </w:r>
            <w:r w:rsidRPr="008F55EE">
              <w:rPr>
                <w:rFonts w:eastAsia="Calibri" w:cstheme="minorHAnsi"/>
                <w:spacing w:val="-1"/>
                <w:sz w:val="18"/>
                <w:szCs w:val="18"/>
              </w:rPr>
              <w:br/>
              <w:t>Ferrous Sulphate</w:t>
            </w:r>
            <w:r w:rsidRPr="008F55EE">
              <w:rPr>
                <w:rFonts w:eastAsia="Calibri" w:cstheme="minorHAnsi"/>
                <w:spacing w:val="-1"/>
                <w:sz w:val="18"/>
                <w:szCs w:val="18"/>
              </w:rPr>
              <w:br/>
            </w:r>
            <w:r>
              <w:rPr>
                <w:rFonts w:eastAsia="Calibri" w:cstheme="minorHAnsi"/>
                <w:spacing w:val="-1"/>
                <w:sz w:val="18"/>
                <w:szCs w:val="18"/>
              </w:rPr>
              <w:t>Modified</w:t>
            </w:r>
            <w:r w:rsidRPr="008F55EE">
              <w:rPr>
                <w:rFonts w:eastAsia="Calibri" w:cstheme="minorHAnsi"/>
                <w:spacing w:val="-1"/>
                <w:sz w:val="18"/>
                <w:szCs w:val="18"/>
              </w:rPr>
              <w:t xml:space="preserve"> release tablet</w:t>
            </w:r>
          </w:p>
        </w:tc>
        <w:tc>
          <w:tcPr>
            <w:tcW w:w="2127" w:type="dxa"/>
            <w:tcBorders>
              <w:top w:val="single" w:sz="6" w:space="0" w:color="7E7E7E"/>
              <w:left w:val="single" w:sz="6" w:space="0" w:color="7E7E7E"/>
              <w:bottom w:val="single" w:sz="6" w:space="0" w:color="7E7E7E"/>
              <w:right w:val="single" w:sz="6" w:space="0" w:color="7E7E7E"/>
            </w:tcBorders>
          </w:tcPr>
          <w:p w:rsidR="00D41B7B" w:rsidRPr="008F55EE" w:rsidRDefault="00D41B7B" w:rsidP="00D91A9C">
            <w:pPr>
              <w:kinsoku w:val="0"/>
              <w:overflowPunct w:val="0"/>
              <w:autoSpaceDE w:val="0"/>
              <w:autoSpaceDN w:val="0"/>
              <w:adjustRightInd w:val="0"/>
              <w:spacing w:before="40" w:after="40"/>
              <w:jc w:val="center"/>
              <w:rPr>
                <w:rFonts w:eastAsia="Calibri" w:cstheme="minorHAnsi"/>
                <w:b/>
                <w:bCs/>
                <w:sz w:val="18"/>
                <w:szCs w:val="18"/>
              </w:rPr>
            </w:pPr>
          </w:p>
          <w:p w:rsidR="00D41B7B" w:rsidRPr="008F55EE" w:rsidRDefault="00D41B7B" w:rsidP="00D91A9C">
            <w:pPr>
              <w:kinsoku w:val="0"/>
              <w:overflowPunct w:val="0"/>
              <w:autoSpaceDE w:val="0"/>
              <w:autoSpaceDN w:val="0"/>
              <w:adjustRightInd w:val="0"/>
              <w:spacing w:before="40" w:after="40"/>
              <w:jc w:val="center"/>
              <w:rPr>
                <w:rFonts w:eastAsia="Calibri" w:cstheme="minorHAnsi"/>
                <w:b/>
                <w:bCs/>
                <w:sz w:val="18"/>
                <w:szCs w:val="18"/>
              </w:rPr>
            </w:pPr>
            <w:r w:rsidRPr="008F55EE">
              <w:rPr>
                <w:rFonts w:eastAsia="Calibri" w:cstheme="minorHAnsi"/>
                <w:b/>
                <w:bCs/>
                <w:sz w:val="18"/>
                <w:szCs w:val="18"/>
              </w:rPr>
              <w:t>80 mg</w:t>
            </w:r>
          </w:p>
        </w:tc>
      </w:tr>
    </w:tbl>
    <w:p w:rsidR="006D4154" w:rsidRDefault="006D4154">
      <w:bookmarkStart w:id="8" w:name="_GoBack"/>
      <w:bookmarkEnd w:id="8"/>
    </w:p>
    <w:tbl>
      <w:tblPr>
        <w:tblW w:w="9433" w:type="dxa"/>
        <w:tblInd w:w="73" w:type="dxa"/>
        <w:tblLayout w:type="fixed"/>
        <w:tblCellMar>
          <w:left w:w="0" w:type="dxa"/>
          <w:right w:w="0" w:type="dxa"/>
        </w:tblCellMar>
        <w:tblLook w:val="0000" w:firstRow="0" w:lastRow="0" w:firstColumn="0" w:lastColumn="0" w:noHBand="0" w:noVBand="0"/>
      </w:tblPr>
      <w:tblGrid>
        <w:gridCol w:w="2487"/>
        <w:gridCol w:w="2268"/>
        <w:gridCol w:w="2551"/>
        <w:gridCol w:w="2127"/>
      </w:tblGrid>
      <w:tr w:rsidR="00D91A9C" w:rsidRPr="008F55EE" w:rsidTr="006D4154">
        <w:trPr>
          <w:trHeight w:hRule="exact" w:val="1159"/>
        </w:trPr>
        <w:tc>
          <w:tcPr>
            <w:tcW w:w="2487" w:type="dxa"/>
            <w:tcBorders>
              <w:top w:val="single" w:sz="6" w:space="0" w:color="7E7E7E"/>
              <w:left w:val="single" w:sz="6" w:space="0" w:color="7E7E7E"/>
              <w:bottom w:val="single" w:sz="6" w:space="0" w:color="7E7E7E"/>
              <w:right w:val="single" w:sz="6" w:space="0" w:color="7E7E7E"/>
            </w:tcBorders>
          </w:tcPr>
          <w:p w:rsidR="00D91A9C" w:rsidRPr="00D91A9C" w:rsidRDefault="00D91A9C" w:rsidP="00D91A9C">
            <w:pPr>
              <w:widowControl/>
              <w:suppressAutoHyphens/>
              <w:autoSpaceDE w:val="0"/>
              <w:autoSpaceDN w:val="0"/>
              <w:adjustRightInd w:val="0"/>
              <w:spacing w:before="40" w:after="40" w:line="288" w:lineRule="auto"/>
              <w:jc w:val="center"/>
              <w:textAlignment w:val="center"/>
              <w:rPr>
                <w:rFonts w:ascii="TitilliumText25L (OTF) 250 wt" w:eastAsia="Dotum" w:hAnsi="TitilliumText25L (OTF) 250 wt" w:cs="TitilliumText25L (OTF) 250 wt"/>
                <w:color w:val="000000"/>
                <w:sz w:val="18"/>
                <w:szCs w:val="18"/>
              </w:rPr>
            </w:pPr>
            <w:r w:rsidRPr="00D91A9C">
              <w:rPr>
                <w:rFonts w:ascii="TitilliumText25L (OTF) 250 wt" w:eastAsia="Dotum" w:hAnsi="TitilliumText25L (OTF) 250 wt" w:cs="TitilliumText25L (OTF) 250 wt"/>
                <w:color w:val="000000"/>
                <w:sz w:val="18"/>
                <w:szCs w:val="18"/>
              </w:rPr>
              <w:lastRenderedPageBreak/>
              <w:t>#</w:t>
            </w:r>
            <w:proofErr w:type="spellStart"/>
            <w:r w:rsidRPr="00D91A9C">
              <w:rPr>
                <w:rFonts w:ascii="TitilliumText25L (OTF) 250 wt" w:eastAsia="Dotum" w:hAnsi="TitilliumText25L (OTF) 250 wt" w:cs="TitilliumText25L (OTF) 250 wt"/>
                <w:color w:val="000000"/>
                <w:sz w:val="18"/>
                <w:szCs w:val="18"/>
              </w:rPr>
              <w:t>Maltofer</w:t>
            </w:r>
            <w:proofErr w:type="spellEnd"/>
          </w:p>
          <w:p w:rsidR="00D91A9C" w:rsidRPr="00D91A9C" w:rsidRDefault="00D91A9C" w:rsidP="00D91A9C">
            <w:pPr>
              <w:widowControl/>
              <w:suppressAutoHyphens/>
              <w:autoSpaceDE w:val="0"/>
              <w:autoSpaceDN w:val="0"/>
              <w:adjustRightInd w:val="0"/>
              <w:spacing w:before="40" w:after="40" w:line="288" w:lineRule="auto"/>
              <w:jc w:val="center"/>
              <w:textAlignment w:val="center"/>
              <w:rPr>
                <w:rFonts w:ascii="TitilliumText25L (OTF) 250 wt" w:eastAsia="Dotum" w:hAnsi="TitilliumText25L (OTF) 250 wt" w:cs="TitilliumText25L (OTF) 250 wt"/>
                <w:color w:val="000000"/>
                <w:sz w:val="18"/>
                <w:szCs w:val="18"/>
              </w:rPr>
            </w:pPr>
            <w:r w:rsidRPr="00D91A9C">
              <w:rPr>
                <w:rFonts w:ascii="TitilliumText25L (OTF) 250 wt" w:eastAsia="Dotum" w:hAnsi="TitilliumText25L (OTF) 250 wt" w:cs="TitilliumText25L (OTF) 250 wt"/>
                <w:color w:val="000000"/>
                <w:sz w:val="18"/>
                <w:szCs w:val="18"/>
              </w:rPr>
              <w:t>(Aspen Pharmacare)</w:t>
            </w:r>
          </w:p>
          <w:p w:rsidR="00D91A9C" w:rsidRPr="008F55EE" w:rsidRDefault="00D91A9C" w:rsidP="00D91A9C">
            <w:pPr>
              <w:kinsoku w:val="0"/>
              <w:overflowPunct w:val="0"/>
              <w:autoSpaceDE w:val="0"/>
              <w:autoSpaceDN w:val="0"/>
              <w:adjustRightInd w:val="0"/>
              <w:spacing w:before="40" w:after="40"/>
              <w:jc w:val="center"/>
              <w:rPr>
                <w:rFonts w:eastAsia="Calibri" w:cstheme="minorHAnsi"/>
                <w:b/>
                <w:bCs/>
                <w:sz w:val="18"/>
                <w:szCs w:val="18"/>
              </w:rPr>
            </w:pPr>
          </w:p>
        </w:tc>
        <w:tc>
          <w:tcPr>
            <w:tcW w:w="2268" w:type="dxa"/>
            <w:tcBorders>
              <w:top w:val="single" w:sz="6" w:space="0" w:color="7E7E7E"/>
              <w:left w:val="single" w:sz="6" w:space="0" w:color="7E7E7E"/>
              <w:bottom w:val="single" w:sz="6" w:space="0" w:color="7E7E7E"/>
              <w:right w:val="single" w:sz="6" w:space="0" w:color="7E7E7E"/>
            </w:tcBorders>
          </w:tcPr>
          <w:p w:rsidR="00D91A9C" w:rsidRPr="005C4B74" w:rsidRDefault="00D91A9C" w:rsidP="00D91A9C">
            <w:pPr>
              <w:kinsoku w:val="0"/>
              <w:overflowPunct w:val="0"/>
              <w:autoSpaceDE w:val="0"/>
              <w:autoSpaceDN w:val="0"/>
              <w:adjustRightInd w:val="0"/>
              <w:spacing w:before="40" w:after="40"/>
              <w:ind w:left="1"/>
              <w:jc w:val="center"/>
              <w:rPr>
                <w:rFonts w:eastAsia="Calibri" w:cstheme="minorHAnsi"/>
                <w:noProof/>
                <w:sz w:val="18"/>
                <w:szCs w:val="18"/>
                <w:lang w:eastAsia="en-AU"/>
              </w:rPr>
            </w:pPr>
            <w:r>
              <w:rPr>
                <w:noProof/>
                <w:lang w:eastAsia="en-AU"/>
              </w:rPr>
              <w:drawing>
                <wp:inline distT="0" distB="0" distL="0" distR="0" wp14:anchorId="64DC6163" wp14:editId="759106A7">
                  <wp:extent cx="1352381" cy="780952"/>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352381" cy="780952"/>
                          </a:xfrm>
                          <a:prstGeom prst="rect">
                            <a:avLst/>
                          </a:prstGeom>
                        </pic:spPr>
                      </pic:pic>
                    </a:graphicData>
                  </a:graphic>
                </wp:inline>
              </w:drawing>
            </w:r>
          </w:p>
        </w:tc>
        <w:tc>
          <w:tcPr>
            <w:tcW w:w="2551" w:type="dxa"/>
            <w:tcBorders>
              <w:top w:val="single" w:sz="6" w:space="0" w:color="7E7E7E"/>
              <w:left w:val="single" w:sz="6" w:space="0" w:color="7E7E7E"/>
              <w:bottom w:val="single" w:sz="6" w:space="0" w:color="7E7E7E"/>
              <w:right w:val="single" w:sz="6" w:space="0" w:color="7E7E7E"/>
            </w:tcBorders>
          </w:tcPr>
          <w:p w:rsidR="00D91A9C" w:rsidRPr="00D91A9C" w:rsidRDefault="00D91A9C" w:rsidP="00D91A9C">
            <w:pPr>
              <w:widowControl/>
              <w:suppressAutoHyphens/>
              <w:autoSpaceDE w:val="0"/>
              <w:autoSpaceDN w:val="0"/>
              <w:adjustRightInd w:val="0"/>
              <w:spacing w:before="40" w:after="40" w:line="288" w:lineRule="auto"/>
              <w:jc w:val="center"/>
              <w:textAlignment w:val="center"/>
              <w:rPr>
                <w:rFonts w:ascii="TitilliumText25L (OTF) 250 wt" w:eastAsia="Dotum" w:hAnsi="TitilliumText25L (OTF) 250 wt" w:cs="TitilliumText25L (OTF) 250 wt"/>
                <w:color w:val="000000"/>
                <w:spacing w:val="-1"/>
                <w:sz w:val="18"/>
                <w:szCs w:val="18"/>
              </w:rPr>
            </w:pPr>
            <w:r w:rsidRPr="00D91A9C">
              <w:rPr>
                <w:rFonts w:ascii="TitilliumText25L (OTF) 250 wt" w:eastAsia="Dotum" w:hAnsi="TitilliumText25L (OTF) 250 wt" w:cs="TitilliumText25L (OTF) 250 wt"/>
                <w:color w:val="000000"/>
                <w:spacing w:val="-1"/>
                <w:sz w:val="18"/>
                <w:szCs w:val="18"/>
              </w:rPr>
              <w:t xml:space="preserve">Iron </w:t>
            </w:r>
            <w:proofErr w:type="spellStart"/>
            <w:r w:rsidRPr="00D91A9C">
              <w:rPr>
                <w:rFonts w:ascii="TitilliumText25L (OTF) 250 wt" w:eastAsia="Dotum" w:hAnsi="TitilliumText25L (OTF) 250 wt" w:cs="TitilliumText25L (OTF) 250 wt"/>
                <w:color w:val="000000"/>
                <w:spacing w:val="-1"/>
                <w:sz w:val="18"/>
                <w:szCs w:val="18"/>
              </w:rPr>
              <w:t>polymaltose</w:t>
            </w:r>
            <w:proofErr w:type="spellEnd"/>
            <w:r w:rsidRPr="00D91A9C">
              <w:rPr>
                <w:rFonts w:ascii="TitilliumText25L (OTF) 250 wt" w:eastAsia="Dotum" w:hAnsi="TitilliumText25L (OTF) 250 wt" w:cs="TitilliumText25L (OTF) 250 wt"/>
                <w:color w:val="000000"/>
                <w:spacing w:val="-1"/>
                <w:sz w:val="18"/>
                <w:szCs w:val="18"/>
              </w:rPr>
              <w:t xml:space="preserve"> 370 mg</w:t>
            </w:r>
          </w:p>
          <w:p w:rsidR="00D91A9C" w:rsidRPr="008F55EE" w:rsidRDefault="00D91A9C" w:rsidP="00D91A9C">
            <w:pPr>
              <w:kinsoku w:val="0"/>
              <w:overflowPunct w:val="0"/>
              <w:autoSpaceDE w:val="0"/>
              <w:autoSpaceDN w:val="0"/>
              <w:adjustRightInd w:val="0"/>
              <w:spacing w:before="40" w:after="40"/>
              <w:jc w:val="center"/>
              <w:rPr>
                <w:rFonts w:eastAsia="Calibri" w:cstheme="minorHAnsi"/>
                <w:spacing w:val="-1"/>
                <w:sz w:val="18"/>
                <w:szCs w:val="18"/>
              </w:rPr>
            </w:pPr>
          </w:p>
        </w:tc>
        <w:tc>
          <w:tcPr>
            <w:tcW w:w="2127" w:type="dxa"/>
            <w:tcBorders>
              <w:top w:val="single" w:sz="6" w:space="0" w:color="7E7E7E"/>
              <w:left w:val="single" w:sz="6" w:space="0" w:color="7E7E7E"/>
              <w:bottom w:val="single" w:sz="6" w:space="0" w:color="7E7E7E"/>
              <w:right w:val="single" w:sz="6" w:space="0" w:color="7E7E7E"/>
            </w:tcBorders>
          </w:tcPr>
          <w:p w:rsidR="00D91A9C" w:rsidRPr="00D91A9C" w:rsidRDefault="00D91A9C" w:rsidP="00D91A9C">
            <w:pPr>
              <w:widowControl/>
              <w:suppressAutoHyphens/>
              <w:autoSpaceDE w:val="0"/>
              <w:autoSpaceDN w:val="0"/>
              <w:adjustRightInd w:val="0"/>
              <w:spacing w:before="40" w:after="40" w:line="288" w:lineRule="auto"/>
              <w:jc w:val="center"/>
              <w:textAlignment w:val="center"/>
              <w:rPr>
                <w:rFonts w:ascii="TitilliumText25L (OTF) 250 wt" w:eastAsia="Dotum" w:hAnsi="TitilliumText25L (OTF) 250 wt" w:cs="TitilliumText25L (OTF) 250 wt"/>
                <w:color w:val="000000"/>
                <w:sz w:val="18"/>
                <w:szCs w:val="18"/>
              </w:rPr>
            </w:pPr>
            <w:r w:rsidRPr="00D91A9C">
              <w:rPr>
                <w:rFonts w:ascii="TitilliumText25L (OTF) 250 wt" w:eastAsia="Dotum" w:hAnsi="TitilliumText25L (OTF) 250 wt" w:cs="TitilliumText25L (OTF) 250 wt"/>
                <w:color w:val="000000"/>
                <w:sz w:val="18"/>
                <w:szCs w:val="18"/>
              </w:rPr>
              <w:t>100 mg</w:t>
            </w:r>
          </w:p>
          <w:p w:rsidR="00D91A9C" w:rsidRDefault="00D91A9C" w:rsidP="00D91A9C">
            <w:pPr>
              <w:kinsoku w:val="0"/>
              <w:overflowPunct w:val="0"/>
              <w:autoSpaceDE w:val="0"/>
              <w:autoSpaceDN w:val="0"/>
              <w:adjustRightInd w:val="0"/>
              <w:spacing w:before="40" w:after="40"/>
              <w:jc w:val="center"/>
              <w:rPr>
                <w:rFonts w:eastAsia="Calibri" w:cstheme="minorHAnsi"/>
                <w:b/>
                <w:bCs/>
                <w:sz w:val="18"/>
                <w:szCs w:val="18"/>
              </w:rPr>
            </w:pPr>
          </w:p>
          <w:p w:rsidR="00D91A9C" w:rsidRPr="00D91A9C" w:rsidRDefault="00D91A9C" w:rsidP="00D91A9C">
            <w:pPr>
              <w:jc w:val="center"/>
              <w:rPr>
                <w:rFonts w:eastAsia="Calibri" w:cstheme="minorHAnsi"/>
                <w:sz w:val="18"/>
                <w:szCs w:val="18"/>
              </w:rPr>
            </w:pPr>
          </w:p>
        </w:tc>
      </w:tr>
      <w:tr w:rsidR="00D91A9C" w:rsidRPr="008F55EE" w:rsidTr="006D4154">
        <w:trPr>
          <w:trHeight w:hRule="exact" w:val="1430"/>
        </w:trPr>
        <w:tc>
          <w:tcPr>
            <w:tcW w:w="2487" w:type="dxa"/>
            <w:tcBorders>
              <w:top w:val="single" w:sz="6" w:space="0" w:color="7E7E7E"/>
              <w:left w:val="single" w:sz="6" w:space="0" w:color="7E7E7E"/>
              <w:bottom w:val="single" w:sz="6" w:space="0" w:color="7E7E7E"/>
              <w:right w:val="single" w:sz="6" w:space="0" w:color="7E7E7E"/>
            </w:tcBorders>
          </w:tcPr>
          <w:p w:rsidR="00D91A9C" w:rsidRPr="00D91A9C" w:rsidRDefault="00D91A9C" w:rsidP="00D91A9C">
            <w:pPr>
              <w:widowControl/>
              <w:suppressAutoHyphens/>
              <w:autoSpaceDE w:val="0"/>
              <w:autoSpaceDN w:val="0"/>
              <w:adjustRightInd w:val="0"/>
              <w:spacing w:before="40" w:after="40" w:line="288" w:lineRule="auto"/>
              <w:jc w:val="center"/>
              <w:textAlignment w:val="center"/>
              <w:rPr>
                <w:rFonts w:ascii="TitilliumText25L (OTF) 250 wt" w:eastAsia="Dotum" w:hAnsi="TitilliumText25L (OTF) 250 wt" w:cs="TitilliumText25L (OTF) 250 wt"/>
                <w:color w:val="000000"/>
                <w:sz w:val="18"/>
                <w:szCs w:val="18"/>
              </w:rPr>
            </w:pPr>
            <w:r w:rsidRPr="00D91A9C">
              <w:rPr>
                <w:rFonts w:ascii="TitilliumText25L (OTF) 250 wt" w:eastAsia="Dotum" w:hAnsi="TitilliumText25L (OTF) 250 wt" w:cs="TitilliumText25L (OTF) 250 wt"/>
                <w:color w:val="000000"/>
                <w:sz w:val="18"/>
                <w:szCs w:val="18"/>
              </w:rPr>
              <w:t>#</w:t>
            </w:r>
            <w:proofErr w:type="spellStart"/>
            <w:r w:rsidRPr="00D91A9C">
              <w:rPr>
                <w:rFonts w:ascii="TitilliumText25L (OTF) 250 wt" w:eastAsia="Dotum" w:hAnsi="TitilliumText25L (OTF) 250 wt" w:cs="TitilliumText25L (OTF) 250 wt"/>
                <w:color w:val="000000"/>
                <w:sz w:val="18"/>
                <w:szCs w:val="18"/>
              </w:rPr>
              <w:t>Maltofer</w:t>
            </w:r>
            <w:proofErr w:type="spellEnd"/>
            <w:r w:rsidRPr="00D91A9C">
              <w:rPr>
                <w:rFonts w:ascii="TitilliumText25L (OTF) 250 wt" w:eastAsia="Dotum" w:hAnsi="TitilliumText25L (OTF) 250 wt" w:cs="TitilliumText25L (OTF) 250 wt"/>
                <w:color w:val="000000"/>
                <w:sz w:val="18"/>
                <w:szCs w:val="18"/>
              </w:rPr>
              <w:t xml:space="preserve"> Syrup</w:t>
            </w:r>
          </w:p>
          <w:p w:rsidR="00D91A9C" w:rsidRPr="00D91A9C" w:rsidRDefault="00D91A9C" w:rsidP="00D91A9C">
            <w:pPr>
              <w:widowControl/>
              <w:suppressAutoHyphens/>
              <w:autoSpaceDE w:val="0"/>
              <w:autoSpaceDN w:val="0"/>
              <w:adjustRightInd w:val="0"/>
              <w:spacing w:before="40" w:after="40" w:line="288" w:lineRule="auto"/>
              <w:jc w:val="center"/>
              <w:textAlignment w:val="center"/>
              <w:rPr>
                <w:rFonts w:ascii="TitilliumText25L (OTF) 250 wt" w:eastAsia="Dotum" w:hAnsi="TitilliumText25L (OTF) 250 wt" w:cs="TitilliumText25L (OTF) 250 wt"/>
                <w:color w:val="000000"/>
                <w:sz w:val="18"/>
                <w:szCs w:val="18"/>
              </w:rPr>
            </w:pPr>
            <w:r w:rsidRPr="00D91A9C">
              <w:rPr>
                <w:rFonts w:ascii="TitilliumText25L (OTF) 250 wt" w:eastAsia="Dotum" w:hAnsi="TitilliumText25L (OTF) 250 wt" w:cs="TitilliumText25L (OTF) 250 wt"/>
                <w:color w:val="000000"/>
                <w:sz w:val="18"/>
                <w:szCs w:val="18"/>
              </w:rPr>
              <w:t>(Aspen Pharmacare)</w:t>
            </w:r>
          </w:p>
          <w:p w:rsidR="00D91A9C" w:rsidRPr="008F55EE" w:rsidRDefault="00D91A9C" w:rsidP="00D91A9C">
            <w:pPr>
              <w:kinsoku w:val="0"/>
              <w:overflowPunct w:val="0"/>
              <w:autoSpaceDE w:val="0"/>
              <w:autoSpaceDN w:val="0"/>
              <w:adjustRightInd w:val="0"/>
              <w:spacing w:before="40" w:after="40"/>
              <w:jc w:val="center"/>
              <w:rPr>
                <w:rFonts w:eastAsia="Calibri" w:cstheme="minorHAnsi"/>
                <w:b/>
                <w:bCs/>
                <w:sz w:val="18"/>
                <w:szCs w:val="18"/>
              </w:rPr>
            </w:pPr>
          </w:p>
        </w:tc>
        <w:tc>
          <w:tcPr>
            <w:tcW w:w="2268" w:type="dxa"/>
            <w:tcBorders>
              <w:top w:val="single" w:sz="6" w:space="0" w:color="7E7E7E"/>
              <w:left w:val="single" w:sz="6" w:space="0" w:color="7E7E7E"/>
              <w:bottom w:val="single" w:sz="6" w:space="0" w:color="7E7E7E"/>
              <w:right w:val="single" w:sz="6" w:space="0" w:color="7E7E7E"/>
            </w:tcBorders>
          </w:tcPr>
          <w:p w:rsidR="00D91A9C" w:rsidRPr="005C4B74" w:rsidRDefault="00D91A9C" w:rsidP="00D91A9C">
            <w:pPr>
              <w:kinsoku w:val="0"/>
              <w:overflowPunct w:val="0"/>
              <w:autoSpaceDE w:val="0"/>
              <w:autoSpaceDN w:val="0"/>
              <w:adjustRightInd w:val="0"/>
              <w:spacing w:before="40" w:after="40"/>
              <w:ind w:left="1"/>
              <w:jc w:val="center"/>
              <w:rPr>
                <w:rFonts w:eastAsia="Calibri" w:cstheme="minorHAnsi"/>
                <w:noProof/>
                <w:sz w:val="18"/>
                <w:szCs w:val="18"/>
                <w:lang w:eastAsia="en-AU"/>
              </w:rPr>
            </w:pPr>
            <w:r>
              <w:rPr>
                <w:noProof/>
                <w:lang w:eastAsia="en-AU"/>
              </w:rPr>
              <w:drawing>
                <wp:inline distT="0" distB="0" distL="0" distR="0" wp14:anchorId="57B91FE4" wp14:editId="740944F8">
                  <wp:extent cx="1076191" cy="9047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1076191" cy="904762"/>
                          </a:xfrm>
                          <a:prstGeom prst="rect">
                            <a:avLst/>
                          </a:prstGeom>
                        </pic:spPr>
                      </pic:pic>
                    </a:graphicData>
                  </a:graphic>
                </wp:inline>
              </w:drawing>
            </w:r>
          </w:p>
        </w:tc>
        <w:tc>
          <w:tcPr>
            <w:tcW w:w="2551" w:type="dxa"/>
            <w:tcBorders>
              <w:top w:val="single" w:sz="6" w:space="0" w:color="7E7E7E"/>
              <w:left w:val="single" w:sz="6" w:space="0" w:color="7E7E7E"/>
              <w:bottom w:val="single" w:sz="6" w:space="0" w:color="7E7E7E"/>
              <w:right w:val="single" w:sz="6" w:space="0" w:color="7E7E7E"/>
            </w:tcBorders>
          </w:tcPr>
          <w:p w:rsidR="00D91A9C" w:rsidRPr="00D91A9C" w:rsidRDefault="00D91A9C" w:rsidP="00D91A9C">
            <w:pPr>
              <w:widowControl/>
              <w:suppressAutoHyphens/>
              <w:autoSpaceDE w:val="0"/>
              <w:autoSpaceDN w:val="0"/>
              <w:adjustRightInd w:val="0"/>
              <w:spacing w:before="40" w:after="40" w:line="288" w:lineRule="auto"/>
              <w:jc w:val="center"/>
              <w:textAlignment w:val="center"/>
              <w:rPr>
                <w:rFonts w:ascii="TitilliumText25L (OTF) 250 wt" w:eastAsia="Dotum" w:hAnsi="TitilliumText25L (OTF) 250 wt" w:cs="TitilliumText25L (OTF) 250 wt"/>
                <w:color w:val="000000"/>
                <w:spacing w:val="-1"/>
                <w:sz w:val="18"/>
                <w:szCs w:val="18"/>
              </w:rPr>
            </w:pPr>
            <w:r w:rsidRPr="00D91A9C">
              <w:rPr>
                <w:rFonts w:ascii="TitilliumText25L (OTF) 250 wt" w:eastAsia="Dotum" w:hAnsi="TitilliumText25L (OTF) 250 wt" w:cs="TitilliumText25L (OTF) 250 wt"/>
                <w:color w:val="000000"/>
                <w:spacing w:val="-1"/>
                <w:sz w:val="18"/>
                <w:szCs w:val="18"/>
              </w:rPr>
              <w:t xml:space="preserve">Iron </w:t>
            </w:r>
            <w:proofErr w:type="spellStart"/>
            <w:r w:rsidRPr="00D91A9C">
              <w:rPr>
                <w:rFonts w:ascii="TitilliumText25L (OTF) 250 wt" w:eastAsia="Dotum" w:hAnsi="TitilliumText25L (OTF) 250 wt" w:cs="TitilliumText25L (OTF) 250 wt"/>
                <w:color w:val="000000"/>
                <w:spacing w:val="-1"/>
                <w:sz w:val="18"/>
                <w:szCs w:val="18"/>
              </w:rPr>
              <w:t>polymaltose</w:t>
            </w:r>
            <w:proofErr w:type="spellEnd"/>
            <w:r w:rsidRPr="00D91A9C">
              <w:rPr>
                <w:rFonts w:ascii="TitilliumText25L (OTF) 250 wt" w:eastAsia="Dotum" w:hAnsi="TitilliumText25L (OTF) 250 wt" w:cs="TitilliumText25L (OTF) 250 wt"/>
                <w:color w:val="000000"/>
                <w:spacing w:val="-1"/>
                <w:sz w:val="18"/>
                <w:szCs w:val="18"/>
              </w:rPr>
              <w:t xml:space="preserve"> 185 mg</w:t>
            </w:r>
          </w:p>
          <w:p w:rsidR="00D91A9C" w:rsidRPr="00D91A9C" w:rsidRDefault="00D91A9C" w:rsidP="00D91A9C">
            <w:pPr>
              <w:widowControl/>
              <w:suppressAutoHyphens/>
              <w:autoSpaceDE w:val="0"/>
              <w:autoSpaceDN w:val="0"/>
              <w:adjustRightInd w:val="0"/>
              <w:spacing w:before="40" w:after="40" w:line="288" w:lineRule="auto"/>
              <w:jc w:val="center"/>
              <w:textAlignment w:val="center"/>
              <w:rPr>
                <w:rFonts w:ascii="TitilliumText25L (OTF) 250 wt" w:eastAsia="Dotum" w:hAnsi="TitilliumText25L (OTF) 250 wt" w:cs="TitilliumText25L (OTF) 250 wt"/>
                <w:color w:val="000000"/>
                <w:spacing w:val="-1"/>
                <w:sz w:val="18"/>
                <w:szCs w:val="18"/>
              </w:rPr>
            </w:pPr>
            <w:r w:rsidRPr="00D91A9C">
              <w:rPr>
                <w:rFonts w:ascii="TitilliumText25L (OTF) 250 wt" w:eastAsia="Dotum" w:hAnsi="TitilliumText25L (OTF) 250 wt" w:cs="TitilliumText25L (OTF) 250 wt"/>
                <w:color w:val="000000"/>
                <w:spacing w:val="-1"/>
                <w:sz w:val="18"/>
                <w:szCs w:val="18"/>
              </w:rPr>
              <w:t>Oral solution</w:t>
            </w:r>
          </w:p>
          <w:p w:rsidR="00D91A9C" w:rsidRPr="008F55EE" w:rsidRDefault="00D91A9C" w:rsidP="00D91A9C">
            <w:pPr>
              <w:kinsoku w:val="0"/>
              <w:overflowPunct w:val="0"/>
              <w:autoSpaceDE w:val="0"/>
              <w:autoSpaceDN w:val="0"/>
              <w:adjustRightInd w:val="0"/>
              <w:spacing w:before="40" w:after="40"/>
              <w:jc w:val="center"/>
              <w:rPr>
                <w:rFonts w:eastAsia="Calibri" w:cstheme="minorHAnsi"/>
                <w:spacing w:val="-1"/>
                <w:sz w:val="18"/>
                <w:szCs w:val="18"/>
              </w:rPr>
            </w:pPr>
          </w:p>
        </w:tc>
        <w:tc>
          <w:tcPr>
            <w:tcW w:w="2127" w:type="dxa"/>
            <w:tcBorders>
              <w:top w:val="single" w:sz="6" w:space="0" w:color="7E7E7E"/>
              <w:left w:val="single" w:sz="6" w:space="0" w:color="7E7E7E"/>
              <w:bottom w:val="single" w:sz="6" w:space="0" w:color="7E7E7E"/>
              <w:right w:val="single" w:sz="6" w:space="0" w:color="7E7E7E"/>
            </w:tcBorders>
          </w:tcPr>
          <w:p w:rsidR="00D91A9C" w:rsidRPr="00D91A9C" w:rsidRDefault="00D91A9C" w:rsidP="00D91A9C">
            <w:pPr>
              <w:widowControl/>
              <w:suppressAutoHyphens/>
              <w:autoSpaceDE w:val="0"/>
              <w:autoSpaceDN w:val="0"/>
              <w:adjustRightInd w:val="0"/>
              <w:spacing w:before="40" w:after="40" w:line="288" w:lineRule="auto"/>
              <w:jc w:val="center"/>
              <w:textAlignment w:val="center"/>
              <w:rPr>
                <w:rFonts w:ascii="TitilliumText25L (OTF) 250 wt" w:eastAsia="Dotum" w:hAnsi="TitilliumText25L (OTF) 250 wt" w:cs="TitilliumText25L (OTF) 250 wt"/>
                <w:color w:val="000000"/>
                <w:sz w:val="18"/>
                <w:szCs w:val="18"/>
              </w:rPr>
            </w:pPr>
            <w:r w:rsidRPr="00D91A9C">
              <w:rPr>
                <w:rFonts w:ascii="TitilliumText25L (OTF) 250 wt" w:eastAsia="Dotum" w:hAnsi="TitilliumText25L (OTF) 250 wt" w:cs="TitilliumText25L (OTF) 250 wt"/>
                <w:color w:val="000000"/>
                <w:sz w:val="18"/>
                <w:szCs w:val="18"/>
              </w:rPr>
              <w:t>50 mg/5 ml</w:t>
            </w:r>
          </w:p>
          <w:p w:rsidR="00D91A9C" w:rsidRDefault="00D91A9C" w:rsidP="00D91A9C">
            <w:pPr>
              <w:kinsoku w:val="0"/>
              <w:overflowPunct w:val="0"/>
              <w:autoSpaceDE w:val="0"/>
              <w:autoSpaceDN w:val="0"/>
              <w:adjustRightInd w:val="0"/>
              <w:spacing w:before="40" w:after="40"/>
              <w:jc w:val="center"/>
              <w:rPr>
                <w:rFonts w:eastAsia="Calibri" w:cstheme="minorHAnsi"/>
                <w:b/>
                <w:bCs/>
                <w:sz w:val="18"/>
                <w:szCs w:val="18"/>
              </w:rPr>
            </w:pPr>
          </w:p>
          <w:p w:rsidR="00D91A9C" w:rsidRDefault="00D91A9C" w:rsidP="00D91A9C">
            <w:pPr>
              <w:kinsoku w:val="0"/>
              <w:overflowPunct w:val="0"/>
              <w:autoSpaceDE w:val="0"/>
              <w:autoSpaceDN w:val="0"/>
              <w:adjustRightInd w:val="0"/>
              <w:spacing w:before="40" w:after="40"/>
              <w:jc w:val="center"/>
              <w:rPr>
                <w:rFonts w:eastAsia="Calibri" w:cstheme="minorHAnsi"/>
                <w:b/>
                <w:bCs/>
                <w:sz w:val="18"/>
                <w:szCs w:val="18"/>
              </w:rPr>
            </w:pPr>
          </w:p>
          <w:p w:rsidR="00D91A9C" w:rsidRDefault="00D91A9C" w:rsidP="00D91A9C">
            <w:pPr>
              <w:kinsoku w:val="0"/>
              <w:overflowPunct w:val="0"/>
              <w:autoSpaceDE w:val="0"/>
              <w:autoSpaceDN w:val="0"/>
              <w:adjustRightInd w:val="0"/>
              <w:spacing w:before="40" w:after="40"/>
              <w:jc w:val="center"/>
              <w:rPr>
                <w:rFonts w:eastAsia="Calibri" w:cstheme="minorHAnsi"/>
                <w:b/>
                <w:bCs/>
                <w:sz w:val="18"/>
                <w:szCs w:val="18"/>
              </w:rPr>
            </w:pPr>
          </w:p>
          <w:p w:rsidR="00D91A9C" w:rsidRDefault="00D91A9C" w:rsidP="00D91A9C">
            <w:pPr>
              <w:kinsoku w:val="0"/>
              <w:overflowPunct w:val="0"/>
              <w:autoSpaceDE w:val="0"/>
              <w:autoSpaceDN w:val="0"/>
              <w:adjustRightInd w:val="0"/>
              <w:spacing w:before="40" w:after="40"/>
              <w:jc w:val="center"/>
              <w:rPr>
                <w:rFonts w:eastAsia="Calibri" w:cstheme="minorHAnsi"/>
                <w:b/>
                <w:bCs/>
                <w:sz w:val="18"/>
                <w:szCs w:val="18"/>
              </w:rPr>
            </w:pPr>
          </w:p>
          <w:p w:rsidR="00D91A9C" w:rsidRPr="008F55EE" w:rsidRDefault="00D91A9C" w:rsidP="00D91A9C">
            <w:pPr>
              <w:kinsoku w:val="0"/>
              <w:overflowPunct w:val="0"/>
              <w:autoSpaceDE w:val="0"/>
              <w:autoSpaceDN w:val="0"/>
              <w:adjustRightInd w:val="0"/>
              <w:spacing w:before="40" w:after="40"/>
              <w:jc w:val="center"/>
              <w:rPr>
                <w:rFonts w:eastAsia="Calibri" w:cstheme="minorHAnsi"/>
                <w:b/>
                <w:bCs/>
                <w:sz w:val="18"/>
                <w:szCs w:val="18"/>
              </w:rPr>
            </w:pPr>
          </w:p>
        </w:tc>
      </w:tr>
    </w:tbl>
    <w:p w:rsidR="00D41B7B" w:rsidRPr="00E94EF0" w:rsidRDefault="00D41B7B" w:rsidP="00D41B7B">
      <w:pPr>
        <w:kinsoku w:val="0"/>
        <w:overflowPunct w:val="0"/>
        <w:autoSpaceDE w:val="0"/>
        <w:autoSpaceDN w:val="0"/>
        <w:adjustRightInd w:val="0"/>
        <w:spacing w:before="3"/>
        <w:ind w:left="231"/>
        <w:rPr>
          <w:rFonts w:cstheme="minorHAnsi"/>
          <w:sz w:val="24"/>
          <w:szCs w:val="24"/>
        </w:rPr>
      </w:pPr>
    </w:p>
    <w:p w:rsidR="00D91A9C" w:rsidRPr="00D91A9C" w:rsidRDefault="00D91A9C" w:rsidP="00D91A9C">
      <w:pPr>
        <w:widowControl/>
        <w:suppressAutoHyphens/>
        <w:autoSpaceDE w:val="0"/>
        <w:autoSpaceDN w:val="0"/>
        <w:adjustRightInd w:val="0"/>
        <w:spacing w:line="288" w:lineRule="auto"/>
        <w:textAlignment w:val="center"/>
        <w:rPr>
          <w:rFonts w:ascii="TitilliumText25L" w:eastAsia="Dotum" w:hAnsi="TitilliumText25L" w:cs="TitilliumText25L"/>
          <w:color w:val="000000"/>
          <w:sz w:val="18"/>
          <w:szCs w:val="18"/>
        </w:rPr>
      </w:pPr>
      <w:r w:rsidRPr="00D91A9C">
        <w:rPr>
          <w:rFonts w:ascii="TitilliumText25L" w:eastAsia="Dotum" w:hAnsi="TitilliumText25L" w:cs="TitilliumText25L"/>
          <w:color w:val="000000"/>
          <w:sz w:val="18"/>
          <w:szCs w:val="18"/>
        </w:rPr>
        <w:t xml:space="preserve"># Response to oral iron </w:t>
      </w:r>
      <w:proofErr w:type="spellStart"/>
      <w:r w:rsidRPr="00D91A9C">
        <w:rPr>
          <w:rFonts w:ascii="TitilliumText25L" w:eastAsia="Dotum" w:hAnsi="TitilliumText25L" w:cs="TitilliumText25L"/>
          <w:color w:val="000000"/>
          <w:sz w:val="18"/>
          <w:szCs w:val="18"/>
        </w:rPr>
        <w:t>polymaltose</w:t>
      </w:r>
      <w:proofErr w:type="spellEnd"/>
      <w:r w:rsidRPr="00D91A9C">
        <w:rPr>
          <w:rFonts w:ascii="TitilliumText25L" w:eastAsia="Dotum" w:hAnsi="TitilliumText25L" w:cs="TitilliumText25L"/>
          <w:color w:val="000000"/>
          <w:sz w:val="18"/>
          <w:szCs w:val="18"/>
        </w:rPr>
        <w:t xml:space="preserve"> (</w:t>
      </w:r>
      <w:proofErr w:type="spellStart"/>
      <w:r w:rsidRPr="00D91A9C">
        <w:rPr>
          <w:rFonts w:ascii="TitilliumText25L" w:eastAsia="Dotum" w:hAnsi="TitilliumText25L" w:cs="TitilliumText25L"/>
          <w:color w:val="000000"/>
          <w:sz w:val="18"/>
          <w:szCs w:val="18"/>
        </w:rPr>
        <w:t>Maltofer</w:t>
      </w:r>
      <w:proofErr w:type="spellEnd"/>
      <w:r w:rsidRPr="00D91A9C">
        <w:rPr>
          <w:rFonts w:ascii="TitilliumText25L" w:eastAsia="Dotum" w:hAnsi="TitilliumText25L" w:cs="TitilliumText25L"/>
          <w:color w:val="000000"/>
          <w:sz w:val="18"/>
          <w:szCs w:val="18"/>
        </w:rPr>
        <w:t xml:space="preserve">) may be slower than with ferrous iron. </w:t>
      </w:r>
      <w:proofErr w:type="spellStart"/>
      <w:r w:rsidRPr="00D91A9C">
        <w:rPr>
          <w:rFonts w:ascii="TitilliumText25L" w:eastAsia="Dotum" w:hAnsi="TitilliumText25L" w:cs="TitilliumText25L"/>
          <w:color w:val="000000"/>
          <w:sz w:val="18"/>
          <w:szCs w:val="18"/>
        </w:rPr>
        <w:t>Maltofer</w:t>
      </w:r>
      <w:proofErr w:type="spellEnd"/>
      <w:r w:rsidRPr="00D91A9C">
        <w:rPr>
          <w:rFonts w:ascii="TitilliumText25L" w:eastAsia="Dotum" w:hAnsi="TitilliumText25L" w:cs="TitilliumText25L"/>
          <w:color w:val="000000"/>
          <w:sz w:val="18"/>
          <w:szCs w:val="18"/>
        </w:rPr>
        <w:t xml:space="preserve"> is licenced in Australia for treatment of iron deficiency in adults and adolescents where the use of ferrous iron supplements is not tolerated, or otherwise inappropriate. </w:t>
      </w:r>
    </w:p>
    <w:p w:rsidR="00D41B7B" w:rsidRPr="00C23CE5" w:rsidRDefault="00D41B7B" w:rsidP="00D91A9C">
      <w:pPr>
        <w:kinsoku w:val="0"/>
        <w:overflowPunct w:val="0"/>
        <w:autoSpaceDE w:val="0"/>
        <w:autoSpaceDN w:val="0"/>
        <w:adjustRightInd w:val="0"/>
        <w:spacing w:before="70"/>
        <w:ind w:right="241"/>
        <w:rPr>
          <w:rFonts w:cstheme="minorHAnsi"/>
          <w:b/>
          <w:bCs/>
          <w:spacing w:val="-2"/>
          <w:sz w:val="20"/>
          <w:szCs w:val="20"/>
        </w:rPr>
      </w:pPr>
      <w:r w:rsidRPr="00C23CE5">
        <w:rPr>
          <w:rFonts w:cstheme="minorHAnsi"/>
          <w:b/>
          <w:bCs/>
          <w:spacing w:val="-2"/>
          <w:sz w:val="20"/>
          <w:szCs w:val="20"/>
        </w:rPr>
        <w:t>*</w:t>
      </w:r>
      <w:r w:rsidRPr="00C23CE5">
        <w:rPr>
          <w:rFonts w:cstheme="minorHAnsi"/>
          <w:b/>
          <w:i/>
          <w:iCs/>
          <w:sz w:val="20"/>
          <w:szCs w:val="20"/>
        </w:rPr>
        <w:t xml:space="preserve"> Modified from</w:t>
      </w:r>
      <w:r w:rsidRPr="00C23CE5">
        <w:rPr>
          <w:rFonts w:cstheme="minorHAnsi"/>
          <w:i/>
          <w:iCs/>
          <w:sz w:val="20"/>
          <w:szCs w:val="20"/>
        </w:rPr>
        <w:t xml:space="preserve">: </w:t>
      </w:r>
      <w:proofErr w:type="spellStart"/>
      <w:r w:rsidRPr="00C23CE5">
        <w:rPr>
          <w:rFonts w:cstheme="minorHAnsi"/>
          <w:i/>
          <w:iCs/>
          <w:sz w:val="20"/>
          <w:szCs w:val="20"/>
        </w:rPr>
        <w:t>Bl</w:t>
      </w:r>
      <w:r w:rsidRPr="00C23CE5">
        <w:rPr>
          <w:rFonts w:cstheme="minorHAnsi"/>
          <w:i/>
          <w:iCs/>
          <w:spacing w:val="-1"/>
          <w:sz w:val="20"/>
          <w:szCs w:val="20"/>
        </w:rPr>
        <w:t>ood</w:t>
      </w:r>
      <w:r w:rsidRPr="00C23CE5">
        <w:rPr>
          <w:rFonts w:cstheme="minorHAnsi"/>
          <w:i/>
          <w:iCs/>
          <w:sz w:val="20"/>
          <w:szCs w:val="20"/>
        </w:rPr>
        <w:t>S</w:t>
      </w:r>
      <w:r w:rsidRPr="00C23CE5">
        <w:rPr>
          <w:rFonts w:cstheme="minorHAnsi"/>
          <w:i/>
          <w:iCs/>
          <w:spacing w:val="-4"/>
          <w:sz w:val="20"/>
          <w:szCs w:val="20"/>
        </w:rPr>
        <w:t>a</w:t>
      </w:r>
      <w:r w:rsidRPr="00C23CE5">
        <w:rPr>
          <w:rFonts w:cstheme="minorHAnsi"/>
          <w:i/>
          <w:iCs/>
          <w:sz w:val="20"/>
          <w:szCs w:val="20"/>
        </w:rPr>
        <w:t>fe</w:t>
      </w:r>
      <w:proofErr w:type="spellEnd"/>
      <w:r w:rsidRPr="00C23CE5">
        <w:rPr>
          <w:rFonts w:cstheme="minorHAnsi"/>
          <w:i/>
          <w:iCs/>
          <w:sz w:val="20"/>
          <w:szCs w:val="20"/>
        </w:rPr>
        <w:t xml:space="preserve"> </w:t>
      </w:r>
      <w:r w:rsidRPr="00C23CE5">
        <w:rPr>
          <w:rFonts w:cstheme="minorHAnsi"/>
          <w:i/>
          <w:iCs/>
          <w:spacing w:val="-1"/>
          <w:sz w:val="20"/>
          <w:szCs w:val="20"/>
        </w:rPr>
        <w:t>Ora</w:t>
      </w:r>
      <w:r w:rsidRPr="00C23CE5">
        <w:rPr>
          <w:rFonts w:cstheme="minorHAnsi"/>
          <w:i/>
          <w:iCs/>
          <w:sz w:val="20"/>
          <w:szCs w:val="20"/>
        </w:rPr>
        <w:t>l</w:t>
      </w:r>
      <w:r w:rsidRPr="00C23CE5">
        <w:rPr>
          <w:rFonts w:cstheme="minorHAnsi"/>
          <w:i/>
          <w:iCs/>
          <w:spacing w:val="-1"/>
          <w:sz w:val="20"/>
          <w:szCs w:val="20"/>
        </w:rPr>
        <w:t xml:space="preserve"> </w:t>
      </w:r>
      <w:r w:rsidRPr="00C23CE5">
        <w:rPr>
          <w:rFonts w:cstheme="minorHAnsi"/>
          <w:i/>
          <w:iCs/>
          <w:sz w:val="20"/>
          <w:szCs w:val="20"/>
        </w:rPr>
        <w:t>I</w:t>
      </w:r>
      <w:r w:rsidRPr="00C23CE5">
        <w:rPr>
          <w:rFonts w:cstheme="minorHAnsi"/>
          <w:i/>
          <w:iCs/>
          <w:spacing w:val="-1"/>
          <w:sz w:val="20"/>
          <w:szCs w:val="20"/>
        </w:rPr>
        <w:t>ro</w:t>
      </w:r>
      <w:r w:rsidRPr="00C23CE5">
        <w:rPr>
          <w:rFonts w:cstheme="minorHAnsi"/>
          <w:i/>
          <w:iCs/>
          <w:sz w:val="20"/>
          <w:szCs w:val="20"/>
        </w:rPr>
        <w:t>n T</w:t>
      </w:r>
      <w:r w:rsidRPr="00C23CE5">
        <w:rPr>
          <w:rFonts w:cstheme="minorHAnsi"/>
          <w:i/>
          <w:iCs/>
          <w:spacing w:val="-1"/>
          <w:sz w:val="20"/>
          <w:szCs w:val="20"/>
        </w:rPr>
        <w:t>ab</w:t>
      </w:r>
      <w:r w:rsidRPr="00C23CE5">
        <w:rPr>
          <w:rFonts w:cstheme="minorHAnsi"/>
          <w:i/>
          <w:iCs/>
          <w:sz w:val="20"/>
          <w:szCs w:val="20"/>
        </w:rPr>
        <w:t>le</w:t>
      </w:r>
      <w:r w:rsidRPr="00C23CE5">
        <w:rPr>
          <w:rFonts w:cstheme="minorHAnsi"/>
          <w:i/>
          <w:iCs/>
          <w:spacing w:val="-2"/>
          <w:sz w:val="20"/>
          <w:szCs w:val="20"/>
        </w:rPr>
        <w:t xml:space="preserve"> </w:t>
      </w:r>
      <w:r w:rsidRPr="00C23CE5">
        <w:rPr>
          <w:rFonts w:cstheme="minorHAnsi"/>
          <w:i/>
          <w:iCs/>
          <w:sz w:val="20"/>
          <w:szCs w:val="20"/>
        </w:rPr>
        <w:t>V</w:t>
      </w:r>
      <w:r w:rsidRPr="00C23CE5">
        <w:rPr>
          <w:rFonts w:cstheme="minorHAnsi"/>
          <w:i/>
          <w:iCs/>
          <w:spacing w:val="-1"/>
          <w:sz w:val="20"/>
          <w:szCs w:val="20"/>
        </w:rPr>
        <w:t>er</w:t>
      </w:r>
      <w:r w:rsidRPr="00C23CE5">
        <w:rPr>
          <w:rFonts w:cstheme="minorHAnsi"/>
          <w:i/>
          <w:iCs/>
          <w:spacing w:val="-2"/>
          <w:sz w:val="20"/>
          <w:szCs w:val="20"/>
        </w:rPr>
        <w:t>s</w:t>
      </w:r>
      <w:r w:rsidRPr="00C23CE5">
        <w:rPr>
          <w:rFonts w:cstheme="minorHAnsi"/>
          <w:i/>
          <w:iCs/>
          <w:sz w:val="20"/>
          <w:szCs w:val="20"/>
        </w:rPr>
        <w:t>i</w:t>
      </w:r>
      <w:r w:rsidRPr="00C23CE5">
        <w:rPr>
          <w:rFonts w:cstheme="minorHAnsi"/>
          <w:i/>
          <w:iCs/>
          <w:spacing w:val="-1"/>
          <w:sz w:val="20"/>
          <w:szCs w:val="20"/>
        </w:rPr>
        <w:t>o</w:t>
      </w:r>
      <w:r w:rsidRPr="00C23CE5">
        <w:rPr>
          <w:rFonts w:cstheme="minorHAnsi"/>
          <w:i/>
          <w:iCs/>
          <w:sz w:val="20"/>
          <w:szCs w:val="20"/>
        </w:rPr>
        <w:t xml:space="preserve">n </w:t>
      </w:r>
      <w:r w:rsidRPr="00C23CE5">
        <w:rPr>
          <w:rFonts w:cstheme="minorHAnsi"/>
          <w:i/>
          <w:iCs/>
          <w:spacing w:val="-1"/>
          <w:sz w:val="20"/>
          <w:szCs w:val="20"/>
        </w:rPr>
        <w:t>1</w:t>
      </w:r>
      <w:r w:rsidRPr="00C23CE5">
        <w:rPr>
          <w:rFonts w:cstheme="minorHAnsi"/>
          <w:i/>
          <w:iCs/>
          <w:sz w:val="20"/>
          <w:szCs w:val="20"/>
        </w:rPr>
        <w:t>.7</w:t>
      </w:r>
      <w:r w:rsidRPr="00C23CE5">
        <w:rPr>
          <w:rFonts w:cstheme="minorHAnsi"/>
          <w:i/>
          <w:iCs/>
          <w:spacing w:val="-2"/>
          <w:sz w:val="20"/>
          <w:szCs w:val="20"/>
        </w:rPr>
        <w:t xml:space="preserve"> </w:t>
      </w:r>
      <w:r w:rsidRPr="00C23CE5">
        <w:rPr>
          <w:rFonts w:cstheme="minorHAnsi"/>
          <w:i/>
          <w:iCs/>
          <w:spacing w:val="-1"/>
          <w:sz w:val="20"/>
          <w:szCs w:val="20"/>
        </w:rPr>
        <w:t>O</w:t>
      </w:r>
      <w:r w:rsidRPr="00C23CE5">
        <w:rPr>
          <w:rFonts w:cstheme="minorHAnsi"/>
          <w:i/>
          <w:iCs/>
          <w:spacing w:val="-2"/>
          <w:sz w:val="20"/>
          <w:szCs w:val="20"/>
        </w:rPr>
        <w:t>c</w:t>
      </w:r>
      <w:r w:rsidRPr="00C23CE5">
        <w:rPr>
          <w:rFonts w:cstheme="minorHAnsi"/>
          <w:i/>
          <w:iCs/>
          <w:sz w:val="20"/>
          <w:szCs w:val="20"/>
        </w:rPr>
        <w:t>t</w:t>
      </w:r>
      <w:r w:rsidRPr="00C23CE5">
        <w:rPr>
          <w:rFonts w:cstheme="minorHAnsi"/>
          <w:i/>
          <w:iCs/>
          <w:spacing w:val="-1"/>
          <w:sz w:val="20"/>
          <w:szCs w:val="20"/>
        </w:rPr>
        <w:t>obe</w:t>
      </w:r>
      <w:r w:rsidRPr="00C23CE5">
        <w:rPr>
          <w:rFonts w:cstheme="minorHAnsi"/>
          <w:i/>
          <w:iCs/>
          <w:sz w:val="20"/>
          <w:szCs w:val="20"/>
        </w:rPr>
        <w:t xml:space="preserve">r </w:t>
      </w:r>
      <w:r w:rsidRPr="00C23CE5">
        <w:rPr>
          <w:rFonts w:cstheme="minorHAnsi"/>
          <w:i/>
          <w:iCs/>
          <w:spacing w:val="-1"/>
          <w:sz w:val="20"/>
          <w:szCs w:val="20"/>
        </w:rPr>
        <w:t>2011</w:t>
      </w:r>
      <w:r w:rsidRPr="00C23CE5">
        <w:rPr>
          <w:rFonts w:cstheme="minorHAnsi"/>
          <w:i/>
          <w:iCs/>
          <w:sz w:val="20"/>
          <w:szCs w:val="20"/>
        </w:rPr>
        <w:t>,</w:t>
      </w:r>
      <w:r w:rsidRPr="00C23CE5">
        <w:rPr>
          <w:rFonts w:cstheme="minorHAnsi"/>
          <w:i/>
          <w:iCs/>
          <w:spacing w:val="-1"/>
          <w:sz w:val="20"/>
          <w:szCs w:val="20"/>
        </w:rPr>
        <w:t xml:space="preserve"> </w:t>
      </w:r>
      <w:r w:rsidRPr="00C23CE5">
        <w:rPr>
          <w:rFonts w:cstheme="minorHAnsi"/>
          <w:i/>
          <w:iCs/>
          <w:sz w:val="20"/>
          <w:szCs w:val="20"/>
        </w:rPr>
        <w:t>TP</w:t>
      </w:r>
      <w:r w:rsidRPr="00C23CE5">
        <w:rPr>
          <w:rFonts w:cstheme="minorHAnsi"/>
          <w:i/>
          <w:iCs/>
          <w:spacing w:val="-1"/>
          <w:sz w:val="20"/>
          <w:szCs w:val="20"/>
        </w:rPr>
        <w:t>-L3</w:t>
      </w:r>
      <w:r w:rsidRPr="00C23CE5">
        <w:rPr>
          <w:rFonts w:cstheme="minorHAnsi"/>
          <w:i/>
          <w:iCs/>
          <w:spacing w:val="-4"/>
          <w:sz w:val="20"/>
          <w:szCs w:val="20"/>
        </w:rPr>
        <w:t>-</w:t>
      </w:r>
      <w:r w:rsidRPr="00C23CE5">
        <w:rPr>
          <w:rFonts w:cstheme="minorHAnsi"/>
          <w:i/>
          <w:iCs/>
          <w:spacing w:val="-1"/>
          <w:sz w:val="20"/>
          <w:szCs w:val="20"/>
        </w:rPr>
        <w:t>410</w:t>
      </w:r>
      <w:r w:rsidRPr="00C23CE5">
        <w:rPr>
          <w:rFonts w:cstheme="minorHAnsi"/>
          <w:i/>
          <w:iCs/>
          <w:sz w:val="20"/>
          <w:szCs w:val="20"/>
        </w:rPr>
        <w:t>.</w:t>
      </w:r>
      <w:r w:rsidRPr="00C23CE5">
        <w:rPr>
          <w:rFonts w:cstheme="minorHAnsi"/>
          <w:b/>
          <w:bCs/>
          <w:spacing w:val="-2"/>
          <w:sz w:val="20"/>
          <w:szCs w:val="20"/>
        </w:rPr>
        <w:t xml:space="preserve"> </w:t>
      </w:r>
      <w:r w:rsidRPr="00C23CE5">
        <w:rPr>
          <w:rFonts w:cstheme="minorHAnsi"/>
          <w:sz w:val="20"/>
          <w:szCs w:val="20"/>
        </w:rPr>
        <w:t xml:space="preserve">Available at: </w:t>
      </w:r>
      <w:hyperlink r:id="rId118" w:history="1">
        <w:r w:rsidRPr="00C23CE5">
          <w:rPr>
            <w:rStyle w:val="Hyperlink"/>
            <w:rFonts w:ascii="Arial" w:hAnsi="Arial" w:cs="Arial"/>
            <w:sz w:val="20"/>
            <w:szCs w:val="20"/>
          </w:rPr>
          <w:t>http://www.bloodsafe.sa.gov.au</w:t>
        </w:r>
      </w:hyperlink>
    </w:p>
    <w:p w:rsidR="00D41B7B" w:rsidRPr="00977787" w:rsidRDefault="00D41B7B" w:rsidP="009136C9">
      <w:pPr>
        <w:kinsoku w:val="0"/>
        <w:overflowPunct w:val="0"/>
        <w:autoSpaceDE w:val="0"/>
        <w:autoSpaceDN w:val="0"/>
        <w:adjustRightInd w:val="0"/>
        <w:spacing w:before="70"/>
        <w:ind w:right="241"/>
        <w:rPr>
          <w:rFonts w:cstheme="minorHAnsi"/>
          <w:b/>
          <w:bCs/>
          <w:spacing w:val="-2"/>
        </w:rPr>
      </w:pPr>
      <w:r w:rsidRPr="00977787">
        <w:rPr>
          <w:rFonts w:cstheme="minorHAnsi"/>
          <w:b/>
          <w:bCs/>
          <w:spacing w:val="-2"/>
        </w:rPr>
        <w:t xml:space="preserve">See </w:t>
      </w:r>
      <w:r w:rsidR="009136C9">
        <w:rPr>
          <w:rFonts w:cstheme="minorHAnsi"/>
          <w:b/>
          <w:bCs/>
          <w:spacing w:val="-2"/>
        </w:rPr>
        <w:t>below</w:t>
      </w:r>
      <w:r w:rsidRPr="00977787">
        <w:rPr>
          <w:rFonts w:cstheme="minorHAnsi"/>
          <w:b/>
          <w:bCs/>
          <w:spacing w:val="-2"/>
        </w:rPr>
        <w:t xml:space="preserve"> for dosing and considerations</w:t>
      </w:r>
    </w:p>
    <w:p w:rsidR="00D41B7B" w:rsidRDefault="00D41B7B" w:rsidP="00252CE7">
      <w:pPr>
        <w:pStyle w:val="ListParagraph"/>
        <w:spacing w:before="240"/>
        <w:rPr>
          <w:rFonts w:ascii="TitilliumText25L" w:hAnsi="TitilliumText25L" w:cs="TitilliumText25L"/>
          <w:color w:val="333740"/>
          <w:sz w:val="28"/>
          <w:szCs w:val="28"/>
        </w:rPr>
      </w:pPr>
      <w:r w:rsidRPr="00252CE7">
        <w:rPr>
          <w:rFonts w:ascii="TitilliumText25L" w:hAnsi="TitilliumText25L" w:cs="TitilliumText25L"/>
          <w:color w:val="333740"/>
          <w:sz w:val="28"/>
          <w:szCs w:val="28"/>
        </w:rPr>
        <w:t>Dosing and considerations:</w:t>
      </w:r>
    </w:p>
    <w:p w:rsidR="00D41B7B" w:rsidRPr="00F158ED" w:rsidRDefault="00D41B7B" w:rsidP="003612E4">
      <w:pPr>
        <w:pStyle w:val="ListParagraph"/>
        <w:numPr>
          <w:ilvl w:val="0"/>
          <w:numId w:val="8"/>
        </w:numPr>
        <w:spacing w:before="120"/>
        <w:ind w:left="714" w:hanging="357"/>
      </w:pPr>
      <w:r w:rsidRPr="00F158ED">
        <w:t>Usual ADULT dose for IDA is around 100–200 mg elemental iron daily in divided doses</w:t>
      </w:r>
    </w:p>
    <w:p w:rsidR="00D41B7B" w:rsidRPr="00F158ED" w:rsidRDefault="00D41B7B" w:rsidP="003612E4">
      <w:pPr>
        <w:pStyle w:val="ListParagraph"/>
        <w:numPr>
          <w:ilvl w:val="0"/>
          <w:numId w:val="8"/>
        </w:numPr>
      </w:pPr>
      <w:r w:rsidRPr="00F158ED">
        <w:t>Ideally give 1 hr before or 2 hrs after food</w:t>
      </w:r>
    </w:p>
    <w:p w:rsidR="00D41B7B" w:rsidRPr="00F158ED" w:rsidRDefault="00D41B7B" w:rsidP="003612E4">
      <w:pPr>
        <w:pStyle w:val="ListParagraph"/>
        <w:numPr>
          <w:ilvl w:val="1"/>
          <w:numId w:val="8"/>
        </w:numPr>
      </w:pPr>
      <w:r w:rsidRPr="00F158ED">
        <w:t>GI upset may be reduced by taking tablet with food or at night &amp; increasing dose gradually</w:t>
      </w:r>
    </w:p>
    <w:p w:rsidR="00D41B7B" w:rsidRPr="00F158ED" w:rsidRDefault="00D41B7B" w:rsidP="003612E4">
      <w:pPr>
        <w:pStyle w:val="ListParagraph"/>
        <w:numPr>
          <w:ilvl w:val="0"/>
          <w:numId w:val="8"/>
        </w:numPr>
      </w:pPr>
      <w:r w:rsidRPr="00F158ED">
        <w:t>Consider giving supplement with Vitamin C (</w:t>
      </w:r>
      <w:proofErr w:type="spellStart"/>
      <w:r w:rsidRPr="00F158ED">
        <w:t>eg</w:t>
      </w:r>
      <w:proofErr w:type="spellEnd"/>
      <w:r w:rsidRPr="00F158ED">
        <w:t>. orange juice) to improve absorption</w:t>
      </w:r>
    </w:p>
    <w:p w:rsidR="00D41B7B" w:rsidRPr="003612E4" w:rsidRDefault="00D41B7B" w:rsidP="003612E4">
      <w:pPr>
        <w:pStyle w:val="ListParagraph"/>
        <w:numPr>
          <w:ilvl w:val="0"/>
          <w:numId w:val="8"/>
        </w:numPr>
        <w:rPr>
          <w:rFonts w:cstheme="minorHAnsi"/>
        </w:rPr>
      </w:pPr>
      <w:r w:rsidRPr="003612E4">
        <w:rPr>
          <w:rFonts w:cstheme="minorHAnsi"/>
          <w:spacing w:val="7"/>
        </w:rPr>
        <w:t>W</w:t>
      </w:r>
      <w:r w:rsidRPr="003612E4">
        <w:rPr>
          <w:rFonts w:cstheme="minorHAnsi"/>
          <w:spacing w:val="-3"/>
        </w:rPr>
        <w:t>h</w:t>
      </w:r>
      <w:r w:rsidRPr="003612E4">
        <w:rPr>
          <w:rFonts w:cstheme="minorHAnsi"/>
          <w:spacing w:val="-1"/>
        </w:rPr>
        <w:t>e</w:t>
      </w:r>
      <w:r w:rsidRPr="003612E4">
        <w:rPr>
          <w:rFonts w:cstheme="minorHAnsi"/>
        </w:rPr>
        <w:t>n</w:t>
      </w:r>
      <w:r w:rsidRPr="003612E4">
        <w:rPr>
          <w:rFonts w:cstheme="minorHAnsi"/>
          <w:spacing w:val="-2"/>
        </w:rPr>
        <w:t xml:space="preserve"> </w:t>
      </w:r>
      <w:r w:rsidRPr="003612E4">
        <w:rPr>
          <w:rFonts w:cstheme="minorHAnsi"/>
        </w:rPr>
        <w:t>a</w:t>
      </w:r>
      <w:r w:rsidRPr="003612E4">
        <w:rPr>
          <w:rFonts w:cstheme="minorHAnsi"/>
          <w:spacing w:val="-2"/>
        </w:rPr>
        <w:t xml:space="preserve"> </w:t>
      </w:r>
      <w:r w:rsidRPr="003612E4">
        <w:rPr>
          <w:rFonts w:cstheme="minorHAnsi"/>
        </w:rPr>
        <w:t>r</w:t>
      </w:r>
      <w:r w:rsidRPr="003612E4">
        <w:rPr>
          <w:rFonts w:cstheme="minorHAnsi"/>
          <w:spacing w:val="-1"/>
        </w:rPr>
        <w:t>ap</w:t>
      </w:r>
      <w:r w:rsidRPr="003612E4">
        <w:rPr>
          <w:rFonts w:cstheme="minorHAnsi"/>
          <w:spacing w:val="-2"/>
        </w:rPr>
        <w:t>i</w:t>
      </w:r>
      <w:r w:rsidRPr="003612E4">
        <w:rPr>
          <w:rFonts w:cstheme="minorHAnsi"/>
        </w:rPr>
        <w:t xml:space="preserve">d </w:t>
      </w:r>
      <w:r w:rsidRPr="003612E4">
        <w:rPr>
          <w:rFonts w:cstheme="minorHAnsi"/>
          <w:spacing w:val="-2"/>
        </w:rPr>
        <w:t>i</w:t>
      </w:r>
      <w:r w:rsidRPr="003612E4">
        <w:rPr>
          <w:rFonts w:cstheme="minorHAnsi"/>
          <w:spacing w:val="-1"/>
        </w:rPr>
        <w:t>nc</w:t>
      </w:r>
      <w:r w:rsidRPr="003612E4">
        <w:rPr>
          <w:rFonts w:cstheme="minorHAnsi"/>
        </w:rPr>
        <w:t>r</w:t>
      </w:r>
      <w:r w:rsidRPr="003612E4">
        <w:rPr>
          <w:rFonts w:cstheme="minorHAnsi"/>
          <w:spacing w:val="-1"/>
        </w:rPr>
        <w:t>eas</w:t>
      </w:r>
      <w:r w:rsidRPr="003612E4">
        <w:rPr>
          <w:rFonts w:cstheme="minorHAnsi"/>
        </w:rPr>
        <w:t>e</w:t>
      </w:r>
      <w:r w:rsidRPr="003612E4">
        <w:rPr>
          <w:rFonts w:cstheme="minorHAnsi"/>
          <w:spacing w:val="-2"/>
        </w:rPr>
        <w:t xml:space="preserve"> i</w:t>
      </w:r>
      <w:r w:rsidRPr="003612E4">
        <w:rPr>
          <w:rFonts w:cstheme="minorHAnsi"/>
        </w:rPr>
        <w:t xml:space="preserve">n </w:t>
      </w:r>
      <w:proofErr w:type="spellStart"/>
      <w:r w:rsidRPr="003612E4">
        <w:rPr>
          <w:rFonts w:cstheme="minorHAnsi"/>
          <w:spacing w:val="-2"/>
        </w:rPr>
        <w:t>H</w:t>
      </w:r>
      <w:r w:rsidRPr="003612E4">
        <w:rPr>
          <w:rFonts w:cstheme="minorHAnsi"/>
        </w:rPr>
        <w:t>b</w:t>
      </w:r>
      <w:proofErr w:type="spellEnd"/>
      <w:r w:rsidRPr="003612E4">
        <w:rPr>
          <w:rFonts w:cstheme="minorHAnsi"/>
        </w:rPr>
        <w:t xml:space="preserve"> </w:t>
      </w:r>
      <w:r w:rsidRPr="003612E4">
        <w:rPr>
          <w:rFonts w:cstheme="minorHAnsi"/>
          <w:spacing w:val="-2"/>
        </w:rPr>
        <w:t>i</w:t>
      </w:r>
      <w:r w:rsidRPr="003612E4">
        <w:rPr>
          <w:rFonts w:cstheme="minorHAnsi"/>
        </w:rPr>
        <w:t>s</w:t>
      </w:r>
      <w:r w:rsidRPr="003612E4">
        <w:rPr>
          <w:rFonts w:cstheme="minorHAnsi"/>
          <w:spacing w:val="-2"/>
        </w:rPr>
        <w:t xml:space="preserve"> </w:t>
      </w:r>
      <w:r w:rsidRPr="003612E4">
        <w:rPr>
          <w:rFonts w:cstheme="minorHAnsi"/>
          <w:spacing w:val="-1"/>
        </w:rPr>
        <w:t>no</w:t>
      </w:r>
      <w:r w:rsidRPr="003612E4">
        <w:rPr>
          <w:rFonts w:cstheme="minorHAnsi"/>
        </w:rPr>
        <w:t>t r</w:t>
      </w:r>
      <w:r w:rsidRPr="003612E4">
        <w:rPr>
          <w:rFonts w:cstheme="minorHAnsi"/>
          <w:spacing w:val="-3"/>
        </w:rPr>
        <w:t>e</w:t>
      </w:r>
      <w:r w:rsidRPr="003612E4">
        <w:rPr>
          <w:rFonts w:cstheme="minorHAnsi"/>
          <w:spacing w:val="1"/>
        </w:rPr>
        <w:t>q</w:t>
      </w:r>
      <w:r w:rsidRPr="003612E4">
        <w:rPr>
          <w:rFonts w:cstheme="minorHAnsi"/>
          <w:spacing w:val="-1"/>
        </w:rPr>
        <w:t>u</w:t>
      </w:r>
      <w:r w:rsidRPr="003612E4">
        <w:rPr>
          <w:rFonts w:cstheme="minorHAnsi"/>
          <w:spacing w:val="-2"/>
        </w:rPr>
        <w:t>i</w:t>
      </w:r>
      <w:r w:rsidRPr="003612E4">
        <w:rPr>
          <w:rFonts w:cstheme="minorHAnsi"/>
        </w:rPr>
        <w:t>r</w:t>
      </w:r>
      <w:r w:rsidRPr="003612E4">
        <w:rPr>
          <w:rFonts w:cstheme="minorHAnsi"/>
          <w:spacing w:val="-1"/>
        </w:rPr>
        <w:t>ed</w:t>
      </w:r>
      <w:r w:rsidRPr="003612E4">
        <w:rPr>
          <w:rFonts w:cstheme="minorHAnsi"/>
        </w:rPr>
        <w:t>,</w:t>
      </w:r>
      <w:r w:rsidRPr="003612E4">
        <w:rPr>
          <w:rFonts w:cstheme="minorHAnsi"/>
          <w:spacing w:val="-1"/>
        </w:rPr>
        <w:t xml:space="preserve"> </w:t>
      </w:r>
      <w:r w:rsidRPr="003612E4">
        <w:rPr>
          <w:rFonts w:cstheme="minorHAnsi"/>
          <w:spacing w:val="-2"/>
        </w:rPr>
        <w:t>i</w:t>
      </w:r>
      <w:r w:rsidRPr="003612E4">
        <w:rPr>
          <w:rFonts w:cstheme="minorHAnsi"/>
          <w:spacing w:val="-1"/>
        </w:rPr>
        <w:t>n</w:t>
      </w:r>
      <w:r w:rsidRPr="003612E4">
        <w:rPr>
          <w:rFonts w:cstheme="minorHAnsi"/>
          <w:spacing w:val="1"/>
        </w:rPr>
        <w:t>t</w:t>
      </w:r>
      <w:r w:rsidRPr="003612E4">
        <w:rPr>
          <w:rFonts w:cstheme="minorHAnsi"/>
          <w:spacing w:val="-1"/>
        </w:rPr>
        <w:t>e</w:t>
      </w:r>
      <w:r w:rsidRPr="003612E4">
        <w:rPr>
          <w:rFonts w:cstheme="minorHAnsi"/>
          <w:spacing w:val="-2"/>
        </w:rPr>
        <w:t>r</w:t>
      </w:r>
      <w:r w:rsidRPr="003612E4">
        <w:rPr>
          <w:rFonts w:cstheme="minorHAnsi"/>
        </w:rPr>
        <w:t>m</w:t>
      </w:r>
      <w:r w:rsidRPr="003612E4">
        <w:rPr>
          <w:rFonts w:cstheme="minorHAnsi"/>
          <w:spacing w:val="-2"/>
        </w:rPr>
        <w:t>it</w:t>
      </w:r>
      <w:r w:rsidRPr="003612E4">
        <w:rPr>
          <w:rFonts w:cstheme="minorHAnsi"/>
          <w:spacing w:val="1"/>
        </w:rPr>
        <w:t>t</w:t>
      </w:r>
      <w:r w:rsidRPr="003612E4">
        <w:rPr>
          <w:rFonts w:cstheme="minorHAnsi"/>
          <w:spacing w:val="-1"/>
        </w:rPr>
        <w:t>en</w:t>
      </w:r>
      <w:r w:rsidRPr="003612E4">
        <w:rPr>
          <w:rFonts w:cstheme="minorHAnsi"/>
        </w:rPr>
        <w:t>t</w:t>
      </w:r>
      <w:r w:rsidRPr="003612E4">
        <w:rPr>
          <w:rFonts w:cstheme="minorHAnsi"/>
          <w:spacing w:val="-1"/>
        </w:rPr>
        <w:t xml:space="preserve"> do</w:t>
      </w:r>
      <w:r w:rsidRPr="003612E4">
        <w:rPr>
          <w:rFonts w:cstheme="minorHAnsi"/>
          <w:spacing w:val="-3"/>
        </w:rPr>
        <w:t>s</w:t>
      </w:r>
      <w:r w:rsidRPr="003612E4">
        <w:rPr>
          <w:rFonts w:cstheme="minorHAnsi"/>
          <w:spacing w:val="-2"/>
        </w:rPr>
        <w:t>i</w:t>
      </w:r>
      <w:r w:rsidRPr="003612E4">
        <w:rPr>
          <w:rFonts w:cstheme="minorHAnsi"/>
          <w:spacing w:val="-1"/>
        </w:rPr>
        <w:t>n</w:t>
      </w:r>
      <w:r w:rsidRPr="003612E4">
        <w:rPr>
          <w:rFonts w:cstheme="minorHAnsi"/>
        </w:rPr>
        <w:t>g (1</w:t>
      </w:r>
      <w:r w:rsidRPr="003612E4">
        <w:rPr>
          <w:rFonts w:cstheme="minorHAnsi"/>
          <w:spacing w:val="-2"/>
        </w:rPr>
        <w:t xml:space="preserve"> </w:t>
      </w:r>
      <w:r w:rsidRPr="003612E4">
        <w:rPr>
          <w:rFonts w:cstheme="minorHAnsi"/>
          <w:spacing w:val="1"/>
        </w:rPr>
        <w:t>t</w:t>
      </w:r>
      <w:r w:rsidRPr="003612E4">
        <w:rPr>
          <w:rFonts w:cstheme="minorHAnsi"/>
          <w:spacing w:val="-1"/>
        </w:rPr>
        <w:t>ab</w:t>
      </w:r>
      <w:r w:rsidRPr="003612E4">
        <w:rPr>
          <w:rFonts w:cstheme="minorHAnsi"/>
          <w:spacing w:val="-2"/>
        </w:rPr>
        <w:t>l</w:t>
      </w:r>
      <w:r w:rsidRPr="003612E4">
        <w:rPr>
          <w:rFonts w:cstheme="minorHAnsi"/>
          <w:spacing w:val="-1"/>
        </w:rPr>
        <w:t>e</w:t>
      </w:r>
      <w:r w:rsidRPr="003612E4">
        <w:rPr>
          <w:rFonts w:cstheme="minorHAnsi"/>
        </w:rPr>
        <w:t>t</w:t>
      </w:r>
      <w:r w:rsidRPr="003612E4">
        <w:rPr>
          <w:rFonts w:cstheme="minorHAnsi"/>
          <w:spacing w:val="2"/>
        </w:rPr>
        <w:t xml:space="preserve"> </w:t>
      </w:r>
      <w:r w:rsidRPr="003612E4">
        <w:rPr>
          <w:rFonts w:cstheme="minorHAnsi"/>
          <w:spacing w:val="-3"/>
        </w:rPr>
        <w:t>2</w:t>
      </w:r>
      <w:r w:rsidRPr="003612E4">
        <w:rPr>
          <w:rFonts w:cstheme="minorHAnsi"/>
          <w:spacing w:val="-1"/>
        </w:rPr>
        <w:t>–</w:t>
      </w:r>
      <w:r w:rsidRPr="003612E4">
        <w:rPr>
          <w:rFonts w:cstheme="minorHAnsi"/>
        </w:rPr>
        <w:t>3</w:t>
      </w:r>
      <w:r w:rsidRPr="003612E4">
        <w:rPr>
          <w:rFonts w:cstheme="minorHAnsi"/>
          <w:spacing w:val="-2"/>
        </w:rPr>
        <w:t xml:space="preserve"> </w:t>
      </w:r>
      <w:r w:rsidRPr="003612E4">
        <w:rPr>
          <w:rFonts w:cstheme="minorHAnsi"/>
          <w:spacing w:val="1"/>
        </w:rPr>
        <w:t>t</w:t>
      </w:r>
      <w:r w:rsidRPr="003612E4">
        <w:rPr>
          <w:rFonts w:cstheme="minorHAnsi"/>
          <w:spacing w:val="-2"/>
        </w:rPr>
        <w:t>i</w:t>
      </w:r>
      <w:r w:rsidRPr="003612E4">
        <w:rPr>
          <w:rFonts w:cstheme="minorHAnsi"/>
        </w:rPr>
        <w:t>m</w:t>
      </w:r>
      <w:r w:rsidRPr="003612E4">
        <w:rPr>
          <w:rFonts w:cstheme="minorHAnsi"/>
          <w:spacing w:val="-1"/>
        </w:rPr>
        <w:t>e</w:t>
      </w:r>
      <w:r w:rsidRPr="003612E4">
        <w:rPr>
          <w:rFonts w:cstheme="minorHAnsi"/>
        </w:rPr>
        <w:t>s</w:t>
      </w:r>
      <w:r w:rsidRPr="003612E4">
        <w:rPr>
          <w:rFonts w:cstheme="minorHAnsi"/>
          <w:spacing w:val="-2"/>
        </w:rPr>
        <w:t xml:space="preserve"> </w:t>
      </w:r>
      <w:r w:rsidRPr="003612E4">
        <w:rPr>
          <w:rFonts w:cstheme="minorHAnsi"/>
        </w:rPr>
        <w:t>a</w:t>
      </w:r>
      <w:r w:rsidRPr="003612E4">
        <w:rPr>
          <w:rFonts w:cstheme="minorHAnsi"/>
          <w:spacing w:val="-2"/>
        </w:rPr>
        <w:t xml:space="preserve"> </w:t>
      </w:r>
      <w:r w:rsidRPr="003612E4">
        <w:rPr>
          <w:rFonts w:cstheme="minorHAnsi"/>
          <w:spacing w:val="-4"/>
        </w:rPr>
        <w:t>w</w:t>
      </w:r>
      <w:r w:rsidRPr="003612E4">
        <w:rPr>
          <w:rFonts w:cstheme="minorHAnsi"/>
          <w:spacing w:val="-1"/>
        </w:rPr>
        <w:t>ee</w:t>
      </w:r>
      <w:r w:rsidRPr="003612E4">
        <w:rPr>
          <w:rFonts w:cstheme="minorHAnsi"/>
          <w:spacing w:val="2"/>
        </w:rPr>
        <w:t>k</w:t>
      </w:r>
      <w:r w:rsidRPr="003612E4">
        <w:rPr>
          <w:rFonts w:cstheme="minorHAnsi"/>
        </w:rPr>
        <w:t>)</w:t>
      </w:r>
      <w:r w:rsidRPr="003612E4">
        <w:rPr>
          <w:rFonts w:cstheme="minorHAnsi"/>
          <w:spacing w:val="2"/>
        </w:rPr>
        <w:t xml:space="preserve"> </w:t>
      </w:r>
      <w:r w:rsidRPr="003612E4">
        <w:rPr>
          <w:rFonts w:cstheme="minorHAnsi"/>
          <w:spacing w:val="-1"/>
        </w:rPr>
        <w:t>o</w:t>
      </w:r>
      <w:r w:rsidRPr="003612E4">
        <w:rPr>
          <w:rFonts w:cstheme="minorHAnsi"/>
        </w:rPr>
        <w:t>r</w:t>
      </w:r>
      <w:r w:rsidRPr="003612E4">
        <w:rPr>
          <w:rFonts w:cstheme="minorHAnsi"/>
          <w:spacing w:val="-1"/>
        </w:rPr>
        <w:t xml:space="preserve"> </w:t>
      </w:r>
      <w:r w:rsidRPr="003612E4">
        <w:rPr>
          <w:rFonts w:cstheme="minorHAnsi"/>
          <w:spacing w:val="-2"/>
        </w:rPr>
        <w:t>l</w:t>
      </w:r>
      <w:r w:rsidRPr="003612E4">
        <w:rPr>
          <w:rFonts w:cstheme="minorHAnsi"/>
          <w:spacing w:val="-1"/>
        </w:rPr>
        <w:t>o</w:t>
      </w:r>
      <w:r w:rsidRPr="003612E4">
        <w:rPr>
          <w:rFonts w:cstheme="minorHAnsi"/>
          <w:spacing w:val="-4"/>
        </w:rPr>
        <w:t>w</w:t>
      </w:r>
      <w:r w:rsidRPr="003612E4">
        <w:rPr>
          <w:rFonts w:cstheme="minorHAnsi"/>
          <w:spacing w:val="-1"/>
        </w:rPr>
        <w:t>e</w:t>
      </w:r>
      <w:r w:rsidRPr="003612E4">
        <w:rPr>
          <w:rFonts w:cstheme="minorHAnsi"/>
        </w:rPr>
        <w:t>r</w:t>
      </w:r>
      <w:r w:rsidRPr="003612E4">
        <w:rPr>
          <w:rFonts w:cstheme="minorHAnsi"/>
          <w:spacing w:val="2"/>
        </w:rPr>
        <w:t xml:space="preserve"> </w:t>
      </w:r>
      <w:r w:rsidRPr="003612E4">
        <w:rPr>
          <w:rFonts w:cstheme="minorHAnsi"/>
          <w:spacing w:val="-1"/>
        </w:rPr>
        <w:t>dose</w:t>
      </w:r>
      <w:r w:rsidRPr="003612E4">
        <w:rPr>
          <w:rFonts w:cstheme="minorHAnsi"/>
        </w:rPr>
        <w:t>s</w:t>
      </w:r>
      <w:r w:rsidRPr="003612E4">
        <w:rPr>
          <w:rFonts w:cstheme="minorHAnsi"/>
          <w:spacing w:val="1"/>
        </w:rPr>
        <w:t xml:space="preserve"> </w:t>
      </w:r>
      <w:r w:rsidRPr="003612E4">
        <w:rPr>
          <w:rFonts w:cstheme="minorHAnsi"/>
          <w:spacing w:val="-3"/>
        </w:rPr>
        <w:t>o</w:t>
      </w:r>
      <w:r w:rsidRPr="003612E4">
        <w:rPr>
          <w:rFonts w:cstheme="minorHAnsi"/>
        </w:rPr>
        <w:t>f</w:t>
      </w:r>
      <w:r w:rsidRPr="003612E4">
        <w:rPr>
          <w:rFonts w:cstheme="minorHAnsi"/>
          <w:spacing w:val="2"/>
        </w:rPr>
        <w:t xml:space="preserve"> </w:t>
      </w:r>
      <w:r w:rsidRPr="003612E4">
        <w:rPr>
          <w:rFonts w:cstheme="minorHAnsi"/>
          <w:spacing w:val="-4"/>
        </w:rPr>
        <w:t>i</w:t>
      </w:r>
      <w:r w:rsidRPr="003612E4">
        <w:rPr>
          <w:rFonts w:cstheme="minorHAnsi"/>
        </w:rPr>
        <w:t>r</w:t>
      </w:r>
      <w:r w:rsidRPr="003612E4">
        <w:rPr>
          <w:rFonts w:cstheme="minorHAnsi"/>
          <w:spacing w:val="-1"/>
        </w:rPr>
        <w:t>o</w:t>
      </w:r>
      <w:r w:rsidRPr="003612E4">
        <w:rPr>
          <w:rFonts w:cstheme="minorHAnsi"/>
        </w:rPr>
        <w:t>n</w:t>
      </w:r>
      <w:r w:rsidRPr="003612E4">
        <w:rPr>
          <w:rFonts w:cstheme="minorHAnsi"/>
          <w:spacing w:val="-2"/>
        </w:rPr>
        <w:t xml:space="preserve"> </w:t>
      </w:r>
      <w:r w:rsidRPr="003612E4">
        <w:rPr>
          <w:rFonts w:cstheme="minorHAnsi"/>
        </w:rPr>
        <w:t>(</w:t>
      </w:r>
      <w:r w:rsidRPr="003612E4">
        <w:rPr>
          <w:rFonts w:cstheme="minorHAnsi"/>
          <w:spacing w:val="-1"/>
        </w:rPr>
        <w:t>e</w:t>
      </w:r>
      <w:r w:rsidRPr="003612E4">
        <w:rPr>
          <w:rFonts w:cstheme="minorHAnsi"/>
          <w:spacing w:val="-2"/>
        </w:rPr>
        <w:t>.</w:t>
      </w:r>
      <w:r w:rsidRPr="003612E4">
        <w:rPr>
          <w:rFonts w:cstheme="minorHAnsi"/>
          <w:spacing w:val="-1"/>
        </w:rPr>
        <w:t>g</w:t>
      </w:r>
      <w:r w:rsidRPr="003612E4">
        <w:rPr>
          <w:rFonts w:cstheme="minorHAnsi"/>
        </w:rPr>
        <w:t>.</w:t>
      </w:r>
      <w:r w:rsidRPr="003612E4">
        <w:rPr>
          <w:rFonts w:cstheme="minorHAnsi"/>
          <w:spacing w:val="2"/>
        </w:rPr>
        <w:t xml:space="preserve"> </w:t>
      </w:r>
      <w:r w:rsidRPr="003612E4">
        <w:rPr>
          <w:rFonts w:cstheme="minorHAnsi"/>
          <w:spacing w:val="-1"/>
        </w:rPr>
        <w:t>30–6</w:t>
      </w:r>
      <w:r w:rsidRPr="003612E4">
        <w:rPr>
          <w:rFonts w:cstheme="minorHAnsi"/>
        </w:rPr>
        <w:t>0</w:t>
      </w:r>
      <w:r w:rsidRPr="003612E4">
        <w:rPr>
          <w:rFonts w:cstheme="minorHAnsi"/>
          <w:spacing w:val="-2"/>
        </w:rPr>
        <w:t xml:space="preserve"> m</w:t>
      </w:r>
      <w:r w:rsidRPr="003612E4">
        <w:rPr>
          <w:rFonts w:cstheme="minorHAnsi"/>
        </w:rPr>
        <w:t xml:space="preserve">g </w:t>
      </w:r>
      <w:r w:rsidRPr="003612E4">
        <w:rPr>
          <w:rFonts w:cstheme="minorHAnsi"/>
          <w:spacing w:val="-3"/>
        </w:rPr>
        <w:t>o</w:t>
      </w:r>
      <w:r w:rsidRPr="003612E4">
        <w:rPr>
          <w:rFonts w:cstheme="minorHAnsi"/>
        </w:rPr>
        <w:t>f</w:t>
      </w:r>
      <w:r w:rsidRPr="003612E4">
        <w:rPr>
          <w:rFonts w:cstheme="minorHAnsi"/>
          <w:spacing w:val="2"/>
        </w:rPr>
        <w:t xml:space="preserve"> </w:t>
      </w:r>
      <w:r w:rsidRPr="003612E4">
        <w:rPr>
          <w:rFonts w:cstheme="minorHAnsi"/>
          <w:spacing w:val="-1"/>
        </w:rPr>
        <w:t>e</w:t>
      </w:r>
      <w:r w:rsidRPr="003612E4">
        <w:rPr>
          <w:rFonts w:cstheme="minorHAnsi"/>
          <w:spacing w:val="-4"/>
        </w:rPr>
        <w:t>l</w:t>
      </w:r>
      <w:r w:rsidRPr="003612E4">
        <w:rPr>
          <w:rFonts w:cstheme="minorHAnsi"/>
          <w:spacing w:val="-1"/>
        </w:rPr>
        <w:t>e</w:t>
      </w:r>
      <w:r w:rsidRPr="003612E4">
        <w:rPr>
          <w:rFonts w:cstheme="minorHAnsi"/>
        </w:rPr>
        <w:t>m</w:t>
      </w:r>
      <w:r w:rsidRPr="003612E4">
        <w:rPr>
          <w:rFonts w:cstheme="minorHAnsi"/>
          <w:spacing w:val="-1"/>
        </w:rPr>
        <w:t>en</w:t>
      </w:r>
      <w:r w:rsidRPr="003612E4">
        <w:rPr>
          <w:rFonts w:cstheme="minorHAnsi"/>
          <w:spacing w:val="1"/>
        </w:rPr>
        <w:t>t</w:t>
      </w:r>
      <w:r w:rsidRPr="003612E4">
        <w:rPr>
          <w:rFonts w:cstheme="minorHAnsi"/>
          <w:spacing w:val="-1"/>
        </w:rPr>
        <w:t>a</w:t>
      </w:r>
      <w:r w:rsidRPr="003612E4">
        <w:rPr>
          <w:rFonts w:cstheme="minorHAnsi"/>
        </w:rPr>
        <w:t xml:space="preserve">l </w:t>
      </w:r>
      <w:r w:rsidRPr="003612E4">
        <w:rPr>
          <w:rFonts w:cstheme="minorHAnsi"/>
          <w:spacing w:val="-2"/>
        </w:rPr>
        <w:t>ir</w:t>
      </w:r>
      <w:r w:rsidRPr="003612E4">
        <w:rPr>
          <w:rFonts w:cstheme="minorHAnsi"/>
          <w:spacing w:val="-1"/>
        </w:rPr>
        <w:t>on</w:t>
      </w:r>
      <w:r w:rsidRPr="003612E4">
        <w:rPr>
          <w:rFonts w:cstheme="minorHAnsi"/>
        </w:rPr>
        <w:t>,</w:t>
      </w:r>
      <w:r w:rsidRPr="003612E4">
        <w:rPr>
          <w:rFonts w:cstheme="minorHAnsi"/>
          <w:spacing w:val="-1"/>
        </w:rPr>
        <w:t xml:space="preserve"> </w:t>
      </w:r>
      <w:r w:rsidRPr="003612E4">
        <w:rPr>
          <w:rFonts w:cstheme="minorHAnsi"/>
          <w:spacing w:val="-2"/>
        </w:rPr>
        <w:t>i</w:t>
      </w:r>
      <w:r w:rsidRPr="003612E4">
        <w:rPr>
          <w:rFonts w:cstheme="minorHAnsi"/>
          <w:spacing w:val="-1"/>
        </w:rPr>
        <w:t>nc</w:t>
      </w:r>
      <w:r w:rsidRPr="003612E4">
        <w:rPr>
          <w:rFonts w:cstheme="minorHAnsi"/>
        </w:rPr>
        <w:t>r</w:t>
      </w:r>
      <w:r w:rsidRPr="003612E4">
        <w:rPr>
          <w:rFonts w:cstheme="minorHAnsi"/>
          <w:spacing w:val="-1"/>
        </w:rPr>
        <w:t>eas</w:t>
      </w:r>
      <w:r w:rsidRPr="003612E4">
        <w:rPr>
          <w:rFonts w:cstheme="minorHAnsi"/>
          <w:spacing w:val="-2"/>
        </w:rPr>
        <w:t>i</w:t>
      </w:r>
      <w:r w:rsidRPr="003612E4">
        <w:rPr>
          <w:rFonts w:cstheme="minorHAnsi"/>
          <w:spacing w:val="-3"/>
        </w:rPr>
        <w:t>n</w:t>
      </w:r>
      <w:r w:rsidRPr="003612E4">
        <w:rPr>
          <w:rFonts w:cstheme="minorHAnsi"/>
        </w:rPr>
        <w:t xml:space="preserve">g </w:t>
      </w:r>
      <w:r w:rsidRPr="003612E4">
        <w:rPr>
          <w:rFonts w:cstheme="minorHAnsi"/>
          <w:spacing w:val="1"/>
        </w:rPr>
        <w:t>t</w:t>
      </w:r>
      <w:r w:rsidRPr="003612E4">
        <w:rPr>
          <w:rFonts w:cstheme="minorHAnsi"/>
        </w:rPr>
        <w:t>o</w:t>
      </w:r>
      <w:r w:rsidRPr="003612E4">
        <w:rPr>
          <w:rFonts w:cstheme="minorHAnsi"/>
          <w:spacing w:val="-2"/>
        </w:rPr>
        <w:t xml:space="preserve"> </w:t>
      </w:r>
      <w:r w:rsidRPr="003612E4">
        <w:rPr>
          <w:rFonts w:cstheme="minorHAnsi"/>
          <w:spacing w:val="1"/>
        </w:rPr>
        <w:t>t</w:t>
      </w:r>
      <w:r w:rsidRPr="003612E4">
        <w:rPr>
          <w:rFonts w:cstheme="minorHAnsi"/>
          <w:spacing w:val="-4"/>
        </w:rPr>
        <w:t>w</w:t>
      </w:r>
      <w:r w:rsidRPr="003612E4">
        <w:rPr>
          <w:rFonts w:cstheme="minorHAnsi"/>
          <w:spacing w:val="-2"/>
        </w:rPr>
        <w:t>i</w:t>
      </w:r>
      <w:r w:rsidRPr="003612E4">
        <w:rPr>
          <w:rFonts w:cstheme="minorHAnsi"/>
          <w:spacing w:val="-1"/>
        </w:rPr>
        <w:t>c</w:t>
      </w:r>
      <w:r w:rsidRPr="003612E4">
        <w:rPr>
          <w:rFonts w:cstheme="minorHAnsi"/>
        </w:rPr>
        <w:t xml:space="preserve">e </w:t>
      </w:r>
      <w:r w:rsidRPr="003612E4">
        <w:rPr>
          <w:rFonts w:cstheme="minorHAnsi"/>
          <w:spacing w:val="-1"/>
        </w:rPr>
        <w:t>da</w:t>
      </w:r>
      <w:r w:rsidRPr="003612E4">
        <w:rPr>
          <w:rFonts w:cstheme="minorHAnsi"/>
          <w:spacing w:val="-2"/>
        </w:rPr>
        <w:t>i</w:t>
      </w:r>
      <w:r w:rsidRPr="003612E4">
        <w:rPr>
          <w:rFonts w:cstheme="minorHAnsi"/>
          <w:spacing w:val="1"/>
        </w:rPr>
        <w:t>l</w:t>
      </w:r>
      <w:r w:rsidRPr="003612E4">
        <w:rPr>
          <w:rFonts w:cstheme="minorHAnsi"/>
        </w:rPr>
        <w:t>y</w:t>
      </w:r>
      <w:r w:rsidRPr="003612E4">
        <w:rPr>
          <w:rFonts w:cstheme="minorHAnsi"/>
          <w:spacing w:val="-2"/>
        </w:rPr>
        <w:t xml:space="preserve"> </w:t>
      </w:r>
      <w:r w:rsidRPr="003612E4">
        <w:rPr>
          <w:rFonts w:cstheme="minorHAnsi"/>
          <w:spacing w:val="-1"/>
        </w:rPr>
        <w:t>o</w:t>
      </w:r>
      <w:r w:rsidRPr="003612E4">
        <w:rPr>
          <w:rFonts w:cstheme="minorHAnsi"/>
        </w:rPr>
        <w:t>r</w:t>
      </w:r>
      <w:r w:rsidRPr="003612E4">
        <w:rPr>
          <w:rFonts w:cstheme="minorHAnsi"/>
          <w:spacing w:val="2"/>
        </w:rPr>
        <w:t xml:space="preserve"> </w:t>
      </w:r>
      <w:r w:rsidRPr="003612E4">
        <w:rPr>
          <w:rFonts w:cstheme="minorHAnsi"/>
          <w:spacing w:val="1"/>
        </w:rPr>
        <w:t>t</w:t>
      </w:r>
      <w:r w:rsidRPr="003612E4">
        <w:rPr>
          <w:rFonts w:cstheme="minorHAnsi"/>
          <w:spacing w:val="-3"/>
        </w:rPr>
        <w:t>h</w:t>
      </w:r>
      <w:r w:rsidRPr="003612E4">
        <w:rPr>
          <w:rFonts w:cstheme="minorHAnsi"/>
        </w:rPr>
        <w:t>r</w:t>
      </w:r>
      <w:r w:rsidRPr="003612E4">
        <w:rPr>
          <w:rFonts w:cstheme="minorHAnsi"/>
          <w:spacing w:val="-1"/>
        </w:rPr>
        <w:t>e</w:t>
      </w:r>
      <w:r w:rsidRPr="003612E4">
        <w:rPr>
          <w:rFonts w:cstheme="minorHAnsi"/>
        </w:rPr>
        <w:t>e</w:t>
      </w:r>
      <w:r w:rsidRPr="003612E4">
        <w:rPr>
          <w:rFonts w:cstheme="minorHAnsi"/>
          <w:spacing w:val="-2"/>
        </w:rPr>
        <w:t xml:space="preserve"> </w:t>
      </w:r>
      <w:r w:rsidRPr="003612E4">
        <w:rPr>
          <w:rFonts w:cstheme="minorHAnsi"/>
          <w:spacing w:val="1"/>
        </w:rPr>
        <w:t>t</w:t>
      </w:r>
      <w:r w:rsidRPr="003612E4">
        <w:rPr>
          <w:rFonts w:cstheme="minorHAnsi"/>
          <w:spacing w:val="-2"/>
        </w:rPr>
        <w:t>im</w:t>
      </w:r>
      <w:r w:rsidRPr="003612E4">
        <w:rPr>
          <w:rFonts w:cstheme="minorHAnsi"/>
          <w:spacing w:val="-1"/>
        </w:rPr>
        <w:t>e</w:t>
      </w:r>
      <w:r w:rsidRPr="003612E4">
        <w:rPr>
          <w:rFonts w:cstheme="minorHAnsi"/>
        </w:rPr>
        <w:t>s</w:t>
      </w:r>
      <w:r w:rsidRPr="003612E4">
        <w:rPr>
          <w:rFonts w:cstheme="minorHAnsi"/>
          <w:spacing w:val="1"/>
        </w:rPr>
        <w:t xml:space="preserve"> </w:t>
      </w:r>
      <w:r w:rsidRPr="003612E4">
        <w:rPr>
          <w:rFonts w:cstheme="minorHAnsi"/>
        </w:rPr>
        <w:t xml:space="preserve">a </w:t>
      </w:r>
      <w:r w:rsidRPr="003612E4">
        <w:rPr>
          <w:rFonts w:cstheme="minorHAnsi"/>
          <w:spacing w:val="-1"/>
        </w:rPr>
        <w:t>da</w:t>
      </w:r>
      <w:r w:rsidRPr="003612E4">
        <w:rPr>
          <w:rFonts w:cstheme="minorHAnsi"/>
        </w:rPr>
        <w:t>y</w:t>
      </w:r>
      <w:r w:rsidRPr="003612E4">
        <w:rPr>
          <w:rFonts w:cstheme="minorHAnsi"/>
          <w:spacing w:val="-2"/>
        </w:rPr>
        <w:t xml:space="preserve"> i</w:t>
      </w:r>
      <w:r w:rsidRPr="003612E4">
        <w:rPr>
          <w:rFonts w:cstheme="minorHAnsi"/>
        </w:rPr>
        <w:t>f</w:t>
      </w:r>
      <w:r w:rsidRPr="003612E4">
        <w:rPr>
          <w:rFonts w:cstheme="minorHAnsi"/>
          <w:spacing w:val="2"/>
        </w:rPr>
        <w:t xml:space="preserve"> </w:t>
      </w:r>
      <w:r w:rsidRPr="003612E4">
        <w:rPr>
          <w:rFonts w:cstheme="minorHAnsi"/>
          <w:spacing w:val="1"/>
        </w:rPr>
        <w:t>t</w:t>
      </w:r>
      <w:r w:rsidRPr="003612E4">
        <w:rPr>
          <w:rFonts w:cstheme="minorHAnsi"/>
          <w:spacing w:val="-1"/>
        </w:rPr>
        <w:t>o</w:t>
      </w:r>
      <w:r w:rsidRPr="003612E4">
        <w:rPr>
          <w:rFonts w:cstheme="minorHAnsi"/>
          <w:spacing w:val="-2"/>
        </w:rPr>
        <w:t>l</w:t>
      </w:r>
      <w:r w:rsidRPr="003612E4">
        <w:rPr>
          <w:rFonts w:cstheme="minorHAnsi"/>
          <w:spacing w:val="-1"/>
        </w:rPr>
        <w:t>e</w:t>
      </w:r>
      <w:r w:rsidRPr="003612E4">
        <w:rPr>
          <w:rFonts w:cstheme="minorHAnsi"/>
        </w:rPr>
        <w:t>r</w:t>
      </w:r>
      <w:r w:rsidRPr="003612E4">
        <w:rPr>
          <w:rFonts w:cstheme="minorHAnsi"/>
          <w:spacing w:val="-3"/>
        </w:rPr>
        <w:t>a</w:t>
      </w:r>
      <w:r w:rsidRPr="003612E4">
        <w:rPr>
          <w:rFonts w:cstheme="minorHAnsi"/>
          <w:spacing w:val="1"/>
        </w:rPr>
        <w:t>t</w:t>
      </w:r>
      <w:r w:rsidRPr="003612E4">
        <w:rPr>
          <w:rFonts w:cstheme="minorHAnsi"/>
          <w:spacing w:val="-1"/>
        </w:rPr>
        <w:t>ed</w:t>
      </w:r>
      <w:r w:rsidRPr="003612E4">
        <w:rPr>
          <w:rFonts w:cstheme="minorHAnsi"/>
        </w:rPr>
        <w:t>:</w:t>
      </w:r>
      <w:r w:rsidRPr="003612E4">
        <w:rPr>
          <w:rFonts w:cstheme="minorHAnsi"/>
          <w:spacing w:val="-1"/>
        </w:rPr>
        <w:t xml:space="preserve"> </w:t>
      </w:r>
      <w:r w:rsidRPr="003612E4">
        <w:rPr>
          <w:rFonts w:cstheme="minorHAnsi"/>
          <w:spacing w:val="-2"/>
        </w:rPr>
        <w:t>t</w:t>
      </w:r>
      <w:r w:rsidRPr="003612E4">
        <w:rPr>
          <w:rFonts w:cstheme="minorHAnsi"/>
        </w:rPr>
        <w:t>ry</w:t>
      </w:r>
      <w:r w:rsidRPr="003612E4">
        <w:rPr>
          <w:rFonts w:cstheme="minorHAnsi"/>
          <w:spacing w:val="-2"/>
        </w:rPr>
        <w:t xml:space="preserve"> </w:t>
      </w:r>
      <w:r w:rsidRPr="003612E4">
        <w:rPr>
          <w:rFonts w:cstheme="minorHAnsi"/>
          <w:spacing w:val="-1"/>
        </w:rPr>
        <w:t>Fe</w:t>
      </w:r>
      <w:r w:rsidRPr="003612E4">
        <w:rPr>
          <w:rFonts w:cstheme="minorHAnsi"/>
        </w:rPr>
        <w:t>rr</w:t>
      </w:r>
      <w:r w:rsidRPr="003612E4">
        <w:rPr>
          <w:rFonts w:cstheme="minorHAnsi"/>
          <w:spacing w:val="-3"/>
        </w:rPr>
        <w:t>o</w:t>
      </w:r>
      <w:r w:rsidRPr="003612E4">
        <w:rPr>
          <w:rFonts w:cstheme="minorHAnsi"/>
        </w:rPr>
        <w:t>-</w:t>
      </w:r>
      <w:r w:rsidRPr="003612E4">
        <w:rPr>
          <w:rFonts w:cstheme="minorHAnsi"/>
          <w:spacing w:val="1"/>
        </w:rPr>
        <w:t>t</w:t>
      </w:r>
      <w:r w:rsidRPr="003612E4">
        <w:rPr>
          <w:rFonts w:cstheme="minorHAnsi"/>
          <w:spacing w:val="-1"/>
        </w:rPr>
        <w:t>ab</w:t>
      </w:r>
      <w:r w:rsidRPr="003612E4">
        <w:rPr>
          <w:rFonts w:cstheme="minorHAnsi"/>
        </w:rPr>
        <w:t>s</w:t>
      </w:r>
      <w:r w:rsidRPr="003612E4">
        <w:rPr>
          <w:rFonts w:cstheme="minorHAnsi"/>
          <w:spacing w:val="-2"/>
        </w:rPr>
        <w:t xml:space="preserve"> </w:t>
      </w:r>
      <w:r w:rsidRPr="003612E4">
        <w:rPr>
          <w:rFonts w:cstheme="minorHAnsi"/>
          <w:spacing w:val="-1"/>
        </w:rPr>
        <w:t>o</w:t>
      </w:r>
      <w:r w:rsidRPr="003612E4">
        <w:rPr>
          <w:rFonts w:cstheme="minorHAnsi"/>
        </w:rPr>
        <w:t>r</w:t>
      </w:r>
      <w:r w:rsidRPr="003612E4">
        <w:rPr>
          <w:rFonts w:cstheme="minorHAnsi"/>
          <w:spacing w:val="-1"/>
        </w:rPr>
        <w:t xml:space="preserve"> </w:t>
      </w:r>
      <w:r w:rsidRPr="003612E4">
        <w:rPr>
          <w:rFonts w:cstheme="minorHAnsi"/>
          <w:spacing w:val="1"/>
        </w:rPr>
        <w:t>t</w:t>
      </w:r>
      <w:r w:rsidRPr="003612E4">
        <w:rPr>
          <w:rFonts w:cstheme="minorHAnsi"/>
          <w:spacing w:val="-2"/>
        </w:rPr>
        <w:t>it</w:t>
      </w:r>
      <w:r w:rsidRPr="003612E4">
        <w:rPr>
          <w:rFonts w:cstheme="minorHAnsi"/>
        </w:rPr>
        <w:t>r</w:t>
      </w:r>
      <w:r w:rsidRPr="003612E4">
        <w:rPr>
          <w:rFonts w:cstheme="minorHAnsi"/>
          <w:spacing w:val="-1"/>
        </w:rPr>
        <w:t>a</w:t>
      </w:r>
      <w:r w:rsidRPr="003612E4">
        <w:rPr>
          <w:rFonts w:cstheme="minorHAnsi"/>
          <w:spacing w:val="1"/>
        </w:rPr>
        <w:t>t</w:t>
      </w:r>
      <w:r w:rsidRPr="003612E4">
        <w:rPr>
          <w:rFonts w:cstheme="minorHAnsi"/>
        </w:rPr>
        <w:t>e</w:t>
      </w:r>
      <w:r w:rsidRPr="003612E4">
        <w:rPr>
          <w:rFonts w:cstheme="minorHAnsi"/>
          <w:spacing w:val="-2"/>
        </w:rPr>
        <w:t xml:space="preserve"> li</w:t>
      </w:r>
      <w:r w:rsidRPr="003612E4">
        <w:rPr>
          <w:rFonts w:cstheme="minorHAnsi"/>
          <w:spacing w:val="1"/>
        </w:rPr>
        <w:t>q</w:t>
      </w:r>
      <w:r w:rsidRPr="003612E4">
        <w:rPr>
          <w:rFonts w:cstheme="minorHAnsi"/>
          <w:spacing w:val="-1"/>
        </w:rPr>
        <w:t>u</w:t>
      </w:r>
      <w:r w:rsidRPr="003612E4">
        <w:rPr>
          <w:rFonts w:cstheme="minorHAnsi"/>
          <w:spacing w:val="-2"/>
        </w:rPr>
        <w:t>i</w:t>
      </w:r>
      <w:r w:rsidRPr="003612E4">
        <w:rPr>
          <w:rFonts w:cstheme="minorHAnsi"/>
          <w:spacing w:val="-1"/>
        </w:rPr>
        <w:t>d</w:t>
      </w:r>
      <w:r w:rsidRPr="003612E4">
        <w:rPr>
          <w:rFonts w:cstheme="minorHAnsi"/>
        </w:rPr>
        <w:t>)</w:t>
      </w:r>
      <w:r w:rsidRPr="003612E4">
        <w:rPr>
          <w:rFonts w:cstheme="minorHAnsi"/>
          <w:spacing w:val="-3"/>
        </w:rPr>
        <w:t xml:space="preserve"> </w:t>
      </w:r>
      <w:r w:rsidRPr="003612E4">
        <w:rPr>
          <w:rFonts w:cstheme="minorHAnsi"/>
        </w:rPr>
        <w:t>m</w:t>
      </w:r>
      <w:r w:rsidRPr="003612E4">
        <w:rPr>
          <w:rFonts w:cstheme="minorHAnsi"/>
          <w:spacing w:val="-3"/>
        </w:rPr>
        <w:t>a</w:t>
      </w:r>
      <w:r w:rsidRPr="003612E4">
        <w:rPr>
          <w:rFonts w:cstheme="minorHAnsi"/>
        </w:rPr>
        <w:t>y</w:t>
      </w:r>
      <w:r w:rsidRPr="003612E4">
        <w:rPr>
          <w:rFonts w:cstheme="minorHAnsi"/>
          <w:spacing w:val="-2"/>
        </w:rPr>
        <w:t xml:space="preserve"> </w:t>
      </w:r>
      <w:r w:rsidRPr="003612E4">
        <w:rPr>
          <w:rFonts w:cstheme="minorHAnsi"/>
        </w:rPr>
        <w:t>r</w:t>
      </w:r>
      <w:r w:rsidRPr="003612E4">
        <w:rPr>
          <w:rFonts w:cstheme="minorHAnsi"/>
          <w:spacing w:val="-1"/>
        </w:rPr>
        <w:t>educ</w:t>
      </w:r>
      <w:r w:rsidRPr="003612E4">
        <w:rPr>
          <w:rFonts w:cstheme="minorHAnsi"/>
        </w:rPr>
        <w:t>e</w:t>
      </w:r>
      <w:r w:rsidRPr="003612E4">
        <w:rPr>
          <w:rFonts w:cstheme="minorHAnsi"/>
          <w:spacing w:val="-2"/>
        </w:rPr>
        <w:t xml:space="preserve"> </w:t>
      </w:r>
      <w:r w:rsidRPr="003612E4">
        <w:rPr>
          <w:rFonts w:cstheme="minorHAnsi"/>
        </w:rPr>
        <w:t>GI</w:t>
      </w:r>
      <w:r w:rsidRPr="003612E4">
        <w:rPr>
          <w:rFonts w:cstheme="minorHAnsi"/>
          <w:spacing w:val="-1"/>
        </w:rPr>
        <w:t xml:space="preserve"> upse</w:t>
      </w:r>
      <w:r w:rsidRPr="003612E4">
        <w:rPr>
          <w:rFonts w:cstheme="minorHAnsi"/>
          <w:spacing w:val="-2"/>
        </w:rPr>
        <w:t>t</w:t>
      </w:r>
    </w:p>
    <w:p w:rsidR="00D41B7B" w:rsidRPr="00F158ED" w:rsidRDefault="00D41B7B" w:rsidP="003612E4">
      <w:pPr>
        <w:pStyle w:val="ListParagraph"/>
        <w:numPr>
          <w:ilvl w:val="0"/>
          <w:numId w:val="8"/>
        </w:numPr>
      </w:pPr>
      <w:r w:rsidRPr="00F158ED">
        <w:t>Multivitamin-mineral supplements should not be used to treat IDA as iron content is low and absorption may be reduced</w:t>
      </w:r>
    </w:p>
    <w:p w:rsidR="00D41B7B" w:rsidRPr="00F158ED" w:rsidRDefault="00D41B7B" w:rsidP="003612E4">
      <w:pPr>
        <w:pStyle w:val="ListParagraph"/>
        <w:numPr>
          <w:ilvl w:val="0"/>
          <w:numId w:val="8"/>
        </w:numPr>
      </w:pPr>
      <w:r w:rsidRPr="00F158ED">
        <w:t>Iron overdose may be fatal – keep medication out of reach of children</w:t>
      </w:r>
    </w:p>
    <w:p w:rsidR="00D41B7B" w:rsidRPr="00F158ED" w:rsidRDefault="00D41B7B" w:rsidP="003612E4">
      <w:pPr>
        <w:pStyle w:val="ListParagraph"/>
        <w:numPr>
          <w:ilvl w:val="0"/>
          <w:numId w:val="8"/>
        </w:numPr>
      </w:pPr>
      <w:r w:rsidRPr="003612E4">
        <w:rPr>
          <w:rFonts w:cs="Arial"/>
        </w:rPr>
        <w:t>Based on limited available data, controlled-release iron formulations appear to have fewer GI side effects, but similar discontinuation rates and comparable efficacy; release of iron distal to the site of maximal intestinal absorption may theoretically limit response in some patients.</w:t>
      </w:r>
      <w:r w:rsidRPr="003612E4">
        <w:rPr>
          <w:rFonts w:cs="Arial"/>
          <w:vertAlign w:val="superscript"/>
        </w:rPr>
        <w:t>1</w:t>
      </w:r>
    </w:p>
    <w:p w:rsidR="00963E3D" w:rsidRPr="00A061E0" w:rsidRDefault="00963E3D" w:rsidP="00A061E0">
      <w:pPr>
        <w:jc w:val="both"/>
        <w:rPr>
          <w:rFonts w:ascii="Arial" w:hAnsi="Arial" w:cs="Arial"/>
          <w:sz w:val="20"/>
          <w:szCs w:val="20"/>
        </w:rPr>
      </w:pPr>
      <w:bookmarkStart w:id="9" w:name="_Appendix_1_–"/>
      <w:bookmarkStart w:id="10" w:name="_Appendix_1:_Preoperative"/>
      <w:bookmarkEnd w:id="1"/>
      <w:bookmarkEnd w:id="9"/>
      <w:bookmarkEnd w:id="10"/>
    </w:p>
    <w:sectPr w:rsidR="00963E3D" w:rsidRPr="00A061E0" w:rsidSect="00A061E0">
      <w:footerReference w:type="default" r:id="rId119"/>
      <w:pgSz w:w="11906" w:h="16838"/>
      <w:pgMar w:top="1247"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A9C" w:rsidRDefault="00D91A9C" w:rsidP="00F74586">
      <w:r>
        <w:separator/>
      </w:r>
    </w:p>
  </w:endnote>
  <w:endnote w:type="continuationSeparator" w:id="0">
    <w:p w:rsidR="00D91A9C" w:rsidRDefault="00D91A9C" w:rsidP="00F74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tilliumText25L">
    <w:altName w:val="TitilliumText25L"/>
    <w:panose1 w:val="02000000000000000000"/>
    <w:charset w:val="00"/>
    <w:family w:val="modern"/>
    <w:notTrueType/>
    <w:pitch w:val="variable"/>
    <w:sig w:usb0="A00000EF" w:usb1="0000004B" w:usb2="00000000" w:usb3="00000000" w:csb0="00000193" w:csb1="00000000"/>
  </w:font>
  <w:font w:name="Tahoma">
    <w:panose1 w:val="020B0604030504040204"/>
    <w:charset w:val="00"/>
    <w:family w:val="swiss"/>
    <w:pitch w:val="variable"/>
    <w:sig w:usb0="E1002EFF" w:usb1="C000605B" w:usb2="00000029" w:usb3="00000000" w:csb0="000101FF" w:csb1="00000000"/>
  </w:font>
  <w:font w:name="TitilliumText22L Lt">
    <w:altName w:val="TitilliumText22L Lt"/>
    <w:panose1 w:val="00000000000000000000"/>
    <w:charset w:val="00"/>
    <w:family w:val="modern"/>
    <w:notTrueType/>
    <w:pitch w:val="variable"/>
    <w:sig w:usb0="A00000EF" w:usb1="0000004B" w:usb2="00000000" w:usb3="00000000" w:csb0="00000193"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TitilliumText25L (OTF) 400 wt">
    <w:panose1 w:val="00000000000000000000"/>
    <w:charset w:val="00"/>
    <w:family w:val="auto"/>
    <w:notTrueType/>
    <w:pitch w:val="default"/>
    <w:sig w:usb0="00000003" w:usb1="00000000" w:usb2="00000000" w:usb3="00000000" w:csb0="00000001" w:csb1="00000000"/>
  </w:font>
  <w:font w:name="HYGothic-Extra">
    <w:panose1 w:val="00000000000000000000"/>
    <w:charset w:val="81"/>
    <w:family w:val="roman"/>
    <w:notTrueType/>
    <w:pitch w:val="default"/>
  </w:font>
  <w:font w:name="TitilliumText25L (OTF) 250 w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6507675"/>
      <w:docPartObj>
        <w:docPartGallery w:val="Page Numbers (Bottom of Page)"/>
        <w:docPartUnique/>
      </w:docPartObj>
    </w:sdtPr>
    <w:sdtEndPr>
      <w:rPr>
        <w:noProof/>
        <w:sz w:val="18"/>
      </w:rPr>
    </w:sdtEndPr>
    <w:sdtContent>
      <w:p w:rsidR="00D91A9C" w:rsidRPr="00620C45" w:rsidRDefault="00D91A9C" w:rsidP="00620C45">
        <w:pPr>
          <w:pStyle w:val="Footer"/>
          <w:tabs>
            <w:tab w:val="clear" w:pos="9026"/>
            <w:tab w:val="right" w:pos="9356"/>
          </w:tabs>
          <w:rPr>
            <w:sz w:val="16"/>
            <w:szCs w:val="20"/>
          </w:rPr>
        </w:pPr>
        <w:r w:rsidRPr="00620C45">
          <w:rPr>
            <w:sz w:val="16"/>
            <w:szCs w:val="20"/>
          </w:rPr>
          <w:t xml:space="preserve">National Blood Authority                          PREOPERATIVE BLEEDING RISK ASSESSMENT </w:t>
        </w:r>
        <w:r w:rsidRPr="00620C45">
          <w:rPr>
            <w:color w:val="C00000"/>
            <w:sz w:val="16"/>
            <w:szCs w:val="20"/>
          </w:rPr>
          <w:t>JUNE 2015</w:t>
        </w:r>
        <w:r w:rsidRPr="00620C45">
          <w:rPr>
            <w:sz w:val="16"/>
            <w:szCs w:val="20"/>
          </w:rPr>
          <w:tab/>
        </w:r>
        <w:r w:rsidRPr="00620C45">
          <w:rPr>
            <w:sz w:val="16"/>
            <w:szCs w:val="20"/>
          </w:rPr>
          <w:tab/>
          <w:t xml:space="preserve">pg. </w:t>
        </w:r>
        <w:r w:rsidRPr="00620C45">
          <w:rPr>
            <w:sz w:val="16"/>
            <w:szCs w:val="20"/>
          </w:rPr>
          <w:fldChar w:fldCharType="begin"/>
        </w:r>
        <w:r w:rsidRPr="00620C45">
          <w:rPr>
            <w:sz w:val="16"/>
            <w:szCs w:val="20"/>
          </w:rPr>
          <w:instrText xml:space="preserve"> PAGE    \* MERGEFORMAT </w:instrText>
        </w:r>
        <w:r w:rsidRPr="00620C45">
          <w:rPr>
            <w:sz w:val="16"/>
            <w:szCs w:val="20"/>
          </w:rPr>
          <w:fldChar w:fldCharType="separate"/>
        </w:r>
        <w:r>
          <w:rPr>
            <w:noProof/>
            <w:sz w:val="16"/>
            <w:szCs w:val="20"/>
          </w:rPr>
          <w:t>0</w:t>
        </w:r>
        <w:r w:rsidRPr="00620C45">
          <w:rPr>
            <w:sz w:val="16"/>
            <w:szCs w:val="20"/>
          </w:rPr>
          <w:fldChar w:fldCharType="end"/>
        </w:r>
      </w:p>
      <w:p w:rsidR="00D91A9C" w:rsidRDefault="00D91A9C">
        <w:pPr>
          <w:pStyle w:val="Footer"/>
          <w:jc w:val="right"/>
        </w:pPr>
      </w:p>
    </w:sdtContent>
  </w:sdt>
  <w:p w:rsidR="00D91A9C" w:rsidRDefault="00D91A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6812363"/>
      <w:docPartObj>
        <w:docPartGallery w:val="Page Numbers (Bottom of Page)"/>
        <w:docPartUnique/>
      </w:docPartObj>
    </w:sdtPr>
    <w:sdtEndPr>
      <w:rPr>
        <w:noProof/>
        <w:sz w:val="18"/>
      </w:rPr>
    </w:sdtEndPr>
    <w:sdtContent>
      <w:p w:rsidR="00D91A9C" w:rsidRPr="00620C45" w:rsidRDefault="00D91A9C" w:rsidP="003A5515">
        <w:pPr>
          <w:pStyle w:val="Footer"/>
          <w:tabs>
            <w:tab w:val="clear" w:pos="9026"/>
            <w:tab w:val="right" w:pos="9356"/>
          </w:tabs>
          <w:ind w:left="-851"/>
          <w:rPr>
            <w:sz w:val="16"/>
            <w:szCs w:val="20"/>
          </w:rPr>
        </w:pPr>
        <w:r w:rsidRPr="00620C45">
          <w:rPr>
            <w:sz w:val="16"/>
            <w:szCs w:val="20"/>
          </w:rPr>
          <w:t xml:space="preserve">National Blood Authority                          </w:t>
        </w:r>
        <w:r>
          <w:rPr>
            <w:sz w:val="16"/>
            <w:szCs w:val="20"/>
          </w:rPr>
          <w:t xml:space="preserve">IRON PRODUCT CHOICE AND DOSE CALCULATION – ADULTS  </w:t>
        </w:r>
        <w:r w:rsidRPr="00620C45">
          <w:rPr>
            <w:sz w:val="16"/>
            <w:szCs w:val="20"/>
          </w:rPr>
          <w:t xml:space="preserve"> </w:t>
        </w:r>
        <w:r w:rsidRPr="00620C45">
          <w:rPr>
            <w:color w:val="C00000"/>
            <w:sz w:val="16"/>
            <w:szCs w:val="20"/>
          </w:rPr>
          <w:t>JUNE 2015</w:t>
        </w:r>
        <w:r>
          <w:rPr>
            <w:color w:val="C00000"/>
            <w:sz w:val="16"/>
            <w:szCs w:val="20"/>
          </w:rPr>
          <w:t xml:space="preserve"> </w:t>
        </w:r>
        <w:r w:rsidRPr="00620C45">
          <w:rPr>
            <w:sz w:val="16"/>
            <w:szCs w:val="20"/>
          </w:rPr>
          <w:tab/>
          <w:t xml:space="preserve">pg. </w:t>
        </w:r>
        <w:r w:rsidRPr="00620C45">
          <w:rPr>
            <w:sz w:val="16"/>
            <w:szCs w:val="20"/>
          </w:rPr>
          <w:fldChar w:fldCharType="begin"/>
        </w:r>
        <w:r w:rsidRPr="00620C45">
          <w:rPr>
            <w:sz w:val="16"/>
            <w:szCs w:val="20"/>
          </w:rPr>
          <w:instrText xml:space="preserve"> PAGE    \* MERGEFORMAT </w:instrText>
        </w:r>
        <w:r w:rsidRPr="00620C45">
          <w:rPr>
            <w:sz w:val="16"/>
            <w:szCs w:val="20"/>
          </w:rPr>
          <w:fldChar w:fldCharType="separate"/>
        </w:r>
        <w:r w:rsidR="006D4154">
          <w:rPr>
            <w:noProof/>
            <w:sz w:val="16"/>
            <w:szCs w:val="20"/>
          </w:rPr>
          <w:t>6</w:t>
        </w:r>
        <w:r w:rsidRPr="00620C45">
          <w:rPr>
            <w:sz w:val="16"/>
            <w:szCs w:val="20"/>
          </w:rPr>
          <w:fldChar w:fldCharType="end"/>
        </w:r>
      </w:p>
      <w:p w:rsidR="00D91A9C" w:rsidRDefault="00D91A9C" w:rsidP="00A061E0">
        <w:pPr>
          <w:pStyle w:val="Footer"/>
          <w:jc w:val="right"/>
          <w:rPr>
            <w:noProof/>
            <w:sz w:val="18"/>
          </w:rPr>
        </w:pPr>
      </w:p>
    </w:sdtContent>
  </w:sdt>
  <w:p w:rsidR="00D91A9C" w:rsidRPr="00650BC4" w:rsidRDefault="00D91A9C">
    <w:pPr>
      <w:pStyle w:val="Foo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0038589"/>
      <w:docPartObj>
        <w:docPartGallery w:val="Page Numbers (Bottom of Page)"/>
        <w:docPartUnique/>
      </w:docPartObj>
    </w:sdtPr>
    <w:sdtEndPr>
      <w:rPr>
        <w:noProof/>
        <w:sz w:val="18"/>
      </w:rPr>
    </w:sdtEndPr>
    <w:sdtContent>
      <w:p w:rsidR="00D91A9C" w:rsidRPr="00620C45" w:rsidRDefault="00D91A9C" w:rsidP="00252CE7">
        <w:pPr>
          <w:pStyle w:val="Footer"/>
          <w:tabs>
            <w:tab w:val="clear" w:pos="9026"/>
            <w:tab w:val="right" w:pos="9356"/>
          </w:tabs>
          <w:ind w:left="-851"/>
          <w:jc w:val="center"/>
          <w:rPr>
            <w:sz w:val="16"/>
            <w:szCs w:val="20"/>
          </w:rPr>
        </w:pPr>
        <w:r w:rsidRPr="00620C45">
          <w:rPr>
            <w:sz w:val="16"/>
            <w:szCs w:val="20"/>
          </w:rPr>
          <w:t xml:space="preserve">National Blood Authority                          </w:t>
        </w:r>
        <w:r>
          <w:rPr>
            <w:sz w:val="16"/>
            <w:szCs w:val="20"/>
          </w:rPr>
          <w:t xml:space="preserve">IRON PRODUCT CHOICE AND DOSE CALCULATION – ADULTS  </w:t>
        </w:r>
        <w:r w:rsidRPr="00620C45">
          <w:rPr>
            <w:sz w:val="16"/>
            <w:szCs w:val="20"/>
          </w:rPr>
          <w:t xml:space="preserve"> </w:t>
        </w:r>
        <w:r w:rsidRPr="00620C45">
          <w:rPr>
            <w:color w:val="C00000"/>
            <w:sz w:val="16"/>
            <w:szCs w:val="20"/>
          </w:rPr>
          <w:t>JUNE 2015</w:t>
        </w:r>
        <w:r>
          <w:rPr>
            <w:color w:val="C00000"/>
            <w:sz w:val="16"/>
            <w:szCs w:val="20"/>
          </w:rPr>
          <w:t xml:space="preserve"> </w:t>
        </w:r>
        <w:r w:rsidRPr="00620C45">
          <w:rPr>
            <w:sz w:val="16"/>
            <w:szCs w:val="20"/>
          </w:rPr>
          <w:tab/>
          <w:t xml:space="preserve">pg. </w:t>
        </w:r>
        <w:r w:rsidRPr="00620C45">
          <w:rPr>
            <w:sz w:val="16"/>
            <w:szCs w:val="20"/>
          </w:rPr>
          <w:fldChar w:fldCharType="begin"/>
        </w:r>
        <w:r w:rsidRPr="00620C45">
          <w:rPr>
            <w:sz w:val="16"/>
            <w:szCs w:val="20"/>
          </w:rPr>
          <w:instrText xml:space="preserve"> PAGE    \* MERGEFORMAT </w:instrText>
        </w:r>
        <w:r w:rsidRPr="00620C45">
          <w:rPr>
            <w:sz w:val="16"/>
            <w:szCs w:val="20"/>
          </w:rPr>
          <w:fldChar w:fldCharType="separate"/>
        </w:r>
        <w:r w:rsidR="006D4154">
          <w:rPr>
            <w:noProof/>
            <w:sz w:val="16"/>
            <w:szCs w:val="20"/>
          </w:rPr>
          <w:t>13</w:t>
        </w:r>
        <w:r w:rsidRPr="00620C45">
          <w:rPr>
            <w:sz w:val="16"/>
            <w:szCs w:val="20"/>
          </w:rPr>
          <w:fldChar w:fldCharType="end"/>
        </w:r>
      </w:p>
      <w:p w:rsidR="00D91A9C" w:rsidRDefault="00D91A9C" w:rsidP="00A061E0">
        <w:pPr>
          <w:pStyle w:val="Footer"/>
          <w:jc w:val="right"/>
          <w:rPr>
            <w:noProof/>
            <w:sz w:val="18"/>
          </w:rPr>
        </w:pPr>
      </w:p>
    </w:sdtContent>
  </w:sdt>
  <w:p w:rsidR="00D91A9C" w:rsidRPr="00650BC4" w:rsidRDefault="00D91A9C">
    <w:pPr>
      <w:pStyle w:val="Footer"/>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8473631"/>
      <w:docPartObj>
        <w:docPartGallery w:val="Page Numbers (Bottom of Page)"/>
        <w:docPartUnique/>
      </w:docPartObj>
    </w:sdtPr>
    <w:sdtEndPr>
      <w:rPr>
        <w:noProof/>
        <w:sz w:val="18"/>
      </w:rPr>
    </w:sdtEndPr>
    <w:sdtContent>
      <w:p w:rsidR="00D91A9C" w:rsidRPr="00620C45" w:rsidRDefault="00D91A9C" w:rsidP="00DE6E3B">
        <w:pPr>
          <w:pStyle w:val="Footer"/>
          <w:tabs>
            <w:tab w:val="clear" w:pos="9026"/>
            <w:tab w:val="right" w:pos="9356"/>
          </w:tabs>
          <w:ind w:left="-709"/>
          <w:rPr>
            <w:sz w:val="16"/>
            <w:szCs w:val="20"/>
          </w:rPr>
        </w:pPr>
        <w:r w:rsidRPr="00620C45">
          <w:rPr>
            <w:sz w:val="16"/>
            <w:szCs w:val="20"/>
          </w:rPr>
          <w:t xml:space="preserve">National Blood Authority                          </w:t>
        </w:r>
        <w:r>
          <w:rPr>
            <w:sz w:val="16"/>
            <w:szCs w:val="20"/>
          </w:rPr>
          <w:t>IRON PRODUCT CHOICE AND DOSE CALCULATION - ADULTS</w:t>
        </w:r>
        <w:r w:rsidRPr="00620C45">
          <w:rPr>
            <w:sz w:val="16"/>
            <w:szCs w:val="20"/>
          </w:rPr>
          <w:t xml:space="preserve"> </w:t>
        </w:r>
        <w:r w:rsidRPr="00620C45">
          <w:rPr>
            <w:color w:val="C00000"/>
            <w:sz w:val="16"/>
            <w:szCs w:val="20"/>
          </w:rPr>
          <w:t>JUNE 2015</w:t>
        </w:r>
        <w:r>
          <w:rPr>
            <w:color w:val="C00000"/>
            <w:sz w:val="16"/>
            <w:szCs w:val="20"/>
          </w:rPr>
          <w:t xml:space="preserve"> </w:t>
        </w:r>
        <w:r w:rsidRPr="00620C45">
          <w:rPr>
            <w:sz w:val="16"/>
            <w:szCs w:val="20"/>
          </w:rPr>
          <w:tab/>
          <w:t xml:space="preserve">pg. </w:t>
        </w:r>
        <w:r w:rsidRPr="00620C45">
          <w:rPr>
            <w:sz w:val="16"/>
            <w:szCs w:val="20"/>
          </w:rPr>
          <w:fldChar w:fldCharType="begin"/>
        </w:r>
        <w:r w:rsidRPr="00620C45">
          <w:rPr>
            <w:sz w:val="16"/>
            <w:szCs w:val="20"/>
          </w:rPr>
          <w:instrText xml:space="preserve"> PAGE    \* MERGEFORMAT </w:instrText>
        </w:r>
        <w:r w:rsidRPr="00620C45">
          <w:rPr>
            <w:sz w:val="16"/>
            <w:szCs w:val="20"/>
          </w:rPr>
          <w:fldChar w:fldCharType="separate"/>
        </w:r>
        <w:r w:rsidR="006D4154">
          <w:rPr>
            <w:noProof/>
            <w:sz w:val="16"/>
            <w:szCs w:val="20"/>
          </w:rPr>
          <w:t>15</w:t>
        </w:r>
        <w:r w:rsidRPr="00620C45">
          <w:rPr>
            <w:sz w:val="16"/>
            <w:szCs w:val="20"/>
          </w:rPr>
          <w:fldChar w:fldCharType="end"/>
        </w:r>
      </w:p>
      <w:p w:rsidR="00D91A9C" w:rsidRDefault="00D91A9C" w:rsidP="00D41B7B">
        <w:pPr>
          <w:pStyle w:val="Footer"/>
          <w:tabs>
            <w:tab w:val="center" w:pos="4606"/>
            <w:tab w:val="right" w:pos="9212"/>
          </w:tabs>
        </w:pPr>
        <w:r>
          <w:tab/>
        </w:r>
        <w:r>
          <w:tab/>
        </w:r>
      </w:p>
    </w:sdtContent>
  </w:sdt>
  <w:p w:rsidR="00D91A9C" w:rsidRDefault="00D91A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A9C" w:rsidRDefault="00D91A9C" w:rsidP="00F74586">
      <w:r>
        <w:separator/>
      </w:r>
    </w:p>
  </w:footnote>
  <w:footnote w:type="continuationSeparator" w:id="0">
    <w:p w:rsidR="00D91A9C" w:rsidRDefault="00D91A9C" w:rsidP="00F745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A9C" w:rsidRPr="00252CE7" w:rsidRDefault="00D91A9C" w:rsidP="00252C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759E8"/>
    <w:multiLevelType w:val="hybridMultilevel"/>
    <w:tmpl w:val="C0AE8FBC"/>
    <w:lvl w:ilvl="0" w:tplc="1B266CBE">
      <w:start w:val="1"/>
      <w:numFmt w:val="bullet"/>
      <w:pStyle w:val="SAH-BulletPointsCopylastline"/>
      <w:lvlText w:val=""/>
      <w:lvlJc w:val="left"/>
      <w:pPr>
        <w:tabs>
          <w:tab w:val="num" w:pos="720"/>
        </w:tabs>
        <w:ind w:left="720" w:hanging="720"/>
      </w:pPr>
      <w:rPr>
        <w:rFonts w:ascii="Symbol" w:hAnsi="Symbol" w:hint="default"/>
        <w:b w:val="0"/>
        <w:i w:val="0"/>
        <w:caps w:val="0"/>
        <w:strike w:val="0"/>
        <w:dstrike w:val="0"/>
        <w:vanish w:val="0"/>
        <w:color w:val="0077B0"/>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1D626349"/>
    <w:multiLevelType w:val="hybridMultilevel"/>
    <w:tmpl w:val="738AD134"/>
    <w:lvl w:ilvl="0" w:tplc="40B255CA">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1ED213A5"/>
    <w:multiLevelType w:val="hybridMultilevel"/>
    <w:tmpl w:val="AFA4D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BFA6260"/>
    <w:multiLevelType w:val="hybridMultilevel"/>
    <w:tmpl w:val="80BE8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E954FF0"/>
    <w:multiLevelType w:val="hybridMultilevel"/>
    <w:tmpl w:val="46FA34E4"/>
    <w:lvl w:ilvl="0" w:tplc="9DE03864">
      <w:start w:val="1"/>
      <w:numFmt w:val="bullet"/>
      <w:pStyle w:val="SAH-BulletPointsCopy"/>
      <w:lvlText w:val=""/>
      <w:lvlJc w:val="left"/>
      <w:pPr>
        <w:tabs>
          <w:tab w:val="num" w:pos="720"/>
        </w:tabs>
        <w:ind w:left="720" w:hanging="720"/>
      </w:pPr>
      <w:rPr>
        <w:rFonts w:ascii="Symbol" w:hAnsi="Symbol" w:hint="default"/>
        <w:b w:val="0"/>
        <w:i w:val="0"/>
        <w:caps w:val="0"/>
        <w:strike w:val="0"/>
        <w:dstrike w:val="0"/>
        <w:vanish w:val="0"/>
        <w:color w:val="auto"/>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5">
    <w:nsid w:val="31596A27"/>
    <w:multiLevelType w:val="hybridMultilevel"/>
    <w:tmpl w:val="355EB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0390356"/>
    <w:multiLevelType w:val="hybridMultilevel"/>
    <w:tmpl w:val="4E3CE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E0556F5"/>
    <w:multiLevelType w:val="hybridMultilevel"/>
    <w:tmpl w:val="41B8A360"/>
    <w:lvl w:ilvl="0" w:tplc="376A297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E42599E"/>
    <w:multiLevelType w:val="hybridMultilevel"/>
    <w:tmpl w:val="9C0AD510"/>
    <w:lvl w:ilvl="0" w:tplc="41024170">
      <w:start w:val="1"/>
      <w:numFmt w:val="bullet"/>
      <w:pStyle w:val="SAH-Introduction"/>
      <w:lvlText w:val=""/>
      <w:lvlJc w:val="left"/>
      <w:pPr>
        <w:tabs>
          <w:tab w:val="num" w:pos="153"/>
        </w:tabs>
        <w:ind w:left="153" w:hanging="153"/>
      </w:pPr>
      <w:rPr>
        <w:rFonts w:ascii="Symbol" w:hAnsi="Symbol" w:hint="default"/>
        <w:b w:val="0"/>
        <w:i w:val="0"/>
        <w:caps w:val="0"/>
        <w:strike w:val="0"/>
        <w:dstrike w:val="0"/>
        <w:vanish w:val="0"/>
        <w:color w:val="auto"/>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232C9A1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0E203AD"/>
    <w:multiLevelType w:val="hybridMultilevel"/>
    <w:tmpl w:val="2B9A3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4290B83"/>
    <w:multiLevelType w:val="hybridMultilevel"/>
    <w:tmpl w:val="932805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54C2305"/>
    <w:multiLevelType w:val="hybridMultilevel"/>
    <w:tmpl w:val="6BAC428A"/>
    <w:lvl w:ilvl="0" w:tplc="1AA0BC28">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11"/>
  </w:num>
  <w:num w:numId="3">
    <w:abstractNumId w:val="4"/>
  </w:num>
  <w:num w:numId="4">
    <w:abstractNumId w:val="0"/>
  </w:num>
  <w:num w:numId="5">
    <w:abstractNumId w:val="8"/>
  </w:num>
  <w:num w:numId="6">
    <w:abstractNumId w:val="3"/>
  </w:num>
  <w:num w:numId="7">
    <w:abstractNumId w:val="1"/>
  </w:num>
  <w:num w:numId="8">
    <w:abstractNumId w:val="10"/>
  </w:num>
  <w:num w:numId="9">
    <w:abstractNumId w:val="7"/>
  </w:num>
  <w:num w:numId="10">
    <w:abstractNumId w:val="6"/>
  </w:num>
  <w:num w:numId="11">
    <w:abstractNumId w:val="5"/>
  </w:num>
  <w:num w:numId="12">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8673"/>
  </w:hdrShapeDefaults>
  <w:footnotePr>
    <w:numFmt w:val="lowerLette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48A"/>
    <w:rsid w:val="000049C8"/>
    <w:rsid w:val="000232C9"/>
    <w:rsid w:val="0003292C"/>
    <w:rsid w:val="00036271"/>
    <w:rsid w:val="00043F66"/>
    <w:rsid w:val="00045D4E"/>
    <w:rsid w:val="000526CD"/>
    <w:rsid w:val="00052CA8"/>
    <w:rsid w:val="000535A3"/>
    <w:rsid w:val="000814D2"/>
    <w:rsid w:val="0009320B"/>
    <w:rsid w:val="00095202"/>
    <w:rsid w:val="000962C3"/>
    <w:rsid w:val="000A2237"/>
    <w:rsid w:val="000B08F7"/>
    <w:rsid w:val="000B2EAC"/>
    <w:rsid w:val="000C29AF"/>
    <w:rsid w:val="000C497F"/>
    <w:rsid w:val="000C5A07"/>
    <w:rsid w:val="000C6541"/>
    <w:rsid w:val="000C67B6"/>
    <w:rsid w:val="000D066B"/>
    <w:rsid w:val="000D0680"/>
    <w:rsid w:val="000D2BC1"/>
    <w:rsid w:val="000D350F"/>
    <w:rsid w:val="000D5B60"/>
    <w:rsid w:val="000E2F52"/>
    <w:rsid w:val="000E6163"/>
    <w:rsid w:val="000E7E5A"/>
    <w:rsid w:val="000F3E5A"/>
    <w:rsid w:val="000F715D"/>
    <w:rsid w:val="001058E5"/>
    <w:rsid w:val="00106036"/>
    <w:rsid w:val="0012219F"/>
    <w:rsid w:val="0013572B"/>
    <w:rsid w:val="00137F32"/>
    <w:rsid w:val="001447A7"/>
    <w:rsid w:val="00145F0F"/>
    <w:rsid w:val="001474DE"/>
    <w:rsid w:val="00150DF0"/>
    <w:rsid w:val="00152639"/>
    <w:rsid w:val="0016499F"/>
    <w:rsid w:val="00170AB8"/>
    <w:rsid w:val="00173674"/>
    <w:rsid w:val="00186A17"/>
    <w:rsid w:val="0018721E"/>
    <w:rsid w:val="00191A14"/>
    <w:rsid w:val="0019753D"/>
    <w:rsid w:val="001A33D8"/>
    <w:rsid w:val="001C2B90"/>
    <w:rsid w:val="001C2D16"/>
    <w:rsid w:val="001C4454"/>
    <w:rsid w:val="001C60D5"/>
    <w:rsid w:val="001D266C"/>
    <w:rsid w:val="001D6975"/>
    <w:rsid w:val="001E4FCC"/>
    <w:rsid w:val="001F226C"/>
    <w:rsid w:val="001F4394"/>
    <w:rsid w:val="001F46FD"/>
    <w:rsid w:val="0020002F"/>
    <w:rsid w:val="0020516C"/>
    <w:rsid w:val="00227725"/>
    <w:rsid w:val="00233584"/>
    <w:rsid w:val="00233CDB"/>
    <w:rsid w:val="00233FE1"/>
    <w:rsid w:val="002341AB"/>
    <w:rsid w:val="00250719"/>
    <w:rsid w:val="00252CE7"/>
    <w:rsid w:val="00253A05"/>
    <w:rsid w:val="00253D01"/>
    <w:rsid w:val="0025621E"/>
    <w:rsid w:val="00261CCE"/>
    <w:rsid w:val="00270052"/>
    <w:rsid w:val="00272CED"/>
    <w:rsid w:val="002769D6"/>
    <w:rsid w:val="0028098D"/>
    <w:rsid w:val="00290710"/>
    <w:rsid w:val="002941EE"/>
    <w:rsid w:val="0029481D"/>
    <w:rsid w:val="00295D4F"/>
    <w:rsid w:val="002A604E"/>
    <w:rsid w:val="002A643D"/>
    <w:rsid w:val="002B17F3"/>
    <w:rsid w:val="002B3356"/>
    <w:rsid w:val="002B46CB"/>
    <w:rsid w:val="002B627E"/>
    <w:rsid w:val="002B740E"/>
    <w:rsid w:val="002C22FF"/>
    <w:rsid w:val="002C6782"/>
    <w:rsid w:val="002C6ECA"/>
    <w:rsid w:val="002C7AE1"/>
    <w:rsid w:val="002E0F45"/>
    <w:rsid w:val="002E3B80"/>
    <w:rsid w:val="002F21F5"/>
    <w:rsid w:val="002F3B6F"/>
    <w:rsid w:val="00311FA4"/>
    <w:rsid w:val="00316EB0"/>
    <w:rsid w:val="003172DC"/>
    <w:rsid w:val="00326082"/>
    <w:rsid w:val="003263AD"/>
    <w:rsid w:val="0034485B"/>
    <w:rsid w:val="00346DCE"/>
    <w:rsid w:val="00350B61"/>
    <w:rsid w:val="00356FE2"/>
    <w:rsid w:val="003612E4"/>
    <w:rsid w:val="00361646"/>
    <w:rsid w:val="00362DD1"/>
    <w:rsid w:val="00376933"/>
    <w:rsid w:val="00381710"/>
    <w:rsid w:val="00382496"/>
    <w:rsid w:val="0039076D"/>
    <w:rsid w:val="003A2C51"/>
    <w:rsid w:val="003A5515"/>
    <w:rsid w:val="003A62B2"/>
    <w:rsid w:val="003D3145"/>
    <w:rsid w:val="003D540D"/>
    <w:rsid w:val="003D75AE"/>
    <w:rsid w:val="003E0423"/>
    <w:rsid w:val="003E6F53"/>
    <w:rsid w:val="003F7861"/>
    <w:rsid w:val="00400C25"/>
    <w:rsid w:val="00400CAA"/>
    <w:rsid w:val="00403B70"/>
    <w:rsid w:val="00404716"/>
    <w:rsid w:val="00412160"/>
    <w:rsid w:val="00422F52"/>
    <w:rsid w:val="00425237"/>
    <w:rsid w:val="00425427"/>
    <w:rsid w:val="00426926"/>
    <w:rsid w:val="0042734B"/>
    <w:rsid w:val="0042789A"/>
    <w:rsid w:val="00427ABF"/>
    <w:rsid w:val="004314FC"/>
    <w:rsid w:val="004463CA"/>
    <w:rsid w:val="00446F52"/>
    <w:rsid w:val="00453174"/>
    <w:rsid w:val="00457FCD"/>
    <w:rsid w:val="00472F76"/>
    <w:rsid w:val="0048367D"/>
    <w:rsid w:val="004910B4"/>
    <w:rsid w:val="004A21A7"/>
    <w:rsid w:val="004A2435"/>
    <w:rsid w:val="004A2826"/>
    <w:rsid w:val="004A57D8"/>
    <w:rsid w:val="004B3C17"/>
    <w:rsid w:val="004C0A56"/>
    <w:rsid w:val="004C611C"/>
    <w:rsid w:val="004D0604"/>
    <w:rsid w:val="004D0C01"/>
    <w:rsid w:val="004D2F0A"/>
    <w:rsid w:val="004E50A6"/>
    <w:rsid w:val="004F6525"/>
    <w:rsid w:val="004F70F0"/>
    <w:rsid w:val="004F799C"/>
    <w:rsid w:val="004F7FDE"/>
    <w:rsid w:val="005106DF"/>
    <w:rsid w:val="00515974"/>
    <w:rsid w:val="005161B2"/>
    <w:rsid w:val="00516387"/>
    <w:rsid w:val="005179F6"/>
    <w:rsid w:val="00520E3D"/>
    <w:rsid w:val="005253F4"/>
    <w:rsid w:val="00533B57"/>
    <w:rsid w:val="00536602"/>
    <w:rsid w:val="005371DA"/>
    <w:rsid w:val="005422A5"/>
    <w:rsid w:val="00545056"/>
    <w:rsid w:val="0054565D"/>
    <w:rsid w:val="005525F9"/>
    <w:rsid w:val="00563D5E"/>
    <w:rsid w:val="0056640C"/>
    <w:rsid w:val="00575D37"/>
    <w:rsid w:val="0057765C"/>
    <w:rsid w:val="00587D12"/>
    <w:rsid w:val="0059126D"/>
    <w:rsid w:val="005972D6"/>
    <w:rsid w:val="005A7BD8"/>
    <w:rsid w:val="005B0232"/>
    <w:rsid w:val="005C6A8F"/>
    <w:rsid w:val="005C7518"/>
    <w:rsid w:val="005D1266"/>
    <w:rsid w:val="005E1050"/>
    <w:rsid w:val="005F78A9"/>
    <w:rsid w:val="00602BA8"/>
    <w:rsid w:val="0061088F"/>
    <w:rsid w:val="00620C45"/>
    <w:rsid w:val="006227EE"/>
    <w:rsid w:val="006257AB"/>
    <w:rsid w:val="006274B4"/>
    <w:rsid w:val="00633B70"/>
    <w:rsid w:val="00633C5A"/>
    <w:rsid w:val="00637FF4"/>
    <w:rsid w:val="00650A5F"/>
    <w:rsid w:val="00652222"/>
    <w:rsid w:val="00660A72"/>
    <w:rsid w:val="006714B8"/>
    <w:rsid w:val="006769CA"/>
    <w:rsid w:val="00682524"/>
    <w:rsid w:val="006872E5"/>
    <w:rsid w:val="006874F4"/>
    <w:rsid w:val="0069398F"/>
    <w:rsid w:val="0069673C"/>
    <w:rsid w:val="006A3969"/>
    <w:rsid w:val="006A3F28"/>
    <w:rsid w:val="006A4439"/>
    <w:rsid w:val="006B2BCD"/>
    <w:rsid w:val="006B666A"/>
    <w:rsid w:val="006B704A"/>
    <w:rsid w:val="006C6948"/>
    <w:rsid w:val="006D4154"/>
    <w:rsid w:val="006E4434"/>
    <w:rsid w:val="006E60D8"/>
    <w:rsid w:val="006F0C68"/>
    <w:rsid w:val="006F30CB"/>
    <w:rsid w:val="006F3E74"/>
    <w:rsid w:val="00701B53"/>
    <w:rsid w:val="00717F50"/>
    <w:rsid w:val="00731F23"/>
    <w:rsid w:val="00735265"/>
    <w:rsid w:val="00743240"/>
    <w:rsid w:val="0075072F"/>
    <w:rsid w:val="007507BD"/>
    <w:rsid w:val="007516D5"/>
    <w:rsid w:val="0075281E"/>
    <w:rsid w:val="00764656"/>
    <w:rsid w:val="007656B8"/>
    <w:rsid w:val="00771B7F"/>
    <w:rsid w:val="00771BC5"/>
    <w:rsid w:val="0077568E"/>
    <w:rsid w:val="00793F7A"/>
    <w:rsid w:val="00796F38"/>
    <w:rsid w:val="00797560"/>
    <w:rsid w:val="007A490F"/>
    <w:rsid w:val="007A5931"/>
    <w:rsid w:val="007B196C"/>
    <w:rsid w:val="007B3A28"/>
    <w:rsid w:val="007B50BD"/>
    <w:rsid w:val="007B597F"/>
    <w:rsid w:val="007C0A03"/>
    <w:rsid w:val="007D3585"/>
    <w:rsid w:val="007E0454"/>
    <w:rsid w:val="007F10BE"/>
    <w:rsid w:val="007F7029"/>
    <w:rsid w:val="007F7581"/>
    <w:rsid w:val="00804E24"/>
    <w:rsid w:val="0081085F"/>
    <w:rsid w:val="008151C8"/>
    <w:rsid w:val="00816069"/>
    <w:rsid w:val="00816192"/>
    <w:rsid w:val="008167E7"/>
    <w:rsid w:val="00820A60"/>
    <w:rsid w:val="008272D7"/>
    <w:rsid w:val="00843C89"/>
    <w:rsid w:val="00846FFF"/>
    <w:rsid w:val="008539E6"/>
    <w:rsid w:val="00854E43"/>
    <w:rsid w:val="00857E54"/>
    <w:rsid w:val="00860E9F"/>
    <w:rsid w:val="0087665C"/>
    <w:rsid w:val="00877656"/>
    <w:rsid w:val="008A0B1F"/>
    <w:rsid w:val="008A7E4B"/>
    <w:rsid w:val="008B2222"/>
    <w:rsid w:val="008C4C50"/>
    <w:rsid w:val="008D016C"/>
    <w:rsid w:val="008D0D6A"/>
    <w:rsid w:val="008D2981"/>
    <w:rsid w:val="008E3C2F"/>
    <w:rsid w:val="008E5730"/>
    <w:rsid w:val="008E60FD"/>
    <w:rsid w:val="00903997"/>
    <w:rsid w:val="009136C9"/>
    <w:rsid w:val="00915F94"/>
    <w:rsid w:val="009242DB"/>
    <w:rsid w:val="009271C9"/>
    <w:rsid w:val="009300D0"/>
    <w:rsid w:val="0093012B"/>
    <w:rsid w:val="00930A68"/>
    <w:rsid w:val="00935196"/>
    <w:rsid w:val="00935B70"/>
    <w:rsid w:val="009376E9"/>
    <w:rsid w:val="00945EEA"/>
    <w:rsid w:val="00954967"/>
    <w:rsid w:val="009570E6"/>
    <w:rsid w:val="00962DDF"/>
    <w:rsid w:val="00963E3D"/>
    <w:rsid w:val="00970A60"/>
    <w:rsid w:val="0097256A"/>
    <w:rsid w:val="00972E9E"/>
    <w:rsid w:val="009769DB"/>
    <w:rsid w:val="009772BD"/>
    <w:rsid w:val="00983613"/>
    <w:rsid w:val="009839F7"/>
    <w:rsid w:val="00983BDE"/>
    <w:rsid w:val="0098730A"/>
    <w:rsid w:val="00991110"/>
    <w:rsid w:val="00996542"/>
    <w:rsid w:val="00996670"/>
    <w:rsid w:val="009A080A"/>
    <w:rsid w:val="009A34CA"/>
    <w:rsid w:val="009A52DD"/>
    <w:rsid w:val="009A6349"/>
    <w:rsid w:val="009A7F46"/>
    <w:rsid w:val="009C0295"/>
    <w:rsid w:val="009D2111"/>
    <w:rsid w:val="009D3A5D"/>
    <w:rsid w:val="009D3D21"/>
    <w:rsid w:val="009D5650"/>
    <w:rsid w:val="009D6141"/>
    <w:rsid w:val="009D7E40"/>
    <w:rsid w:val="009E1887"/>
    <w:rsid w:val="009E4A39"/>
    <w:rsid w:val="009E7081"/>
    <w:rsid w:val="009F088E"/>
    <w:rsid w:val="009F20B4"/>
    <w:rsid w:val="009F330E"/>
    <w:rsid w:val="00A02CA9"/>
    <w:rsid w:val="00A061E0"/>
    <w:rsid w:val="00A104E7"/>
    <w:rsid w:val="00A228DD"/>
    <w:rsid w:val="00A37FC3"/>
    <w:rsid w:val="00A40CF2"/>
    <w:rsid w:val="00A41A1A"/>
    <w:rsid w:val="00A42BC3"/>
    <w:rsid w:val="00A43290"/>
    <w:rsid w:val="00A46AE5"/>
    <w:rsid w:val="00A55EAD"/>
    <w:rsid w:val="00A671EC"/>
    <w:rsid w:val="00A71369"/>
    <w:rsid w:val="00A83B7B"/>
    <w:rsid w:val="00A84862"/>
    <w:rsid w:val="00A9748A"/>
    <w:rsid w:val="00AB1A7D"/>
    <w:rsid w:val="00AC2C92"/>
    <w:rsid w:val="00AD2CE3"/>
    <w:rsid w:val="00AD3599"/>
    <w:rsid w:val="00AD3728"/>
    <w:rsid w:val="00AD374A"/>
    <w:rsid w:val="00AD3F32"/>
    <w:rsid w:val="00AE21DE"/>
    <w:rsid w:val="00AE4FCA"/>
    <w:rsid w:val="00AF04EE"/>
    <w:rsid w:val="00B0190A"/>
    <w:rsid w:val="00B03C1A"/>
    <w:rsid w:val="00B0590C"/>
    <w:rsid w:val="00B1577A"/>
    <w:rsid w:val="00B223A5"/>
    <w:rsid w:val="00B232A5"/>
    <w:rsid w:val="00B31B97"/>
    <w:rsid w:val="00B40493"/>
    <w:rsid w:val="00B43CE3"/>
    <w:rsid w:val="00B51A58"/>
    <w:rsid w:val="00B52B6B"/>
    <w:rsid w:val="00B53F29"/>
    <w:rsid w:val="00B54D45"/>
    <w:rsid w:val="00B56206"/>
    <w:rsid w:val="00B577EF"/>
    <w:rsid w:val="00B6130E"/>
    <w:rsid w:val="00B73181"/>
    <w:rsid w:val="00B75803"/>
    <w:rsid w:val="00B8704F"/>
    <w:rsid w:val="00B94DE6"/>
    <w:rsid w:val="00B972D4"/>
    <w:rsid w:val="00BA0268"/>
    <w:rsid w:val="00BA19EA"/>
    <w:rsid w:val="00BA3631"/>
    <w:rsid w:val="00BA4B53"/>
    <w:rsid w:val="00BA50B7"/>
    <w:rsid w:val="00BA6FB6"/>
    <w:rsid w:val="00BB11A5"/>
    <w:rsid w:val="00BC68CD"/>
    <w:rsid w:val="00BC6A8C"/>
    <w:rsid w:val="00BD0B19"/>
    <w:rsid w:val="00BD4DBA"/>
    <w:rsid w:val="00BE2774"/>
    <w:rsid w:val="00BF2D8B"/>
    <w:rsid w:val="00BF77C0"/>
    <w:rsid w:val="00C04ACA"/>
    <w:rsid w:val="00C04B73"/>
    <w:rsid w:val="00C0640D"/>
    <w:rsid w:val="00C10A75"/>
    <w:rsid w:val="00C1145A"/>
    <w:rsid w:val="00C17D18"/>
    <w:rsid w:val="00C22E73"/>
    <w:rsid w:val="00C2654E"/>
    <w:rsid w:val="00C3148B"/>
    <w:rsid w:val="00C33A69"/>
    <w:rsid w:val="00C36590"/>
    <w:rsid w:val="00C433ED"/>
    <w:rsid w:val="00C4648B"/>
    <w:rsid w:val="00C46B34"/>
    <w:rsid w:val="00C46B9D"/>
    <w:rsid w:val="00C5298E"/>
    <w:rsid w:val="00C53561"/>
    <w:rsid w:val="00C579AA"/>
    <w:rsid w:val="00C60081"/>
    <w:rsid w:val="00C6184D"/>
    <w:rsid w:val="00C670D0"/>
    <w:rsid w:val="00C751D8"/>
    <w:rsid w:val="00C85849"/>
    <w:rsid w:val="00C864D5"/>
    <w:rsid w:val="00C866BA"/>
    <w:rsid w:val="00C9091C"/>
    <w:rsid w:val="00C92AA7"/>
    <w:rsid w:val="00C94A36"/>
    <w:rsid w:val="00C9560E"/>
    <w:rsid w:val="00CA308F"/>
    <w:rsid w:val="00CB12A5"/>
    <w:rsid w:val="00CB48EB"/>
    <w:rsid w:val="00CB627C"/>
    <w:rsid w:val="00CC08B4"/>
    <w:rsid w:val="00CC641D"/>
    <w:rsid w:val="00CD4932"/>
    <w:rsid w:val="00CE0EA2"/>
    <w:rsid w:val="00CE1E46"/>
    <w:rsid w:val="00CE34E5"/>
    <w:rsid w:val="00CE45E3"/>
    <w:rsid w:val="00CE4754"/>
    <w:rsid w:val="00CE7A7A"/>
    <w:rsid w:val="00CF097E"/>
    <w:rsid w:val="00CF2B8F"/>
    <w:rsid w:val="00CF665C"/>
    <w:rsid w:val="00D00A43"/>
    <w:rsid w:val="00D046F4"/>
    <w:rsid w:val="00D06EF2"/>
    <w:rsid w:val="00D13998"/>
    <w:rsid w:val="00D207CC"/>
    <w:rsid w:val="00D21A11"/>
    <w:rsid w:val="00D2548D"/>
    <w:rsid w:val="00D41B7B"/>
    <w:rsid w:val="00D42CAD"/>
    <w:rsid w:val="00D44704"/>
    <w:rsid w:val="00D45975"/>
    <w:rsid w:val="00D53862"/>
    <w:rsid w:val="00D66976"/>
    <w:rsid w:val="00D86695"/>
    <w:rsid w:val="00D86AAC"/>
    <w:rsid w:val="00D91A9C"/>
    <w:rsid w:val="00DA1A22"/>
    <w:rsid w:val="00DA1FDC"/>
    <w:rsid w:val="00DB7A66"/>
    <w:rsid w:val="00DD17ED"/>
    <w:rsid w:val="00DD2AF2"/>
    <w:rsid w:val="00DD2C86"/>
    <w:rsid w:val="00DD59B0"/>
    <w:rsid w:val="00DD68C7"/>
    <w:rsid w:val="00DE166F"/>
    <w:rsid w:val="00DE2E2B"/>
    <w:rsid w:val="00DE3603"/>
    <w:rsid w:val="00DE57A1"/>
    <w:rsid w:val="00DE6E3B"/>
    <w:rsid w:val="00DF4726"/>
    <w:rsid w:val="00E03FAE"/>
    <w:rsid w:val="00E07D80"/>
    <w:rsid w:val="00E10F41"/>
    <w:rsid w:val="00E12487"/>
    <w:rsid w:val="00E167EF"/>
    <w:rsid w:val="00E1766E"/>
    <w:rsid w:val="00E262C8"/>
    <w:rsid w:val="00E2676F"/>
    <w:rsid w:val="00E31C78"/>
    <w:rsid w:val="00E34A3D"/>
    <w:rsid w:val="00E412EF"/>
    <w:rsid w:val="00E476BF"/>
    <w:rsid w:val="00E60E72"/>
    <w:rsid w:val="00E61584"/>
    <w:rsid w:val="00E6571D"/>
    <w:rsid w:val="00E73EB2"/>
    <w:rsid w:val="00E76F68"/>
    <w:rsid w:val="00E8172A"/>
    <w:rsid w:val="00E86E89"/>
    <w:rsid w:val="00E92243"/>
    <w:rsid w:val="00E935BD"/>
    <w:rsid w:val="00E9404E"/>
    <w:rsid w:val="00E94A95"/>
    <w:rsid w:val="00E95A66"/>
    <w:rsid w:val="00E96947"/>
    <w:rsid w:val="00E9789B"/>
    <w:rsid w:val="00E978AE"/>
    <w:rsid w:val="00EA3C89"/>
    <w:rsid w:val="00EB15B5"/>
    <w:rsid w:val="00EB411D"/>
    <w:rsid w:val="00EB7D36"/>
    <w:rsid w:val="00EC5AD9"/>
    <w:rsid w:val="00ED1145"/>
    <w:rsid w:val="00ED451E"/>
    <w:rsid w:val="00ED508A"/>
    <w:rsid w:val="00ED5363"/>
    <w:rsid w:val="00ED5FDD"/>
    <w:rsid w:val="00EE22CC"/>
    <w:rsid w:val="00EE2ED2"/>
    <w:rsid w:val="00EE2EE0"/>
    <w:rsid w:val="00EE7EDF"/>
    <w:rsid w:val="00EF0ADB"/>
    <w:rsid w:val="00EF6C89"/>
    <w:rsid w:val="00EF7B6F"/>
    <w:rsid w:val="00F00062"/>
    <w:rsid w:val="00F032D7"/>
    <w:rsid w:val="00F04815"/>
    <w:rsid w:val="00F04A61"/>
    <w:rsid w:val="00F06480"/>
    <w:rsid w:val="00F118C7"/>
    <w:rsid w:val="00F1194E"/>
    <w:rsid w:val="00F12D9C"/>
    <w:rsid w:val="00F16B5F"/>
    <w:rsid w:val="00F17AF9"/>
    <w:rsid w:val="00F22F5E"/>
    <w:rsid w:val="00F23C5A"/>
    <w:rsid w:val="00F25FAF"/>
    <w:rsid w:val="00F35A45"/>
    <w:rsid w:val="00F36C78"/>
    <w:rsid w:val="00F445D4"/>
    <w:rsid w:val="00F57048"/>
    <w:rsid w:val="00F61EB8"/>
    <w:rsid w:val="00F65452"/>
    <w:rsid w:val="00F67CCA"/>
    <w:rsid w:val="00F74586"/>
    <w:rsid w:val="00F802E0"/>
    <w:rsid w:val="00F81AC4"/>
    <w:rsid w:val="00F8297D"/>
    <w:rsid w:val="00F85D0D"/>
    <w:rsid w:val="00F924D2"/>
    <w:rsid w:val="00F9353A"/>
    <w:rsid w:val="00F958D1"/>
    <w:rsid w:val="00FA1EB1"/>
    <w:rsid w:val="00FA2D7C"/>
    <w:rsid w:val="00FA3994"/>
    <w:rsid w:val="00FA5106"/>
    <w:rsid w:val="00FA7DC0"/>
    <w:rsid w:val="00FC0452"/>
    <w:rsid w:val="00FC3708"/>
    <w:rsid w:val="00FC3CEE"/>
    <w:rsid w:val="00FD12A8"/>
    <w:rsid w:val="00FE1C46"/>
    <w:rsid w:val="00FE2C3D"/>
    <w:rsid w:val="00FF5FFB"/>
    <w:rsid w:val="00FF7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179F6"/>
    <w:pPr>
      <w:widowControl w:val="0"/>
      <w:spacing w:after="0" w:line="240" w:lineRule="auto"/>
    </w:pPr>
  </w:style>
  <w:style w:type="paragraph" w:styleId="Heading1">
    <w:name w:val="heading 1"/>
    <w:basedOn w:val="Normal"/>
    <w:next w:val="Normal"/>
    <w:link w:val="Heading1Char"/>
    <w:autoRedefine/>
    <w:uiPriority w:val="9"/>
    <w:qFormat/>
    <w:rsid w:val="00BF2D8B"/>
    <w:pPr>
      <w:keepNext/>
      <w:keepLines/>
      <w:spacing w:before="120" w:after="120"/>
      <w:outlineLvl w:val="0"/>
    </w:pPr>
    <w:rPr>
      <w:rFonts w:asciiTheme="majorHAnsi" w:eastAsiaTheme="majorEastAsia" w:hAnsiTheme="majorHAnsi" w:cstheme="majorHAnsi"/>
      <w:b/>
      <w:bCs/>
      <w:sz w:val="24"/>
      <w:szCs w:val="28"/>
    </w:rPr>
  </w:style>
  <w:style w:type="paragraph" w:styleId="Heading2">
    <w:name w:val="heading 2"/>
    <w:basedOn w:val="Normal"/>
    <w:next w:val="Normal"/>
    <w:link w:val="Heading2Char1"/>
    <w:autoRedefine/>
    <w:uiPriority w:val="9"/>
    <w:unhideWhenUsed/>
    <w:qFormat/>
    <w:rsid w:val="00AD3F32"/>
    <w:pPr>
      <w:keepNext/>
      <w:keepLines/>
      <w:spacing w:before="120" w:after="120"/>
      <w:ind w:right="-1278"/>
      <w:outlineLvl w:val="1"/>
    </w:pPr>
    <w:rPr>
      <w:rFonts w:ascii="TitilliumText25L" w:eastAsia="TitilliumText25L" w:hAnsi="TitilliumText25L" w:cs="TitilliumText25L"/>
      <w:color w:val="D0202E"/>
      <w:sz w:val="40"/>
      <w:szCs w:val="60"/>
    </w:rPr>
  </w:style>
  <w:style w:type="paragraph" w:styleId="Heading3">
    <w:name w:val="heading 3"/>
    <w:basedOn w:val="Normal"/>
    <w:next w:val="Normal"/>
    <w:link w:val="Heading3Char"/>
    <w:uiPriority w:val="9"/>
    <w:unhideWhenUsed/>
    <w:qFormat/>
    <w:rsid w:val="005179F6"/>
    <w:pPr>
      <w:keepNext/>
      <w:keepLines/>
      <w:spacing w:before="20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unhideWhenUsed/>
    <w:qFormat/>
    <w:rsid w:val="005179F6"/>
    <w:pPr>
      <w:keepNext/>
      <w:keepLines/>
      <w:spacing w:before="200"/>
      <w:outlineLvl w:val="3"/>
    </w:pPr>
    <w:rPr>
      <w:rFonts w:asciiTheme="majorHAnsi" w:eastAsiaTheme="majorEastAsia" w:hAnsiTheme="majorHAnsi" w:cstheme="majorBidi"/>
      <w:b/>
      <w:bCs/>
      <w:i/>
      <w:iCs/>
      <w:color w:val="DDDDDD" w:themeColor="accent1"/>
    </w:rPr>
  </w:style>
  <w:style w:type="paragraph" w:styleId="Heading5">
    <w:name w:val="heading 5"/>
    <w:basedOn w:val="Normal"/>
    <w:next w:val="Normal"/>
    <w:link w:val="Heading5Char"/>
    <w:uiPriority w:val="9"/>
    <w:semiHidden/>
    <w:unhideWhenUsed/>
    <w:qFormat/>
    <w:rsid w:val="005179F6"/>
    <w:pPr>
      <w:keepNext/>
      <w:keepLines/>
      <w:spacing w:before="200"/>
      <w:outlineLvl w:val="4"/>
    </w:pPr>
    <w:rPr>
      <w:rFonts w:asciiTheme="majorHAnsi" w:eastAsiaTheme="majorEastAsia" w:hAnsiTheme="majorHAnsi" w:cstheme="majorBidi"/>
      <w:color w:val="6E6E6E" w:themeColor="accent1" w:themeShade="7F"/>
    </w:rPr>
  </w:style>
  <w:style w:type="paragraph" w:styleId="Heading6">
    <w:name w:val="heading 6"/>
    <w:basedOn w:val="Normal"/>
    <w:next w:val="Normal"/>
    <w:link w:val="Heading6Char"/>
    <w:uiPriority w:val="9"/>
    <w:semiHidden/>
    <w:unhideWhenUsed/>
    <w:qFormat/>
    <w:rsid w:val="005179F6"/>
    <w:pPr>
      <w:keepNext/>
      <w:keepLines/>
      <w:spacing w:before="200"/>
      <w:outlineLvl w:val="5"/>
    </w:pPr>
    <w:rPr>
      <w:rFonts w:asciiTheme="majorHAnsi" w:eastAsiaTheme="majorEastAsia" w:hAnsiTheme="majorHAnsi" w:cstheme="majorBidi"/>
      <w:i/>
      <w:iCs/>
      <w:color w:val="6E6E6E" w:themeColor="accent1" w:themeShade="7F"/>
    </w:rPr>
  </w:style>
  <w:style w:type="paragraph" w:styleId="Heading7">
    <w:name w:val="heading 7"/>
    <w:basedOn w:val="Normal"/>
    <w:next w:val="Normal"/>
    <w:link w:val="Heading7Char"/>
    <w:uiPriority w:val="9"/>
    <w:semiHidden/>
    <w:unhideWhenUsed/>
    <w:qFormat/>
    <w:rsid w:val="005179F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179F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179F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2D8B"/>
    <w:rPr>
      <w:rFonts w:asciiTheme="majorHAnsi" w:eastAsiaTheme="majorEastAsia" w:hAnsiTheme="majorHAnsi" w:cstheme="majorHAnsi"/>
      <w:b/>
      <w:bCs/>
      <w:sz w:val="24"/>
      <w:szCs w:val="28"/>
    </w:rPr>
  </w:style>
  <w:style w:type="character" w:customStyle="1" w:styleId="Heading2Char">
    <w:name w:val="Heading 2 Char"/>
    <w:basedOn w:val="DefaultParagraphFont"/>
    <w:uiPriority w:val="9"/>
    <w:rsid w:val="005179F6"/>
    <w:rPr>
      <w:rFonts w:asciiTheme="majorHAnsi" w:eastAsiaTheme="majorEastAsia" w:hAnsiTheme="majorHAnsi" w:cstheme="majorBidi"/>
      <w:b/>
      <w:bCs/>
      <w:sz w:val="26"/>
      <w:szCs w:val="26"/>
    </w:rPr>
  </w:style>
  <w:style w:type="paragraph" w:styleId="ListParagraph">
    <w:name w:val="List Paragraph"/>
    <w:basedOn w:val="Normal"/>
    <w:uiPriority w:val="34"/>
    <w:qFormat/>
    <w:rsid w:val="005179F6"/>
  </w:style>
  <w:style w:type="character" w:styleId="Hyperlink">
    <w:name w:val="Hyperlink"/>
    <w:basedOn w:val="DefaultParagraphFont"/>
    <w:uiPriority w:val="99"/>
    <w:unhideWhenUsed/>
    <w:rsid w:val="00A9748A"/>
    <w:rPr>
      <w:color w:val="0000FF"/>
      <w:u w:val="single"/>
    </w:rPr>
  </w:style>
  <w:style w:type="paragraph" w:customStyle="1" w:styleId="Arialheading1">
    <w:name w:val="Arial heading 1"/>
    <w:basedOn w:val="Arialheading2"/>
    <w:autoRedefine/>
    <w:uiPriority w:val="1"/>
    <w:qFormat/>
    <w:rsid w:val="005179F6"/>
    <w:pPr>
      <w:spacing w:before="120" w:after="120"/>
    </w:pPr>
    <w:rPr>
      <w:sz w:val="28"/>
      <w:szCs w:val="28"/>
      <w:lang w:val="en-GB" w:eastAsia="en-AU"/>
    </w:rPr>
  </w:style>
  <w:style w:type="paragraph" w:styleId="BodyText">
    <w:name w:val="Body Text"/>
    <w:basedOn w:val="Normal"/>
    <w:link w:val="BodyTextChar"/>
    <w:uiPriority w:val="1"/>
    <w:qFormat/>
    <w:rsid w:val="005179F6"/>
    <w:pPr>
      <w:ind w:left="680"/>
    </w:pPr>
    <w:rPr>
      <w:rFonts w:ascii="Arial" w:eastAsia="Arial" w:hAnsi="Arial"/>
      <w:sz w:val="18"/>
      <w:szCs w:val="18"/>
    </w:rPr>
  </w:style>
  <w:style w:type="character" w:customStyle="1" w:styleId="BodyTextChar">
    <w:name w:val="Body Text Char"/>
    <w:basedOn w:val="DefaultParagraphFont"/>
    <w:link w:val="BodyText"/>
    <w:uiPriority w:val="1"/>
    <w:rsid w:val="005179F6"/>
    <w:rPr>
      <w:rFonts w:ascii="Arial" w:eastAsia="Arial" w:hAnsi="Arial"/>
      <w:sz w:val="18"/>
      <w:szCs w:val="18"/>
    </w:rPr>
  </w:style>
  <w:style w:type="paragraph" w:customStyle="1" w:styleId="Body1">
    <w:name w:val="Body1"/>
    <w:basedOn w:val="Normal"/>
    <w:uiPriority w:val="99"/>
    <w:rsid w:val="00E10F41"/>
    <w:pPr>
      <w:widowControl/>
      <w:tabs>
        <w:tab w:val="left" w:pos="567"/>
        <w:tab w:val="left" w:pos="1134"/>
        <w:tab w:val="left" w:pos="1701"/>
      </w:tabs>
      <w:spacing w:before="60" w:after="120"/>
      <w:jc w:val="both"/>
    </w:pPr>
    <w:rPr>
      <w:rFonts w:ascii="Arial" w:eastAsia="Times New Roman" w:hAnsi="Arial" w:cs="Times New Roman"/>
      <w:color w:val="000000"/>
      <w:sz w:val="20"/>
      <w:szCs w:val="20"/>
      <w:lang w:val="en-GB" w:eastAsia="en-AU"/>
    </w:rPr>
  </w:style>
  <w:style w:type="paragraph" w:customStyle="1" w:styleId="DefaultIndent">
    <w:name w:val="Default Indent"/>
    <w:basedOn w:val="Normal"/>
    <w:uiPriority w:val="99"/>
    <w:rsid w:val="00E10F41"/>
    <w:pPr>
      <w:widowControl/>
      <w:tabs>
        <w:tab w:val="left" w:pos="5103"/>
      </w:tabs>
      <w:spacing w:before="60" w:after="120"/>
      <w:ind w:left="720"/>
      <w:jc w:val="both"/>
    </w:pPr>
    <w:rPr>
      <w:rFonts w:ascii="Arial" w:eastAsia="Times New Roman" w:hAnsi="Arial" w:cs="Times New Roman"/>
      <w:szCs w:val="20"/>
      <w:lang w:val="en-GB" w:eastAsia="en-AU"/>
    </w:rPr>
  </w:style>
  <w:style w:type="table" w:styleId="TableGrid">
    <w:name w:val="Table Grid"/>
    <w:basedOn w:val="TableNormal"/>
    <w:uiPriority w:val="59"/>
    <w:rsid w:val="00E10F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4394"/>
    <w:rPr>
      <w:rFonts w:ascii="Tahoma" w:hAnsi="Tahoma" w:cs="Tahoma"/>
      <w:sz w:val="16"/>
      <w:szCs w:val="16"/>
    </w:rPr>
  </w:style>
  <w:style w:type="character" w:customStyle="1" w:styleId="BalloonTextChar">
    <w:name w:val="Balloon Text Char"/>
    <w:basedOn w:val="DefaultParagraphFont"/>
    <w:link w:val="BalloonText"/>
    <w:uiPriority w:val="99"/>
    <w:semiHidden/>
    <w:rsid w:val="001F4394"/>
    <w:rPr>
      <w:rFonts w:ascii="Tahoma" w:hAnsi="Tahoma" w:cs="Tahoma"/>
      <w:sz w:val="16"/>
      <w:szCs w:val="16"/>
    </w:rPr>
  </w:style>
  <w:style w:type="character" w:styleId="Emphasis">
    <w:name w:val="Emphasis"/>
    <w:basedOn w:val="DefaultParagraphFont"/>
    <w:uiPriority w:val="20"/>
    <w:qFormat/>
    <w:rsid w:val="005179F6"/>
    <w:rPr>
      <w:i/>
      <w:iCs/>
    </w:rPr>
  </w:style>
  <w:style w:type="character" w:styleId="HTMLCite">
    <w:name w:val="HTML Cite"/>
    <w:basedOn w:val="DefaultParagraphFont"/>
    <w:uiPriority w:val="99"/>
    <w:semiHidden/>
    <w:unhideWhenUsed/>
    <w:rsid w:val="000B2EAC"/>
    <w:rPr>
      <w:i/>
      <w:iCs/>
    </w:rPr>
  </w:style>
  <w:style w:type="character" w:customStyle="1" w:styleId="cit-auth2">
    <w:name w:val="cit-auth2"/>
    <w:basedOn w:val="DefaultParagraphFont"/>
    <w:rsid w:val="000B2EAC"/>
  </w:style>
  <w:style w:type="character" w:customStyle="1" w:styleId="cit-name-surname">
    <w:name w:val="cit-name-surname"/>
    <w:basedOn w:val="DefaultParagraphFont"/>
    <w:rsid w:val="000B2EAC"/>
  </w:style>
  <w:style w:type="character" w:customStyle="1" w:styleId="cit-name-given-names">
    <w:name w:val="cit-name-given-names"/>
    <w:basedOn w:val="DefaultParagraphFont"/>
    <w:rsid w:val="000B2EAC"/>
  </w:style>
  <w:style w:type="character" w:customStyle="1" w:styleId="cit-etal">
    <w:name w:val="cit-etal"/>
    <w:basedOn w:val="DefaultParagraphFont"/>
    <w:rsid w:val="000B2EAC"/>
  </w:style>
  <w:style w:type="character" w:customStyle="1" w:styleId="cit-pub-date2">
    <w:name w:val="cit-pub-date2"/>
    <w:basedOn w:val="DefaultParagraphFont"/>
    <w:rsid w:val="000B2EAC"/>
  </w:style>
  <w:style w:type="character" w:customStyle="1" w:styleId="cit-article-title">
    <w:name w:val="cit-article-title"/>
    <w:basedOn w:val="DefaultParagraphFont"/>
    <w:rsid w:val="000B2EAC"/>
  </w:style>
  <w:style w:type="character" w:customStyle="1" w:styleId="cit-vol4">
    <w:name w:val="cit-vol4"/>
    <w:basedOn w:val="DefaultParagraphFont"/>
    <w:rsid w:val="000B2EAC"/>
  </w:style>
  <w:style w:type="character" w:customStyle="1" w:styleId="cit-issue">
    <w:name w:val="cit-issue"/>
    <w:basedOn w:val="DefaultParagraphFont"/>
    <w:rsid w:val="000B2EAC"/>
  </w:style>
  <w:style w:type="character" w:customStyle="1" w:styleId="cit-fpage">
    <w:name w:val="cit-fpage"/>
    <w:basedOn w:val="DefaultParagraphFont"/>
    <w:rsid w:val="000B2EAC"/>
  </w:style>
  <w:style w:type="character" w:customStyle="1" w:styleId="cit-lpage">
    <w:name w:val="cit-lpage"/>
    <w:basedOn w:val="DefaultParagraphFont"/>
    <w:rsid w:val="000B2EAC"/>
  </w:style>
  <w:style w:type="character" w:styleId="CommentReference">
    <w:name w:val="annotation reference"/>
    <w:basedOn w:val="DefaultParagraphFont"/>
    <w:uiPriority w:val="99"/>
    <w:semiHidden/>
    <w:unhideWhenUsed/>
    <w:rsid w:val="00A55EAD"/>
    <w:rPr>
      <w:sz w:val="16"/>
      <w:szCs w:val="16"/>
    </w:rPr>
  </w:style>
  <w:style w:type="paragraph" w:styleId="CommentText">
    <w:name w:val="annotation text"/>
    <w:basedOn w:val="Normal"/>
    <w:link w:val="CommentTextChar"/>
    <w:uiPriority w:val="99"/>
    <w:unhideWhenUsed/>
    <w:rsid w:val="00A55EAD"/>
    <w:rPr>
      <w:sz w:val="20"/>
      <w:szCs w:val="20"/>
    </w:rPr>
  </w:style>
  <w:style w:type="character" w:customStyle="1" w:styleId="CommentTextChar">
    <w:name w:val="Comment Text Char"/>
    <w:basedOn w:val="DefaultParagraphFont"/>
    <w:link w:val="CommentText"/>
    <w:uiPriority w:val="99"/>
    <w:rsid w:val="00A55EAD"/>
    <w:rPr>
      <w:sz w:val="20"/>
      <w:szCs w:val="20"/>
    </w:rPr>
  </w:style>
  <w:style w:type="paragraph" w:styleId="CommentSubject">
    <w:name w:val="annotation subject"/>
    <w:basedOn w:val="CommentText"/>
    <w:next w:val="CommentText"/>
    <w:link w:val="CommentSubjectChar"/>
    <w:uiPriority w:val="99"/>
    <w:semiHidden/>
    <w:unhideWhenUsed/>
    <w:rsid w:val="00A55EAD"/>
    <w:rPr>
      <w:b/>
      <w:bCs/>
    </w:rPr>
  </w:style>
  <w:style w:type="character" w:customStyle="1" w:styleId="CommentSubjectChar">
    <w:name w:val="Comment Subject Char"/>
    <w:basedOn w:val="CommentTextChar"/>
    <w:link w:val="CommentSubject"/>
    <w:uiPriority w:val="99"/>
    <w:semiHidden/>
    <w:rsid w:val="00A55EAD"/>
    <w:rPr>
      <w:b/>
      <w:bCs/>
      <w:sz w:val="20"/>
      <w:szCs w:val="20"/>
    </w:rPr>
  </w:style>
  <w:style w:type="character" w:customStyle="1" w:styleId="citation-publication-date">
    <w:name w:val="citation-publication-date"/>
    <w:basedOn w:val="DefaultParagraphFont"/>
    <w:rsid w:val="009A7F46"/>
  </w:style>
  <w:style w:type="character" w:customStyle="1" w:styleId="doi1">
    <w:name w:val="doi1"/>
    <w:basedOn w:val="DefaultParagraphFont"/>
    <w:rsid w:val="009A7F46"/>
  </w:style>
  <w:style w:type="character" w:customStyle="1" w:styleId="ref-journal">
    <w:name w:val="ref-journal"/>
    <w:basedOn w:val="DefaultParagraphFont"/>
    <w:rsid w:val="00043F66"/>
  </w:style>
  <w:style w:type="character" w:customStyle="1" w:styleId="ref-vol">
    <w:name w:val="ref-vol"/>
    <w:basedOn w:val="DefaultParagraphFont"/>
    <w:rsid w:val="00043F66"/>
  </w:style>
  <w:style w:type="paragraph" w:customStyle="1" w:styleId="TableParagraph">
    <w:name w:val="Table Paragraph"/>
    <w:basedOn w:val="Normal"/>
    <w:uiPriority w:val="1"/>
    <w:qFormat/>
    <w:rsid w:val="005179F6"/>
    <w:rPr>
      <w:lang w:val="en-US"/>
    </w:rPr>
  </w:style>
  <w:style w:type="paragraph" w:customStyle="1" w:styleId="Arialheadinglarge">
    <w:name w:val="Arial heading large"/>
    <w:basedOn w:val="Arialheading1"/>
    <w:autoRedefine/>
    <w:uiPriority w:val="1"/>
    <w:rsid w:val="00701B53"/>
    <w:rPr>
      <w:szCs w:val="24"/>
    </w:rPr>
  </w:style>
  <w:style w:type="character" w:styleId="FollowedHyperlink">
    <w:name w:val="FollowedHyperlink"/>
    <w:basedOn w:val="DefaultParagraphFont"/>
    <w:uiPriority w:val="99"/>
    <w:semiHidden/>
    <w:unhideWhenUsed/>
    <w:rsid w:val="000D350F"/>
    <w:rPr>
      <w:color w:val="919191" w:themeColor="followedHyperlink"/>
      <w:u w:val="single"/>
    </w:rPr>
  </w:style>
  <w:style w:type="character" w:customStyle="1" w:styleId="Heading3Char">
    <w:name w:val="Heading 3 Char"/>
    <w:basedOn w:val="DefaultParagraphFont"/>
    <w:link w:val="Heading3"/>
    <w:uiPriority w:val="9"/>
    <w:rsid w:val="005179F6"/>
    <w:rPr>
      <w:rFonts w:asciiTheme="majorHAnsi" w:eastAsiaTheme="majorEastAsia" w:hAnsiTheme="majorHAnsi" w:cstheme="majorBidi"/>
      <w:b/>
      <w:bCs/>
      <w:color w:val="DDDDDD" w:themeColor="accent1"/>
    </w:rPr>
  </w:style>
  <w:style w:type="character" w:customStyle="1" w:styleId="Heading4Char">
    <w:name w:val="Heading 4 Char"/>
    <w:basedOn w:val="DefaultParagraphFont"/>
    <w:link w:val="Heading4"/>
    <w:uiPriority w:val="9"/>
    <w:rsid w:val="005179F6"/>
    <w:rPr>
      <w:rFonts w:asciiTheme="majorHAnsi" w:eastAsiaTheme="majorEastAsia" w:hAnsiTheme="majorHAnsi" w:cstheme="majorBidi"/>
      <w:b/>
      <w:bCs/>
      <w:i/>
      <w:iCs/>
      <w:color w:val="DDDDDD" w:themeColor="accent1"/>
    </w:rPr>
  </w:style>
  <w:style w:type="paragraph" w:styleId="TOC1">
    <w:name w:val="toc 1"/>
    <w:basedOn w:val="Normal"/>
    <w:next w:val="Normal"/>
    <w:autoRedefine/>
    <w:uiPriority w:val="39"/>
    <w:unhideWhenUsed/>
    <w:qFormat/>
    <w:rsid w:val="00DE3603"/>
    <w:pPr>
      <w:tabs>
        <w:tab w:val="right" w:leader="dot" w:pos="9639"/>
      </w:tabs>
      <w:spacing w:after="100"/>
    </w:pPr>
  </w:style>
  <w:style w:type="paragraph" w:styleId="TOC2">
    <w:name w:val="toc 2"/>
    <w:basedOn w:val="Normal"/>
    <w:next w:val="Normal"/>
    <w:autoRedefine/>
    <w:uiPriority w:val="39"/>
    <w:unhideWhenUsed/>
    <w:qFormat/>
    <w:rsid w:val="005179F6"/>
    <w:pPr>
      <w:spacing w:after="100"/>
      <w:ind w:left="220"/>
    </w:pPr>
  </w:style>
  <w:style w:type="paragraph" w:styleId="Header">
    <w:name w:val="header"/>
    <w:basedOn w:val="Normal"/>
    <w:link w:val="HeaderChar"/>
    <w:uiPriority w:val="99"/>
    <w:unhideWhenUsed/>
    <w:rsid w:val="00F74586"/>
    <w:pPr>
      <w:tabs>
        <w:tab w:val="center" w:pos="4513"/>
        <w:tab w:val="right" w:pos="9026"/>
      </w:tabs>
    </w:pPr>
  </w:style>
  <w:style w:type="character" w:customStyle="1" w:styleId="HeaderChar">
    <w:name w:val="Header Char"/>
    <w:basedOn w:val="DefaultParagraphFont"/>
    <w:link w:val="Header"/>
    <w:uiPriority w:val="99"/>
    <w:rsid w:val="00F74586"/>
  </w:style>
  <w:style w:type="paragraph" w:styleId="Footer">
    <w:name w:val="footer"/>
    <w:basedOn w:val="Normal"/>
    <w:link w:val="FooterChar"/>
    <w:uiPriority w:val="99"/>
    <w:unhideWhenUsed/>
    <w:rsid w:val="00F74586"/>
    <w:pPr>
      <w:tabs>
        <w:tab w:val="center" w:pos="4513"/>
        <w:tab w:val="right" w:pos="9026"/>
      </w:tabs>
    </w:pPr>
  </w:style>
  <w:style w:type="character" w:customStyle="1" w:styleId="FooterChar">
    <w:name w:val="Footer Char"/>
    <w:basedOn w:val="DefaultParagraphFont"/>
    <w:link w:val="Footer"/>
    <w:uiPriority w:val="99"/>
    <w:rsid w:val="00F74586"/>
  </w:style>
  <w:style w:type="paragraph" w:customStyle="1" w:styleId="Pa26">
    <w:name w:val="Pa26"/>
    <w:basedOn w:val="Normal"/>
    <w:next w:val="Normal"/>
    <w:uiPriority w:val="99"/>
    <w:rsid w:val="00C866BA"/>
    <w:pPr>
      <w:widowControl/>
      <w:autoSpaceDE w:val="0"/>
      <w:autoSpaceDN w:val="0"/>
      <w:adjustRightInd w:val="0"/>
      <w:spacing w:line="181" w:lineRule="atLeast"/>
    </w:pPr>
    <w:rPr>
      <w:rFonts w:ascii="TitilliumText22L Lt" w:hAnsi="TitilliumText22L Lt"/>
      <w:sz w:val="24"/>
      <w:szCs w:val="24"/>
    </w:rPr>
  </w:style>
  <w:style w:type="paragraph" w:styleId="EndnoteText">
    <w:name w:val="endnote text"/>
    <w:basedOn w:val="Normal"/>
    <w:link w:val="EndnoteTextChar"/>
    <w:uiPriority w:val="99"/>
    <w:semiHidden/>
    <w:unhideWhenUsed/>
    <w:rsid w:val="009D7E40"/>
    <w:rPr>
      <w:sz w:val="20"/>
      <w:szCs w:val="20"/>
    </w:rPr>
  </w:style>
  <w:style w:type="character" w:customStyle="1" w:styleId="EndnoteTextChar">
    <w:name w:val="Endnote Text Char"/>
    <w:basedOn w:val="DefaultParagraphFont"/>
    <w:link w:val="EndnoteText"/>
    <w:uiPriority w:val="99"/>
    <w:semiHidden/>
    <w:rsid w:val="009D7E40"/>
    <w:rPr>
      <w:sz w:val="20"/>
      <w:szCs w:val="20"/>
    </w:rPr>
  </w:style>
  <w:style w:type="character" w:styleId="EndnoteReference">
    <w:name w:val="endnote reference"/>
    <w:basedOn w:val="DefaultParagraphFont"/>
    <w:uiPriority w:val="99"/>
    <w:semiHidden/>
    <w:unhideWhenUsed/>
    <w:rsid w:val="009D7E40"/>
    <w:rPr>
      <w:vertAlign w:val="superscript"/>
    </w:rPr>
  </w:style>
  <w:style w:type="paragraph" w:styleId="FootnoteText">
    <w:name w:val="footnote text"/>
    <w:basedOn w:val="Normal"/>
    <w:link w:val="FootnoteTextChar"/>
    <w:uiPriority w:val="99"/>
    <w:unhideWhenUsed/>
    <w:rsid w:val="009D7E40"/>
    <w:rPr>
      <w:sz w:val="20"/>
      <w:szCs w:val="20"/>
    </w:rPr>
  </w:style>
  <w:style w:type="character" w:customStyle="1" w:styleId="FootnoteTextChar">
    <w:name w:val="Footnote Text Char"/>
    <w:basedOn w:val="DefaultParagraphFont"/>
    <w:link w:val="FootnoteText"/>
    <w:uiPriority w:val="99"/>
    <w:rsid w:val="009D7E40"/>
    <w:rPr>
      <w:sz w:val="20"/>
      <w:szCs w:val="20"/>
    </w:rPr>
  </w:style>
  <w:style w:type="character" w:styleId="FootnoteReference">
    <w:name w:val="footnote reference"/>
    <w:basedOn w:val="DefaultParagraphFont"/>
    <w:uiPriority w:val="99"/>
    <w:semiHidden/>
    <w:unhideWhenUsed/>
    <w:rsid w:val="009D7E40"/>
    <w:rPr>
      <w:vertAlign w:val="superscript"/>
    </w:rPr>
  </w:style>
  <w:style w:type="table" w:styleId="LightShading">
    <w:name w:val="Light Shading"/>
    <w:basedOn w:val="TableNormal"/>
    <w:uiPriority w:val="60"/>
    <w:rsid w:val="00BD0B1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1"/>
    <w:basedOn w:val="TableNormal"/>
    <w:uiPriority w:val="99"/>
    <w:rsid w:val="009C0295"/>
    <w:pPr>
      <w:spacing w:after="0" w:line="240" w:lineRule="auto"/>
    </w:pPr>
    <w:tblPr/>
  </w:style>
  <w:style w:type="character" w:customStyle="1" w:styleId="Heading5Char">
    <w:name w:val="Heading 5 Char"/>
    <w:basedOn w:val="DefaultParagraphFont"/>
    <w:link w:val="Heading5"/>
    <w:uiPriority w:val="9"/>
    <w:semiHidden/>
    <w:rsid w:val="005179F6"/>
    <w:rPr>
      <w:rFonts w:asciiTheme="majorHAnsi" w:eastAsiaTheme="majorEastAsia" w:hAnsiTheme="majorHAnsi" w:cstheme="majorBidi"/>
      <w:color w:val="6E6E6E" w:themeColor="accent1" w:themeShade="7F"/>
    </w:rPr>
  </w:style>
  <w:style w:type="character" w:customStyle="1" w:styleId="Heading6Char">
    <w:name w:val="Heading 6 Char"/>
    <w:basedOn w:val="DefaultParagraphFont"/>
    <w:link w:val="Heading6"/>
    <w:uiPriority w:val="9"/>
    <w:semiHidden/>
    <w:rsid w:val="005179F6"/>
    <w:rPr>
      <w:rFonts w:asciiTheme="majorHAnsi" w:eastAsiaTheme="majorEastAsia" w:hAnsiTheme="majorHAnsi" w:cstheme="majorBidi"/>
      <w:i/>
      <w:iCs/>
      <w:color w:val="6E6E6E" w:themeColor="accent1" w:themeShade="7F"/>
    </w:rPr>
  </w:style>
  <w:style w:type="character" w:customStyle="1" w:styleId="Heading7Char">
    <w:name w:val="Heading 7 Char"/>
    <w:basedOn w:val="DefaultParagraphFont"/>
    <w:link w:val="Heading7"/>
    <w:uiPriority w:val="9"/>
    <w:semiHidden/>
    <w:rsid w:val="005179F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179F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179F6"/>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5179F6"/>
    <w:pPr>
      <w:pBdr>
        <w:bottom w:val="single" w:sz="8" w:space="4" w:color="DDDDDD"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179F6"/>
    <w:rPr>
      <w:rFonts w:asciiTheme="majorHAnsi" w:eastAsiaTheme="majorEastAsia" w:hAnsiTheme="majorHAnsi" w:cstheme="majorBidi"/>
      <w:color w:val="000000" w:themeColor="text2" w:themeShade="BF"/>
      <w:spacing w:val="5"/>
      <w:kern w:val="28"/>
      <w:sz w:val="52"/>
      <w:szCs w:val="52"/>
    </w:rPr>
  </w:style>
  <w:style w:type="paragraph" w:styleId="Subtitle">
    <w:name w:val="Subtitle"/>
    <w:basedOn w:val="Normal"/>
    <w:next w:val="Normal"/>
    <w:link w:val="SubtitleChar"/>
    <w:uiPriority w:val="11"/>
    <w:qFormat/>
    <w:rsid w:val="005179F6"/>
    <w:pPr>
      <w:numPr>
        <w:ilvl w:val="1"/>
      </w:numPr>
    </w:pPr>
    <w:rPr>
      <w:rFonts w:asciiTheme="majorHAnsi" w:eastAsiaTheme="majorEastAsia" w:hAnsiTheme="majorHAnsi" w:cstheme="majorBidi"/>
      <w:i/>
      <w:iCs/>
      <w:color w:val="DDDDDD" w:themeColor="accent1"/>
      <w:spacing w:val="15"/>
      <w:sz w:val="24"/>
      <w:szCs w:val="24"/>
    </w:rPr>
  </w:style>
  <w:style w:type="character" w:customStyle="1" w:styleId="SubtitleChar">
    <w:name w:val="Subtitle Char"/>
    <w:basedOn w:val="DefaultParagraphFont"/>
    <w:link w:val="Subtitle"/>
    <w:uiPriority w:val="11"/>
    <w:rsid w:val="005179F6"/>
    <w:rPr>
      <w:rFonts w:asciiTheme="majorHAnsi" w:eastAsiaTheme="majorEastAsia" w:hAnsiTheme="majorHAnsi" w:cstheme="majorBidi"/>
      <w:i/>
      <w:iCs/>
      <w:color w:val="DDDDDD" w:themeColor="accent1"/>
      <w:spacing w:val="15"/>
      <w:sz w:val="24"/>
      <w:szCs w:val="24"/>
    </w:rPr>
  </w:style>
  <w:style w:type="character" w:styleId="Strong">
    <w:name w:val="Strong"/>
    <w:basedOn w:val="DefaultParagraphFont"/>
    <w:uiPriority w:val="22"/>
    <w:qFormat/>
    <w:rsid w:val="005179F6"/>
    <w:rPr>
      <w:b/>
      <w:bCs/>
    </w:rPr>
  </w:style>
  <w:style w:type="paragraph" w:styleId="NoSpacing">
    <w:name w:val="No Spacing"/>
    <w:basedOn w:val="Normal"/>
    <w:uiPriority w:val="1"/>
    <w:qFormat/>
    <w:rsid w:val="005179F6"/>
  </w:style>
  <w:style w:type="paragraph" w:styleId="Quote">
    <w:name w:val="Quote"/>
    <w:basedOn w:val="Normal"/>
    <w:next w:val="Normal"/>
    <w:link w:val="QuoteChar"/>
    <w:uiPriority w:val="29"/>
    <w:qFormat/>
    <w:rsid w:val="005179F6"/>
    <w:rPr>
      <w:i/>
      <w:iCs/>
      <w:color w:val="000000" w:themeColor="text1"/>
    </w:rPr>
  </w:style>
  <w:style w:type="character" w:customStyle="1" w:styleId="QuoteChar">
    <w:name w:val="Quote Char"/>
    <w:basedOn w:val="DefaultParagraphFont"/>
    <w:link w:val="Quote"/>
    <w:uiPriority w:val="29"/>
    <w:rsid w:val="005179F6"/>
    <w:rPr>
      <w:i/>
      <w:iCs/>
      <w:color w:val="000000" w:themeColor="text1"/>
    </w:rPr>
  </w:style>
  <w:style w:type="paragraph" w:styleId="IntenseQuote">
    <w:name w:val="Intense Quote"/>
    <w:basedOn w:val="Normal"/>
    <w:next w:val="Normal"/>
    <w:link w:val="IntenseQuoteChar"/>
    <w:uiPriority w:val="30"/>
    <w:qFormat/>
    <w:rsid w:val="005179F6"/>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rsid w:val="005179F6"/>
    <w:rPr>
      <w:b/>
      <w:bCs/>
      <w:i/>
      <w:iCs/>
      <w:color w:val="DDDDDD" w:themeColor="accent1"/>
    </w:rPr>
  </w:style>
  <w:style w:type="character" w:styleId="SubtleEmphasis">
    <w:name w:val="Subtle Emphasis"/>
    <w:uiPriority w:val="19"/>
    <w:qFormat/>
    <w:rsid w:val="005179F6"/>
    <w:rPr>
      <w:i/>
      <w:iCs/>
      <w:color w:val="808080" w:themeColor="text1" w:themeTint="7F"/>
    </w:rPr>
  </w:style>
  <w:style w:type="character" w:styleId="IntenseEmphasis">
    <w:name w:val="Intense Emphasis"/>
    <w:uiPriority w:val="21"/>
    <w:qFormat/>
    <w:rsid w:val="005179F6"/>
    <w:rPr>
      <w:b/>
      <w:bCs/>
      <w:i/>
      <w:iCs/>
      <w:color w:val="DDDDDD" w:themeColor="accent1"/>
    </w:rPr>
  </w:style>
  <w:style w:type="character" w:styleId="SubtleReference">
    <w:name w:val="Subtle Reference"/>
    <w:uiPriority w:val="31"/>
    <w:qFormat/>
    <w:rsid w:val="005179F6"/>
    <w:rPr>
      <w:smallCaps/>
      <w:color w:val="B2B2B2" w:themeColor="accent2"/>
      <w:u w:val="single"/>
    </w:rPr>
  </w:style>
  <w:style w:type="character" w:styleId="IntenseReference">
    <w:name w:val="Intense Reference"/>
    <w:uiPriority w:val="32"/>
    <w:qFormat/>
    <w:rsid w:val="005179F6"/>
    <w:rPr>
      <w:b/>
      <w:bCs/>
      <w:smallCaps/>
      <w:color w:val="B2B2B2" w:themeColor="accent2"/>
      <w:spacing w:val="5"/>
      <w:u w:val="single"/>
    </w:rPr>
  </w:style>
  <w:style w:type="character" w:styleId="BookTitle">
    <w:name w:val="Book Title"/>
    <w:uiPriority w:val="33"/>
    <w:qFormat/>
    <w:rsid w:val="005179F6"/>
    <w:rPr>
      <w:b/>
      <w:bCs/>
      <w:smallCaps/>
      <w:spacing w:val="5"/>
    </w:rPr>
  </w:style>
  <w:style w:type="paragraph" w:styleId="TOCHeading">
    <w:name w:val="TOC Heading"/>
    <w:basedOn w:val="Heading1"/>
    <w:next w:val="Normal"/>
    <w:uiPriority w:val="39"/>
    <w:unhideWhenUsed/>
    <w:qFormat/>
    <w:rsid w:val="005179F6"/>
    <w:pPr>
      <w:widowControl/>
      <w:spacing w:line="276" w:lineRule="auto"/>
      <w:outlineLvl w:val="9"/>
    </w:pPr>
    <w:rPr>
      <w:lang w:val="en-US" w:eastAsia="ja-JP"/>
    </w:rPr>
  </w:style>
  <w:style w:type="paragraph" w:styleId="Caption">
    <w:name w:val="caption"/>
    <w:basedOn w:val="Normal"/>
    <w:next w:val="Normal"/>
    <w:uiPriority w:val="35"/>
    <w:semiHidden/>
    <w:unhideWhenUsed/>
    <w:qFormat/>
    <w:rsid w:val="005179F6"/>
    <w:pPr>
      <w:spacing w:after="200"/>
    </w:pPr>
    <w:rPr>
      <w:b/>
      <w:bCs/>
      <w:color w:val="DDDDDD" w:themeColor="accent1"/>
      <w:sz w:val="18"/>
      <w:szCs w:val="18"/>
    </w:rPr>
  </w:style>
  <w:style w:type="paragraph" w:customStyle="1" w:styleId="Arialheading2">
    <w:name w:val="Arial heading 2"/>
    <w:basedOn w:val="Normal"/>
    <w:uiPriority w:val="1"/>
    <w:qFormat/>
    <w:rsid w:val="005179F6"/>
    <w:rPr>
      <w:rFonts w:ascii="Arial" w:hAnsi="Arial" w:cs="Arial"/>
      <w:b/>
      <w:sz w:val="24"/>
    </w:rPr>
  </w:style>
  <w:style w:type="character" w:customStyle="1" w:styleId="Heading2Char1">
    <w:name w:val="Heading 2 Char1"/>
    <w:basedOn w:val="DefaultParagraphFont"/>
    <w:link w:val="Heading2"/>
    <w:uiPriority w:val="9"/>
    <w:rsid w:val="00AD3F32"/>
    <w:rPr>
      <w:rFonts w:ascii="TitilliumText25L" w:eastAsia="TitilliumText25L" w:hAnsi="TitilliumText25L" w:cs="TitilliumText25L"/>
      <w:color w:val="D0202E"/>
      <w:sz w:val="40"/>
      <w:szCs w:val="60"/>
    </w:rPr>
  </w:style>
  <w:style w:type="paragraph" w:styleId="TOC3">
    <w:name w:val="toc 3"/>
    <w:basedOn w:val="Normal"/>
    <w:next w:val="Normal"/>
    <w:autoRedefine/>
    <w:uiPriority w:val="39"/>
    <w:unhideWhenUsed/>
    <w:qFormat/>
    <w:rsid w:val="005179F6"/>
    <w:pPr>
      <w:spacing w:after="100"/>
      <w:ind w:left="440"/>
    </w:pPr>
  </w:style>
  <w:style w:type="table" w:customStyle="1" w:styleId="TableGrid1">
    <w:name w:val="Table Grid1"/>
    <w:basedOn w:val="TableNormal"/>
    <w:next w:val="TableGrid"/>
    <w:uiPriority w:val="59"/>
    <w:rsid w:val="006E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ED5363"/>
    <w:pPr>
      <w:widowControl/>
    </w:pPr>
    <w:rPr>
      <w:rFonts w:ascii="Consolas" w:hAnsi="Consolas" w:cs="Consolas"/>
      <w:sz w:val="21"/>
      <w:szCs w:val="21"/>
      <w:lang w:eastAsia="en-AU"/>
    </w:rPr>
  </w:style>
  <w:style w:type="character" w:customStyle="1" w:styleId="PlainTextChar">
    <w:name w:val="Plain Text Char"/>
    <w:basedOn w:val="DefaultParagraphFont"/>
    <w:link w:val="PlainText"/>
    <w:uiPriority w:val="99"/>
    <w:rsid w:val="00ED5363"/>
    <w:rPr>
      <w:rFonts w:ascii="Consolas" w:hAnsi="Consolas" w:cs="Consolas"/>
      <w:sz w:val="21"/>
      <w:szCs w:val="21"/>
      <w:lang w:eastAsia="en-AU"/>
    </w:rPr>
  </w:style>
  <w:style w:type="paragraph" w:styleId="Revision">
    <w:name w:val="Revision"/>
    <w:hidden/>
    <w:uiPriority w:val="99"/>
    <w:semiHidden/>
    <w:rsid w:val="008539E6"/>
    <w:pPr>
      <w:spacing w:after="0" w:line="240" w:lineRule="auto"/>
    </w:pPr>
  </w:style>
  <w:style w:type="paragraph" w:customStyle="1" w:styleId="Default">
    <w:name w:val="Default"/>
    <w:rsid w:val="00D41B7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wrap">
    <w:name w:val="nowrap"/>
    <w:basedOn w:val="DefaultParagraphFont"/>
    <w:rsid w:val="00D41B7B"/>
  </w:style>
  <w:style w:type="paragraph" w:styleId="NormalWeb">
    <w:name w:val="Normal (Web)"/>
    <w:basedOn w:val="Normal"/>
    <w:uiPriority w:val="99"/>
    <w:unhideWhenUsed/>
    <w:rsid w:val="00D41B7B"/>
    <w:pPr>
      <w:widowControl/>
      <w:spacing w:before="100" w:beforeAutospacing="1" w:after="100" w:afterAutospacing="1"/>
    </w:pPr>
    <w:rPr>
      <w:rFonts w:ascii="Times New Roman" w:eastAsia="Times New Roman" w:hAnsi="Times New Roman" w:cs="Times New Roman"/>
      <w:sz w:val="24"/>
      <w:szCs w:val="24"/>
      <w:lang w:eastAsia="en-AU"/>
    </w:rPr>
  </w:style>
  <w:style w:type="paragraph" w:styleId="BlockText">
    <w:name w:val="Block Text"/>
    <w:basedOn w:val="Normal"/>
    <w:rsid w:val="00D41B7B"/>
    <w:pPr>
      <w:widowControl/>
      <w:suppressAutoHyphens/>
      <w:spacing w:after="200"/>
    </w:pPr>
    <w:rPr>
      <w:rFonts w:ascii="Times New Roman" w:eastAsia="Times New Roman" w:hAnsi="Times New Roman" w:cs="Times New Roman"/>
      <w:sz w:val="24"/>
      <w:szCs w:val="20"/>
      <w:lang w:val="en-US" w:eastAsia="ar-SA"/>
    </w:rPr>
  </w:style>
  <w:style w:type="character" w:customStyle="1" w:styleId="apple-converted-space">
    <w:name w:val="apple-converted-space"/>
    <w:basedOn w:val="DefaultParagraphFont"/>
    <w:rsid w:val="00D41B7B"/>
  </w:style>
  <w:style w:type="character" w:customStyle="1" w:styleId="citation-abbreviation">
    <w:name w:val="citation-abbreviation"/>
    <w:basedOn w:val="DefaultParagraphFont"/>
    <w:rsid w:val="00D41B7B"/>
  </w:style>
  <w:style w:type="character" w:customStyle="1" w:styleId="citation-volume">
    <w:name w:val="citation-volume"/>
    <w:basedOn w:val="DefaultParagraphFont"/>
    <w:rsid w:val="00D41B7B"/>
  </w:style>
  <w:style w:type="character" w:customStyle="1" w:styleId="citation-flpages">
    <w:name w:val="citation-flpages"/>
    <w:basedOn w:val="DefaultParagraphFont"/>
    <w:rsid w:val="00D41B7B"/>
  </w:style>
  <w:style w:type="paragraph" w:customStyle="1" w:styleId="p">
    <w:name w:val="p"/>
    <w:basedOn w:val="Normal"/>
    <w:rsid w:val="00D41B7B"/>
    <w:pPr>
      <w:widowControl/>
      <w:spacing w:after="360"/>
    </w:pPr>
    <w:rPr>
      <w:rFonts w:ascii="Times New Roman" w:eastAsia="Times New Roman" w:hAnsi="Times New Roman" w:cs="Times New Roman"/>
      <w:sz w:val="24"/>
      <w:szCs w:val="24"/>
      <w:lang w:eastAsia="en-AU"/>
    </w:rPr>
  </w:style>
  <w:style w:type="character" w:customStyle="1" w:styleId="sp1">
    <w:name w:val="sp1"/>
    <w:basedOn w:val="DefaultParagraphFont"/>
    <w:rsid w:val="00D41B7B"/>
    <w:rPr>
      <w:sz w:val="19"/>
      <w:szCs w:val="19"/>
      <w:vertAlign w:val="baseline"/>
    </w:rPr>
  </w:style>
  <w:style w:type="character" w:customStyle="1" w:styleId="hd6">
    <w:name w:val="hd6"/>
    <w:basedOn w:val="DefaultParagraphFont"/>
    <w:rsid w:val="00D41B7B"/>
    <w:rPr>
      <w:b/>
      <w:bCs/>
      <w:vanish w:val="0"/>
      <w:webHidden w:val="0"/>
      <w:sz w:val="24"/>
      <w:szCs w:val="24"/>
      <w:specVanish w:val="0"/>
    </w:rPr>
  </w:style>
  <w:style w:type="character" w:customStyle="1" w:styleId="bold">
    <w:name w:val="bold"/>
    <w:basedOn w:val="DefaultParagraphFont"/>
    <w:rsid w:val="00D41B7B"/>
  </w:style>
  <w:style w:type="character" w:customStyle="1" w:styleId="sp">
    <w:name w:val="sp"/>
    <w:basedOn w:val="DefaultParagraphFont"/>
    <w:rsid w:val="00D41B7B"/>
  </w:style>
  <w:style w:type="character" w:customStyle="1" w:styleId="italic">
    <w:name w:val="italic"/>
    <w:basedOn w:val="DefaultParagraphFont"/>
    <w:rsid w:val="00D41B7B"/>
  </w:style>
  <w:style w:type="character" w:customStyle="1" w:styleId="sb">
    <w:name w:val="sb"/>
    <w:basedOn w:val="DefaultParagraphFont"/>
    <w:rsid w:val="00D41B7B"/>
  </w:style>
  <w:style w:type="numbering" w:customStyle="1" w:styleId="NoList1">
    <w:name w:val="No List1"/>
    <w:next w:val="NoList"/>
    <w:uiPriority w:val="99"/>
    <w:semiHidden/>
    <w:unhideWhenUsed/>
    <w:rsid w:val="00D41B7B"/>
  </w:style>
  <w:style w:type="paragraph" w:customStyle="1" w:styleId="SAH-Introduction">
    <w:name w:val="SAH-Introduction"/>
    <w:basedOn w:val="Normal"/>
    <w:rsid w:val="00D41B7B"/>
    <w:pPr>
      <w:numPr>
        <w:numId w:val="5"/>
      </w:numPr>
      <w:tabs>
        <w:tab w:val="clear" w:pos="153"/>
        <w:tab w:val="left" w:pos="180"/>
      </w:tabs>
      <w:suppressAutoHyphens/>
      <w:autoSpaceDE w:val="0"/>
      <w:autoSpaceDN w:val="0"/>
      <w:adjustRightInd w:val="0"/>
      <w:spacing w:after="170" w:line="320" w:lineRule="atLeast"/>
      <w:ind w:left="0" w:firstLine="0"/>
      <w:textAlignment w:val="center"/>
    </w:pPr>
    <w:rPr>
      <w:rFonts w:ascii="Arial" w:eastAsia="Calibri" w:hAnsi="Arial" w:cs="Times New Roman"/>
      <w:color w:val="767878"/>
      <w:sz w:val="24"/>
      <w:szCs w:val="24"/>
      <w:lang w:val="en-GB"/>
    </w:rPr>
  </w:style>
  <w:style w:type="paragraph" w:customStyle="1" w:styleId="SAH-Subhead2">
    <w:name w:val="SAH-Subhead 2"/>
    <w:basedOn w:val="Normal"/>
    <w:link w:val="SAH-Subhead2Char"/>
    <w:rsid w:val="00D41B7B"/>
    <w:pPr>
      <w:suppressAutoHyphens/>
      <w:autoSpaceDE w:val="0"/>
      <w:autoSpaceDN w:val="0"/>
      <w:adjustRightInd w:val="0"/>
      <w:spacing w:before="240" w:after="85" w:line="280" w:lineRule="atLeast"/>
      <w:textAlignment w:val="center"/>
    </w:pPr>
    <w:rPr>
      <w:rFonts w:ascii="Arial" w:eastAsia="Times New Roman" w:hAnsi="Arial" w:cs="Times New Roman"/>
      <w:b/>
      <w:color w:val="8F877A"/>
      <w:sz w:val="23"/>
      <w:szCs w:val="23"/>
      <w:lang w:val="en-GB"/>
    </w:rPr>
  </w:style>
  <w:style w:type="paragraph" w:customStyle="1" w:styleId="SAH-Subhead1">
    <w:name w:val="SAH-Subhead 1"/>
    <w:link w:val="SAH-Subhead1Char"/>
    <w:rsid w:val="00D41B7B"/>
    <w:pPr>
      <w:widowControl w:val="0"/>
      <w:suppressAutoHyphens/>
      <w:autoSpaceDE w:val="0"/>
      <w:autoSpaceDN w:val="0"/>
      <w:adjustRightInd w:val="0"/>
      <w:spacing w:before="227" w:after="85" w:line="340" w:lineRule="atLeast"/>
      <w:textAlignment w:val="center"/>
    </w:pPr>
    <w:rPr>
      <w:rFonts w:ascii="Arial" w:eastAsia="Times New Roman" w:hAnsi="Arial" w:cs="Times New Roman"/>
      <w:color w:val="0077B0"/>
      <w:sz w:val="28"/>
      <w:szCs w:val="28"/>
      <w:lang w:val="en-GB"/>
    </w:rPr>
  </w:style>
  <w:style w:type="paragraph" w:customStyle="1" w:styleId="SAH-Subhead3">
    <w:name w:val="SAH-Subhead 3"/>
    <w:basedOn w:val="Normal"/>
    <w:rsid w:val="00D41B7B"/>
    <w:pPr>
      <w:tabs>
        <w:tab w:val="left" w:pos="180"/>
      </w:tabs>
      <w:suppressAutoHyphens/>
      <w:autoSpaceDE w:val="0"/>
      <w:autoSpaceDN w:val="0"/>
      <w:adjustRightInd w:val="0"/>
      <w:spacing w:before="120" w:after="71" w:line="280" w:lineRule="atLeast"/>
      <w:textAlignment w:val="center"/>
    </w:pPr>
    <w:rPr>
      <w:rFonts w:ascii="Arial" w:eastAsia="Calibri" w:hAnsi="Arial" w:cs="Times New Roman"/>
      <w:b/>
      <w:color w:val="000000"/>
      <w:sz w:val="20"/>
      <w:szCs w:val="18"/>
      <w:lang w:val="en-GB"/>
    </w:rPr>
  </w:style>
  <w:style w:type="paragraph" w:customStyle="1" w:styleId="SAH-BulletPointsCopy">
    <w:name w:val="SAH-Bullet Points Copy"/>
    <w:basedOn w:val="Normal"/>
    <w:link w:val="SAH-BulletPointsCopyChar"/>
    <w:rsid w:val="00D41B7B"/>
    <w:pPr>
      <w:numPr>
        <w:numId w:val="3"/>
      </w:numPr>
      <w:tabs>
        <w:tab w:val="left" w:pos="198"/>
      </w:tabs>
      <w:suppressAutoHyphens/>
      <w:autoSpaceDE w:val="0"/>
      <w:autoSpaceDN w:val="0"/>
      <w:adjustRightInd w:val="0"/>
      <w:spacing w:after="57" w:line="280" w:lineRule="atLeast"/>
      <w:textAlignment w:val="center"/>
    </w:pPr>
    <w:rPr>
      <w:rFonts w:ascii="Arial" w:eastAsia="Calibri" w:hAnsi="Arial" w:cs="Times New Roman"/>
      <w:color w:val="131313"/>
      <w:sz w:val="20"/>
      <w:szCs w:val="18"/>
      <w:lang w:val="en-GB"/>
    </w:rPr>
  </w:style>
  <w:style w:type="paragraph" w:customStyle="1" w:styleId="SAH-BulletPointsCopylastline">
    <w:name w:val="SAH-Bullet Points Copy last line"/>
    <w:basedOn w:val="SAH-BulletPointsCopy"/>
    <w:next w:val="Normal"/>
    <w:rsid w:val="00D41B7B"/>
    <w:pPr>
      <w:numPr>
        <w:numId w:val="4"/>
      </w:numPr>
      <w:tabs>
        <w:tab w:val="clear" w:pos="198"/>
        <w:tab w:val="clear" w:pos="720"/>
        <w:tab w:val="left" w:pos="200"/>
        <w:tab w:val="num" w:pos="360"/>
      </w:tabs>
      <w:spacing w:after="113"/>
      <w:ind w:hanging="360"/>
    </w:pPr>
    <w:rPr>
      <w:color w:val="000000"/>
    </w:rPr>
  </w:style>
  <w:style w:type="character" w:customStyle="1" w:styleId="SAH-Subhead1Char">
    <w:name w:val="SAH-Subhead 1 Char"/>
    <w:link w:val="SAH-Subhead1"/>
    <w:rsid w:val="00D41B7B"/>
    <w:rPr>
      <w:rFonts w:ascii="Arial" w:eastAsia="Times New Roman" w:hAnsi="Arial" w:cs="Times New Roman"/>
      <w:color w:val="0077B0"/>
      <w:sz w:val="28"/>
      <w:szCs w:val="28"/>
      <w:lang w:val="en-GB"/>
    </w:rPr>
  </w:style>
  <w:style w:type="character" w:customStyle="1" w:styleId="SAH-BulletPointsCopyChar">
    <w:name w:val="SAH-Bullet Points Copy Char"/>
    <w:link w:val="SAH-BulletPointsCopy"/>
    <w:rsid w:val="00D41B7B"/>
    <w:rPr>
      <w:rFonts w:ascii="Arial" w:eastAsia="Calibri" w:hAnsi="Arial" w:cs="Times New Roman"/>
      <w:color w:val="131313"/>
      <w:sz w:val="20"/>
      <w:szCs w:val="18"/>
      <w:lang w:val="en-GB"/>
    </w:rPr>
  </w:style>
  <w:style w:type="character" w:customStyle="1" w:styleId="SAH-Subhead2Char">
    <w:name w:val="SAH-Subhead 2 Char"/>
    <w:link w:val="SAH-Subhead2"/>
    <w:rsid w:val="00D41B7B"/>
    <w:rPr>
      <w:rFonts w:ascii="Arial" w:eastAsia="Times New Roman" w:hAnsi="Arial" w:cs="Times New Roman"/>
      <w:b/>
      <w:color w:val="8F877A"/>
      <w:sz w:val="23"/>
      <w:szCs w:val="23"/>
      <w:lang w:val="en-GB"/>
    </w:rPr>
  </w:style>
  <w:style w:type="paragraph" w:customStyle="1" w:styleId="p1">
    <w:name w:val="p1"/>
    <w:basedOn w:val="Normal"/>
    <w:rsid w:val="00D41B7B"/>
    <w:pPr>
      <w:widowControl/>
      <w:spacing w:after="360"/>
    </w:pPr>
    <w:rPr>
      <w:rFonts w:ascii="Times New Roman" w:eastAsia="Times New Roman" w:hAnsi="Times New Roman" w:cs="Times New Roman"/>
      <w:sz w:val="24"/>
      <w:szCs w:val="24"/>
      <w:lang w:eastAsia="en-AU"/>
    </w:rPr>
  </w:style>
  <w:style w:type="paragraph" w:customStyle="1" w:styleId="GreySubHeading">
    <w:name w:val="Grey Sub Heading"/>
    <w:basedOn w:val="Normal"/>
    <w:next w:val="Normal"/>
    <w:uiPriority w:val="99"/>
    <w:rsid w:val="00A061E0"/>
    <w:pPr>
      <w:keepNext/>
      <w:keepLines/>
      <w:widowControl/>
      <w:suppressAutoHyphens/>
      <w:autoSpaceDE w:val="0"/>
      <w:autoSpaceDN w:val="0"/>
      <w:adjustRightInd w:val="0"/>
      <w:spacing w:before="120" w:after="120" w:line="288" w:lineRule="auto"/>
      <w:textAlignment w:val="center"/>
    </w:pPr>
    <w:rPr>
      <w:rFonts w:ascii="TitilliumText25L" w:hAnsi="TitilliumText25L" w:cs="TitilliumText25L"/>
      <w:color w:val="33374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179F6"/>
    <w:pPr>
      <w:widowControl w:val="0"/>
      <w:spacing w:after="0" w:line="240" w:lineRule="auto"/>
    </w:pPr>
  </w:style>
  <w:style w:type="paragraph" w:styleId="Heading1">
    <w:name w:val="heading 1"/>
    <w:basedOn w:val="Normal"/>
    <w:next w:val="Normal"/>
    <w:link w:val="Heading1Char"/>
    <w:autoRedefine/>
    <w:uiPriority w:val="9"/>
    <w:qFormat/>
    <w:rsid w:val="00BF2D8B"/>
    <w:pPr>
      <w:keepNext/>
      <w:keepLines/>
      <w:spacing w:before="120" w:after="120"/>
      <w:outlineLvl w:val="0"/>
    </w:pPr>
    <w:rPr>
      <w:rFonts w:asciiTheme="majorHAnsi" w:eastAsiaTheme="majorEastAsia" w:hAnsiTheme="majorHAnsi" w:cstheme="majorHAnsi"/>
      <w:b/>
      <w:bCs/>
      <w:sz w:val="24"/>
      <w:szCs w:val="28"/>
    </w:rPr>
  </w:style>
  <w:style w:type="paragraph" w:styleId="Heading2">
    <w:name w:val="heading 2"/>
    <w:basedOn w:val="Normal"/>
    <w:next w:val="Normal"/>
    <w:link w:val="Heading2Char1"/>
    <w:autoRedefine/>
    <w:uiPriority w:val="9"/>
    <w:unhideWhenUsed/>
    <w:qFormat/>
    <w:rsid w:val="00AD3F32"/>
    <w:pPr>
      <w:keepNext/>
      <w:keepLines/>
      <w:spacing w:before="120" w:after="120"/>
      <w:ind w:right="-1278"/>
      <w:outlineLvl w:val="1"/>
    </w:pPr>
    <w:rPr>
      <w:rFonts w:ascii="TitilliumText25L" w:eastAsia="TitilliumText25L" w:hAnsi="TitilliumText25L" w:cs="TitilliumText25L"/>
      <w:color w:val="D0202E"/>
      <w:sz w:val="40"/>
      <w:szCs w:val="60"/>
    </w:rPr>
  </w:style>
  <w:style w:type="paragraph" w:styleId="Heading3">
    <w:name w:val="heading 3"/>
    <w:basedOn w:val="Normal"/>
    <w:next w:val="Normal"/>
    <w:link w:val="Heading3Char"/>
    <w:uiPriority w:val="9"/>
    <w:unhideWhenUsed/>
    <w:qFormat/>
    <w:rsid w:val="005179F6"/>
    <w:pPr>
      <w:keepNext/>
      <w:keepLines/>
      <w:spacing w:before="20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unhideWhenUsed/>
    <w:qFormat/>
    <w:rsid w:val="005179F6"/>
    <w:pPr>
      <w:keepNext/>
      <w:keepLines/>
      <w:spacing w:before="200"/>
      <w:outlineLvl w:val="3"/>
    </w:pPr>
    <w:rPr>
      <w:rFonts w:asciiTheme="majorHAnsi" w:eastAsiaTheme="majorEastAsia" w:hAnsiTheme="majorHAnsi" w:cstheme="majorBidi"/>
      <w:b/>
      <w:bCs/>
      <w:i/>
      <w:iCs/>
      <w:color w:val="DDDDDD" w:themeColor="accent1"/>
    </w:rPr>
  </w:style>
  <w:style w:type="paragraph" w:styleId="Heading5">
    <w:name w:val="heading 5"/>
    <w:basedOn w:val="Normal"/>
    <w:next w:val="Normal"/>
    <w:link w:val="Heading5Char"/>
    <w:uiPriority w:val="9"/>
    <w:semiHidden/>
    <w:unhideWhenUsed/>
    <w:qFormat/>
    <w:rsid w:val="005179F6"/>
    <w:pPr>
      <w:keepNext/>
      <w:keepLines/>
      <w:spacing w:before="200"/>
      <w:outlineLvl w:val="4"/>
    </w:pPr>
    <w:rPr>
      <w:rFonts w:asciiTheme="majorHAnsi" w:eastAsiaTheme="majorEastAsia" w:hAnsiTheme="majorHAnsi" w:cstheme="majorBidi"/>
      <w:color w:val="6E6E6E" w:themeColor="accent1" w:themeShade="7F"/>
    </w:rPr>
  </w:style>
  <w:style w:type="paragraph" w:styleId="Heading6">
    <w:name w:val="heading 6"/>
    <w:basedOn w:val="Normal"/>
    <w:next w:val="Normal"/>
    <w:link w:val="Heading6Char"/>
    <w:uiPriority w:val="9"/>
    <w:semiHidden/>
    <w:unhideWhenUsed/>
    <w:qFormat/>
    <w:rsid w:val="005179F6"/>
    <w:pPr>
      <w:keepNext/>
      <w:keepLines/>
      <w:spacing w:before="200"/>
      <w:outlineLvl w:val="5"/>
    </w:pPr>
    <w:rPr>
      <w:rFonts w:asciiTheme="majorHAnsi" w:eastAsiaTheme="majorEastAsia" w:hAnsiTheme="majorHAnsi" w:cstheme="majorBidi"/>
      <w:i/>
      <w:iCs/>
      <w:color w:val="6E6E6E" w:themeColor="accent1" w:themeShade="7F"/>
    </w:rPr>
  </w:style>
  <w:style w:type="paragraph" w:styleId="Heading7">
    <w:name w:val="heading 7"/>
    <w:basedOn w:val="Normal"/>
    <w:next w:val="Normal"/>
    <w:link w:val="Heading7Char"/>
    <w:uiPriority w:val="9"/>
    <w:semiHidden/>
    <w:unhideWhenUsed/>
    <w:qFormat/>
    <w:rsid w:val="005179F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179F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179F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2D8B"/>
    <w:rPr>
      <w:rFonts w:asciiTheme="majorHAnsi" w:eastAsiaTheme="majorEastAsia" w:hAnsiTheme="majorHAnsi" w:cstheme="majorHAnsi"/>
      <w:b/>
      <w:bCs/>
      <w:sz w:val="24"/>
      <w:szCs w:val="28"/>
    </w:rPr>
  </w:style>
  <w:style w:type="character" w:customStyle="1" w:styleId="Heading2Char">
    <w:name w:val="Heading 2 Char"/>
    <w:basedOn w:val="DefaultParagraphFont"/>
    <w:uiPriority w:val="9"/>
    <w:rsid w:val="005179F6"/>
    <w:rPr>
      <w:rFonts w:asciiTheme="majorHAnsi" w:eastAsiaTheme="majorEastAsia" w:hAnsiTheme="majorHAnsi" w:cstheme="majorBidi"/>
      <w:b/>
      <w:bCs/>
      <w:sz w:val="26"/>
      <w:szCs w:val="26"/>
    </w:rPr>
  </w:style>
  <w:style w:type="paragraph" w:styleId="ListParagraph">
    <w:name w:val="List Paragraph"/>
    <w:basedOn w:val="Normal"/>
    <w:uiPriority w:val="34"/>
    <w:qFormat/>
    <w:rsid w:val="005179F6"/>
  </w:style>
  <w:style w:type="character" w:styleId="Hyperlink">
    <w:name w:val="Hyperlink"/>
    <w:basedOn w:val="DefaultParagraphFont"/>
    <w:uiPriority w:val="99"/>
    <w:unhideWhenUsed/>
    <w:rsid w:val="00A9748A"/>
    <w:rPr>
      <w:color w:val="0000FF"/>
      <w:u w:val="single"/>
    </w:rPr>
  </w:style>
  <w:style w:type="paragraph" w:customStyle="1" w:styleId="Arialheading1">
    <w:name w:val="Arial heading 1"/>
    <w:basedOn w:val="Arialheading2"/>
    <w:autoRedefine/>
    <w:uiPriority w:val="1"/>
    <w:qFormat/>
    <w:rsid w:val="005179F6"/>
    <w:pPr>
      <w:spacing w:before="120" w:after="120"/>
    </w:pPr>
    <w:rPr>
      <w:sz w:val="28"/>
      <w:szCs w:val="28"/>
      <w:lang w:val="en-GB" w:eastAsia="en-AU"/>
    </w:rPr>
  </w:style>
  <w:style w:type="paragraph" w:styleId="BodyText">
    <w:name w:val="Body Text"/>
    <w:basedOn w:val="Normal"/>
    <w:link w:val="BodyTextChar"/>
    <w:uiPriority w:val="1"/>
    <w:qFormat/>
    <w:rsid w:val="005179F6"/>
    <w:pPr>
      <w:ind w:left="680"/>
    </w:pPr>
    <w:rPr>
      <w:rFonts w:ascii="Arial" w:eastAsia="Arial" w:hAnsi="Arial"/>
      <w:sz w:val="18"/>
      <w:szCs w:val="18"/>
    </w:rPr>
  </w:style>
  <w:style w:type="character" w:customStyle="1" w:styleId="BodyTextChar">
    <w:name w:val="Body Text Char"/>
    <w:basedOn w:val="DefaultParagraphFont"/>
    <w:link w:val="BodyText"/>
    <w:uiPriority w:val="1"/>
    <w:rsid w:val="005179F6"/>
    <w:rPr>
      <w:rFonts w:ascii="Arial" w:eastAsia="Arial" w:hAnsi="Arial"/>
      <w:sz w:val="18"/>
      <w:szCs w:val="18"/>
    </w:rPr>
  </w:style>
  <w:style w:type="paragraph" w:customStyle="1" w:styleId="Body1">
    <w:name w:val="Body1"/>
    <w:basedOn w:val="Normal"/>
    <w:uiPriority w:val="99"/>
    <w:rsid w:val="00E10F41"/>
    <w:pPr>
      <w:widowControl/>
      <w:tabs>
        <w:tab w:val="left" w:pos="567"/>
        <w:tab w:val="left" w:pos="1134"/>
        <w:tab w:val="left" w:pos="1701"/>
      </w:tabs>
      <w:spacing w:before="60" w:after="120"/>
      <w:jc w:val="both"/>
    </w:pPr>
    <w:rPr>
      <w:rFonts w:ascii="Arial" w:eastAsia="Times New Roman" w:hAnsi="Arial" w:cs="Times New Roman"/>
      <w:color w:val="000000"/>
      <w:sz w:val="20"/>
      <w:szCs w:val="20"/>
      <w:lang w:val="en-GB" w:eastAsia="en-AU"/>
    </w:rPr>
  </w:style>
  <w:style w:type="paragraph" w:customStyle="1" w:styleId="DefaultIndent">
    <w:name w:val="Default Indent"/>
    <w:basedOn w:val="Normal"/>
    <w:uiPriority w:val="99"/>
    <w:rsid w:val="00E10F41"/>
    <w:pPr>
      <w:widowControl/>
      <w:tabs>
        <w:tab w:val="left" w:pos="5103"/>
      </w:tabs>
      <w:spacing w:before="60" w:after="120"/>
      <w:ind w:left="720"/>
      <w:jc w:val="both"/>
    </w:pPr>
    <w:rPr>
      <w:rFonts w:ascii="Arial" w:eastAsia="Times New Roman" w:hAnsi="Arial" w:cs="Times New Roman"/>
      <w:szCs w:val="20"/>
      <w:lang w:val="en-GB" w:eastAsia="en-AU"/>
    </w:rPr>
  </w:style>
  <w:style w:type="table" w:styleId="TableGrid">
    <w:name w:val="Table Grid"/>
    <w:basedOn w:val="TableNormal"/>
    <w:uiPriority w:val="59"/>
    <w:rsid w:val="00E10F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4394"/>
    <w:rPr>
      <w:rFonts w:ascii="Tahoma" w:hAnsi="Tahoma" w:cs="Tahoma"/>
      <w:sz w:val="16"/>
      <w:szCs w:val="16"/>
    </w:rPr>
  </w:style>
  <w:style w:type="character" w:customStyle="1" w:styleId="BalloonTextChar">
    <w:name w:val="Balloon Text Char"/>
    <w:basedOn w:val="DefaultParagraphFont"/>
    <w:link w:val="BalloonText"/>
    <w:uiPriority w:val="99"/>
    <w:semiHidden/>
    <w:rsid w:val="001F4394"/>
    <w:rPr>
      <w:rFonts w:ascii="Tahoma" w:hAnsi="Tahoma" w:cs="Tahoma"/>
      <w:sz w:val="16"/>
      <w:szCs w:val="16"/>
    </w:rPr>
  </w:style>
  <w:style w:type="character" w:styleId="Emphasis">
    <w:name w:val="Emphasis"/>
    <w:basedOn w:val="DefaultParagraphFont"/>
    <w:uiPriority w:val="20"/>
    <w:qFormat/>
    <w:rsid w:val="005179F6"/>
    <w:rPr>
      <w:i/>
      <w:iCs/>
    </w:rPr>
  </w:style>
  <w:style w:type="character" w:styleId="HTMLCite">
    <w:name w:val="HTML Cite"/>
    <w:basedOn w:val="DefaultParagraphFont"/>
    <w:uiPriority w:val="99"/>
    <w:semiHidden/>
    <w:unhideWhenUsed/>
    <w:rsid w:val="000B2EAC"/>
    <w:rPr>
      <w:i/>
      <w:iCs/>
    </w:rPr>
  </w:style>
  <w:style w:type="character" w:customStyle="1" w:styleId="cit-auth2">
    <w:name w:val="cit-auth2"/>
    <w:basedOn w:val="DefaultParagraphFont"/>
    <w:rsid w:val="000B2EAC"/>
  </w:style>
  <w:style w:type="character" w:customStyle="1" w:styleId="cit-name-surname">
    <w:name w:val="cit-name-surname"/>
    <w:basedOn w:val="DefaultParagraphFont"/>
    <w:rsid w:val="000B2EAC"/>
  </w:style>
  <w:style w:type="character" w:customStyle="1" w:styleId="cit-name-given-names">
    <w:name w:val="cit-name-given-names"/>
    <w:basedOn w:val="DefaultParagraphFont"/>
    <w:rsid w:val="000B2EAC"/>
  </w:style>
  <w:style w:type="character" w:customStyle="1" w:styleId="cit-etal">
    <w:name w:val="cit-etal"/>
    <w:basedOn w:val="DefaultParagraphFont"/>
    <w:rsid w:val="000B2EAC"/>
  </w:style>
  <w:style w:type="character" w:customStyle="1" w:styleId="cit-pub-date2">
    <w:name w:val="cit-pub-date2"/>
    <w:basedOn w:val="DefaultParagraphFont"/>
    <w:rsid w:val="000B2EAC"/>
  </w:style>
  <w:style w:type="character" w:customStyle="1" w:styleId="cit-article-title">
    <w:name w:val="cit-article-title"/>
    <w:basedOn w:val="DefaultParagraphFont"/>
    <w:rsid w:val="000B2EAC"/>
  </w:style>
  <w:style w:type="character" w:customStyle="1" w:styleId="cit-vol4">
    <w:name w:val="cit-vol4"/>
    <w:basedOn w:val="DefaultParagraphFont"/>
    <w:rsid w:val="000B2EAC"/>
  </w:style>
  <w:style w:type="character" w:customStyle="1" w:styleId="cit-issue">
    <w:name w:val="cit-issue"/>
    <w:basedOn w:val="DefaultParagraphFont"/>
    <w:rsid w:val="000B2EAC"/>
  </w:style>
  <w:style w:type="character" w:customStyle="1" w:styleId="cit-fpage">
    <w:name w:val="cit-fpage"/>
    <w:basedOn w:val="DefaultParagraphFont"/>
    <w:rsid w:val="000B2EAC"/>
  </w:style>
  <w:style w:type="character" w:customStyle="1" w:styleId="cit-lpage">
    <w:name w:val="cit-lpage"/>
    <w:basedOn w:val="DefaultParagraphFont"/>
    <w:rsid w:val="000B2EAC"/>
  </w:style>
  <w:style w:type="character" w:styleId="CommentReference">
    <w:name w:val="annotation reference"/>
    <w:basedOn w:val="DefaultParagraphFont"/>
    <w:uiPriority w:val="99"/>
    <w:semiHidden/>
    <w:unhideWhenUsed/>
    <w:rsid w:val="00A55EAD"/>
    <w:rPr>
      <w:sz w:val="16"/>
      <w:szCs w:val="16"/>
    </w:rPr>
  </w:style>
  <w:style w:type="paragraph" w:styleId="CommentText">
    <w:name w:val="annotation text"/>
    <w:basedOn w:val="Normal"/>
    <w:link w:val="CommentTextChar"/>
    <w:uiPriority w:val="99"/>
    <w:unhideWhenUsed/>
    <w:rsid w:val="00A55EAD"/>
    <w:rPr>
      <w:sz w:val="20"/>
      <w:szCs w:val="20"/>
    </w:rPr>
  </w:style>
  <w:style w:type="character" w:customStyle="1" w:styleId="CommentTextChar">
    <w:name w:val="Comment Text Char"/>
    <w:basedOn w:val="DefaultParagraphFont"/>
    <w:link w:val="CommentText"/>
    <w:uiPriority w:val="99"/>
    <w:rsid w:val="00A55EAD"/>
    <w:rPr>
      <w:sz w:val="20"/>
      <w:szCs w:val="20"/>
    </w:rPr>
  </w:style>
  <w:style w:type="paragraph" w:styleId="CommentSubject">
    <w:name w:val="annotation subject"/>
    <w:basedOn w:val="CommentText"/>
    <w:next w:val="CommentText"/>
    <w:link w:val="CommentSubjectChar"/>
    <w:uiPriority w:val="99"/>
    <w:semiHidden/>
    <w:unhideWhenUsed/>
    <w:rsid w:val="00A55EAD"/>
    <w:rPr>
      <w:b/>
      <w:bCs/>
    </w:rPr>
  </w:style>
  <w:style w:type="character" w:customStyle="1" w:styleId="CommentSubjectChar">
    <w:name w:val="Comment Subject Char"/>
    <w:basedOn w:val="CommentTextChar"/>
    <w:link w:val="CommentSubject"/>
    <w:uiPriority w:val="99"/>
    <w:semiHidden/>
    <w:rsid w:val="00A55EAD"/>
    <w:rPr>
      <w:b/>
      <w:bCs/>
      <w:sz w:val="20"/>
      <w:szCs w:val="20"/>
    </w:rPr>
  </w:style>
  <w:style w:type="character" w:customStyle="1" w:styleId="citation-publication-date">
    <w:name w:val="citation-publication-date"/>
    <w:basedOn w:val="DefaultParagraphFont"/>
    <w:rsid w:val="009A7F46"/>
  </w:style>
  <w:style w:type="character" w:customStyle="1" w:styleId="doi1">
    <w:name w:val="doi1"/>
    <w:basedOn w:val="DefaultParagraphFont"/>
    <w:rsid w:val="009A7F46"/>
  </w:style>
  <w:style w:type="character" w:customStyle="1" w:styleId="ref-journal">
    <w:name w:val="ref-journal"/>
    <w:basedOn w:val="DefaultParagraphFont"/>
    <w:rsid w:val="00043F66"/>
  </w:style>
  <w:style w:type="character" w:customStyle="1" w:styleId="ref-vol">
    <w:name w:val="ref-vol"/>
    <w:basedOn w:val="DefaultParagraphFont"/>
    <w:rsid w:val="00043F66"/>
  </w:style>
  <w:style w:type="paragraph" w:customStyle="1" w:styleId="TableParagraph">
    <w:name w:val="Table Paragraph"/>
    <w:basedOn w:val="Normal"/>
    <w:uiPriority w:val="1"/>
    <w:qFormat/>
    <w:rsid w:val="005179F6"/>
    <w:rPr>
      <w:lang w:val="en-US"/>
    </w:rPr>
  </w:style>
  <w:style w:type="paragraph" w:customStyle="1" w:styleId="Arialheadinglarge">
    <w:name w:val="Arial heading large"/>
    <w:basedOn w:val="Arialheading1"/>
    <w:autoRedefine/>
    <w:uiPriority w:val="1"/>
    <w:rsid w:val="00701B53"/>
    <w:rPr>
      <w:szCs w:val="24"/>
    </w:rPr>
  </w:style>
  <w:style w:type="character" w:styleId="FollowedHyperlink">
    <w:name w:val="FollowedHyperlink"/>
    <w:basedOn w:val="DefaultParagraphFont"/>
    <w:uiPriority w:val="99"/>
    <w:semiHidden/>
    <w:unhideWhenUsed/>
    <w:rsid w:val="000D350F"/>
    <w:rPr>
      <w:color w:val="919191" w:themeColor="followedHyperlink"/>
      <w:u w:val="single"/>
    </w:rPr>
  </w:style>
  <w:style w:type="character" w:customStyle="1" w:styleId="Heading3Char">
    <w:name w:val="Heading 3 Char"/>
    <w:basedOn w:val="DefaultParagraphFont"/>
    <w:link w:val="Heading3"/>
    <w:uiPriority w:val="9"/>
    <w:rsid w:val="005179F6"/>
    <w:rPr>
      <w:rFonts w:asciiTheme="majorHAnsi" w:eastAsiaTheme="majorEastAsia" w:hAnsiTheme="majorHAnsi" w:cstheme="majorBidi"/>
      <w:b/>
      <w:bCs/>
      <w:color w:val="DDDDDD" w:themeColor="accent1"/>
    </w:rPr>
  </w:style>
  <w:style w:type="character" w:customStyle="1" w:styleId="Heading4Char">
    <w:name w:val="Heading 4 Char"/>
    <w:basedOn w:val="DefaultParagraphFont"/>
    <w:link w:val="Heading4"/>
    <w:uiPriority w:val="9"/>
    <w:rsid w:val="005179F6"/>
    <w:rPr>
      <w:rFonts w:asciiTheme="majorHAnsi" w:eastAsiaTheme="majorEastAsia" w:hAnsiTheme="majorHAnsi" w:cstheme="majorBidi"/>
      <w:b/>
      <w:bCs/>
      <w:i/>
      <w:iCs/>
      <w:color w:val="DDDDDD" w:themeColor="accent1"/>
    </w:rPr>
  </w:style>
  <w:style w:type="paragraph" w:styleId="TOC1">
    <w:name w:val="toc 1"/>
    <w:basedOn w:val="Normal"/>
    <w:next w:val="Normal"/>
    <w:autoRedefine/>
    <w:uiPriority w:val="39"/>
    <w:unhideWhenUsed/>
    <w:qFormat/>
    <w:rsid w:val="00DE3603"/>
    <w:pPr>
      <w:tabs>
        <w:tab w:val="right" w:leader="dot" w:pos="9639"/>
      </w:tabs>
      <w:spacing w:after="100"/>
    </w:pPr>
  </w:style>
  <w:style w:type="paragraph" w:styleId="TOC2">
    <w:name w:val="toc 2"/>
    <w:basedOn w:val="Normal"/>
    <w:next w:val="Normal"/>
    <w:autoRedefine/>
    <w:uiPriority w:val="39"/>
    <w:unhideWhenUsed/>
    <w:qFormat/>
    <w:rsid w:val="005179F6"/>
    <w:pPr>
      <w:spacing w:after="100"/>
      <w:ind w:left="220"/>
    </w:pPr>
  </w:style>
  <w:style w:type="paragraph" w:styleId="Header">
    <w:name w:val="header"/>
    <w:basedOn w:val="Normal"/>
    <w:link w:val="HeaderChar"/>
    <w:uiPriority w:val="99"/>
    <w:unhideWhenUsed/>
    <w:rsid w:val="00F74586"/>
    <w:pPr>
      <w:tabs>
        <w:tab w:val="center" w:pos="4513"/>
        <w:tab w:val="right" w:pos="9026"/>
      </w:tabs>
    </w:pPr>
  </w:style>
  <w:style w:type="character" w:customStyle="1" w:styleId="HeaderChar">
    <w:name w:val="Header Char"/>
    <w:basedOn w:val="DefaultParagraphFont"/>
    <w:link w:val="Header"/>
    <w:uiPriority w:val="99"/>
    <w:rsid w:val="00F74586"/>
  </w:style>
  <w:style w:type="paragraph" w:styleId="Footer">
    <w:name w:val="footer"/>
    <w:basedOn w:val="Normal"/>
    <w:link w:val="FooterChar"/>
    <w:uiPriority w:val="99"/>
    <w:unhideWhenUsed/>
    <w:rsid w:val="00F74586"/>
    <w:pPr>
      <w:tabs>
        <w:tab w:val="center" w:pos="4513"/>
        <w:tab w:val="right" w:pos="9026"/>
      </w:tabs>
    </w:pPr>
  </w:style>
  <w:style w:type="character" w:customStyle="1" w:styleId="FooterChar">
    <w:name w:val="Footer Char"/>
    <w:basedOn w:val="DefaultParagraphFont"/>
    <w:link w:val="Footer"/>
    <w:uiPriority w:val="99"/>
    <w:rsid w:val="00F74586"/>
  </w:style>
  <w:style w:type="paragraph" w:customStyle="1" w:styleId="Pa26">
    <w:name w:val="Pa26"/>
    <w:basedOn w:val="Normal"/>
    <w:next w:val="Normal"/>
    <w:uiPriority w:val="99"/>
    <w:rsid w:val="00C866BA"/>
    <w:pPr>
      <w:widowControl/>
      <w:autoSpaceDE w:val="0"/>
      <w:autoSpaceDN w:val="0"/>
      <w:adjustRightInd w:val="0"/>
      <w:spacing w:line="181" w:lineRule="atLeast"/>
    </w:pPr>
    <w:rPr>
      <w:rFonts w:ascii="TitilliumText22L Lt" w:hAnsi="TitilliumText22L Lt"/>
      <w:sz w:val="24"/>
      <w:szCs w:val="24"/>
    </w:rPr>
  </w:style>
  <w:style w:type="paragraph" w:styleId="EndnoteText">
    <w:name w:val="endnote text"/>
    <w:basedOn w:val="Normal"/>
    <w:link w:val="EndnoteTextChar"/>
    <w:uiPriority w:val="99"/>
    <w:semiHidden/>
    <w:unhideWhenUsed/>
    <w:rsid w:val="009D7E40"/>
    <w:rPr>
      <w:sz w:val="20"/>
      <w:szCs w:val="20"/>
    </w:rPr>
  </w:style>
  <w:style w:type="character" w:customStyle="1" w:styleId="EndnoteTextChar">
    <w:name w:val="Endnote Text Char"/>
    <w:basedOn w:val="DefaultParagraphFont"/>
    <w:link w:val="EndnoteText"/>
    <w:uiPriority w:val="99"/>
    <w:semiHidden/>
    <w:rsid w:val="009D7E40"/>
    <w:rPr>
      <w:sz w:val="20"/>
      <w:szCs w:val="20"/>
    </w:rPr>
  </w:style>
  <w:style w:type="character" w:styleId="EndnoteReference">
    <w:name w:val="endnote reference"/>
    <w:basedOn w:val="DefaultParagraphFont"/>
    <w:uiPriority w:val="99"/>
    <w:semiHidden/>
    <w:unhideWhenUsed/>
    <w:rsid w:val="009D7E40"/>
    <w:rPr>
      <w:vertAlign w:val="superscript"/>
    </w:rPr>
  </w:style>
  <w:style w:type="paragraph" w:styleId="FootnoteText">
    <w:name w:val="footnote text"/>
    <w:basedOn w:val="Normal"/>
    <w:link w:val="FootnoteTextChar"/>
    <w:uiPriority w:val="99"/>
    <w:unhideWhenUsed/>
    <w:rsid w:val="009D7E40"/>
    <w:rPr>
      <w:sz w:val="20"/>
      <w:szCs w:val="20"/>
    </w:rPr>
  </w:style>
  <w:style w:type="character" w:customStyle="1" w:styleId="FootnoteTextChar">
    <w:name w:val="Footnote Text Char"/>
    <w:basedOn w:val="DefaultParagraphFont"/>
    <w:link w:val="FootnoteText"/>
    <w:uiPriority w:val="99"/>
    <w:rsid w:val="009D7E40"/>
    <w:rPr>
      <w:sz w:val="20"/>
      <w:szCs w:val="20"/>
    </w:rPr>
  </w:style>
  <w:style w:type="character" w:styleId="FootnoteReference">
    <w:name w:val="footnote reference"/>
    <w:basedOn w:val="DefaultParagraphFont"/>
    <w:uiPriority w:val="99"/>
    <w:semiHidden/>
    <w:unhideWhenUsed/>
    <w:rsid w:val="009D7E40"/>
    <w:rPr>
      <w:vertAlign w:val="superscript"/>
    </w:rPr>
  </w:style>
  <w:style w:type="table" w:styleId="LightShading">
    <w:name w:val="Light Shading"/>
    <w:basedOn w:val="TableNormal"/>
    <w:uiPriority w:val="60"/>
    <w:rsid w:val="00BD0B1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1"/>
    <w:basedOn w:val="TableNormal"/>
    <w:uiPriority w:val="99"/>
    <w:rsid w:val="009C0295"/>
    <w:pPr>
      <w:spacing w:after="0" w:line="240" w:lineRule="auto"/>
    </w:pPr>
    <w:tblPr/>
  </w:style>
  <w:style w:type="character" w:customStyle="1" w:styleId="Heading5Char">
    <w:name w:val="Heading 5 Char"/>
    <w:basedOn w:val="DefaultParagraphFont"/>
    <w:link w:val="Heading5"/>
    <w:uiPriority w:val="9"/>
    <w:semiHidden/>
    <w:rsid w:val="005179F6"/>
    <w:rPr>
      <w:rFonts w:asciiTheme="majorHAnsi" w:eastAsiaTheme="majorEastAsia" w:hAnsiTheme="majorHAnsi" w:cstheme="majorBidi"/>
      <w:color w:val="6E6E6E" w:themeColor="accent1" w:themeShade="7F"/>
    </w:rPr>
  </w:style>
  <w:style w:type="character" w:customStyle="1" w:styleId="Heading6Char">
    <w:name w:val="Heading 6 Char"/>
    <w:basedOn w:val="DefaultParagraphFont"/>
    <w:link w:val="Heading6"/>
    <w:uiPriority w:val="9"/>
    <w:semiHidden/>
    <w:rsid w:val="005179F6"/>
    <w:rPr>
      <w:rFonts w:asciiTheme="majorHAnsi" w:eastAsiaTheme="majorEastAsia" w:hAnsiTheme="majorHAnsi" w:cstheme="majorBidi"/>
      <w:i/>
      <w:iCs/>
      <w:color w:val="6E6E6E" w:themeColor="accent1" w:themeShade="7F"/>
    </w:rPr>
  </w:style>
  <w:style w:type="character" w:customStyle="1" w:styleId="Heading7Char">
    <w:name w:val="Heading 7 Char"/>
    <w:basedOn w:val="DefaultParagraphFont"/>
    <w:link w:val="Heading7"/>
    <w:uiPriority w:val="9"/>
    <w:semiHidden/>
    <w:rsid w:val="005179F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179F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179F6"/>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5179F6"/>
    <w:pPr>
      <w:pBdr>
        <w:bottom w:val="single" w:sz="8" w:space="4" w:color="DDDDDD"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179F6"/>
    <w:rPr>
      <w:rFonts w:asciiTheme="majorHAnsi" w:eastAsiaTheme="majorEastAsia" w:hAnsiTheme="majorHAnsi" w:cstheme="majorBidi"/>
      <w:color w:val="000000" w:themeColor="text2" w:themeShade="BF"/>
      <w:spacing w:val="5"/>
      <w:kern w:val="28"/>
      <w:sz w:val="52"/>
      <w:szCs w:val="52"/>
    </w:rPr>
  </w:style>
  <w:style w:type="paragraph" w:styleId="Subtitle">
    <w:name w:val="Subtitle"/>
    <w:basedOn w:val="Normal"/>
    <w:next w:val="Normal"/>
    <w:link w:val="SubtitleChar"/>
    <w:uiPriority w:val="11"/>
    <w:qFormat/>
    <w:rsid w:val="005179F6"/>
    <w:pPr>
      <w:numPr>
        <w:ilvl w:val="1"/>
      </w:numPr>
    </w:pPr>
    <w:rPr>
      <w:rFonts w:asciiTheme="majorHAnsi" w:eastAsiaTheme="majorEastAsia" w:hAnsiTheme="majorHAnsi" w:cstheme="majorBidi"/>
      <w:i/>
      <w:iCs/>
      <w:color w:val="DDDDDD" w:themeColor="accent1"/>
      <w:spacing w:val="15"/>
      <w:sz w:val="24"/>
      <w:szCs w:val="24"/>
    </w:rPr>
  </w:style>
  <w:style w:type="character" w:customStyle="1" w:styleId="SubtitleChar">
    <w:name w:val="Subtitle Char"/>
    <w:basedOn w:val="DefaultParagraphFont"/>
    <w:link w:val="Subtitle"/>
    <w:uiPriority w:val="11"/>
    <w:rsid w:val="005179F6"/>
    <w:rPr>
      <w:rFonts w:asciiTheme="majorHAnsi" w:eastAsiaTheme="majorEastAsia" w:hAnsiTheme="majorHAnsi" w:cstheme="majorBidi"/>
      <w:i/>
      <w:iCs/>
      <w:color w:val="DDDDDD" w:themeColor="accent1"/>
      <w:spacing w:val="15"/>
      <w:sz w:val="24"/>
      <w:szCs w:val="24"/>
    </w:rPr>
  </w:style>
  <w:style w:type="character" w:styleId="Strong">
    <w:name w:val="Strong"/>
    <w:basedOn w:val="DefaultParagraphFont"/>
    <w:uiPriority w:val="22"/>
    <w:qFormat/>
    <w:rsid w:val="005179F6"/>
    <w:rPr>
      <w:b/>
      <w:bCs/>
    </w:rPr>
  </w:style>
  <w:style w:type="paragraph" w:styleId="NoSpacing">
    <w:name w:val="No Spacing"/>
    <w:basedOn w:val="Normal"/>
    <w:uiPriority w:val="1"/>
    <w:qFormat/>
    <w:rsid w:val="005179F6"/>
  </w:style>
  <w:style w:type="paragraph" w:styleId="Quote">
    <w:name w:val="Quote"/>
    <w:basedOn w:val="Normal"/>
    <w:next w:val="Normal"/>
    <w:link w:val="QuoteChar"/>
    <w:uiPriority w:val="29"/>
    <w:qFormat/>
    <w:rsid w:val="005179F6"/>
    <w:rPr>
      <w:i/>
      <w:iCs/>
      <w:color w:val="000000" w:themeColor="text1"/>
    </w:rPr>
  </w:style>
  <w:style w:type="character" w:customStyle="1" w:styleId="QuoteChar">
    <w:name w:val="Quote Char"/>
    <w:basedOn w:val="DefaultParagraphFont"/>
    <w:link w:val="Quote"/>
    <w:uiPriority w:val="29"/>
    <w:rsid w:val="005179F6"/>
    <w:rPr>
      <w:i/>
      <w:iCs/>
      <w:color w:val="000000" w:themeColor="text1"/>
    </w:rPr>
  </w:style>
  <w:style w:type="paragraph" w:styleId="IntenseQuote">
    <w:name w:val="Intense Quote"/>
    <w:basedOn w:val="Normal"/>
    <w:next w:val="Normal"/>
    <w:link w:val="IntenseQuoteChar"/>
    <w:uiPriority w:val="30"/>
    <w:qFormat/>
    <w:rsid w:val="005179F6"/>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rsid w:val="005179F6"/>
    <w:rPr>
      <w:b/>
      <w:bCs/>
      <w:i/>
      <w:iCs/>
      <w:color w:val="DDDDDD" w:themeColor="accent1"/>
    </w:rPr>
  </w:style>
  <w:style w:type="character" w:styleId="SubtleEmphasis">
    <w:name w:val="Subtle Emphasis"/>
    <w:uiPriority w:val="19"/>
    <w:qFormat/>
    <w:rsid w:val="005179F6"/>
    <w:rPr>
      <w:i/>
      <w:iCs/>
      <w:color w:val="808080" w:themeColor="text1" w:themeTint="7F"/>
    </w:rPr>
  </w:style>
  <w:style w:type="character" w:styleId="IntenseEmphasis">
    <w:name w:val="Intense Emphasis"/>
    <w:uiPriority w:val="21"/>
    <w:qFormat/>
    <w:rsid w:val="005179F6"/>
    <w:rPr>
      <w:b/>
      <w:bCs/>
      <w:i/>
      <w:iCs/>
      <w:color w:val="DDDDDD" w:themeColor="accent1"/>
    </w:rPr>
  </w:style>
  <w:style w:type="character" w:styleId="SubtleReference">
    <w:name w:val="Subtle Reference"/>
    <w:uiPriority w:val="31"/>
    <w:qFormat/>
    <w:rsid w:val="005179F6"/>
    <w:rPr>
      <w:smallCaps/>
      <w:color w:val="B2B2B2" w:themeColor="accent2"/>
      <w:u w:val="single"/>
    </w:rPr>
  </w:style>
  <w:style w:type="character" w:styleId="IntenseReference">
    <w:name w:val="Intense Reference"/>
    <w:uiPriority w:val="32"/>
    <w:qFormat/>
    <w:rsid w:val="005179F6"/>
    <w:rPr>
      <w:b/>
      <w:bCs/>
      <w:smallCaps/>
      <w:color w:val="B2B2B2" w:themeColor="accent2"/>
      <w:spacing w:val="5"/>
      <w:u w:val="single"/>
    </w:rPr>
  </w:style>
  <w:style w:type="character" w:styleId="BookTitle">
    <w:name w:val="Book Title"/>
    <w:uiPriority w:val="33"/>
    <w:qFormat/>
    <w:rsid w:val="005179F6"/>
    <w:rPr>
      <w:b/>
      <w:bCs/>
      <w:smallCaps/>
      <w:spacing w:val="5"/>
    </w:rPr>
  </w:style>
  <w:style w:type="paragraph" w:styleId="TOCHeading">
    <w:name w:val="TOC Heading"/>
    <w:basedOn w:val="Heading1"/>
    <w:next w:val="Normal"/>
    <w:uiPriority w:val="39"/>
    <w:unhideWhenUsed/>
    <w:qFormat/>
    <w:rsid w:val="005179F6"/>
    <w:pPr>
      <w:widowControl/>
      <w:spacing w:line="276" w:lineRule="auto"/>
      <w:outlineLvl w:val="9"/>
    </w:pPr>
    <w:rPr>
      <w:lang w:val="en-US" w:eastAsia="ja-JP"/>
    </w:rPr>
  </w:style>
  <w:style w:type="paragraph" w:styleId="Caption">
    <w:name w:val="caption"/>
    <w:basedOn w:val="Normal"/>
    <w:next w:val="Normal"/>
    <w:uiPriority w:val="35"/>
    <w:semiHidden/>
    <w:unhideWhenUsed/>
    <w:qFormat/>
    <w:rsid w:val="005179F6"/>
    <w:pPr>
      <w:spacing w:after="200"/>
    </w:pPr>
    <w:rPr>
      <w:b/>
      <w:bCs/>
      <w:color w:val="DDDDDD" w:themeColor="accent1"/>
      <w:sz w:val="18"/>
      <w:szCs w:val="18"/>
    </w:rPr>
  </w:style>
  <w:style w:type="paragraph" w:customStyle="1" w:styleId="Arialheading2">
    <w:name w:val="Arial heading 2"/>
    <w:basedOn w:val="Normal"/>
    <w:uiPriority w:val="1"/>
    <w:qFormat/>
    <w:rsid w:val="005179F6"/>
    <w:rPr>
      <w:rFonts w:ascii="Arial" w:hAnsi="Arial" w:cs="Arial"/>
      <w:b/>
      <w:sz w:val="24"/>
    </w:rPr>
  </w:style>
  <w:style w:type="character" w:customStyle="1" w:styleId="Heading2Char1">
    <w:name w:val="Heading 2 Char1"/>
    <w:basedOn w:val="DefaultParagraphFont"/>
    <w:link w:val="Heading2"/>
    <w:uiPriority w:val="9"/>
    <w:rsid w:val="00AD3F32"/>
    <w:rPr>
      <w:rFonts w:ascii="TitilliumText25L" w:eastAsia="TitilliumText25L" w:hAnsi="TitilliumText25L" w:cs="TitilliumText25L"/>
      <w:color w:val="D0202E"/>
      <w:sz w:val="40"/>
      <w:szCs w:val="60"/>
    </w:rPr>
  </w:style>
  <w:style w:type="paragraph" w:styleId="TOC3">
    <w:name w:val="toc 3"/>
    <w:basedOn w:val="Normal"/>
    <w:next w:val="Normal"/>
    <w:autoRedefine/>
    <w:uiPriority w:val="39"/>
    <w:unhideWhenUsed/>
    <w:qFormat/>
    <w:rsid w:val="005179F6"/>
    <w:pPr>
      <w:spacing w:after="100"/>
      <w:ind w:left="440"/>
    </w:pPr>
  </w:style>
  <w:style w:type="table" w:customStyle="1" w:styleId="TableGrid1">
    <w:name w:val="Table Grid1"/>
    <w:basedOn w:val="TableNormal"/>
    <w:next w:val="TableGrid"/>
    <w:uiPriority w:val="59"/>
    <w:rsid w:val="006E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ED5363"/>
    <w:pPr>
      <w:widowControl/>
    </w:pPr>
    <w:rPr>
      <w:rFonts w:ascii="Consolas" w:hAnsi="Consolas" w:cs="Consolas"/>
      <w:sz w:val="21"/>
      <w:szCs w:val="21"/>
      <w:lang w:eastAsia="en-AU"/>
    </w:rPr>
  </w:style>
  <w:style w:type="character" w:customStyle="1" w:styleId="PlainTextChar">
    <w:name w:val="Plain Text Char"/>
    <w:basedOn w:val="DefaultParagraphFont"/>
    <w:link w:val="PlainText"/>
    <w:uiPriority w:val="99"/>
    <w:rsid w:val="00ED5363"/>
    <w:rPr>
      <w:rFonts w:ascii="Consolas" w:hAnsi="Consolas" w:cs="Consolas"/>
      <w:sz w:val="21"/>
      <w:szCs w:val="21"/>
      <w:lang w:eastAsia="en-AU"/>
    </w:rPr>
  </w:style>
  <w:style w:type="paragraph" w:styleId="Revision">
    <w:name w:val="Revision"/>
    <w:hidden/>
    <w:uiPriority w:val="99"/>
    <w:semiHidden/>
    <w:rsid w:val="008539E6"/>
    <w:pPr>
      <w:spacing w:after="0" w:line="240" w:lineRule="auto"/>
    </w:pPr>
  </w:style>
  <w:style w:type="paragraph" w:customStyle="1" w:styleId="Default">
    <w:name w:val="Default"/>
    <w:rsid w:val="00D41B7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wrap">
    <w:name w:val="nowrap"/>
    <w:basedOn w:val="DefaultParagraphFont"/>
    <w:rsid w:val="00D41B7B"/>
  </w:style>
  <w:style w:type="paragraph" w:styleId="NormalWeb">
    <w:name w:val="Normal (Web)"/>
    <w:basedOn w:val="Normal"/>
    <w:uiPriority w:val="99"/>
    <w:unhideWhenUsed/>
    <w:rsid w:val="00D41B7B"/>
    <w:pPr>
      <w:widowControl/>
      <w:spacing w:before="100" w:beforeAutospacing="1" w:after="100" w:afterAutospacing="1"/>
    </w:pPr>
    <w:rPr>
      <w:rFonts w:ascii="Times New Roman" w:eastAsia="Times New Roman" w:hAnsi="Times New Roman" w:cs="Times New Roman"/>
      <w:sz w:val="24"/>
      <w:szCs w:val="24"/>
      <w:lang w:eastAsia="en-AU"/>
    </w:rPr>
  </w:style>
  <w:style w:type="paragraph" w:styleId="BlockText">
    <w:name w:val="Block Text"/>
    <w:basedOn w:val="Normal"/>
    <w:rsid w:val="00D41B7B"/>
    <w:pPr>
      <w:widowControl/>
      <w:suppressAutoHyphens/>
      <w:spacing w:after="200"/>
    </w:pPr>
    <w:rPr>
      <w:rFonts w:ascii="Times New Roman" w:eastAsia="Times New Roman" w:hAnsi="Times New Roman" w:cs="Times New Roman"/>
      <w:sz w:val="24"/>
      <w:szCs w:val="20"/>
      <w:lang w:val="en-US" w:eastAsia="ar-SA"/>
    </w:rPr>
  </w:style>
  <w:style w:type="character" w:customStyle="1" w:styleId="apple-converted-space">
    <w:name w:val="apple-converted-space"/>
    <w:basedOn w:val="DefaultParagraphFont"/>
    <w:rsid w:val="00D41B7B"/>
  </w:style>
  <w:style w:type="character" w:customStyle="1" w:styleId="citation-abbreviation">
    <w:name w:val="citation-abbreviation"/>
    <w:basedOn w:val="DefaultParagraphFont"/>
    <w:rsid w:val="00D41B7B"/>
  </w:style>
  <w:style w:type="character" w:customStyle="1" w:styleId="citation-volume">
    <w:name w:val="citation-volume"/>
    <w:basedOn w:val="DefaultParagraphFont"/>
    <w:rsid w:val="00D41B7B"/>
  </w:style>
  <w:style w:type="character" w:customStyle="1" w:styleId="citation-flpages">
    <w:name w:val="citation-flpages"/>
    <w:basedOn w:val="DefaultParagraphFont"/>
    <w:rsid w:val="00D41B7B"/>
  </w:style>
  <w:style w:type="paragraph" w:customStyle="1" w:styleId="p">
    <w:name w:val="p"/>
    <w:basedOn w:val="Normal"/>
    <w:rsid w:val="00D41B7B"/>
    <w:pPr>
      <w:widowControl/>
      <w:spacing w:after="360"/>
    </w:pPr>
    <w:rPr>
      <w:rFonts w:ascii="Times New Roman" w:eastAsia="Times New Roman" w:hAnsi="Times New Roman" w:cs="Times New Roman"/>
      <w:sz w:val="24"/>
      <w:szCs w:val="24"/>
      <w:lang w:eastAsia="en-AU"/>
    </w:rPr>
  </w:style>
  <w:style w:type="character" w:customStyle="1" w:styleId="sp1">
    <w:name w:val="sp1"/>
    <w:basedOn w:val="DefaultParagraphFont"/>
    <w:rsid w:val="00D41B7B"/>
    <w:rPr>
      <w:sz w:val="19"/>
      <w:szCs w:val="19"/>
      <w:vertAlign w:val="baseline"/>
    </w:rPr>
  </w:style>
  <w:style w:type="character" w:customStyle="1" w:styleId="hd6">
    <w:name w:val="hd6"/>
    <w:basedOn w:val="DefaultParagraphFont"/>
    <w:rsid w:val="00D41B7B"/>
    <w:rPr>
      <w:b/>
      <w:bCs/>
      <w:vanish w:val="0"/>
      <w:webHidden w:val="0"/>
      <w:sz w:val="24"/>
      <w:szCs w:val="24"/>
      <w:specVanish w:val="0"/>
    </w:rPr>
  </w:style>
  <w:style w:type="character" w:customStyle="1" w:styleId="bold">
    <w:name w:val="bold"/>
    <w:basedOn w:val="DefaultParagraphFont"/>
    <w:rsid w:val="00D41B7B"/>
  </w:style>
  <w:style w:type="character" w:customStyle="1" w:styleId="sp">
    <w:name w:val="sp"/>
    <w:basedOn w:val="DefaultParagraphFont"/>
    <w:rsid w:val="00D41B7B"/>
  </w:style>
  <w:style w:type="character" w:customStyle="1" w:styleId="italic">
    <w:name w:val="italic"/>
    <w:basedOn w:val="DefaultParagraphFont"/>
    <w:rsid w:val="00D41B7B"/>
  </w:style>
  <w:style w:type="character" w:customStyle="1" w:styleId="sb">
    <w:name w:val="sb"/>
    <w:basedOn w:val="DefaultParagraphFont"/>
    <w:rsid w:val="00D41B7B"/>
  </w:style>
  <w:style w:type="numbering" w:customStyle="1" w:styleId="NoList1">
    <w:name w:val="No List1"/>
    <w:next w:val="NoList"/>
    <w:uiPriority w:val="99"/>
    <w:semiHidden/>
    <w:unhideWhenUsed/>
    <w:rsid w:val="00D41B7B"/>
  </w:style>
  <w:style w:type="paragraph" w:customStyle="1" w:styleId="SAH-Introduction">
    <w:name w:val="SAH-Introduction"/>
    <w:basedOn w:val="Normal"/>
    <w:rsid w:val="00D41B7B"/>
    <w:pPr>
      <w:numPr>
        <w:numId w:val="5"/>
      </w:numPr>
      <w:tabs>
        <w:tab w:val="clear" w:pos="153"/>
        <w:tab w:val="left" w:pos="180"/>
      </w:tabs>
      <w:suppressAutoHyphens/>
      <w:autoSpaceDE w:val="0"/>
      <w:autoSpaceDN w:val="0"/>
      <w:adjustRightInd w:val="0"/>
      <w:spacing w:after="170" w:line="320" w:lineRule="atLeast"/>
      <w:ind w:left="0" w:firstLine="0"/>
      <w:textAlignment w:val="center"/>
    </w:pPr>
    <w:rPr>
      <w:rFonts w:ascii="Arial" w:eastAsia="Calibri" w:hAnsi="Arial" w:cs="Times New Roman"/>
      <w:color w:val="767878"/>
      <w:sz w:val="24"/>
      <w:szCs w:val="24"/>
      <w:lang w:val="en-GB"/>
    </w:rPr>
  </w:style>
  <w:style w:type="paragraph" w:customStyle="1" w:styleId="SAH-Subhead2">
    <w:name w:val="SAH-Subhead 2"/>
    <w:basedOn w:val="Normal"/>
    <w:link w:val="SAH-Subhead2Char"/>
    <w:rsid w:val="00D41B7B"/>
    <w:pPr>
      <w:suppressAutoHyphens/>
      <w:autoSpaceDE w:val="0"/>
      <w:autoSpaceDN w:val="0"/>
      <w:adjustRightInd w:val="0"/>
      <w:spacing w:before="240" w:after="85" w:line="280" w:lineRule="atLeast"/>
      <w:textAlignment w:val="center"/>
    </w:pPr>
    <w:rPr>
      <w:rFonts w:ascii="Arial" w:eastAsia="Times New Roman" w:hAnsi="Arial" w:cs="Times New Roman"/>
      <w:b/>
      <w:color w:val="8F877A"/>
      <w:sz w:val="23"/>
      <w:szCs w:val="23"/>
      <w:lang w:val="en-GB"/>
    </w:rPr>
  </w:style>
  <w:style w:type="paragraph" w:customStyle="1" w:styleId="SAH-Subhead1">
    <w:name w:val="SAH-Subhead 1"/>
    <w:link w:val="SAH-Subhead1Char"/>
    <w:rsid w:val="00D41B7B"/>
    <w:pPr>
      <w:widowControl w:val="0"/>
      <w:suppressAutoHyphens/>
      <w:autoSpaceDE w:val="0"/>
      <w:autoSpaceDN w:val="0"/>
      <w:adjustRightInd w:val="0"/>
      <w:spacing w:before="227" w:after="85" w:line="340" w:lineRule="atLeast"/>
      <w:textAlignment w:val="center"/>
    </w:pPr>
    <w:rPr>
      <w:rFonts w:ascii="Arial" w:eastAsia="Times New Roman" w:hAnsi="Arial" w:cs="Times New Roman"/>
      <w:color w:val="0077B0"/>
      <w:sz w:val="28"/>
      <w:szCs w:val="28"/>
      <w:lang w:val="en-GB"/>
    </w:rPr>
  </w:style>
  <w:style w:type="paragraph" w:customStyle="1" w:styleId="SAH-Subhead3">
    <w:name w:val="SAH-Subhead 3"/>
    <w:basedOn w:val="Normal"/>
    <w:rsid w:val="00D41B7B"/>
    <w:pPr>
      <w:tabs>
        <w:tab w:val="left" w:pos="180"/>
      </w:tabs>
      <w:suppressAutoHyphens/>
      <w:autoSpaceDE w:val="0"/>
      <w:autoSpaceDN w:val="0"/>
      <w:adjustRightInd w:val="0"/>
      <w:spacing w:before="120" w:after="71" w:line="280" w:lineRule="atLeast"/>
      <w:textAlignment w:val="center"/>
    </w:pPr>
    <w:rPr>
      <w:rFonts w:ascii="Arial" w:eastAsia="Calibri" w:hAnsi="Arial" w:cs="Times New Roman"/>
      <w:b/>
      <w:color w:val="000000"/>
      <w:sz w:val="20"/>
      <w:szCs w:val="18"/>
      <w:lang w:val="en-GB"/>
    </w:rPr>
  </w:style>
  <w:style w:type="paragraph" w:customStyle="1" w:styleId="SAH-BulletPointsCopy">
    <w:name w:val="SAH-Bullet Points Copy"/>
    <w:basedOn w:val="Normal"/>
    <w:link w:val="SAH-BulletPointsCopyChar"/>
    <w:rsid w:val="00D41B7B"/>
    <w:pPr>
      <w:numPr>
        <w:numId w:val="3"/>
      </w:numPr>
      <w:tabs>
        <w:tab w:val="left" w:pos="198"/>
      </w:tabs>
      <w:suppressAutoHyphens/>
      <w:autoSpaceDE w:val="0"/>
      <w:autoSpaceDN w:val="0"/>
      <w:adjustRightInd w:val="0"/>
      <w:spacing w:after="57" w:line="280" w:lineRule="atLeast"/>
      <w:textAlignment w:val="center"/>
    </w:pPr>
    <w:rPr>
      <w:rFonts w:ascii="Arial" w:eastAsia="Calibri" w:hAnsi="Arial" w:cs="Times New Roman"/>
      <w:color w:val="131313"/>
      <w:sz w:val="20"/>
      <w:szCs w:val="18"/>
      <w:lang w:val="en-GB"/>
    </w:rPr>
  </w:style>
  <w:style w:type="paragraph" w:customStyle="1" w:styleId="SAH-BulletPointsCopylastline">
    <w:name w:val="SAH-Bullet Points Copy last line"/>
    <w:basedOn w:val="SAH-BulletPointsCopy"/>
    <w:next w:val="Normal"/>
    <w:rsid w:val="00D41B7B"/>
    <w:pPr>
      <w:numPr>
        <w:numId w:val="4"/>
      </w:numPr>
      <w:tabs>
        <w:tab w:val="clear" w:pos="198"/>
        <w:tab w:val="clear" w:pos="720"/>
        <w:tab w:val="left" w:pos="200"/>
        <w:tab w:val="num" w:pos="360"/>
      </w:tabs>
      <w:spacing w:after="113"/>
      <w:ind w:hanging="360"/>
    </w:pPr>
    <w:rPr>
      <w:color w:val="000000"/>
    </w:rPr>
  </w:style>
  <w:style w:type="character" w:customStyle="1" w:styleId="SAH-Subhead1Char">
    <w:name w:val="SAH-Subhead 1 Char"/>
    <w:link w:val="SAH-Subhead1"/>
    <w:rsid w:val="00D41B7B"/>
    <w:rPr>
      <w:rFonts w:ascii="Arial" w:eastAsia="Times New Roman" w:hAnsi="Arial" w:cs="Times New Roman"/>
      <w:color w:val="0077B0"/>
      <w:sz w:val="28"/>
      <w:szCs w:val="28"/>
      <w:lang w:val="en-GB"/>
    </w:rPr>
  </w:style>
  <w:style w:type="character" w:customStyle="1" w:styleId="SAH-BulletPointsCopyChar">
    <w:name w:val="SAH-Bullet Points Copy Char"/>
    <w:link w:val="SAH-BulletPointsCopy"/>
    <w:rsid w:val="00D41B7B"/>
    <w:rPr>
      <w:rFonts w:ascii="Arial" w:eastAsia="Calibri" w:hAnsi="Arial" w:cs="Times New Roman"/>
      <w:color w:val="131313"/>
      <w:sz w:val="20"/>
      <w:szCs w:val="18"/>
      <w:lang w:val="en-GB"/>
    </w:rPr>
  </w:style>
  <w:style w:type="character" w:customStyle="1" w:styleId="SAH-Subhead2Char">
    <w:name w:val="SAH-Subhead 2 Char"/>
    <w:link w:val="SAH-Subhead2"/>
    <w:rsid w:val="00D41B7B"/>
    <w:rPr>
      <w:rFonts w:ascii="Arial" w:eastAsia="Times New Roman" w:hAnsi="Arial" w:cs="Times New Roman"/>
      <w:b/>
      <w:color w:val="8F877A"/>
      <w:sz w:val="23"/>
      <w:szCs w:val="23"/>
      <w:lang w:val="en-GB"/>
    </w:rPr>
  </w:style>
  <w:style w:type="paragraph" w:customStyle="1" w:styleId="p1">
    <w:name w:val="p1"/>
    <w:basedOn w:val="Normal"/>
    <w:rsid w:val="00D41B7B"/>
    <w:pPr>
      <w:widowControl/>
      <w:spacing w:after="360"/>
    </w:pPr>
    <w:rPr>
      <w:rFonts w:ascii="Times New Roman" w:eastAsia="Times New Roman" w:hAnsi="Times New Roman" w:cs="Times New Roman"/>
      <w:sz w:val="24"/>
      <w:szCs w:val="24"/>
      <w:lang w:eastAsia="en-AU"/>
    </w:rPr>
  </w:style>
  <w:style w:type="paragraph" w:customStyle="1" w:styleId="GreySubHeading">
    <w:name w:val="Grey Sub Heading"/>
    <w:basedOn w:val="Normal"/>
    <w:next w:val="Normal"/>
    <w:uiPriority w:val="99"/>
    <w:rsid w:val="00A061E0"/>
    <w:pPr>
      <w:keepNext/>
      <w:keepLines/>
      <w:widowControl/>
      <w:suppressAutoHyphens/>
      <w:autoSpaceDE w:val="0"/>
      <w:autoSpaceDN w:val="0"/>
      <w:adjustRightInd w:val="0"/>
      <w:spacing w:before="120" w:after="120" w:line="288" w:lineRule="auto"/>
      <w:textAlignment w:val="center"/>
    </w:pPr>
    <w:rPr>
      <w:rFonts w:ascii="TitilliumText25L" w:hAnsi="TitilliumText25L" w:cs="TitilliumText25L"/>
      <w:color w:val="33374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354526">
      <w:bodyDiv w:val="1"/>
      <w:marLeft w:val="0"/>
      <w:marRight w:val="0"/>
      <w:marTop w:val="0"/>
      <w:marBottom w:val="0"/>
      <w:divBdr>
        <w:top w:val="none" w:sz="0" w:space="0" w:color="auto"/>
        <w:left w:val="none" w:sz="0" w:space="0" w:color="auto"/>
        <w:bottom w:val="none" w:sz="0" w:space="0" w:color="auto"/>
        <w:right w:val="none" w:sz="0" w:space="0" w:color="auto"/>
      </w:divBdr>
    </w:div>
    <w:div w:id="201788193">
      <w:bodyDiv w:val="1"/>
      <w:marLeft w:val="0"/>
      <w:marRight w:val="0"/>
      <w:marTop w:val="0"/>
      <w:marBottom w:val="0"/>
      <w:divBdr>
        <w:top w:val="none" w:sz="0" w:space="0" w:color="auto"/>
        <w:left w:val="none" w:sz="0" w:space="0" w:color="auto"/>
        <w:bottom w:val="none" w:sz="0" w:space="0" w:color="auto"/>
        <w:right w:val="none" w:sz="0" w:space="0" w:color="auto"/>
      </w:divBdr>
    </w:div>
    <w:div w:id="255022630">
      <w:bodyDiv w:val="1"/>
      <w:marLeft w:val="0"/>
      <w:marRight w:val="0"/>
      <w:marTop w:val="0"/>
      <w:marBottom w:val="0"/>
      <w:divBdr>
        <w:top w:val="none" w:sz="0" w:space="0" w:color="auto"/>
        <w:left w:val="none" w:sz="0" w:space="0" w:color="auto"/>
        <w:bottom w:val="none" w:sz="0" w:space="0" w:color="auto"/>
        <w:right w:val="none" w:sz="0" w:space="0" w:color="auto"/>
      </w:divBdr>
      <w:divsChild>
        <w:div w:id="1774545838">
          <w:marLeft w:val="0"/>
          <w:marRight w:val="0"/>
          <w:marTop w:val="0"/>
          <w:marBottom w:val="0"/>
          <w:divBdr>
            <w:top w:val="none" w:sz="0" w:space="0" w:color="auto"/>
            <w:left w:val="none" w:sz="0" w:space="0" w:color="auto"/>
            <w:bottom w:val="none" w:sz="0" w:space="0" w:color="auto"/>
            <w:right w:val="none" w:sz="0" w:space="0" w:color="auto"/>
          </w:divBdr>
          <w:divsChild>
            <w:div w:id="143357656">
              <w:marLeft w:val="0"/>
              <w:marRight w:val="0"/>
              <w:marTop w:val="0"/>
              <w:marBottom w:val="0"/>
              <w:divBdr>
                <w:top w:val="none" w:sz="0" w:space="0" w:color="auto"/>
                <w:left w:val="none" w:sz="0" w:space="0" w:color="auto"/>
                <w:bottom w:val="none" w:sz="0" w:space="0" w:color="auto"/>
                <w:right w:val="none" w:sz="0" w:space="0" w:color="auto"/>
              </w:divBdr>
              <w:divsChild>
                <w:div w:id="1825779866">
                  <w:marLeft w:val="0"/>
                  <w:marRight w:val="0"/>
                  <w:marTop w:val="0"/>
                  <w:marBottom w:val="0"/>
                  <w:divBdr>
                    <w:top w:val="none" w:sz="0" w:space="0" w:color="auto"/>
                    <w:left w:val="none" w:sz="0" w:space="0" w:color="auto"/>
                    <w:bottom w:val="none" w:sz="0" w:space="0" w:color="auto"/>
                    <w:right w:val="none" w:sz="0" w:space="0" w:color="auto"/>
                  </w:divBdr>
                  <w:divsChild>
                    <w:div w:id="710617050">
                      <w:marLeft w:val="0"/>
                      <w:marRight w:val="0"/>
                      <w:marTop w:val="0"/>
                      <w:marBottom w:val="0"/>
                      <w:divBdr>
                        <w:top w:val="none" w:sz="0" w:space="0" w:color="auto"/>
                        <w:left w:val="none" w:sz="0" w:space="0" w:color="auto"/>
                        <w:bottom w:val="none" w:sz="0" w:space="0" w:color="auto"/>
                        <w:right w:val="none" w:sz="0" w:space="0" w:color="auto"/>
                      </w:divBdr>
                      <w:divsChild>
                        <w:div w:id="1713378186">
                          <w:marLeft w:val="0"/>
                          <w:marRight w:val="0"/>
                          <w:marTop w:val="0"/>
                          <w:marBottom w:val="0"/>
                          <w:divBdr>
                            <w:top w:val="none" w:sz="0" w:space="0" w:color="auto"/>
                            <w:left w:val="none" w:sz="0" w:space="0" w:color="auto"/>
                            <w:bottom w:val="none" w:sz="0" w:space="0" w:color="auto"/>
                            <w:right w:val="none" w:sz="0" w:space="0" w:color="auto"/>
                          </w:divBdr>
                          <w:divsChild>
                            <w:div w:id="1185746067">
                              <w:marLeft w:val="0"/>
                              <w:marRight w:val="0"/>
                              <w:marTop w:val="0"/>
                              <w:marBottom w:val="0"/>
                              <w:divBdr>
                                <w:top w:val="none" w:sz="0" w:space="0" w:color="auto"/>
                                <w:left w:val="none" w:sz="0" w:space="0" w:color="auto"/>
                                <w:bottom w:val="none" w:sz="0" w:space="0" w:color="auto"/>
                                <w:right w:val="none" w:sz="0" w:space="0" w:color="auto"/>
                              </w:divBdr>
                              <w:divsChild>
                                <w:div w:id="985815925">
                                  <w:marLeft w:val="0"/>
                                  <w:marRight w:val="0"/>
                                  <w:marTop w:val="0"/>
                                  <w:marBottom w:val="0"/>
                                  <w:divBdr>
                                    <w:top w:val="none" w:sz="0" w:space="0" w:color="auto"/>
                                    <w:left w:val="none" w:sz="0" w:space="0" w:color="auto"/>
                                    <w:bottom w:val="none" w:sz="0" w:space="0" w:color="auto"/>
                                    <w:right w:val="none" w:sz="0" w:space="0" w:color="auto"/>
                                  </w:divBdr>
                                  <w:divsChild>
                                    <w:div w:id="311107471">
                                      <w:marLeft w:val="0"/>
                                      <w:marRight w:val="0"/>
                                      <w:marTop w:val="0"/>
                                      <w:marBottom w:val="0"/>
                                      <w:divBdr>
                                        <w:top w:val="none" w:sz="0" w:space="0" w:color="auto"/>
                                        <w:left w:val="none" w:sz="0" w:space="0" w:color="auto"/>
                                        <w:bottom w:val="none" w:sz="0" w:space="0" w:color="auto"/>
                                        <w:right w:val="none" w:sz="0" w:space="0" w:color="auto"/>
                                      </w:divBdr>
                                      <w:divsChild>
                                        <w:div w:id="52001648">
                                          <w:marLeft w:val="0"/>
                                          <w:marRight w:val="0"/>
                                          <w:marTop w:val="0"/>
                                          <w:marBottom w:val="0"/>
                                          <w:divBdr>
                                            <w:top w:val="none" w:sz="0" w:space="0" w:color="auto"/>
                                            <w:left w:val="none" w:sz="0" w:space="0" w:color="auto"/>
                                            <w:bottom w:val="none" w:sz="0" w:space="0" w:color="auto"/>
                                            <w:right w:val="none" w:sz="0" w:space="0" w:color="auto"/>
                                          </w:divBdr>
                                          <w:divsChild>
                                            <w:div w:id="290406887">
                                              <w:marLeft w:val="0"/>
                                              <w:marRight w:val="0"/>
                                              <w:marTop w:val="0"/>
                                              <w:marBottom w:val="0"/>
                                              <w:divBdr>
                                                <w:top w:val="none" w:sz="0" w:space="0" w:color="auto"/>
                                                <w:left w:val="none" w:sz="0" w:space="0" w:color="auto"/>
                                                <w:bottom w:val="none" w:sz="0" w:space="0" w:color="auto"/>
                                                <w:right w:val="none" w:sz="0" w:space="0" w:color="auto"/>
                                              </w:divBdr>
                                            </w:div>
                                            <w:div w:id="1748304132">
                                              <w:marLeft w:val="0"/>
                                              <w:marRight w:val="0"/>
                                              <w:marTop w:val="0"/>
                                              <w:marBottom w:val="0"/>
                                              <w:divBdr>
                                                <w:top w:val="none" w:sz="0" w:space="0" w:color="auto"/>
                                                <w:left w:val="none" w:sz="0" w:space="0" w:color="auto"/>
                                                <w:bottom w:val="none" w:sz="0" w:space="0" w:color="auto"/>
                                                <w:right w:val="none" w:sz="0" w:space="0" w:color="auto"/>
                                              </w:divBdr>
                                              <w:divsChild>
                                                <w:div w:id="1690179259">
                                                  <w:marLeft w:val="0"/>
                                                  <w:marRight w:val="0"/>
                                                  <w:marTop w:val="0"/>
                                                  <w:marBottom w:val="0"/>
                                                  <w:divBdr>
                                                    <w:top w:val="none" w:sz="0" w:space="0" w:color="auto"/>
                                                    <w:left w:val="none" w:sz="0" w:space="0" w:color="auto"/>
                                                    <w:bottom w:val="none" w:sz="0" w:space="0" w:color="auto"/>
                                                    <w:right w:val="none" w:sz="0" w:space="0" w:color="auto"/>
                                                  </w:divBdr>
                                                </w:div>
                                                <w:div w:id="47121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1039446">
      <w:bodyDiv w:val="1"/>
      <w:marLeft w:val="0"/>
      <w:marRight w:val="0"/>
      <w:marTop w:val="0"/>
      <w:marBottom w:val="0"/>
      <w:divBdr>
        <w:top w:val="none" w:sz="0" w:space="0" w:color="auto"/>
        <w:left w:val="none" w:sz="0" w:space="0" w:color="auto"/>
        <w:bottom w:val="none" w:sz="0" w:space="0" w:color="auto"/>
        <w:right w:val="none" w:sz="0" w:space="0" w:color="auto"/>
      </w:divBdr>
      <w:divsChild>
        <w:div w:id="1570577942">
          <w:marLeft w:val="0"/>
          <w:marRight w:val="1"/>
          <w:marTop w:val="0"/>
          <w:marBottom w:val="0"/>
          <w:divBdr>
            <w:top w:val="none" w:sz="0" w:space="0" w:color="auto"/>
            <w:left w:val="none" w:sz="0" w:space="0" w:color="auto"/>
            <w:bottom w:val="none" w:sz="0" w:space="0" w:color="auto"/>
            <w:right w:val="none" w:sz="0" w:space="0" w:color="auto"/>
          </w:divBdr>
          <w:divsChild>
            <w:div w:id="767701061">
              <w:marLeft w:val="0"/>
              <w:marRight w:val="0"/>
              <w:marTop w:val="0"/>
              <w:marBottom w:val="0"/>
              <w:divBdr>
                <w:top w:val="none" w:sz="0" w:space="0" w:color="auto"/>
                <w:left w:val="none" w:sz="0" w:space="0" w:color="auto"/>
                <w:bottom w:val="none" w:sz="0" w:space="0" w:color="auto"/>
                <w:right w:val="none" w:sz="0" w:space="0" w:color="auto"/>
              </w:divBdr>
              <w:divsChild>
                <w:div w:id="779109165">
                  <w:marLeft w:val="0"/>
                  <w:marRight w:val="0"/>
                  <w:marTop w:val="0"/>
                  <w:marBottom w:val="0"/>
                  <w:divBdr>
                    <w:top w:val="none" w:sz="0" w:space="0" w:color="auto"/>
                    <w:left w:val="none" w:sz="0" w:space="0" w:color="auto"/>
                    <w:bottom w:val="none" w:sz="0" w:space="0" w:color="auto"/>
                    <w:right w:val="none" w:sz="0" w:space="0" w:color="auto"/>
                  </w:divBdr>
                  <w:divsChild>
                    <w:div w:id="716047188">
                      <w:marLeft w:val="0"/>
                      <w:marRight w:val="0"/>
                      <w:marTop w:val="0"/>
                      <w:marBottom w:val="0"/>
                      <w:divBdr>
                        <w:top w:val="none" w:sz="0" w:space="0" w:color="auto"/>
                        <w:left w:val="none" w:sz="0" w:space="0" w:color="auto"/>
                        <w:bottom w:val="none" w:sz="0" w:space="0" w:color="auto"/>
                        <w:right w:val="none" w:sz="0" w:space="0" w:color="auto"/>
                      </w:divBdr>
                      <w:divsChild>
                        <w:div w:id="1945721003">
                          <w:marLeft w:val="0"/>
                          <w:marRight w:val="0"/>
                          <w:marTop w:val="0"/>
                          <w:marBottom w:val="0"/>
                          <w:divBdr>
                            <w:top w:val="none" w:sz="0" w:space="0" w:color="auto"/>
                            <w:left w:val="none" w:sz="0" w:space="0" w:color="auto"/>
                            <w:bottom w:val="none" w:sz="0" w:space="0" w:color="auto"/>
                            <w:right w:val="none" w:sz="0" w:space="0" w:color="auto"/>
                          </w:divBdr>
                          <w:divsChild>
                            <w:div w:id="1244800342">
                              <w:marLeft w:val="0"/>
                              <w:marRight w:val="0"/>
                              <w:marTop w:val="0"/>
                              <w:marBottom w:val="0"/>
                              <w:divBdr>
                                <w:top w:val="none" w:sz="0" w:space="0" w:color="auto"/>
                                <w:left w:val="none" w:sz="0" w:space="0" w:color="auto"/>
                                <w:bottom w:val="none" w:sz="0" w:space="0" w:color="auto"/>
                                <w:right w:val="none" w:sz="0" w:space="0" w:color="auto"/>
                              </w:divBdr>
                              <w:divsChild>
                                <w:div w:id="2117366010">
                                  <w:marLeft w:val="0"/>
                                  <w:marRight w:val="0"/>
                                  <w:marTop w:val="185"/>
                                  <w:marBottom w:val="517"/>
                                  <w:divBdr>
                                    <w:top w:val="single" w:sz="36" w:space="6" w:color="97B0C8"/>
                                    <w:left w:val="none" w:sz="0" w:space="0" w:color="auto"/>
                                    <w:bottom w:val="none" w:sz="0" w:space="0" w:color="auto"/>
                                    <w:right w:val="none" w:sz="0" w:space="0" w:color="auto"/>
                                  </w:divBdr>
                                  <w:divsChild>
                                    <w:div w:id="1199122788">
                                      <w:marLeft w:val="0"/>
                                      <w:marRight w:val="0"/>
                                      <w:marTop w:val="0"/>
                                      <w:marBottom w:val="0"/>
                                      <w:divBdr>
                                        <w:top w:val="none" w:sz="0" w:space="0" w:color="auto"/>
                                        <w:left w:val="none" w:sz="0" w:space="0" w:color="auto"/>
                                        <w:bottom w:val="none" w:sz="0" w:space="0" w:color="auto"/>
                                        <w:right w:val="none" w:sz="0" w:space="0" w:color="auto"/>
                                      </w:divBdr>
                                      <w:divsChild>
                                        <w:div w:id="1653414282">
                                          <w:marLeft w:val="0"/>
                                          <w:marRight w:val="0"/>
                                          <w:marTop w:val="0"/>
                                          <w:marBottom w:val="0"/>
                                          <w:divBdr>
                                            <w:top w:val="none" w:sz="0" w:space="0" w:color="auto"/>
                                            <w:left w:val="none" w:sz="0" w:space="0" w:color="auto"/>
                                            <w:bottom w:val="none" w:sz="0" w:space="0" w:color="auto"/>
                                            <w:right w:val="none" w:sz="0" w:space="0" w:color="auto"/>
                                          </w:divBdr>
                                          <w:divsChild>
                                            <w:div w:id="495388605">
                                              <w:marLeft w:val="0"/>
                                              <w:marRight w:val="0"/>
                                              <w:marTop w:val="0"/>
                                              <w:marBottom w:val="0"/>
                                              <w:divBdr>
                                                <w:top w:val="none" w:sz="0" w:space="0" w:color="auto"/>
                                                <w:left w:val="none" w:sz="0" w:space="0" w:color="auto"/>
                                                <w:bottom w:val="none" w:sz="0" w:space="0" w:color="auto"/>
                                                <w:right w:val="none" w:sz="0" w:space="0" w:color="auto"/>
                                              </w:divBdr>
                                              <w:divsChild>
                                                <w:div w:id="185602360">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1628991">
      <w:bodyDiv w:val="1"/>
      <w:marLeft w:val="0"/>
      <w:marRight w:val="0"/>
      <w:marTop w:val="0"/>
      <w:marBottom w:val="0"/>
      <w:divBdr>
        <w:top w:val="none" w:sz="0" w:space="0" w:color="auto"/>
        <w:left w:val="none" w:sz="0" w:space="0" w:color="auto"/>
        <w:bottom w:val="none" w:sz="0" w:space="0" w:color="auto"/>
        <w:right w:val="none" w:sz="0" w:space="0" w:color="auto"/>
      </w:divBdr>
    </w:div>
    <w:div w:id="1675649023">
      <w:bodyDiv w:val="1"/>
      <w:marLeft w:val="0"/>
      <w:marRight w:val="0"/>
      <w:marTop w:val="0"/>
      <w:marBottom w:val="0"/>
      <w:divBdr>
        <w:top w:val="none" w:sz="0" w:space="0" w:color="auto"/>
        <w:left w:val="none" w:sz="0" w:space="0" w:color="auto"/>
        <w:bottom w:val="none" w:sz="0" w:space="0" w:color="auto"/>
        <w:right w:val="none" w:sz="0" w:space="0" w:color="auto"/>
      </w:divBdr>
      <w:divsChild>
        <w:div w:id="1602101409">
          <w:marLeft w:val="0"/>
          <w:marRight w:val="0"/>
          <w:marTop w:val="150"/>
          <w:marBottom w:val="0"/>
          <w:divBdr>
            <w:top w:val="none" w:sz="0" w:space="0" w:color="auto"/>
            <w:left w:val="none" w:sz="0" w:space="0" w:color="auto"/>
            <w:bottom w:val="none" w:sz="0" w:space="0" w:color="auto"/>
            <w:right w:val="none" w:sz="0" w:space="0" w:color="auto"/>
          </w:divBdr>
          <w:divsChild>
            <w:div w:id="603073598">
              <w:marLeft w:val="0"/>
              <w:marRight w:val="0"/>
              <w:marTop w:val="0"/>
              <w:marBottom w:val="0"/>
              <w:divBdr>
                <w:top w:val="none" w:sz="0" w:space="0" w:color="auto"/>
                <w:left w:val="none" w:sz="0" w:space="0" w:color="auto"/>
                <w:bottom w:val="none" w:sz="0" w:space="0" w:color="auto"/>
                <w:right w:val="none" w:sz="0" w:space="0" w:color="auto"/>
              </w:divBdr>
              <w:divsChild>
                <w:div w:id="1651326344">
                  <w:marLeft w:val="0"/>
                  <w:marRight w:val="0"/>
                  <w:marTop w:val="0"/>
                  <w:marBottom w:val="0"/>
                  <w:divBdr>
                    <w:top w:val="none" w:sz="0" w:space="0" w:color="auto"/>
                    <w:left w:val="none" w:sz="0" w:space="0" w:color="auto"/>
                    <w:bottom w:val="none" w:sz="0" w:space="0" w:color="auto"/>
                    <w:right w:val="none" w:sz="0" w:space="0" w:color="auto"/>
                  </w:divBdr>
                  <w:divsChild>
                    <w:div w:id="128058030">
                      <w:marLeft w:val="0"/>
                      <w:marRight w:val="0"/>
                      <w:marTop w:val="168"/>
                      <w:marBottom w:val="0"/>
                      <w:divBdr>
                        <w:top w:val="none" w:sz="0" w:space="0" w:color="auto"/>
                        <w:left w:val="none" w:sz="0" w:space="0" w:color="auto"/>
                        <w:bottom w:val="none" w:sz="0" w:space="0" w:color="auto"/>
                        <w:right w:val="none" w:sz="0" w:space="0" w:color="auto"/>
                      </w:divBdr>
                      <w:divsChild>
                        <w:div w:id="27297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369632">
      <w:bodyDiv w:val="1"/>
      <w:marLeft w:val="0"/>
      <w:marRight w:val="0"/>
      <w:marTop w:val="0"/>
      <w:marBottom w:val="0"/>
      <w:divBdr>
        <w:top w:val="none" w:sz="0" w:space="0" w:color="auto"/>
        <w:left w:val="none" w:sz="0" w:space="0" w:color="auto"/>
        <w:bottom w:val="none" w:sz="0" w:space="0" w:color="auto"/>
        <w:right w:val="none" w:sz="0" w:space="0" w:color="auto"/>
      </w:divBdr>
    </w:div>
    <w:div w:id="1899827989">
      <w:bodyDiv w:val="1"/>
      <w:marLeft w:val="0"/>
      <w:marRight w:val="0"/>
      <w:marTop w:val="0"/>
      <w:marBottom w:val="0"/>
      <w:divBdr>
        <w:top w:val="none" w:sz="0" w:space="0" w:color="auto"/>
        <w:left w:val="none" w:sz="0" w:space="0" w:color="auto"/>
        <w:bottom w:val="none" w:sz="0" w:space="0" w:color="auto"/>
        <w:right w:val="none" w:sz="0" w:space="0" w:color="auto"/>
      </w:divBdr>
    </w:div>
    <w:div w:id="1908110383">
      <w:bodyDiv w:val="1"/>
      <w:marLeft w:val="0"/>
      <w:marRight w:val="0"/>
      <w:marTop w:val="0"/>
      <w:marBottom w:val="0"/>
      <w:divBdr>
        <w:top w:val="none" w:sz="0" w:space="0" w:color="auto"/>
        <w:left w:val="none" w:sz="0" w:space="0" w:color="auto"/>
        <w:bottom w:val="none" w:sz="0" w:space="0" w:color="auto"/>
        <w:right w:val="none" w:sz="0" w:space="0" w:color="auto"/>
      </w:divBdr>
      <w:divsChild>
        <w:div w:id="1045063113">
          <w:marLeft w:val="0"/>
          <w:marRight w:val="0"/>
          <w:marTop w:val="150"/>
          <w:marBottom w:val="0"/>
          <w:divBdr>
            <w:top w:val="none" w:sz="0" w:space="0" w:color="auto"/>
            <w:left w:val="none" w:sz="0" w:space="0" w:color="auto"/>
            <w:bottom w:val="none" w:sz="0" w:space="0" w:color="auto"/>
            <w:right w:val="none" w:sz="0" w:space="0" w:color="auto"/>
          </w:divBdr>
          <w:divsChild>
            <w:div w:id="1546717136">
              <w:marLeft w:val="0"/>
              <w:marRight w:val="0"/>
              <w:marTop w:val="0"/>
              <w:marBottom w:val="0"/>
              <w:divBdr>
                <w:top w:val="none" w:sz="0" w:space="0" w:color="auto"/>
                <w:left w:val="none" w:sz="0" w:space="0" w:color="auto"/>
                <w:bottom w:val="none" w:sz="0" w:space="0" w:color="auto"/>
                <w:right w:val="none" w:sz="0" w:space="0" w:color="auto"/>
              </w:divBdr>
              <w:divsChild>
                <w:div w:id="524369933">
                  <w:marLeft w:val="0"/>
                  <w:marRight w:val="0"/>
                  <w:marTop w:val="0"/>
                  <w:marBottom w:val="0"/>
                  <w:divBdr>
                    <w:top w:val="none" w:sz="0" w:space="0" w:color="auto"/>
                    <w:left w:val="none" w:sz="0" w:space="0" w:color="auto"/>
                    <w:bottom w:val="none" w:sz="0" w:space="0" w:color="auto"/>
                    <w:right w:val="none" w:sz="0" w:space="0" w:color="auto"/>
                  </w:divBdr>
                  <w:divsChild>
                    <w:div w:id="922378448">
                      <w:marLeft w:val="0"/>
                      <w:marRight w:val="0"/>
                      <w:marTop w:val="168"/>
                      <w:marBottom w:val="0"/>
                      <w:divBdr>
                        <w:top w:val="none" w:sz="0" w:space="0" w:color="auto"/>
                        <w:left w:val="none" w:sz="0" w:space="0" w:color="auto"/>
                        <w:bottom w:val="none" w:sz="0" w:space="0" w:color="auto"/>
                        <w:right w:val="none" w:sz="0" w:space="0" w:color="auto"/>
                      </w:divBdr>
                      <w:divsChild>
                        <w:div w:id="98304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696073">
      <w:bodyDiv w:val="1"/>
      <w:marLeft w:val="0"/>
      <w:marRight w:val="0"/>
      <w:marTop w:val="0"/>
      <w:marBottom w:val="0"/>
      <w:divBdr>
        <w:top w:val="none" w:sz="0" w:space="0" w:color="auto"/>
        <w:left w:val="none" w:sz="0" w:space="0" w:color="auto"/>
        <w:bottom w:val="none" w:sz="0" w:space="0" w:color="auto"/>
        <w:right w:val="none" w:sz="0" w:space="0" w:color="auto"/>
      </w:divBdr>
      <w:divsChild>
        <w:div w:id="685329683">
          <w:marLeft w:val="0"/>
          <w:marRight w:val="0"/>
          <w:marTop w:val="150"/>
          <w:marBottom w:val="0"/>
          <w:divBdr>
            <w:top w:val="none" w:sz="0" w:space="0" w:color="auto"/>
            <w:left w:val="none" w:sz="0" w:space="0" w:color="auto"/>
            <w:bottom w:val="none" w:sz="0" w:space="0" w:color="auto"/>
            <w:right w:val="none" w:sz="0" w:space="0" w:color="auto"/>
          </w:divBdr>
          <w:divsChild>
            <w:div w:id="1532261739">
              <w:marLeft w:val="0"/>
              <w:marRight w:val="0"/>
              <w:marTop w:val="0"/>
              <w:marBottom w:val="0"/>
              <w:divBdr>
                <w:top w:val="none" w:sz="0" w:space="0" w:color="auto"/>
                <w:left w:val="none" w:sz="0" w:space="0" w:color="auto"/>
                <w:bottom w:val="none" w:sz="0" w:space="0" w:color="auto"/>
                <w:right w:val="none" w:sz="0" w:space="0" w:color="auto"/>
              </w:divBdr>
              <w:divsChild>
                <w:div w:id="1726172515">
                  <w:marLeft w:val="0"/>
                  <w:marRight w:val="0"/>
                  <w:marTop w:val="0"/>
                  <w:marBottom w:val="0"/>
                  <w:divBdr>
                    <w:top w:val="none" w:sz="0" w:space="0" w:color="auto"/>
                    <w:left w:val="none" w:sz="0" w:space="0" w:color="auto"/>
                    <w:bottom w:val="none" w:sz="0" w:space="0" w:color="auto"/>
                    <w:right w:val="none" w:sz="0" w:space="0" w:color="auto"/>
                  </w:divBdr>
                  <w:divsChild>
                    <w:div w:id="1220288150">
                      <w:marLeft w:val="0"/>
                      <w:marRight w:val="0"/>
                      <w:marTop w:val="168"/>
                      <w:marBottom w:val="0"/>
                      <w:divBdr>
                        <w:top w:val="none" w:sz="0" w:space="0" w:color="auto"/>
                        <w:left w:val="none" w:sz="0" w:space="0" w:color="auto"/>
                        <w:bottom w:val="none" w:sz="0" w:space="0" w:color="auto"/>
                        <w:right w:val="none" w:sz="0" w:space="0" w:color="auto"/>
                      </w:divBdr>
                      <w:divsChild>
                        <w:div w:id="11488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cbi.nlm.nih.gov/pubmed/21699794" TargetMode="External"/><Relationship Id="rId117" Type="http://schemas.openxmlformats.org/officeDocument/2006/relationships/image" Target="media/image18.png"/><Relationship Id="rId21" Type="http://schemas.openxmlformats.org/officeDocument/2006/relationships/hyperlink" Target="http://onlinelibrary.wiley.com/doi/10.1111/j.1365-2141.2011.09012.x/abstract" TargetMode="External"/><Relationship Id="rId42" Type="http://schemas.openxmlformats.org/officeDocument/2006/relationships/hyperlink" Target="https://www.bloodsafelearning.org.au" TargetMode="External"/><Relationship Id="rId47" Type="http://schemas.openxmlformats.org/officeDocument/2006/relationships/hyperlink" Target="http://www.transfusion.com.au/transfusion_practice/anaemia_management/iron_deficiency_anaemia/oral_preparations/side_effects" TargetMode="External"/><Relationship Id="rId63" Type="http://schemas.openxmlformats.org/officeDocument/2006/relationships/hyperlink" Target="http://www.health.wa.gov.au/bloodmanagement/docs/default.poly.pdf" TargetMode="External"/><Relationship Id="rId68" Type="http://schemas.openxmlformats.org/officeDocument/2006/relationships/hyperlink" Target="http://www.nps.org.au/publications/health-professional/nps-radar/2014/july-2014/ferric-carboxymaltose" TargetMode="External"/><Relationship Id="rId84" Type="http://schemas.openxmlformats.org/officeDocument/2006/relationships/hyperlink" Target="http://www.mytransfusion.com.au/node/iron-deficiency-anaemia" TargetMode="External"/><Relationship Id="rId89" Type="http://schemas.openxmlformats.org/officeDocument/2006/relationships/hyperlink" Target="https://www.ebs.tga.gov.au/ebs/picmi/picmirepository.nsf/PICMI?OpenForm&amp;t=&amp;q=iron%20sucrose&amp;r=http://www.pbs.gov.au/medicine/item/2593L-2805P" TargetMode="External"/><Relationship Id="rId112" Type="http://schemas.openxmlformats.org/officeDocument/2006/relationships/image" Target="media/image13.jpeg"/><Relationship Id="rId16" Type="http://schemas.openxmlformats.org/officeDocument/2006/relationships/hyperlink" Target="http://www.mja.com.au" TargetMode="External"/><Relationship Id="rId107" Type="http://schemas.openxmlformats.org/officeDocument/2006/relationships/image" Target="media/image8.png"/><Relationship Id="rId11" Type="http://schemas.openxmlformats.org/officeDocument/2006/relationships/image" Target="media/image2.png"/><Relationship Id="rId32" Type="http://schemas.openxmlformats.org/officeDocument/2006/relationships/hyperlink" Target="http://www.gesa.org.au/professional.asp?cid=9&amp;id=124" TargetMode="External"/><Relationship Id="rId37" Type="http://schemas.openxmlformats.org/officeDocument/2006/relationships/hyperlink" Target="http://www.bcshguidelines.com" TargetMode="External"/><Relationship Id="rId53" Type="http://schemas.openxmlformats.org/officeDocument/2006/relationships/hyperlink" Target="https://www.ebs.tga.gov.au/ebs/picmi/picmirepository.nsf/PICMI?OpenForm&amp;t=&amp;q=iron%20sucrose&amp;r=http://www.pbs.gov.au/medicine/item/2593L-2805P" TargetMode="External"/><Relationship Id="rId58" Type="http://schemas.openxmlformats.org/officeDocument/2006/relationships/hyperlink" Target="http://www.health.vic.gov.au/bloodmatters/management/guiding_principles_iron_infusion.htm" TargetMode="External"/><Relationship Id="rId74" Type="http://schemas.openxmlformats.org/officeDocument/2006/relationships/hyperlink" Target="http://www.catag.org.au/wp-content/uploads/2012/08/OKA9963-CATAG-Rethinking-Medicines-Decision-Making-final.pdf" TargetMode="External"/><Relationship Id="rId79" Type="http://schemas.openxmlformats.org/officeDocument/2006/relationships/hyperlink" Target="http://www.sahealth.sa.gov.au/wps/wcm/connect/public+content/sa+health+internet/clinical+resources/clinical+programs/blood+products+and+programs/bloodsafe/bloodsafe+information+for+consumers/iron+therapy" TargetMode="External"/><Relationship Id="rId102" Type="http://schemas.openxmlformats.org/officeDocument/2006/relationships/image" Target="media/image4.png"/><Relationship Id="rId5" Type="http://schemas.openxmlformats.org/officeDocument/2006/relationships/settings" Target="settings.xml"/><Relationship Id="rId90" Type="http://schemas.openxmlformats.org/officeDocument/2006/relationships/hyperlink" Target="https://www.ebs.tga.gov.au/ebs/picmi/picmirepository.nsf/PICMI?OpenForm&amp;t=&amp;q=iron%20polymaltose" TargetMode="External"/><Relationship Id="rId95" Type="http://schemas.openxmlformats.org/officeDocument/2006/relationships/hyperlink" Target="http://www.sahealth.sa.gov.au/wps/wcm/connect/public+content/sa+health+internet/resources/policies/iron+infusion+-+sa+perinatal+practice+guidelines" TargetMode="External"/><Relationship Id="rId22" Type="http://schemas.openxmlformats.org/officeDocument/2006/relationships/hyperlink" Target="http://www.bcshguidelines.com" TargetMode="External"/><Relationship Id="rId27" Type="http://schemas.openxmlformats.org/officeDocument/2006/relationships/hyperlink" Target="http://www.sahealth.sa.gov.au/wps/wcm/connect/public+content/sa+health+internet/resources/policies/iron+infusion+-+sa+perinatal+practice+guidelines" TargetMode="External"/><Relationship Id="rId43" Type="http://schemas.openxmlformats.org/officeDocument/2006/relationships/hyperlink" Target="http://www.transfusion.com.au/transfusion_practice/anaemia_management/iron_deficiency_anaemia" TargetMode="External"/><Relationship Id="rId48" Type="http://schemas.openxmlformats.org/officeDocument/2006/relationships/hyperlink" Target="http://www.transfusion.com.au/anaemia_management/iron_deficiency_without_anaemia" TargetMode="External"/><Relationship Id="rId64" Type="http://schemas.openxmlformats.org/officeDocument/2006/relationships/hyperlink" Target="http://www.health.wa.gov.au/bloodmanagement/docs/default.ironsucrose.pdf" TargetMode="External"/><Relationship Id="rId69" Type="http://schemas.openxmlformats.org/officeDocument/2006/relationships/hyperlink" Target="http://www.nps.org.au" TargetMode="External"/><Relationship Id="rId113" Type="http://schemas.openxmlformats.org/officeDocument/2006/relationships/image" Target="media/image14.jpeg"/><Relationship Id="rId118" Type="http://schemas.openxmlformats.org/officeDocument/2006/relationships/hyperlink" Target="http://www.bloodsafe.sa.gov.au/" TargetMode="External"/><Relationship Id="rId80" Type="http://schemas.openxmlformats.org/officeDocument/2006/relationships/hyperlink" Target="http://www.bloodsafe.sa.gov.au/" TargetMode="External"/><Relationship Id="rId85" Type="http://schemas.openxmlformats.org/officeDocument/2006/relationships/hyperlink" Target="http://mytransfusion.com.au" TargetMode="External"/><Relationship Id="rId12" Type="http://schemas.openxmlformats.org/officeDocument/2006/relationships/hyperlink" Target="https://www.ebs.tga.gov.au/ebs/picmi/picmirepository.nsf/PICMI?OpenForm&amp;t=&amp;q=ferinject&amp;r=http://www.pbs.gov.au/medicine/item/2593L-2805P" TargetMode="External"/><Relationship Id="rId17" Type="http://schemas.openxmlformats.org/officeDocument/2006/relationships/hyperlink" Target="http://www.gesa.org.au/professional.asp?cid=9&amp;id=124" TargetMode="External"/><Relationship Id="rId33" Type="http://schemas.openxmlformats.org/officeDocument/2006/relationships/hyperlink" Target="http://www.gesa.org.au/" TargetMode="External"/><Relationship Id="rId38" Type="http://schemas.openxmlformats.org/officeDocument/2006/relationships/hyperlink" Target="http://www.racgp.org.au/afp/2013/may/patient-blood-management/" TargetMode="External"/><Relationship Id="rId59" Type="http://schemas.openxmlformats.org/officeDocument/2006/relationships/hyperlink" Target="http://docs.health.vic.gov.au/docs/doc/Iron-Polymaltose-Infusion" TargetMode="External"/><Relationship Id="rId103" Type="http://schemas.openxmlformats.org/officeDocument/2006/relationships/oleObject" Target="embeddings/oleObject2.bin"/><Relationship Id="rId108" Type="http://schemas.openxmlformats.org/officeDocument/2006/relationships/image" Target="media/image9.jpeg"/><Relationship Id="rId54" Type="http://schemas.openxmlformats.org/officeDocument/2006/relationships/hyperlink" Target="http://www.ebs.tga.gov.au/" TargetMode="External"/><Relationship Id="rId70" Type="http://schemas.openxmlformats.org/officeDocument/2006/relationships/hyperlink" Target="http://www.ncbi.nlm.nih.gov/pubmed/21340038" TargetMode="External"/><Relationship Id="rId75" Type="http://schemas.openxmlformats.org/officeDocument/2006/relationships/hyperlink" Target="http://daa.asn.au/" TargetMode="External"/><Relationship Id="rId91" Type="http://schemas.openxmlformats.org/officeDocument/2006/relationships/hyperlink" Target="https://www.ebs.tga.gov.au/ebs/picmi/picmirepository.nsf/PICMI?OpenForm&amp;t=&amp;q=iron%20polymaltose" TargetMode="External"/><Relationship Id="rId96" Type="http://schemas.openxmlformats.org/officeDocument/2006/relationships/hyperlink" Target="http://www.sahealth.sa.gov.au"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blood.gov.au/pbm-module-5" TargetMode="External"/><Relationship Id="rId28" Type="http://schemas.openxmlformats.org/officeDocument/2006/relationships/hyperlink" Target="http://www.health.wa.gov.au/bloodmanagement/docs/default.carboxy.pdf" TargetMode="External"/><Relationship Id="rId49" Type="http://schemas.openxmlformats.org/officeDocument/2006/relationships/hyperlink" Target="http://www.transfusion.com.au" TargetMode="External"/><Relationship Id="rId114" Type="http://schemas.openxmlformats.org/officeDocument/2006/relationships/image" Target="media/image15.jpeg"/><Relationship Id="rId119" Type="http://schemas.openxmlformats.org/officeDocument/2006/relationships/footer" Target="footer4.xml"/><Relationship Id="rId44" Type="http://schemas.openxmlformats.org/officeDocument/2006/relationships/hyperlink" Target="http://www.transfusion.com.au/transfusion_practice/anaemia_management/iron_deficiency_anaemia/management_of_IDA/treatment" TargetMode="External"/><Relationship Id="rId60" Type="http://schemas.openxmlformats.org/officeDocument/2006/relationships/hyperlink" Target="http://docs.health.vic.gov.au/docs/doc/Iron-carboxymaltose-Administration-guidelines-2012-:-Peter-MacCallum-Cancer-centre" TargetMode="External"/><Relationship Id="rId65" Type="http://schemas.openxmlformats.org/officeDocument/2006/relationships/hyperlink" Target="http://www.health.wa.gov.au/bloodmanagement" TargetMode="External"/><Relationship Id="rId81" Type="http://schemas.openxmlformats.org/officeDocument/2006/relationships/hyperlink" Target="http://www.sahealth.sa.gov.au/wps/wcm/connect/public+content/sa+health+internet/clinical+resources/clinical+programs/blood+products+and+programs/bloodsafe/bloodsafe+information+for+consumers/iron+therapy" TargetMode="External"/><Relationship Id="rId86"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www.ebs.tga.gov.au/ebs/picmi/picmirepository.nsf/PICMI?OpenForm&amp;t=&amp;q=iron%20polymaltose" TargetMode="External"/><Relationship Id="rId18" Type="http://schemas.openxmlformats.org/officeDocument/2006/relationships/hyperlink" Target="http://www.gesa.org.au" TargetMode="External"/><Relationship Id="rId39" Type="http://schemas.openxmlformats.org/officeDocument/2006/relationships/hyperlink" Target="http://www.racgp.org.au/afp" TargetMode="External"/><Relationship Id="rId109" Type="http://schemas.openxmlformats.org/officeDocument/2006/relationships/image" Target="media/image10.png"/><Relationship Id="rId34" Type="http://schemas.openxmlformats.org/officeDocument/2006/relationships/hyperlink" Target="http://www.bsg.org.uk/clinical-guidelines/small-bowel-nutrition/guidelines-for-the-management-of-iron-deficiency-anaemia.html" TargetMode="External"/><Relationship Id="rId50" Type="http://schemas.openxmlformats.org/officeDocument/2006/relationships/hyperlink" Target="https://www.ebs.tga.gov.au/ebs/picmi/picmirepository.nsf/PICMI?OpenForm&amp;t=&amp;q=ferinject&amp;r=http://www.pbs.gov.au/medicine/item/2593L-2805P" TargetMode="External"/><Relationship Id="rId55" Type="http://schemas.openxmlformats.org/officeDocument/2006/relationships/hyperlink" Target="http://www.shpa.org.au/lib/pdf/publications/AIDH5/FERRIC_CARBOXYMALTOSE.pdf" TargetMode="External"/><Relationship Id="rId76" Type="http://schemas.openxmlformats.org/officeDocument/2006/relationships/hyperlink" Target="http://www.blood.gov.au" TargetMode="External"/><Relationship Id="rId97" Type="http://schemas.openxmlformats.org/officeDocument/2006/relationships/hyperlink" Target="http://www.health.wa.gov.au/bloodmanagement" TargetMode="External"/><Relationship Id="rId104" Type="http://schemas.openxmlformats.org/officeDocument/2006/relationships/image" Target="media/image5.jpeg"/><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pubmed.gov/" TargetMode="External"/><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www.nps.org.au/publications/health-professional/nps-radar/2014/july-2014/ferric-carboxymaltose" TargetMode="External"/><Relationship Id="rId24" Type="http://schemas.openxmlformats.org/officeDocument/2006/relationships/hyperlink" Target="http://www.blood.gov.au/pbm-module-2" TargetMode="External"/><Relationship Id="rId40" Type="http://schemas.openxmlformats.org/officeDocument/2006/relationships/hyperlink" Target="https://www.bloodsafelearning.org.au/node/71" TargetMode="External"/><Relationship Id="rId45" Type="http://schemas.openxmlformats.org/officeDocument/2006/relationships/hyperlink" Target="http://www.transfusion.com.au/transfusion_practice/anaemia_management/iron_deficiency_anaemia/oral_preparations/inadequate_response" TargetMode="External"/><Relationship Id="rId66" Type="http://schemas.openxmlformats.org/officeDocument/2006/relationships/hyperlink" Target="http://www.sahealth.sa.gov.au/wps/wcm/connect/public+content/sa+health+internet/resources/policies/iron+infusion+-+sa+perinatal+practice+guidelines" TargetMode="External"/><Relationship Id="rId87" Type="http://schemas.openxmlformats.org/officeDocument/2006/relationships/footer" Target="footer2.xml"/><Relationship Id="rId110" Type="http://schemas.openxmlformats.org/officeDocument/2006/relationships/image" Target="media/image11.jpeg"/><Relationship Id="rId115" Type="http://schemas.openxmlformats.org/officeDocument/2006/relationships/image" Target="media/image16.png"/><Relationship Id="rId61" Type="http://schemas.openxmlformats.org/officeDocument/2006/relationships/hyperlink" Target="http://www.health.vic.gov.au/bloodmatters/management/guiding_principles_iron_infusion.htm" TargetMode="External"/><Relationship Id="rId82" Type="http://schemas.openxmlformats.org/officeDocument/2006/relationships/hyperlink" Target="http://www.bloodsafe.sa.gov.au/" TargetMode="External"/><Relationship Id="rId19" Type="http://schemas.openxmlformats.org/officeDocument/2006/relationships/hyperlink" Target="http://www.bsg.org.uk/clinical-guidelines/small-bowel-nutrition/guidelines-for-the-management-of-iron-deficiency-anaemia.html" TargetMode="External"/><Relationship Id="rId14" Type="http://schemas.openxmlformats.org/officeDocument/2006/relationships/hyperlink" Target="https://www.ebs.tga.gov.au/ebs/picmi/picmirepository.nsf/PICMI?OpenForm&amp;t=&amp;q=iron%20sucrose&amp;r=http://www.pbs.gov.au/medicine/item/2593L-2805P" TargetMode="External"/><Relationship Id="rId30" Type="http://schemas.openxmlformats.org/officeDocument/2006/relationships/hyperlink" Target="https://www.mja.com.au/journal/2010/193/9/diagnosis-and-management-iron-deficiency-anaemia-clinical-update" TargetMode="External"/><Relationship Id="rId35" Type="http://schemas.openxmlformats.org/officeDocument/2006/relationships/hyperlink" Target="http://www.bsg.org.uk/" TargetMode="External"/><Relationship Id="rId56" Type="http://schemas.openxmlformats.org/officeDocument/2006/relationships/hyperlink" Target="http://www.shpa.org.au/lib/pdf/publications/AIDH5/IRON_POLYMALTOSE_COMPLEX_29November2012.pdf" TargetMode="External"/><Relationship Id="rId77" Type="http://schemas.openxmlformats.org/officeDocument/2006/relationships/hyperlink" Target="http://www.sahealth.sa.gov.au/wps/wcm/connect/public+content/sa+health+internet/clinical+resources/clinical+programs/blood+products+and+programs/bloodsafe/anaemia+management" TargetMode="External"/><Relationship Id="rId100" Type="http://schemas.openxmlformats.org/officeDocument/2006/relationships/image" Target="media/image3.png"/><Relationship Id="rId105" Type="http://schemas.openxmlformats.org/officeDocument/2006/relationships/image" Target="media/image6.png"/><Relationship Id="rId8" Type="http://schemas.openxmlformats.org/officeDocument/2006/relationships/endnotes" Target="endnotes.xml"/><Relationship Id="rId51" Type="http://schemas.openxmlformats.org/officeDocument/2006/relationships/hyperlink" Target="https://www.ebs.tga.gov.au/ebs/picmi/picmirepository.nsf/PICMI?OpenForm&amp;t=&amp;q=iron%20polymaltose" TargetMode="External"/><Relationship Id="rId72" Type="http://schemas.openxmlformats.org/officeDocument/2006/relationships/hyperlink" Target="http://asheducationbook.hematologylibrary.org/content/2010/1/338.long" TargetMode="External"/><Relationship Id="rId93" Type="http://schemas.openxmlformats.org/officeDocument/2006/relationships/hyperlink" Target="http://www.ebs.tga.gov.au" TargetMode="External"/><Relationship Id="rId98" Type="http://schemas.openxmlformats.org/officeDocument/2006/relationships/hyperlink" Target="http://www.ema.europa.eu/docs/en_GB/document_library/Press_release/2013/06/WC500144874.pdf"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www.ncbi.nlm.nih.gov/pubmed/5413918" TargetMode="External"/><Relationship Id="rId46" Type="http://schemas.openxmlformats.org/officeDocument/2006/relationships/hyperlink" Target="http://www.transfusion.com.au/transfusion_practice/anaemia_management/iron_deficiency_anaemia/oral_preparations/interactions" TargetMode="External"/><Relationship Id="rId67" Type="http://schemas.openxmlformats.org/officeDocument/2006/relationships/hyperlink" Target="http://www.sahealth.sa.gov.au" TargetMode="External"/><Relationship Id="rId116" Type="http://schemas.openxmlformats.org/officeDocument/2006/relationships/image" Target="media/image17.png"/><Relationship Id="rId20" Type="http://schemas.openxmlformats.org/officeDocument/2006/relationships/hyperlink" Target="http://www.bsg.org.uk" TargetMode="External"/><Relationship Id="rId41" Type="http://schemas.openxmlformats.org/officeDocument/2006/relationships/hyperlink" Target="https://www.bloodsafelearning.org.au/node/56" TargetMode="External"/><Relationship Id="rId62" Type="http://schemas.openxmlformats.org/officeDocument/2006/relationships/hyperlink" Target="http://www.health.wa.gov.au/bloodmanagement/docs/default.carboxy.pdf" TargetMode="External"/><Relationship Id="rId83" Type="http://schemas.openxmlformats.org/officeDocument/2006/relationships/hyperlink" Target="http://docs.health.vic.gov.au/docs/doc/Intravenous-iron-infusions:-Freemantle-Hospital-and-Health-Service" TargetMode="External"/><Relationship Id="rId88" Type="http://schemas.openxmlformats.org/officeDocument/2006/relationships/hyperlink" Target="https://www.ebs.tga.gov.au/ebs/picmi/picmirepository.nsf/PICMI?OpenForm&amp;t=&amp;q=ferinject&amp;r=http://www.pbs.gov.au/medicine/item/2593L-2805P" TargetMode="External"/><Relationship Id="rId111" Type="http://schemas.openxmlformats.org/officeDocument/2006/relationships/image" Target="media/image12.png"/><Relationship Id="rId15" Type="http://schemas.openxmlformats.org/officeDocument/2006/relationships/hyperlink" Target="https://www.mja.com.au/journal/2010/193/9/diagnosis-and-management-iron-deficiency-anaemia-clinical-update" TargetMode="External"/><Relationship Id="rId36" Type="http://schemas.openxmlformats.org/officeDocument/2006/relationships/hyperlink" Target="http://onlinelibrary.wiley.com/doi/10.1111/j.1365-2141.2011.09012.x/abstract" TargetMode="External"/><Relationship Id="rId57" Type="http://schemas.openxmlformats.org/officeDocument/2006/relationships/hyperlink" Target="http://www.shpa.org.au/Publications/Australian-Injectable-Drugs-Handbook" TargetMode="External"/><Relationship Id="rId106" Type="http://schemas.openxmlformats.org/officeDocument/2006/relationships/image" Target="media/image7.jpeg"/><Relationship Id="rId10" Type="http://schemas.openxmlformats.org/officeDocument/2006/relationships/footer" Target="footer1.xml"/><Relationship Id="rId31" Type="http://schemas.openxmlformats.org/officeDocument/2006/relationships/hyperlink" Target="http://www.mja.com.au/" TargetMode="External"/><Relationship Id="rId52" Type="http://schemas.openxmlformats.org/officeDocument/2006/relationships/hyperlink" Target="https://www.ebs.tga.gov.au/ebs/picmi/picmirepository.nsf/PICMI?OpenForm&amp;t=&amp;q=iron%20polymaltose" TargetMode="External"/><Relationship Id="rId73" Type="http://schemas.openxmlformats.org/officeDocument/2006/relationships/hyperlink" Target="http://www.pubmed.gov/" TargetMode="External"/><Relationship Id="rId78" Type="http://schemas.openxmlformats.org/officeDocument/2006/relationships/hyperlink" Target="http://www.bloodsafe.sa.gov.au/" TargetMode="External"/><Relationship Id="rId94" Type="http://schemas.openxmlformats.org/officeDocument/2006/relationships/hyperlink" Target="http://www.ncbi.nlm.nih.gov/pubmed/21699794" TargetMode="External"/><Relationship Id="rId99" Type="http://schemas.openxmlformats.org/officeDocument/2006/relationships/hyperlink" Target="http://www.catag.org.au/wp-content/uploads/2012/08/OKA9963-CATAG-Rethinking-Medicines-Decision-Making-final.pdf" TargetMode="External"/><Relationship Id="rId101"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796F6-CAD8-43D0-B794-3E4AEE476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4356</Words>
  <Characters>27356</Characters>
  <Application>Microsoft Office Word</Application>
  <DocSecurity>0</DocSecurity>
  <Lines>804</Lines>
  <Paragraphs>428</Paragraphs>
  <ScaleCrop>false</ScaleCrop>
  <HeadingPairs>
    <vt:vector size="2" baseType="variant">
      <vt:variant>
        <vt:lpstr>Title</vt:lpstr>
      </vt:variant>
      <vt:variant>
        <vt:i4>1</vt:i4>
      </vt:variant>
    </vt:vector>
  </HeadingPairs>
  <TitlesOfParts>
    <vt:vector size="1" baseType="lpstr">
      <vt:lpstr/>
    </vt:vector>
  </TitlesOfParts>
  <Company>Australian Red Cross Blood Service</Company>
  <LinksUpToDate>false</LinksUpToDate>
  <CharactersWithSpaces>31284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sminck</dc:creator>
  <cp:lastModifiedBy>Administrator</cp:lastModifiedBy>
  <cp:revision>4</cp:revision>
  <cp:lastPrinted>2015-07-27T00:15:00Z</cp:lastPrinted>
  <dcterms:created xsi:type="dcterms:W3CDTF">2016-05-20T04:52:00Z</dcterms:created>
  <dcterms:modified xsi:type="dcterms:W3CDTF">2016-05-20T04:58:00Z</dcterms:modified>
</cp:coreProperties>
</file>