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ABD13" w14:textId="4CBFB892" w:rsidR="00254E23" w:rsidRPr="00010AAD" w:rsidRDefault="00254E23" w:rsidP="00254E23">
      <w:pPr>
        <w:pStyle w:val="Heading3"/>
        <w:rPr>
          <w:rFonts w:asciiTheme="minorHAnsi" w:hAnsiTheme="minorHAnsi"/>
          <w:sz w:val="22"/>
          <w:szCs w:val="22"/>
        </w:rPr>
      </w:pPr>
      <w:bookmarkStart w:id="0" w:name="_GoBack"/>
      <w:bookmarkEnd w:id="0"/>
      <w:r w:rsidRPr="00010AAD">
        <w:rPr>
          <w:rFonts w:asciiTheme="minorHAnsi" w:hAnsiTheme="minorHAnsi"/>
          <w:sz w:val="22"/>
          <w:szCs w:val="22"/>
        </w:rPr>
        <w:t xml:space="preserve">Specialist Working Group for </w:t>
      </w:r>
      <w:r>
        <w:rPr>
          <w:rFonts w:asciiTheme="minorHAnsi" w:hAnsiTheme="minorHAnsi"/>
          <w:sz w:val="22"/>
          <w:szCs w:val="22"/>
        </w:rPr>
        <w:t>Solid Organ Transplantation</w:t>
      </w:r>
    </w:p>
    <w:p w14:paraId="5DB474C4" w14:textId="77777777" w:rsidR="00254E23" w:rsidRPr="00010AAD" w:rsidRDefault="00254E23" w:rsidP="00254E23">
      <w:pPr>
        <w:pStyle w:val="Heading4"/>
        <w:rPr>
          <w:rFonts w:asciiTheme="minorHAnsi" w:hAnsiTheme="minorHAnsi"/>
          <w:i/>
        </w:rPr>
      </w:pPr>
      <w:r w:rsidRPr="00010AAD">
        <w:rPr>
          <w:rFonts w:asciiTheme="minorHAnsi" w:hAnsiTheme="minorHAnsi"/>
        </w:rPr>
        <w:t xml:space="preserve">Proposed changes to the </w:t>
      </w:r>
      <w:r w:rsidRPr="00010AAD">
        <w:rPr>
          <w:rFonts w:asciiTheme="minorHAnsi" w:hAnsiTheme="minorHAnsi"/>
          <w:i/>
        </w:rPr>
        <w:t>Criteria for the clinical use of intravenous immunoglobulin in Australia, Second Edition</w:t>
      </w:r>
    </w:p>
    <w:p w14:paraId="62A531F7" w14:textId="503B32A3" w:rsidR="00254E23" w:rsidRDefault="00254E23" w:rsidP="00254E23"/>
    <w:tbl>
      <w:tblPr>
        <w:tblStyle w:val="TableGrid"/>
        <w:tblpPr w:leftFromText="180" w:rightFromText="180" w:vertAnchor="text" w:tblpX="-424" w:tblpY="1"/>
        <w:tblOverlap w:val="never"/>
        <w:tblW w:w="14850" w:type="dxa"/>
        <w:tblLayout w:type="fixed"/>
        <w:tblLook w:val="0680" w:firstRow="0" w:lastRow="0" w:firstColumn="1" w:lastColumn="0" w:noHBand="1" w:noVBand="1"/>
      </w:tblPr>
      <w:tblGrid>
        <w:gridCol w:w="1370"/>
        <w:gridCol w:w="14"/>
        <w:gridCol w:w="4678"/>
        <w:gridCol w:w="1364"/>
        <w:gridCol w:w="1521"/>
        <w:gridCol w:w="1793"/>
        <w:gridCol w:w="4110"/>
      </w:tblGrid>
      <w:tr w:rsidR="00BA00AB" w:rsidRPr="00A74878" w14:paraId="1CD638F1" w14:textId="77777777" w:rsidTr="00254E23">
        <w:trPr>
          <w:tblHeader/>
        </w:trPr>
        <w:tc>
          <w:tcPr>
            <w:tcW w:w="1370" w:type="dxa"/>
            <w:shd w:val="clear" w:color="auto" w:fill="DBE5F1" w:themeFill="accent1" w:themeFillTint="33"/>
          </w:tcPr>
          <w:p w14:paraId="1B704A35" w14:textId="435302F4" w:rsidR="00BA00AB" w:rsidRPr="00A74878" w:rsidRDefault="00BA00AB" w:rsidP="00B07D68">
            <w:pPr>
              <w:spacing w:before="120" w:after="120"/>
              <w:rPr>
                <w:rFonts w:asciiTheme="minorHAnsi" w:hAnsiTheme="minorHAnsi"/>
                <w:b/>
                <w:sz w:val="24"/>
                <w:szCs w:val="24"/>
              </w:rPr>
            </w:pPr>
            <w:r w:rsidRPr="00A74878">
              <w:rPr>
                <w:rFonts w:asciiTheme="minorHAnsi" w:hAnsiTheme="minorHAnsi"/>
                <w:b/>
                <w:sz w:val="24"/>
                <w:szCs w:val="24"/>
              </w:rPr>
              <w:t>ITEM</w:t>
            </w:r>
          </w:p>
        </w:tc>
        <w:tc>
          <w:tcPr>
            <w:tcW w:w="4692" w:type="dxa"/>
            <w:gridSpan w:val="2"/>
            <w:shd w:val="clear" w:color="auto" w:fill="DBE5F1" w:themeFill="accent1" w:themeFillTint="33"/>
          </w:tcPr>
          <w:p w14:paraId="3DDB9AEC" w14:textId="5D1B96BF" w:rsidR="00BA00AB" w:rsidRPr="00A74878" w:rsidRDefault="00254E23" w:rsidP="00B07D68">
            <w:pPr>
              <w:spacing w:before="120" w:after="120"/>
              <w:rPr>
                <w:rFonts w:asciiTheme="minorHAnsi" w:hAnsiTheme="minorHAnsi"/>
                <w:b/>
                <w:sz w:val="24"/>
                <w:szCs w:val="24"/>
              </w:rPr>
            </w:pPr>
            <w:r w:rsidRPr="00010AAD">
              <w:rPr>
                <w:rFonts w:asciiTheme="minorHAnsi" w:hAnsiTheme="minorHAnsi"/>
                <w:b/>
              </w:rPr>
              <w:t>CRITERIA FOR THE CLINICAL USE OF INTRAVENOUS IMMUNOGLOBULIN IN AUSTRALIA, SECOND EDITION (CRITERIA)</w:t>
            </w:r>
          </w:p>
        </w:tc>
        <w:tc>
          <w:tcPr>
            <w:tcW w:w="4678" w:type="dxa"/>
            <w:gridSpan w:val="3"/>
            <w:shd w:val="clear" w:color="auto" w:fill="DBE5F1" w:themeFill="accent1" w:themeFillTint="33"/>
          </w:tcPr>
          <w:p w14:paraId="2CD332C1" w14:textId="46400775" w:rsidR="00BA00AB" w:rsidRPr="00A74878" w:rsidRDefault="00254E23" w:rsidP="00B07D68">
            <w:pPr>
              <w:spacing w:before="120" w:after="120"/>
              <w:rPr>
                <w:rFonts w:asciiTheme="minorHAnsi" w:hAnsiTheme="minorHAnsi"/>
                <w:b/>
                <w:sz w:val="24"/>
                <w:szCs w:val="24"/>
              </w:rPr>
            </w:pPr>
            <w:r w:rsidRPr="00010AAD">
              <w:rPr>
                <w:rFonts w:asciiTheme="minorHAnsi" w:hAnsiTheme="minorHAnsi"/>
                <w:b/>
              </w:rPr>
              <w:t>PROPOSED REVISIONS TO THE CRITERIA</w:t>
            </w:r>
          </w:p>
        </w:tc>
        <w:tc>
          <w:tcPr>
            <w:tcW w:w="4110" w:type="dxa"/>
            <w:shd w:val="clear" w:color="auto" w:fill="DBE5F1" w:themeFill="accent1" w:themeFillTint="33"/>
          </w:tcPr>
          <w:p w14:paraId="4D5E6D58" w14:textId="77777777" w:rsidR="00254E23" w:rsidRPr="00010AAD" w:rsidRDefault="00254E23" w:rsidP="00254E23">
            <w:pPr>
              <w:rPr>
                <w:rFonts w:asciiTheme="minorHAnsi" w:eastAsia="Times New Roman" w:hAnsiTheme="minorHAnsi" w:cs="Times New Roman"/>
                <w:b/>
                <w:bCs/>
                <w:lang w:eastAsia="en-AU"/>
              </w:rPr>
            </w:pPr>
            <w:r w:rsidRPr="00010AAD">
              <w:rPr>
                <w:rFonts w:asciiTheme="minorHAnsi" w:eastAsia="Times New Roman" w:hAnsiTheme="minorHAnsi" w:cs="Times New Roman"/>
                <w:b/>
                <w:bCs/>
                <w:lang w:eastAsia="en-AU"/>
              </w:rPr>
              <w:t>SWG RATIONALE FOR PROPOSED CHANGE</w:t>
            </w:r>
          </w:p>
          <w:p w14:paraId="3A95A701" w14:textId="77777777" w:rsidR="00254E23" w:rsidRPr="00010AAD" w:rsidRDefault="00254E23" w:rsidP="00254E23">
            <w:pPr>
              <w:rPr>
                <w:rFonts w:asciiTheme="minorHAnsi" w:eastAsia="Times New Roman" w:hAnsiTheme="minorHAnsi" w:cs="Times New Roman"/>
                <w:b/>
                <w:bCs/>
                <w:lang w:eastAsia="en-AU"/>
              </w:rPr>
            </w:pPr>
            <w:r w:rsidRPr="00010AAD">
              <w:rPr>
                <w:rFonts w:asciiTheme="minorHAnsi" w:eastAsia="Times New Roman" w:hAnsiTheme="minorHAnsi" w:cs="Times New Roman"/>
                <w:b/>
                <w:bCs/>
                <w:lang w:eastAsia="en-AU"/>
              </w:rPr>
              <w:t>(A) Administrative)</w:t>
            </w:r>
          </w:p>
          <w:p w14:paraId="1A34A9A2" w14:textId="77777777" w:rsidR="00254E23" w:rsidRPr="00010AAD" w:rsidRDefault="00254E23" w:rsidP="00254E23">
            <w:pPr>
              <w:rPr>
                <w:rFonts w:asciiTheme="minorHAnsi" w:eastAsia="Times New Roman" w:hAnsiTheme="minorHAnsi" w:cs="Times New Roman"/>
                <w:b/>
                <w:bCs/>
                <w:lang w:eastAsia="en-AU"/>
              </w:rPr>
            </w:pPr>
            <w:r w:rsidRPr="00010AAD">
              <w:rPr>
                <w:rFonts w:asciiTheme="minorHAnsi" w:eastAsia="Times New Roman" w:hAnsiTheme="minorHAnsi" w:cs="Times New Roman"/>
                <w:b/>
                <w:bCs/>
                <w:lang w:eastAsia="en-AU"/>
              </w:rPr>
              <w:t xml:space="preserve">(B) Progressive </w:t>
            </w:r>
          </w:p>
          <w:p w14:paraId="15AEF3F7" w14:textId="715C5E47" w:rsidR="00BA00AB" w:rsidRPr="00A74878" w:rsidRDefault="00254E23" w:rsidP="00254E23">
            <w:pPr>
              <w:spacing w:before="120" w:after="120"/>
              <w:rPr>
                <w:rFonts w:asciiTheme="minorHAnsi" w:eastAsia="Times New Roman" w:hAnsiTheme="minorHAnsi" w:cstheme="minorHAnsi"/>
                <w:b/>
                <w:color w:val="000000"/>
                <w:sz w:val="24"/>
                <w:szCs w:val="24"/>
                <w:lang w:eastAsia="en-AU"/>
              </w:rPr>
            </w:pPr>
            <w:r w:rsidRPr="00010AAD">
              <w:rPr>
                <w:rFonts w:asciiTheme="minorHAnsi" w:eastAsia="Times New Roman" w:hAnsiTheme="minorHAnsi" w:cs="Times New Roman"/>
                <w:b/>
                <w:bCs/>
                <w:lang w:eastAsia="en-AU"/>
              </w:rPr>
              <w:t>(C) Programmed</w:t>
            </w:r>
          </w:p>
        </w:tc>
      </w:tr>
      <w:tr w:rsidR="00BA00AB" w:rsidRPr="00A74878" w14:paraId="47B7FA24" w14:textId="77777777" w:rsidTr="00BA00AB">
        <w:tc>
          <w:tcPr>
            <w:tcW w:w="1370" w:type="dxa"/>
            <w:shd w:val="clear" w:color="auto" w:fill="D9D9D9" w:themeFill="background1" w:themeFillShade="D9"/>
          </w:tcPr>
          <w:p w14:paraId="61533C5B" w14:textId="77777777" w:rsidR="00BA00AB" w:rsidRPr="00A74878" w:rsidRDefault="00BA00AB" w:rsidP="007E60EC">
            <w:pPr>
              <w:rPr>
                <w:rFonts w:asciiTheme="minorHAnsi" w:hAnsiTheme="minorHAnsi"/>
                <w:sz w:val="24"/>
                <w:szCs w:val="24"/>
              </w:rPr>
            </w:pPr>
            <w:r w:rsidRPr="00A74878">
              <w:rPr>
                <w:rFonts w:asciiTheme="minorHAnsi" w:hAnsiTheme="minorHAnsi"/>
                <w:sz w:val="24"/>
                <w:szCs w:val="24"/>
              </w:rPr>
              <w:t>Condition Name</w:t>
            </w:r>
          </w:p>
        </w:tc>
        <w:tc>
          <w:tcPr>
            <w:tcW w:w="4692" w:type="dxa"/>
            <w:gridSpan w:val="2"/>
          </w:tcPr>
          <w:p w14:paraId="513F61D9" w14:textId="77777777" w:rsidR="00BA00AB" w:rsidRPr="00A74878" w:rsidRDefault="00BA00AB" w:rsidP="007E60EC">
            <w:pPr>
              <w:rPr>
                <w:rFonts w:asciiTheme="minorHAnsi" w:hAnsiTheme="minorHAnsi"/>
                <w:sz w:val="24"/>
                <w:szCs w:val="24"/>
              </w:rPr>
            </w:pPr>
            <w:r w:rsidRPr="00A74878">
              <w:rPr>
                <w:rFonts w:asciiTheme="minorHAnsi" w:hAnsiTheme="minorHAnsi"/>
                <w:b/>
                <w:bCs/>
                <w:sz w:val="24"/>
                <w:szCs w:val="24"/>
              </w:rPr>
              <w:t>Kidney transplantation</w:t>
            </w:r>
          </w:p>
        </w:tc>
        <w:tc>
          <w:tcPr>
            <w:tcW w:w="4678" w:type="dxa"/>
            <w:gridSpan w:val="3"/>
          </w:tcPr>
          <w:p w14:paraId="0799A62A" w14:textId="77777777" w:rsidR="00BA00AB" w:rsidRPr="00A74878" w:rsidRDefault="00BA00AB" w:rsidP="007E60EC">
            <w:pPr>
              <w:rPr>
                <w:rFonts w:asciiTheme="minorHAnsi" w:hAnsiTheme="minorHAnsi"/>
                <w:sz w:val="24"/>
                <w:szCs w:val="24"/>
              </w:rPr>
            </w:pPr>
            <w:r w:rsidRPr="00A74878">
              <w:rPr>
                <w:rFonts w:asciiTheme="minorHAnsi" w:hAnsiTheme="minorHAnsi"/>
                <w:b/>
                <w:bCs/>
                <w:sz w:val="24"/>
                <w:szCs w:val="24"/>
              </w:rPr>
              <w:t>Kidney transplantation</w:t>
            </w:r>
          </w:p>
        </w:tc>
        <w:tc>
          <w:tcPr>
            <w:tcW w:w="4110" w:type="dxa"/>
          </w:tcPr>
          <w:p w14:paraId="2C88550D" w14:textId="77777777" w:rsidR="00BA00AB" w:rsidRPr="00A74878" w:rsidRDefault="00BA00AB" w:rsidP="007E60EC">
            <w:pPr>
              <w:rPr>
                <w:rFonts w:asciiTheme="minorHAnsi" w:hAnsiTheme="minorHAnsi"/>
                <w:sz w:val="24"/>
                <w:szCs w:val="24"/>
              </w:rPr>
            </w:pPr>
          </w:p>
        </w:tc>
      </w:tr>
      <w:tr w:rsidR="00BA00AB" w:rsidRPr="00A74878" w14:paraId="73D5C693" w14:textId="77777777" w:rsidTr="00BA00AB">
        <w:tc>
          <w:tcPr>
            <w:tcW w:w="1370" w:type="dxa"/>
            <w:shd w:val="clear" w:color="auto" w:fill="D9D9D9" w:themeFill="background1" w:themeFillShade="D9"/>
          </w:tcPr>
          <w:p w14:paraId="5CB5F38B" w14:textId="77777777" w:rsidR="00BA00AB" w:rsidRPr="00A74878" w:rsidRDefault="00BA00AB" w:rsidP="007E60EC">
            <w:pPr>
              <w:rPr>
                <w:rFonts w:asciiTheme="minorHAnsi" w:hAnsiTheme="minorHAnsi"/>
                <w:sz w:val="24"/>
                <w:szCs w:val="24"/>
              </w:rPr>
            </w:pPr>
            <w:r w:rsidRPr="00A74878">
              <w:rPr>
                <w:rFonts w:asciiTheme="minorHAnsi" w:hAnsiTheme="minorHAnsi"/>
                <w:sz w:val="24"/>
                <w:szCs w:val="24"/>
              </w:rPr>
              <w:t>Specialty</w:t>
            </w:r>
          </w:p>
        </w:tc>
        <w:tc>
          <w:tcPr>
            <w:tcW w:w="4692" w:type="dxa"/>
            <w:gridSpan w:val="2"/>
          </w:tcPr>
          <w:p w14:paraId="4B4D0931" w14:textId="77777777" w:rsidR="00BA00AB" w:rsidRPr="00A74878" w:rsidRDefault="00BA00AB" w:rsidP="007E60EC">
            <w:pPr>
              <w:rPr>
                <w:rFonts w:asciiTheme="minorHAnsi" w:hAnsiTheme="minorHAnsi"/>
                <w:sz w:val="24"/>
                <w:szCs w:val="24"/>
              </w:rPr>
            </w:pPr>
            <w:r w:rsidRPr="00A74878">
              <w:rPr>
                <w:rFonts w:asciiTheme="minorHAnsi" w:hAnsiTheme="minorHAnsi"/>
                <w:sz w:val="24"/>
                <w:szCs w:val="24"/>
              </w:rPr>
              <w:t>Transplantation Medicine</w:t>
            </w:r>
          </w:p>
        </w:tc>
        <w:tc>
          <w:tcPr>
            <w:tcW w:w="4678" w:type="dxa"/>
            <w:gridSpan w:val="3"/>
          </w:tcPr>
          <w:p w14:paraId="656673A4" w14:textId="77777777" w:rsidR="00BA00AB" w:rsidRPr="00A74878" w:rsidRDefault="00BA00AB" w:rsidP="007E60EC">
            <w:pPr>
              <w:rPr>
                <w:rFonts w:asciiTheme="minorHAnsi" w:hAnsiTheme="minorHAnsi"/>
                <w:sz w:val="24"/>
                <w:szCs w:val="24"/>
              </w:rPr>
            </w:pPr>
            <w:r w:rsidRPr="00A74878">
              <w:rPr>
                <w:rFonts w:asciiTheme="minorHAnsi" w:hAnsiTheme="minorHAnsi"/>
                <w:sz w:val="24"/>
                <w:szCs w:val="24"/>
              </w:rPr>
              <w:t>Transplantation Medicine</w:t>
            </w:r>
          </w:p>
        </w:tc>
        <w:tc>
          <w:tcPr>
            <w:tcW w:w="4110" w:type="dxa"/>
          </w:tcPr>
          <w:p w14:paraId="266F486D" w14:textId="77777777" w:rsidR="00BA00AB" w:rsidRPr="00A74878" w:rsidRDefault="00BA00AB" w:rsidP="007E60EC">
            <w:pPr>
              <w:rPr>
                <w:rFonts w:asciiTheme="minorHAnsi" w:hAnsiTheme="minorHAnsi"/>
                <w:sz w:val="24"/>
                <w:szCs w:val="24"/>
              </w:rPr>
            </w:pPr>
          </w:p>
        </w:tc>
      </w:tr>
      <w:tr w:rsidR="00BA00AB" w:rsidRPr="00A74878" w14:paraId="76EF4618" w14:textId="77777777" w:rsidTr="00BA00AB">
        <w:tc>
          <w:tcPr>
            <w:tcW w:w="1370" w:type="dxa"/>
            <w:shd w:val="clear" w:color="auto" w:fill="D9D9D9" w:themeFill="background1" w:themeFillShade="D9"/>
          </w:tcPr>
          <w:p w14:paraId="7D0B0022" w14:textId="77777777" w:rsidR="00BA00AB" w:rsidRPr="00A74878" w:rsidRDefault="00BA00AB" w:rsidP="007E60EC">
            <w:pPr>
              <w:rPr>
                <w:rFonts w:asciiTheme="minorHAnsi" w:hAnsiTheme="minorHAnsi"/>
                <w:sz w:val="24"/>
                <w:szCs w:val="24"/>
              </w:rPr>
            </w:pPr>
            <w:r w:rsidRPr="00A74878">
              <w:rPr>
                <w:rFonts w:asciiTheme="minorHAnsi" w:hAnsiTheme="minorHAnsi"/>
                <w:sz w:val="24"/>
                <w:szCs w:val="24"/>
              </w:rPr>
              <w:t>Chapter</w:t>
            </w:r>
          </w:p>
        </w:tc>
        <w:tc>
          <w:tcPr>
            <w:tcW w:w="4692" w:type="dxa"/>
            <w:gridSpan w:val="2"/>
          </w:tcPr>
          <w:p w14:paraId="2A11212C" w14:textId="77777777" w:rsidR="00BA00AB" w:rsidRPr="00A74878" w:rsidRDefault="00BA00AB" w:rsidP="007E60EC">
            <w:pPr>
              <w:rPr>
                <w:rFonts w:asciiTheme="minorHAnsi" w:hAnsiTheme="minorHAnsi"/>
                <w:sz w:val="24"/>
                <w:szCs w:val="24"/>
              </w:rPr>
            </w:pPr>
            <w:r w:rsidRPr="00A74878">
              <w:rPr>
                <w:rFonts w:asciiTheme="minorHAnsi" w:hAnsiTheme="minorHAnsi"/>
                <w:sz w:val="24"/>
                <w:szCs w:val="24"/>
              </w:rPr>
              <w:t>6</w:t>
            </w:r>
          </w:p>
        </w:tc>
        <w:tc>
          <w:tcPr>
            <w:tcW w:w="4678" w:type="dxa"/>
            <w:gridSpan w:val="3"/>
          </w:tcPr>
          <w:p w14:paraId="6E326288" w14:textId="77777777" w:rsidR="00BA00AB" w:rsidRPr="00A74878" w:rsidRDefault="00BA00AB" w:rsidP="007E60EC">
            <w:pPr>
              <w:rPr>
                <w:rFonts w:asciiTheme="minorHAnsi" w:hAnsiTheme="minorHAnsi"/>
                <w:sz w:val="24"/>
                <w:szCs w:val="24"/>
              </w:rPr>
            </w:pPr>
            <w:r w:rsidRPr="00A74878">
              <w:rPr>
                <w:rFonts w:asciiTheme="minorHAnsi" w:hAnsiTheme="minorHAnsi"/>
                <w:sz w:val="24"/>
                <w:szCs w:val="24"/>
              </w:rPr>
              <w:t>6</w:t>
            </w:r>
          </w:p>
        </w:tc>
        <w:tc>
          <w:tcPr>
            <w:tcW w:w="4110" w:type="dxa"/>
          </w:tcPr>
          <w:p w14:paraId="1DFAFB89" w14:textId="77777777" w:rsidR="00BA00AB" w:rsidRPr="00A74878" w:rsidRDefault="00BA00AB" w:rsidP="007E60EC">
            <w:pPr>
              <w:rPr>
                <w:rFonts w:asciiTheme="minorHAnsi" w:hAnsiTheme="minorHAnsi"/>
                <w:sz w:val="24"/>
                <w:szCs w:val="24"/>
              </w:rPr>
            </w:pPr>
          </w:p>
        </w:tc>
      </w:tr>
      <w:tr w:rsidR="00BA00AB" w:rsidRPr="00A74878" w14:paraId="26D63F09" w14:textId="77777777" w:rsidTr="00BA00AB">
        <w:tc>
          <w:tcPr>
            <w:tcW w:w="1370" w:type="dxa"/>
            <w:shd w:val="clear" w:color="auto" w:fill="D9D9D9" w:themeFill="background1" w:themeFillShade="D9"/>
          </w:tcPr>
          <w:p w14:paraId="5460F740" w14:textId="77777777" w:rsidR="00BA00AB" w:rsidRPr="00A74878" w:rsidRDefault="00BA00AB" w:rsidP="007E60EC">
            <w:pPr>
              <w:rPr>
                <w:rFonts w:asciiTheme="minorHAnsi" w:hAnsiTheme="minorHAnsi"/>
                <w:sz w:val="24"/>
                <w:szCs w:val="24"/>
              </w:rPr>
            </w:pPr>
            <w:r w:rsidRPr="00A74878">
              <w:rPr>
                <w:rFonts w:asciiTheme="minorHAnsi" w:hAnsiTheme="minorHAnsi"/>
                <w:sz w:val="24"/>
                <w:szCs w:val="24"/>
              </w:rPr>
              <w:t>Specific Conditions</w:t>
            </w:r>
          </w:p>
          <w:p w14:paraId="26FA3C93" w14:textId="7F99ACFF" w:rsidR="00BA00AB" w:rsidRPr="00A74878" w:rsidRDefault="00BA00AB" w:rsidP="007E60EC">
            <w:pPr>
              <w:rPr>
                <w:rFonts w:asciiTheme="minorHAnsi" w:hAnsiTheme="minorHAnsi"/>
                <w:sz w:val="24"/>
                <w:szCs w:val="24"/>
              </w:rPr>
            </w:pPr>
          </w:p>
          <w:p w14:paraId="68F2A393" w14:textId="77777777" w:rsidR="00BA00AB" w:rsidRPr="00A74878" w:rsidRDefault="00BA00AB" w:rsidP="007E60EC">
            <w:pPr>
              <w:rPr>
                <w:rFonts w:asciiTheme="minorHAnsi" w:hAnsiTheme="minorHAnsi"/>
                <w:sz w:val="24"/>
                <w:szCs w:val="24"/>
              </w:rPr>
            </w:pPr>
          </w:p>
        </w:tc>
        <w:tc>
          <w:tcPr>
            <w:tcW w:w="4692" w:type="dxa"/>
            <w:gridSpan w:val="2"/>
          </w:tcPr>
          <w:p w14:paraId="3F7A25E1" w14:textId="77777777" w:rsidR="00BA00AB" w:rsidRPr="00A74878" w:rsidRDefault="00BA00AB" w:rsidP="007E60EC">
            <w:pPr>
              <w:rPr>
                <w:rFonts w:asciiTheme="minorHAnsi" w:hAnsiTheme="minorHAnsi"/>
                <w:sz w:val="24"/>
                <w:szCs w:val="24"/>
              </w:rPr>
            </w:pPr>
          </w:p>
        </w:tc>
        <w:tc>
          <w:tcPr>
            <w:tcW w:w="4678" w:type="dxa"/>
            <w:gridSpan w:val="3"/>
          </w:tcPr>
          <w:p w14:paraId="4C0BFCA8" w14:textId="77777777" w:rsidR="00BA00AB" w:rsidRPr="00C93D2D" w:rsidRDefault="00BA00AB" w:rsidP="00C93D2D">
            <w:pPr>
              <w:pStyle w:val="ListParagraph"/>
              <w:numPr>
                <w:ilvl w:val="0"/>
                <w:numId w:val="39"/>
              </w:numPr>
              <w:ind w:left="720"/>
              <w:rPr>
                <w:iCs/>
                <w:sz w:val="24"/>
                <w:szCs w:val="24"/>
              </w:rPr>
            </w:pPr>
            <w:r w:rsidRPr="00C93D2D">
              <w:rPr>
                <w:iCs/>
                <w:sz w:val="24"/>
                <w:szCs w:val="24"/>
              </w:rPr>
              <w:t>1st kidney</w:t>
            </w:r>
          </w:p>
          <w:p w14:paraId="02E8A3A9" w14:textId="77777777" w:rsidR="00BA00AB" w:rsidRPr="00C93D2D" w:rsidRDefault="00BA00AB" w:rsidP="00C93D2D">
            <w:pPr>
              <w:pStyle w:val="ListParagraph"/>
              <w:numPr>
                <w:ilvl w:val="0"/>
                <w:numId w:val="39"/>
              </w:numPr>
              <w:ind w:left="720"/>
              <w:rPr>
                <w:iCs/>
                <w:sz w:val="24"/>
                <w:szCs w:val="24"/>
              </w:rPr>
            </w:pPr>
            <w:r w:rsidRPr="00C93D2D">
              <w:rPr>
                <w:iCs/>
                <w:sz w:val="24"/>
                <w:szCs w:val="24"/>
              </w:rPr>
              <w:t xml:space="preserve">2nd kidney </w:t>
            </w:r>
          </w:p>
          <w:p w14:paraId="31DB29B7" w14:textId="77777777" w:rsidR="00BA00AB" w:rsidRPr="00C93D2D" w:rsidRDefault="00BA00AB" w:rsidP="00C93D2D">
            <w:pPr>
              <w:pStyle w:val="ListParagraph"/>
              <w:numPr>
                <w:ilvl w:val="0"/>
                <w:numId w:val="39"/>
              </w:numPr>
              <w:ind w:left="720"/>
              <w:rPr>
                <w:iCs/>
                <w:sz w:val="24"/>
                <w:szCs w:val="24"/>
              </w:rPr>
            </w:pPr>
            <w:r w:rsidRPr="00C93D2D">
              <w:rPr>
                <w:iCs/>
                <w:sz w:val="24"/>
                <w:szCs w:val="24"/>
              </w:rPr>
              <w:t>3</w:t>
            </w:r>
            <w:r w:rsidRPr="00C93D2D">
              <w:rPr>
                <w:iCs/>
                <w:sz w:val="24"/>
                <w:szCs w:val="24"/>
                <w:vertAlign w:val="superscript"/>
              </w:rPr>
              <w:t>rd</w:t>
            </w:r>
            <w:r w:rsidRPr="00C93D2D">
              <w:rPr>
                <w:iCs/>
                <w:sz w:val="24"/>
                <w:szCs w:val="24"/>
              </w:rPr>
              <w:t xml:space="preserve"> kidney</w:t>
            </w:r>
          </w:p>
          <w:p w14:paraId="3FDC287A" w14:textId="77777777" w:rsidR="00BA00AB" w:rsidRPr="00C93D2D" w:rsidRDefault="00BA00AB" w:rsidP="00C93D2D">
            <w:pPr>
              <w:pStyle w:val="ListParagraph"/>
              <w:numPr>
                <w:ilvl w:val="0"/>
                <w:numId w:val="39"/>
              </w:numPr>
              <w:ind w:left="720"/>
              <w:rPr>
                <w:iCs/>
                <w:sz w:val="24"/>
                <w:szCs w:val="24"/>
              </w:rPr>
            </w:pPr>
            <w:r w:rsidRPr="00C93D2D">
              <w:rPr>
                <w:iCs/>
                <w:sz w:val="24"/>
                <w:szCs w:val="24"/>
              </w:rPr>
              <w:t>4</w:t>
            </w:r>
            <w:r w:rsidRPr="00C93D2D">
              <w:rPr>
                <w:iCs/>
                <w:sz w:val="24"/>
                <w:szCs w:val="24"/>
                <w:vertAlign w:val="superscript"/>
              </w:rPr>
              <w:t>th</w:t>
            </w:r>
            <w:r w:rsidRPr="00C93D2D">
              <w:rPr>
                <w:iCs/>
                <w:sz w:val="24"/>
                <w:szCs w:val="24"/>
              </w:rPr>
              <w:t xml:space="preserve"> kidney</w:t>
            </w:r>
          </w:p>
          <w:p w14:paraId="7C099660" w14:textId="77777777" w:rsidR="00BA00AB" w:rsidRPr="00C93D2D" w:rsidRDefault="00BA00AB" w:rsidP="00C93D2D">
            <w:pPr>
              <w:pStyle w:val="ListParagraph"/>
              <w:numPr>
                <w:ilvl w:val="0"/>
                <w:numId w:val="39"/>
              </w:numPr>
              <w:ind w:left="720"/>
              <w:rPr>
                <w:iCs/>
                <w:sz w:val="24"/>
                <w:szCs w:val="24"/>
              </w:rPr>
            </w:pPr>
            <w:r w:rsidRPr="00C93D2D">
              <w:rPr>
                <w:iCs/>
                <w:sz w:val="24"/>
                <w:szCs w:val="24"/>
              </w:rPr>
              <w:t>Liver &amp; Kidney</w:t>
            </w:r>
          </w:p>
          <w:p w14:paraId="16DADAB6" w14:textId="77777777" w:rsidR="00BA00AB" w:rsidRPr="00C93D2D" w:rsidRDefault="00BA00AB" w:rsidP="00C93D2D">
            <w:pPr>
              <w:pStyle w:val="ListParagraph"/>
              <w:numPr>
                <w:ilvl w:val="0"/>
                <w:numId w:val="39"/>
              </w:numPr>
              <w:ind w:left="720"/>
              <w:rPr>
                <w:iCs/>
                <w:sz w:val="24"/>
                <w:szCs w:val="24"/>
              </w:rPr>
            </w:pPr>
            <w:r w:rsidRPr="00C93D2D">
              <w:rPr>
                <w:iCs/>
                <w:sz w:val="24"/>
                <w:szCs w:val="24"/>
              </w:rPr>
              <w:t>Heart &amp; Kidney</w:t>
            </w:r>
          </w:p>
          <w:p w14:paraId="65053914" w14:textId="77777777" w:rsidR="00BA00AB" w:rsidRPr="00C93D2D" w:rsidRDefault="00BA00AB" w:rsidP="00C93D2D">
            <w:pPr>
              <w:pStyle w:val="ListParagraph"/>
              <w:numPr>
                <w:ilvl w:val="0"/>
                <w:numId w:val="39"/>
              </w:numPr>
              <w:ind w:left="720"/>
              <w:rPr>
                <w:iCs/>
                <w:sz w:val="24"/>
                <w:szCs w:val="24"/>
              </w:rPr>
            </w:pPr>
            <w:r w:rsidRPr="00C93D2D">
              <w:rPr>
                <w:iCs/>
                <w:sz w:val="24"/>
                <w:szCs w:val="24"/>
              </w:rPr>
              <w:t>Pancreas &amp; kidney</w:t>
            </w:r>
          </w:p>
          <w:p w14:paraId="146BA09D" w14:textId="77777777" w:rsidR="00BA00AB" w:rsidRPr="00C93D2D" w:rsidRDefault="00BA00AB" w:rsidP="00C93D2D">
            <w:pPr>
              <w:pStyle w:val="ListParagraph"/>
              <w:numPr>
                <w:ilvl w:val="0"/>
                <w:numId w:val="39"/>
              </w:numPr>
              <w:ind w:left="720"/>
              <w:rPr>
                <w:iCs/>
                <w:sz w:val="24"/>
                <w:szCs w:val="24"/>
              </w:rPr>
            </w:pPr>
            <w:r w:rsidRPr="00C93D2D">
              <w:rPr>
                <w:iCs/>
                <w:sz w:val="24"/>
                <w:szCs w:val="24"/>
              </w:rPr>
              <w:t xml:space="preserve">Other </w:t>
            </w:r>
          </w:p>
          <w:p w14:paraId="7FFD7389" w14:textId="77777777" w:rsidR="00BA00AB" w:rsidRPr="00A74878" w:rsidRDefault="00BA00AB" w:rsidP="007E60EC">
            <w:pPr>
              <w:rPr>
                <w:rFonts w:asciiTheme="minorHAnsi" w:hAnsiTheme="minorHAnsi"/>
                <w:sz w:val="24"/>
                <w:szCs w:val="24"/>
              </w:rPr>
            </w:pPr>
          </w:p>
        </w:tc>
        <w:tc>
          <w:tcPr>
            <w:tcW w:w="4110" w:type="dxa"/>
          </w:tcPr>
          <w:p w14:paraId="39463A11" w14:textId="77777777" w:rsidR="00BA00AB" w:rsidRPr="00C93D2D" w:rsidRDefault="00BA00AB" w:rsidP="007E60EC">
            <w:pPr>
              <w:rPr>
                <w:rFonts w:asciiTheme="minorHAnsi" w:hAnsiTheme="minorHAnsi"/>
                <w:sz w:val="24"/>
                <w:szCs w:val="24"/>
              </w:rPr>
            </w:pPr>
            <w:r w:rsidRPr="00C93D2D">
              <w:rPr>
                <w:rFonts w:asciiTheme="minorHAnsi" w:hAnsiTheme="minorHAnsi"/>
                <w:sz w:val="24"/>
                <w:szCs w:val="24"/>
              </w:rPr>
              <w:t xml:space="preserve">Specific condition field will be used to track </w:t>
            </w:r>
            <w:r>
              <w:rPr>
                <w:rFonts w:asciiTheme="minorHAnsi" w:hAnsiTheme="minorHAnsi"/>
                <w:sz w:val="24"/>
                <w:szCs w:val="24"/>
              </w:rPr>
              <w:t xml:space="preserve">the complexity of kidney transplant for data analysis from the </w:t>
            </w:r>
            <w:proofErr w:type="spellStart"/>
            <w:r>
              <w:rPr>
                <w:rFonts w:asciiTheme="minorHAnsi" w:hAnsiTheme="minorHAnsi"/>
                <w:sz w:val="24"/>
                <w:szCs w:val="24"/>
              </w:rPr>
              <w:t>Ig</w:t>
            </w:r>
            <w:proofErr w:type="spellEnd"/>
            <w:r>
              <w:rPr>
                <w:rFonts w:asciiTheme="minorHAnsi" w:hAnsiTheme="minorHAnsi"/>
                <w:sz w:val="24"/>
                <w:szCs w:val="24"/>
              </w:rPr>
              <w:t xml:space="preserve"> System.  </w:t>
            </w:r>
          </w:p>
        </w:tc>
      </w:tr>
      <w:tr w:rsidR="00BA00AB" w:rsidRPr="00A74878" w14:paraId="787FE899" w14:textId="77777777" w:rsidTr="00BA00AB">
        <w:tc>
          <w:tcPr>
            <w:tcW w:w="1370" w:type="dxa"/>
            <w:shd w:val="clear" w:color="auto" w:fill="D9D9D9" w:themeFill="background1" w:themeFillShade="D9"/>
          </w:tcPr>
          <w:p w14:paraId="043D02A2" w14:textId="77777777" w:rsidR="00BA00AB" w:rsidRPr="00A74878" w:rsidRDefault="00BA00AB" w:rsidP="007E60EC">
            <w:pPr>
              <w:rPr>
                <w:rFonts w:asciiTheme="minorHAnsi" w:hAnsiTheme="minorHAnsi"/>
                <w:sz w:val="24"/>
                <w:szCs w:val="24"/>
              </w:rPr>
            </w:pPr>
            <w:r w:rsidRPr="00A74878">
              <w:rPr>
                <w:rFonts w:asciiTheme="minorHAnsi" w:hAnsiTheme="minorHAnsi"/>
                <w:sz w:val="24"/>
                <w:szCs w:val="24"/>
              </w:rPr>
              <w:t>Level of Evidence</w:t>
            </w:r>
          </w:p>
          <w:p w14:paraId="339AA378" w14:textId="2EE75862" w:rsidR="00BA00AB" w:rsidRPr="00A74878" w:rsidRDefault="00BA00AB" w:rsidP="007E60EC">
            <w:pPr>
              <w:rPr>
                <w:rFonts w:asciiTheme="minorHAnsi" w:hAnsiTheme="minorHAnsi"/>
                <w:sz w:val="24"/>
                <w:szCs w:val="24"/>
              </w:rPr>
            </w:pPr>
            <w:r>
              <w:rPr>
                <w:rFonts w:asciiTheme="minorHAnsi" w:hAnsiTheme="minorHAnsi"/>
                <w:sz w:val="24"/>
                <w:szCs w:val="24"/>
              </w:rPr>
              <w:t xml:space="preserve"> </w:t>
            </w:r>
          </w:p>
        </w:tc>
        <w:tc>
          <w:tcPr>
            <w:tcW w:w="4692" w:type="dxa"/>
            <w:gridSpan w:val="2"/>
          </w:tcPr>
          <w:p w14:paraId="4E7E0949" w14:textId="77777777" w:rsidR="00BA00AB" w:rsidRPr="00A74878" w:rsidRDefault="00BA00AB" w:rsidP="007E60EC">
            <w:pPr>
              <w:rPr>
                <w:rFonts w:asciiTheme="minorHAnsi" w:hAnsiTheme="minorHAnsi" w:cs="DIN-Light"/>
                <w:color w:val="000000"/>
                <w:sz w:val="24"/>
                <w:szCs w:val="24"/>
              </w:rPr>
            </w:pPr>
            <w:r w:rsidRPr="00A74878">
              <w:rPr>
                <w:rFonts w:asciiTheme="minorHAnsi" w:hAnsiTheme="minorHAnsi"/>
                <w:color w:val="000000"/>
                <w:sz w:val="24"/>
                <w:szCs w:val="24"/>
              </w:rPr>
              <w:t>Clear evidence of benefit (</w:t>
            </w:r>
            <w:hyperlink r:id="rId9" w:anchor="el-1" w:history="1">
              <w:r w:rsidRPr="00A74878">
                <w:rPr>
                  <w:rStyle w:val="Hyperlink"/>
                  <w:rFonts w:asciiTheme="minorHAnsi" w:hAnsiTheme="minorHAnsi"/>
                  <w:sz w:val="24"/>
                  <w:szCs w:val="24"/>
                </w:rPr>
                <w:t>Category 1</w:t>
              </w:r>
            </w:hyperlink>
            <w:r w:rsidRPr="00A74878">
              <w:rPr>
                <w:rFonts w:asciiTheme="minorHAnsi" w:hAnsiTheme="minorHAnsi"/>
                <w:color w:val="000000"/>
                <w:sz w:val="24"/>
                <w:szCs w:val="24"/>
              </w:rPr>
              <w:t>).</w:t>
            </w:r>
          </w:p>
        </w:tc>
        <w:tc>
          <w:tcPr>
            <w:tcW w:w="4678" w:type="dxa"/>
            <w:gridSpan w:val="3"/>
          </w:tcPr>
          <w:p w14:paraId="5437156D" w14:textId="77777777" w:rsidR="00BA00AB" w:rsidRPr="00A74878" w:rsidRDefault="00BA00AB" w:rsidP="007E60EC">
            <w:pPr>
              <w:rPr>
                <w:rFonts w:asciiTheme="minorHAnsi" w:hAnsiTheme="minorHAnsi"/>
                <w:sz w:val="24"/>
                <w:szCs w:val="24"/>
              </w:rPr>
            </w:pPr>
            <w:r w:rsidRPr="00A74878">
              <w:rPr>
                <w:rFonts w:asciiTheme="minorHAnsi" w:hAnsiTheme="minorHAnsi"/>
                <w:color w:val="000000"/>
                <w:sz w:val="24"/>
                <w:szCs w:val="24"/>
              </w:rPr>
              <w:t>Clear evidence of benefit (</w:t>
            </w:r>
            <w:hyperlink r:id="rId10" w:anchor="el-1" w:history="1">
              <w:r w:rsidRPr="00A74878">
                <w:rPr>
                  <w:rStyle w:val="Hyperlink"/>
                  <w:rFonts w:asciiTheme="minorHAnsi" w:hAnsiTheme="minorHAnsi"/>
                  <w:sz w:val="24"/>
                  <w:szCs w:val="24"/>
                </w:rPr>
                <w:t>Category 1</w:t>
              </w:r>
            </w:hyperlink>
            <w:r w:rsidRPr="00A74878">
              <w:rPr>
                <w:rFonts w:asciiTheme="minorHAnsi" w:hAnsiTheme="minorHAnsi"/>
                <w:color w:val="000000"/>
                <w:sz w:val="24"/>
                <w:szCs w:val="24"/>
              </w:rPr>
              <w:t>).</w:t>
            </w:r>
          </w:p>
        </w:tc>
        <w:tc>
          <w:tcPr>
            <w:tcW w:w="4110" w:type="dxa"/>
          </w:tcPr>
          <w:p w14:paraId="603DE39E" w14:textId="77777777" w:rsidR="00BA00AB" w:rsidRPr="00A74878" w:rsidRDefault="00BA00AB" w:rsidP="007E60EC">
            <w:pPr>
              <w:rPr>
                <w:rFonts w:asciiTheme="minorHAnsi" w:hAnsiTheme="minorHAnsi"/>
                <w:sz w:val="24"/>
                <w:szCs w:val="24"/>
              </w:rPr>
            </w:pPr>
          </w:p>
        </w:tc>
      </w:tr>
      <w:tr w:rsidR="00BA00AB" w:rsidRPr="00A74878" w14:paraId="710361F7" w14:textId="77777777" w:rsidTr="00BA00AB">
        <w:tc>
          <w:tcPr>
            <w:tcW w:w="1370" w:type="dxa"/>
            <w:shd w:val="clear" w:color="auto" w:fill="D9D9D9" w:themeFill="background1" w:themeFillShade="D9"/>
          </w:tcPr>
          <w:p w14:paraId="5E0B2BBE" w14:textId="77777777" w:rsidR="00BA00AB" w:rsidRPr="00A74878" w:rsidRDefault="00BA00AB" w:rsidP="0098330C">
            <w:pPr>
              <w:rPr>
                <w:rFonts w:asciiTheme="minorHAnsi" w:hAnsiTheme="minorHAnsi"/>
                <w:sz w:val="24"/>
                <w:szCs w:val="24"/>
              </w:rPr>
            </w:pPr>
            <w:r w:rsidRPr="00A74878">
              <w:rPr>
                <w:rFonts w:asciiTheme="minorHAnsi" w:hAnsiTheme="minorHAnsi"/>
                <w:sz w:val="24"/>
                <w:szCs w:val="24"/>
              </w:rPr>
              <w:t>Justification for Evidence Category</w:t>
            </w:r>
          </w:p>
          <w:p w14:paraId="6D9A0318" w14:textId="34543939" w:rsidR="00BA00AB" w:rsidRPr="00A74878" w:rsidRDefault="00BA00AB" w:rsidP="0098330C">
            <w:pPr>
              <w:rPr>
                <w:rFonts w:asciiTheme="minorHAnsi" w:hAnsiTheme="minorHAnsi"/>
                <w:sz w:val="24"/>
                <w:szCs w:val="24"/>
              </w:rPr>
            </w:pPr>
            <w:r>
              <w:rPr>
                <w:rFonts w:asciiTheme="minorHAnsi" w:hAnsiTheme="minorHAnsi"/>
                <w:sz w:val="24"/>
                <w:szCs w:val="24"/>
              </w:rPr>
              <w:t xml:space="preserve"> </w:t>
            </w:r>
          </w:p>
        </w:tc>
        <w:tc>
          <w:tcPr>
            <w:tcW w:w="4692" w:type="dxa"/>
            <w:gridSpan w:val="2"/>
          </w:tcPr>
          <w:p w14:paraId="48759F36" w14:textId="77777777" w:rsidR="00BA00AB" w:rsidRPr="00A74878" w:rsidRDefault="00BA00AB" w:rsidP="0098330C">
            <w:pPr>
              <w:spacing w:after="225" w:line="360" w:lineRule="atLeast"/>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 xml:space="preserve">An RCT enrolling adult patients with end stage renal disease (ESRD) who were highly sensitised to HLA antigens found that </w:t>
            </w:r>
            <w:proofErr w:type="spellStart"/>
            <w:r w:rsidRPr="00A74878">
              <w:rPr>
                <w:rFonts w:asciiTheme="minorHAnsi" w:eastAsia="Times New Roman" w:hAnsiTheme="minorHAnsi" w:cs="Times New Roman"/>
                <w:color w:val="000000"/>
                <w:sz w:val="24"/>
                <w:szCs w:val="24"/>
                <w:lang w:eastAsia="en-AU"/>
              </w:rPr>
              <w:t>IVIg</w:t>
            </w:r>
            <w:proofErr w:type="spellEnd"/>
            <w:r w:rsidRPr="00A74878">
              <w:rPr>
                <w:rFonts w:asciiTheme="minorHAnsi" w:eastAsia="Times New Roman" w:hAnsiTheme="minorHAnsi" w:cs="Times New Roman"/>
                <w:color w:val="000000"/>
                <w:sz w:val="24"/>
                <w:szCs w:val="24"/>
                <w:lang w:eastAsia="en-AU"/>
              </w:rPr>
              <w:t xml:space="preserve"> was better than placebo in reducing anti-HLA antibody levels in highly sensitised patients </w:t>
            </w:r>
            <w:r w:rsidRPr="00A74878">
              <w:rPr>
                <w:rFonts w:asciiTheme="minorHAnsi" w:eastAsia="Times New Roman" w:hAnsiTheme="minorHAnsi" w:cs="Times New Roman"/>
                <w:color w:val="000000"/>
                <w:sz w:val="24"/>
                <w:szCs w:val="24"/>
                <w:lang w:eastAsia="en-AU"/>
              </w:rPr>
              <w:lastRenderedPageBreak/>
              <w:t xml:space="preserve">with ESRD (followed for two years after transplant), and that transplant rates were improved with </w:t>
            </w:r>
            <w:proofErr w:type="spellStart"/>
            <w:r w:rsidRPr="00A74878">
              <w:rPr>
                <w:rFonts w:asciiTheme="minorHAnsi" w:eastAsia="Times New Roman" w:hAnsiTheme="minorHAnsi" w:cs="Times New Roman"/>
                <w:color w:val="000000"/>
                <w:sz w:val="24"/>
                <w:szCs w:val="24"/>
                <w:lang w:eastAsia="en-AU"/>
              </w:rPr>
              <w:t>IVIg</w:t>
            </w:r>
            <w:proofErr w:type="spellEnd"/>
            <w:r w:rsidRPr="00A74878">
              <w:rPr>
                <w:rFonts w:asciiTheme="minorHAnsi" w:eastAsia="Times New Roman" w:hAnsiTheme="minorHAnsi" w:cs="Times New Roman"/>
                <w:color w:val="000000"/>
                <w:sz w:val="24"/>
                <w:szCs w:val="24"/>
                <w:lang w:eastAsia="en-AU"/>
              </w:rPr>
              <w:t xml:space="preserve"> therapy (Jordan et al 2004).</w:t>
            </w:r>
          </w:p>
          <w:p w14:paraId="6369BF3E" w14:textId="77777777" w:rsidR="00BA00AB" w:rsidRPr="00A74878" w:rsidRDefault="00BA00AB" w:rsidP="0098330C">
            <w:pPr>
              <w:spacing w:after="225" w:line="360" w:lineRule="atLeast"/>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Multiple case series have been reported in the literature, indicating efficacy in (acute) antibody mediated rejection, and recommended by a consensus conference (</w:t>
            </w:r>
            <w:proofErr w:type="spellStart"/>
            <w:r w:rsidRPr="00A74878">
              <w:rPr>
                <w:rFonts w:asciiTheme="minorHAnsi" w:eastAsia="Times New Roman" w:hAnsiTheme="minorHAnsi" w:cs="Times New Roman"/>
                <w:color w:val="000000"/>
                <w:sz w:val="24"/>
                <w:szCs w:val="24"/>
                <w:lang w:eastAsia="en-AU"/>
              </w:rPr>
              <w:t>Takemoto</w:t>
            </w:r>
            <w:proofErr w:type="spellEnd"/>
            <w:r w:rsidRPr="00A74878">
              <w:rPr>
                <w:rFonts w:asciiTheme="minorHAnsi" w:eastAsia="Times New Roman" w:hAnsiTheme="minorHAnsi" w:cs="Times New Roman"/>
                <w:color w:val="000000"/>
                <w:sz w:val="24"/>
                <w:szCs w:val="24"/>
                <w:lang w:eastAsia="en-AU"/>
              </w:rPr>
              <w:t xml:space="preserve"> et al 2004).</w:t>
            </w:r>
          </w:p>
          <w:p w14:paraId="6ADAAB8D" w14:textId="77777777" w:rsidR="00BA00AB" w:rsidRPr="00A74878" w:rsidRDefault="00BA00AB" w:rsidP="0098330C">
            <w:pPr>
              <w:spacing w:after="225" w:line="360" w:lineRule="atLeast"/>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 xml:space="preserve">Jordan et al (1998) combined data from seven renal transplant recipients and three heart transplant recipients with steroid-resistant combined antibody-mediated and cellular rejection. All patients in this series were successfully treated with high-dose </w:t>
            </w:r>
            <w:proofErr w:type="spellStart"/>
            <w:r w:rsidRPr="00A74878">
              <w:rPr>
                <w:rFonts w:asciiTheme="minorHAnsi" w:eastAsia="Times New Roman" w:hAnsiTheme="minorHAnsi" w:cs="Times New Roman"/>
                <w:color w:val="000000"/>
                <w:sz w:val="24"/>
                <w:szCs w:val="24"/>
                <w:lang w:eastAsia="en-AU"/>
              </w:rPr>
              <w:t>IVIg</w:t>
            </w:r>
            <w:proofErr w:type="spellEnd"/>
            <w:r w:rsidRPr="00A74878">
              <w:rPr>
                <w:rFonts w:asciiTheme="minorHAnsi" w:eastAsia="Times New Roman" w:hAnsiTheme="minorHAnsi" w:cs="Times New Roman"/>
                <w:color w:val="000000"/>
                <w:sz w:val="24"/>
                <w:szCs w:val="24"/>
                <w:lang w:eastAsia="en-AU"/>
              </w:rPr>
              <w:t>.</w:t>
            </w:r>
          </w:p>
          <w:p w14:paraId="61F42DFE" w14:textId="77777777" w:rsidR="00BA00AB" w:rsidRPr="00A74878" w:rsidRDefault="00BA00AB" w:rsidP="0098330C">
            <w:pPr>
              <w:spacing w:after="225" w:line="360" w:lineRule="atLeast"/>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 xml:space="preserve">A small RCT of transplanted patients with a five-year follow-up period showed that </w:t>
            </w:r>
            <w:proofErr w:type="spellStart"/>
            <w:r w:rsidRPr="00A74878">
              <w:rPr>
                <w:rFonts w:asciiTheme="minorHAnsi" w:eastAsia="Times New Roman" w:hAnsiTheme="minorHAnsi" w:cs="Times New Roman"/>
                <w:color w:val="000000"/>
                <w:sz w:val="24"/>
                <w:szCs w:val="24"/>
                <w:lang w:eastAsia="en-AU"/>
              </w:rPr>
              <w:t>IVIg</w:t>
            </w:r>
            <w:proofErr w:type="spellEnd"/>
            <w:r w:rsidRPr="00A74878">
              <w:rPr>
                <w:rFonts w:asciiTheme="minorHAnsi" w:eastAsia="Times New Roman" w:hAnsiTheme="minorHAnsi" w:cs="Times New Roman"/>
                <w:color w:val="000000"/>
                <w:sz w:val="24"/>
                <w:szCs w:val="24"/>
                <w:lang w:eastAsia="en-AU"/>
              </w:rPr>
              <w:t xml:space="preserve"> was as effective as OKT3 monoclonal antibodies in the treatment of steroid resistant rejection (survival rate at two years was 80% in both groups) but </w:t>
            </w:r>
            <w:proofErr w:type="spellStart"/>
            <w:r w:rsidRPr="00A74878">
              <w:rPr>
                <w:rFonts w:asciiTheme="minorHAnsi" w:eastAsia="Times New Roman" w:hAnsiTheme="minorHAnsi" w:cs="Times New Roman"/>
                <w:color w:val="000000"/>
                <w:sz w:val="24"/>
                <w:szCs w:val="24"/>
                <w:lang w:eastAsia="en-AU"/>
              </w:rPr>
              <w:t>IVIg</w:t>
            </w:r>
            <w:proofErr w:type="spellEnd"/>
            <w:r w:rsidRPr="00A74878">
              <w:rPr>
                <w:rFonts w:asciiTheme="minorHAnsi" w:eastAsia="Times New Roman" w:hAnsiTheme="minorHAnsi" w:cs="Times New Roman"/>
                <w:color w:val="000000"/>
                <w:sz w:val="24"/>
                <w:szCs w:val="24"/>
                <w:lang w:eastAsia="en-AU"/>
              </w:rPr>
              <w:t xml:space="preserve"> generated fewer side effects (</w:t>
            </w:r>
            <w:proofErr w:type="spellStart"/>
            <w:r w:rsidRPr="00A74878">
              <w:rPr>
                <w:rFonts w:asciiTheme="minorHAnsi" w:eastAsia="Times New Roman" w:hAnsiTheme="minorHAnsi" w:cs="Times New Roman"/>
                <w:color w:val="000000"/>
                <w:sz w:val="24"/>
                <w:szCs w:val="24"/>
                <w:lang w:eastAsia="en-AU"/>
              </w:rPr>
              <w:t>Casadei</w:t>
            </w:r>
            <w:proofErr w:type="spellEnd"/>
            <w:r w:rsidRPr="00A74878">
              <w:rPr>
                <w:rFonts w:asciiTheme="minorHAnsi" w:eastAsia="Times New Roman" w:hAnsiTheme="minorHAnsi" w:cs="Times New Roman"/>
                <w:color w:val="000000"/>
                <w:sz w:val="24"/>
                <w:szCs w:val="24"/>
                <w:lang w:eastAsia="en-AU"/>
              </w:rPr>
              <w:t xml:space="preserve"> et al 2001).</w:t>
            </w:r>
          </w:p>
          <w:p w14:paraId="6F954728" w14:textId="77777777" w:rsidR="00BA00AB" w:rsidRPr="00A74878" w:rsidRDefault="00BA00AB" w:rsidP="0098330C">
            <w:pPr>
              <w:rPr>
                <w:rFonts w:asciiTheme="minorHAnsi" w:hAnsiTheme="minorHAnsi"/>
                <w:sz w:val="24"/>
                <w:szCs w:val="24"/>
              </w:rPr>
            </w:pPr>
          </w:p>
        </w:tc>
        <w:tc>
          <w:tcPr>
            <w:tcW w:w="4678" w:type="dxa"/>
            <w:gridSpan w:val="3"/>
          </w:tcPr>
          <w:p w14:paraId="4CD7BA39" w14:textId="77777777" w:rsidR="00BA00AB" w:rsidRPr="00A74878" w:rsidRDefault="00BA00AB" w:rsidP="0098330C">
            <w:pPr>
              <w:spacing w:after="225" w:line="360" w:lineRule="atLeast"/>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lastRenderedPageBreak/>
              <w:t xml:space="preserve">An RCT enrolling adult patients with end stage renal disease (ESRD) who were highly sensitised to HLA antigens found that </w:t>
            </w:r>
            <w:proofErr w:type="spellStart"/>
            <w:r w:rsidRPr="00A74878">
              <w:rPr>
                <w:rFonts w:asciiTheme="minorHAnsi" w:eastAsia="Times New Roman" w:hAnsiTheme="minorHAnsi" w:cs="Times New Roman"/>
                <w:color w:val="000000"/>
                <w:sz w:val="24"/>
                <w:szCs w:val="24"/>
                <w:lang w:eastAsia="en-AU"/>
              </w:rPr>
              <w:t>IVIg</w:t>
            </w:r>
            <w:proofErr w:type="spellEnd"/>
            <w:r w:rsidRPr="00A74878">
              <w:rPr>
                <w:rFonts w:asciiTheme="minorHAnsi" w:eastAsia="Times New Roman" w:hAnsiTheme="minorHAnsi" w:cs="Times New Roman"/>
                <w:color w:val="000000"/>
                <w:sz w:val="24"/>
                <w:szCs w:val="24"/>
                <w:lang w:eastAsia="en-AU"/>
              </w:rPr>
              <w:t xml:space="preserve"> was better than placebo in reducing anti-HLA antibody levels in highly sensitised patients </w:t>
            </w:r>
            <w:r w:rsidRPr="00A74878">
              <w:rPr>
                <w:rFonts w:asciiTheme="minorHAnsi" w:eastAsia="Times New Roman" w:hAnsiTheme="minorHAnsi" w:cs="Times New Roman"/>
                <w:color w:val="000000"/>
                <w:sz w:val="24"/>
                <w:szCs w:val="24"/>
                <w:lang w:eastAsia="en-AU"/>
              </w:rPr>
              <w:lastRenderedPageBreak/>
              <w:t xml:space="preserve">with ESRD (followed for two years after transplant), and that transplant rates were improved with </w:t>
            </w:r>
            <w:proofErr w:type="spellStart"/>
            <w:r w:rsidRPr="00A74878">
              <w:rPr>
                <w:rFonts w:asciiTheme="minorHAnsi" w:eastAsia="Times New Roman" w:hAnsiTheme="minorHAnsi" w:cs="Times New Roman"/>
                <w:color w:val="000000"/>
                <w:sz w:val="24"/>
                <w:szCs w:val="24"/>
                <w:lang w:eastAsia="en-AU"/>
              </w:rPr>
              <w:t>IVIg</w:t>
            </w:r>
            <w:proofErr w:type="spellEnd"/>
            <w:r w:rsidRPr="00A74878">
              <w:rPr>
                <w:rFonts w:asciiTheme="minorHAnsi" w:eastAsia="Times New Roman" w:hAnsiTheme="minorHAnsi" w:cs="Times New Roman"/>
                <w:color w:val="000000"/>
                <w:sz w:val="24"/>
                <w:szCs w:val="24"/>
                <w:lang w:eastAsia="en-AU"/>
              </w:rPr>
              <w:t xml:space="preserve"> therapy (Jordan et al 2004).</w:t>
            </w:r>
          </w:p>
          <w:p w14:paraId="0B0FFDBE" w14:textId="77777777" w:rsidR="00BA00AB" w:rsidRPr="00A74878" w:rsidRDefault="00BA00AB" w:rsidP="0098330C">
            <w:pPr>
              <w:spacing w:after="225" w:line="360" w:lineRule="atLeast"/>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Multiple case series have been reported in the literature, indicating efficacy in (acute) antibody mediated rejection, and recommended by a consensus conference (</w:t>
            </w:r>
            <w:proofErr w:type="spellStart"/>
            <w:r w:rsidRPr="00A74878">
              <w:rPr>
                <w:rFonts w:asciiTheme="minorHAnsi" w:eastAsia="Times New Roman" w:hAnsiTheme="minorHAnsi" w:cs="Times New Roman"/>
                <w:color w:val="000000"/>
                <w:sz w:val="24"/>
                <w:szCs w:val="24"/>
                <w:lang w:eastAsia="en-AU"/>
              </w:rPr>
              <w:t>Takemoto</w:t>
            </w:r>
            <w:proofErr w:type="spellEnd"/>
            <w:r w:rsidRPr="00A74878">
              <w:rPr>
                <w:rFonts w:asciiTheme="minorHAnsi" w:eastAsia="Times New Roman" w:hAnsiTheme="minorHAnsi" w:cs="Times New Roman"/>
                <w:color w:val="000000"/>
                <w:sz w:val="24"/>
                <w:szCs w:val="24"/>
                <w:lang w:eastAsia="en-AU"/>
              </w:rPr>
              <w:t xml:space="preserve"> et al 2004).</w:t>
            </w:r>
          </w:p>
          <w:p w14:paraId="7F861E1D" w14:textId="77777777" w:rsidR="00BA00AB" w:rsidRPr="00A74878" w:rsidRDefault="00BA00AB" w:rsidP="0098330C">
            <w:pPr>
              <w:spacing w:after="225" w:line="360" w:lineRule="atLeast"/>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 xml:space="preserve">Jordan et al (1998) combined data from seven renal transplant recipients and three heart transplant recipients with steroid-resistant combined antibody-mediated and cellular rejection. All patients in this series were successfully treated with high-dose </w:t>
            </w:r>
            <w:proofErr w:type="spellStart"/>
            <w:r w:rsidRPr="00A74878">
              <w:rPr>
                <w:rFonts w:asciiTheme="minorHAnsi" w:eastAsia="Times New Roman" w:hAnsiTheme="minorHAnsi" w:cs="Times New Roman"/>
                <w:color w:val="000000"/>
                <w:sz w:val="24"/>
                <w:szCs w:val="24"/>
                <w:lang w:eastAsia="en-AU"/>
              </w:rPr>
              <w:t>IVIg</w:t>
            </w:r>
            <w:proofErr w:type="spellEnd"/>
            <w:r w:rsidRPr="00A74878">
              <w:rPr>
                <w:rFonts w:asciiTheme="minorHAnsi" w:eastAsia="Times New Roman" w:hAnsiTheme="minorHAnsi" w:cs="Times New Roman"/>
                <w:color w:val="000000"/>
                <w:sz w:val="24"/>
                <w:szCs w:val="24"/>
                <w:lang w:eastAsia="en-AU"/>
              </w:rPr>
              <w:t>.</w:t>
            </w:r>
          </w:p>
          <w:p w14:paraId="573E324C" w14:textId="77777777" w:rsidR="00BA00AB" w:rsidRPr="00A74878" w:rsidRDefault="00BA00AB" w:rsidP="0098330C">
            <w:pPr>
              <w:spacing w:after="225" w:line="360" w:lineRule="atLeast"/>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 xml:space="preserve">A small RCT of transplanted patients with a five-year follow-up period showed that </w:t>
            </w:r>
            <w:proofErr w:type="spellStart"/>
            <w:r w:rsidRPr="00A74878">
              <w:rPr>
                <w:rFonts w:asciiTheme="minorHAnsi" w:eastAsia="Times New Roman" w:hAnsiTheme="minorHAnsi" w:cs="Times New Roman"/>
                <w:color w:val="000000"/>
                <w:sz w:val="24"/>
                <w:szCs w:val="24"/>
                <w:lang w:eastAsia="en-AU"/>
              </w:rPr>
              <w:t>IVIg</w:t>
            </w:r>
            <w:proofErr w:type="spellEnd"/>
            <w:r w:rsidRPr="00A74878">
              <w:rPr>
                <w:rFonts w:asciiTheme="minorHAnsi" w:eastAsia="Times New Roman" w:hAnsiTheme="minorHAnsi" w:cs="Times New Roman"/>
                <w:color w:val="000000"/>
                <w:sz w:val="24"/>
                <w:szCs w:val="24"/>
                <w:lang w:eastAsia="en-AU"/>
              </w:rPr>
              <w:t xml:space="preserve"> was as effective as OKT3 monoclonal antibodies in the treatment of steroid resistant rejection (survival rate at two years was 80% in both groups) but </w:t>
            </w:r>
            <w:proofErr w:type="spellStart"/>
            <w:r w:rsidRPr="00A74878">
              <w:rPr>
                <w:rFonts w:asciiTheme="minorHAnsi" w:eastAsia="Times New Roman" w:hAnsiTheme="minorHAnsi" w:cs="Times New Roman"/>
                <w:color w:val="000000"/>
                <w:sz w:val="24"/>
                <w:szCs w:val="24"/>
                <w:lang w:eastAsia="en-AU"/>
              </w:rPr>
              <w:t>IVIg</w:t>
            </w:r>
            <w:proofErr w:type="spellEnd"/>
            <w:r w:rsidRPr="00A74878">
              <w:rPr>
                <w:rFonts w:asciiTheme="minorHAnsi" w:eastAsia="Times New Roman" w:hAnsiTheme="minorHAnsi" w:cs="Times New Roman"/>
                <w:color w:val="000000"/>
                <w:sz w:val="24"/>
                <w:szCs w:val="24"/>
                <w:lang w:eastAsia="en-AU"/>
              </w:rPr>
              <w:t xml:space="preserve"> generated fewer side effects (</w:t>
            </w:r>
            <w:proofErr w:type="spellStart"/>
            <w:r w:rsidRPr="00A74878">
              <w:rPr>
                <w:rFonts w:asciiTheme="minorHAnsi" w:eastAsia="Times New Roman" w:hAnsiTheme="minorHAnsi" w:cs="Times New Roman"/>
                <w:color w:val="000000"/>
                <w:sz w:val="24"/>
                <w:szCs w:val="24"/>
                <w:lang w:eastAsia="en-AU"/>
              </w:rPr>
              <w:t>Casadei</w:t>
            </w:r>
            <w:proofErr w:type="spellEnd"/>
            <w:r w:rsidRPr="00A74878">
              <w:rPr>
                <w:rFonts w:asciiTheme="minorHAnsi" w:eastAsia="Times New Roman" w:hAnsiTheme="minorHAnsi" w:cs="Times New Roman"/>
                <w:color w:val="000000"/>
                <w:sz w:val="24"/>
                <w:szCs w:val="24"/>
                <w:lang w:eastAsia="en-AU"/>
              </w:rPr>
              <w:t xml:space="preserve"> et al 2001).</w:t>
            </w:r>
          </w:p>
          <w:p w14:paraId="081C7FE1" w14:textId="77777777" w:rsidR="00BA00AB" w:rsidRPr="00A74878" w:rsidRDefault="00BA00AB" w:rsidP="0098330C">
            <w:pPr>
              <w:rPr>
                <w:rFonts w:asciiTheme="minorHAnsi" w:eastAsia="Times New Roman" w:hAnsiTheme="minorHAnsi" w:cs="Times New Roman"/>
                <w:color w:val="000000"/>
                <w:sz w:val="24"/>
                <w:szCs w:val="24"/>
                <w:lang w:eastAsia="en-AU"/>
              </w:rPr>
            </w:pPr>
          </w:p>
        </w:tc>
        <w:tc>
          <w:tcPr>
            <w:tcW w:w="4110" w:type="dxa"/>
          </w:tcPr>
          <w:p w14:paraId="48628E4A" w14:textId="77777777" w:rsidR="00BA00AB" w:rsidRPr="00A74878" w:rsidRDefault="00BA00AB" w:rsidP="0098330C">
            <w:pPr>
              <w:rPr>
                <w:rFonts w:asciiTheme="minorHAnsi" w:hAnsiTheme="minorHAnsi"/>
                <w:sz w:val="24"/>
                <w:szCs w:val="24"/>
              </w:rPr>
            </w:pPr>
          </w:p>
        </w:tc>
      </w:tr>
      <w:tr w:rsidR="00BA00AB" w:rsidRPr="00A74878" w14:paraId="349296F7" w14:textId="77777777" w:rsidTr="00BA00AB">
        <w:tc>
          <w:tcPr>
            <w:tcW w:w="1370" w:type="dxa"/>
            <w:shd w:val="clear" w:color="auto" w:fill="D9D9D9" w:themeFill="background1" w:themeFillShade="D9"/>
          </w:tcPr>
          <w:p w14:paraId="29D244D5" w14:textId="77777777" w:rsidR="00BA00AB" w:rsidRPr="00A74878" w:rsidRDefault="00BA00AB" w:rsidP="0098330C">
            <w:pPr>
              <w:rPr>
                <w:rFonts w:asciiTheme="minorHAnsi" w:hAnsiTheme="minorHAnsi"/>
                <w:sz w:val="24"/>
                <w:szCs w:val="24"/>
              </w:rPr>
            </w:pPr>
            <w:r w:rsidRPr="00A74878">
              <w:rPr>
                <w:rFonts w:asciiTheme="minorHAnsi" w:hAnsiTheme="minorHAnsi"/>
                <w:sz w:val="24"/>
                <w:szCs w:val="24"/>
              </w:rPr>
              <w:lastRenderedPageBreak/>
              <w:t>Description and Diagnostic Criteria</w:t>
            </w:r>
          </w:p>
          <w:p w14:paraId="02A75BDA" w14:textId="77777777" w:rsidR="00BA00AB" w:rsidRPr="00A74878" w:rsidRDefault="00BA00AB" w:rsidP="0098330C">
            <w:pPr>
              <w:rPr>
                <w:rFonts w:asciiTheme="minorHAnsi" w:hAnsiTheme="minorHAnsi"/>
                <w:sz w:val="24"/>
                <w:szCs w:val="24"/>
              </w:rPr>
            </w:pPr>
            <w:r w:rsidRPr="00A74878">
              <w:rPr>
                <w:rFonts w:asciiTheme="minorHAnsi" w:hAnsiTheme="minorHAnsi"/>
                <w:sz w:val="24"/>
                <w:szCs w:val="24"/>
              </w:rPr>
              <w:t>There should be no change the published text</w:t>
            </w:r>
          </w:p>
        </w:tc>
        <w:tc>
          <w:tcPr>
            <w:tcW w:w="4692" w:type="dxa"/>
            <w:gridSpan w:val="2"/>
          </w:tcPr>
          <w:p w14:paraId="697B5DB6" w14:textId="77777777" w:rsidR="00BA00AB" w:rsidRPr="00A74878" w:rsidRDefault="00BA00AB" w:rsidP="0098330C">
            <w:pPr>
              <w:spacing w:after="225" w:line="360" w:lineRule="atLeast"/>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 xml:space="preserve">Transplant rejection occurs when a recipient’s immune system attacks a transplanted organ or tissue. Despite the use of </w:t>
            </w:r>
            <w:proofErr w:type="spellStart"/>
            <w:r w:rsidRPr="00A74878">
              <w:rPr>
                <w:rFonts w:asciiTheme="minorHAnsi" w:eastAsia="Times New Roman" w:hAnsiTheme="minorHAnsi" w:cs="Times New Roman"/>
                <w:color w:val="000000"/>
                <w:sz w:val="24"/>
                <w:szCs w:val="24"/>
                <w:lang w:eastAsia="en-AU"/>
              </w:rPr>
              <w:t>immunosuppressants</w:t>
            </w:r>
            <w:proofErr w:type="spellEnd"/>
            <w:r w:rsidRPr="00A74878">
              <w:rPr>
                <w:rFonts w:asciiTheme="minorHAnsi" w:eastAsia="Times New Roman" w:hAnsiTheme="minorHAnsi" w:cs="Times New Roman"/>
                <w:color w:val="000000"/>
                <w:sz w:val="24"/>
                <w:szCs w:val="24"/>
                <w:lang w:eastAsia="en-AU"/>
              </w:rPr>
              <w:t xml:space="preserve">, one or more episodes of rejection can occur after transplantation. Both cellular and </w:t>
            </w:r>
            <w:proofErr w:type="spellStart"/>
            <w:r w:rsidRPr="00A74878">
              <w:rPr>
                <w:rFonts w:asciiTheme="minorHAnsi" w:eastAsia="Times New Roman" w:hAnsiTheme="minorHAnsi" w:cs="Times New Roman"/>
                <w:color w:val="000000"/>
                <w:sz w:val="24"/>
                <w:szCs w:val="24"/>
                <w:lang w:eastAsia="en-AU"/>
              </w:rPr>
              <w:t>humoral</w:t>
            </w:r>
            <w:proofErr w:type="spellEnd"/>
            <w:r w:rsidRPr="00A74878">
              <w:rPr>
                <w:rFonts w:asciiTheme="minorHAnsi" w:eastAsia="Times New Roman" w:hAnsiTheme="minorHAnsi" w:cs="Times New Roman"/>
                <w:color w:val="000000"/>
                <w:sz w:val="24"/>
                <w:szCs w:val="24"/>
                <w:lang w:eastAsia="en-AU"/>
              </w:rPr>
              <w:t xml:space="preserve"> (antibody-mediated) effector mechanisms can play a role.</w:t>
            </w:r>
          </w:p>
          <w:p w14:paraId="3CC6ECB5" w14:textId="77777777" w:rsidR="00BA00AB" w:rsidRPr="00A74878" w:rsidRDefault="00BA00AB" w:rsidP="0098330C">
            <w:pPr>
              <w:spacing w:after="225" w:line="360" w:lineRule="atLeast"/>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The presence and pattern of rejection need to be established by biopsy. Laboratory tests to assess the presence and strength of antibodies to the donor antigens can provide additional useful information. Clinical assessment, blood tests, ultrasound and nuclear imaging are used primarily to exclude other causes of organ dysfunction.</w:t>
            </w:r>
          </w:p>
          <w:p w14:paraId="3673A137" w14:textId="77777777" w:rsidR="00BA00AB" w:rsidRPr="00A74878" w:rsidRDefault="00BA00AB" w:rsidP="0098330C">
            <w:pPr>
              <w:spacing w:after="225" w:line="360" w:lineRule="atLeast"/>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 xml:space="preserve">Acute cellular rejection occurs in 15–30% of renal transplants and is responsive to steroids in more than 90% of cases. When rejection is steroid resistant, </w:t>
            </w:r>
            <w:proofErr w:type="spellStart"/>
            <w:r w:rsidRPr="00A74878">
              <w:rPr>
                <w:rFonts w:asciiTheme="minorHAnsi" w:eastAsia="Times New Roman" w:hAnsiTheme="minorHAnsi" w:cs="Times New Roman"/>
                <w:color w:val="000000"/>
                <w:sz w:val="24"/>
                <w:szCs w:val="24"/>
                <w:lang w:eastAsia="en-AU"/>
              </w:rPr>
              <w:t>IVIg</w:t>
            </w:r>
            <w:proofErr w:type="spellEnd"/>
            <w:r w:rsidRPr="00A74878">
              <w:rPr>
                <w:rFonts w:asciiTheme="minorHAnsi" w:eastAsia="Times New Roman" w:hAnsiTheme="minorHAnsi" w:cs="Times New Roman"/>
                <w:color w:val="000000"/>
                <w:sz w:val="24"/>
                <w:szCs w:val="24"/>
                <w:lang w:eastAsia="en-AU"/>
              </w:rPr>
              <w:t xml:space="preserve"> is a safer therapy than anti-T cell antibody therapy with equal efficacy.</w:t>
            </w:r>
          </w:p>
          <w:p w14:paraId="0CFC7D12" w14:textId="77777777" w:rsidR="00BA00AB" w:rsidRPr="00A74878" w:rsidRDefault="00BA00AB" w:rsidP="0098330C">
            <w:pPr>
              <w:spacing w:after="225" w:line="360" w:lineRule="atLeast"/>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Antibody mediated rejection (</w:t>
            </w:r>
            <w:proofErr w:type="spellStart"/>
            <w:r w:rsidRPr="00A74878">
              <w:rPr>
                <w:rFonts w:asciiTheme="minorHAnsi" w:eastAsia="Times New Roman" w:hAnsiTheme="minorHAnsi" w:cs="Times New Roman"/>
                <w:color w:val="000000"/>
                <w:sz w:val="24"/>
                <w:szCs w:val="24"/>
                <w:lang w:eastAsia="en-AU"/>
              </w:rPr>
              <w:t>AbMR</w:t>
            </w:r>
            <w:proofErr w:type="spellEnd"/>
            <w:r w:rsidRPr="00A74878">
              <w:rPr>
                <w:rFonts w:asciiTheme="minorHAnsi" w:eastAsia="Times New Roman" w:hAnsiTheme="minorHAnsi" w:cs="Times New Roman"/>
                <w:color w:val="000000"/>
                <w:sz w:val="24"/>
                <w:szCs w:val="24"/>
                <w:lang w:eastAsia="en-AU"/>
              </w:rPr>
              <w:t xml:space="preserve">) occurs </w:t>
            </w:r>
            <w:r w:rsidRPr="00A74878">
              <w:rPr>
                <w:rFonts w:asciiTheme="minorHAnsi" w:eastAsia="Times New Roman" w:hAnsiTheme="minorHAnsi" w:cs="Times New Roman"/>
                <w:color w:val="000000"/>
                <w:sz w:val="24"/>
                <w:szCs w:val="24"/>
                <w:lang w:eastAsia="en-AU"/>
              </w:rPr>
              <w:lastRenderedPageBreak/>
              <w:t xml:space="preserve">in 5–10% of renal transplants that have been performed with a compatible cross match. Before the use of </w:t>
            </w:r>
            <w:proofErr w:type="spellStart"/>
            <w:r w:rsidRPr="00A74878">
              <w:rPr>
                <w:rFonts w:asciiTheme="minorHAnsi" w:eastAsia="Times New Roman" w:hAnsiTheme="minorHAnsi" w:cs="Times New Roman"/>
                <w:color w:val="000000"/>
                <w:sz w:val="24"/>
                <w:szCs w:val="24"/>
                <w:lang w:eastAsia="en-AU"/>
              </w:rPr>
              <w:t>IVIg</w:t>
            </w:r>
            <w:proofErr w:type="spellEnd"/>
            <w:r w:rsidRPr="00A74878">
              <w:rPr>
                <w:rFonts w:asciiTheme="minorHAnsi" w:eastAsia="Times New Roman" w:hAnsiTheme="minorHAnsi" w:cs="Times New Roman"/>
                <w:color w:val="000000"/>
                <w:sz w:val="24"/>
                <w:szCs w:val="24"/>
                <w:lang w:eastAsia="en-AU"/>
              </w:rPr>
              <w:t xml:space="preserve"> and plasma exchange, </w:t>
            </w:r>
            <w:proofErr w:type="spellStart"/>
            <w:r w:rsidRPr="00A74878">
              <w:rPr>
                <w:rFonts w:asciiTheme="minorHAnsi" w:eastAsia="Times New Roman" w:hAnsiTheme="minorHAnsi" w:cs="Times New Roman"/>
                <w:color w:val="000000"/>
                <w:sz w:val="24"/>
                <w:szCs w:val="24"/>
                <w:lang w:eastAsia="en-AU"/>
              </w:rPr>
              <w:t>AbMR</w:t>
            </w:r>
            <w:proofErr w:type="spellEnd"/>
            <w:r w:rsidRPr="00A74878">
              <w:rPr>
                <w:rFonts w:asciiTheme="minorHAnsi" w:eastAsia="Times New Roman" w:hAnsiTheme="minorHAnsi" w:cs="Times New Roman"/>
                <w:color w:val="000000"/>
                <w:sz w:val="24"/>
                <w:szCs w:val="24"/>
                <w:lang w:eastAsia="en-AU"/>
              </w:rPr>
              <w:t xml:space="preserve"> failed to respond adequately to therapy in most cases. Additionally, complications from therapy were severe and sometimes fatal. </w:t>
            </w:r>
            <w:proofErr w:type="spellStart"/>
            <w:r w:rsidRPr="00A74878">
              <w:rPr>
                <w:rFonts w:asciiTheme="minorHAnsi" w:eastAsia="Times New Roman" w:hAnsiTheme="minorHAnsi" w:cs="Times New Roman"/>
                <w:color w:val="000000"/>
                <w:sz w:val="24"/>
                <w:szCs w:val="24"/>
                <w:lang w:eastAsia="en-AU"/>
              </w:rPr>
              <w:t>AbMR</w:t>
            </w:r>
            <w:proofErr w:type="spellEnd"/>
            <w:r w:rsidRPr="00A74878">
              <w:rPr>
                <w:rFonts w:asciiTheme="minorHAnsi" w:eastAsia="Times New Roman" w:hAnsiTheme="minorHAnsi" w:cs="Times New Roman"/>
                <w:color w:val="000000"/>
                <w:sz w:val="24"/>
                <w:szCs w:val="24"/>
                <w:lang w:eastAsia="en-AU"/>
              </w:rPr>
              <w:t xml:space="preserve"> responds to </w:t>
            </w:r>
            <w:proofErr w:type="spellStart"/>
            <w:r w:rsidRPr="00A74878">
              <w:rPr>
                <w:rFonts w:asciiTheme="minorHAnsi" w:eastAsia="Times New Roman" w:hAnsiTheme="minorHAnsi" w:cs="Times New Roman"/>
                <w:color w:val="000000"/>
                <w:sz w:val="24"/>
                <w:szCs w:val="24"/>
                <w:lang w:eastAsia="en-AU"/>
              </w:rPr>
              <w:t>IVIg</w:t>
            </w:r>
            <w:proofErr w:type="spellEnd"/>
            <w:r w:rsidRPr="00A74878">
              <w:rPr>
                <w:rFonts w:asciiTheme="minorHAnsi" w:eastAsia="Times New Roman" w:hAnsiTheme="minorHAnsi" w:cs="Times New Roman"/>
                <w:color w:val="000000"/>
                <w:sz w:val="24"/>
                <w:szCs w:val="24"/>
                <w:lang w:eastAsia="en-AU"/>
              </w:rPr>
              <w:t xml:space="preserve"> with or without plasma exchange in more than 85% of patients.</w:t>
            </w:r>
          </w:p>
          <w:p w14:paraId="4D56D6F5" w14:textId="77777777" w:rsidR="00BA00AB" w:rsidRPr="00A74878" w:rsidRDefault="00BA00AB" w:rsidP="0098330C">
            <w:pPr>
              <w:rPr>
                <w:rFonts w:asciiTheme="minorHAnsi" w:hAnsiTheme="minorHAnsi"/>
                <w:sz w:val="24"/>
                <w:szCs w:val="24"/>
              </w:rPr>
            </w:pPr>
          </w:p>
        </w:tc>
        <w:tc>
          <w:tcPr>
            <w:tcW w:w="4678" w:type="dxa"/>
            <w:gridSpan w:val="3"/>
          </w:tcPr>
          <w:p w14:paraId="1781506B" w14:textId="77777777" w:rsidR="00BA00AB" w:rsidRPr="00A74878" w:rsidRDefault="00BA00AB" w:rsidP="0098330C">
            <w:pPr>
              <w:spacing w:after="225" w:line="360" w:lineRule="atLeast"/>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sz w:val="24"/>
                <w:szCs w:val="24"/>
                <w:lang w:eastAsia="en-AU"/>
              </w:rPr>
              <w:lastRenderedPageBreak/>
              <w:t>Transplant rejection</w:t>
            </w:r>
            <w:r w:rsidRPr="00A74878">
              <w:rPr>
                <w:rFonts w:asciiTheme="minorHAnsi" w:eastAsia="Times New Roman" w:hAnsiTheme="minorHAnsi" w:cs="Times New Roman"/>
                <w:color w:val="000000"/>
                <w:sz w:val="24"/>
                <w:szCs w:val="24"/>
                <w:lang w:eastAsia="en-AU"/>
              </w:rPr>
              <w:t xml:space="preserve"> occurs when a recipient’s immune system attacks a transplanted organ or tissue. Despite the use of </w:t>
            </w:r>
            <w:proofErr w:type="spellStart"/>
            <w:r w:rsidRPr="00A74878">
              <w:rPr>
                <w:rFonts w:asciiTheme="minorHAnsi" w:eastAsia="Times New Roman" w:hAnsiTheme="minorHAnsi" w:cs="Times New Roman"/>
                <w:color w:val="000000"/>
                <w:sz w:val="24"/>
                <w:szCs w:val="24"/>
                <w:lang w:eastAsia="en-AU"/>
              </w:rPr>
              <w:t>immunosuppressants</w:t>
            </w:r>
            <w:proofErr w:type="spellEnd"/>
            <w:r w:rsidRPr="00A74878">
              <w:rPr>
                <w:rFonts w:asciiTheme="minorHAnsi" w:eastAsia="Times New Roman" w:hAnsiTheme="minorHAnsi" w:cs="Times New Roman"/>
                <w:color w:val="000000"/>
                <w:sz w:val="24"/>
                <w:szCs w:val="24"/>
                <w:lang w:eastAsia="en-AU"/>
              </w:rPr>
              <w:t xml:space="preserve">, one or more episodes of rejection can occur after transplantation. Both cellular and </w:t>
            </w:r>
            <w:proofErr w:type="spellStart"/>
            <w:r w:rsidRPr="00A74878">
              <w:rPr>
                <w:rFonts w:asciiTheme="minorHAnsi" w:eastAsia="Times New Roman" w:hAnsiTheme="minorHAnsi" w:cs="Times New Roman"/>
                <w:color w:val="000000"/>
                <w:sz w:val="24"/>
                <w:szCs w:val="24"/>
                <w:lang w:eastAsia="en-AU"/>
              </w:rPr>
              <w:t>humoral</w:t>
            </w:r>
            <w:proofErr w:type="spellEnd"/>
            <w:r w:rsidRPr="00A74878">
              <w:rPr>
                <w:rFonts w:asciiTheme="minorHAnsi" w:eastAsia="Times New Roman" w:hAnsiTheme="minorHAnsi" w:cs="Times New Roman"/>
                <w:color w:val="000000"/>
                <w:sz w:val="24"/>
                <w:szCs w:val="24"/>
                <w:lang w:eastAsia="en-AU"/>
              </w:rPr>
              <w:t xml:space="preserve"> (antibody-mediated) effector mechanisms can play a role.</w:t>
            </w:r>
          </w:p>
          <w:p w14:paraId="56F6E36C" w14:textId="77777777" w:rsidR="00BA00AB" w:rsidRPr="00A74878" w:rsidRDefault="00BA00AB" w:rsidP="0098330C">
            <w:pPr>
              <w:spacing w:after="225" w:line="360" w:lineRule="atLeast"/>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The presence and pattern of rejection need to be established by biopsy. Laboratory tests to assess the presence and strength of antibodies to the donor antigens can provide additional useful information. Clinical assessment, blood tests, ultrasound and nuclear imaging are used primarily to exclude other causes of organ dysfunction.</w:t>
            </w:r>
          </w:p>
          <w:p w14:paraId="587F9C2C" w14:textId="77777777" w:rsidR="00BA00AB" w:rsidRPr="00A74878" w:rsidRDefault="00BA00AB" w:rsidP="0098330C">
            <w:pPr>
              <w:spacing w:after="225" w:line="360" w:lineRule="atLeast"/>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 xml:space="preserve">Acute cellular rejection occurs in 15–30% of renal transplants and is responsive to steroids in more than 90% of cases. When rejection is steroid resistant, </w:t>
            </w:r>
            <w:proofErr w:type="spellStart"/>
            <w:r w:rsidRPr="00A74878">
              <w:rPr>
                <w:rFonts w:asciiTheme="minorHAnsi" w:eastAsia="Times New Roman" w:hAnsiTheme="minorHAnsi" w:cs="Times New Roman"/>
                <w:color w:val="000000"/>
                <w:sz w:val="24"/>
                <w:szCs w:val="24"/>
                <w:lang w:eastAsia="en-AU"/>
              </w:rPr>
              <w:t>IVIg</w:t>
            </w:r>
            <w:proofErr w:type="spellEnd"/>
            <w:r w:rsidRPr="00A74878">
              <w:rPr>
                <w:rFonts w:asciiTheme="minorHAnsi" w:eastAsia="Times New Roman" w:hAnsiTheme="minorHAnsi" w:cs="Times New Roman"/>
                <w:color w:val="000000"/>
                <w:sz w:val="24"/>
                <w:szCs w:val="24"/>
                <w:lang w:eastAsia="en-AU"/>
              </w:rPr>
              <w:t xml:space="preserve"> is a safer therapy than anti-T cell antibody therapy with equal efficacy.</w:t>
            </w:r>
          </w:p>
          <w:p w14:paraId="32971A14" w14:textId="77777777" w:rsidR="00BA00AB" w:rsidRPr="00A74878" w:rsidRDefault="00BA00AB" w:rsidP="0098330C">
            <w:pPr>
              <w:spacing w:after="225" w:line="360" w:lineRule="atLeast"/>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sz w:val="24"/>
                <w:szCs w:val="24"/>
                <w:lang w:eastAsia="en-AU"/>
              </w:rPr>
              <w:t>Antibody mediated rejection (</w:t>
            </w:r>
            <w:proofErr w:type="spellStart"/>
            <w:r w:rsidRPr="00A74878">
              <w:rPr>
                <w:rFonts w:asciiTheme="minorHAnsi" w:eastAsia="Times New Roman" w:hAnsiTheme="minorHAnsi" w:cs="Times New Roman"/>
                <w:sz w:val="24"/>
                <w:szCs w:val="24"/>
                <w:lang w:eastAsia="en-AU"/>
              </w:rPr>
              <w:t>AbMR</w:t>
            </w:r>
            <w:proofErr w:type="spellEnd"/>
            <w:r w:rsidRPr="00A74878">
              <w:rPr>
                <w:rFonts w:asciiTheme="minorHAnsi" w:eastAsia="Times New Roman" w:hAnsiTheme="minorHAnsi" w:cs="Times New Roman"/>
                <w:sz w:val="24"/>
                <w:szCs w:val="24"/>
                <w:lang w:eastAsia="en-AU"/>
              </w:rPr>
              <w:t>)</w:t>
            </w:r>
            <w:r w:rsidRPr="00A74878">
              <w:rPr>
                <w:rFonts w:asciiTheme="minorHAnsi" w:eastAsia="Times New Roman" w:hAnsiTheme="minorHAnsi" w:cs="Times New Roman"/>
                <w:color w:val="000000"/>
                <w:sz w:val="24"/>
                <w:szCs w:val="24"/>
                <w:lang w:eastAsia="en-AU"/>
              </w:rPr>
              <w:t xml:space="preserve"> occurs </w:t>
            </w:r>
            <w:r w:rsidRPr="00A74878">
              <w:rPr>
                <w:rFonts w:asciiTheme="minorHAnsi" w:eastAsia="Times New Roman" w:hAnsiTheme="minorHAnsi" w:cs="Times New Roman"/>
                <w:color w:val="000000"/>
                <w:sz w:val="24"/>
                <w:szCs w:val="24"/>
                <w:lang w:eastAsia="en-AU"/>
              </w:rPr>
              <w:lastRenderedPageBreak/>
              <w:t xml:space="preserve">in 5–10% of renal transplants that have been performed with a compatible cross match.  Before the use of </w:t>
            </w:r>
            <w:proofErr w:type="spellStart"/>
            <w:r w:rsidRPr="00A74878">
              <w:rPr>
                <w:rFonts w:asciiTheme="minorHAnsi" w:eastAsia="Times New Roman" w:hAnsiTheme="minorHAnsi" w:cs="Times New Roman"/>
                <w:color w:val="000000"/>
                <w:sz w:val="24"/>
                <w:szCs w:val="24"/>
                <w:lang w:eastAsia="en-AU"/>
              </w:rPr>
              <w:t>IVIg</w:t>
            </w:r>
            <w:proofErr w:type="spellEnd"/>
            <w:r w:rsidRPr="00A74878">
              <w:rPr>
                <w:rFonts w:asciiTheme="minorHAnsi" w:eastAsia="Times New Roman" w:hAnsiTheme="minorHAnsi" w:cs="Times New Roman"/>
                <w:color w:val="000000"/>
                <w:sz w:val="24"/>
                <w:szCs w:val="24"/>
                <w:lang w:eastAsia="en-AU"/>
              </w:rPr>
              <w:t xml:space="preserve"> and plasma exchange, </w:t>
            </w:r>
            <w:proofErr w:type="spellStart"/>
            <w:r w:rsidRPr="00A74878">
              <w:rPr>
                <w:rFonts w:asciiTheme="minorHAnsi" w:eastAsia="Times New Roman" w:hAnsiTheme="minorHAnsi" w:cs="Times New Roman"/>
                <w:color w:val="000000"/>
                <w:sz w:val="24"/>
                <w:szCs w:val="24"/>
                <w:lang w:eastAsia="en-AU"/>
              </w:rPr>
              <w:t>AbMR</w:t>
            </w:r>
            <w:proofErr w:type="spellEnd"/>
            <w:r w:rsidRPr="00A74878">
              <w:rPr>
                <w:rFonts w:asciiTheme="minorHAnsi" w:eastAsia="Times New Roman" w:hAnsiTheme="minorHAnsi" w:cs="Times New Roman"/>
                <w:color w:val="000000"/>
                <w:sz w:val="24"/>
                <w:szCs w:val="24"/>
                <w:lang w:eastAsia="en-AU"/>
              </w:rPr>
              <w:t xml:space="preserve"> failed to respond adequately to therapy in most cases. Additionally, complications from therapy were severe and sometimes fatal. </w:t>
            </w:r>
            <w:proofErr w:type="spellStart"/>
            <w:r w:rsidRPr="00A74878">
              <w:rPr>
                <w:rFonts w:asciiTheme="minorHAnsi" w:eastAsia="Times New Roman" w:hAnsiTheme="minorHAnsi" w:cs="Times New Roman"/>
                <w:color w:val="000000"/>
                <w:sz w:val="24"/>
                <w:szCs w:val="24"/>
                <w:lang w:eastAsia="en-AU"/>
              </w:rPr>
              <w:t>AbMR</w:t>
            </w:r>
            <w:proofErr w:type="spellEnd"/>
            <w:r w:rsidRPr="00A74878">
              <w:rPr>
                <w:rFonts w:asciiTheme="minorHAnsi" w:eastAsia="Times New Roman" w:hAnsiTheme="minorHAnsi" w:cs="Times New Roman"/>
                <w:color w:val="000000"/>
                <w:sz w:val="24"/>
                <w:szCs w:val="24"/>
                <w:lang w:eastAsia="en-AU"/>
              </w:rPr>
              <w:t xml:space="preserve"> responds to </w:t>
            </w:r>
            <w:proofErr w:type="spellStart"/>
            <w:r w:rsidRPr="00A74878">
              <w:rPr>
                <w:rFonts w:asciiTheme="minorHAnsi" w:eastAsia="Times New Roman" w:hAnsiTheme="minorHAnsi" w:cs="Times New Roman"/>
                <w:color w:val="000000"/>
                <w:sz w:val="24"/>
                <w:szCs w:val="24"/>
                <w:lang w:eastAsia="en-AU"/>
              </w:rPr>
              <w:t>IVIg</w:t>
            </w:r>
            <w:proofErr w:type="spellEnd"/>
            <w:r w:rsidRPr="00A74878">
              <w:rPr>
                <w:rFonts w:asciiTheme="minorHAnsi" w:eastAsia="Times New Roman" w:hAnsiTheme="minorHAnsi" w:cs="Times New Roman"/>
                <w:color w:val="000000"/>
                <w:sz w:val="24"/>
                <w:szCs w:val="24"/>
                <w:lang w:eastAsia="en-AU"/>
              </w:rPr>
              <w:t xml:space="preserve"> with or without plasma exchange in more than 85% of patients.  Diagnostic criteria for </w:t>
            </w:r>
            <w:proofErr w:type="spellStart"/>
            <w:r w:rsidRPr="00A74878">
              <w:rPr>
                <w:rFonts w:asciiTheme="minorHAnsi" w:eastAsia="Times New Roman" w:hAnsiTheme="minorHAnsi" w:cs="Times New Roman"/>
                <w:color w:val="000000"/>
                <w:sz w:val="24"/>
                <w:szCs w:val="24"/>
                <w:lang w:eastAsia="en-AU"/>
              </w:rPr>
              <w:t>AbMR</w:t>
            </w:r>
            <w:proofErr w:type="spellEnd"/>
            <w:r w:rsidRPr="00A74878">
              <w:rPr>
                <w:rFonts w:asciiTheme="minorHAnsi" w:eastAsia="Times New Roman" w:hAnsiTheme="minorHAnsi" w:cs="Times New Roman"/>
                <w:color w:val="000000"/>
                <w:sz w:val="24"/>
                <w:szCs w:val="24"/>
                <w:lang w:eastAsia="en-AU"/>
              </w:rPr>
              <w:t xml:space="preserve"> must be consistent with Banff Criteria (Banff 2013 Meeting Report American Journal of Transplantation </w:t>
            </w:r>
            <w:proofErr w:type="gramStart"/>
            <w:r w:rsidRPr="00A74878">
              <w:rPr>
                <w:rFonts w:asciiTheme="minorHAnsi" w:eastAsia="Times New Roman" w:hAnsiTheme="minorHAnsi" w:cs="Times New Roman"/>
                <w:color w:val="000000"/>
                <w:sz w:val="24"/>
                <w:szCs w:val="24"/>
                <w:lang w:eastAsia="en-AU"/>
              </w:rPr>
              <w:t>2014 :</w:t>
            </w:r>
            <w:proofErr w:type="gramEnd"/>
            <w:r w:rsidRPr="00A74878">
              <w:rPr>
                <w:rFonts w:asciiTheme="minorHAnsi" w:eastAsia="Times New Roman" w:hAnsiTheme="minorHAnsi" w:cs="Times New Roman"/>
                <w:color w:val="000000"/>
                <w:sz w:val="24"/>
                <w:szCs w:val="24"/>
                <w:lang w:eastAsia="en-AU"/>
              </w:rPr>
              <w:t>14;272-283 page 277)</w:t>
            </w:r>
            <w:r>
              <w:rPr>
                <w:rFonts w:asciiTheme="minorHAnsi" w:eastAsia="Times New Roman" w:hAnsiTheme="minorHAnsi" w:cs="Times New Roman"/>
                <w:color w:val="000000"/>
                <w:sz w:val="24"/>
                <w:szCs w:val="24"/>
                <w:lang w:eastAsia="en-AU"/>
              </w:rPr>
              <w:t>.</w:t>
            </w:r>
          </w:p>
          <w:p w14:paraId="752C1001" w14:textId="77777777" w:rsidR="00BA00AB" w:rsidRPr="00A74878" w:rsidRDefault="00BA00AB" w:rsidP="0098330C">
            <w:pPr>
              <w:tabs>
                <w:tab w:val="left" w:pos="900"/>
              </w:tabs>
              <w:spacing w:after="225" w:line="360" w:lineRule="atLeast"/>
              <w:rPr>
                <w:rFonts w:asciiTheme="minorHAnsi" w:eastAsia="Times New Roman" w:hAnsiTheme="minorHAnsi" w:cs="Times New Roman"/>
                <w:color w:val="000000"/>
                <w:sz w:val="24"/>
                <w:szCs w:val="24"/>
                <w:lang w:eastAsia="en-AU"/>
              </w:rPr>
            </w:pPr>
          </w:p>
        </w:tc>
        <w:tc>
          <w:tcPr>
            <w:tcW w:w="4110" w:type="dxa"/>
          </w:tcPr>
          <w:p w14:paraId="366EFE95" w14:textId="5ED2BD6D" w:rsidR="00BA00AB" w:rsidRPr="00A74878" w:rsidRDefault="00471526" w:rsidP="00BC4BD7">
            <w:pPr>
              <w:spacing w:after="225" w:line="360" w:lineRule="atLeast"/>
              <w:rPr>
                <w:rFonts w:asciiTheme="minorHAnsi" w:eastAsia="Times New Roman" w:hAnsiTheme="minorHAnsi" w:cs="Times New Roman"/>
                <w:sz w:val="24"/>
                <w:szCs w:val="24"/>
                <w:lang w:eastAsia="en-AU"/>
              </w:rPr>
            </w:pPr>
            <w:r>
              <w:rPr>
                <w:rFonts w:asciiTheme="minorHAnsi" w:hAnsiTheme="minorHAnsi"/>
                <w:sz w:val="24"/>
                <w:szCs w:val="24"/>
              </w:rPr>
              <w:lastRenderedPageBreak/>
              <w:t>Reference added to include</w:t>
            </w:r>
            <w:r w:rsidR="00BA00AB">
              <w:rPr>
                <w:rFonts w:asciiTheme="minorHAnsi" w:hAnsiTheme="minorHAnsi"/>
                <w:sz w:val="24"/>
                <w:szCs w:val="24"/>
              </w:rPr>
              <w:t xml:space="preserve"> BANFF criteria - the international standard for diagnostic features of antibody mediated rejection</w:t>
            </w:r>
            <w:r>
              <w:rPr>
                <w:rFonts w:asciiTheme="minorHAnsi" w:hAnsiTheme="minorHAnsi"/>
                <w:sz w:val="24"/>
                <w:szCs w:val="24"/>
              </w:rPr>
              <w:t xml:space="preserve"> (</w:t>
            </w:r>
            <w:proofErr w:type="spellStart"/>
            <w:r>
              <w:rPr>
                <w:rFonts w:asciiTheme="minorHAnsi" w:hAnsiTheme="minorHAnsi"/>
                <w:sz w:val="24"/>
                <w:szCs w:val="24"/>
              </w:rPr>
              <w:t>AbMR</w:t>
            </w:r>
            <w:proofErr w:type="spellEnd"/>
            <w:r>
              <w:rPr>
                <w:rFonts w:asciiTheme="minorHAnsi" w:hAnsiTheme="minorHAnsi"/>
                <w:sz w:val="24"/>
                <w:szCs w:val="24"/>
              </w:rPr>
              <w:t>)</w:t>
            </w:r>
            <w:r w:rsidR="00BA00AB">
              <w:rPr>
                <w:rFonts w:asciiTheme="minorHAnsi" w:hAnsiTheme="minorHAnsi"/>
                <w:sz w:val="24"/>
                <w:szCs w:val="24"/>
              </w:rPr>
              <w:t>.</w:t>
            </w:r>
            <w:r>
              <w:rPr>
                <w:rFonts w:asciiTheme="minorHAnsi" w:hAnsiTheme="minorHAnsi"/>
                <w:sz w:val="24"/>
                <w:szCs w:val="24"/>
              </w:rPr>
              <w:t xml:space="preserve"> (A)</w:t>
            </w:r>
          </w:p>
        </w:tc>
      </w:tr>
      <w:tr w:rsidR="00BA00AB" w:rsidRPr="00A74878" w14:paraId="018EB103" w14:textId="77777777" w:rsidTr="00BA00AB">
        <w:tc>
          <w:tcPr>
            <w:tcW w:w="1370" w:type="dxa"/>
            <w:shd w:val="clear" w:color="auto" w:fill="D9D9D9" w:themeFill="background1" w:themeFillShade="D9"/>
          </w:tcPr>
          <w:p w14:paraId="76B65AF8" w14:textId="77777777" w:rsidR="00BA00AB" w:rsidRPr="00A74878" w:rsidRDefault="00BA00AB" w:rsidP="0098330C">
            <w:pPr>
              <w:rPr>
                <w:rFonts w:asciiTheme="minorHAnsi" w:hAnsiTheme="minorHAnsi"/>
                <w:sz w:val="24"/>
                <w:szCs w:val="24"/>
              </w:rPr>
            </w:pPr>
            <w:r w:rsidRPr="00A74878">
              <w:rPr>
                <w:rFonts w:asciiTheme="minorHAnsi" w:hAnsiTheme="minorHAnsi"/>
                <w:sz w:val="24"/>
                <w:szCs w:val="24"/>
              </w:rPr>
              <w:lastRenderedPageBreak/>
              <w:t>Diagnosis is required</w:t>
            </w:r>
          </w:p>
        </w:tc>
        <w:tc>
          <w:tcPr>
            <w:tcW w:w="4692" w:type="dxa"/>
            <w:gridSpan w:val="2"/>
            <w:vMerge w:val="restart"/>
          </w:tcPr>
          <w:p w14:paraId="4CCCC2BF" w14:textId="578E3CE4" w:rsidR="00BA00AB" w:rsidRPr="00A74878" w:rsidRDefault="00BA00AB" w:rsidP="0098330C">
            <w:pPr>
              <w:rPr>
                <w:rFonts w:asciiTheme="minorHAnsi" w:hAnsiTheme="minorHAnsi"/>
                <w:sz w:val="24"/>
                <w:szCs w:val="24"/>
              </w:rPr>
            </w:pPr>
            <w:r w:rsidRPr="00A74878">
              <w:rPr>
                <w:rFonts w:asciiTheme="minorHAnsi" w:hAnsiTheme="minorHAnsi"/>
                <w:sz w:val="24"/>
                <w:szCs w:val="24"/>
              </w:rPr>
              <w:t>N</w:t>
            </w:r>
            <w:r w:rsidR="00471526">
              <w:rPr>
                <w:rFonts w:asciiTheme="minorHAnsi" w:hAnsiTheme="minorHAnsi"/>
                <w:sz w:val="24"/>
                <w:szCs w:val="24"/>
              </w:rPr>
              <w:t>o</w:t>
            </w:r>
          </w:p>
        </w:tc>
        <w:tc>
          <w:tcPr>
            <w:tcW w:w="1364" w:type="dxa"/>
          </w:tcPr>
          <w:p w14:paraId="6657ED87" w14:textId="7BB1F772" w:rsidR="00BA00AB" w:rsidRPr="00A74878" w:rsidRDefault="00BA00AB" w:rsidP="0098330C">
            <w:pPr>
              <w:rPr>
                <w:rFonts w:asciiTheme="minorHAnsi" w:hAnsiTheme="minorHAnsi"/>
                <w:sz w:val="24"/>
                <w:szCs w:val="24"/>
              </w:rPr>
            </w:pPr>
            <w:r w:rsidRPr="00A74878">
              <w:rPr>
                <w:rFonts w:asciiTheme="minorHAnsi" w:hAnsiTheme="minorHAnsi"/>
                <w:sz w:val="24"/>
                <w:szCs w:val="24"/>
              </w:rPr>
              <w:t>N</w:t>
            </w:r>
            <w:r w:rsidR="00471526">
              <w:rPr>
                <w:rFonts w:asciiTheme="minorHAnsi" w:hAnsiTheme="minorHAnsi"/>
                <w:sz w:val="24"/>
                <w:szCs w:val="24"/>
              </w:rPr>
              <w:t>o</w:t>
            </w:r>
          </w:p>
        </w:tc>
        <w:tc>
          <w:tcPr>
            <w:tcW w:w="1521" w:type="dxa"/>
            <w:shd w:val="clear" w:color="auto" w:fill="BFBFBF" w:themeFill="background1" w:themeFillShade="BF"/>
          </w:tcPr>
          <w:p w14:paraId="56405392" w14:textId="77777777" w:rsidR="00BA00AB" w:rsidRPr="00A74878" w:rsidRDefault="00BA00AB" w:rsidP="0098330C">
            <w:pPr>
              <w:rPr>
                <w:rFonts w:asciiTheme="minorHAnsi" w:hAnsiTheme="minorHAnsi"/>
                <w:sz w:val="24"/>
                <w:szCs w:val="24"/>
              </w:rPr>
            </w:pPr>
            <w:r w:rsidRPr="00A74878">
              <w:rPr>
                <w:rFonts w:asciiTheme="minorHAnsi" w:hAnsiTheme="minorHAnsi"/>
                <w:sz w:val="24"/>
                <w:szCs w:val="24"/>
              </w:rPr>
              <w:t>By which speciality</w:t>
            </w:r>
          </w:p>
        </w:tc>
        <w:tc>
          <w:tcPr>
            <w:tcW w:w="1793" w:type="dxa"/>
          </w:tcPr>
          <w:p w14:paraId="7CD2E7B8" w14:textId="77777777" w:rsidR="00BA00AB" w:rsidRPr="00A74878" w:rsidRDefault="00BA00AB" w:rsidP="0098330C">
            <w:pPr>
              <w:rPr>
                <w:rFonts w:asciiTheme="minorHAnsi" w:hAnsiTheme="minorHAnsi"/>
                <w:sz w:val="24"/>
                <w:szCs w:val="24"/>
              </w:rPr>
            </w:pPr>
            <w:r w:rsidRPr="00A74878">
              <w:rPr>
                <w:rFonts w:asciiTheme="minorHAnsi" w:hAnsiTheme="minorHAnsi"/>
                <w:sz w:val="24"/>
                <w:szCs w:val="24"/>
              </w:rPr>
              <w:t>N/A</w:t>
            </w:r>
          </w:p>
        </w:tc>
        <w:tc>
          <w:tcPr>
            <w:tcW w:w="4110" w:type="dxa"/>
          </w:tcPr>
          <w:p w14:paraId="42107C53" w14:textId="77777777" w:rsidR="00BA00AB" w:rsidRPr="00A74878" w:rsidRDefault="00BA00AB" w:rsidP="0098330C">
            <w:pPr>
              <w:rPr>
                <w:rFonts w:asciiTheme="minorHAnsi" w:hAnsiTheme="minorHAnsi"/>
                <w:sz w:val="24"/>
                <w:szCs w:val="24"/>
              </w:rPr>
            </w:pPr>
          </w:p>
        </w:tc>
      </w:tr>
      <w:tr w:rsidR="00BA00AB" w:rsidRPr="00A74878" w14:paraId="40B3E93D" w14:textId="77777777" w:rsidTr="00BA00AB">
        <w:tc>
          <w:tcPr>
            <w:tcW w:w="1370" w:type="dxa"/>
            <w:shd w:val="clear" w:color="auto" w:fill="D9D9D9" w:themeFill="background1" w:themeFillShade="D9"/>
          </w:tcPr>
          <w:p w14:paraId="5A297344" w14:textId="77777777" w:rsidR="00BA00AB" w:rsidRPr="00A74878" w:rsidRDefault="00BA00AB" w:rsidP="0098330C">
            <w:pPr>
              <w:rPr>
                <w:rFonts w:asciiTheme="minorHAnsi" w:hAnsiTheme="minorHAnsi"/>
                <w:sz w:val="24"/>
                <w:szCs w:val="24"/>
              </w:rPr>
            </w:pPr>
            <w:r w:rsidRPr="00A74878">
              <w:rPr>
                <w:rFonts w:asciiTheme="minorHAnsi" w:hAnsiTheme="minorHAnsi"/>
                <w:sz w:val="24"/>
                <w:szCs w:val="24"/>
              </w:rPr>
              <w:t>Diagnosis must be verified</w:t>
            </w:r>
          </w:p>
        </w:tc>
        <w:tc>
          <w:tcPr>
            <w:tcW w:w="4692" w:type="dxa"/>
            <w:gridSpan w:val="2"/>
            <w:vMerge/>
          </w:tcPr>
          <w:p w14:paraId="0337D3DF" w14:textId="77777777" w:rsidR="00BA00AB" w:rsidRPr="00A74878" w:rsidRDefault="00BA00AB" w:rsidP="0098330C">
            <w:pPr>
              <w:rPr>
                <w:rFonts w:asciiTheme="minorHAnsi" w:hAnsiTheme="minorHAnsi"/>
                <w:sz w:val="24"/>
                <w:szCs w:val="24"/>
              </w:rPr>
            </w:pPr>
          </w:p>
        </w:tc>
        <w:tc>
          <w:tcPr>
            <w:tcW w:w="1364" w:type="dxa"/>
          </w:tcPr>
          <w:p w14:paraId="0FC7BAA0" w14:textId="33CAF73D" w:rsidR="00BA00AB" w:rsidRPr="00A74878" w:rsidRDefault="00BA00AB" w:rsidP="0098330C">
            <w:pPr>
              <w:rPr>
                <w:rFonts w:asciiTheme="minorHAnsi" w:hAnsiTheme="minorHAnsi"/>
                <w:sz w:val="24"/>
                <w:szCs w:val="24"/>
              </w:rPr>
            </w:pPr>
            <w:r w:rsidRPr="00A74878">
              <w:rPr>
                <w:rFonts w:asciiTheme="minorHAnsi" w:hAnsiTheme="minorHAnsi"/>
                <w:sz w:val="24"/>
                <w:szCs w:val="24"/>
              </w:rPr>
              <w:t>N</w:t>
            </w:r>
            <w:r w:rsidR="00471526">
              <w:rPr>
                <w:rFonts w:asciiTheme="minorHAnsi" w:hAnsiTheme="minorHAnsi"/>
                <w:sz w:val="24"/>
                <w:szCs w:val="24"/>
              </w:rPr>
              <w:t>o</w:t>
            </w:r>
          </w:p>
        </w:tc>
        <w:tc>
          <w:tcPr>
            <w:tcW w:w="1521" w:type="dxa"/>
            <w:shd w:val="clear" w:color="auto" w:fill="BFBFBF" w:themeFill="background1" w:themeFillShade="BF"/>
          </w:tcPr>
          <w:p w14:paraId="7C4F50D5" w14:textId="77777777" w:rsidR="00BA00AB" w:rsidRPr="00A74878" w:rsidRDefault="00BA00AB" w:rsidP="0098330C">
            <w:pPr>
              <w:rPr>
                <w:rFonts w:asciiTheme="minorHAnsi" w:hAnsiTheme="minorHAnsi"/>
                <w:sz w:val="24"/>
                <w:szCs w:val="24"/>
              </w:rPr>
            </w:pPr>
            <w:r w:rsidRPr="00A74878">
              <w:rPr>
                <w:rFonts w:asciiTheme="minorHAnsi" w:hAnsiTheme="minorHAnsi"/>
                <w:sz w:val="24"/>
                <w:szCs w:val="24"/>
              </w:rPr>
              <w:t>By which speciality</w:t>
            </w:r>
          </w:p>
        </w:tc>
        <w:tc>
          <w:tcPr>
            <w:tcW w:w="1793" w:type="dxa"/>
          </w:tcPr>
          <w:p w14:paraId="09DD01E1" w14:textId="77777777" w:rsidR="00BA00AB" w:rsidRPr="00A74878" w:rsidRDefault="00BA00AB" w:rsidP="0098330C">
            <w:pPr>
              <w:rPr>
                <w:rFonts w:asciiTheme="minorHAnsi" w:hAnsiTheme="minorHAnsi"/>
                <w:sz w:val="24"/>
                <w:szCs w:val="24"/>
              </w:rPr>
            </w:pPr>
            <w:r w:rsidRPr="00A74878">
              <w:rPr>
                <w:rFonts w:asciiTheme="minorHAnsi" w:hAnsiTheme="minorHAnsi"/>
                <w:sz w:val="24"/>
                <w:szCs w:val="24"/>
              </w:rPr>
              <w:t>N/A</w:t>
            </w:r>
          </w:p>
        </w:tc>
        <w:tc>
          <w:tcPr>
            <w:tcW w:w="4110" w:type="dxa"/>
          </w:tcPr>
          <w:p w14:paraId="7E9DCA02" w14:textId="77777777" w:rsidR="00BA00AB" w:rsidRPr="00A74878" w:rsidRDefault="00BA00AB" w:rsidP="0098330C">
            <w:pPr>
              <w:rPr>
                <w:rFonts w:asciiTheme="minorHAnsi" w:hAnsiTheme="minorHAnsi"/>
                <w:sz w:val="24"/>
                <w:szCs w:val="24"/>
              </w:rPr>
            </w:pPr>
          </w:p>
        </w:tc>
      </w:tr>
      <w:tr w:rsidR="00BA00AB" w:rsidRPr="00A74878" w14:paraId="458E5B48" w14:textId="77777777" w:rsidTr="00BA00AB">
        <w:tc>
          <w:tcPr>
            <w:tcW w:w="1384" w:type="dxa"/>
            <w:gridSpan w:val="2"/>
            <w:shd w:val="clear" w:color="auto" w:fill="D9D9D9" w:themeFill="background1" w:themeFillShade="D9"/>
          </w:tcPr>
          <w:p w14:paraId="51079A28" w14:textId="77777777" w:rsidR="00BA00AB" w:rsidRPr="00A74878" w:rsidRDefault="00BA00AB" w:rsidP="0098330C">
            <w:pPr>
              <w:jc w:val="center"/>
              <w:rPr>
                <w:rFonts w:asciiTheme="minorHAnsi" w:hAnsiTheme="minorHAnsi"/>
                <w:sz w:val="24"/>
                <w:szCs w:val="24"/>
              </w:rPr>
            </w:pPr>
            <w:r w:rsidRPr="00A74878">
              <w:rPr>
                <w:rFonts w:asciiTheme="minorHAnsi" w:hAnsiTheme="minorHAnsi"/>
                <w:sz w:val="24"/>
                <w:szCs w:val="24"/>
              </w:rPr>
              <w:t>Exclusion Criteria</w:t>
            </w:r>
          </w:p>
          <w:p w14:paraId="2BB1D7EF" w14:textId="0C7BA4C6" w:rsidR="00BA00AB" w:rsidRPr="00A74878" w:rsidRDefault="00BA00AB" w:rsidP="0098330C">
            <w:pPr>
              <w:jc w:val="center"/>
              <w:rPr>
                <w:rFonts w:asciiTheme="minorHAnsi" w:hAnsiTheme="minorHAnsi"/>
                <w:sz w:val="24"/>
                <w:szCs w:val="24"/>
              </w:rPr>
            </w:pPr>
          </w:p>
        </w:tc>
        <w:tc>
          <w:tcPr>
            <w:tcW w:w="4678" w:type="dxa"/>
          </w:tcPr>
          <w:p w14:paraId="60B5B8C6" w14:textId="77777777" w:rsidR="00BA00AB" w:rsidRPr="00A74878" w:rsidRDefault="00BA00AB" w:rsidP="0098330C">
            <w:pPr>
              <w:rPr>
                <w:rFonts w:asciiTheme="minorHAnsi" w:hAnsiTheme="minorHAnsi"/>
                <w:strike/>
                <w:sz w:val="24"/>
                <w:szCs w:val="24"/>
              </w:rPr>
            </w:pPr>
          </w:p>
        </w:tc>
        <w:tc>
          <w:tcPr>
            <w:tcW w:w="4678" w:type="dxa"/>
            <w:gridSpan w:val="3"/>
          </w:tcPr>
          <w:p w14:paraId="367E72AD" w14:textId="77777777" w:rsidR="00BA00AB" w:rsidRPr="00A74878" w:rsidRDefault="00BA00AB" w:rsidP="0098330C">
            <w:pPr>
              <w:rPr>
                <w:rFonts w:asciiTheme="minorHAnsi" w:hAnsiTheme="minorHAnsi"/>
                <w:strike/>
                <w:sz w:val="24"/>
                <w:szCs w:val="24"/>
              </w:rPr>
            </w:pPr>
          </w:p>
        </w:tc>
        <w:tc>
          <w:tcPr>
            <w:tcW w:w="4110" w:type="dxa"/>
          </w:tcPr>
          <w:p w14:paraId="2C021C28" w14:textId="77777777" w:rsidR="00BA00AB" w:rsidRPr="00A74878" w:rsidRDefault="00BA00AB" w:rsidP="0098330C">
            <w:pPr>
              <w:rPr>
                <w:rFonts w:asciiTheme="minorHAnsi" w:hAnsiTheme="minorHAnsi"/>
                <w:sz w:val="24"/>
                <w:szCs w:val="24"/>
              </w:rPr>
            </w:pPr>
          </w:p>
        </w:tc>
      </w:tr>
      <w:tr w:rsidR="00BA00AB" w:rsidRPr="00A74878" w14:paraId="4285F62F" w14:textId="77777777" w:rsidTr="00BA00AB">
        <w:tc>
          <w:tcPr>
            <w:tcW w:w="1370" w:type="dxa"/>
            <w:shd w:val="clear" w:color="auto" w:fill="D9D9D9" w:themeFill="background1" w:themeFillShade="D9"/>
          </w:tcPr>
          <w:p w14:paraId="0150AB95" w14:textId="77777777" w:rsidR="00BA00AB" w:rsidRPr="00A74878" w:rsidRDefault="00BA00AB" w:rsidP="0098330C">
            <w:pPr>
              <w:rPr>
                <w:rFonts w:asciiTheme="minorHAnsi" w:hAnsiTheme="minorHAnsi"/>
                <w:sz w:val="24"/>
                <w:szCs w:val="24"/>
              </w:rPr>
            </w:pPr>
            <w:r w:rsidRPr="00A74878">
              <w:rPr>
                <w:rFonts w:asciiTheme="minorHAnsi" w:hAnsiTheme="minorHAnsi"/>
                <w:sz w:val="24"/>
                <w:szCs w:val="24"/>
              </w:rPr>
              <w:t>Indications</w:t>
            </w:r>
          </w:p>
        </w:tc>
        <w:tc>
          <w:tcPr>
            <w:tcW w:w="4692" w:type="dxa"/>
            <w:gridSpan w:val="2"/>
          </w:tcPr>
          <w:p w14:paraId="0ED31F1D" w14:textId="77777777" w:rsidR="00BA00AB" w:rsidRPr="00A74878" w:rsidRDefault="00BA00AB" w:rsidP="0098330C">
            <w:pPr>
              <w:spacing w:after="225" w:line="360" w:lineRule="atLeast"/>
              <w:rPr>
                <w:rFonts w:asciiTheme="minorHAnsi" w:eastAsia="Times New Roman" w:hAnsiTheme="minorHAnsi" w:cs="Times New Roman"/>
                <w:b/>
                <w:bCs/>
                <w:color w:val="000000"/>
                <w:sz w:val="24"/>
                <w:szCs w:val="24"/>
                <w:lang w:eastAsia="en-AU"/>
              </w:rPr>
            </w:pPr>
            <w:r w:rsidRPr="00A74878">
              <w:rPr>
                <w:rFonts w:asciiTheme="minorHAnsi" w:eastAsia="Times New Roman" w:hAnsiTheme="minorHAnsi" w:cs="Times New Roman"/>
                <w:b/>
                <w:bCs/>
                <w:color w:val="000000"/>
                <w:sz w:val="24"/>
                <w:szCs w:val="24"/>
                <w:lang w:eastAsia="en-AU"/>
              </w:rPr>
              <w:t>Pre-transplantation</w:t>
            </w:r>
          </w:p>
          <w:p w14:paraId="545D66EA" w14:textId="77777777" w:rsidR="00BA00AB" w:rsidRPr="00A74878" w:rsidRDefault="00BA00AB" w:rsidP="0098330C">
            <w:pPr>
              <w:spacing w:after="225" w:line="360" w:lineRule="atLeast"/>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Patients in whom an antibody or antibodies prevent transplantation (donor specific anti-human leukocyte antigen (HLA) antibody/</w:t>
            </w:r>
            <w:proofErr w:type="spellStart"/>
            <w:r w:rsidRPr="00A74878">
              <w:rPr>
                <w:rFonts w:asciiTheme="minorHAnsi" w:eastAsia="Times New Roman" w:hAnsiTheme="minorHAnsi" w:cs="Times New Roman"/>
                <w:color w:val="000000"/>
                <w:sz w:val="24"/>
                <w:szCs w:val="24"/>
                <w:lang w:eastAsia="en-AU"/>
              </w:rPr>
              <w:t>ies</w:t>
            </w:r>
            <w:proofErr w:type="spellEnd"/>
            <w:r w:rsidRPr="00A74878">
              <w:rPr>
                <w:rFonts w:asciiTheme="minorHAnsi" w:eastAsia="Times New Roman" w:hAnsiTheme="minorHAnsi" w:cs="Times New Roman"/>
                <w:color w:val="000000"/>
                <w:sz w:val="24"/>
                <w:szCs w:val="24"/>
                <w:lang w:eastAsia="en-AU"/>
              </w:rPr>
              <w:t xml:space="preserve"> </w:t>
            </w:r>
            <w:r w:rsidRPr="00A74878">
              <w:rPr>
                <w:rFonts w:asciiTheme="minorHAnsi" w:eastAsia="Times New Roman" w:hAnsiTheme="minorHAnsi" w:cs="Times New Roman"/>
                <w:color w:val="000000"/>
                <w:sz w:val="24"/>
                <w:szCs w:val="24"/>
                <w:lang w:eastAsia="en-AU"/>
              </w:rPr>
              <w:lastRenderedPageBreak/>
              <w:t>or anti-blood group antibody).</w:t>
            </w:r>
          </w:p>
          <w:p w14:paraId="1E41FA03" w14:textId="77777777" w:rsidR="00BA00AB" w:rsidRPr="00A74878" w:rsidRDefault="00BA00AB" w:rsidP="0098330C">
            <w:pPr>
              <w:spacing w:after="225" w:line="360" w:lineRule="atLeast"/>
              <w:rPr>
                <w:rFonts w:asciiTheme="minorHAnsi" w:eastAsia="Times New Roman" w:hAnsiTheme="minorHAnsi" w:cs="Times New Roman"/>
                <w:b/>
                <w:bCs/>
                <w:color w:val="000000"/>
                <w:sz w:val="24"/>
                <w:szCs w:val="24"/>
                <w:lang w:eastAsia="en-AU"/>
              </w:rPr>
            </w:pPr>
            <w:r w:rsidRPr="00A74878">
              <w:rPr>
                <w:rFonts w:asciiTheme="minorHAnsi" w:eastAsia="Times New Roman" w:hAnsiTheme="minorHAnsi" w:cs="Times New Roman"/>
                <w:b/>
                <w:bCs/>
                <w:color w:val="000000"/>
                <w:sz w:val="24"/>
                <w:szCs w:val="24"/>
                <w:lang w:eastAsia="en-AU"/>
              </w:rPr>
              <w:t>Post-transplantation</w:t>
            </w:r>
          </w:p>
          <w:p w14:paraId="6420FC89" w14:textId="77777777" w:rsidR="00BA00AB" w:rsidRPr="00A74878" w:rsidRDefault="00BA00AB" w:rsidP="0098330C">
            <w:pPr>
              <w:spacing w:after="225" w:line="360" w:lineRule="atLeast"/>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To treat steroid-resistant acute rejection which may be cellular or antibody mediated.</w:t>
            </w:r>
          </w:p>
          <w:p w14:paraId="6084FD7E" w14:textId="77777777" w:rsidR="00BA00AB" w:rsidRPr="00A74878" w:rsidRDefault="00BA00AB" w:rsidP="0098330C">
            <w:pPr>
              <w:spacing w:after="225" w:line="360" w:lineRule="atLeast"/>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For prevention and/or treatment of rejection where other therapies are contraindicated or pose a threat to the graft or patient.</w:t>
            </w:r>
          </w:p>
          <w:p w14:paraId="68FDAFED" w14:textId="77777777" w:rsidR="00BA00AB" w:rsidRPr="00A74878" w:rsidRDefault="00BA00AB" w:rsidP="0098330C">
            <w:pPr>
              <w:rPr>
                <w:rFonts w:asciiTheme="minorHAnsi" w:hAnsiTheme="minorHAnsi"/>
                <w:sz w:val="24"/>
                <w:szCs w:val="24"/>
              </w:rPr>
            </w:pPr>
          </w:p>
        </w:tc>
        <w:tc>
          <w:tcPr>
            <w:tcW w:w="4678" w:type="dxa"/>
            <w:gridSpan w:val="3"/>
          </w:tcPr>
          <w:p w14:paraId="6752F92D" w14:textId="77777777" w:rsidR="00BA00AB" w:rsidRPr="00A74878" w:rsidRDefault="00BA00AB" w:rsidP="0098330C">
            <w:pPr>
              <w:spacing w:after="225" w:line="360" w:lineRule="atLeast"/>
              <w:rPr>
                <w:rFonts w:asciiTheme="minorHAnsi" w:eastAsia="Times New Roman" w:hAnsiTheme="minorHAnsi" w:cs="Times New Roman"/>
                <w:b/>
                <w:bCs/>
                <w:color w:val="000000"/>
                <w:sz w:val="24"/>
                <w:szCs w:val="24"/>
                <w:lang w:eastAsia="en-AU"/>
              </w:rPr>
            </w:pPr>
            <w:r w:rsidRPr="00A74878">
              <w:rPr>
                <w:rFonts w:asciiTheme="minorHAnsi" w:eastAsia="Times New Roman" w:hAnsiTheme="minorHAnsi" w:cs="Times New Roman"/>
                <w:b/>
                <w:bCs/>
                <w:color w:val="000000"/>
                <w:sz w:val="24"/>
                <w:szCs w:val="24"/>
                <w:lang w:eastAsia="en-AU"/>
              </w:rPr>
              <w:lastRenderedPageBreak/>
              <w:t>Pre - transplant where donor specific antibody/</w:t>
            </w:r>
            <w:proofErr w:type="spellStart"/>
            <w:r w:rsidRPr="00A74878">
              <w:rPr>
                <w:rFonts w:asciiTheme="minorHAnsi" w:eastAsia="Times New Roman" w:hAnsiTheme="minorHAnsi" w:cs="Times New Roman"/>
                <w:b/>
                <w:bCs/>
                <w:color w:val="000000"/>
                <w:sz w:val="24"/>
                <w:szCs w:val="24"/>
                <w:lang w:eastAsia="en-AU"/>
              </w:rPr>
              <w:t>ies</w:t>
            </w:r>
            <w:proofErr w:type="spellEnd"/>
            <w:r w:rsidRPr="00A74878">
              <w:rPr>
                <w:rFonts w:asciiTheme="minorHAnsi" w:eastAsia="Times New Roman" w:hAnsiTheme="minorHAnsi" w:cs="Times New Roman"/>
                <w:b/>
                <w:bCs/>
                <w:color w:val="000000"/>
                <w:sz w:val="24"/>
                <w:szCs w:val="24"/>
                <w:lang w:eastAsia="en-AU"/>
              </w:rPr>
              <w:t xml:space="preserve"> prevent transplantation (HLA or anti-blood group)</w:t>
            </w:r>
          </w:p>
          <w:p w14:paraId="0726694A" w14:textId="77777777" w:rsidR="00BA00AB" w:rsidRPr="00A74878" w:rsidRDefault="00BA00AB" w:rsidP="0098330C">
            <w:pPr>
              <w:spacing w:after="225" w:line="360" w:lineRule="atLeast"/>
              <w:rPr>
                <w:rFonts w:asciiTheme="minorHAnsi" w:eastAsia="Times New Roman" w:hAnsiTheme="minorHAnsi" w:cs="Times New Roman"/>
                <w:b/>
                <w:bCs/>
                <w:color w:val="000000"/>
                <w:sz w:val="24"/>
                <w:szCs w:val="24"/>
                <w:lang w:eastAsia="en-AU"/>
              </w:rPr>
            </w:pPr>
            <w:r w:rsidRPr="00A74878">
              <w:rPr>
                <w:rFonts w:asciiTheme="minorHAnsi" w:eastAsia="Times New Roman" w:hAnsiTheme="minorHAnsi" w:cs="Times New Roman"/>
                <w:b/>
                <w:bCs/>
                <w:color w:val="000000"/>
                <w:sz w:val="24"/>
                <w:szCs w:val="24"/>
                <w:lang w:eastAsia="en-AU"/>
              </w:rPr>
              <w:t xml:space="preserve">Post-transplant - acute anti-body mediated </w:t>
            </w:r>
            <w:r w:rsidRPr="00A74878">
              <w:rPr>
                <w:rFonts w:asciiTheme="minorHAnsi" w:eastAsia="Times New Roman" w:hAnsiTheme="minorHAnsi" w:cs="Times New Roman"/>
                <w:b/>
                <w:bCs/>
                <w:color w:val="000000"/>
                <w:sz w:val="24"/>
                <w:szCs w:val="24"/>
                <w:lang w:eastAsia="en-AU"/>
              </w:rPr>
              <w:lastRenderedPageBreak/>
              <w:t>rejection</w:t>
            </w:r>
          </w:p>
          <w:p w14:paraId="67A1E6AA" w14:textId="77777777" w:rsidR="00BA00AB" w:rsidRPr="00A74878" w:rsidRDefault="00BA00AB" w:rsidP="0098330C">
            <w:pPr>
              <w:spacing w:after="225" w:line="360" w:lineRule="atLeast"/>
              <w:rPr>
                <w:rFonts w:asciiTheme="minorHAnsi" w:eastAsia="Times New Roman" w:hAnsiTheme="minorHAnsi" w:cs="Times New Roman"/>
                <w:b/>
                <w:bCs/>
                <w:color w:val="000000"/>
                <w:sz w:val="24"/>
                <w:szCs w:val="24"/>
                <w:lang w:eastAsia="en-AU"/>
              </w:rPr>
            </w:pPr>
            <w:r w:rsidRPr="00A74878">
              <w:rPr>
                <w:rFonts w:asciiTheme="minorHAnsi" w:eastAsia="Times New Roman" w:hAnsiTheme="minorHAnsi" w:cs="Times New Roman"/>
                <w:b/>
                <w:bCs/>
                <w:color w:val="000000"/>
                <w:sz w:val="24"/>
                <w:szCs w:val="24"/>
                <w:lang w:eastAsia="en-AU"/>
              </w:rPr>
              <w:t>Treatment or prevention of graft rejection where conventional immunosuppressive therapies is contraindicated or pose a threat to the graft or patient</w:t>
            </w:r>
          </w:p>
          <w:p w14:paraId="491AFD18" w14:textId="77777777" w:rsidR="00BA00AB" w:rsidRPr="00A74878" w:rsidRDefault="00BA00AB" w:rsidP="0098330C">
            <w:pPr>
              <w:spacing w:after="225" w:line="360" w:lineRule="atLeast"/>
              <w:rPr>
                <w:rFonts w:asciiTheme="minorHAnsi" w:eastAsia="Times New Roman" w:hAnsiTheme="minorHAnsi" w:cs="Times New Roman"/>
                <w:b/>
                <w:bCs/>
                <w:color w:val="000000"/>
                <w:sz w:val="24"/>
                <w:szCs w:val="24"/>
                <w:lang w:eastAsia="en-AU"/>
              </w:rPr>
            </w:pPr>
          </w:p>
        </w:tc>
        <w:tc>
          <w:tcPr>
            <w:tcW w:w="4110" w:type="dxa"/>
          </w:tcPr>
          <w:p w14:paraId="2B6C6CCB" w14:textId="6B012102" w:rsidR="00BA00AB" w:rsidRPr="00A74878" w:rsidRDefault="00BA00AB" w:rsidP="00471526">
            <w:pPr>
              <w:rPr>
                <w:rFonts w:asciiTheme="minorHAnsi" w:hAnsiTheme="minorHAnsi"/>
                <w:sz w:val="24"/>
                <w:szCs w:val="24"/>
              </w:rPr>
            </w:pPr>
            <w:r>
              <w:rPr>
                <w:rFonts w:asciiTheme="minorHAnsi" w:hAnsiTheme="minorHAnsi"/>
                <w:sz w:val="24"/>
                <w:szCs w:val="24"/>
              </w:rPr>
              <w:lastRenderedPageBreak/>
              <w:t xml:space="preserve">Indications have been </w:t>
            </w:r>
            <w:r w:rsidR="00471526">
              <w:rPr>
                <w:rFonts w:asciiTheme="minorHAnsi" w:hAnsiTheme="minorHAnsi"/>
                <w:sz w:val="24"/>
                <w:szCs w:val="24"/>
              </w:rPr>
              <w:t>changed</w:t>
            </w:r>
            <w:r>
              <w:rPr>
                <w:rFonts w:asciiTheme="minorHAnsi" w:hAnsiTheme="minorHAnsi"/>
                <w:sz w:val="24"/>
                <w:szCs w:val="24"/>
              </w:rPr>
              <w:t xml:space="preserve"> with the second indication </w:t>
            </w:r>
            <w:r w:rsidR="00471526">
              <w:rPr>
                <w:rFonts w:asciiTheme="minorHAnsi" w:hAnsiTheme="minorHAnsi"/>
                <w:sz w:val="24"/>
                <w:szCs w:val="24"/>
              </w:rPr>
              <w:t>removing eligibility</w:t>
            </w:r>
            <w:r w:rsidR="006C116A">
              <w:rPr>
                <w:rFonts w:asciiTheme="minorHAnsi" w:hAnsiTheme="minorHAnsi"/>
                <w:sz w:val="24"/>
                <w:szCs w:val="24"/>
              </w:rPr>
              <w:t xml:space="preserve"> for steroid resistant ac</w:t>
            </w:r>
            <w:r w:rsidR="00471526">
              <w:rPr>
                <w:rFonts w:asciiTheme="minorHAnsi" w:hAnsiTheme="minorHAnsi"/>
                <w:sz w:val="24"/>
                <w:szCs w:val="24"/>
              </w:rPr>
              <w:t>u</w:t>
            </w:r>
            <w:r w:rsidR="006C116A">
              <w:rPr>
                <w:rFonts w:asciiTheme="minorHAnsi" w:hAnsiTheme="minorHAnsi"/>
                <w:sz w:val="24"/>
                <w:szCs w:val="24"/>
              </w:rPr>
              <w:t>t</w:t>
            </w:r>
            <w:r w:rsidR="00471526">
              <w:rPr>
                <w:rFonts w:asciiTheme="minorHAnsi" w:hAnsiTheme="minorHAnsi"/>
                <w:sz w:val="24"/>
                <w:szCs w:val="24"/>
              </w:rPr>
              <w:t xml:space="preserve">e cellular rejection. </w:t>
            </w:r>
            <w:proofErr w:type="spellStart"/>
            <w:r w:rsidR="00471526">
              <w:rPr>
                <w:rFonts w:asciiTheme="minorHAnsi" w:hAnsiTheme="minorHAnsi"/>
                <w:sz w:val="24"/>
                <w:szCs w:val="24"/>
              </w:rPr>
              <w:t>Ig</w:t>
            </w:r>
            <w:proofErr w:type="spellEnd"/>
            <w:r>
              <w:rPr>
                <w:rFonts w:asciiTheme="minorHAnsi" w:hAnsiTheme="minorHAnsi"/>
                <w:sz w:val="24"/>
                <w:szCs w:val="24"/>
              </w:rPr>
              <w:t xml:space="preserve"> is rarely used </w:t>
            </w:r>
            <w:r w:rsidR="00471526">
              <w:rPr>
                <w:rFonts w:asciiTheme="minorHAnsi" w:hAnsiTheme="minorHAnsi"/>
                <w:sz w:val="24"/>
                <w:szCs w:val="24"/>
              </w:rPr>
              <w:t xml:space="preserve">for this requirement and if patients were very </w:t>
            </w:r>
            <w:proofErr w:type="gramStart"/>
            <w:r w:rsidR="00471526">
              <w:rPr>
                <w:rFonts w:asciiTheme="minorHAnsi" w:hAnsiTheme="minorHAnsi"/>
                <w:sz w:val="24"/>
                <w:szCs w:val="24"/>
              </w:rPr>
              <w:lastRenderedPageBreak/>
              <w:t>ill,</w:t>
            </w:r>
            <w:proofErr w:type="gramEnd"/>
            <w:r w:rsidR="00471526">
              <w:rPr>
                <w:rFonts w:asciiTheme="minorHAnsi" w:hAnsiTheme="minorHAnsi"/>
                <w:sz w:val="24"/>
                <w:szCs w:val="24"/>
              </w:rPr>
              <w:t xml:space="preserve"> could be managed under the third indication. </w:t>
            </w:r>
          </w:p>
        </w:tc>
      </w:tr>
      <w:tr w:rsidR="00BA00AB" w:rsidRPr="00A74878" w14:paraId="414AC8F1" w14:textId="77777777" w:rsidTr="00BA00AB">
        <w:tc>
          <w:tcPr>
            <w:tcW w:w="1370" w:type="dxa"/>
            <w:shd w:val="clear" w:color="auto" w:fill="D9D9D9" w:themeFill="background1" w:themeFillShade="D9"/>
          </w:tcPr>
          <w:p w14:paraId="284242EA" w14:textId="77777777" w:rsidR="00BA00AB" w:rsidRPr="00A74878" w:rsidRDefault="00BA00AB" w:rsidP="0098330C">
            <w:pPr>
              <w:rPr>
                <w:rFonts w:asciiTheme="minorHAnsi" w:hAnsiTheme="minorHAnsi"/>
                <w:sz w:val="24"/>
                <w:szCs w:val="24"/>
              </w:rPr>
            </w:pPr>
            <w:r w:rsidRPr="00A74878">
              <w:rPr>
                <w:rFonts w:asciiTheme="minorHAnsi" w:hAnsiTheme="minorHAnsi"/>
                <w:sz w:val="24"/>
                <w:szCs w:val="24"/>
              </w:rPr>
              <w:lastRenderedPageBreak/>
              <w:t>Qualifying Criteria</w:t>
            </w:r>
          </w:p>
        </w:tc>
        <w:tc>
          <w:tcPr>
            <w:tcW w:w="4692" w:type="dxa"/>
            <w:gridSpan w:val="2"/>
          </w:tcPr>
          <w:p w14:paraId="110DDCAF" w14:textId="77777777" w:rsidR="00BA00AB" w:rsidRPr="00A74878" w:rsidRDefault="00BA00AB" w:rsidP="0098330C">
            <w:pPr>
              <w:spacing w:after="225" w:line="360" w:lineRule="atLeast"/>
              <w:rPr>
                <w:rFonts w:asciiTheme="minorHAnsi" w:eastAsia="Times New Roman" w:hAnsiTheme="minorHAnsi" w:cs="Times New Roman"/>
                <w:b/>
                <w:bCs/>
                <w:color w:val="000000"/>
                <w:sz w:val="24"/>
                <w:szCs w:val="24"/>
                <w:lang w:eastAsia="en-AU"/>
              </w:rPr>
            </w:pPr>
            <w:r w:rsidRPr="00A74878">
              <w:rPr>
                <w:rFonts w:asciiTheme="minorHAnsi" w:eastAsia="Times New Roman" w:hAnsiTheme="minorHAnsi" w:cs="Times New Roman"/>
                <w:b/>
                <w:bCs/>
                <w:color w:val="000000"/>
                <w:sz w:val="24"/>
                <w:szCs w:val="24"/>
                <w:lang w:eastAsia="en-AU"/>
              </w:rPr>
              <w:t>Pre-transplantation</w:t>
            </w:r>
          </w:p>
          <w:p w14:paraId="5BD7D899" w14:textId="77777777" w:rsidR="00BA00AB" w:rsidRPr="00A74878" w:rsidRDefault="00BA00AB" w:rsidP="0098330C">
            <w:pPr>
              <w:spacing w:after="225" w:line="360" w:lineRule="atLeast"/>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Patients in whom an antibody or antibodies prevent transplantation (donor-specific anti-HLA antibody/</w:t>
            </w:r>
            <w:proofErr w:type="spellStart"/>
            <w:r w:rsidRPr="00A74878">
              <w:rPr>
                <w:rFonts w:asciiTheme="minorHAnsi" w:eastAsia="Times New Roman" w:hAnsiTheme="minorHAnsi" w:cs="Times New Roman"/>
                <w:color w:val="000000"/>
                <w:sz w:val="24"/>
                <w:szCs w:val="24"/>
                <w:lang w:eastAsia="en-AU"/>
              </w:rPr>
              <w:t>ies</w:t>
            </w:r>
            <w:proofErr w:type="spellEnd"/>
            <w:r w:rsidRPr="00A74878">
              <w:rPr>
                <w:rFonts w:asciiTheme="minorHAnsi" w:eastAsia="Times New Roman" w:hAnsiTheme="minorHAnsi" w:cs="Times New Roman"/>
                <w:color w:val="000000"/>
                <w:sz w:val="24"/>
                <w:szCs w:val="24"/>
                <w:lang w:eastAsia="en-AU"/>
              </w:rPr>
              <w:t xml:space="preserve"> or anti-blood group antibody).</w:t>
            </w:r>
          </w:p>
          <w:p w14:paraId="029D5A2D" w14:textId="77777777" w:rsidR="00BA00AB" w:rsidRPr="00A74878" w:rsidRDefault="00BA00AB" w:rsidP="0098330C">
            <w:pPr>
              <w:spacing w:after="225" w:line="360" w:lineRule="atLeast"/>
              <w:rPr>
                <w:rFonts w:asciiTheme="minorHAnsi" w:eastAsia="Times New Roman" w:hAnsiTheme="minorHAnsi" w:cs="Times New Roman"/>
                <w:b/>
                <w:bCs/>
                <w:color w:val="000000"/>
                <w:sz w:val="24"/>
                <w:szCs w:val="24"/>
                <w:lang w:eastAsia="en-AU"/>
              </w:rPr>
            </w:pPr>
            <w:r w:rsidRPr="00A74878">
              <w:rPr>
                <w:rFonts w:asciiTheme="minorHAnsi" w:eastAsia="Times New Roman" w:hAnsiTheme="minorHAnsi" w:cs="Times New Roman"/>
                <w:b/>
                <w:bCs/>
                <w:color w:val="000000"/>
                <w:sz w:val="24"/>
                <w:szCs w:val="24"/>
                <w:lang w:eastAsia="en-AU"/>
              </w:rPr>
              <w:t>Post-transplantation</w:t>
            </w:r>
          </w:p>
          <w:p w14:paraId="699915BC" w14:textId="77777777" w:rsidR="00BA00AB" w:rsidRPr="00A74878" w:rsidRDefault="00BA00AB" w:rsidP="0098330C">
            <w:pPr>
              <w:numPr>
                <w:ilvl w:val="0"/>
                <w:numId w:val="22"/>
              </w:numPr>
              <w:spacing w:before="100" w:beforeAutospacing="1" w:after="150" w:line="360" w:lineRule="atLeast"/>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Biopsy proven cellular rejection unresponsive to steroids with clinical evidence of graft dysfunction;</w:t>
            </w:r>
          </w:p>
          <w:p w14:paraId="30E3BFA4" w14:textId="77777777" w:rsidR="00BA00AB" w:rsidRPr="00A74878" w:rsidRDefault="00BA00AB" w:rsidP="0098330C">
            <w:pPr>
              <w:spacing w:after="225" w:line="360" w:lineRule="atLeast"/>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OR</w:t>
            </w:r>
          </w:p>
          <w:p w14:paraId="2C3BC81A" w14:textId="77777777" w:rsidR="00BA00AB" w:rsidRPr="00A74878" w:rsidRDefault="00BA00AB" w:rsidP="0098330C">
            <w:pPr>
              <w:numPr>
                <w:ilvl w:val="0"/>
                <w:numId w:val="23"/>
              </w:numPr>
              <w:spacing w:before="100" w:beforeAutospacing="1" w:after="150" w:line="360" w:lineRule="atLeast"/>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 xml:space="preserve">Acute antibody mediated rejection with clinical evidence of graft </w:t>
            </w:r>
            <w:r w:rsidRPr="00A74878">
              <w:rPr>
                <w:rFonts w:asciiTheme="minorHAnsi" w:eastAsia="Times New Roman" w:hAnsiTheme="minorHAnsi" w:cs="Times New Roman"/>
                <w:color w:val="000000"/>
                <w:sz w:val="24"/>
                <w:szCs w:val="24"/>
                <w:lang w:eastAsia="en-AU"/>
              </w:rPr>
              <w:lastRenderedPageBreak/>
              <w:t>dysfunction;</w:t>
            </w:r>
          </w:p>
          <w:p w14:paraId="0C7858E7" w14:textId="77777777" w:rsidR="00BA00AB" w:rsidRPr="00A74878" w:rsidRDefault="00BA00AB" w:rsidP="0098330C">
            <w:pPr>
              <w:spacing w:after="225" w:line="360" w:lineRule="atLeast"/>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OR</w:t>
            </w:r>
          </w:p>
          <w:p w14:paraId="7FF74605" w14:textId="77777777" w:rsidR="00BA00AB" w:rsidRPr="008F75B5" w:rsidRDefault="00BA00AB" w:rsidP="008F75B5">
            <w:pPr>
              <w:pStyle w:val="ListParagraph"/>
              <w:numPr>
                <w:ilvl w:val="0"/>
                <w:numId w:val="23"/>
              </w:numPr>
              <w:spacing w:before="100" w:beforeAutospacing="1" w:after="150" w:line="360" w:lineRule="atLeast"/>
              <w:rPr>
                <w:rFonts w:asciiTheme="minorHAnsi" w:eastAsia="Times New Roman" w:hAnsiTheme="minorHAnsi" w:cs="Times New Roman"/>
                <w:color w:val="000000"/>
                <w:sz w:val="24"/>
                <w:szCs w:val="24"/>
                <w:lang w:eastAsia="en-AU"/>
              </w:rPr>
            </w:pPr>
            <w:r w:rsidRPr="008F75B5">
              <w:rPr>
                <w:rFonts w:asciiTheme="minorHAnsi" w:eastAsia="Times New Roman" w:hAnsiTheme="minorHAnsi" w:cs="Times New Roman"/>
                <w:color w:val="000000"/>
                <w:sz w:val="24"/>
                <w:szCs w:val="24"/>
                <w:lang w:eastAsia="en-AU"/>
              </w:rPr>
              <w:t>As treatment or prophylaxis for rejection where conventional immunosuppressive therapy is contraindicated, for example:</w:t>
            </w:r>
          </w:p>
          <w:p w14:paraId="4C461F2F" w14:textId="77777777" w:rsidR="00BA00AB" w:rsidRPr="00A74878" w:rsidRDefault="00BA00AB" w:rsidP="0098330C">
            <w:pPr>
              <w:numPr>
                <w:ilvl w:val="0"/>
                <w:numId w:val="25"/>
              </w:numPr>
              <w:spacing w:before="100" w:beforeAutospacing="1" w:after="150" w:line="360" w:lineRule="atLeast"/>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 xml:space="preserve">in a patient with life-threatening infection in whom conventional immunosuppression will place the patient at even greater risk; </w:t>
            </w:r>
          </w:p>
          <w:p w14:paraId="3927212C" w14:textId="77777777" w:rsidR="00BA00AB" w:rsidRPr="00A74878" w:rsidRDefault="00BA00AB" w:rsidP="0098330C">
            <w:pPr>
              <w:numPr>
                <w:ilvl w:val="0"/>
                <w:numId w:val="25"/>
              </w:numPr>
              <w:spacing w:before="100" w:beforeAutospacing="1" w:after="150" w:line="360" w:lineRule="atLeast"/>
              <w:rPr>
                <w:rFonts w:asciiTheme="minorHAnsi" w:eastAsia="Times New Roman" w:hAnsiTheme="minorHAnsi" w:cs="Times New Roman"/>
                <w:color w:val="000000"/>
                <w:sz w:val="24"/>
                <w:szCs w:val="24"/>
                <w:lang w:eastAsia="en-AU"/>
              </w:rPr>
            </w:pPr>
            <w:proofErr w:type="gramStart"/>
            <w:r w:rsidRPr="00A74878">
              <w:rPr>
                <w:rFonts w:asciiTheme="minorHAnsi" w:eastAsia="Times New Roman" w:hAnsiTheme="minorHAnsi" w:cs="Times New Roman"/>
                <w:color w:val="000000"/>
                <w:sz w:val="24"/>
                <w:szCs w:val="24"/>
                <w:lang w:eastAsia="en-AU"/>
              </w:rPr>
              <w:t>when</w:t>
            </w:r>
            <w:proofErr w:type="gramEnd"/>
            <w:r w:rsidRPr="00A74878">
              <w:rPr>
                <w:rFonts w:asciiTheme="minorHAnsi" w:eastAsia="Times New Roman" w:hAnsiTheme="minorHAnsi" w:cs="Times New Roman"/>
                <w:color w:val="000000"/>
                <w:sz w:val="24"/>
                <w:szCs w:val="24"/>
                <w:lang w:eastAsia="en-AU"/>
              </w:rPr>
              <w:t xml:space="preserve"> the transplant is at risk (e.g. due to BK virus infection).</w:t>
            </w:r>
          </w:p>
          <w:p w14:paraId="2D305952" w14:textId="77777777" w:rsidR="00BA00AB" w:rsidRPr="00A74878" w:rsidRDefault="00BA00AB" w:rsidP="0098330C">
            <w:pPr>
              <w:rPr>
                <w:rFonts w:asciiTheme="minorHAnsi" w:hAnsiTheme="minorHAnsi"/>
                <w:sz w:val="24"/>
                <w:szCs w:val="24"/>
              </w:rPr>
            </w:pPr>
          </w:p>
        </w:tc>
        <w:tc>
          <w:tcPr>
            <w:tcW w:w="4678" w:type="dxa"/>
            <w:gridSpan w:val="3"/>
          </w:tcPr>
          <w:p w14:paraId="32DF6B71" w14:textId="77777777" w:rsidR="00BA00AB" w:rsidRPr="00A74878" w:rsidRDefault="00BA00AB" w:rsidP="0098330C">
            <w:pPr>
              <w:spacing w:after="225" w:line="360" w:lineRule="atLeast"/>
              <w:rPr>
                <w:rFonts w:asciiTheme="minorHAnsi" w:eastAsia="Times New Roman" w:hAnsiTheme="minorHAnsi" w:cs="Times New Roman"/>
                <w:b/>
                <w:bCs/>
                <w:color w:val="000000"/>
                <w:sz w:val="24"/>
                <w:szCs w:val="24"/>
                <w:lang w:eastAsia="en-AU"/>
              </w:rPr>
            </w:pPr>
            <w:r w:rsidRPr="00A74878">
              <w:rPr>
                <w:rFonts w:asciiTheme="minorHAnsi" w:eastAsia="Times New Roman" w:hAnsiTheme="minorHAnsi" w:cs="Times New Roman"/>
                <w:b/>
                <w:bCs/>
                <w:color w:val="000000"/>
                <w:sz w:val="24"/>
                <w:szCs w:val="24"/>
                <w:lang w:eastAsia="en-AU"/>
              </w:rPr>
              <w:lastRenderedPageBreak/>
              <w:t>Pre - transplant where donor specific antibody/</w:t>
            </w:r>
            <w:proofErr w:type="spellStart"/>
            <w:r w:rsidRPr="00A74878">
              <w:rPr>
                <w:rFonts w:asciiTheme="minorHAnsi" w:eastAsia="Times New Roman" w:hAnsiTheme="minorHAnsi" w:cs="Times New Roman"/>
                <w:b/>
                <w:bCs/>
                <w:color w:val="000000"/>
                <w:sz w:val="24"/>
                <w:szCs w:val="24"/>
                <w:lang w:eastAsia="en-AU"/>
              </w:rPr>
              <w:t>ies</w:t>
            </w:r>
            <w:proofErr w:type="spellEnd"/>
            <w:r w:rsidRPr="00A74878">
              <w:rPr>
                <w:rFonts w:asciiTheme="minorHAnsi" w:eastAsia="Times New Roman" w:hAnsiTheme="minorHAnsi" w:cs="Times New Roman"/>
                <w:b/>
                <w:bCs/>
                <w:color w:val="000000"/>
                <w:sz w:val="24"/>
                <w:szCs w:val="24"/>
                <w:lang w:eastAsia="en-AU"/>
              </w:rPr>
              <w:t xml:space="preserve"> prevent transplantation (HLA or anti-blood group)</w:t>
            </w:r>
          </w:p>
          <w:p w14:paraId="4029A0EC" w14:textId="77777777" w:rsidR="00BA00AB" w:rsidRPr="00A74878" w:rsidRDefault="00BA00AB" w:rsidP="0098330C">
            <w:pPr>
              <w:rPr>
                <w:rFonts w:asciiTheme="minorHAnsi" w:hAnsiTheme="minorHAnsi"/>
                <w:b/>
                <w:sz w:val="24"/>
                <w:szCs w:val="24"/>
              </w:rPr>
            </w:pPr>
          </w:p>
          <w:p w14:paraId="180F5388" w14:textId="5812EEEC" w:rsidR="00BA00AB" w:rsidRPr="00471526" w:rsidRDefault="00BA00AB" w:rsidP="00BC4BD7">
            <w:pPr>
              <w:rPr>
                <w:sz w:val="24"/>
                <w:szCs w:val="24"/>
              </w:rPr>
            </w:pPr>
            <w:r w:rsidRPr="00471526">
              <w:rPr>
                <w:sz w:val="24"/>
                <w:szCs w:val="24"/>
              </w:rPr>
              <w:t>ABO incompatible transplant planned and/or HLA antibody / antibodies (</w:t>
            </w:r>
            <w:r w:rsidR="00C7758D">
              <w:rPr>
                <w:sz w:val="24"/>
                <w:szCs w:val="24"/>
              </w:rPr>
              <w:t>minimum</w:t>
            </w:r>
            <w:r w:rsidRPr="00471526">
              <w:rPr>
                <w:sz w:val="24"/>
                <w:szCs w:val="24"/>
              </w:rPr>
              <w:t xml:space="preserve"> of 500 MFI) prevent organ transplantation </w:t>
            </w:r>
          </w:p>
          <w:p w14:paraId="1F043B0F" w14:textId="77777777" w:rsidR="00BA00AB" w:rsidRPr="00471526" w:rsidRDefault="00BA00AB" w:rsidP="0098330C">
            <w:pPr>
              <w:ind w:left="414"/>
              <w:rPr>
                <w:rFonts w:asciiTheme="minorHAnsi" w:eastAsia="Times New Roman" w:hAnsiTheme="minorHAnsi" w:cs="Times New Roman"/>
                <w:color w:val="000000"/>
                <w:sz w:val="24"/>
                <w:szCs w:val="24"/>
                <w:lang w:eastAsia="en-AU"/>
              </w:rPr>
            </w:pPr>
          </w:p>
          <w:p w14:paraId="2BA0646E" w14:textId="77777777" w:rsidR="00BA00AB" w:rsidRPr="00471526" w:rsidRDefault="00BA00AB" w:rsidP="00471526">
            <w:pPr>
              <w:rPr>
                <w:rFonts w:asciiTheme="minorHAnsi" w:hAnsiTheme="minorHAnsi"/>
                <w:sz w:val="24"/>
                <w:szCs w:val="24"/>
              </w:rPr>
            </w:pPr>
          </w:p>
          <w:p w14:paraId="4339AAB3" w14:textId="77777777" w:rsidR="00BA00AB" w:rsidRPr="00471526" w:rsidRDefault="00BA00AB" w:rsidP="0098330C">
            <w:pPr>
              <w:spacing w:before="100" w:beforeAutospacing="1" w:after="150" w:line="276" w:lineRule="auto"/>
              <w:rPr>
                <w:rFonts w:asciiTheme="minorHAnsi" w:eastAsia="Times New Roman" w:hAnsiTheme="minorHAnsi" w:cs="Times New Roman"/>
                <w:b/>
                <w:bCs/>
                <w:color w:val="000000"/>
                <w:sz w:val="24"/>
                <w:szCs w:val="24"/>
                <w:lang w:eastAsia="en-AU"/>
              </w:rPr>
            </w:pPr>
            <w:r w:rsidRPr="00471526">
              <w:rPr>
                <w:rFonts w:asciiTheme="minorHAnsi" w:eastAsia="Times New Roman" w:hAnsiTheme="minorHAnsi" w:cs="Times New Roman"/>
                <w:b/>
                <w:bCs/>
                <w:color w:val="000000"/>
                <w:sz w:val="24"/>
                <w:szCs w:val="24"/>
                <w:lang w:eastAsia="en-AU"/>
              </w:rPr>
              <w:t xml:space="preserve">Post-transplant - active acute anti-body mediated rejection </w:t>
            </w:r>
          </w:p>
          <w:p w14:paraId="16566D98" w14:textId="3F0AB2D5" w:rsidR="00BA00AB" w:rsidRPr="00471526" w:rsidRDefault="00BA00AB" w:rsidP="0098330C">
            <w:pPr>
              <w:rPr>
                <w:rFonts w:asciiTheme="minorHAnsi" w:eastAsia="Times New Roman" w:hAnsiTheme="minorHAnsi" w:cs="Times New Roman"/>
                <w:color w:val="000000"/>
                <w:sz w:val="24"/>
                <w:szCs w:val="24"/>
                <w:lang w:eastAsia="en-AU"/>
              </w:rPr>
            </w:pPr>
          </w:p>
          <w:p w14:paraId="0CB72E86" w14:textId="4917CAC2" w:rsidR="00BA00AB" w:rsidRPr="00471526" w:rsidRDefault="00BA00AB" w:rsidP="00C60CCA">
            <w:pPr>
              <w:rPr>
                <w:sz w:val="24"/>
                <w:szCs w:val="24"/>
              </w:rPr>
            </w:pPr>
            <w:r w:rsidRPr="00471526">
              <w:rPr>
                <w:sz w:val="24"/>
                <w:szCs w:val="24"/>
              </w:rPr>
              <w:t xml:space="preserve">Presence of incompatible ABO blood group donor specific antibody/antibodies and/or donor specific HLA antibody / antibodies (at </w:t>
            </w:r>
            <w:r w:rsidRPr="00471526">
              <w:rPr>
                <w:sz w:val="24"/>
                <w:szCs w:val="24"/>
              </w:rPr>
              <w:lastRenderedPageBreak/>
              <w:t xml:space="preserve">least a </w:t>
            </w:r>
            <w:r w:rsidR="00C7758D">
              <w:rPr>
                <w:sz w:val="24"/>
                <w:szCs w:val="24"/>
              </w:rPr>
              <w:t>minimum</w:t>
            </w:r>
            <w:r w:rsidRPr="00471526">
              <w:rPr>
                <w:sz w:val="24"/>
                <w:szCs w:val="24"/>
              </w:rPr>
              <w:t xml:space="preserve"> of 500 MFI) </w:t>
            </w:r>
          </w:p>
          <w:p w14:paraId="6A807709" w14:textId="77777777" w:rsidR="00BA00AB" w:rsidRPr="00A74878" w:rsidRDefault="00BA00AB" w:rsidP="0098330C">
            <w:pPr>
              <w:rPr>
                <w:rFonts w:asciiTheme="minorHAnsi" w:eastAsia="Times New Roman" w:hAnsiTheme="minorHAnsi" w:cs="Times New Roman"/>
                <w:color w:val="000000"/>
                <w:sz w:val="24"/>
                <w:szCs w:val="24"/>
                <w:lang w:eastAsia="en-AU"/>
              </w:rPr>
            </w:pPr>
          </w:p>
          <w:p w14:paraId="5D63827D" w14:textId="77777777" w:rsidR="00BA00AB" w:rsidRPr="00A74878" w:rsidRDefault="00BA00AB" w:rsidP="0098330C">
            <w:pPr>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 xml:space="preserve">AND </w:t>
            </w:r>
          </w:p>
          <w:p w14:paraId="4D91D6AB" w14:textId="77777777" w:rsidR="00BA00AB" w:rsidRPr="00A74878" w:rsidRDefault="00BA00AB" w:rsidP="0098330C">
            <w:pPr>
              <w:rPr>
                <w:rFonts w:asciiTheme="minorHAnsi" w:eastAsia="Times New Roman" w:hAnsiTheme="minorHAnsi" w:cs="Times New Roman"/>
                <w:color w:val="000000"/>
                <w:sz w:val="24"/>
                <w:szCs w:val="24"/>
                <w:lang w:eastAsia="en-AU"/>
              </w:rPr>
            </w:pPr>
          </w:p>
          <w:p w14:paraId="187B6FD2" w14:textId="77777777" w:rsidR="00471526" w:rsidRDefault="00471526" w:rsidP="0098330C">
            <w:pPr>
              <w:rPr>
                <w:rFonts w:asciiTheme="minorHAnsi" w:eastAsia="Times New Roman" w:hAnsiTheme="minorHAnsi" w:cs="Times New Roman"/>
                <w:color w:val="000000"/>
                <w:sz w:val="24"/>
                <w:szCs w:val="24"/>
                <w:lang w:eastAsia="en-AU"/>
              </w:rPr>
            </w:pPr>
          </w:p>
          <w:p w14:paraId="694D794C" w14:textId="527D87FB" w:rsidR="00BA00AB" w:rsidRDefault="00BA00AB" w:rsidP="0098330C">
            <w:pPr>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 xml:space="preserve">Current clinical and laboratory evidence of graft dysfunction where biopsy </w:t>
            </w:r>
            <w:r w:rsidR="00471526">
              <w:rPr>
                <w:rFonts w:asciiTheme="minorHAnsi" w:eastAsia="Times New Roman" w:hAnsiTheme="minorHAnsi" w:cs="Times New Roman"/>
                <w:color w:val="000000"/>
                <w:sz w:val="24"/>
                <w:szCs w:val="24"/>
                <w:lang w:eastAsia="en-AU"/>
              </w:rPr>
              <w:t xml:space="preserve">is </w:t>
            </w:r>
            <w:r w:rsidRPr="00A74878">
              <w:rPr>
                <w:rFonts w:asciiTheme="minorHAnsi" w:eastAsia="Times New Roman" w:hAnsiTheme="minorHAnsi" w:cs="Times New Roman"/>
                <w:color w:val="000000"/>
                <w:sz w:val="24"/>
                <w:szCs w:val="24"/>
                <w:lang w:eastAsia="en-AU"/>
              </w:rPr>
              <w:t xml:space="preserve">not available </w:t>
            </w:r>
          </w:p>
          <w:p w14:paraId="34D686F8" w14:textId="77777777" w:rsidR="00471526" w:rsidRPr="00A74878" w:rsidRDefault="00471526" w:rsidP="0098330C">
            <w:pPr>
              <w:rPr>
                <w:rFonts w:asciiTheme="minorHAnsi" w:eastAsia="Times New Roman" w:hAnsiTheme="minorHAnsi" w:cs="Times New Roman"/>
                <w:color w:val="000000"/>
                <w:sz w:val="24"/>
                <w:szCs w:val="24"/>
                <w:lang w:eastAsia="en-AU"/>
              </w:rPr>
            </w:pPr>
          </w:p>
          <w:p w14:paraId="5C334BEC" w14:textId="77777777" w:rsidR="00BA00AB" w:rsidRPr="00A74878" w:rsidRDefault="00BA00AB" w:rsidP="0098330C">
            <w:pPr>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 xml:space="preserve">OR </w:t>
            </w:r>
          </w:p>
          <w:p w14:paraId="36F48B7B" w14:textId="21E41069" w:rsidR="00BA00AB" w:rsidRDefault="00BA00AB" w:rsidP="0098330C">
            <w:pPr>
              <w:rPr>
                <w:rFonts w:asciiTheme="minorHAnsi" w:eastAsia="Times New Roman" w:hAnsiTheme="minorHAnsi" w:cs="Times New Roman"/>
                <w:color w:val="000000"/>
                <w:sz w:val="24"/>
                <w:szCs w:val="24"/>
                <w:vertAlign w:val="superscript"/>
                <w:lang w:eastAsia="en-AU"/>
              </w:rPr>
            </w:pPr>
            <w:r w:rsidRPr="00A74878">
              <w:rPr>
                <w:rFonts w:asciiTheme="minorHAnsi" w:eastAsia="Times New Roman" w:hAnsiTheme="minorHAnsi" w:cs="Times New Roman"/>
                <w:color w:val="000000"/>
                <w:sz w:val="24"/>
                <w:szCs w:val="24"/>
                <w:lang w:eastAsia="en-AU"/>
              </w:rPr>
              <w:t>Organ biopsy demonstrates antibody mediated rejec</w:t>
            </w:r>
            <w:r w:rsidR="00471526">
              <w:rPr>
                <w:rFonts w:asciiTheme="minorHAnsi" w:eastAsia="Times New Roman" w:hAnsiTheme="minorHAnsi" w:cs="Times New Roman"/>
                <w:color w:val="000000"/>
                <w:sz w:val="24"/>
                <w:szCs w:val="24"/>
                <w:lang w:eastAsia="en-AU"/>
              </w:rPr>
              <w:t>tion according to Banff</w:t>
            </w:r>
            <w:r w:rsidRPr="00A74878">
              <w:rPr>
                <w:rFonts w:asciiTheme="minorHAnsi" w:eastAsia="Times New Roman" w:hAnsiTheme="minorHAnsi" w:cs="Times New Roman"/>
                <w:color w:val="000000"/>
                <w:sz w:val="24"/>
                <w:szCs w:val="24"/>
                <w:lang w:eastAsia="en-AU"/>
              </w:rPr>
              <w:t xml:space="preserve"> criteria</w:t>
            </w:r>
            <w:r w:rsidRPr="00C60CCA">
              <w:rPr>
                <w:rFonts w:asciiTheme="minorHAnsi" w:eastAsia="Times New Roman" w:hAnsiTheme="minorHAnsi" w:cs="Times New Roman"/>
                <w:color w:val="000000"/>
                <w:sz w:val="24"/>
                <w:szCs w:val="24"/>
                <w:vertAlign w:val="superscript"/>
                <w:lang w:eastAsia="en-AU"/>
              </w:rPr>
              <w:t>1</w:t>
            </w:r>
          </w:p>
          <w:p w14:paraId="2504A951" w14:textId="77777777" w:rsidR="00471526" w:rsidRPr="00A74878" w:rsidRDefault="00471526" w:rsidP="0098330C">
            <w:pPr>
              <w:rPr>
                <w:rFonts w:asciiTheme="minorHAnsi" w:eastAsia="Times New Roman" w:hAnsiTheme="minorHAnsi" w:cs="Times New Roman"/>
                <w:color w:val="000000"/>
                <w:sz w:val="24"/>
                <w:szCs w:val="24"/>
                <w:lang w:eastAsia="en-AU"/>
              </w:rPr>
            </w:pPr>
          </w:p>
          <w:p w14:paraId="5E97B2FE" w14:textId="77777777" w:rsidR="00BA00AB" w:rsidRDefault="00BA00AB" w:rsidP="0098330C">
            <w:pPr>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OR</w:t>
            </w:r>
          </w:p>
          <w:p w14:paraId="7CBA94C9" w14:textId="3EE05E5E" w:rsidR="00BA00AB" w:rsidRPr="00A74878" w:rsidRDefault="00BA00AB" w:rsidP="0098330C">
            <w:pPr>
              <w:rPr>
                <w:rFonts w:asciiTheme="minorHAnsi" w:eastAsia="Times New Roman" w:hAnsiTheme="minorHAnsi" w:cs="Times New Roman"/>
                <w:color w:val="000000"/>
                <w:sz w:val="24"/>
                <w:szCs w:val="24"/>
                <w:lang w:eastAsia="en-AU"/>
              </w:rPr>
            </w:pPr>
          </w:p>
          <w:p w14:paraId="1CEACD0C" w14:textId="4091231A" w:rsidR="00BA00AB" w:rsidRPr="00A74878" w:rsidRDefault="00BA00AB" w:rsidP="0098330C">
            <w:pPr>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 xml:space="preserve">There is a high clinical suspicion that it is antibody mediated rejection </w:t>
            </w:r>
            <w:r>
              <w:rPr>
                <w:rFonts w:asciiTheme="minorHAnsi" w:eastAsia="Times New Roman" w:hAnsiTheme="minorHAnsi" w:cs="Times New Roman"/>
                <w:color w:val="000000"/>
                <w:sz w:val="24"/>
                <w:szCs w:val="24"/>
                <w:lang w:eastAsia="en-AU"/>
              </w:rPr>
              <w:t xml:space="preserve">and evidence </w:t>
            </w:r>
            <w:r w:rsidR="00471526">
              <w:rPr>
                <w:rFonts w:asciiTheme="minorHAnsi" w:eastAsia="Times New Roman" w:hAnsiTheme="minorHAnsi" w:cs="Times New Roman"/>
                <w:color w:val="000000"/>
                <w:sz w:val="24"/>
                <w:szCs w:val="24"/>
                <w:lang w:eastAsia="en-AU"/>
              </w:rPr>
              <w:t xml:space="preserve">is </w:t>
            </w:r>
            <w:r>
              <w:rPr>
                <w:rFonts w:asciiTheme="minorHAnsi" w:eastAsia="Times New Roman" w:hAnsiTheme="minorHAnsi" w:cs="Times New Roman"/>
                <w:color w:val="000000"/>
                <w:sz w:val="24"/>
                <w:szCs w:val="24"/>
                <w:lang w:eastAsia="en-AU"/>
              </w:rPr>
              <w:t>not yet available (one-off request in early period of acute rejection).</w:t>
            </w:r>
          </w:p>
          <w:p w14:paraId="76C8F9BB" w14:textId="77777777" w:rsidR="00BA00AB" w:rsidRPr="00A74878" w:rsidRDefault="00BA00AB" w:rsidP="0098330C">
            <w:pPr>
              <w:rPr>
                <w:rFonts w:asciiTheme="minorHAnsi" w:eastAsia="Times New Roman" w:hAnsiTheme="minorHAnsi" w:cs="Times New Roman"/>
                <w:color w:val="000000"/>
                <w:sz w:val="24"/>
                <w:szCs w:val="24"/>
                <w:lang w:eastAsia="en-AU"/>
              </w:rPr>
            </w:pPr>
          </w:p>
          <w:p w14:paraId="172179DD" w14:textId="77777777" w:rsidR="00BA00AB" w:rsidRPr="00A74878" w:rsidRDefault="00BA00AB" w:rsidP="0098330C">
            <w:pPr>
              <w:rPr>
                <w:rFonts w:asciiTheme="minorHAnsi" w:eastAsia="Times New Roman" w:hAnsiTheme="minorHAnsi" w:cs="Times New Roman"/>
                <w:color w:val="000000"/>
                <w:sz w:val="24"/>
                <w:szCs w:val="24"/>
                <w:lang w:eastAsia="en-AU"/>
              </w:rPr>
            </w:pPr>
          </w:p>
          <w:p w14:paraId="7A4CE1BB" w14:textId="3ED743B4" w:rsidR="00BA00AB" w:rsidRDefault="00BA00AB" w:rsidP="0098330C">
            <w:pPr>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 xml:space="preserve">For </w:t>
            </w:r>
            <w:r>
              <w:rPr>
                <w:rFonts w:asciiTheme="minorHAnsi" w:eastAsia="Times New Roman" w:hAnsiTheme="minorHAnsi" w:cs="Times New Roman"/>
                <w:color w:val="000000"/>
                <w:sz w:val="24"/>
                <w:szCs w:val="24"/>
                <w:lang w:eastAsia="en-AU"/>
              </w:rPr>
              <w:t>2</w:t>
            </w:r>
            <w:r w:rsidRPr="009C4E37">
              <w:rPr>
                <w:rFonts w:asciiTheme="minorHAnsi" w:eastAsia="Times New Roman" w:hAnsiTheme="minorHAnsi" w:cs="Times New Roman"/>
                <w:color w:val="000000"/>
                <w:sz w:val="24"/>
                <w:szCs w:val="24"/>
                <w:vertAlign w:val="superscript"/>
                <w:lang w:eastAsia="en-AU"/>
              </w:rPr>
              <w:t>nd</w:t>
            </w:r>
            <w:r>
              <w:rPr>
                <w:rFonts w:asciiTheme="minorHAnsi" w:eastAsia="Times New Roman" w:hAnsiTheme="minorHAnsi" w:cs="Times New Roman"/>
                <w:color w:val="000000"/>
                <w:sz w:val="24"/>
                <w:szCs w:val="24"/>
                <w:lang w:eastAsia="en-AU"/>
              </w:rPr>
              <w:t xml:space="preserve"> dose</w:t>
            </w:r>
            <w:r w:rsidRPr="00A74878">
              <w:rPr>
                <w:rFonts w:asciiTheme="minorHAnsi" w:eastAsia="Times New Roman" w:hAnsiTheme="minorHAnsi" w:cs="Times New Roman"/>
                <w:color w:val="000000"/>
                <w:sz w:val="24"/>
                <w:szCs w:val="24"/>
                <w:lang w:eastAsia="en-AU"/>
              </w:rPr>
              <w:t xml:space="preserve">, </w:t>
            </w:r>
            <w:r w:rsidRPr="00471526">
              <w:rPr>
                <w:rFonts w:asciiTheme="minorHAnsi" w:eastAsia="Times New Roman" w:hAnsiTheme="minorHAnsi" w:cs="Times New Roman"/>
                <w:color w:val="000000"/>
                <w:sz w:val="24"/>
                <w:szCs w:val="24"/>
                <w:lang w:eastAsia="en-AU"/>
              </w:rPr>
              <w:t xml:space="preserve">DSA must be proven and biopsy must be abnormal but may not yet </w:t>
            </w:r>
            <w:r w:rsidR="00471526">
              <w:rPr>
                <w:rFonts w:asciiTheme="minorHAnsi" w:eastAsia="Times New Roman" w:hAnsiTheme="minorHAnsi" w:cs="Times New Roman"/>
                <w:color w:val="000000"/>
                <w:sz w:val="24"/>
                <w:szCs w:val="24"/>
                <w:lang w:eastAsia="en-AU"/>
              </w:rPr>
              <w:t xml:space="preserve">meet all of the Banff </w:t>
            </w:r>
            <w:r w:rsidR="00471526">
              <w:rPr>
                <w:rFonts w:asciiTheme="minorHAnsi" w:eastAsia="Times New Roman" w:hAnsiTheme="minorHAnsi" w:cs="Times New Roman"/>
                <w:color w:val="000000"/>
                <w:sz w:val="24"/>
                <w:szCs w:val="24"/>
                <w:vertAlign w:val="superscript"/>
                <w:lang w:eastAsia="en-AU"/>
              </w:rPr>
              <w:t xml:space="preserve">1 </w:t>
            </w:r>
            <w:r w:rsidRPr="00471526">
              <w:rPr>
                <w:rFonts w:asciiTheme="minorHAnsi" w:eastAsia="Times New Roman" w:hAnsiTheme="minorHAnsi" w:cs="Times New Roman"/>
                <w:color w:val="000000"/>
                <w:sz w:val="24"/>
                <w:szCs w:val="24"/>
                <w:lang w:eastAsia="en-AU"/>
              </w:rPr>
              <w:t>diagnostic</w:t>
            </w:r>
            <w:r w:rsidR="00471526">
              <w:rPr>
                <w:rFonts w:asciiTheme="minorHAnsi" w:eastAsia="Times New Roman" w:hAnsiTheme="minorHAnsi" w:cs="Times New Roman"/>
                <w:color w:val="000000"/>
                <w:sz w:val="24"/>
                <w:szCs w:val="24"/>
                <w:lang w:eastAsia="en-AU"/>
              </w:rPr>
              <w:t xml:space="preserve"> criteria</w:t>
            </w:r>
            <w:r w:rsidRPr="00471526">
              <w:rPr>
                <w:rFonts w:asciiTheme="minorHAnsi" w:eastAsia="Times New Roman" w:hAnsiTheme="minorHAnsi" w:cs="Times New Roman"/>
                <w:color w:val="000000"/>
                <w:sz w:val="24"/>
                <w:szCs w:val="24"/>
                <w:lang w:eastAsia="en-AU"/>
              </w:rPr>
              <w:t>.</w:t>
            </w:r>
            <w:r>
              <w:rPr>
                <w:rFonts w:asciiTheme="minorHAnsi" w:eastAsia="Times New Roman" w:hAnsiTheme="minorHAnsi" w:cs="Times New Roman"/>
                <w:color w:val="000000"/>
                <w:sz w:val="24"/>
                <w:szCs w:val="24"/>
                <w:lang w:eastAsia="en-AU"/>
              </w:rPr>
              <w:t xml:space="preserve"> For subsequent doses, </w:t>
            </w:r>
            <w:proofErr w:type="gramStart"/>
            <w:r w:rsidRPr="00A74878">
              <w:rPr>
                <w:rFonts w:asciiTheme="minorHAnsi" w:eastAsia="Times New Roman" w:hAnsiTheme="minorHAnsi" w:cs="Times New Roman"/>
                <w:color w:val="000000"/>
                <w:sz w:val="24"/>
                <w:szCs w:val="24"/>
                <w:lang w:eastAsia="en-AU"/>
              </w:rPr>
              <w:t>Banff</w:t>
            </w:r>
            <w:r w:rsidR="00471526">
              <w:rPr>
                <w:rFonts w:asciiTheme="minorHAnsi" w:eastAsia="Times New Roman" w:hAnsiTheme="minorHAnsi" w:cs="Times New Roman"/>
                <w:color w:val="000000"/>
                <w:sz w:val="24"/>
                <w:szCs w:val="24"/>
                <w:vertAlign w:val="superscript"/>
                <w:lang w:eastAsia="en-AU"/>
              </w:rPr>
              <w:t xml:space="preserve">1 </w:t>
            </w:r>
            <w:r w:rsidRPr="00A74878">
              <w:rPr>
                <w:rFonts w:asciiTheme="minorHAnsi" w:eastAsia="Times New Roman" w:hAnsiTheme="minorHAnsi" w:cs="Times New Roman"/>
                <w:color w:val="000000"/>
                <w:sz w:val="24"/>
                <w:szCs w:val="24"/>
                <w:lang w:eastAsia="en-AU"/>
              </w:rPr>
              <w:t xml:space="preserve"> criteria</w:t>
            </w:r>
            <w:proofErr w:type="gramEnd"/>
            <w:r w:rsidRPr="00A74878">
              <w:rPr>
                <w:rFonts w:asciiTheme="minorHAnsi" w:eastAsia="Times New Roman" w:hAnsiTheme="minorHAnsi" w:cs="Times New Roman"/>
                <w:color w:val="000000"/>
                <w:sz w:val="24"/>
                <w:szCs w:val="24"/>
                <w:lang w:eastAsia="en-AU"/>
              </w:rPr>
              <w:t xml:space="preserve"> on biopsy must be met. </w:t>
            </w:r>
          </w:p>
          <w:p w14:paraId="34B346D3" w14:textId="77777777" w:rsidR="00471526" w:rsidRPr="00A74878" w:rsidRDefault="00471526" w:rsidP="0098330C">
            <w:pPr>
              <w:rPr>
                <w:rFonts w:asciiTheme="minorHAnsi" w:eastAsia="Times New Roman" w:hAnsiTheme="minorHAnsi" w:cs="Times New Roman"/>
                <w:color w:val="000000"/>
                <w:sz w:val="24"/>
                <w:szCs w:val="24"/>
                <w:lang w:eastAsia="en-AU"/>
              </w:rPr>
            </w:pPr>
          </w:p>
          <w:p w14:paraId="727CC9F4" w14:textId="77777777" w:rsidR="00BA00AB" w:rsidRPr="00A74878" w:rsidRDefault="00BA00AB" w:rsidP="0098330C">
            <w:pPr>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1</w:t>
            </w:r>
            <w:r>
              <w:rPr>
                <w:rFonts w:asciiTheme="minorHAnsi" w:eastAsia="Times New Roman" w:hAnsiTheme="minorHAnsi" w:cs="Times New Roman"/>
                <w:color w:val="000000"/>
                <w:sz w:val="24"/>
                <w:szCs w:val="24"/>
                <w:lang w:eastAsia="en-AU"/>
              </w:rPr>
              <w:t xml:space="preserve">. </w:t>
            </w:r>
            <w:r w:rsidRPr="00471526">
              <w:rPr>
                <w:rFonts w:asciiTheme="minorHAnsi" w:eastAsia="Times New Roman" w:hAnsiTheme="minorHAnsi" w:cs="Times New Roman"/>
                <w:i/>
                <w:color w:val="000000"/>
                <w:sz w:val="24"/>
                <w:szCs w:val="24"/>
                <w:lang w:eastAsia="en-AU"/>
              </w:rPr>
              <w:t xml:space="preserve">Banff 2013 Meeting Report American Journal of Transplantation </w:t>
            </w:r>
            <w:proofErr w:type="gramStart"/>
            <w:r w:rsidRPr="00471526">
              <w:rPr>
                <w:rFonts w:asciiTheme="minorHAnsi" w:eastAsia="Times New Roman" w:hAnsiTheme="minorHAnsi" w:cs="Times New Roman"/>
                <w:i/>
                <w:color w:val="000000"/>
                <w:sz w:val="24"/>
                <w:szCs w:val="24"/>
                <w:lang w:eastAsia="en-AU"/>
              </w:rPr>
              <w:t>2014 :</w:t>
            </w:r>
            <w:proofErr w:type="gramEnd"/>
            <w:r w:rsidRPr="00471526">
              <w:rPr>
                <w:rFonts w:asciiTheme="minorHAnsi" w:eastAsia="Times New Roman" w:hAnsiTheme="minorHAnsi" w:cs="Times New Roman"/>
                <w:i/>
                <w:color w:val="000000"/>
                <w:sz w:val="24"/>
                <w:szCs w:val="24"/>
                <w:lang w:eastAsia="en-AU"/>
              </w:rPr>
              <w:t>14;272-283 page 277</w:t>
            </w:r>
            <w:r>
              <w:rPr>
                <w:rFonts w:asciiTheme="minorHAnsi" w:eastAsia="Times New Roman" w:hAnsiTheme="minorHAnsi" w:cs="Times New Roman"/>
                <w:color w:val="000000"/>
                <w:sz w:val="24"/>
                <w:szCs w:val="24"/>
                <w:lang w:eastAsia="en-AU"/>
              </w:rPr>
              <w:t xml:space="preserve">. </w:t>
            </w:r>
          </w:p>
          <w:p w14:paraId="385C7BC5" w14:textId="77777777" w:rsidR="00BA00AB" w:rsidRPr="00A74878" w:rsidRDefault="00BA00AB" w:rsidP="0098330C">
            <w:pPr>
              <w:rPr>
                <w:rFonts w:asciiTheme="minorHAnsi" w:hAnsiTheme="minorHAnsi"/>
                <w:sz w:val="24"/>
                <w:szCs w:val="24"/>
              </w:rPr>
            </w:pPr>
          </w:p>
          <w:p w14:paraId="4F04FE38" w14:textId="77777777" w:rsidR="00BA00AB" w:rsidRPr="00A74878" w:rsidRDefault="00BA00AB" w:rsidP="0098330C">
            <w:pPr>
              <w:rPr>
                <w:rFonts w:asciiTheme="minorHAnsi" w:hAnsiTheme="minorHAnsi"/>
                <w:b/>
                <w:sz w:val="24"/>
                <w:szCs w:val="24"/>
              </w:rPr>
            </w:pPr>
          </w:p>
          <w:p w14:paraId="0D999964" w14:textId="77777777" w:rsidR="00BA00AB" w:rsidRPr="00A74878" w:rsidRDefault="00BA00AB" w:rsidP="0098330C">
            <w:pPr>
              <w:rPr>
                <w:rFonts w:asciiTheme="minorHAnsi" w:eastAsia="Times New Roman" w:hAnsiTheme="minorHAnsi" w:cs="Times New Roman"/>
                <w:b/>
                <w:bCs/>
                <w:color w:val="000000"/>
                <w:sz w:val="24"/>
                <w:szCs w:val="24"/>
                <w:lang w:eastAsia="en-AU"/>
              </w:rPr>
            </w:pPr>
            <w:r w:rsidRPr="00A74878">
              <w:rPr>
                <w:rFonts w:asciiTheme="minorHAnsi" w:eastAsia="Times New Roman" w:hAnsiTheme="minorHAnsi" w:cs="Times New Roman"/>
                <w:b/>
                <w:bCs/>
                <w:color w:val="000000"/>
                <w:sz w:val="24"/>
                <w:szCs w:val="24"/>
                <w:lang w:eastAsia="en-AU"/>
              </w:rPr>
              <w:t>Treatment or prevention of graft rejection where conventional immunosuppressive therapies is contraindicated or pose a threat to the graft or patient</w:t>
            </w:r>
          </w:p>
          <w:p w14:paraId="589E4C25" w14:textId="77777777" w:rsidR="00BA00AB" w:rsidRPr="00A74878" w:rsidRDefault="00BA00AB" w:rsidP="0098330C">
            <w:pPr>
              <w:rPr>
                <w:rFonts w:asciiTheme="minorHAnsi" w:eastAsia="Times New Roman" w:hAnsiTheme="minorHAnsi" w:cs="Times New Roman"/>
                <w:b/>
                <w:bCs/>
                <w:color w:val="000000"/>
                <w:sz w:val="24"/>
                <w:szCs w:val="24"/>
                <w:lang w:eastAsia="en-AU"/>
              </w:rPr>
            </w:pPr>
          </w:p>
          <w:p w14:paraId="4BDC17D5" w14:textId="77777777" w:rsidR="00BA00AB" w:rsidRPr="00A74878" w:rsidRDefault="00BA00AB" w:rsidP="0098330C">
            <w:pPr>
              <w:rPr>
                <w:rFonts w:asciiTheme="minorHAnsi" w:hAnsiTheme="minorHAnsi"/>
                <w:sz w:val="24"/>
                <w:szCs w:val="24"/>
              </w:rPr>
            </w:pPr>
          </w:p>
          <w:p w14:paraId="558B31E6" w14:textId="77777777" w:rsidR="00BA00AB" w:rsidRPr="00A74878" w:rsidRDefault="00BA00AB" w:rsidP="0098330C">
            <w:pPr>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Conventional immunosuppressive therapy is contraindicated</w:t>
            </w:r>
            <w:r>
              <w:rPr>
                <w:rFonts w:asciiTheme="minorHAnsi" w:eastAsia="Times New Roman" w:hAnsiTheme="minorHAnsi" w:cs="Times New Roman"/>
                <w:color w:val="000000"/>
                <w:sz w:val="24"/>
                <w:szCs w:val="24"/>
                <w:lang w:eastAsia="en-AU"/>
              </w:rPr>
              <w:t xml:space="preserve"> and reason is provided. </w:t>
            </w:r>
          </w:p>
          <w:p w14:paraId="5806377E" w14:textId="77777777" w:rsidR="00BA00AB" w:rsidRPr="00A74878" w:rsidRDefault="00BA00AB" w:rsidP="0098330C">
            <w:pPr>
              <w:pStyle w:val="ListParagraph"/>
              <w:ind w:left="360"/>
              <w:rPr>
                <w:rFonts w:asciiTheme="minorHAnsi" w:hAnsiTheme="minorHAnsi"/>
                <w:sz w:val="24"/>
                <w:szCs w:val="24"/>
              </w:rPr>
            </w:pPr>
          </w:p>
        </w:tc>
        <w:tc>
          <w:tcPr>
            <w:tcW w:w="4110" w:type="dxa"/>
          </w:tcPr>
          <w:p w14:paraId="018BCF0B" w14:textId="77777777" w:rsidR="00BA00AB" w:rsidRPr="006C2C81" w:rsidRDefault="00BA00AB" w:rsidP="00CE379E">
            <w:pPr>
              <w:tabs>
                <w:tab w:val="left" w:pos="283"/>
              </w:tabs>
              <w:ind w:left="-77"/>
              <w:rPr>
                <w:rFonts w:asciiTheme="minorHAnsi" w:hAnsiTheme="minorHAnsi"/>
                <w:sz w:val="24"/>
                <w:szCs w:val="24"/>
              </w:rPr>
            </w:pPr>
            <w:r w:rsidRPr="006C2C81">
              <w:rPr>
                <w:rFonts w:asciiTheme="minorHAnsi" w:hAnsiTheme="minorHAnsi"/>
                <w:sz w:val="24"/>
                <w:szCs w:val="24"/>
              </w:rPr>
              <w:lastRenderedPageBreak/>
              <w:t>Eligibility criteria are more clearly defined and will greatly improve availability of data for future analysis (A)</w:t>
            </w:r>
          </w:p>
          <w:p w14:paraId="6B928C8B" w14:textId="77777777" w:rsidR="00BA00AB" w:rsidRDefault="00BA00AB" w:rsidP="0098330C">
            <w:pPr>
              <w:rPr>
                <w:rFonts w:asciiTheme="minorHAnsi" w:hAnsiTheme="minorHAnsi"/>
                <w:sz w:val="24"/>
                <w:szCs w:val="24"/>
              </w:rPr>
            </w:pPr>
          </w:p>
          <w:p w14:paraId="7026AF80" w14:textId="77777777" w:rsidR="00BA00AB" w:rsidRDefault="00BA00AB" w:rsidP="0098330C">
            <w:pPr>
              <w:rPr>
                <w:rFonts w:asciiTheme="minorHAnsi" w:hAnsiTheme="minorHAnsi"/>
                <w:sz w:val="24"/>
                <w:szCs w:val="24"/>
              </w:rPr>
            </w:pPr>
          </w:p>
          <w:p w14:paraId="1727A263" w14:textId="3212F2C1" w:rsidR="00BA00AB" w:rsidRDefault="00BA00AB" w:rsidP="0098330C">
            <w:pPr>
              <w:rPr>
                <w:rFonts w:asciiTheme="minorHAnsi" w:hAnsiTheme="minorHAnsi"/>
                <w:sz w:val="24"/>
                <w:szCs w:val="24"/>
              </w:rPr>
            </w:pPr>
            <w:r>
              <w:rPr>
                <w:rFonts w:asciiTheme="minorHAnsi" w:hAnsiTheme="minorHAnsi"/>
                <w:sz w:val="24"/>
                <w:szCs w:val="24"/>
              </w:rPr>
              <w:t xml:space="preserve">The relevant strength of HLA donor specific </w:t>
            </w:r>
            <w:proofErr w:type="gramStart"/>
            <w:r>
              <w:rPr>
                <w:rFonts w:asciiTheme="minorHAnsi" w:hAnsiTheme="minorHAnsi"/>
                <w:sz w:val="24"/>
                <w:szCs w:val="24"/>
              </w:rPr>
              <w:t>antibody(</w:t>
            </w:r>
            <w:proofErr w:type="spellStart"/>
            <w:proofErr w:type="gramEnd"/>
            <w:r w:rsidR="00A019E6">
              <w:rPr>
                <w:rFonts w:asciiTheme="minorHAnsi" w:hAnsiTheme="minorHAnsi"/>
                <w:sz w:val="24"/>
                <w:szCs w:val="24"/>
              </w:rPr>
              <w:t>ies</w:t>
            </w:r>
            <w:proofErr w:type="spellEnd"/>
            <w:r>
              <w:rPr>
                <w:rFonts w:asciiTheme="minorHAnsi" w:hAnsiTheme="minorHAnsi"/>
                <w:sz w:val="24"/>
                <w:szCs w:val="24"/>
              </w:rPr>
              <w:t xml:space="preserve">) has been under significant discussion within the SWG. Given the lack of strong evidence to support a definitive level, the qualifying value has been set </w:t>
            </w:r>
            <w:r w:rsidR="00471526">
              <w:rPr>
                <w:rFonts w:asciiTheme="minorHAnsi" w:hAnsiTheme="minorHAnsi"/>
                <w:sz w:val="24"/>
                <w:szCs w:val="24"/>
              </w:rPr>
              <w:t xml:space="preserve">at 500MFI </w:t>
            </w:r>
            <w:r>
              <w:rPr>
                <w:rFonts w:asciiTheme="minorHAnsi" w:hAnsiTheme="minorHAnsi"/>
                <w:sz w:val="24"/>
                <w:szCs w:val="24"/>
              </w:rPr>
              <w:t>and will be reviewed after 6-12 months of data collection and analysis.</w:t>
            </w:r>
          </w:p>
          <w:p w14:paraId="668D5E32" w14:textId="77777777" w:rsidR="00BA00AB" w:rsidRDefault="00BA00AB" w:rsidP="0098330C">
            <w:pPr>
              <w:rPr>
                <w:rFonts w:asciiTheme="minorHAnsi" w:hAnsiTheme="minorHAnsi"/>
                <w:sz w:val="24"/>
                <w:szCs w:val="24"/>
              </w:rPr>
            </w:pPr>
          </w:p>
          <w:p w14:paraId="586380C6" w14:textId="77777777" w:rsidR="00BA00AB" w:rsidRDefault="00BA00AB" w:rsidP="0098330C">
            <w:pPr>
              <w:rPr>
                <w:rFonts w:asciiTheme="minorHAnsi" w:hAnsiTheme="minorHAnsi"/>
                <w:sz w:val="24"/>
                <w:szCs w:val="24"/>
              </w:rPr>
            </w:pPr>
          </w:p>
          <w:p w14:paraId="7C50193F" w14:textId="77777777" w:rsidR="00BA00AB" w:rsidRDefault="00BA00AB" w:rsidP="0098330C">
            <w:pPr>
              <w:rPr>
                <w:rFonts w:asciiTheme="minorHAnsi" w:hAnsiTheme="minorHAnsi"/>
                <w:sz w:val="24"/>
                <w:szCs w:val="24"/>
              </w:rPr>
            </w:pPr>
          </w:p>
          <w:p w14:paraId="313D4F31" w14:textId="77777777" w:rsidR="006C116A" w:rsidRPr="006C116A" w:rsidRDefault="006C116A" w:rsidP="006C116A">
            <w:pPr>
              <w:rPr>
                <w:rFonts w:asciiTheme="minorHAnsi" w:hAnsiTheme="minorHAnsi"/>
              </w:rPr>
            </w:pPr>
            <w:r w:rsidRPr="006C116A">
              <w:rPr>
                <w:rFonts w:asciiTheme="minorHAnsi" w:hAnsiTheme="minorHAnsi"/>
              </w:rPr>
              <w:t xml:space="preserve">The </w:t>
            </w:r>
            <w:proofErr w:type="gramStart"/>
            <w:r w:rsidRPr="006C116A">
              <w:rPr>
                <w:rFonts w:asciiTheme="minorHAnsi" w:hAnsiTheme="minorHAnsi"/>
              </w:rPr>
              <w:t>presence of ABO or HLA antibodies and biopsy evidence (where relevant) have</w:t>
            </w:r>
            <w:proofErr w:type="gramEnd"/>
            <w:r w:rsidRPr="006C116A">
              <w:rPr>
                <w:rFonts w:asciiTheme="minorHAnsi" w:hAnsiTheme="minorHAnsi"/>
              </w:rPr>
              <w:t xml:space="preserve"> been included. Data will become available </w:t>
            </w:r>
            <w:r w:rsidRPr="006C116A">
              <w:rPr>
                <w:rFonts w:asciiTheme="minorHAnsi" w:hAnsiTheme="minorHAnsi"/>
              </w:rPr>
              <w:lastRenderedPageBreak/>
              <w:t xml:space="preserve">regarding triggers for </w:t>
            </w:r>
            <w:proofErr w:type="spellStart"/>
            <w:r w:rsidRPr="006C116A">
              <w:rPr>
                <w:rFonts w:asciiTheme="minorHAnsi" w:hAnsiTheme="minorHAnsi"/>
              </w:rPr>
              <w:t>Ig</w:t>
            </w:r>
            <w:proofErr w:type="spellEnd"/>
            <w:r w:rsidRPr="006C116A">
              <w:rPr>
                <w:rFonts w:asciiTheme="minorHAnsi" w:hAnsiTheme="minorHAnsi"/>
              </w:rPr>
              <w:t xml:space="preserve"> use.</w:t>
            </w:r>
          </w:p>
          <w:p w14:paraId="1F2574E9" w14:textId="77777777" w:rsidR="00BA00AB" w:rsidRDefault="00BA00AB" w:rsidP="0098330C">
            <w:pPr>
              <w:rPr>
                <w:rFonts w:asciiTheme="minorHAnsi" w:hAnsiTheme="minorHAnsi"/>
                <w:sz w:val="24"/>
                <w:szCs w:val="24"/>
              </w:rPr>
            </w:pPr>
          </w:p>
          <w:p w14:paraId="7B02D73F" w14:textId="77777777" w:rsidR="00BA00AB" w:rsidRDefault="00BA00AB" w:rsidP="0098330C">
            <w:pPr>
              <w:rPr>
                <w:rFonts w:asciiTheme="minorHAnsi" w:hAnsiTheme="minorHAnsi"/>
                <w:sz w:val="24"/>
                <w:szCs w:val="24"/>
              </w:rPr>
            </w:pPr>
          </w:p>
          <w:p w14:paraId="37088C77" w14:textId="77777777" w:rsidR="00BA00AB" w:rsidRDefault="00BA00AB" w:rsidP="0098330C">
            <w:pPr>
              <w:rPr>
                <w:rFonts w:asciiTheme="minorHAnsi" w:hAnsiTheme="minorHAnsi"/>
                <w:sz w:val="24"/>
                <w:szCs w:val="24"/>
              </w:rPr>
            </w:pPr>
          </w:p>
          <w:p w14:paraId="5E017F61" w14:textId="77777777" w:rsidR="00BA00AB" w:rsidRDefault="00BA00AB" w:rsidP="0098330C">
            <w:pPr>
              <w:rPr>
                <w:rFonts w:asciiTheme="minorHAnsi" w:hAnsiTheme="minorHAnsi"/>
                <w:sz w:val="24"/>
                <w:szCs w:val="24"/>
              </w:rPr>
            </w:pPr>
          </w:p>
          <w:p w14:paraId="7A809762" w14:textId="77777777" w:rsidR="00BA00AB" w:rsidRDefault="00BA00AB" w:rsidP="0098330C">
            <w:pPr>
              <w:rPr>
                <w:rFonts w:asciiTheme="minorHAnsi" w:hAnsiTheme="minorHAnsi"/>
                <w:sz w:val="24"/>
                <w:szCs w:val="24"/>
              </w:rPr>
            </w:pPr>
          </w:p>
          <w:p w14:paraId="323C8110" w14:textId="77777777" w:rsidR="00BA00AB" w:rsidRDefault="00BA00AB" w:rsidP="0098330C">
            <w:pPr>
              <w:rPr>
                <w:rFonts w:asciiTheme="minorHAnsi" w:hAnsiTheme="minorHAnsi"/>
                <w:sz w:val="24"/>
                <w:szCs w:val="24"/>
              </w:rPr>
            </w:pPr>
          </w:p>
          <w:p w14:paraId="56302365" w14:textId="77777777" w:rsidR="00BA00AB" w:rsidRDefault="00BA00AB" w:rsidP="0098330C">
            <w:pPr>
              <w:rPr>
                <w:rFonts w:asciiTheme="minorHAnsi" w:hAnsiTheme="minorHAnsi"/>
                <w:sz w:val="24"/>
                <w:szCs w:val="24"/>
              </w:rPr>
            </w:pPr>
          </w:p>
          <w:p w14:paraId="0FCAB8B4" w14:textId="77777777" w:rsidR="00BA00AB" w:rsidRDefault="00BA00AB" w:rsidP="0098330C">
            <w:pPr>
              <w:rPr>
                <w:rFonts w:asciiTheme="minorHAnsi" w:hAnsiTheme="minorHAnsi"/>
                <w:sz w:val="24"/>
                <w:szCs w:val="24"/>
              </w:rPr>
            </w:pPr>
          </w:p>
          <w:p w14:paraId="6F1C9127" w14:textId="77777777" w:rsidR="00BA00AB" w:rsidRPr="00D201D7" w:rsidRDefault="00BA00AB" w:rsidP="00CE379E">
            <w:pPr>
              <w:tabs>
                <w:tab w:val="left" w:pos="283"/>
              </w:tabs>
              <w:ind w:left="-77"/>
              <w:rPr>
                <w:rFonts w:asciiTheme="minorHAnsi" w:hAnsiTheme="minorHAnsi"/>
                <w:sz w:val="24"/>
                <w:szCs w:val="24"/>
              </w:rPr>
            </w:pPr>
            <w:r w:rsidRPr="00D201D7">
              <w:rPr>
                <w:rFonts w:asciiTheme="minorHAnsi" w:hAnsiTheme="minorHAnsi"/>
                <w:sz w:val="24"/>
                <w:szCs w:val="24"/>
              </w:rPr>
              <w:t>Eligibility criteria have been revised to clearly differentiate between different patient groups that exist within indications (A)</w:t>
            </w:r>
          </w:p>
          <w:p w14:paraId="35F9751D" w14:textId="77777777" w:rsidR="00BA00AB" w:rsidRDefault="00BA00AB" w:rsidP="0098330C">
            <w:pPr>
              <w:rPr>
                <w:rFonts w:asciiTheme="minorHAnsi" w:hAnsiTheme="minorHAnsi"/>
                <w:sz w:val="24"/>
                <w:szCs w:val="24"/>
              </w:rPr>
            </w:pPr>
          </w:p>
          <w:p w14:paraId="3E0E9B66" w14:textId="77777777" w:rsidR="00BA00AB" w:rsidRDefault="00BA00AB" w:rsidP="0098330C">
            <w:pPr>
              <w:rPr>
                <w:rFonts w:asciiTheme="minorHAnsi" w:hAnsiTheme="minorHAnsi"/>
                <w:sz w:val="24"/>
                <w:szCs w:val="24"/>
              </w:rPr>
            </w:pPr>
            <w:r>
              <w:rPr>
                <w:rFonts w:asciiTheme="minorHAnsi" w:hAnsiTheme="minorHAnsi"/>
                <w:sz w:val="24"/>
                <w:szCs w:val="24"/>
              </w:rPr>
              <w:t xml:space="preserve">Donor specific antibodies may be known prior to transplant or may develop post transplant. Criteria must accommodate both physiological pathways for disease. </w:t>
            </w:r>
          </w:p>
          <w:p w14:paraId="077329FF" w14:textId="7070C4DD" w:rsidR="00BA00AB" w:rsidRDefault="00BA00AB" w:rsidP="0098330C">
            <w:pPr>
              <w:rPr>
                <w:rFonts w:asciiTheme="minorHAnsi" w:hAnsiTheme="minorHAnsi"/>
                <w:sz w:val="24"/>
                <w:szCs w:val="24"/>
              </w:rPr>
            </w:pPr>
            <w:r>
              <w:rPr>
                <w:rFonts w:asciiTheme="minorHAnsi" w:hAnsiTheme="minorHAnsi"/>
                <w:sz w:val="24"/>
                <w:szCs w:val="24"/>
              </w:rPr>
              <w:t xml:space="preserve">Where a DSA is newly developing, HLA results may not be available immediately. In some instances, biopsy results may be unavailable or non-diagnostic in the early stages where treatment is required. </w:t>
            </w:r>
          </w:p>
          <w:p w14:paraId="681EE2D1" w14:textId="77777777" w:rsidR="00BA00AB" w:rsidRDefault="00BA00AB" w:rsidP="0098330C">
            <w:pPr>
              <w:rPr>
                <w:rFonts w:asciiTheme="minorHAnsi" w:hAnsiTheme="minorHAnsi"/>
                <w:sz w:val="24"/>
                <w:szCs w:val="24"/>
              </w:rPr>
            </w:pPr>
          </w:p>
          <w:p w14:paraId="03F05B33" w14:textId="77777777" w:rsidR="00BA00AB" w:rsidRDefault="00BA00AB" w:rsidP="0098330C">
            <w:pPr>
              <w:rPr>
                <w:rFonts w:asciiTheme="minorHAnsi" w:hAnsiTheme="minorHAnsi"/>
                <w:sz w:val="24"/>
                <w:szCs w:val="24"/>
              </w:rPr>
            </w:pPr>
          </w:p>
          <w:p w14:paraId="36E75CE3" w14:textId="77777777" w:rsidR="00BA00AB" w:rsidRDefault="00BA00AB" w:rsidP="0098330C">
            <w:pPr>
              <w:rPr>
                <w:rFonts w:asciiTheme="minorHAnsi" w:hAnsiTheme="minorHAnsi"/>
                <w:sz w:val="24"/>
                <w:szCs w:val="24"/>
              </w:rPr>
            </w:pPr>
          </w:p>
          <w:p w14:paraId="64E3547E" w14:textId="77777777" w:rsidR="00BA00AB" w:rsidRDefault="00BA00AB" w:rsidP="0098330C">
            <w:pPr>
              <w:rPr>
                <w:rFonts w:asciiTheme="minorHAnsi" w:hAnsiTheme="minorHAnsi"/>
                <w:sz w:val="24"/>
                <w:szCs w:val="24"/>
              </w:rPr>
            </w:pPr>
          </w:p>
          <w:p w14:paraId="002D526C" w14:textId="77777777" w:rsidR="00BA00AB" w:rsidRDefault="00BA00AB" w:rsidP="0098330C">
            <w:pPr>
              <w:rPr>
                <w:rFonts w:asciiTheme="minorHAnsi" w:hAnsiTheme="minorHAnsi"/>
                <w:sz w:val="24"/>
                <w:szCs w:val="24"/>
              </w:rPr>
            </w:pPr>
          </w:p>
          <w:p w14:paraId="65BFBB3F" w14:textId="77777777" w:rsidR="00BA00AB" w:rsidRDefault="00BA00AB" w:rsidP="0098330C">
            <w:pPr>
              <w:rPr>
                <w:rFonts w:asciiTheme="minorHAnsi" w:hAnsiTheme="minorHAnsi"/>
                <w:sz w:val="24"/>
                <w:szCs w:val="24"/>
              </w:rPr>
            </w:pPr>
            <w:r>
              <w:rPr>
                <w:rFonts w:asciiTheme="minorHAnsi" w:hAnsiTheme="minorHAnsi"/>
                <w:sz w:val="24"/>
                <w:szCs w:val="24"/>
              </w:rPr>
              <w:t xml:space="preserve">Acceptable contra-indication reasons </w:t>
            </w:r>
            <w:r>
              <w:rPr>
                <w:rFonts w:asciiTheme="minorHAnsi" w:hAnsiTheme="minorHAnsi"/>
                <w:sz w:val="24"/>
                <w:szCs w:val="24"/>
              </w:rPr>
              <w:lastRenderedPageBreak/>
              <w:t xml:space="preserve">include: </w:t>
            </w:r>
          </w:p>
          <w:p w14:paraId="077F3AB4" w14:textId="77777777" w:rsidR="00BA00AB" w:rsidRPr="009C4E37" w:rsidRDefault="00BA00AB" w:rsidP="00C60CCA">
            <w:pPr>
              <w:pStyle w:val="ListParagraph"/>
              <w:numPr>
                <w:ilvl w:val="0"/>
                <w:numId w:val="27"/>
              </w:numPr>
              <w:spacing w:after="120" w:line="276" w:lineRule="auto"/>
            </w:pPr>
            <w:r w:rsidRPr="009C4E37">
              <w:t>Significant infection or sepsis</w:t>
            </w:r>
          </w:p>
          <w:p w14:paraId="36FBD2F3" w14:textId="77777777" w:rsidR="00BA00AB" w:rsidRPr="009C4E37" w:rsidRDefault="00BA00AB" w:rsidP="00C60CCA">
            <w:pPr>
              <w:pStyle w:val="ListParagraph"/>
              <w:numPr>
                <w:ilvl w:val="0"/>
                <w:numId w:val="27"/>
              </w:numPr>
              <w:spacing w:after="120" w:line="276" w:lineRule="auto"/>
            </w:pPr>
            <w:r w:rsidRPr="009C4E37">
              <w:t>Potential for life threatening infection</w:t>
            </w:r>
          </w:p>
          <w:p w14:paraId="75D879A8" w14:textId="77777777" w:rsidR="00BA00AB" w:rsidRPr="009C4E37" w:rsidRDefault="00BA00AB" w:rsidP="00C60CCA">
            <w:pPr>
              <w:pStyle w:val="ListParagraph"/>
              <w:numPr>
                <w:ilvl w:val="0"/>
                <w:numId w:val="27"/>
              </w:numPr>
              <w:spacing w:after="120" w:line="276" w:lineRule="auto"/>
            </w:pPr>
            <w:r w:rsidRPr="009C4E37">
              <w:t>Life threatening condition</w:t>
            </w:r>
          </w:p>
          <w:p w14:paraId="0CC029E1" w14:textId="77777777" w:rsidR="00BA00AB" w:rsidRPr="009C4E37" w:rsidRDefault="00BA00AB" w:rsidP="00C60CCA">
            <w:pPr>
              <w:pStyle w:val="ListParagraph"/>
              <w:numPr>
                <w:ilvl w:val="0"/>
                <w:numId w:val="27"/>
              </w:numPr>
              <w:spacing w:after="120" w:line="276" w:lineRule="auto"/>
            </w:pPr>
            <w:r w:rsidRPr="009C4E37">
              <w:t>Malignancy</w:t>
            </w:r>
          </w:p>
          <w:p w14:paraId="43135C5A" w14:textId="77777777" w:rsidR="00BA00AB" w:rsidRPr="009C4E37" w:rsidRDefault="00BA00AB" w:rsidP="00C60CCA">
            <w:pPr>
              <w:pStyle w:val="ListParagraph"/>
              <w:numPr>
                <w:ilvl w:val="0"/>
                <w:numId w:val="27"/>
              </w:numPr>
              <w:spacing w:after="120" w:line="276" w:lineRule="auto"/>
            </w:pPr>
            <w:r w:rsidRPr="009C4E37">
              <w:t xml:space="preserve">Marrow suppression and </w:t>
            </w:r>
            <w:proofErr w:type="spellStart"/>
            <w:r w:rsidRPr="009C4E37">
              <w:t>cytopenia</w:t>
            </w:r>
            <w:proofErr w:type="spellEnd"/>
          </w:p>
          <w:p w14:paraId="58CACAB3" w14:textId="77777777" w:rsidR="00BA00AB" w:rsidRDefault="00BA00AB" w:rsidP="0098330C">
            <w:pPr>
              <w:rPr>
                <w:rFonts w:asciiTheme="minorHAnsi" w:hAnsiTheme="minorHAnsi"/>
                <w:sz w:val="24"/>
                <w:szCs w:val="24"/>
              </w:rPr>
            </w:pPr>
            <w:r>
              <w:rPr>
                <w:rFonts w:asciiTheme="minorHAnsi" w:hAnsiTheme="minorHAnsi"/>
                <w:sz w:val="24"/>
                <w:szCs w:val="24"/>
              </w:rPr>
              <w:t xml:space="preserve">Detail of the reason to be provided. </w:t>
            </w:r>
          </w:p>
          <w:p w14:paraId="76CF2558" w14:textId="77777777" w:rsidR="00BA00AB" w:rsidRDefault="00BA00AB" w:rsidP="0098330C">
            <w:pPr>
              <w:rPr>
                <w:rFonts w:asciiTheme="minorHAnsi" w:hAnsiTheme="minorHAnsi"/>
                <w:sz w:val="24"/>
                <w:szCs w:val="24"/>
              </w:rPr>
            </w:pPr>
          </w:p>
          <w:p w14:paraId="03D88587" w14:textId="77777777" w:rsidR="00BA00AB" w:rsidRPr="00A74878" w:rsidRDefault="00BA00AB" w:rsidP="0098330C">
            <w:pPr>
              <w:rPr>
                <w:rFonts w:asciiTheme="minorHAnsi" w:hAnsiTheme="minorHAnsi"/>
                <w:sz w:val="24"/>
                <w:szCs w:val="24"/>
              </w:rPr>
            </w:pPr>
          </w:p>
        </w:tc>
      </w:tr>
      <w:tr w:rsidR="00BA00AB" w:rsidRPr="00A74878" w14:paraId="5814DF95" w14:textId="77777777" w:rsidTr="00BA00AB">
        <w:tc>
          <w:tcPr>
            <w:tcW w:w="1370" w:type="dxa"/>
            <w:shd w:val="clear" w:color="auto" w:fill="D9D9D9" w:themeFill="background1" w:themeFillShade="D9"/>
          </w:tcPr>
          <w:p w14:paraId="6D0B98DE" w14:textId="77777777" w:rsidR="00BA00AB" w:rsidRPr="00A74878" w:rsidRDefault="00BA00AB" w:rsidP="0098330C">
            <w:pPr>
              <w:rPr>
                <w:rFonts w:asciiTheme="minorHAnsi" w:hAnsiTheme="minorHAnsi"/>
                <w:sz w:val="24"/>
                <w:szCs w:val="24"/>
              </w:rPr>
            </w:pPr>
            <w:r w:rsidRPr="00A74878">
              <w:rPr>
                <w:rFonts w:asciiTheme="minorHAnsi" w:hAnsiTheme="minorHAnsi"/>
                <w:sz w:val="24"/>
                <w:szCs w:val="24"/>
              </w:rPr>
              <w:lastRenderedPageBreak/>
              <w:t>Review Criteria</w:t>
            </w:r>
          </w:p>
        </w:tc>
        <w:tc>
          <w:tcPr>
            <w:tcW w:w="4692" w:type="dxa"/>
            <w:gridSpan w:val="2"/>
          </w:tcPr>
          <w:p w14:paraId="70F47C40" w14:textId="77777777" w:rsidR="00BA00AB" w:rsidRPr="00A74878" w:rsidRDefault="00BA00AB" w:rsidP="0098330C">
            <w:pPr>
              <w:numPr>
                <w:ilvl w:val="0"/>
                <w:numId w:val="21"/>
              </w:numPr>
              <w:spacing w:before="100" w:beforeAutospacing="1" w:after="150" w:line="360" w:lineRule="atLeast"/>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 xml:space="preserve">Allograft organ function tests. </w:t>
            </w:r>
          </w:p>
          <w:p w14:paraId="6E4F89F9" w14:textId="77777777" w:rsidR="00BA00AB" w:rsidRPr="00A74878" w:rsidRDefault="00BA00AB" w:rsidP="0098330C">
            <w:pPr>
              <w:numPr>
                <w:ilvl w:val="0"/>
                <w:numId w:val="21"/>
              </w:numPr>
              <w:spacing w:before="100" w:beforeAutospacing="1" w:after="150" w:line="360" w:lineRule="atLeast"/>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 xml:space="preserve">Biopsy response. </w:t>
            </w:r>
          </w:p>
          <w:p w14:paraId="7C6D16DB" w14:textId="77777777" w:rsidR="00BA00AB" w:rsidRPr="00A74878" w:rsidRDefault="00BA00AB" w:rsidP="0098330C">
            <w:pPr>
              <w:numPr>
                <w:ilvl w:val="0"/>
                <w:numId w:val="21"/>
              </w:numPr>
              <w:spacing w:before="100" w:beforeAutospacing="1" w:after="150" w:line="360" w:lineRule="atLeast"/>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 xml:space="preserve">Laboratory monitoring of anti-HLA antibody and/or anti-blood group antibody responses. </w:t>
            </w:r>
          </w:p>
          <w:p w14:paraId="0012C414" w14:textId="77777777" w:rsidR="00BA00AB" w:rsidRPr="00A74878" w:rsidRDefault="00BA00AB" w:rsidP="0098330C">
            <w:pPr>
              <w:numPr>
                <w:ilvl w:val="0"/>
                <w:numId w:val="21"/>
              </w:numPr>
              <w:spacing w:before="100" w:beforeAutospacing="1" w:after="150" w:line="360" w:lineRule="atLeast"/>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 xml:space="preserve">Duration of graft and patient survival. </w:t>
            </w:r>
          </w:p>
          <w:p w14:paraId="6AF8D1C2" w14:textId="77777777" w:rsidR="00BA00AB" w:rsidRPr="00A74878" w:rsidRDefault="00BA00AB" w:rsidP="0098330C">
            <w:pPr>
              <w:numPr>
                <w:ilvl w:val="0"/>
                <w:numId w:val="21"/>
              </w:numPr>
              <w:spacing w:before="100" w:beforeAutospacing="1" w:after="150" w:line="360" w:lineRule="atLeast"/>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Reversal of clinical graft dysfunction.</w:t>
            </w:r>
          </w:p>
          <w:p w14:paraId="6693FCE8" w14:textId="77777777" w:rsidR="00BA00AB" w:rsidRPr="00A74878" w:rsidRDefault="00BA00AB" w:rsidP="0098330C">
            <w:pPr>
              <w:rPr>
                <w:rFonts w:asciiTheme="minorHAnsi" w:hAnsiTheme="minorHAnsi"/>
                <w:sz w:val="24"/>
                <w:szCs w:val="24"/>
              </w:rPr>
            </w:pPr>
          </w:p>
        </w:tc>
        <w:tc>
          <w:tcPr>
            <w:tcW w:w="4678" w:type="dxa"/>
            <w:gridSpan w:val="3"/>
          </w:tcPr>
          <w:p w14:paraId="14ADB9BF" w14:textId="69D64DD1" w:rsidR="00BA00AB" w:rsidRPr="00A74878" w:rsidRDefault="00471526" w:rsidP="00471526">
            <w:pPr>
              <w:rPr>
                <w:rFonts w:asciiTheme="minorHAnsi" w:hAnsiTheme="minorHAnsi"/>
                <w:sz w:val="24"/>
                <w:szCs w:val="24"/>
              </w:rPr>
            </w:pPr>
            <w:r>
              <w:rPr>
                <w:rFonts w:asciiTheme="minorHAnsi" w:hAnsiTheme="minorHAnsi"/>
                <w:b/>
                <w:sz w:val="24"/>
                <w:szCs w:val="24"/>
              </w:rPr>
              <w:t>No review is required for one-off dosing</w:t>
            </w:r>
          </w:p>
        </w:tc>
        <w:tc>
          <w:tcPr>
            <w:tcW w:w="4110" w:type="dxa"/>
          </w:tcPr>
          <w:p w14:paraId="67BB7F05" w14:textId="744661AA" w:rsidR="00BA00AB" w:rsidRPr="00CE379E" w:rsidRDefault="00BA00AB" w:rsidP="006C2C81">
            <w:pPr>
              <w:rPr>
                <w:rFonts w:asciiTheme="minorHAnsi" w:hAnsiTheme="minorHAnsi"/>
                <w:sz w:val="24"/>
                <w:szCs w:val="24"/>
              </w:rPr>
            </w:pPr>
            <w:r w:rsidRPr="00CE379E">
              <w:rPr>
                <w:rFonts w:asciiTheme="minorHAnsi" w:hAnsiTheme="minorHAnsi"/>
                <w:sz w:val="24"/>
                <w:szCs w:val="24"/>
              </w:rPr>
              <w:t xml:space="preserve">Given that treatment is mostly by multiple single doses, very limited outcome data is likely </w:t>
            </w:r>
            <w:r w:rsidR="00254E23">
              <w:rPr>
                <w:rFonts w:asciiTheme="minorHAnsi" w:hAnsiTheme="minorHAnsi"/>
                <w:sz w:val="24"/>
                <w:szCs w:val="24"/>
              </w:rPr>
              <w:t xml:space="preserve">to </w:t>
            </w:r>
            <w:r w:rsidRPr="00CE379E">
              <w:rPr>
                <w:rFonts w:asciiTheme="minorHAnsi" w:hAnsiTheme="minorHAnsi"/>
                <w:sz w:val="24"/>
                <w:szCs w:val="24"/>
              </w:rPr>
              <w:t>be collected within the system</w:t>
            </w:r>
            <w:r>
              <w:rPr>
                <w:rFonts w:asciiTheme="minorHAnsi" w:hAnsiTheme="minorHAnsi"/>
                <w:sz w:val="24"/>
                <w:szCs w:val="24"/>
              </w:rPr>
              <w:t xml:space="preserve">. Significant data is already available on transplant outcomes in other national systems - the potential to interface the </w:t>
            </w:r>
            <w:proofErr w:type="spellStart"/>
            <w:r>
              <w:rPr>
                <w:rFonts w:asciiTheme="minorHAnsi" w:hAnsiTheme="minorHAnsi"/>
                <w:sz w:val="24"/>
                <w:szCs w:val="24"/>
              </w:rPr>
              <w:t>Ig</w:t>
            </w:r>
            <w:proofErr w:type="spellEnd"/>
            <w:r>
              <w:rPr>
                <w:rFonts w:asciiTheme="minorHAnsi" w:hAnsiTheme="minorHAnsi"/>
                <w:sz w:val="24"/>
                <w:szCs w:val="24"/>
              </w:rPr>
              <w:t xml:space="preserve"> System such databases will be considered in future. </w:t>
            </w:r>
          </w:p>
        </w:tc>
      </w:tr>
      <w:tr w:rsidR="00BA00AB" w:rsidRPr="00A74878" w14:paraId="733072B3" w14:textId="77777777" w:rsidTr="00BA00AB">
        <w:tc>
          <w:tcPr>
            <w:tcW w:w="1370" w:type="dxa"/>
            <w:shd w:val="clear" w:color="auto" w:fill="D9D9D9" w:themeFill="background1" w:themeFillShade="D9"/>
          </w:tcPr>
          <w:p w14:paraId="33D231A5" w14:textId="77777777" w:rsidR="00BA00AB" w:rsidRPr="00A74878" w:rsidRDefault="00BA00AB" w:rsidP="0098330C">
            <w:pPr>
              <w:rPr>
                <w:rFonts w:asciiTheme="minorHAnsi" w:hAnsiTheme="minorHAnsi"/>
                <w:sz w:val="24"/>
                <w:szCs w:val="24"/>
              </w:rPr>
            </w:pPr>
            <w:r w:rsidRPr="00A74878">
              <w:rPr>
                <w:rFonts w:asciiTheme="minorHAnsi" w:hAnsiTheme="minorHAnsi"/>
                <w:sz w:val="24"/>
                <w:szCs w:val="24"/>
              </w:rPr>
              <w:t>Dose</w:t>
            </w:r>
          </w:p>
        </w:tc>
        <w:tc>
          <w:tcPr>
            <w:tcW w:w="4692" w:type="dxa"/>
            <w:gridSpan w:val="2"/>
          </w:tcPr>
          <w:p w14:paraId="21C74A9B" w14:textId="77777777" w:rsidR="00BA00AB" w:rsidRPr="00A74878" w:rsidRDefault="00BA00AB" w:rsidP="0098330C">
            <w:pPr>
              <w:spacing w:after="225" w:line="360" w:lineRule="atLeast"/>
              <w:rPr>
                <w:rFonts w:asciiTheme="minorHAnsi" w:eastAsia="Times New Roman" w:hAnsiTheme="minorHAnsi" w:cs="Times New Roman"/>
                <w:color w:val="000000"/>
                <w:sz w:val="24"/>
                <w:szCs w:val="24"/>
                <w:lang w:eastAsia="en-AU"/>
              </w:rPr>
            </w:pPr>
            <w:proofErr w:type="spellStart"/>
            <w:r w:rsidRPr="00A74878">
              <w:rPr>
                <w:rFonts w:asciiTheme="minorHAnsi" w:eastAsia="Times New Roman" w:hAnsiTheme="minorHAnsi" w:cs="Times New Roman"/>
                <w:b/>
                <w:bCs/>
                <w:color w:val="000000"/>
                <w:sz w:val="24"/>
                <w:szCs w:val="24"/>
                <w:lang w:eastAsia="en-AU"/>
              </w:rPr>
              <w:t>IVIg</w:t>
            </w:r>
            <w:proofErr w:type="spellEnd"/>
            <w:r w:rsidRPr="00A74878">
              <w:rPr>
                <w:rFonts w:asciiTheme="minorHAnsi" w:eastAsia="Times New Roman" w:hAnsiTheme="minorHAnsi" w:cs="Times New Roman"/>
                <w:b/>
                <w:bCs/>
                <w:color w:val="000000"/>
                <w:sz w:val="24"/>
                <w:szCs w:val="24"/>
                <w:lang w:eastAsia="en-AU"/>
              </w:rPr>
              <w:t xml:space="preserve"> with plasma exchange:</w:t>
            </w:r>
            <w:r w:rsidRPr="00A74878">
              <w:rPr>
                <w:rFonts w:asciiTheme="minorHAnsi" w:eastAsia="Times New Roman" w:hAnsiTheme="minorHAnsi" w:cs="Times New Roman"/>
                <w:color w:val="000000"/>
                <w:sz w:val="24"/>
                <w:szCs w:val="24"/>
                <w:lang w:eastAsia="en-AU"/>
              </w:rPr>
              <w:t xml:space="preserve"> 0.1 to 0.5 g/kg post exchange.</w:t>
            </w:r>
          </w:p>
          <w:p w14:paraId="7585D09B" w14:textId="77777777" w:rsidR="00BA00AB" w:rsidRPr="00A74878" w:rsidRDefault="00BA00AB" w:rsidP="0098330C">
            <w:pPr>
              <w:spacing w:after="225" w:line="360" w:lineRule="atLeast"/>
              <w:rPr>
                <w:rFonts w:asciiTheme="minorHAnsi" w:eastAsia="Times New Roman" w:hAnsiTheme="minorHAnsi" w:cs="Times New Roman"/>
                <w:color w:val="000000"/>
                <w:sz w:val="24"/>
                <w:szCs w:val="24"/>
                <w:lang w:eastAsia="en-AU"/>
              </w:rPr>
            </w:pPr>
            <w:proofErr w:type="spellStart"/>
            <w:r w:rsidRPr="00A74878">
              <w:rPr>
                <w:rFonts w:asciiTheme="minorHAnsi" w:eastAsia="Times New Roman" w:hAnsiTheme="minorHAnsi" w:cs="Times New Roman"/>
                <w:b/>
                <w:bCs/>
                <w:color w:val="000000"/>
                <w:sz w:val="24"/>
                <w:szCs w:val="24"/>
                <w:lang w:eastAsia="en-AU"/>
              </w:rPr>
              <w:t>IVIg</w:t>
            </w:r>
            <w:proofErr w:type="spellEnd"/>
            <w:r w:rsidRPr="00A74878">
              <w:rPr>
                <w:rFonts w:asciiTheme="minorHAnsi" w:eastAsia="Times New Roman" w:hAnsiTheme="minorHAnsi" w:cs="Times New Roman"/>
                <w:b/>
                <w:bCs/>
                <w:color w:val="000000"/>
                <w:sz w:val="24"/>
                <w:szCs w:val="24"/>
                <w:lang w:eastAsia="en-AU"/>
              </w:rPr>
              <w:t xml:space="preserve"> alone:</w:t>
            </w:r>
            <w:r w:rsidRPr="00A74878">
              <w:rPr>
                <w:rFonts w:asciiTheme="minorHAnsi" w:eastAsia="Times New Roman" w:hAnsiTheme="minorHAnsi" w:cs="Times New Roman"/>
                <w:color w:val="000000"/>
                <w:sz w:val="24"/>
                <w:szCs w:val="24"/>
                <w:lang w:eastAsia="en-AU"/>
              </w:rPr>
              <w:t xml:space="preserve"> 2 g/kg to a maximum of 140 g as a single dose, or 2 to 3.5 g/kg in a divided dose.</w:t>
            </w:r>
          </w:p>
          <w:p w14:paraId="29A0C245" w14:textId="77777777" w:rsidR="00BA00AB" w:rsidRPr="00A74878" w:rsidRDefault="00BA00AB" w:rsidP="0098330C">
            <w:pPr>
              <w:spacing w:after="225" w:line="360" w:lineRule="atLeast"/>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 xml:space="preserve">When </w:t>
            </w:r>
            <w:proofErr w:type="spellStart"/>
            <w:r w:rsidRPr="00A74878">
              <w:rPr>
                <w:rFonts w:asciiTheme="minorHAnsi" w:eastAsia="Times New Roman" w:hAnsiTheme="minorHAnsi" w:cs="Times New Roman"/>
                <w:color w:val="000000"/>
                <w:sz w:val="24"/>
                <w:szCs w:val="24"/>
                <w:lang w:eastAsia="en-AU"/>
              </w:rPr>
              <w:t>IVIg</w:t>
            </w:r>
            <w:proofErr w:type="spellEnd"/>
            <w:r w:rsidRPr="00A74878">
              <w:rPr>
                <w:rFonts w:asciiTheme="minorHAnsi" w:eastAsia="Times New Roman" w:hAnsiTheme="minorHAnsi" w:cs="Times New Roman"/>
                <w:color w:val="000000"/>
                <w:sz w:val="24"/>
                <w:szCs w:val="24"/>
                <w:lang w:eastAsia="en-AU"/>
              </w:rPr>
              <w:t xml:space="preserve"> is used alone, further doses may </w:t>
            </w:r>
            <w:r w:rsidRPr="00A74878">
              <w:rPr>
                <w:rFonts w:asciiTheme="minorHAnsi" w:eastAsia="Times New Roman" w:hAnsiTheme="minorHAnsi" w:cs="Times New Roman"/>
                <w:color w:val="000000"/>
                <w:sz w:val="24"/>
                <w:szCs w:val="24"/>
                <w:lang w:eastAsia="en-AU"/>
              </w:rPr>
              <w:lastRenderedPageBreak/>
              <w:t>be warranted two to four weeks after initial therapy depending on clinical response and/or biopsy findings.</w:t>
            </w:r>
          </w:p>
          <w:p w14:paraId="1749A391" w14:textId="77777777" w:rsidR="00BA00AB" w:rsidRPr="00A74878" w:rsidRDefault="00BA00AB" w:rsidP="0098330C">
            <w:pPr>
              <w:spacing w:after="225" w:line="360" w:lineRule="atLeast"/>
              <w:rPr>
                <w:rFonts w:asciiTheme="minorHAnsi" w:eastAsia="Times New Roman" w:hAnsiTheme="minorHAnsi" w:cs="Times New Roman"/>
                <w:b/>
                <w:bCs/>
                <w:color w:val="000000"/>
                <w:sz w:val="24"/>
                <w:szCs w:val="24"/>
                <w:lang w:eastAsia="en-AU"/>
              </w:rPr>
            </w:pPr>
            <w:r w:rsidRPr="00A74878">
              <w:rPr>
                <w:rFonts w:asciiTheme="minorHAnsi" w:eastAsia="Times New Roman" w:hAnsiTheme="minorHAnsi" w:cs="Times New Roman"/>
                <w:b/>
                <w:bCs/>
                <w:color w:val="000000"/>
                <w:sz w:val="24"/>
                <w:szCs w:val="24"/>
                <w:lang w:eastAsia="en-AU"/>
              </w:rPr>
              <w:t xml:space="preserve">Dosing above 1 g/kg per day is contraindicated for some </w:t>
            </w:r>
            <w:proofErr w:type="spellStart"/>
            <w:r w:rsidRPr="00A74878">
              <w:rPr>
                <w:rFonts w:asciiTheme="minorHAnsi" w:eastAsia="Times New Roman" w:hAnsiTheme="minorHAnsi" w:cs="Times New Roman"/>
                <w:b/>
                <w:bCs/>
                <w:color w:val="000000"/>
                <w:sz w:val="24"/>
                <w:szCs w:val="24"/>
                <w:lang w:eastAsia="en-AU"/>
              </w:rPr>
              <w:t>IVIg</w:t>
            </w:r>
            <w:proofErr w:type="spellEnd"/>
            <w:r w:rsidRPr="00A74878">
              <w:rPr>
                <w:rFonts w:asciiTheme="minorHAnsi" w:eastAsia="Times New Roman" w:hAnsiTheme="minorHAnsi" w:cs="Times New Roman"/>
                <w:b/>
                <w:bCs/>
                <w:color w:val="000000"/>
                <w:sz w:val="24"/>
                <w:szCs w:val="24"/>
                <w:lang w:eastAsia="en-AU"/>
              </w:rPr>
              <w:t xml:space="preserve"> products.</w:t>
            </w:r>
          </w:p>
          <w:p w14:paraId="7F14A4A0" w14:textId="77777777" w:rsidR="00BA00AB" w:rsidRPr="00A74878" w:rsidRDefault="00BA00AB" w:rsidP="0098330C">
            <w:pPr>
              <w:spacing w:after="225" w:line="360" w:lineRule="atLeast"/>
              <w:rPr>
                <w:rFonts w:asciiTheme="minorHAnsi" w:eastAsia="Times New Roman" w:hAnsiTheme="minorHAnsi" w:cs="Times New Roman"/>
                <w:b/>
                <w:bCs/>
                <w:color w:val="000000"/>
                <w:sz w:val="24"/>
                <w:szCs w:val="24"/>
                <w:lang w:eastAsia="en-AU"/>
              </w:rPr>
            </w:pPr>
            <w:r w:rsidRPr="00A74878">
              <w:rPr>
                <w:rFonts w:asciiTheme="minorHAnsi" w:eastAsia="Times New Roman" w:hAnsiTheme="minorHAnsi" w:cs="Times New Roman"/>
                <w:b/>
                <w:bCs/>
                <w:color w:val="000000"/>
                <w:sz w:val="24"/>
                <w:szCs w:val="24"/>
                <w:lang w:eastAsia="en-AU"/>
              </w:rPr>
              <w:t>Refer to the current product information sheet for further information.</w:t>
            </w:r>
          </w:p>
          <w:p w14:paraId="52241E56" w14:textId="1408149D" w:rsidR="00BA00AB" w:rsidRPr="00A74878" w:rsidRDefault="00BA00AB" w:rsidP="00254E23">
            <w:pPr>
              <w:spacing w:after="225" w:line="360" w:lineRule="atLeast"/>
              <w:rPr>
                <w:rFonts w:asciiTheme="minorHAnsi" w:hAnsiTheme="minorHAnsi"/>
                <w:sz w:val="24"/>
                <w:szCs w:val="24"/>
              </w:rPr>
            </w:pPr>
            <w:r w:rsidRPr="00A74878">
              <w:rPr>
                <w:rFonts w:asciiTheme="minorHAnsi" w:eastAsia="Times New Roman" w:hAnsiTheme="minorHAnsi" w:cs="Times New Roman"/>
                <w:b/>
                <w:bCs/>
                <w:color w:val="000000"/>
                <w:sz w:val="24"/>
                <w:szCs w:val="24"/>
                <w:lang w:eastAsia="en-AU"/>
              </w:rPr>
              <w:t>The aim should be to use the lowest dose possible that achieves the appropriate clinical outcome for each patient.</w:t>
            </w:r>
          </w:p>
        </w:tc>
        <w:tc>
          <w:tcPr>
            <w:tcW w:w="4678" w:type="dxa"/>
            <w:gridSpan w:val="3"/>
          </w:tcPr>
          <w:p w14:paraId="7A49E4D0" w14:textId="62203249" w:rsidR="00BA00AB" w:rsidRPr="00A74878" w:rsidRDefault="00BA00AB" w:rsidP="00A74878">
            <w:pPr>
              <w:rPr>
                <w:rFonts w:asciiTheme="minorHAnsi" w:hAnsiTheme="minorHAnsi"/>
                <w:b/>
                <w:i/>
                <w:iCs/>
                <w:color w:val="243F60" w:themeColor="accent1" w:themeShade="7F"/>
                <w:sz w:val="24"/>
                <w:szCs w:val="24"/>
              </w:rPr>
            </w:pPr>
            <w:proofErr w:type="spellStart"/>
            <w:r w:rsidRPr="00A74878">
              <w:rPr>
                <w:rFonts w:asciiTheme="minorHAnsi" w:hAnsiTheme="minorHAnsi"/>
                <w:b/>
                <w:sz w:val="24"/>
                <w:szCs w:val="24"/>
              </w:rPr>
              <w:lastRenderedPageBreak/>
              <w:t>IVIg</w:t>
            </w:r>
            <w:proofErr w:type="spellEnd"/>
            <w:r w:rsidRPr="00A74878">
              <w:rPr>
                <w:rFonts w:asciiTheme="minorHAnsi" w:hAnsiTheme="minorHAnsi"/>
                <w:b/>
                <w:sz w:val="24"/>
                <w:szCs w:val="24"/>
              </w:rPr>
              <w:t xml:space="preserve"> with plasma exchange </w:t>
            </w:r>
            <w:r w:rsidRPr="00A74878">
              <w:rPr>
                <w:rFonts w:asciiTheme="minorHAnsi" w:hAnsiTheme="minorHAnsi"/>
                <w:sz w:val="24"/>
                <w:szCs w:val="24"/>
              </w:rPr>
              <w:t xml:space="preserve">0.1 to 0.5 g/kg after each exchange (Total maximum dose of 2.5g/Kg divided across 5 doses) </w:t>
            </w:r>
          </w:p>
          <w:p w14:paraId="7FDBEF6D" w14:textId="77777777" w:rsidR="00BA00AB" w:rsidRPr="00A74878" w:rsidRDefault="00BA00AB" w:rsidP="00A74878">
            <w:pPr>
              <w:rPr>
                <w:rFonts w:asciiTheme="minorHAnsi" w:hAnsiTheme="minorHAnsi"/>
                <w:b/>
                <w:sz w:val="24"/>
                <w:szCs w:val="24"/>
              </w:rPr>
            </w:pPr>
          </w:p>
          <w:p w14:paraId="32EF7CFF" w14:textId="4F2E5CC9" w:rsidR="00BA00AB" w:rsidRPr="00471526" w:rsidRDefault="00BA00AB" w:rsidP="00A74878">
            <w:pPr>
              <w:rPr>
                <w:rFonts w:asciiTheme="minorHAnsi" w:hAnsiTheme="minorHAnsi"/>
                <w:sz w:val="24"/>
                <w:szCs w:val="24"/>
              </w:rPr>
            </w:pPr>
            <w:proofErr w:type="spellStart"/>
            <w:r w:rsidRPr="00A74878">
              <w:rPr>
                <w:rFonts w:asciiTheme="minorHAnsi" w:hAnsiTheme="minorHAnsi"/>
                <w:b/>
                <w:sz w:val="24"/>
                <w:szCs w:val="24"/>
              </w:rPr>
              <w:t>IVIg</w:t>
            </w:r>
            <w:proofErr w:type="spellEnd"/>
            <w:r w:rsidRPr="00A74878">
              <w:rPr>
                <w:rFonts w:asciiTheme="minorHAnsi" w:hAnsiTheme="minorHAnsi"/>
                <w:b/>
                <w:sz w:val="24"/>
                <w:szCs w:val="24"/>
              </w:rPr>
              <w:t xml:space="preserve"> without plasma exchange (single dose) </w:t>
            </w:r>
            <w:r w:rsidRPr="00A74878">
              <w:rPr>
                <w:rFonts w:asciiTheme="minorHAnsi" w:hAnsiTheme="minorHAnsi"/>
                <w:sz w:val="24"/>
                <w:szCs w:val="24"/>
              </w:rPr>
              <w:t>Up to</w:t>
            </w:r>
            <w:r w:rsidRPr="00A74878">
              <w:rPr>
                <w:rFonts w:asciiTheme="minorHAnsi" w:hAnsiTheme="minorHAnsi"/>
                <w:b/>
                <w:sz w:val="24"/>
                <w:szCs w:val="24"/>
              </w:rPr>
              <w:t xml:space="preserve"> </w:t>
            </w:r>
            <w:r w:rsidRPr="00A74878">
              <w:rPr>
                <w:rFonts w:asciiTheme="minorHAnsi" w:hAnsiTheme="minorHAnsi"/>
                <w:sz w:val="24"/>
                <w:szCs w:val="24"/>
              </w:rPr>
              <w:t xml:space="preserve">2 g/kg to a maximum of 140 g as a single dose. </w:t>
            </w:r>
          </w:p>
          <w:p w14:paraId="289B1A14" w14:textId="77777777" w:rsidR="00BA00AB" w:rsidRPr="00A74878" w:rsidRDefault="00BA00AB" w:rsidP="00A74878">
            <w:pPr>
              <w:rPr>
                <w:rFonts w:asciiTheme="minorHAnsi" w:hAnsiTheme="minorHAnsi"/>
                <w:b/>
                <w:sz w:val="24"/>
                <w:szCs w:val="24"/>
              </w:rPr>
            </w:pPr>
          </w:p>
          <w:p w14:paraId="61444A21" w14:textId="77777777" w:rsidR="00BA00AB" w:rsidRPr="00A74878" w:rsidRDefault="00BA00AB" w:rsidP="00A74878">
            <w:pPr>
              <w:rPr>
                <w:rFonts w:asciiTheme="minorHAnsi" w:hAnsiTheme="minorHAnsi"/>
                <w:b/>
                <w:sz w:val="24"/>
                <w:szCs w:val="24"/>
              </w:rPr>
            </w:pPr>
            <w:proofErr w:type="spellStart"/>
            <w:r w:rsidRPr="00A74878">
              <w:rPr>
                <w:rFonts w:asciiTheme="minorHAnsi" w:hAnsiTheme="minorHAnsi"/>
                <w:b/>
                <w:sz w:val="24"/>
                <w:szCs w:val="24"/>
              </w:rPr>
              <w:lastRenderedPageBreak/>
              <w:t>IVIg</w:t>
            </w:r>
            <w:proofErr w:type="spellEnd"/>
            <w:r w:rsidRPr="00A74878">
              <w:rPr>
                <w:rFonts w:asciiTheme="minorHAnsi" w:hAnsiTheme="minorHAnsi"/>
                <w:b/>
                <w:sz w:val="24"/>
                <w:szCs w:val="24"/>
              </w:rPr>
              <w:t xml:space="preserve"> without plasma exchange (divided dose) </w:t>
            </w:r>
            <w:r w:rsidRPr="00A74878">
              <w:rPr>
                <w:rFonts w:asciiTheme="minorHAnsi" w:hAnsiTheme="minorHAnsi"/>
                <w:sz w:val="24"/>
                <w:szCs w:val="24"/>
              </w:rPr>
              <w:t xml:space="preserve">2 to 3.5g/kg in a divided dose </w:t>
            </w:r>
            <w:r w:rsidRPr="00A74878">
              <w:rPr>
                <w:rFonts w:asciiTheme="minorHAnsi" w:hAnsiTheme="minorHAnsi"/>
                <w:sz w:val="24"/>
                <w:szCs w:val="24"/>
              </w:rPr>
              <w:tab/>
            </w:r>
            <w:r w:rsidRPr="00A74878">
              <w:rPr>
                <w:rFonts w:asciiTheme="minorHAnsi" w:hAnsiTheme="minorHAnsi"/>
                <w:sz w:val="24"/>
                <w:szCs w:val="24"/>
              </w:rPr>
              <w:tab/>
            </w:r>
            <w:r w:rsidRPr="00A74878">
              <w:rPr>
                <w:rFonts w:asciiTheme="minorHAnsi" w:hAnsiTheme="minorHAnsi"/>
                <w:sz w:val="24"/>
                <w:szCs w:val="24"/>
              </w:rPr>
              <w:tab/>
            </w:r>
            <w:r w:rsidRPr="00A74878">
              <w:rPr>
                <w:rFonts w:asciiTheme="minorHAnsi" w:hAnsiTheme="minorHAnsi"/>
                <w:sz w:val="24"/>
                <w:szCs w:val="24"/>
              </w:rPr>
              <w:tab/>
            </w:r>
          </w:p>
          <w:p w14:paraId="6794336D" w14:textId="77777777" w:rsidR="00254E23" w:rsidRPr="00254E23" w:rsidRDefault="00254E23" w:rsidP="00A74878">
            <w:pPr>
              <w:spacing w:after="225" w:line="276" w:lineRule="auto"/>
              <w:rPr>
                <w:rFonts w:asciiTheme="minorHAnsi" w:eastAsia="Times New Roman" w:hAnsiTheme="minorHAnsi" w:cstheme="minorHAnsi"/>
                <w:color w:val="000000"/>
                <w:sz w:val="24"/>
                <w:szCs w:val="24"/>
              </w:rPr>
            </w:pPr>
            <w:r w:rsidRPr="00254E23">
              <w:rPr>
                <w:rFonts w:asciiTheme="minorHAnsi" w:eastAsia="Times New Roman" w:hAnsiTheme="minorHAnsi" w:cstheme="minorHAnsi"/>
                <w:color w:val="000000"/>
                <w:sz w:val="24"/>
                <w:szCs w:val="24"/>
              </w:rPr>
              <w:t>The aim should be to use the lowest dose possible that achieves the appropriate clinical outcome for each patient.</w:t>
            </w:r>
          </w:p>
          <w:p w14:paraId="10535860" w14:textId="3B85B89C" w:rsidR="00BA00AB" w:rsidRPr="00254E23" w:rsidRDefault="00BA00AB" w:rsidP="00A74878">
            <w:pPr>
              <w:spacing w:after="225" w:line="276" w:lineRule="auto"/>
              <w:rPr>
                <w:rFonts w:asciiTheme="minorHAnsi" w:eastAsia="Times New Roman" w:hAnsiTheme="minorHAnsi" w:cstheme="minorHAnsi"/>
                <w:color w:val="000000"/>
                <w:sz w:val="24"/>
                <w:szCs w:val="24"/>
              </w:rPr>
            </w:pPr>
            <w:r w:rsidRPr="00254E23">
              <w:rPr>
                <w:rFonts w:asciiTheme="minorHAnsi" w:eastAsia="Times New Roman" w:hAnsiTheme="minorHAnsi" w:cstheme="minorHAnsi"/>
                <w:color w:val="000000"/>
                <w:sz w:val="24"/>
                <w:szCs w:val="24"/>
              </w:rPr>
              <w:t xml:space="preserve">Dosing above 1 g/kg per day is contraindicated for some </w:t>
            </w:r>
            <w:proofErr w:type="spellStart"/>
            <w:r w:rsidRPr="00254E23">
              <w:rPr>
                <w:rFonts w:asciiTheme="minorHAnsi" w:eastAsia="Times New Roman" w:hAnsiTheme="minorHAnsi" w:cstheme="minorHAnsi"/>
                <w:color w:val="000000"/>
                <w:sz w:val="24"/>
                <w:szCs w:val="24"/>
              </w:rPr>
              <w:t>IVIg</w:t>
            </w:r>
            <w:proofErr w:type="spellEnd"/>
            <w:r w:rsidRPr="00254E23">
              <w:rPr>
                <w:rFonts w:asciiTheme="minorHAnsi" w:eastAsia="Times New Roman" w:hAnsiTheme="minorHAnsi" w:cstheme="minorHAnsi"/>
                <w:color w:val="000000"/>
                <w:sz w:val="24"/>
                <w:szCs w:val="24"/>
              </w:rPr>
              <w:t xml:space="preserve"> products.</w:t>
            </w:r>
          </w:p>
          <w:p w14:paraId="08F7E5CB" w14:textId="150B79A5" w:rsidR="00BA00AB" w:rsidRPr="00A74878" w:rsidRDefault="00BA00AB" w:rsidP="00254E23">
            <w:pPr>
              <w:spacing w:after="225" w:line="276" w:lineRule="auto"/>
              <w:rPr>
                <w:rFonts w:asciiTheme="minorHAnsi" w:hAnsiTheme="minorHAnsi"/>
                <w:sz w:val="24"/>
                <w:szCs w:val="24"/>
              </w:rPr>
            </w:pPr>
            <w:r w:rsidRPr="00A74878">
              <w:rPr>
                <w:rFonts w:asciiTheme="minorHAnsi" w:eastAsia="Times New Roman" w:hAnsiTheme="minorHAnsi" w:cstheme="minorHAnsi"/>
                <w:b/>
                <w:color w:val="000000"/>
                <w:sz w:val="24"/>
                <w:szCs w:val="24"/>
              </w:rPr>
              <w:t>Refer to the current product information sheet for further information.</w:t>
            </w:r>
          </w:p>
        </w:tc>
        <w:tc>
          <w:tcPr>
            <w:tcW w:w="4110" w:type="dxa"/>
          </w:tcPr>
          <w:p w14:paraId="293748CE" w14:textId="77777777" w:rsidR="00BA00AB" w:rsidRPr="00CE379E" w:rsidRDefault="00BA00AB" w:rsidP="00CE379E">
            <w:pPr>
              <w:rPr>
                <w:rFonts w:asciiTheme="minorHAnsi" w:hAnsiTheme="minorHAnsi"/>
                <w:sz w:val="24"/>
                <w:szCs w:val="24"/>
              </w:rPr>
            </w:pPr>
            <w:r w:rsidRPr="00CE379E">
              <w:rPr>
                <w:rFonts w:asciiTheme="minorHAnsi" w:hAnsiTheme="minorHAnsi"/>
                <w:sz w:val="24"/>
                <w:szCs w:val="24"/>
              </w:rPr>
              <w:lastRenderedPageBreak/>
              <w:t>Dosing specifications have been more explicitly defined (within current policy allowances) to support current clinical practices and accommodate the variable approaches to treatment protocols in use nationally</w:t>
            </w:r>
            <w:r>
              <w:rPr>
                <w:rFonts w:asciiTheme="minorHAnsi" w:hAnsiTheme="minorHAnsi"/>
                <w:sz w:val="24"/>
                <w:szCs w:val="24"/>
              </w:rPr>
              <w:t xml:space="preserve">. </w:t>
            </w:r>
            <w:r w:rsidRPr="00CE379E">
              <w:rPr>
                <w:rFonts w:asciiTheme="minorHAnsi" w:hAnsiTheme="minorHAnsi"/>
                <w:sz w:val="24"/>
                <w:szCs w:val="24"/>
              </w:rPr>
              <w:t>(</w:t>
            </w:r>
            <w:r>
              <w:rPr>
                <w:rFonts w:asciiTheme="minorHAnsi" w:hAnsiTheme="minorHAnsi"/>
                <w:sz w:val="24"/>
                <w:szCs w:val="24"/>
              </w:rPr>
              <w:t>A</w:t>
            </w:r>
            <w:r w:rsidRPr="00CE379E">
              <w:rPr>
                <w:rFonts w:asciiTheme="minorHAnsi" w:hAnsiTheme="minorHAnsi"/>
                <w:sz w:val="24"/>
                <w:szCs w:val="24"/>
              </w:rPr>
              <w:t>)</w:t>
            </w:r>
            <w:r>
              <w:rPr>
                <w:rFonts w:asciiTheme="minorHAnsi" w:hAnsiTheme="minorHAnsi"/>
                <w:sz w:val="24"/>
                <w:szCs w:val="24"/>
              </w:rPr>
              <w:t xml:space="preserve"> Data will be available for analysis in future that will support the identification of better </w:t>
            </w:r>
            <w:r>
              <w:rPr>
                <w:rFonts w:asciiTheme="minorHAnsi" w:hAnsiTheme="minorHAnsi"/>
                <w:sz w:val="24"/>
                <w:szCs w:val="24"/>
              </w:rPr>
              <w:lastRenderedPageBreak/>
              <w:t xml:space="preserve">practice. </w:t>
            </w:r>
            <w:r w:rsidRPr="00CE379E">
              <w:rPr>
                <w:rFonts w:asciiTheme="minorHAnsi" w:hAnsiTheme="minorHAnsi"/>
                <w:sz w:val="24"/>
                <w:szCs w:val="24"/>
              </w:rPr>
              <w:t xml:space="preserve"> </w:t>
            </w:r>
          </w:p>
        </w:tc>
      </w:tr>
    </w:tbl>
    <w:tbl>
      <w:tblPr>
        <w:tblStyle w:val="TableGrid"/>
        <w:tblW w:w="5250" w:type="pct"/>
        <w:tblInd w:w="-459" w:type="dxa"/>
        <w:tblLook w:val="04A0" w:firstRow="1" w:lastRow="0" w:firstColumn="1" w:lastColumn="0" w:noHBand="0" w:noVBand="1"/>
      </w:tblPr>
      <w:tblGrid>
        <w:gridCol w:w="2717"/>
        <w:gridCol w:w="2670"/>
        <w:gridCol w:w="4608"/>
        <w:gridCol w:w="4888"/>
      </w:tblGrid>
      <w:tr w:rsidR="00CB37BD" w:rsidRPr="00BF6734" w14:paraId="73C11565" w14:textId="77777777" w:rsidTr="006C116A">
        <w:tc>
          <w:tcPr>
            <w:tcW w:w="5000" w:type="pct"/>
            <w:gridSpan w:val="4"/>
            <w:shd w:val="clear" w:color="auto" w:fill="DBE5F1" w:themeFill="accent1" w:themeFillTint="33"/>
          </w:tcPr>
          <w:p w14:paraId="2F0F29BD" w14:textId="77777777" w:rsidR="00CB37BD" w:rsidRPr="00BF6734" w:rsidRDefault="00CB37BD" w:rsidP="00CB37BD">
            <w:pPr>
              <w:spacing w:before="120" w:after="120"/>
              <w:rPr>
                <w:rFonts w:asciiTheme="minorHAnsi" w:hAnsiTheme="minorHAnsi"/>
                <w:b/>
              </w:rPr>
            </w:pPr>
            <w:r w:rsidRPr="00BF6734">
              <w:rPr>
                <w:rFonts w:asciiTheme="minorHAnsi" w:hAnsiTheme="minorHAnsi"/>
                <w:b/>
              </w:rPr>
              <w:lastRenderedPageBreak/>
              <w:t>POTENTIAL OPERATIONAL IMPACT</w:t>
            </w:r>
          </w:p>
        </w:tc>
      </w:tr>
      <w:tr w:rsidR="00CB37BD" w:rsidRPr="00BF6734" w14:paraId="06A49D64" w14:textId="77777777" w:rsidTr="006C116A">
        <w:tc>
          <w:tcPr>
            <w:tcW w:w="5000" w:type="pct"/>
            <w:gridSpan w:val="4"/>
          </w:tcPr>
          <w:p w14:paraId="37244CD7" w14:textId="77777777" w:rsidR="00CB37BD" w:rsidRPr="00BF6734" w:rsidRDefault="00CB37BD" w:rsidP="00CB37BD">
            <w:pPr>
              <w:spacing w:before="120" w:after="120"/>
              <w:ind w:left="-45" w:right="91"/>
              <w:rPr>
                <w:rFonts w:asciiTheme="minorHAnsi" w:hAnsiTheme="minorHAnsi"/>
              </w:rPr>
            </w:pPr>
            <w:r>
              <w:rPr>
                <w:rFonts w:asciiTheme="minorHAnsi" w:hAnsiTheme="minorHAnsi"/>
                <w:sz w:val="24"/>
                <w:szCs w:val="24"/>
              </w:rPr>
              <w:t>No operational impact is anticipated.</w:t>
            </w:r>
          </w:p>
        </w:tc>
      </w:tr>
      <w:tr w:rsidR="00CB37BD" w:rsidRPr="00BF6734" w14:paraId="7051600B" w14:textId="77777777" w:rsidTr="006C116A">
        <w:tc>
          <w:tcPr>
            <w:tcW w:w="5000" w:type="pct"/>
            <w:gridSpan w:val="4"/>
            <w:shd w:val="clear" w:color="auto" w:fill="DBE5F1" w:themeFill="accent1" w:themeFillTint="33"/>
          </w:tcPr>
          <w:p w14:paraId="7436AB2A" w14:textId="77777777" w:rsidR="00CB37BD" w:rsidRPr="00BF6734" w:rsidRDefault="00CB37BD" w:rsidP="00CB37BD">
            <w:pPr>
              <w:spacing w:before="120" w:after="120"/>
              <w:rPr>
                <w:rFonts w:asciiTheme="minorHAnsi" w:hAnsiTheme="minorHAnsi"/>
                <w:b/>
              </w:rPr>
            </w:pPr>
            <w:r w:rsidRPr="00BF6734">
              <w:rPr>
                <w:rFonts w:asciiTheme="minorHAnsi" w:hAnsiTheme="minorHAnsi"/>
                <w:b/>
              </w:rPr>
              <w:t>POTENTIAL IMPACT ON DEMAND</w:t>
            </w:r>
          </w:p>
        </w:tc>
      </w:tr>
      <w:tr w:rsidR="00CB37BD" w:rsidRPr="00BF6734" w14:paraId="6248D940" w14:textId="77777777" w:rsidTr="006C116A">
        <w:tc>
          <w:tcPr>
            <w:tcW w:w="913" w:type="pct"/>
          </w:tcPr>
          <w:p w14:paraId="7CDE7483" w14:textId="77777777" w:rsidR="00CB37BD" w:rsidRDefault="00CB37BD" w:rsidP="00CB37BD">
            <w:pPr>
              <w:spacing w:before="120" w:after="120"/>
              <w:rPr>
                <w:rFonts w:asciiTheme="minorHAnsi" w:hAnsiTheme="minorHAnsi"/>
                <w:b/>
              </w:rPr>
            </w:pPr>
            <w:r w:rsidRPr="00BF6734">
              <w:rPr>
                <w:rFonts w:asciiTheme="minorHAnsi" w:hAnsiTheme="minorHAnsi"/>
                <w:b/>
              </w:rPr>
              <w:t>Patient Numbers</w:t>
            </w:r>
          </w:p>
          <w:p w14:paraId="76F8EE77" w14:textId="46E1328E" w:rsidR="006C116A" w:rsidRPr="00BF6734" w:rsidRDefault="006C116A" w:rsidP="00CB37BD">
            <w:pPr>
              <w:spacing w:before="120" w:after="120"/>
              <w:rPr>
                <w:rFonts w:asciiTheme="minorHAnsi" w:hAnsiTheme="minorHAnsi"/>
                <w:b/>
              </w:rPr>
            </w:pPr>
            <w:r>
              <w:rPr>
                <w:rFonts w:asciiTheme="minorHAnsi" w:hAnsiTheme="minorHAnsi"/>
                <w:b/>
              </w:rPr>
              <w:t xml:space="preserve">&amp; Usage </w:t>
            </w:r>
          </w:p>
          <w:p w14:paraId="7D28C2CB" w14:textId="77777777" w:rsidR="00CB37BD" w:rsidRPr="00BF6734" w:rsidRDefault="00CB37BD" w:rsidP="00CB37BD">
            <w:pPr>
              <w:spacing w:before="120" w:after="120"/>
              <w:rPr>
                <w:rFonts w:asciiTheme="minorHAnsi" w:hAnsiTheme="minorHAnsi"/>
                <w:b/>
              </w:rPr>
            </w:pPr>
            <w:r w:rsidRPr="00BF6734">
              <w:rPr>
                <w:rFonts w:asciiTheme="minorHAnsi" w:hAnsiTheme="minorHAnsi"/>
                <w:b/>
              </w:rPr>
              <w:t>2013-14</w:t>
            </w:r>
            <w:r>
              <w:rPr>
                <w:rFonts w:asciiTheme="minorHAnsi" w:hAnsiTheme="minorHAnsi"/>
                <w:b/>
              </w:rPr>
              <w:t xml:space="preserve">  </w:t>
            </w:r>
          </w:p>
        </w:tc>
        <w:tc>
          <w:tcPr>
            <w:tcW w:w="897" w:type="pct"/>
          </w:tcPr>
          <w:p w14:paraId="1FC5D3AB" w14:textId="40EC4632" w:rsidR="00CB37BD" w:rsidRDefault="006C116A" w:rsidP="00CB37BD">
            <w:pPr>
              <w:spacing w:before="120" w:after="120"/>
              <w:rPr>
                <w:rFonts w:asciiTheme="minorHAnsi" w:hAnsiTheme="minorHAnsi"/>
                <w:b/>
              </w:rPr>
            </w:pPr>
            <w:r>
              <w:rPr>
                <w:rFonts w:asciiTheme="minorHAnsi" w:hAnsiTheme="minorHAnsi"/>
                <w:b/>
              </w:rPr>
              <w:t>Patients</w:t>
            </w:r>
            <w:r w:rsidR="00CB37BD">
              <w:rPr>
                <w:rFonts w:asciiTheme="minorHAnsi" w:hAnsiTheme="minorHAnsi"/>
                <w:b/>
              </w:rPr>
              <w:t xml:space="preserve"> treated:  </w:t>
            </w:r>
          </w:p>
          <w:p w14:paraId="27C282DA" w14:textId="77777777" w:rsidR="006C116A" w:rsidRPr="006C116A" w:rsidRDefault="00CB37BD" w:rsidP="006C116A">
            <w:pPr>
              <w:rPr>
                <w:rFonts w:asciiTheme="minorHAnsi" w:hAnsiTheme="minorHAnsi" w:cs="Times New Roman"/>
              </w:rPr>
            </w:pPr>
            <w:r>
              <w:rPr>
                <w:rFonts w:asciiTheme="minorHAnsi" w:hAnsiTheme="minorHAnsi"/>
                <w:b/>
              </w:rPr>
              <w:t xml:space="preserve"> </w:t>
            </w:r>
            <w:r w:rsidR="006C116A" w:rsidRPr="006C116A">
              <w:rPr>
                <w:rFonts w:asciiTheme="minorHAnsi" w:hAnsiTheme="minorHAnsi" w:cs="Times New Roman"/>
              </w:rPr>
              <w:t xml:space="preserve">342 post </w:t>
            </w:r>
            <w:proofErr w:type="spellStart"/>
            <w:r w:rsidR="006C116A" w:rsidRPr="006C116A">
              <w:rPr>
                <w:rFonts w:asciiTheme="minorHAnsi" w:hAnsiTheme="minorHAnsi" w:cs="Times New Roman"/>
              </w:rPr>
              <w:t>tx</w:t>
            </w:r>
            <w:proofErr w:type="spellEnd"/>
            <w:r w:rsidR="006C116A" w:rsidRPr="006C116A">
              <w:rPr>
                <w:rFonts w:asciiTheme="minorHAnsi" w:hAnsiTheme="minorHAnsi" w:cs="Times New Roman"/>
              </w:rPr>
              <w:t xml:space="preserve"> (2%) </w:t>
            </w:r>
          </w:p>
          <w:p w14:paraId="068FACED" w14:textId="50E9BF43" w:rsidR="006C116A" w:rsidRPr="006C116A" w:rsidRDefault="006C116A" w:rsidP="006C116A">
            <w:pPr>
              <w:rPr>
                <w:rFonts w:asciiTheme="minorHAnsi" w:hAnsiTheme="minorHAnsi" w:cs="Times New Roman"/>
              </w:rPr>
            </w:pPr>
            <w:r w:rsidRPr="006C116A">
              <w:rPr>
                <w:rFonts w:asciiTheme="minorHAnsi" w:hAnsiTheme="minorHAnsi" w:cs="Times New Roman"/>
              </w:rPr>
              <w:t xml:space="preserve">   91 pre-</w:t>
            </w:r>
            <w:proofErr w:type="spellStart"/>
            <w:r w:rsidRPr="006C116A">
              <w:rPr>
                <w:rFonts w:asciiTheme="minorHAnsi" w:hAnsiTheme="minorHAnsi" w:cs="Times New Roman"/>
              </w:rPr>
              <w:t>tx</w:t>
            </w:r>
            <w:proofErr w:type="spellEnd"/>
            <w:r w:rsidRPr="006C116A">
              <w:rPr>
                <w:rFonts w:asciiTheme="minorHAnsi" w:hAnsiTheme="minorHAnsi" w:cs="Times New Roman"/>
              </w:rPr>
              <w:t xml:space="preserve"> (&lt;1%)</w:t>
            </w:r>
          </w:p>
          <w:p w14:paraId="03560C95" w14:textId="325B4BE7" w:rsidR="006C116A" w:rsidRPr="00BF6734" w:rsidRDefault="006C116A" w:rsidP="006C116A">
            <w:pPr>
              <w:spacing w:before="120" w:after="120"/>
              <w:rPr>
                <w:rFonts w:asciiTheme="minorHAnsi" w:hAnsiTheme="minorHAnsi"/>
              </w:rPr>
            </w:pPr>
            <w:r>
              <w:rPr>
                <w:rFonts w:asciiTheme="minorHAnsi" w:hAnsiTheme="minorHAnsi"/>
                <w:b/>
              </w:rPr>
              <w:t xml:space="preserve">Usage : 1% </w:t>
            </w:r>
          </w:p>
        </w:tc>
        <w:tc>
          <w:tcPr>
            <w:tcW w:w="1548" w:type="pct"/>
          </w:tcPr>
          <w:p w14:paraId="68C57217" w14:textId="659BE290" w:rsidR="00CB37BD" w:rsidRDefault="00CB37BD" w:rsidP="00CB37BD">
            <w:pPr>
              <w:ind w:left="-43" w:right="90"/>
              <w:rPr>
                <w:rFonts w:asciiTheme="minorHAnsi" w:hAnsiTheme="minorHAnsi"/>
                <w:sz w:val="24"/>
                <w:szCs w:val="24"/>
              </w:rPr>
            </w:pPr>
            <w:r>
              <w:rPr>
                <w:rFonts w:asciiTheme="minorHAnsi" w:hAnsiTheme="minorHAnsi"/>
              </w:rPr>
              <w:t xml:space="preserve"> </w:t>
            </w:r>
            <w:r>
              <w:rPr>
                <w:rFonts w:asciiTheme="minorHAnsi" w:hAnsiTheme="minorHAnsi"/>
                <w:sz w:val="24"/>
                <w:szCs w:val="24"/>
              </w:rPr>
              <w:t>No impact on demand is expected from these changes. There is u</w:t>
            </w:r>
            <w:r w:rsidRPr="00CE379E">
              <w:rPr>
                <w:rFonts w:asciiTheme="minorHAnsi" w:hAnsiTheme="minorHAnsi"/>
                <w:sz w:val="24"/>
                <w:szCs w:val="24"/>
              </w:rPr>
              <w:t xml:space="preserve">nlikely to be significant change in </w:t>
            </w:r>
            <w:r w:rsidR="006C116A">
              <w:rPr>
                <w:rFonts w:asciiTheme="minorHAnsi" w:hAnsiTheme="minorHAnsi"/>
                <w:sz w:val="24"/>
                <w:szCs w:val="24"/>
              </w:rPr>
              <w:t>variable practice</w:t>
            </w:r>
            <w:r w:rsidRPr="00CE379E">
              <w:rPr>
                <w:rFonts w:asciiTheme="minorHAnsi" w:hAnsiTheme="minorHAnsi"/>
                <w:sz w:val="24"/>
                <w:szCs w:val="24"/>
              </w:rPr>
              <w:t xml:space="preserve"> until data becomes available for analysis to compare differences in usage and identify contributing reasons.  </w:t>
            </w:r>
          </w:p>
          <w:p w14:paraId="172D7238" w14:textId="7151C37C" w:rsidR="006C116A" w:rsidRPr="00BF6734" w:rsidRDefault="006C116A" w:rsidP="00CB37BD">
            <w:pPr>
              <w:ind w:left="-43" w:right="90"/>
              <w:rPr>
                <w:rFonts w:asciiTheme="minorHAnsi" w:hAnsiTheme="minorHAnsi"/>
                <w:b/>
              </w:rPr>
            </w:pPr>
          </w:p>
        </w:tc>
        <w:tc>
          <w:tcPr>
            <w:tcW w:w="1642" w:type="pct"/>
          </w:tcPr>
          <w:p w14:paraId="458389C3" w14:textId="3DA8A6F9" w:rsidR="00CB37BD" w:rsidRPr="00BF6734" w:rsidRDefault="00CB37BD" w:rsidP="00CB37BD">
            <w:pPr>
              <w:spacing w:before="120" w:after="120"/>
              <w:rPr>
                <w:rFonts w:asciiTheme="minorHAnsi" w:hAnsiTheme="minorHAnsi"/>
              </w:rPr>
            </w:pPr>
          </w:p>
        </w:tc>
      </w:tr>
      <w:tr w:rsidR="00CB37BD" w:rsidRPr="00BF6734" w14:paraId="24DA0A32" w14:textId="77777777" w:rsidTr="006C116A">
        <w:tc>
          <w:tcPr>
            <w:tcW w:w="5000" w:type="pct"/>
            <w:gridSpan w:val="4"/>
            <w:shd w:val="clear" w:color="auto" w:fill="DBE5F1" w:themeFill="accent1" w:themeFillTint="33"/>
          </w:tcPr>
          <w:p w14:paraId="1FC35D2B" w14:textId="77777777" w:rsidR="00CB37BD" w:rsidRPr="00BF6734" w:rsidRDefault="00CB37BD" w:rsidP="00CB37BD">
            <w:pPr>
              <w:spacing w:before="120" w:after="120"/>
              <w:rPr>
                <w:rFonts w:asciiTheme="minorHAnsi" w:hAnsiTheme="minorHAnsi"/>
                <w:b/>
              </w:rPr>
            </w:pPr>
            <w:r w:rsidRPr="00BF6734">
              <w:rPr>
                <w:rFonts w:asciiTheme="minorHAnsi" w:hAnsiTheme="minorHAnsi"/>
                <w:b/>
              </w:rPr>
              <w:t>POTENTIAL IMPACT ON COST</w:t>
            </w:r>
          </w:p>
        </w:tc>
      </w:tr>
      <w:tr w:rsidR="00CB37BD" w:rsidRPr="00BF6734" w14:paraId="79C43854" w14:textId="77777777" w:rsidTr="006C116A">
        <w:tc>
          <w:tcPr>
            <w:tcW w:w="913" w:type="pct"/>
          </w:tcPr>
          <w:p w14:paraId="5BC5F641" w14:textId="77777777" w:rsidR="00CB37BD" w:rsidRPr="00BF6734" w:rsidRDefault="00CB37BD" w:rsidP="00CB37BD">
            <w:pPr>
              <w:spacing w:before="120" w:after="120"/>
              <w:rPr>
                <w:rFonts w:asciiTheme="minorHAnsi" w:hAnsiTheme="minorHAnsi"/>
                <w:b/>
              </w:rPr>
            </w:pPr>
            <w:r w:rsidRPr="00BF6734">
              <w:rPr>
                <w:rFonts w:asciiTheme="minorHAnsi" w:hAnsiTheme="minorHAnsi"/>
                <w:b/>
              </w:rPr>
              <w:t>Current cost</w:t>
            </w:r>
          </w:p>
        </w:tc>
        <w:tc>
          <w:tcPr>
            <w:tcW w:w="897" w:type="pct"/>
          </w:tcPr>
          <w:p w14:paraId="54851080" w14:textId="77777777" w:rsidR="00CB37BD" w:rsidRPr="00BF6734" w:rsidRDefault="00CB37BD" w:rsidP="00CB37BD">
            <w:pPr>
              <w:spacing w:before="120" w:after="120"/>
              <w:rPr>
                <w:rFonts w:asciiTheme="minorHAnsi" w:hAnsiTheme="minorHAnsi"/>
              </w:rPr>
            </w:pPr>
          </w:p>
        </w:tc>
        <w:tc>
          <w:tcPr>
            <w:tcW w:w="1548" w:type="pct"/>
          </w:tcPr>
          <w:p w14:paraId="0FD6E621" w14:textId="77777777" w:rsidR="00CB37BD" w:rsidRPr="00BF6734" w:rsidRDefault="00CB37BD" w:rsidP="00CB37BD">
            <w:pPr>
              <w:spacing w:before="120" w:after="120"/>
              <w:rPr>
                <w:rFonts w:asciiTheme="minorHAnsi" w:hAnsiTheme="minorHAnsi"/>
                <w:b/>
              </w:rPr>
            </w:pPr>
            <w:r w:rsidRPr="00BF6734">
              <w:rPr>
                <w:rFonts w:asciiTheme="minorHAnsi" w:hAnsiTheme="minorHAnsi"/>
                <w:b/>
              </w:rPr>
              <w:t>Anticipated reduction in cost, if any</w:t>
            </w:r>
          </w:p>
          <w:p w14:paraId="42473B7B" w14:textId="77777777" w:rsidR="00CB37BD" w:rsidRPr="00BF6734" w:rsidRDefault="00CB37BD" w:rsidP="00CB37BD">
            <w:pPr>
              <w:spacing w:before="120" w:after="120"/>
              <w:rPr>
                <w:rFonts w:asciiTheme="minorHAnsi" w:hAnsiTheme="minorHAnsi"/>
              </w:rPr>
            </w:pPr>
            <w:r w:rsidRPr="00BF6734">
              <w:rPr>
                <w:rFonts w:asciiTheme="minorHAnsi" w:hAnsiTheme="minorHAnsi"/>
                <w:b/>
              </w:rPr>
              <w:lastRenderedPageBreak/>
              <w:t>Marginal</w:t>
            </w:r>
            <w:r w:rsidRPr="00BF6734">
              <w:rPr>
                <w:rFonts w:asciiTheme="minorHAnsi" w:hAnsiTheme="minorHAnsi"/>
              </w:rPr>
              <w:t xml:space="preserve"> = borderline or unchanged from current cost</w:t>
            </w:r>
          </w:p>
          <w:p w14:paraId="41C1C011" w14:textId="77777777" w:rsidR="00CB37BD" w:rsidRPr="00BF6734" w:rsidRDefault="00CB37BD" w:rsidP="00CB37BD">
            <w:pPr>
              <w:spacing w:before="120" w:after="120"/>
              <w:rPr>
                <w:rFonts w:asciiTheme="minorHAnsi" w:hAnsiTheme="minorHAnsi"/>
              </w:rPr>
            </w:pPr>
            <w:r w:rsidRPr="00BF6734">
              <w:rPr>
                <w:rFonts w:asciiTheme="minorHAnsi" w:hAnsiTheme="minorHAnsi"/>
                <w:b/>
              </w:rPr>
              <w:t>Minor</w:t>
            </w:r>
            <w:r w:rsidRPr="00BF6734">
              <w:rPr>
                <w:rFonts w:asciiTheme="minorHAnsi" w:hAnsiTheme="minorHAnsi"/>
              </w:rPr>
              <w:t xml:space="preserve"> = decrease by $500K - $1.99M from current cost</w:t>
            </w:r>
          </w:p>
          <w:p w14:paraId="40F2129C" w14:textId="77777777" w:rsidR="00CB37BD" w:rsidRPr="00BF6734" w:rsidRDefault="00CB37BD" w:rsidP="00CB37BD">
            <w:pPr>
              <w:spacing w:before="120" w:after="120"/>
              <w:rPr>
                <w:rFonts w:asciiTheme="minorHAnsi" w:hAnsiTheme="minorHAnsi"/>
                <w:b/>
              </w:rPr>
            </w:pPr>
            <w:r w:rsidRPr="00BF6734">
              <w:rPr>
                <w:rFonts w:asciiTheme="minorHAnsi" w:hAnsiTheme="minorHAnsi"/>
                <w:b/>
              </w:rPr>
              <w:t>Major</w:t>
            </w:r>
            <w:r w:rsidRPr="00BF6734">
              <w:rPr>
                <w:rFonts w:asciiTheme="minorHAnsi" w:hAnsiTheme="minorHAnsi"/>
              </w:rPr>
              <w:t xml:space="preserve"> =  decrease $2M+ from current cost</w:t>
            </w:r>
          </w:p>
        </w:tc>
        <w:tc>
          <w:tcPr>
            <w:tcW w:w="1642" w:type="pct"/>
          </w:tcPr>
          <w:p w14:paraId="21C0BA9F" w14:textId="77777777" w:rsidR="00CB37BD" w:rsidRPr="00BF6734" w:rsidRDefault="00CB37BD" w:rsidP="00CB37BD">
            <w:pPr>
              <w:spacing w:before="120" w:after="120"/>
              <w:rPr>
                <w:rFonts w:asciiTheme="minorHAnsi" w:hAnsiTheme="minorHAnsi"/>
                <w:b/>
              </w:rPr>
            </w:pPr>
            <w:r w:rsidRPr="00BF6734">
              <w:rPr>
                <w:rFonts w:asciiTheme="minorHAnsi" w:hAnsiTheme="minorHAnsi"/>
                <w:b/>
              </w:rPr>
              <w:lastRenderedPageBreak/>
              <w:t>Marginal</w:t>
            </w:r>
          </w:p>
        </w:tc>
      </w:tr>
      <w:tr w:rsidR="00CB37BD" w:rsidRPr="00BF6734" w14:paraId="01170F79" w14:textId="77777777" w:rsidTr="006C116A">
        <w:tc>
          <w:tcPr>
            <w:tcW w:w="5000" w:type="pct"/>
            <w:gridSpan w:val="4"/>
            <w:shd w:val="clear" w:color="auto" w:fill="DBE5F1" w:themeFill="accent1" w:themeFillTint="33"/>
          </w:tcPr>
          <w:p w14:paraId="77B1F529" w14:textId="77777777" w:rsidR="00CB37BD" w:rsidRPr="00BF6734" w:rsidRDefault="00CB37BD" w:rsidP="00CB37BD">
            <w:pPr>
              <w:spacing w:before="120" w:after="120"/>
              <w:jc w:val="center"/>
              <w:rPr>
                <w:rFonts w:asciiTheme="minorHAnsi" w:hAnsiTheme="minorHAnsi"/>
                <w:b/>
              </w:rPr>
            </w:pPr>
            <w:r w:rsidRPr="00BF6734">
              <w:rPr>
                <w:rFonts w:asciiTheme="minorHAnsi" w:hAnsiTheme="minorHAnsi"/>
                <w:b/>
              </w:rPr>
              <w:lastRenderedPageBreak/>
              <w:t>BIBLIOGRAPHY</w:t>
            </w:r>
          </w:p>
        </w:tc>
      </w:tr>
      <w:tr w:rsidR="00CB37BD" w:rsidRPr="00BF6734" w14:paraId="1ABAE066" w14:textId="77777777" w:rsidTr="006C116A">
        <w:tc>
          <w:tcPr>
            <w:tcW w:w="5000" w:type="pct"/>
            <w:gridSpan w:val="4"/>
            <w:shd w:val="clear" w:color="auto" w:fill="auto"/>
          </w:tcPr>
          <w:p w14:paraId="201682EF" w14:textId="77777777" w:rsidR="00254E23" w:rsidRPr="00254E23" w:rsidRDefault="00254E23" w:rsidP="00254E23">
            <w:pPr>
              <w:pStyle w:val="heading"/>
              <w:spacing w:before="0" w:beforeAutospacing="0" w:after="0" w:afterAutospacing="0" w:line="360" w:lineRule="atLeast"/>
              <w:contextualSpacing/>
              <w:rPr>
                <w:rFonts w:ascii="Lucida Sans" w:hAnsi="Lucida Sans"/>
                <w:b w:val="0"/>
                <w:sz w:val="20"/>
                <w:szCs w:val="20"/>
                <w:lang w:val="en"/>
              </w:rPr>
            </w:pPr>
            <w:proofErr w:type="spellStart"/>
            <w:r w:rsidRPr="00254E23">
              <w:rPr>
                <w:rFonts w:ascii="Lucida Sans" w:hAnsi="Lucida Sans"/>
                <w:b w:val="0"/>
                <w:sz w:val="20"/>
                <w:szCs w:val="20"/>
                <w:lang w:val="en"/>
              </w:rPr>
              <w:t>Ahsan</w:t>
            </w:r>
            <w:proofErr w:type="spellEnd"/>
            <w:r w:rsidRPr="00254E23">
              <w:rPr>
                <w:rFonts w:ascii="Lucida Sans" w:hAnsi="Lucida Sans"/>
                <w:b w:val="0"/>
                <w:sz w:val="20"/>
                <w:szCs w:val="20"/>
                <w:lang w:val="en"/>
              </w:rPr>
              <w:t>, N &amp; Shah, KV 2002, ‘</w:t>
            </w:r>
            <w:proofErr w:type="spellStart"/>
            <w:r w:rsidRPr="00254E23">
              <w:rPr>
                <w:rFonts w:ascii="Lucida Sans" w:hAnsi="Lucida Sans"/>
                <w:b w:val="0"/>
                <w:sz w:val="20"/>
                <w:szCs w:val="20"/>
                <w:lang w:val="en"/>
              </w:rPr>
              <w:t>Polyomaviruses</w:t>
            </w:r>
            <w:proofErr w:type="spellEnd"/>
            <w:r w:rsidRPr="00254E23">
              <w:rPr>
                <w:rFonts w:ascii="Lucida Sans" w:hAnsi="Lucida Sans"/>
                <w:b w:val="0"/>
                <w:sz w:val="20"/>
                <w:szCs w:val="20"/>
                <w:lang w:val="en"/>
              </w:rPr>
              <w:t xml:space="preserve">: an overview’, </w:t>
            </w:r>
            <w:r w:rsidRPr="00254E23">
              <w:rPr>
                <w:rStyle w:val="Emphasis"/>
                <w:rFonts w:ascii="Lucida Sans" w:hAnsi="Lucida Sans"/>
                <w:b w:val="0"/>
                <w:sz w:val="20"/>
                <w:szCs w:val="20"/>
                <w:lang w:val="en"/>
              </w:rPr>
              <w:t>Graft</w:t>
            </w:r>
            <w:r w:rsidRPr="00254E23">
              <w:rPr>
                <w:rFonts w:ascii="Lucida Sans" w:hAnsi="Lucida Sans"/>
                <w:b w:val="0"/>
                <w:sz w:val="20"/>
                <w:szCs w:val="20"/>
                <w:lang w:val="en"/>
              </w:rPr>
              <w:t>, vol. 5, pp. S9–18.</w:t>
            </w:r>
          </w:p>
          <w:p w14:paraId="1AA9DA7A" w14:textId="77777777" w:rsidR="00254E23" w:rsidRPr="00254E23" w:rsidRDefault="00254E23" w:rsidP="00254E23">
            <w:pPr>
              <w:pStyle w:val="NormalWeb"/>
              <w:spacing w:before="0" w:beforeAutospacing="0" w:after="0" w:afterAutospacing="0" w:line="360" w:lineRule="atLeast"/>
              <w:contextualSpacing/>
              <w:rPr>
                <w:rFonts w:ascii="Lucida Sans" w:hAnsi="Lucida Sans"/>
                <w:color w:val="000000"/>
                <w:sz w:val="20"/>
                <w:szCs w:val="20"/>
                <w:lang w:val="en"/>
              </w:rPr>
            </w:pPr>
            <w:r w:rsidRPr="00254E23">
              <w:rPr>
                <w:rFonts w:asciiTheme="minorHAnsi" w:hAnsiTheme="minorHAnsi"/>
                <w:color w:val="000000"/>
              </w:rPr>
              <w:t xml:space="preserve">Banff 2013 Meeting Report, 2014, American Journal of Transplantation, </w:t>
            </w:r>
            <w:proofErr w:type="spellStart"/>
            <w:r w:rsidRPr="00254E23">
              <w:rPr>
                <w:rFonts w:asciiTheme="minorHAnsi" w:hAnsiTheme="minorHAnsi"/>
                <w:color w:val="000000"/>
              </w:rPr>
              <w:t>vol</w:t>
            </w:r>
            <w:proofErr w:type="spellEnd"/>
            <w:r w:rsidRPr="00254E23">
              <w:rPr>
                <w:rFonts w:asciiTheme="minorHAnsi" w:hAnsiTheme="minorHAnsi"/>
                <w:color w:val="000000"/>
              </w:rPr>
              <w:t xml:space="preserve"> 14, pp272-283 </w:t>
            </w:r>
          </w:p>
          <w:p w14:paraId="012F3106" w14:textId="77777777" w:rsidR="00254E23" w:rsidRPr="00254E23" w:rsidRDefault="00254E23" w:rsidP="00254E23">
            <w:pPr>
              <w:pStyle w:val="NormalWeb"/>
              <w:spacing w:before="0" w:beforeAutospacing="0" w:after="0" w:afterAutospacing="0" w:line="360" w:lineRule="atLeast"/>
              <w:contextualSpacing/>
              <w:rPr>
                <w:rFonts w:ascii="Lucida Sans" w:hAnsi="Lucida Sans"/>
                <w:color w:val="000000"/>
                <w:sz w:val="20"/>
                <w:szCs w:val="20"/>
                <w:lang w:val="en"/>
              </w:rPr>
            </w:pPr>
            <w:proofErr w:type="spellStart"/>
            <w:r w:rsidRPr="00254E23">
              <w:rPr>
                <w:rFonts w:ascii="Lucida Sans" w:hAnsi="Lucida Sans"/>
                <w:color w:val="000000"/>
                <w:sz w:val="20"/>
                <w:szCs w:val="20"/>
                <w:lang w:val="en"/>
              </w:rPr>
              <w:t>Biotext</w:t>
            </w:r>
            <w:proofErr w:type="spellEnd"/>
            <w:r w:rsidRPr="00254E23">
              <w:rPr>
                <w:rFonts w:ascii="Lucida Sans" w:hAnsi="Lucida Sans"/>
                <w:color w:val="000000"/>
                <w:sz w:val="20"/>
                <w:szCs w:val="20"/>
                <w:lang w:val="en"/>
              </w:rPr>
              <w:t xml:space="preserve"> 2004, ‘Summary data on conditions and papers’, in</w:t>
            </w:r>
            <w:r w:rsidRPr="00254E23">
              <w:rPr>
                <w:rStyle w:val="Emphasis"/>
                <w:rFonts w:ascii="Lucida Sans" w:hAnsi="Lucida Sans"/>
                <w:color w:val="000000"/>
                <w:sz w:val="20"/>
                <w:szCs w:val="20"/>
                <w:lang w:val="en"/>
              </w:rPr>
              <w:t xml:space="preserve"> A systematic literature review and report on the efficacy of intravenous immunoglobulin therapy and its risks</w:t>
            </w:r>
            <w:r w:rsidRPr="00254E23">
              <w:rPr>
                <w:rFonts w:ascii="Lucida Sans" w:hAnsi="Lucida Sans"/>
                <w:color w:val="000000"/>
                <w:sz w:val="20"/>
                <w:szCs w:val="20"/>
                <w:lang w:val="en"/>
              </w:rPr>
              <w:t xml:space="preserve">, commissioned by the National Blood Authority on behalf of all Australian Governments, pp. 86–7. Available from: </w:t>
            </w:r>
            <w:hyperlink r:id="rId11" w:tooltip="http://www.nba.gov.au/pubs/pdf/report-lit-rev.pdf" w:history="1">
              <w:r w:rsidRPr="00254E23">
                <w:rPr>
                  <w:rStyle w:val="Hyperlink"/>
                  <w:rFonts w:ascii="Lucida Sans" w:eastAsia="HYGothic-Extra" w:hAnsi="Lucida Sans"/>
                  <w:sz w:val="20"/>
                  <w:szCs w:val="20"/>
                  <w:lang w:val="en"/>
                </w:rPr>
                <w:t>http://www.nba.gov.au/pubs/pdf/report-lit-rev.pdf</w:t>
              </w:r>
            </w:hyperlink>
            <w:r w:rsidRPr="00254E23">
              <w:rPr>
                <w:rFonts w:ascii="Lucida Sans" w:hAnsi="Lucida Sans"/>
                <w:color w:val="000000"/>
                <w:sz w:val="20"/>
                <w:szCs w:val="20"/>
                <w:lang w:val="en"/>
              </w:rPr>
              <w:t>.</w:t>
            </w:r>
          </w:p>
          <w:p w14:paraId="0A785739" w14:textId="77777777" w:rsidR="00254E23" w:rsidRPr="00254E23" w:rsidRDefault="00254E23" w:rsidP="00254E23">
            <w:pPr>
              <w:pStyle w:val="NormalWeb"/>
              <w:spacing w:before="0" w:beforeAutospacing="0" w:after="0" w:afterAutospacing="0" w:line="360" w:lineRule="atLeast"/>
              <w:contextualSpacing/>
              <w:rPr>
                <w:rFonts w:ascii="Lucida Sans" w:hAnsi="Lucida Sans"/>
                <w:color w:val="000000"/>
                <w:sz w:val="20"/>
                <w:szCs w:val="20"/>
                <w:lang w:val="en"/>
              </w:rPr>
            </w:pPr>
            <w:proofErr w:type="spellStart"/>
            <w:r w:rsidRPr="00254E23">
              <w:rPr>
                <w:rFonts w:ascii="Lucida Sans" w:hAnsi="Lucida Sans"/>
                <w:color w:val="000000"/>
                <w:sz w:val="20"/>
                <w:szCs w:val="20"/>
                <w:lang w:val="en"/>
              </w:rPr>
              <w:t>Casadei</w:t>
            </w:r>
            <w:proofErr w:type="spellEnd"/>
            <w:r w:rsidRPr="00254E23">
              <w:rPr>
                <w:rFonts w:ascii="Lucida Sans" w:hAnsi="Lucida Sans"/>
                <w:color w:val="000000"/>
                <w:sz w:val="20"/>
                <w:szCs w:val="20"/>
                <w:lang w:val="en"/>
              </w:rPr>
              <w:t xml:space="preserve">, DH, del C </w:t>
            </w:r>
            <w:proofErr w:type="spellStart"/>
            <w:r w:rsidRPr="00254E23">
              <w:rPr>
                <w:rFonts w:ascii="Lucida Sans" w:hAnsi="Lucida Sans"/>
                <w:color w:val="000000"/>
                <w:sz w:val="20"/>
                <w:szCs w:val="20"/>
                <w:lang w:val="en"/>
              </w:rPr>
              <w:t>Rial</w:t>
            </w:r>
            <w:proofErr w:type="spellEnd"/>
            <w:r w:rsidRPr="00254E23">
              <w:rPr>
                <w:rFonts w:ascii="Lucida Sans" w:hAnsi="Lucida Sans"/>
                <w:color w:val="000000"/>
                <w:sz w:val="20"/>
                <w:szCs w:val="20"/>
                <w:lang w:val="en"/>
              </w:rPr>
              <w:t xml:space="preserve">, M, </w:t>
            </w:r>
            <w:proofErr w:type="spellStart"/>
            <w:r w:rsidRPr="00254E23">
              <w:rPr>
                <w:rFonts w:ascii="Lucida Sans" w:hAnsi="Lucida Sans"/>
                <w:color w:val="000000"/>
                <w:sz w:val="20"/>
                <w:szCs w:val="20"/>
                <w:lang w:val="en"/>
              </w:rPr>
              <w:t>Opelz</w:t>
            </w:r>
            <w:proofErr w:type="spellEnd"/>
            <w:r w:rsidRPr="00254E23">
              <w:rPr>
                <w:rFonts w:ascii="Lucida Sans" w:hAnsi="Lucida Sans"/>
                <w:color w:val="000000"/>
                <w:sz w:val="20"/>
                <w:szCs w:val="20"/>
                <w:lang w:val="en"/>
              </w:rPr>
              <w:t xml:space="preserve">, G, et al 2001, ‘A </w:t>
            </w:r>
            <w:proofErr w:type="spellStart"/>
            <w:r w:rsidRPr="00254E23">
              <w:rPr>
                <w:rFonts w:ascii="Lucida Sans" w:hAnsi="Lucida Sans"/>
                <w:color w:val="000000"/>
                <w:sz w:val="20"/>
                <w:szCs w:val="20"/>
                <w:lang w:val="en"/>
              </w:rPr>
              <w:t>randomised</w:t>
            </w:r>
            <w:proofErr w:type="spellEnd"/>
            <w:r w:rsidRPr="00254E23">
              <w:rPr>
                <w:rFonts w:ascii="Lucida Sans" w:hAnsi="Lucida Sans"/>
                <w:color w:val="000000"/>
                <w:sz w:val="20"/>
                <w:szCs w:val="20"/>
                <w:lang w:val="en"/>
              </w:rPr>
              <w:t xml:space="preserve"> and prospective study comparing treatment with high-dose intravenous immunoglobulin with monoclonal antibodies for rescue of kidney grafts with steroid-resistant rejection’, </w:t>
            </w:r>
            <w:r w:rsidRPr="00254E23">
              <w:rPr>
                <w:rStyle w:val="Emphasis"/>
                <w:rFonts w:ascii="Lucida Sans" w:hAnsi="Lucida Sans"/>
                <w:color w:val="000000"/>
                <w:sz w:val="20"/>
                <w:szCs w:val="20"/>
                <w:lang w:val="en"/>
              </w:rPr>
              <w:t>Transplantation</w:t>
            </w:r>
            <w:r w:rsidRPr="00254E23">
              <w:rPr>
                <w:rFonts w:ascii="Lucida Sans" w:hAnsi="Lucida Sans"/>
                <w:color w:val="000000"/>
                <w:sz w:val="20"/>
                <w:szCs w:val="20"/>
                <w:lang w:val="en"/>
              </w:rPr>
              <w:t>, vol. 71, no. 1, pp. 53–8.</w:t>
            </w:r>
          </w:p>
          <w:p w14:paraId="45B6E758" w14:textId="77777777" w:rsidR="00254E23" w:rsidRPr="00254E23" w:rsidRDefault="00254E23" w:rsidP="00254E23">
            <w:pPr>
              <w:pStyle w:val="NormalWeb"/>
              <w:spacing w:before="0" w:beforeAutospacing="0" w:after="0" w:afterAutospacing="0" w:line="360" w:lineRule="atLeast"/>
              <w:contextualSpacing/>
              <w:rPr>
                <w:rFonts w:ascii="Lucida Sans" w:hAnsi="Lucida Sans"/>
                <w:color w:val="000000"/>
                <w:sz w:val="20"/>
                <w:szCs w:val="20"/>
                <w:lang w:val="en"/>
              </w:rPr>
            </w:pPr>
            <w:r w:rsidRPr="00254E23">
              <w:rPr>
                <w:rFonts w:ascii="Lucida Sans" w:hAnsi="Lucida Sans"/>
                <w:color w:val="000000"/>
                <w:sz w:val="20"/>
                <w:szCs w:val="20"/>
                <w:lang w:val="en"/>
              </w:rPr>
              <w:t xml:space="preserve">Conti, DJ, Freed, BM, Gruber, SA, et al 1994, ‘Prophylaxis of primary cytomegalovirus disease in renal transplant recipients. A trial of </w:t>
            </w:r>
            <w:proofErr w:type="spellStart"/>
            <w:r w:rsidRPr="00254E23">
              <w:rPr>
                <w:rFonts w:ascii="Lucida Sans" w:hAnsi="Lucida Sans"/>
                <w:color w:val="000000"/>
                <w:sz w:val="20"/>
                <w:szCs w:val="20"/>
                <w:lang w:val="en"/>
              </w:rPr>
              <w:t>gancyclovir</w:t>
            </w:r>
            <w:proofErr w:type="spellEnd"/>
            <w:r w:rsidRPr="00254E23">
              <w:rPr>
                <w:rFonts w:ascii="Lucida Sans" w:hAnsi="Lucida Sans"/>
                <w:color w:val="000000"/>
                <w:sz w:val="20"/>
                <w:szCs w:val="20"/>
                <w:lang w:val="en"/>
              </w:rPr>
              <w:t xml:space="preserve"> vs. immunoglobulin’, </w:t>
            </w:r>
            <w:r w:rsidRPr="00254E23">
              <w:rPr>
                <w:rStyle w:val="Emphasis"/>
                <w:rFonts w:ascii="Lucida Sans" w:hAnsi="Lucida Sans"/>
                <w:color w:val="000000"/>
                <w:sz w:val="20"/>
                <w:szCs w:val="20"/>
                <w:lang w:val="en"/>
              </w:rPr>
              <w:t>Archives of Surgery</w:t>
            </w:r>
            <w:r w:rsidRPr="00254E23">
              <w:rPr>
                <w:rFonts w:ascii="Lucida Sans" w:hAnsi="Lucida Sans"/>
                <w:color w:val="000000"/>
                <w:sz w:val="20"/>
                <w:szCs w:val="20"/>
                <w:lang w:val="en"/>
              </w:rPr>
              <w:t xml:space="preserve">, vol. 129, no. 4, </w:t>
            </w:r>
            <w:proofErr w:type="gramStart"/>
            <w:r w:rsidRPr="00254E23">
              <w:rPr>
                <w:rFonts w:ascii="Lucida Sans" w:hAnsi="Lucida Sans"/>
                <w:color w:val="000000"/>
                <w:sz w:val="20"/>
                <w:szCs w:val="20"/>
                <w:lang w:val="en"/>
              </w:rPr>
              <w:t>pp</w:t>
            </w:r>
            <w:proofErr w:type="gramEnd"/>
            <w:r w:rsidRPr="00254E23">
              <w:rPr>
                <w:rFonts w:ascii="Lucida Sans" w:hAnsi="Lucida Sans"/>
                <w:color w:val="000000"/>
                <w:sz w:val="20"/>
                <w:szCs w:val="20"/>
                <w:lang w:val="en"/>
              </w:rPr>
              <w:t>. 443–7.</w:t>
            </w:r>
          </w:p>
          <w:p w14:paraId="1043E89B" w14:textId="77777777" w:rsidR="00254E23" w:rsidRPr="00254E23" w:rsidRDefault="00254E23" w:rsidP="00254E23">
            <w:pPr>
              <w:pStyle w:val="NormalWeb"/>
              <w:spacing w:before="0" w:beforeAutospacing="0" w:after="0" w:afterAutospacing="0" w:line="360" w:lineRule="atLeast"/>
              <w:contextualSpacing/>
              <w:rPr>
                <w:rFonts w:ascii="Lucida Sans" w:hAnsi="Lucida Sans"/>
                <w:color w:val="000000"/>
                <w:sz w:val="20"/>
                <w:szCs w:val="20"/>
                <w:lang w:val="en"/>
              </w:rPr>
            </w:pPr>
            <w:proofErr w:type="spellStart"/>
            <w:r w:rsidRPr="00254E23">
              <w:rPr>
                <w:rFonts w:ascii="Lucida Sans" w:hAnsi="Lucida Sans"/>
                <w:color w:val="000000"/>
                <w:sz w:val="20"/>
                <w:szCs w:val="20"/>
                <w:lang w:val="en"/>
              </w:rPr>
              <w:t>Frommer</w:t>
            </w:r>
            <w:proofErr w:type="spellEnd"/>
            <w:r w:rsidRPr="00254E23">
              <w:rPr>
                <w:rFonts w:ascii="Lucida Sans" w:hAnsi="Lucida Sans"/>
                <w:color w:val="000000"/>
                <w:sz w:val="20"/>
                <w:szCs w:val="20"/>
                <w:lang w:val="en"/>
              </w:rPr>
              <w:t xml:space="preserve">, M &amp; </w:t>
            </w:r>
            <w:proofErr w:type="spellStart"/>
            <w:r w:rsidRPr="00254E23">
              <w:rPr>
                <w:rFonts w:ascii="Lucida Sans" w:hAnsi="Lucida Sans"/>
                <w:color w:val="000000"/>
                <w:sz w:val="20"/>
                <w:szCs w:val="20"/>
                <w:lang w:val="en"/>
              </w:rPr>
              <w:t>Madronio</w:t>
            </w:r>
            <w:proofErr w:type="spellEnd"/>
            <w:r w:rsidRPr="00254E23">
              <w:rPr>
                <w:rFonts w:ascii="Lucida Sans" w:hAnsi="Lucida Sans"/>
                <w:color w:val="000000"/>
                <w:sz w:val="20"/>
                <w:szCs w:val="20"/>
                <w:lang w:val="en"/>
              </w:rPr>
              <w:t xml:space="preserve">, C 2006, The use of intravenous immunoglobulin in Australia. </w:t>
            </w:r>
            <w:r w:rsidRPr="00254E23">
              <w:rPr>
                <w:rStyle w:val="Emphasis"/>
                <w:rFonts w:ascii="Lucida Sans" w:hAnsi="Lucida Sans"/>
                <w:color w:val="000000"/>
                <w:sz w:val="20"/>
                <w:szCs w:val="20"/>
                <w:lang w:val="en"/>
              </w:rPr>
              <w:t>A report for the National Blood Authority</w:t>
            </w:r>
            <w:r w:rsidRPr="00254E23">
              <w:rPr>
                <w:rFonts w:ascii="Lucida Sans" w:hAnsi="Lucida Sans"/>
                <w:color w:val="000000"/>
                <w:sz w:val="20"/>
                <w:szCs w:val="20"/>
                <w:lang w:val="en"/>
              </w:rPr>
              <w:t>, Part B: systematic literature review, Sydney Health Projects Group, University of Sydney, Sydney, pp. 18–20.</w:t>
            </w:r>
          </w:p>
          <w:p w14:paraId="183F3603" w14:textId="77777777" w:rsidR="00254E23" w:rsidRPr="00254E23" w:rsidRDefault="00254E23" w:rsidP="00254E23">
            <w:pPr>
              <w:pStyle w:val="NormalWeb"/>
              <w:spacing w:before="0" w:beforeAutospacing="0" w:after="0" w:afterAutospacing="0" w:line="360" w:lineRule="atLeast"/>
              <w:contextualSpacing/>
              <w:rPr>
                <w:rFonts w:ascii="Lucida Sans" w:hAnsi="Lucida Sans"/>
                <w:color w:val="000000"/>
                <w:sz w:val="20"/>
                <w:szCs w:val="20"/>
                <w:lang w:val="en"/>
              </w:rPr>
            </w:pPr>
            <w:r w:rsidRPr="00254E23">
              <w:rPr>
                <w:rFonts w:ascii="Lucida Sans" w:hAnsi="Lucida Sans"/>
                <w:color w:val="000000"/>
                <w:sz w:val="20"/>
                <w:szCs w:val="20"/>
                <w:lang w:val="en"/>
              </w:rPr>
              <w:t xml:space="preserve">Jordan, SC, </w:t>
            </w:r>
            <w:proofErr w:type="spellStart"/>
            <w:r w:rsidRPr="00254E23">
              <w:rPr>
                <w:rFonts w:ascii="Lucida Sans" w:hAnsi="Lucida Sans"/>
                <w:color w:val="000000"/>
                <w:sz w:val="20"/>
                <w:szCs w:val="20"/>
                <w:lang w:val="en"/>
              </w:rPr>
              <w:t>Tyan</w:t>
            </w:r>
            <w:proofErr w:type="spellEnd"/>
            <w:r w:rsidRPr="00254E23">
              <w:rPr>
                <w:rFonts w:ascii="Lucida Sans" w:hAnsi="Lucida Sans"/>
                <w:color w:val="000000"/>
                <w:sz w:val="20"/>
                <w:szCs w:val="20"/>
                <w:lang w:val="en"/>
              </w:rPr>
              <w:t xml:space="preserve">, D, </w:t>
            </w:r>
            <w:proofErr w:type="spellStart"/>
            <w:r w:rsidRPr="00254E23">
              <w:rPr>
                <w:rFonts w:ascii="Lucida Sans" w:hAnsi="Lucida Sans"/>
                <w:color w:val="000000"/>
                <w:sz w:val="20"/>
                <w:szCs w:val="20"/>
                <w:lang w:val="en"/>
              </w:rPr>
              <w:t>Stablein</w:t>
            </w:r>
            <w:proofErr w:type="spellEnd"/>
            <w:r w:rsidRPr="00254E23">
              <w:rPr>
                <w:rFonts w:ascii="Lucida Sans" w:hAnsi="Lucida Sans"/>
                <w:color w:val="000000"/>
                <w:sz w:val="20"/>
                <w:szCs w:val="20"/>
                <w:lang w:val="en"/>
              </w:rPr>
              <w:t xml:space="preserve">, D, et al 2004, ‘Evaluation of intravenous immunoglobulin as an agent to lower </w:t>
            </w:r>
            <w:proofErr w:type="spellStart"/>
            <w:r w:rsidRPr="00254E23">
              <w:rPr>
                <w:rFonts w:ascii="Lucida Sans" w:hAnsi="Lucida Sans"/>
                <w:color w:val="000000"/>
                <w:sz w:val="20"/>
                <w:szCs w:val="20"/>
                <w:lang w:val="en"/>
              </w:rPr>
              <w:t>allosensitisation</w:t>
            </w:r>
            <w:proofErr w:type="spellEnd"/>
            <w:r w:rsidRPr="00254E23">
              <w:rPr>
                <w:rFonts w:ascii="Lucida Sans" w:hAnsi="Lucida Sans"/>
                <w:color w:val="000000"/>
                <w:sz w:val="20"/>
                <w:szCs w:val="20"/>
                <w:lang w:val="en"/>
              </w:rPr>
              <w:t xml:space="preserve"> and improve transplantation in highly sensitized adult patients with end-stage renal disease: report of the NIH IG02 trial’, </w:t>
            </w:r>
            <w:r w:rsidRPr="00254E23">
              <w:rPr>
                <w:rStyle w:val="Emphasis"/>
                <w:rFonts w:ascii="Lucida Sans" w:hAnsi="Lucida Sans"/>
                <w:color w:val="000000"/>
                <w:sz w:val="20"/>
                <w:szCs w:val="20"/>
                <w:lang w:val="en"/>
              </w:rPr>
              <w:t>Journal of the American Society of Nephrology</w:t>
            </w:r>
            <w:r w:rsidRPr="00254E23">
              <w:rPr>
                <w:rFonts w:ascii="Lucida Sans" w:hAnsi="Lucida Sans"/>
                <w:color w:val="000000"/>
                <w:sz w:val="20"/>
                <w:szCs w:val="20"/>
                <w:lang w:val="en"/>
              </w:rPr>
              <w:t>, vol. 15, no. 12, pp. 3256–62.</w:t>
            </w:r>
          </w:p>
          <w:p w14:paraId="4C07D14E" w14:textId="77777777" w:rsidR="00254E23" w:rsidRPr="00254E23" w:rsidRDefault="00254E23" w:rsidP="00254E23">
            <w:pPr>
              <w:pStyle w:val="NormalWeb"/>
              <w:spacing w:before="0" w:beforeAutospacing="0" w:after="0" w:afterAutospacing="0" w:line="360" w:lineRule="atLeast"/>
              <w:contextualSpacing/>
              <w:rPr>
                <w:rFonts w:ascii="Lucida Sans" w:hAnsi="Lucida Sans"/>
                <w:color w:val="000000"/>
                <w:sz w:val="20"/>
                <w:szCs w:val="20"/>
                <w:lang w:val="en"/>
              </w:rPr>
            </w:pPr>
            <w:r w:rsidRPr="00254E23">
              <w:rPr>
                <w:rFonts w:ascii="Lucida Sans" w:hAnsi="Lucida Sans"/>
                <w:color w:val="000000"/>
                <w:sz w:val="20"/>
                <w:szCs w:val="20"/>
                <w:lang w:val="en"/>
              </w:rPr>
              <w:t xml:space="preserve">Jordan, SC, Vo, A, </w:t>
            </w:r>
            <w:proofErr w:type="spellStart"/>
            <w:r w:rsidRPr="00254E23">
              <w:rPr>
                <w:rFonts w:ascii="Lucida Sans" w:hAnsi="Lucida Sans"/>
                <w:color w:val="000000"/>
                <w:sz w:val="20"/>
                <w:szCs w:val="20"/>
                <w:lang w:val="en"/>
              </w:rPr>
              <w:t>Bunnapradist</w:t>
            </w:r>
            <w:proofErr w:type="spellEnd"/>
            <w:r w:rsidRPr="00254E23">
              <w:rPr>
                <w:rFonts w:ascii="Lucida Sans" w:hAnsi="Lucida Sans"/>
                <w:color w:val="000000"/>
                <w:sz w:val="20"/>
                <w:szCs w:val="20"/>
                <w:lang w:val="en"/>
              </w:rPr>
              <w:t xml:space="preserve">, S, et al 2003, ‘Intravenous immune globulin treatment inhibits cross match positivity and allows for successful transplantation of incompatible organs in living-donor and cadaver recipients’, </w:t>
            </w:r>
            <w:r w:rsidRPr="00254E23">
              <w:rPr>
                <w:rStyle w:val="Emphasis"/>
                <w:rFonts w:ascii="Lucida Sans" w:hAnsi="Lucida Sans"/>
                <w:color w:val="000000"/>
                <w:sz w:val="20"/>
                <w:szCs w:val="20"/>
                <w:lang w:val="en"/>
              </w:rPr>
              <w:t>Transplantation</w:t>
            </w:r>
            <w:r w:rsidRPr="00254E23">
              <w:rPr>
                <w:rFonts w:ascii="Lucida Sans" w:hAnsi="Lucida Sans"/>
                <w:color w:val="000000"/>
                <w:sz w:val="20"/>
                <w:szCs w:val="20"/>
                <w:lang w:val="en"/>
              </w:rPr>
              <w:t>, vol. 76, no. 4, pp. 631–6.</w:t>
            </w:r>
          </w:p>
          <w:p w14:paraId="62F56A5C" w14:textId="77777777" w:rsidR="00254E23" w:rsidRPr="00254E23" w:rsidRDefault="00254E23" w:rsidP="00254E23">
            <w:pPr>
              <w:pStyle w:val="NormalWeb"/>
              <w:spacing w:before="0" w:beforeAutospacing="0" w:after="0" w:afterAutospacing="0" w:line="360" w:lineRule="atLeast"/>
              <w:contextualSpacing/>
              <w:rPr>
                <w:rFonts w:ascii="Lucida Sans" w:hAnsi="Lucida Sans"/>
                <w:color w:val="000000"/>
                <w:sz w:val="20"/>
                <w:szCs w:val="20"/>
                <w:lang w:val="en"/>
              </w:rPr>
            </w:pPr>
            <w:r w:rsidRPr="00254E23">
              <w:rPr>
                <w:rFonts w:ascii="Lucida Sans" w:hAnsi="Lucida Sans"/>
                <w:color w:val="000000"/>
                <w:sz w:val="20"/>
                <w:szCs w:val="20"/>
                <w:lang w:val="en"/>
              </w:rPr>
              <w:t xml:space="preserve">Jordan, SC, Vo, AA, </w:t>
            </w:r>
            <w:proofErr w:type="spellStart"/>
            <w:r w:rsidRPr="00254E23">
              <w:rPr>
                <w:rFonts w:ascii="Lucida Sans" w:hAnsi="Lucida Sans"/>
                <w:color w:val="000000"/>
                <w:sz w:val="20"/>
                <w:szCs w:val="20"/>
                <w:lang w:val="en"/>
              </w:rPr>
              <w:t>Tyan</w:t>
            </w:r>
            <w:proofErr w:type="spellEnd"/>
            <w:r w:rsidRPr="00254E23">
              <w:rPr>
                <w:rFonts w:ascii="Lucida Sans" w:hAnsi="Lucida Sans"/>
                <w:color w:val="000000"/>
                <w:sz w:val="20"/>
                <w:szCs w:val="20"/>
                <w:lang w:val="en"/>
              </w:rPr>
              <w:t xml:space="preserve">, D, et al 2005, ‘Current approaches to treatment of antibody-mediated rejection’, </w:t>
            </w:r>
            <w:r w:rsidRPr="00254E23">
              <w:rPr>
                <w:rStyle w:val="Emphasis"/>
                <w:rFonts w:ascii="Lucida Sans" w:hAnsi="Lucida Sans"/>
                <w:color w:val="000000"/>
                <w:sz w:val="20"/>
                <w:szCs w:val="20"/>
                <w:lang w:val="en"/>
              </w:rPr>
              <w:t>Pediatric Transplantation</w:t>
            </w:r>
            <w:r w:rsidRPr="00254E23">
              <w:rPr>
                <w:rFonts w:ascii="Lucida Sans" w:hAnsi="Lucida Sans"/>
                <w:color w:val="000000"/>
                <w:sz w:val="20"/>
                <w:szCs w:val="20"/>
                <w:lang w:val="en"/>
              </w:rPr>
              <w:t>, vol. 9, no. 3, pp. 408–15.</w:t>
            </w:r>
          </w:p>
          <w:p w14:paraId="7BFE4122" w14:textId="77777777" w:rsidR="00254E23" w:rsidRPr="00254E23" w:rsidRDefault="00254E23" w:rsidP="00254E23">
            <w:pPr>
              <w:pStyle w:val="NormalWeb"/>
              <w:spacing w:before="0" w:beforeAutospacing="0" w:after="0" w:afterAutospacing="0" w:line="360" w:lineRule="atLeast"/>
              <w:contextualSpacing/>
              <w:rPr>
                <w:rFonts w:ascii="Lucida Sans" w:hAnsi="Lucida Sans"/>
                <w:color w:val="000000"/>
                <w:sz w:val="20"/>
                <w:szCs w:val="20"/>
                <w:lang w:val="en"/>
              </w:rPr>
            </w:pPr>
            <w:proofErr w:type="spellStart"/>
            <w:r w:rsidRPr="00254E23">
              <w:rPr>
                <w:rFonts w:ascii="Lucida Sans" w:hAnsi="Lucida Sans"/>
                <w:color w:val="000000"/>
                <w:sz w:val="20"/>
                <w:szCs w:val="20"/>
                <w:lang w:val="en"/>
              </w:rPr>
              <w:t>Lian</w:t>
            </w:r>
            <w:proofErr w:type="spellEnd"/>
            <w:r w:rsidRPr="00254E23">
              <w:rPr>
                <w:rFonts w:ascii="Lucida Sans" w:hAnsi="Lucida Sans"/>
                <w:color w:val="000000"/>
                <w:sz w:val="20"/>
                <w:szCs w:val="20"/>
                <w:lang w:val="en"/>
              </w:rPr>
              <w:t xml:space="preserve">, M, Chan, W, </w:t>
            </w:r>
            <w:proofErr w:type="spellStart"/>
            <w:r w:rsidRPr="00254E23">
              <w:rPr>
                <w:rFonts w:ascii="Lucida Sans" w:hAnsi="Lucida Sans"/>
                <w:color w:val="000000"/>
                <w:sz w:val="20"/>
                <w:szCs w:val="20"/>
                <w:lang w:val="en"/>
              </w:rPr>
              <w:t>Slavin</w:t>
            </w:r>
            <w:proofErr w:type="spellEnd"/>
            <w:r w:rsidRPr="00254E23">
              <w:rPr>
                <w:rFonts w:ascii="Lucida Sans" w:hAnsi="Lucida Sans"/>
                <w:color w:val="000000"/>
                <w:sz w:val="20"/>
                <w:szCs w:val="20"/>
                <w:lang w:val="en"/>
              </w:rPr>
              <w:t>, M, et al 2006, ‘</w:t>
            </w:r>
            <w:proofErr w:type="spellStart"/>
            <w:r w:rsidRPr="00254E23">
              <w:rPr>
                <w:rFonts w:ascii="Lucida Sans" w:hAnsi="Lucida Sans"/>
                <w:color w:val="000000"/>
                <w:sz w:val="20"/>
                <w:szCs w:val="20"/>
                <w:lang w:val="en"/>
              </w:rPr>
              <w:t>Miliary</w:t>
            </w:r>
            <w:proofErr w:type="spellEnd"/>
            <w:r w:rsidRPr="00254E23">
              <w:rPr>
                <w:rFonts w:ascii="Lucida Sans" w:hAnsi="Lucida Sans"/>
                <w:color w:val="000000"/>
                <w:sz w:val="20"/>
                <w:szCs w:val="20"/>
                <w:lang w:val="en"/>
              </w:rPr>
              <w:t xml:space="preserve"> tuberculosis in a Caucasian male transplant recipient and the role of intravenous immunoglobulin as </w:t>
            </w:r>
            <w:r w:rsidRPr="00254E23">
              <w:rPr>
                <w:rFonts w:ascii="Lucida Sans" w:hAnsi="Lucida Sans"/>
                <w:color w:val="000000"/>
                <w:sz w:val="20"/>
                <w:szCs w:val="20"/>
                <w:lang w:val="en"/>
              </w:rPr>
              <w:lastRenderedPageBreak/>
              <w:t>an immunosuppressive sparing agent’,</w:t>
            </w:r>
            <w:r w:rsidRPr="00254E23">
              <w:rPr>
                <w:rStyle w:val="Emphasis"/>
                <w:rFonts w:ascii="Lucida Sans" w:hAnsi="Lucida Sans"/>
                <w:color w:val="000000"/>
                <w:sz w:val="20"/>
                <w:szCs w:val="20"/>
                <w:lang w:val="en"/>
              </w:rPr>
              <w:t xml:space="preserve"> Nephrology (Carlton)</w:t>
            </w:r>
            <w:r w:rsidRPr="00254E23">
              <w:rPr>
                <w:rFonts w:ascii="Lucida Sans" w:hAnsi="Lucida Sans"/>
                <w:color w:val="000000"/>
                <w:sz w:val="20"/>
                <w:szCs w:val="20"/>
                <w:lang w:val="en"/>
              </w:rPr>
              <w:t>, vol. 11, no. 2, pp. 156–8.</w:t>
            </w:r>
          </w:p>
          <w:p w14:paraId="64159CE7" w14:textId="77777777" w:rsidR="00254E23" w:rsidRPr="00254E23" w:rsidRDefault="00254E23" w:rsidP="00254E23">
            <w:pPr>
              <w:pStyle w:val="NormalWeb"/>
              <w:spacing w:before="0" w:beforeAutospacing="0" w:after="0" w:afterAutospacing="0" w:line="360" w:lineRule="atLeast"/>
              <w:contextualSpacing/>
              <w:rPr>
                <w:rFonts w:ascii="Lucida Sans" w:hAnsi="Lucida Sans"/>
                <w:color w:val="000000"/>
                <w:sz w:val="20"/>
                <w:szCs w:val="20"/>
                <w:lang w:val="en"/>
              </w:rPr>
            </w:pPr>
            <w:r w:rsidRPr="00254E23">
              <w:rPr>
                <w:rFonts w:ascii="Lucida Sans" w:hAnsi="Lucida Sans"/>
                <w:color w:val="000000"/>
                <w:sz w:val="20"/>
                <w:szCs w:val="20"/>
                <w:lang w:val="en"/>
              </w:rPr>
              <w:t xml:space="preserve">Luke, PP, </w:t>
            </w:r>
            <w:proofErr w:type="spellStart"/>
            <w:r w:rsidRPr="00254E23">
              <w:rPr>
                <w:rFonts w:ascii="Lucida Sans" w:hAnsi="Lucida Sans"/>
                <w:color w:val="000000"/>
                <w:sz w:val="20"/>
                <w:szCs w:val="20"/>
                <w:lang w:val="en"/>
              </w:rPr>
              <w:t>Scantlebury</w:t>
            </w:r>
            <w:proofErr w:type="spellEnd"/>
            <w:r w:rsidRPr="00254E23">
              <w:rPr>
                <w:rFonts w:ascii="Lucida Sans" w:hAnsi="Lucida Sans"/>
                <w:color w:val="000000"/>
                <w:sz w:val="20"/>
                <w:szCs w:val="20"/>
                <w:lang w:val="en"/>
              </w:rPr>
              <w:t>, VP, Jordan, ML, et al 2001, ‘Reversal of steroid- and anti-lymphocyte antibody-resistant rejection using intravenous immunoglobulin (</w:t>
            </w:r>
            <w:proofErr w:type="spellStart"/>
            <w:r w:rsidRPr="00254E23">
              <w:rPr>
                <w:rFonts w:ascii="Lucida Sans" w:hAnsi="Lucida Sans"/>
                <w:color w:val="000000"/>
                <w:sz w:val="20"/>
                <w:szCs w:val="20"/>
                <w:lang w:val="en"/>
              </w:rPr>
              <w:t>IVIg</w:t>
            </w:r>
            <w:proofErr w:type="spellEnd"/>
            <w:r w:rsidRPr="00254E23">
              <w:rPr>
                <w:rFonts w:ascii="Lucida Sans" w:hAnsi="Lucida Sans"/>
                <w:color w:val="000000"/>
                <w:sz w:val="20"/>
                <w:szCs w:val="20"/>
                <w:lang w:val="en"/>
              </w:rPr>
              <w:t xml:space="preserve">) in renal transplant recipients’, </w:t>
            </w:r>
            <w:r w:rsidRPr="00254E23">
              <w:rPr>
                <w:rStyle w:val="Emphasis"/>
                <w:rFonts w:ascii="Lucida Sans" w:hAnsi="Lucida Sans"/>
                <w:color w:val="000000"/>
                <w:sz w:val="20"/>
                <w:szCs w:val="20"/>
                <w:lang w:val="en"/>
              </w:rPr>
              <w:t>Transplantation</w:t>
            </w:r>
            <w:r w:rsidRPr="00254E23">
              <w:rPr>
                <w:rFonts w:ascii="Lucida Sans" w:hAnsi="Lucida Sans"/>
                <w:color w:val="000000"/>
                <w:sz w:val="20"/>
                <w:szCs w:val="20"/>
                <w:lang w:val="en"/>
              </w:rPr>
              <w:t>, vol. 72, no. 3, pp. 419–22.</w:t>
            </w:r>
          </w:p>
          <w:p w14:paraId="2C3124F5" w14:textId="77777777" w:rsidR="00254E23" w:rsidRPr="00254E23" w:rsidRDefault="00254E23" w:rsidP="00254E23">
            <w:pPr>
              <w:pStyle w:val="NormalWeb"/>
              <w:spacing w:before="0" w:beforeAutospacing="0" w:after="0" w:afterAutospacing="0" w:line="360" w:lineRule="atLeast"/>
              <w:contextualSpacing/>
              <w:rPr>
                <w:rFonts w:ascii="Lucida Sans" w:hAnsi="Lucida Sans"/>
                <w:color w:val="000000"/>
                <w:sz w:val="20"/>
                <w:szCs w:val="20"/>
                <w:lang w:val="en"/>
              </w:rPr>
            </w:pPr>
            <w:proofErr w:type="spellStart"/>
            <w:r w:rsidRPr="00254E23">
              <w:rPr>
                <w:rFonts w:ascii="Lucida Sans" w:hAnsi="Lucida Sans"/>
                <w:color w:val="000000"/>
                <w:sz w:val="20"/>
                <w:szCs w:val="20"/>
                <w:lang w:val="en"/>
              </w:rPr>
              <w:t>Moger</w:t>
            </w:r>
            <w:proofErr w:type="spellEnd"/>
            <w:r w:rsidRPr="00254E23">
              <w:rPr>
                <w:rFonts w:ascii="Lucida Sans" w:hAnsi="Lucida Sans"/>
                <w:color w:val="000000"/>
                <w:sz w:val="20"/>
                <w:szCs w:val="20"/>
                <w:lang w:val="en"/>
              </w:rPr>
              <w:t xml:space="preserve">, V, </w:t>
            </w:r>
            <w:proofErr w:type="spellStart"/>
            <w:r w:rsidRPr="00254E23">
              <w:rPr>
                <w:rFonts w:ascii="Lucida Sans" w:hAnsi="Lucida Sans"/>
                <w:color w:val="000000"/>
                <w:sz w:val="20"/>
                <w:szCs w:val="20"/>
                <w:lang w:val="en"/>
              </w:rPr>
              <w:t>Ravishankar</w:t>
            </w:r>
            <w:proofErr w:type="spellEnd"/>
            <w:r w:rsidRPr="00254E23">
              <w:rPr>
                <w:rFonts w:ascii="Lucida Sans" w:hAnsi="Lucida Sans"/>
                <w:color w:val="000000"/>
                <w:sz w:val="20"/>
                <w:szCs w:val="20"/>
                <w:lang w:val="en"/>
              </w:rPr>
              <w:t xml:space="preserve">, M, </w:t>
            </w:r>
            <w:proofErr w:type="spellStart"/>
            <w:r w:rsidRPr="00254E23">
              <w:rPr>
                <w:rFonts w:ascii="Lucida Sans" w:hAnsi="Lucida Sans"/>
                <w:color w:val="000000"/>
                <w:sz w:val="20"/>
                <w:szCs w:val="20"/>
                <w:lang w:val="en"/>
              </w:rPr>
              <w:t>Sakhuja</w:t>
            </w:r>
            <w:proofErr w:type="spellEnd"/>
            <w:r w:rsidRPr="00254E23">
              <w:rPr>
                <w:rFonts w:ascii="Lucida Sans" w:hAnsi="Lucida Sans"/>
                <w:color w:val="000000"/>
                <w:sz w:val="20"/>
                <w:szCs w:val="20"/>
                <w:lang w:val="en"/>
              </w:rPr>
              <w:t xml:space="preserve">, V, et al 2004, ‘Intravenous immunoglobulin: a safe option for treatment of steroid-resistant rejection in the presence of infection’, </w:t>
            </w:r>
            <w:r w:rsidRPr="00254E23">
              <w:rPr>
                <w:rStyle w:val="Emphasis"/>
                <w:rFonts w:ascii="Lucida Sans" w:hAnsi="Lucida Sans"/>
                <w:color w:val="000000"/>
                <w:sz w:val="20"/>
                <w:szCs w:val="20"/>
                <w:lang w:val="en"/>
              </w:rPr>
              <w:t>Transplantation</w:t>
            </w:r>
            <w:r w:rsidRPr="00254E23">
              <w:rPr>
                <w:rFonts w:ascii="Lucida Sans" w:hAnsi="Lucida Sans"/>
                <w:color w:val="000000"/>
                <w:sz w:val="20"/>
                <w:szCs w:val="20"/>
                <w:lang w:val="en"/>
              </w:rPr>
              <w:t>, vol. 77, no. 9, pp. 1455–6.</w:t>
            </w:r>
          </w:p>
          <w:p w14:paraId="74639914" w14:textId="77777777" w:rsidR="00254E23" w:rsidRPr="00254E23" w:rsidRDefault="00254E23" w:rsidP="00254E23">
            <w:pPr>
              <w:pStyle w:val="NormalWeb"/>
              <w:spacing w:before="0" w:beforeAutospacing="0" w:after="0" w:afterAutospacing="0" w:line="360" w:lineRule="atLeast"/>
              <w:contextualSpacing/>
              <w:rPr>
                <w:rFonts w:ascii="Lucida Sans" w:hAnsi="Lucida Sans"/>
                <w:color w:val="000000"/>
                <w:sz w:val="20"/>
                <w:szCs w:val="20"/>
                <w:lang w:val="en"/>
              </w:rPr>
            </w:pPr>
            <w:r w:rsidRPr="00254E23">
              <w:rPr>
                <w:rFonts w:ascii="Lucida Sans" w:hAnsi="Lucida Sans"/>
                <w:color w:val="000000"/>
                <w:sz w:val="20"/>
                <w:szCs w:val="20"/>
                <w:lang w:val="en"/>
              </w:rPr>
              <w:t xml:space="preserve">Orange, JS, </w:t>
            </w:r>
            <w:proofErr w:type="spellStart"/>
            <w:r w:rsidRPr="00254E23">
              <w:rPr>
                <w:rFonts w:ascii="Lucida Sans" w:hAnsi="Lucida Sans"/>
                <w:color w:val="000000"/>
                <w:sz w:val="20"/>
                <w:szCs w:val="20"/>
                <w:lang w:val="en"/>
              </w:rPr>
              <w:t>Hossny</w:t>
            </w:r>
            <w:proofErr w:type="spellEnd"/>
            <w:r w:rsidRPr="00254E23">
              <w:rPr>
                <w:rFonts w:ascii="Lucida Sans" w:hAnsi="Lucida Sans"/>
                <w:color w:val="000000"/>
                <w:sz w:val="20"/>
                <w:szCs w:val="20"/>
                <w:lang w:val="en"/>
              </w:rPr>
              <w:t xml:space="preserve">, EM, </w:t>
            </w:r>
            <w:proofErr w:type="spellStart"/>
            <w:r w:rsidRPr="00254E23">
              <w:rPr>
                <w:rFonts w:ascii="Lucida Sans" w:hAnsi="Lucida Sans"/>
                <w:color w:val="000000"/>
                <w:sz w:val="20"/>
                <w:szCs w:val="20"/>
                <w:lang w:val="en"/>
              </w:rPr>
              <w:t>Weiler</w:t>
            </w:r>
            <w:proofErr w:type="spellEnd"/>
            <w:r w:rsidRPr="00254E23">
              <w:rPr>
                <w:rFonts w:ascii="Lucida Sans" w:hAnsi="Lucida Sans"/>
                <w:color w:val="000000"/>
                <w:sz w:val="20"/>
                <w:szCs w:val="20"/>
                <w:lang w:val="en"/>
              </w:rPr>
              <w:t xml:space="preserve">, CR, et al 2006, ‘Use of intravenous immunoglobulin in human disease: A review of primary evidence by members of the Primary Immunodeficiency Committee of the American Academy of Allergy, Asthma and Immunology’, </w:t>
            </w:r>
            <w:r w:rsidRPr="00254E23">
              <w:rPr>
                <w:rStyle w:val="Emphasis"/>
                <w:rFonts w:ascii="Lucida Sans" w:hAnsi="Lucida Sans"/>
                <w:color w:val="000000"/>
                <w:sz w:val="20"/>
                <w:szCs w:val="20"/>
                <w:lang w:val="en"/>
              </w:rPr>
              <w:t>Journal of Allergy and Clinical Immunology</w:t>
            </w:r>
            <w:r w:rsidRPr="00254E23">
              <w:rPr>
                <w:rFonts w:ascii="Lucida Sans" w:hAnsi="Lucida Sans"/>
                <w:color w:val="000000"/>
                <w:sz w:val="20"/>
                <w:szCs w:val="20"/>
                <w:lang w:val="en"/>
              </w:rPr>
              <w:t>, vol. 117, no. 4, pp. S525–53.</w:t>
            </w:r>
          </w:p>
          <w:p w14:paraId="2BF47872" w14:textId="77777777" w:rsidR="00254E23" w:rsidRPr="00254E23" w:rsidRDefault="00254E23" w:rsidP="00254E23">
            <w:pPr>
              <w:pStyle w:val="NormalWeb"/>
              <w:spacing w:before="0" w:beforeAutospacing="0" w:after="0" w:afterAutospacing="0" w:line="360" w:lineRule="atLeast"/>
              <w:contextualSpacing/>
              <w:rPr>
                <w:rFonts w:ascii="Lucida Sans" w:hAnsi="Lucida Sans"/>
                <w:color w:val="000000"/>
                <w:sz w:val="20"/>
                <w:szCs w:val="20"/>
                <w:lang w:val="en"/>
              </w:rPr>
            </w:pPr>
            <w:proofErr w:type="spellStart"/>
            <w:r w:rsidRPr="00254E23">
              <w:rPr>
                <w:rFonts w:ascii="Lucida Sans" w:hAnsi="Lucida Sans"/>
                <w:color w:val="000000"/>
                <w:sz w:val="20"/>
                <w:szCs w:val="20"/>
                <w:lang w:val="en"/>
              </w:rPr>
              <w:t>Peraldi</w:t>
            </w:r>
            <w:proofErr w:type="spellEnd"/>
            <w:r w:rsidRPr="00254E23">
              <w:rPr>
                <w:rFonts w:ascii="Lucida Sans" w:hAnsi="Lucida Sans"/>
                <w:color w:val="000000"/>
                <w:sz w:val="20"/>
                <w:szCs w:val="20"/>
                <w:lang w:val="en"/>
              </w:rPr>
              <w:t xml:space="preserve">, MN, </w:t>
            </w:r>
            <w:proofErr w:type="spellStart"/>
            <w:r w:rsidRPr="00254E23">
              <w:rPr>
                <w:rFonts w:ascii="Lucida Sans" w:hAnsi="Lucida Sans"/>
                <w:color w:val="000000"/>
                <w:sz w:val="20"/>
                <w:szCs w:val="20"/>
                <w:lang w:val="en"/>
              </w:rPr>
              <w:t>Akposso</w:t>
            </w:r>
            <w:proofErr w:type="spellEnd"/>
            <w:r w:rsidRPr="00254E23">
              <w:rPr>
                <w:rFonts w:ascii="Lucida Sans" w:hAnsi="Lucida Sans"/>
                <w:color w:val="000000"/>
                <w:sz w:val="20"/>
                <w:szCs w:val="20"/>
                <w:lang w:val="en"/>
              </w:rPr>
              <w:t xml:space="preserve">, K, </w:t>
            </w:r>
            <w:proofErr w:type="spellStart"/>
            <w:r w:rsidRPr="00254E23">
              <w:rPr>
                <w:rFonts w:ascii="Lucida Sans" w:hAnsi="Lucida Sans"/>
                <w:color w:val="000000"/>
                <w:sz w:val="20"/>
                <w:szCs w:val="20"/>
                <w:lang w:val="en"/>
              </w:rPr>
              <w:t>Haymann</w:t>
            </w:r>
            <w:proofErr w:type="spellEnd"/>
            <w:r w:rsidRPr="00254E23">
              <w:rPr>
                <w:rFonts w:ascii="Lucida Sans" w:hAnsi="Lucida Sans"/>
                <w:color w:val="000000"/>
                <w:sz w:val="20"/>
                <w:szCs w:val="20"/>
                <w:lang w:val="en"/>
              </w:rPr>
              <w:t xml:space="preserve">, JP, et al 1996, ‘Long-term benefit of intravenous </w:t>
            </w:r>
            <w:proofErr w:type="spellStart"/>
            <w:r w:rsidRPr="00254E23">
              <w:rPr>
                <w:rFonts w:ascii="Lucida Sans" w:hAnsi="Lucida Sans"/>
                <w:color w:val="000000"/>
                <w:sz w:val="20"/>
                <w:szCs w:val="20"/>
                <w:lang w:val="en"/>
              </w:rPr>
              <w:t>immunoglobulins</w:t>
            </w:r>
            <w:proofErr w:type="spellEnd"/>
            <w:r w:rsidRPr="00254E23">
              <w:rPr>
                <w:rFonts w:ascii="Lucida Sans" w:hAnsi="Lucida Sans"/>
                <w:color w:val="000000"/>
                <w:sz w:val="20"/>
                <w:szCs w:val="20"/>
                <w:lang w:val="en"/>
              </w:rPr>
              <w:t xml:space="preserve"> in cadaveric kidney </w:t>
            </w:r>
            <w:proofErr w:type="spellStart"/>
            <w:r w:rsidRPr="00254E23">
              <w:rPr>
                <w:rFonts w:ascii="Lucida Sans" w:hAnsi="Lucida Sans"/>
                <w:color w:val="000000"/>
                <w:sz w:val="20"/>
                <w:szCs w:val="20"/>
                <w:lang w:val="en"/>
              </w:rPr>
              <w:t>retransplantation</w:t>
            </w:r>
            <w:proofErr w:type="spellEnd"/>
            <w:r w:rsidRPr="00254E23">
              <w:rPr>
                <w:rFonts w:ascii="Lucida Sans" w:hAnsi="Lucida Sans"/>
                <w:color w:val="000000"/>
                <w:sz w:val="20"/>
                <w:szCs w:val="20"/>
                <w:lang w:val="en"/>
              </w:rPr>
              <w:t xml:space="preserve">’, </w:t>
            </w:r>
            <w:r w:rsidRPr="00254E23">
              <w:rPr>
                <w:rStyle w:val="Emphasis"/>
                <w:rFonts w:ascii="Lucida Sans" w:hAnsi="Lucida Sans"/>
                <w:color w:val="000000"/>
                <w:sz w:val="20"/>
                <w:szCs w:val="20"/>
                <w:lang w:val="en"/>
              </w:rPr>
              <w:t>Transplantation</w:t>
            </w:r>
            <w:r w:rsidRPr="00254E23">
              <w:rPr>
                <w:rFonts w:ascii="Lucida Sans" w:hAnsi="Lucida Sans"/>
                <w:color w:val="000000"/>
                <w:sz w:val="20"/>
                <w:szCs w:val="20"/>
                <w:lang w:val="en"/>
              </w:rPr>
              <w:t>, vol. 62, no. 11, pp. 1670–3.</w:t>
            </w:r>
          </w:p>
          <w:p w14:paraId="560E9C63" w14:textId="77777777" w:rsidR="00254E23" w:rsidRPr="00254E23" w:rsidRDefault="00254E23" w:rsidP="00254E23">
            <w:pPr>
              <w:pStyle w:val="NormalWeb"/>
              <w:spacing w:before="0" w:beforeAutospacing="0" w:after="0" w:afterAutospacing="0" w:line="360" w:lineRule="atLeast"/>
              <w:contextualSpacing/>
              <w:rPr>
                <w:rFonts w:ascii="Lucida Sans" w:hAnsi="Lucida Sans"/>
                <w:color w:val="000000"/>
                <w:sz w:val="20"/>
                <w:szCs w:val="20"/>
                <w:lang w:val="en"/>
              </w:rPr>
            </w:pPr>
            <w:proofErr w:type="spellStart"/>
            <w:r w:rsidRPr="00254E23">
              <w:rPr>
                <w:rFonts w:ascii="Lucida Sans" w:hAnsi="Lucida Sans"/>
                <w:color w:val="000000"/>
                <w:sz w:val="20"/>
                <w:szCs w:val="20"/>
                <w:lang w:val="en"/>
              </w:rPr>
              <w:t>Puliyanda</w:t>
            </w:r>
            <w:proofErr w:type="spellEnd"/>
            <w:r w:rsidRPr="00254E23">
              <w:rPr>
                <w:rFonts w:ascii="Lucida Sans" w:hAnsi="Lucida Sans"/>
                <w:color w:val="000000"/>
                <w:sz w:val="20"/>
                <w:szCs w:val="20"/>
                <w:lang w:val="en"/>
              </w:rPr>
              <w:t xml:space="preserve">, D, </w:t>
            </w:r>
            <w:proofErr w:type="spellStart"/>
            <w:r w:rsidRPr="00254E23">
              <w:rPr>
                <w:rFonts w:ascii="Lucida Sans" w:hAnsi="Lucida Sans"/>
                <w:color w:val="000000"/>
                <w:sz w:val="20"/>
                <w:szCs w:val="20"/>
                <w:lang w:val="en"/>
              </w:rPr>
              <w:t>Radha</w:t>
            </w:r>
            <w:proofErr w:type="spellEnd"/>
            <w:r w:rsidRPr="00254E23">
              <w:rPr>
                <w:rFonts w:ascii="Lucida Sans" w:hAnsi="Lucida Sans"/>
                <w:color w:val="000000"/>
                <w:sz w:val="20"/>
                <w:szCs w:val="20"/>
                <w:lang w:val="en"/>
              </w:rPr>
              <w:t xml:space="preserve">, RK, </w:t>
            </w:r>
            <w:proofErr w:type="spellStart"/>
            <w:r w:rsidRPr="00254E23">
              <w:rPr>
                <w:rFonts w:ascii="Lucida Sans" w:hAnsi="Lucida Sans"/>
                <w:color w:val="000000"/>
                <w:sz w:val="20"/>
                <w:szCs w:val="20"/>
                <w:lang w:val="en"/>
              </w:rPr>
              <w:t>Amet</w:t>
            </w:r>
            <w:proofErr w:type="spellEnd"/>
            <w:r w:rsidRPr="00254E23">
              <w:rPr>
                <w:rFonts w:ascii="Lucida Sans" w:hAnsi="Lucida Sans"/>
                <w:color w:val="000000"/>
                <w:sz w:val="20"/>
                <w:szCs w:val="20"/>
                <w:lang w:val="en"/>
              </w:rPr>
              <w:t>, N, et al 2003, ‘</w:t>
            </w:r>
            <w:proofErr w:type="spellStart"/>
            <w:r w:rsidRPr="00254E23">
              <w:rPr>
                <w:rFonts w:ascii="Lucida Sans" w:hAnsi="Lucida Sans"/>
                <w:color w:val="000000"/>
                <w:sz w:val="20"/>
                <w:szCs w:val="20"/>
                <w:lang w:val="en"/>
              </w:rPr>
              <w:t>IVIg</w:t>
            </w:r>
            <w:proofErr w:type="spellEnd"/>
            <w:r w:rsidRPr="00254E23">
              <w:rPr>
                <w:rFonts w:ascii="Lucida Sans" w:hAnsi="Lucida Sans"/>
                <w:color w:val="000000"/>
                <w:sz w:val="20"/>
                <w:szCs w:val="20"/>
                <w:lang w:val="en"/>
              </w:rPr>
              <w:t xml:space="preserve"> contains antibodies reactive with </w:t>
            </w:r>
            <w:proofErr w:type="spellStart"/>
            <w:r w:rsidRPr="00254E23">
              <w:rPr>
                <w:rFonts w:ascii="Lucida Sans" w:hAnsi="Lucida Sans"/>
                <w:color w:val="000000"/>
                <w:sz w:val="20"/>
                <w:szCs w:val="20"/>
                <w:lang w:val="en"/>
              </w:rPr>
              <w:t>polyoma</w:t>
            </w:r>
            <w:proofErr w:type="spellEnd"/>
            <w:r w:rsidRPr="00254E23">
              <w:rPr>
                <w:rFonts w:ascii="Lucida Sans" w:hAnsi="Lucida Sans"/>
                <w:color w:val="000000"/>
                <w:sz w:val="20"/>
                <w:szCs w:val="20"/>
                <w:lang w:val="en"/>
              </w:rPr>
              <w:t xml:space="preserve"> BK virus and may represent a therapeutic option for BK nephropathy’, </w:t>
            </w:r>
            <w:r w:rsidRPr="00254E23">
              <w:rPr>
                <w:rStyle w:val="Emphasis"/>
                <w:rFonts w:ascii="Lucida Sans" w:hAnsi="Lucida Sans"/>
                <w:color w:val="000000"/>
                <w:sz w:val="20"/>
                <w:szCs w:val="20"/>
                <w:lang w:val="en"/>
              </w:rPr>
              <w:t>American Journal of Transplantation</w:t>
            </w:r>
            <w:r w:rsidRPr="00254E23">
              <w:rPr>
                <w:rFonts w:ascii="Lucida Sans" w:hAnsi="Lucida Sans"/>
                <w:color w:val="000000"/>
                <w:sz w:val="20"/>
                <w:szCs w:val="20"/>
                <w:lang w:val="en"/>
              </w:rPr>
              <w:t>, vol. 3, suppl. 4, p. 393.</w:t>
            </w:r>
          </w:p>
          <w:p w14:paraId="099269F8" w14:textId="77777777" w:rsidR="00254E23" w:rsidRPr="00254E23" w:rsidRDefault="00254E23" w:rsidP="00254E23">
            <w:pPr>
              <w:pStyle w:val="NormalWeb"/>
              <w:spacing w:before="0" w:beforeAutospacing="0" w:after="0" w:afterAutospacing="0" w:line="360" w:lineRule="atLeast"/>
              <w:contextualSpacing/>
              <w:rPr>
                <w:rFonts w:ascii="Lucida Sans" w:hAnsi="Lucida Sans"/>
                <w:color w:val="000000"/>
                <w:sz w:val="20"/>
                <w:szCs w:val="20"/>
                <w:lang w:val="en"/>
              </w:rPr>
            </w:pPr>
            <w:proofErr w:type="spellStart"/>
            <w:r w:rsidRPr="00254E23">
              <w:rPr>
                <w:rFonts w:ascii="Lucida Sans" w:hAnsi="Lucida Sans"/>
                <w:color w:val="000000"/>
                <w:sz w:val="20"/>
                <w:szCs w:val="20"/>
                <w:lang w:val="en"/>
              </w:rPr>
              <w:t>Sonnenday</w:t>
            </w:r>
            <w:proofErr w:type="spellEnd"/>
            <w:r w:rsidRPr="00254E23">
              <w:rPr>
                <w:rFonts w:ascii="Lucida Sans" w:hAnsi="Lucida Sans"/>
                <w:color w:val="000000"/>
                <w:sz w:val="20"/>
                <w:szCs w:val="20"/>
                <w:lang w:val="en"/>
              </w:rPr>
              <w:t>, CJ, Warren, DS, Cooper, MC, et al 2004, ‘</w:t>
            </w:r>
            <w:proofErr w:type="spellStart"/>
            <w:r w:rsidRPr="00254E23">
              <w:rPr>
                <w:rFonts w:ascii="Lucida Sans" w:hAnsi="Lucida Sans"/>
                <w:color w:val="000000"/>
                <w:sz w:val="20"/>
                <w:szCs w:val="20"/>
                <w:lang w:val="en"/>
              </w:rPr>
              <w:t>Plasmapheresis</w:t>
            </w:r>
            <w:proofErr w:type="spellEnd"/>
            <w:r w:rsidRPr="00254E23">
              <w:rPr>
                <w:rFonts w:ascii="Lucida Sans" w:hAnsi="Lucida Sans"/>
                <w:color w:val="000000"/>
                <w:sz w:val="20"/>
                <w:szCs w:val="20"/>
                <w:lang w:val="en"/>
              </w:rPr>
              <w:t xml:space="preserve">, CMV </w:t>
            </w:r>
            <w:proofErr w:type="spellStart"/>
            <w:r w:rsidRPr="00254E23">
              <w:rPr>
                <w:rFonts w:ascii="Lucida Sans" w:hAnsi="Lucida Sans"/>
                <w:color w:val="000000"/>
                <w:sz w:val="20"/>
                <w:szCs w:val="20"/>
                <w:lang w:val="en"/>
              </w:rPr>
              <w:t>hyperimmune</w:t>
            </w:r>
            <w:proofErr w:type="spellEnd"/>
            <w:r w:rsidRPr="00254E23">
              <w:rPr>
                <w:rFonts w:ascii="Lucida Sans" w:hAnsi="Lucida Sans"/>
                <w:color w:val="000000"/>
                <w:sz w:val="20"/>
                <w:szCs w:val="20"/>
                <w:lang w:val="en"/>
              </w:rPr>
              <w:t xml:space="preserve"> globulin, and anti-CD20 allow ABO-incompatible renal transplantation without </w:t>
            </w:r>
            <w:proofErr w:type="spellStart"/>
            <w:r w:rsidRPr="00254E23">
              <w:rPr>
                <w:rFonts w:ascii="Lucida Sans" w:hAnsi="Lucida Sans"/>
                <w:color w:val="000000"/>
                <w:sz w:val="20"/>
                <w:szCs w:val="20"/>
                <w:lang w:val="en"/>
              </w:rPr>
              <w:t>splenectomy</w:t>
            </w:r>
            <w:proofErr w:type="spellEnd"/>
            <w:r w:rsidRPr="00254E23">
              <w:rPr>
                <w:rFonts w:ascii="Lucida Sans" w:hAnsi="Lucida Sans"/>
                <w:color w:val="000000"/>
                <w:sz w:val="20"/>
                <w:szCs w:val="20"/>
                <w:lang w:val="en"/>
              </w:rPr>
              <w:t xml:space="preserve">’, </w:t>
            </w:r>
            <w:r w:rsidRPr="00254E23">
              <w:rPr>
                <w:rStyle w:val="Emphasis"/>
                <w:rFonts w:ascii="Lucida Sans" w:hAnsi="Lucida Sans"/>
                <w:color w:val="000000"/>
                <w:sz w:val="20"/>
                <w:szCs w:val="20"/>
                <w:lang w:val="en"/>
              </w:rPr>
              <w:t>American Journal of Transplantation</w:t>
            </w:r>
            <w:r w:rsidRPr="00254E23">
              <w:rPr>
                <w:rFonts w:ascii="Lucida Sans" w:hAnsi="Lucida Sans"/>
                <w:color w:val="000000"/>
                <w:sz w:val="20"/>
                <w:szCs w:val="20"/>
                <w:lang w:val="en"/>
              </w:rPr>
              <w:t>, vol. 4, pp. 1315–22.</w:t>
            </w:r>
          </w:p>
          <w:p w14:paraId="50F80711" w14:textId="77777777" w:rsidR="00254E23" w:rsidRPr="00254E23" w:rsidRDefault="00254E23" w:rsidP="00254E23">
            <w:pPr>
              <w:pStyle w:val="NormalWeb"/>
              <w:spacing w:before="0" w:beforeAutospacing="0" w:after="0" w:afterAutospacing="0" w:line="360" w:lineRule="atLeast"/>
              <w:contextualSpacing/>
              <w:rPr>
                <w:rFonts w:ascii="Lucida Sans" w:hAnsi="Lucida Sans"/>
                <w:color w:val="000000"/>
                <w:sz w:val="20"/>
                <w:szCs w:val="20"/>
                <w:lang w:val="en"/>
              </w:rPr>
            </w:pPr>
            <w:proofErr w:type="spellStart"/>
            <w:r w:rsidRPr="00254E23">
              <w:rPr>
                <w:rFonts w:ascii="Lucida Sans" w:hAnsi="Lucida Sans"/>
                <w:color w:val="000000"/>
                <w:sz w:val="20"/>
                <w:szCs w:val="20"/>
                <w:lang w:val="en"/>
              </w:rPr>
              <w:t>Takemoto</w:t>
            </w:r>
            <w:proofErr w:type="spellEnd"/>
            <w:r w:rsidRPr="00254E23">
              <w:rPr>
                <w:rFonts w:ascii="Lucida Sans" w:hAnsi="Lucida Sans"/>
                <w:color w:val="000000"/>
                <w:sz w:val="20"/>
                <w:szCs w:val="20"/>
                <w:lang w:val="en"/>
              </w:rPr>
              <w:t xml:space="preserve">, SK, </w:t>
            </w:r>
            <w:proofErr w:type="spellStart"/>
            <w:r w:rsidRPr="00254E23">
              <w:rPr>
                <w:rFonts w:ascii="Lucida Sans" w:hAnsi="Lucida Sans"/>
                <w:color w:val="000000"/>
                <w:sz w:val="20"/>
                <w:szCs w:val="20"/>
                <w:lang w:val="en"/>
              </w:rPr>
              <w:t>Zeevi</w:t>
            </w:r>
            <w:proofErr w:type="spellEnd"/>
            <w:r w:rsidRPr="00254E23">
              <w:rPr>
                <w:rFonts w:ascii="Lucida Sans" w:hAnsi="Lucida Sans"/>
                <w:color w:val="000000"/>
                <w:sz w:val="20"/>
                <w:szCs w:val="20"/>
                <w:lang w:val="en"/>
              </w:rPr>
              <w:t xml:space="preserve">, A, </w:t>
            </w:r>
            <w:proofErr w:type="spellStart"/>
            <w:r w:rsidRPr="00254E23">
              <w:rPr>
                <w:rFonts w:ascii="Lucida Sans" w:hAnsi="Lucida Sans"/>
                <w:color w:val="000000"/>
                <w:sz w:val="20"/>
                <w:szCs w:val="20"/>
                <w:lang w:val="en"/>
              </w:rPr>
              <w:t>Feng</w:t>
            </w:r>
            <w:proofErr w:type="spellEnd"/>
            <w:r w:rsidRPr="00254E23">
              <w:rPr>
                <w:rFonts w:ascii="Lucida Sans" w:hAnsi="Lucida Sans"/>
                <w:color w:val="000000"/>
                <w:sz w:val="20"/>
                <w:szCs w:val="20"/>
                <w:lang w:val="en"/>
              </w:rPr>
              <w:t xml:space="preserve">, S, et al 2004, ‘National conference to assess antibody-mediated rejection in solid organ transplantation’, </w:t>
            </w:r>
            <w:r w:rsidRPr="00254E23">
              <w:rPr>
                <w:rStyle w:val="Emphasis"/>
                <w:rFonts w:ascii="Lucida Sans" w:hAnsi="Lucida Sans"/>
                <w:color w:val="000000"/>
                <w:sz w:val="20"/>
                <w:szCs w:val="20"/>
                <w:lang w:val="en"/>
              </w:rPr>
              <w:t>American Journal of Transplantation</w:t>
            </w:r>
            <w:r w:rsidRPr="00254E23">
              <w:rPr>
                <w:rFonts w:ascii="Lucida Sans" w:hAnsi="Lucida Sans"/>
                <w:color w:val="000000"/>
                <w:sz w:val="20"/>
                <w:szCs w:val="20"/>
                <w:lang w:val="en"/>
              </w:rPr>
              <w:t>, vol. 4, no. 7, pp. 1033–41.</w:t>
            </w:r>
          </w:p>
          <w:p w14:paraId="5633E4F3" w14:textId="77777777" w:rsidR="00254E23" w:rsidRPr="00254E23" w:rsidRDefault="00254E23" w:rsidP="00254E23">
            <w:pPr>
              <w:pStyle w:val="NormalWeb"/>
              <w:spacing w:before="0" w:beforeAutospacing="0" w:after="0" w:afterAutospacing="0" w:line="360" w:lineRule="atLeast"/>
              <w:contextualSpacing/>
              <w:rPr>
                <w:rFonts w:ascii="Lucida Sans" w:hAnsi="Lucida Sans"/>
                <w:color w:val="000000"/>
                <w:sz w:val="20"/>
                <w:szCs w:val="20"/>
                <w:lang w:val="en"/>
              </w:rPr>
            </w:pPr>
            <w:proofErr w:type="spellStart"/>
            <w:r w:rsidRPr="00254E23">
              <w:rPr>
                <w:rFonts w:ascii="Lucida Sans" w:hAnsi="Lucida Sans"/>
                <w:color w:val="000000"/>
                <w:sz w:val="20"/>
                <w:szCs w:val="20"/>
                <w:lang w:val="en"/>
              </w:rPr>
              <w:t>Tydén</w:t>
            </w:r>
            <w:proofErr w:type="spellEnd"/>
            <w:r w:rsidRPr="00254E23">
              <w:rPr>
                <w:rFonts w:ascii="Lucida Sans" w:hAnsi="Lucida Sans"/>
                <w:color w:val="000000"/>
                <w:sz w:val="20"/>
                <w:szCs w:val="20"/>
                <w:lang w:val="en"/>
              </w:rPr>
              <w:t xml:space="preserve">, G, </w:t>
            </w:r>
            <w:proofErr w:type="spellStart"/>
            <w:r w:rsidRPr="00254E23">
              <w:rPr>
                <w:rFonts w:ascii="Lucida Sans" w:hAnsi="Lucida Sans"/>
                <w:color w:val="000000"/>
                <w:sz w:val="20"/>
                <w:szCs w:val="20"/>
                <w:lang w:val="en"/>
              </w:rPr>
              <w:t>Kumlien</w:t>
            </w:r>
            <w:proofErr w:type="spellEnd"/>
            <w:r w:rsidRPr="00254E23">
              <w:rPr>
                <w:rFonts w:ascii="Lucida Sans" w:hAnsi="Lucida Sans"/>
                <w:color w:val="000000"/>
                <w:sz w:val="20"/>
                <w:szCs w:val="20"/>
                <w:lang w:val="en"/>
              </w:rPr>
              <w:t xml:space="preserve">, G, </w:t>
            </w:r>
            <w:proofErr w:type="spellStart"/>
            <w:r w:rsidRPr="00254E23">
              <w:rPr>
                <w:rFonts w:ascii="Lucida Sans" w:hAnsi="Lucida Sans"/>
                <w:color w:val="000000"/>
                <w:sz w:val="20"/>
                <w:szCs w:val="20"/>
                <w:lang w:val="en"/>
              </w:rPr>
              <w:t>Genberg</w:t>
            </w:r>
            <w:proofErr w:type="spellEnd"/>
            <w:r w:rsidRPr="00254E23">
              <w:rPr>
                <w:rFonts w:ascii="Lucida Sans" w:hAnsi="Lucida Sans"/>
                <w:color w:val="000000"/>
                <w:sz w:val="20"/>
                <w:szCs w:val="20"/>
                <w:lang w:val="en"/>
              </w:rPr>
              <w:t xml:space="preserve">, H, et al 2005, ‘ABO incompatible kidney transplantations without </w:t>
            </w:r>
            <w:proofErr w:type="spellStart"/>
            <w:r w:rsidRPr="00254E23">
              <w:rPr>
                <w:rFonts w:ascii="Lucida Sans" w:hAnsi="Lucida Sans"/>
                <w:color w:val="000000"/>
                <w:sz w:val="20"/>
                <w:szCs w:val="20"/>
                <w:lang w:val="en"/>
              </w:rPr>
              <w:t>splenectomy</w:t>
            </w:r>
            <w:proofErr w:type="spellEnd"/>
            <w:r w:rsidRPr="00254E23">
              <w:rPr>
                <w:rFonts w:ascii="Lucida Sans" w:hAnsi="Lucida Sans"/>
                <w:color w:val="000000"/>
                <w:sz w:val="20"/>
                <w:szCs w:val="20"/>
                <w:lang w:val="en"/>
              </w:rPr>
              <w:t xml:space="preserve">, using antigen-specific </w:t>
            </w:r>
            <w:proofErr w:type="spellStart"/>
            <w:r w:rsidRPr="00254E23">
              <w:rPr>
                <w:rFonts w:ascii="Lucida Sans" w:hAnsi="Lucida Sans"/>
                <w:color w:val="000000"/>
                <w:sz w:val="20"/>
                <w:szCs w:val="20"/>
                <w:lang w:val="en"/>
              </w:rPr>
              <w:t>immunoadsorption</w:t>
            </w:r>
            <w:proofErr w:type="spellEnd"/>
            <w:r w:rsidRPr="00254E23">
              <w:rPr>
                <w:rFonts w:ascii="Lucida Sans" w:hAnsi="Lucida Sans"/>
                <w:color w:val="000000"/>
                <w:sz w:val="20"/>
                <w:szCs w:val="20"/>
                <w:lang w:val="en"/>
              </w:rPr>
              <w:t xml:space="preserve"> and rituximab’, </w:t>
            </w:r>
            <w:r w:rsidRPr="00254E23">
              <w:rPr>
                <w:rStyle w:val="Emphasis"/>
                <w:rFonts w:ascii="Lucida Sans" w:hAnsi="Lucida Sans"/>
                <w:color w:val="000000"/>
                <w:sz w:val="20"/>
                <w:szCs w:val="20"/>
                <w:lang w:val="en"/>
              </w:rPr>
              <w:t>American Journal of Transplantation</w:t>
            </w:r>
            <w:r w:rsidRPr="00254E23">
              <w:rPr>
                <w:rFonts w:ascii="Lucida Sans" w:hAnsi="Lucida Sans"/>
                <w:color w:val="000000"/>
                <w:sz w:val="20"/>
                <w:szCs w:val="20"/>
                <w:lang w:val="en"/>
              </w:rPr>
              <w:t>, vol. 5, no. 1, pp. 145–8.</w:t>
            </w:r>
          </w:p>
          <w:p w14:paraId="4A2BE02D" w14:textId="24953789" w:rsidR="00254E23" w:rsidRPr="00254E23" w:rsidRDefault="00254E23" w:rsidP="00254E23">
            <w:pPr>
              <w:pStyle w:val="NormalWeb"/>
              <w:spacing w:before="0" w:beforeAutospacing="0" w:after="0" w:afterAutospacing="0" w:line="360" w:lineRule="atLeast"/>
              <w:contextualSpacing/>
              <w:rPr>
                <w:rFonts w:ascii="Lucida Sans" w:hAnsi="Lucida Sans"/>
                <w:color w:val="000000"/>
                <w:sz w:val="20"/>
                <w:szCs w:val="20"/>
                <w:lang w:val="en"/>
              </w:rPr>
            </w:pPr>
            <w:r w:rsidRPr="00254E23">
              <w:rPr>
                <w:rFonts w:ascii="Lucida Sans" w:hAnsi="Lucida Sans"/>
                <w:color w:val="000000"/>
                <w:sz w:val="20"/>
                <w:szCs w:val="20"/>
                <w:lang w:val="en"/>
              </w:rPr>
              <w:t>UK National Kidney Federation 2002, ‘</w:t>
            </w:r>
            <w:r w:rsidRPr="00254E23">
              <w:rPr>
                <w:rStyle w:val="Emphasis"/>
                <w:rFonts w:ascii="Lucida Sans" w:hAnsi="Lucida Sans"/>
                <w:color w:val="000000"/>
                <w:sz w:val="20"/>
                <w:szCs w:val="20"/>
                <w:lang w:val="en"/>
              </w:rPr>
              <w:t>Transplant</w:t>
            </w:r>
            <w:r w:rsidRPr="00254E23">
              <w:rPr>
                <w:rFonts w:ascii="Lucida Sans" w:hAnsi="Lucida Sans"/>
                <w:color w:val="000000"/>
                <w:sz w:val="20"/>
                <w:szCs w:val="20"/>
                <w:lang w:val="en"/>
              </w:rPr>
              <w:t xml:space="preserve">’. Available from: </w:t>
            </w:r>
            <w:hyperlink r:id="rId12" w:anchor="rej " w:tooltip="Go to www.kidney.org.uk/Medical-Info/transplant.html#rej " w:history="1">
              <w:r w:rsidRPr="00254E23">
                <w:rPr>
                  <w:rStyle w:val="Hyperlink"/>
                  <w:rFonts w:ascii="Lucida Sans" w:eastAsia="HYGothic-Extra" w:hAnsi="Lucida Sans"/>
                  <w:sz w:val="20"/>
                  <w:szCs w:val="20"/>
                  <w:lang w:val="en"/>
                </w:rPr>
                <w:t xml:space="preserve">www.kidney.org.uk/Medical-Info/transplant.html#rej </w:t>
              </w:r>
            </w:hyperlink>
            <w:r w:rsidRPr="00254E23">
              <w:rPr>
                <w:rFonts w:ascii="Lucida Sans" w:hAnsi="Lucida Sans"/>
                <w:color w:val="000000"/>
                <w:sz w:val="20"/>
                <w:szCs w:val="20"/>
                <w:lang w:val="en"/>
              </w:rPr>
              <w:t>[cited 7 Dec 2007].</w:t>
            </w:r>
          </w:p>
          <w:p w14:paraId="6CB945E2" w14:textId="59E422C3" w:rsidR="00CB37BD" w:rsidRPr="00254E23" w:rsidRDefault="00CB37BD" w:rsidP="00254E23">
            <w:pPr>
              <w:contextualSpacing/>
              <w:rPr>
                <w:rFonts w:asciiTheme="minorHAnsi" w:hAnsiTheme="minorHAnsi"/>
              </w:rPr>
            </w:pPr>
          </w:p>
        </w:tc>
      </w:tr>
      <w:tr w:rsidR="00CB37BD" w:rsidRPr="00BF6734" w14:paraId="2F7762F6" w14:textId="77777777" w:rsidTr="006C116A">
        <w:tc>
          <w:tcPr>
            <w:tcW w:w="5000" w:type="pct"/>
            <w:gridSpan w:val="4"/>
            <w:shd w:val="clear" w:color="auto" w:fill="DBE5F1" w:themeFill="accent1" w:themeFillTint="33"/>
          </w:tcPr>
          <w:p w14:paraId="0E3F5A49" w14:textId="77777777" w:rsidR="00CB37BD" w:rsidRPr="00BF6734" w:rsidRDefault="00CB37BD" w:rsidP="00CB37BD">
            <w:pPr>
              <w:spacing w:before="120" w:after="120"/>
              <w:jc w:val="center"/>
              <w:rPr>
                <w:rFonts w:asciiTheme="minorHAnsi" w:hAnsiTheme="minorHAnsi"/>
                <w:b/>
              </w:rPr>
            </w:pPr>
            <w:r w:rsidRPr="00BF6734">
              <w:rPr>
                <w:rFonts w:asciiTheme="minorHAnsi" w:hAnsiTheme="minorHAnsi"/>
                <w:b/>
              </w:rPr>
              <w:lastRenderedPageBreak/>
              <w:t>END OF DOCUMENT</w:t>
            </w:r>
          </w:p>
        </w:tc>
      </w:tr>
    </w:tbl>
    <w:p w14:paraId="678F0087" w14:textId="77777777" w:rsidR="00B3726E" w:rsidRPr="00C25D3F" w:rsidRDefault="00B3726E" w:rsidP="00254E23">
      <w:pPr>
        <w:pStyle w:val="NormalWeb"/>
        <w:spacing w:line="360" w:lineRule="atLeast"/>
      </w:pPr>
    </w:p>
    <w:sectPr w:rsidR="00B3726E" w:rsidRPr="00C25D3F" w:rsidSect="00254E23">
      <w:footerReference w:type="default" r:id="rId13"/>
      <w:footerReference w:type="first" r:id="rId14"/>
      <w:pgSz w:w="16838" w:h="11906" w:orient="landscape" w:code="8"/>
      <w:pgMar w:top="1440" w:right="1440" w:bottom="113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F00DD" w14:textId="77777777" w:rsidR="00CB37BD" w:rsidRDefault="00CB37BD" w:rsidP="00856708">
      <w:pPr>
        <w:spacing w:after="0"/>
      </w:pPr>
      <w:r>
        <w:separator/>
      </w:r>
    </w:p>
  </w:endnote>
  <w:endnote w:type="continuationSeparator" w:id="0">
    <w:p w14:paraId="0B65BFA5" w14:textId="77777777" w:rsidR="00CB37BD" w:rsidRDefault="00CB37BD"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DIN-Medium">
    <w:altName w:val="Cambria"/>
    <w:panose1 w:val="00000000000000000000"/>
    <w:charset w:val="4D"/>
    <w:family w:val="swiss"/>
    <w:notTrueType/>
    <w:pitch w:val="default"/>
    <w:sig w:usb0="00000003" w:usb1="00000000" w:usb2="00000000" w:usb3="00000000" w:csb0="00000001" w:csb1="00000000"/>
  </w:font>
  <w:font w:name="DIN-Light">
    <w:altName w:val="Cambria"/>
    <w:panose1 w:val="00000000000000000000"/>
    <w:charset w:val="4D"/>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20402" w14:textId="692426DE" w:rsidR="00CB37BD" w:rsidRPr="00254E23" w:rsidRDefault="00254E23" w:rsidP="00254E23">
    <w:pPr>
      <w:pStyle w:val="Heading3"/>
      <w:rPr>
        <w:rFonts w:asciiTheme="minorHAnsi" w:hAnsiTheme="minorHAnsi"/>
        <w:color w:val="auto"/>
        <w:sz w:val="20"/>
        <w:szCs w:val="20"/>
      </w:rPr>
    </w:pPr>
    <w:r w:rsidRPr="00254E23">
      <w:rPr>
        <w:rFonts w:asciiTheme="minorHAnsi" w:hAnsiTheme="minorHAnsi"/>
        <w:color w:val="auto"/>
        <w:sz w:val="22"/>
        <w:szCs w:val="22"/>
      </w:rPr>
      <w:t>Specialist Working Group for Solid Organ Transplantation</w:t>
    </w:r>
    <w:r>
      <w:rPr>
        <w:rFonts w:asciiTheme="minorHAnsi" w:hAnsiTheme="minorHAnsi"/>
        <w:color w:val="auto"/>
        <w:sz w:val="22"/>
        <w:szCs w:val="22"/>
      </w:rPr>
      <w:t xml:space="preserve"> – Kidney transplantation</w:t>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sidR="00CB37BD" w:rsidRPr="00856708">
      <w:rPr>
        <w:sz w:val="20"/>
        <w:szCs w:val="20"/>
      </w:rPr>
      <w:tab/>
    </w:r>
    <w:r w:rsidR="00CB37BD" w:rsidRPr="00856708">
      <w:rPr>
        <w:sz w:val="20"/>
        <w:szCs w:val="20"/>
      </w:rPr>
      <w:tab/>
    </w:r>
    <w:r w:rsidR="00CB37BD" w:rsidRPr="00254E23">
      <w:rPr>
        <w:rFonts w:asciiTheme="minorHAnsi" w:hAnsiTheme="minorHAnsi"/>
        <w:color w:val="auto"/>
        <w:sz w:val="20"/>
        <w:szCs w:val="20"/>
      </w:rPr>
      <w:t xml:space="preserve">pg. </w:t>
    </w:r>
    <w:r w:rsidR="00CB37BD" w:rsidRPr="00254E23">
      <w:rPr>
        <w:rFonts w:asciiTheme="minorHAnsi" w:hAnsiTheme="minorHAnsi"/>
        <w:color w:val="auto"/>
        <w:sz w:val="20"/>
        <w:szCs w:val="20"/>
      </w:rPr>
      <w:fldChar w:fldCharType="begin"/>
    </w:r>
    <w:r w:rsidR="00CB37BD" w:rsidRPr="00254E23">
      <w:rPr>
        <w:rFonts w:asciiTheme="minorHAnsi" w:hAnsiTheme="minorHAnsi"/>
        <w:color w:val="auto"/>
        <w:sz w:val="20"/>
        <w:szCs w:val="20"/>
      </w:rPr>
      <w:instrText xml:space="preserve"> PAGE    \* MERGEFORMAT </w:instrText>
    </w:r>
    <w:r w:rsidR="00CB37BD" w:rsidRPr="00254E23">
      <w:rPr>
        <w:rFonts w:asciiTheme="minorHAnsi" w:hAnsiTheme="minorHAnsi"/>
        <w:color w:val="auto"/>
        <w:sz w:val="20"/>
        <w:szCs w:val="20"/>
      </w:rPr>
      <w:fldChar w:fldCharType="separate"/>
    </w:r>
    <w:r w:rsidR="00FC1BB3">
      <w:rPr>
        <w:rFonts w:asciiTheme="minorHAnsi" w:hAnsiTheme="minorHAnsi"/>
        <w:noProof/>
        <w:color w:val="auto"/>
        <w:sz w:val="20"/>
        <w:szCs w:val="20"/>
      </w:rPr>
      <w:t>1</w:t>
    </w:r>
    <w:r w:rsidR="00CB37BD" w:rsidRPr="00254E23">
      <w:rPr>
        <w:rFonts w:asciiTheme="minorHAnsi" w:hAnsiTheme="minorHAnsi"/>
        <w:color w:val="auto"/>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9534A" w14:textId="1EACC708" w:rsidR="00254E23" w:rsidRPr="00254E23" w:rsidRDefault="00254E23" w:rsidP="00254E23">
    <w:pPr>
      <w:pStyle w:val="Heading3"/>
      <w:rPr>
        <w:rFonts w:asciiTheme="minorHAnsi" w:hAnsiTheme="minorHAnsi"/>
        <w:color w:val="auto"/>
        <w:sz w:val="22"/>
        <w:szCs w:val="22"/>
      </w:rPr>
    </w:pPr>
    <w:r w:rsidRPr="00254E23">
      <w:rPr>
        <w:rFonts w:asciiTheme="minorHAnsi" w:hAnsiTheme="minorHAnsi"/>
        <w:color w:val="auto"/>
        <w:sz w:val="22"/>
        <w:szCs w:val="22"/>
      </w:rPr>
      <w:t>Specialist Working Group for Solid Organ Transplantation – Kidney transplantation</w:t>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t>pg1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41F98" w14:textId="77777777" w:rsidR="00CB37BD" w:rsidRDefault="00CB37BD" w:rsidP="00856708">
      <w:pPr>
        <w:spacing w:after="0"/>
      </w:pPr>
      <w:r>
        <w:separator/>
      </w:r>
    </w:p>
  </w:footnote>
  <w:footnote w:type="continuationSeparator" w:id="0">
    <w:p w14:paraId="64F6F2C2" w14:textId="77777777" w:rsidR="00CB37BD" w:rsidRDefault="00CB37BD" w:rsidP="0085670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A87F28"/>
    <w:multiLevelType w:val="hybridMultilevel"/>
    <w:tmpl w:val="6EBF54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DB7B68"/>
    <w:multiLevelType w:val="hybridMultilevel"/>
    <w:tmpl w:val="B68855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BC2D58"/>
    <w:multiLevelType w:val="hybridMultilevel"/>
    <w:tmpl w:val="B6886A4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A62D83"/>
    <w:multiLevelType w:val="hybridMultilevel"/>
    <w:tmpl w:val="AABC5B9E"/>
    <w:lvl w:ilvl="0" w:tplc="0409001B">
      <w:start w:val="1"/>
      <w:numFmt w:val="lowerRoman"/>
      <w:lvlText w:val="%1."/>
      <w:lvlJc w:val="righ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4">
    <w:nsid w:val="057570CC"/>
    <w:multiLevelType w:val="hybridMultilevel"/>
    <w:tmpl w:val="6117DE0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8F30699"/>
    <w:multiLevelType w:val="hybridMultilevel"/>
    <w:tmpl w:val="B3228F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B882520"/>
    <w:multiLevelType w:val="hybridMultilevel"/>
    <w:tmpl w:val="E5707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675DFF"/>
    <w:multiLevelType w:val="hybridMultilevel"/>
    <w:tmpl w:val="B1E89A04"/>
    <w:lvl w:ilvl="0" w:tplc="4A0C3AF0">
      <w:start w:val="1"/>
      <w:numFmt w:val="bullet"/>
      <w:lvlText w:val=""/>
      <w:lvlJc w:val="left"/>
      <w:pPr>
        <w:ind w:left="1080" w:hanging="360"/>
      </w:pPr>
      <w:rPr>
        <w:rFonts w:ascii="Symbol" w:hAnsi="Symbol" w:hint="default"/>
        <w:color w:val="auto"/>
      </w:rPr>
    </w:lvl>
    <w:lvl w:ilvl="1" w:tplc="0409001B">
      <w:start w:val="1"/>
      <w:numFmt w:val="lowerRoman"/>
      <w:lvlText w:val="%2."/>
      <w:lvlJc w:val="right"/>
      <w:pPr>
        <w:ind w:left="36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FF14E78"/>
    <w:multiLevelType w:val="hybridMultilevel"/>
    <w:tmpl w:val="5E9E4C58"/>
    <w:lvl w:ilvl="0" w:tplc="4A0C3AF0">
      <w:start w:val="1"/>
      <w:numFmt w:val="bullet"/>
      <w:lvlText w:val=""/>
      <w:lvlJc w:val="left"/>
      <w:pPr>
        <w:ind w:left="1080" w:hanging="360"/>
      </w:pPr>
      <w:rPr>
        <w:rFonts w:ascii="Symbol" w:hAnsi="Symbol" w:hint="default"/>
        <w:color w:val="auto"/>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00D6DFA"/>
    <w:multiLevelType w:val="hybridMultilevel"/>
    <w:tmpl w:val="CE8A3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963238D"/>
    <w:multiLevelType w:val="hybridMultilevel"/>
    <w:tmpl w:val="093EDD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DA486B"/>
    <w:multiLevelType w:val="hybridMultilevel"/>
    <w:tmpl w:val="5B067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BA17BB4"/>
    <w:multiLevelType w:val="hybridMultilevel"/>
    <w:tmpl w:val="094283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nsid w:val="33AE5825"/>
    <w:multiLevelType w:val="hybridMultilevel"/>
    <w:tmpl w:val="839EB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C55946"/>
    <w:multiLevelType w:val="hybridMultilevel"/>
    <w:tmpl w:val="EB467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0A1281A"/>
    <w:multiLevelType w:val="hybridMultilevel"/>
    <w:tmpl w:val="43BC0B3C"/>
    <w:lvl w:ilvl="0" w:tplc="0409001B">
      <w:start w:val="1"/>
      <w:numFmt w:val="lowerRoman"/>
      <w:lvlText w:val="%1."/>
      <w:lvlJc w:val="righ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42201414"/>
    <w:multiLevelType w:val="hybridMultilevel"/>
    <w:tmpl w:val="DA6AC316"/>
    <w:lvl w:ilvl="0" w:tplc="4A0C3AF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2B4BEE"/>
    <w:multiLevelType w:val="hybridMultilevel"/>
    <w:tmpl w:val="82AC8E0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75A1411"/>
    <w:multiLevelType w:val="multilevel"/>
    <w:tmpl w:val="09A455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69770E"/>
    <w:multiLevelType w:val="multilevel"/>
    <w:tmpl w:val="292E1B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9020E3"/>
    <w:multiLevelType w:val="hybridMultilevel"/>
    <w:tmpl w:val="EFA060E8"/>
    <w:lvl w:ilvl="0" w:tplc="0C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E7C358C"/>
    <w:multiLevelType w:val="multilevel"/>
    <w:tmpl w:val="D5AEF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BCE719"/>
    <w:multiLevelType w:val="hybridMultilevel"/>
    <w:tmpl w:val="3D5A05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15F709F"/>
    <w:multiLevelType w:val="hybridMultilevel"/>
    <w:tmpl w:val="AABC5B9E"/>
    <w:lvl w:ilvl="0" w:tplc="0409001B">
      <w:start w:val="1"/>
      <w:numFmt w:val="lowerRoman"/>
      <w:lvlText w:val="%1."/>
      <w:lvlJc w:val="righ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55A31392"/>
    <w:multiLevelType w:val="hybridMultilevel"/>
    <w:tmpl w:val="DE8E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D928ED"/>
    <w:multiLevelType w:val="multilevel"/>
    <w:tmpl w:val="9844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241BE8"/>
    <w:multiLevelType w:val="hybridMultilevel"/>
    <w:tmpl w:val="827A189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DEA27BF"/>
    <w:multiLevelType w:val="hybridMultilevel"/>
    <w:tmpl w:val="F43E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945CDE"/>
    <w:multiLevelType w:val="hybridMultilevel"/>
    <w:tmpl w:val="AF5AAFA8"/>
    <w:lvl w:ilvl="0" w:tplc="0409001B">
      <w:start w:val="1"/>
      <w:numFmt w:val="lowerRoman"/>
      <w:lvlText w:val="%1."/>
      <w:lvlJc w:val="right"/>
      <w:pPr>
        <w:ind w:left="1134" w:hanging="360"/>
      </w:p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32">
    <w:nsid w:val="651B0181"/>
    <w:multiLevelType w:val="hybridMultilevel"/>
    <w:tmpl w:val="C6B80E8C"/>
    <w:lvl w:ilvl="0" w:tplc="0409001B">
      <w:start w:val="1"/>
      <w:numFmt w:val="lowerRoman"/>
      <w:lvlText w:val="%1."/>
      <w:lvlJc w:val="right"/>
      <w:pPr>
        <w:ind w:left="720" w:hanging="360"/>
      </w:pPr>
      <w:rPr>
        <w:b w:val="0"/>
        <w:color w:val="auto"/>
      </w:rPr>
    </w:lvl>
    <w:lvl w:ilvl="1" w:tplc="F66652E2">
      <w:start w:val="1"/>
      <w:numFmt w:val="bullet"/>
      <w:lvlText w:val=""/>
      <w:lvlJc w:val="left"/>
      <w:pPr>
        <w:ind w:left="2880" w:hanging="360"/>
      </w:pPr>
      <w:rPr>
        <w:rFonts w:ascii="Symbol" w:hAnsi="Symbol" w:hint="default"/>
        <w:color w:val="auto"/>
      </w:rPr>
    </w:lvl>
    <w:lvl w:ilvl="2" w:tplc="692058FE">
      <w:start w:val="4"/>
      <w:numFmt w:val="bullet"/>
      <w:lvlText w:val="-"/>
      <w:lvlJc w:val="left"/>
      <w:pPr>
        <w:ind w:left="3780" w:hanging="360"/>
      </w:pPr>
      <w:rPr>
        <w:rFonts w:ascii="Calibri" w:eastAsia="Dotum" w:hAnsi="Calibri" w:cs="Calibri" w:hint="default"/>
      </w:r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3">
    <w:nsid w:val="67CD66B4"/>
    <w:multiLevelType w:val="hybridMultilevel"/>
    <w:tmpl w:val="AF5AAFA8"/>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4">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79E6CD1"/>
    <w:multiLevelType w:val="hybridMultilevel"/>
    <w:tmpl w:val="160134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A991C8B"/>
    <w:multiLevelType w:val="multilevel"/>
    <w:tmpl w:val="664AB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E5F5ACC"/>
    <w:multiLevelType w:val="hybridMultilevel"/>
    <w:tmpl w:val="F3A6CF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17"/>
  </w:num>
  <w:num w:numId="4">
    <w:abstractNumId w:val="34"/>
  </w:num>
  <w:num w:numId="5">
    <w:abstractNumId w:val="12"/>
  </w:num>
  <w:num w:numId="6">
    <w:abstractNumId w:val="2"/>
  </w:num>
  <w:num w:numId="7">
    <w:abstractNumId w:val="1"/>
  </w:num>
  <w:num w:numId="8">
    <w:abstractNumId w:val="4"/>
  </w:num>
  <w:num w:numId="9">
    <w:abstractNumId w:val="0"/>
  </w:num>
  <w:num w:numId="10">
    <w:abstractNumId w:val="35"/>
  </w:num>
  <w:num w:numId="11">
    <w:abstractNumId w:val="25"/>
  </w:num>
  <w:num w:numId="12">
    <w:abstractNumId w:val="16"/>
  </w:num>
  <w:num w:numId="13">
    <w:abstractNumId w:val="20"/>
  </w:num>
  <w:num w:numId="14">
    <w:abstractNumId w:val="15"/>
  </w:num>
  <w:num w:numId="15">
    <w:abstractNumId w:val="11"/>
  </w:num>
  <w:num w:numId="16">
    <w:abstractNumId w:val="6"/>
  </w:num>
  <w:num w:numId="17">
    <w:abstractNumId w:val="27"/>
  </w:num>
  <w:num w:numId="18">
    <w:abstractNumId w:val="29"/>
  </w:num>
  <w:num w:numId="19">
    <w:abstractNumId w:val="10"/>
  </w:num>
  <w:num w:numId="20">
    <w:abstractNumId w:val="37"/>
  </w:num>
  <w:num w:numId="21">
    <w:abstractNumId w:val="24"/>
  </w:num>
  <w:num w:numId="22">
    <w:abstractNumId w:val="36"/>
  </w:num>
  <w:num w:numId="23">
    <w:abstractNumId w:val="21"/>
  </w:num>
  <w:num w:numId="24">
    <w:abstractNumId w:val="22"/>
  </w:num>
  <w:num w:numId="25">
    <w:abstractNumId w:val="28"/>
  </w:num>
  <w:num w:numId="26">
    <w:abstractNumId w:val="8"/>
  </w:num>
  <w:num w:numId="27">
    <w:abstractNumId w:val="32"/>
  </w:num>
  <w:num w:numId="28">
    <w:abstractNumId w:val="7"/>
  </w:num>
  <w:num w:numId="29">
    <w:abstractNumId w:val="19"/>
  </w:num>
  <w:num w:numId="30">
    <w:abstractNumId w:val="23"/>
  </w:num>
  <w:num w:numId="31">
    <w:abstractNumId w:val="18"/>
  </w:num>
  <w:num w:numId="32">
    <w:abstractNumId w:val="33"/>
  </w:num>
  <w:num w:numId="33">
    <w:abstractNumId w:val="26"/>
  </w:num>
  <w:num w:numId="34">
    <w:abstractNumId w:val="9"/>
  </w:num>
  <w:num w:numId="35">
    <w:abstractNumId w:val="31"/>
  </w:num>
  <w:num w:numId="36">
    <w:abstractNumId w:val="3"/>
  </w:num>
  <w:num w:numId="37">
    <w:abstractNumId w:val="30"/>
  </w:num>
  <w:num w:numId="38">
    <w:abstractNumId w:val="5"/>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0F"/>
    <w:rsid w:val="00036EDC"/>
    <w:rsid w:val="000E0203"/>
    <w:rsid w:val="00165F48"/>
    <w:rsid w:val="0017270F"/>
    <w:rsid w:val="001849B2"/>
    <w:rsid w:val="001A2460"/>
    <w:rsid w:val="00214C2E"/>
    <w:rsid w:val="00226561"/>
    <w:rsid w:val="00240825"/>
    <w:rsid w:val="002537F2"/>
    <w:rsid w:val="00254E23"/>
    <w:rsid w:val="00275679"/>
    <w:rsid w:val="00276CEB"/>
    <w:rsid w:val="002936DD"/>
    <w:rsid w:val="00295CD3"/>
    <w:rsid w:val="00305725"/>
    <w:rsid w:val="00331F28"/>
    <w:rsid w:val="003D27F1"/>
    <w:rsid w:val="00460325"/>
    <w:rsid w:val="00463B0C"/>
    <w:rsid w:val="00471526"/>
    <w:rsid w:val="004D4636"/>
    <w:rsid w:val="004E746A"/>
    <w:rsid w:val="00531E6D"/>
    <w:rsid w:val="00540020"/>
    <w:rsid w:val="005A555C"/>
    <w:rsid w:val="005D2C3D"/>
    <w:rsid w:val="00603073"/>
    <w:rsid w:val="00644285"/>
    <w:rsid w:val="00657F36"/>
    <w:rsid w:val="00670D34"/>
    <w:rsid w:val="006A4A3F"/>
    <w:rsid w:val="006C116A"/>
    <w:rsid w:val="006C2C81"/>
    <w:rsid w:val="007B2100"/>
    <w:rsid w:val="007E60EC"/>
    <w:rsid w:val="00811659"/>
    <w:rsid w:val="00856708"/>
    <w:rsid w:val="00870295"/>
    <w:rsid w:val="00893E0A"/>
    <w:rsid w:val="00896161"/>
    <w:rsid w:val="008D3792"/>
    <w:rsid w:val="008F75B5"/>
    <w:rsid w:val="00927729"/>
    <w:rsid w:val="00951B85"/>
    <w:rsid w:val="0098330C"/>
    <w:rsid w:val="009B5144"/>
    <w:rsid w:val="009C4E37"/>
    <w:rsid w:val="009E38CC"/>
    <w:rsid w:val="00A019E6"/>
    <w:rsid w:val="00A243E4"/>
    <w:rsid w:val="00A74878"/>
    <w:rsid w:val="00AA7314"/>
    <w:rsid w:val="00AD7BB8"/>
    <w:rsid w:val="00B07D68"/>
    <w:rsid w:val="00B3726E"/>
    <w:rsid w:val="00BA00AB"/>
    <w:rsid w:val="00BC4BD7"/>
    <w:rsid w:val="00C21A3C"/>
    <w:rsid w:val="00C25D3F"/>
    <w:rsid w:val="00C34D27"/>
    <w:rsid w:val="00C55665"/>
    <w:rsid w:val="00C60CCA"/>
    <w:rsid w:val="00C7758D"/>
    <w:rsid w:val="00C93D2D"/>
    <w:rsid w:val="00CB37BD"/>
    <w:rsid w:val="00CD5856"/>
    <w:rsid w:val="00CE379E"/>
    <w:rsid w:val="00CF3B84"/>
    <w:rsid w:val="00D24193"/>
    <w:rsid w:val="00D603D7"/>
    <w:rsid w:val="00DB1925"/>
    <w:rsid w:val="00DD166F"/>
    <w:rsid w:val="00E97CAE"/>
    <w:rsid w:val="00EB02B2"/>
    <w:rsid w:val="00EB78FB"/>
    <w:rsid w:val="00EC5CFF"/>
    <w:rsid w:val="00ED79DF"/>
    <w:rsid w:val="00F41482"/>
    <w:rsid w:val="00F8241F"/>
    <w:rsid w:val="00FC1BB3"/>
    <w:rsid w:val="00FD567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F40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B07D68"/>
    <w:pPr>
      <w:spacing w:after="225"/>
    </w:pPr>
    <w:rPr>
      <w:rFonts w:ascii="Times New Roman" w:eastAsia="Times New Roman" w:hAnsi="Times New Roman" w:cs="Times New Roman"/>
      <w:b/>
      <w:bCs/>
      <w:color w:val="000000"/>
      <w:sz w:val="21"/>
      <w:szCs w:val="21"/>
      <w:lang w:eastAsia="en-AU"/>
    </w:rPr>
  </w:style>
  <w:style w:type="character" w:styleId="Hyperlink">
    <w:name w:val="Hyperlink"/>
    <w:basedOn w:val="DefaultParagraphFont"/>
    <w:uiPriority w:val="99"/>
    <w:semiHidden/>
    <w:unhideWhenUsed/>
    <w:rsid w:val="00B07D68"/>
    <w:rPr>
      <w:color w:val="00335E"/>
      <w:u w:val="single"/>
    </w:rPr>
  </w:style>
  <w:style w:type="character" w:customStyle="1" w:styleId="reference">
    <w:name w:val="reference"/>
    <w:basedOn w:val="DefaultParagraphFont"/>
    <w:rsid w:val="00B07D68"/>
  </w:style>
  <w:style w:type="character" w:styleId="Strong">
    <w:name w:val="Strong"/>
    <w:basedOn w:val="DefaultParagraphFont"/>
    <w:uiPriority w:val="22"/>
    <w:qFormat/>
    <w:rsid w:val="00B07D68"/>
    <w:rPr>
      <w:b/>
      <w:bCs/>
    </w:rPr>
  </w:style>
  <w:style w:type="paragraph" w:styleId="NormalWeb">
    <w:name w:val="Normal (Web)"/>
    <w:basedOn w:val="Normal"/>
    <w:uiPriority w:val="99"/>
    <w:unhideWhenUsed/>
    <w:rsid w:val="00B07D68"/>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heading">
    <w:name w:val="heading"/>
    <w:basedOn w:val="Normal"/>
    <w:rsid w:val="00B07D68"/>
    <w:pPr>
      <w:spacing w:before="100" w:beforeAutospacing="1" w:after="100" w:afterAutospacing="1"/>
    </w:pPr>
    <w:rPr>
      <w:rFonts w:ascii="Times New Roman" w:eastAsia="Times New Roman" w:hAnsi="Times New Roman" w:cs="Times New Roman"/>
      <w:b/>
      <w:bCs/>
      <w:color w:val="000000"/>
      <w:sz w:val="21"/>
      <w:szCs w:val="21"/>
      <w:lang w:eastAsia="en-AU"/>
    </w:rPr>
  </w:style>
  <w:style w:type="character" w:styleId="Emphasis">
    <w:name w:val="Emphasis"/>
    <w:basedOn w:val="DefaultParagraphFont"/>
    <w:uiPriority w:val="20"/>
    <w:qFormat/>
    <w:rsid w:val="00B07D68"/>
    <w:rPr>
      <w:i/>
      <w:iCs/>
    </w:rPr>
  </w:style>
  <w:style w:type="character" w:styleId="CommentReference">
    <w:name w:val="annotation reference"/>
    <w:basedOn w:val="DefaultParagraphFont"/>
    <w:uiPriority w:val="99"/>
    <w:semiHidden/>
    <w:unhideWhenUsed/>
    <w:rsid w:val="00A7487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B07D68"/>
    <w:pPr>
      <w:spacing w:after="225"/>
    </w:pPr>
    <w:rPr>
      <w:rFonts w:ascii="Times New Roman" w:eastAsia="Times New Roman" w:hAnsi="Times New Roman" w:cs="Times New Roman"/>
      <w:b/>
      <w:bCs/>
      <w:color w:val="000000"/>
      <w:sz w:val="21"/>
      <w:szCs w:val="21"/>
      <w:lang w:eastAsia="en-AU"/>
    </w:rPr>
  </w:style>
  <w:style w:type="character" w:styleId="Hyperlink">
    <w:name w:val="Hyperlink"/>
    <w:basedOn w:val="DefaultParagraphFont"/>
    <w:uiPriority w:val="99"/>
    <w:semiHidden/>
    <w:unhideWhenUsed/>
    <w:rsid w:val="00B07D68"/>
    <w:rPr>
      <w:color w:val="00335E"/>
      <w:u w:val="single"/>
    </w:rPr>
  </w:style>
  <w:style w:type="character" w:customStyle="1" w:styleId="reference">
    <w:name w:val="reference"/>
    <w:basedOn w:val="DefaultParagraphFont"/>
    <w:rsid w:val="00B07D68"/>
  </w:style>
  <w:style w:type="character" w:styleId="Strong">
    <w:name w:val="Strong"/>
    <w:basedOn w:val="DefaultParagraphFont"/>
    <w:uiPriority w:val="22"/>
    <w:qFormat/>
    <w:rsid w:val="00B07D68"/>
    <w:rPr>
      <w:b/>
      <w:bCs/>
    </w:rPr>
  </w:style>
  <w:style w:type="paragraph" w:styleId="NormalWeb">
    <w:name w:val="Normal (Web)"/>
    <w:basedOn w:val="Normal"/>
    <w:uiPriority w:val="99"/>
    <w:unhideWhenUsed/>
    <w:rsid w:val="00B07D68"/>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heading">
    <w:name w:val="heading"/>
    <w:basedOn w:val="Normal"/>
    <w:rsid w:val="00B07D68"/>
    <w:pPr>
      <w:spacing w:before="100" w:beforeAutospacing="1" w:after="100" w:afterAutospacing="1"/>
    </w:pPr>
    <w:rPr>
      <w:rFonts w:ascii="Times New Roman" w:eastAsia="Times New Roman" w:hAnsi="Times New Roman" w:cs="Times New Roman"/>
      <w:b/>
      <w:bCs/>
      <w:color w:val="000000"/>
      <w:sz w:val="21"/>
      <w:szCs w:val="21"/>
      <w:lang w:eastAsia="en-AU"/>
    </w:rPr>
  </w:style>
  <w:style w:type="character" w:styleId="Emphasis">
    <w:name w:val="Emphasis"/>
    <w:basedOn w:val="DefaultParagraphFont"/>
    <w:uiPriority w:val="20"/>
    <w:qFormat/>
    <w:rsid w:val="00B07D68"/>
    <w:rPr>
      <w:i/>
      <w:iCs/>
    </w:rPr>
  </w:style>
  <w:style w:type="character" w:styleId="CommentReference">
    <w:name w:val="annotation reference"/>
    <w:basedOn w:val="DefaultParagraphFont"/>
    <w:uiPriority w:val="99"/>
    <w:semiHidden/>
    <w:unhideWhenUsed/>
    <w:rsid w:val="00A748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732786">
      <w:bodyDiv w:val="1"/>
      <w:marLeft w:val="0"/>
      <w:marRight w:val="0"/>
      <w:marTop w:val="0"/>
      <w:marBottom w:val="0"/>
      <w:divBdr>
        <w:top w:val="none" w:sz="0" w:space="0" w:color="auto"/>
        <w:left w:val="none" w:sz="0" w:space="0" w:color="auto"/>
        <w:bottom w:val="none" w:sz="0" w:space="0" w:color="auto"/>
        <w:right w:val="none" w:sz="0" w:space="0" w:color="auto"/>
      </w:divBdr>
      <w:divsChild>
        <w:div w:id="1074624238">
          <w:marLeft w:val="0"/>
          <w:marRight w:val="0"/>
          <w:marTop w:val="0"/>
          <w:marBottom w:val="0"/>
          <w:divBdr>
            <w:top w:val="none" w:sz="0" w:space="0" w:color="auto"/>
            <w:left w:val="none" w:sz="0" w:space="0" w:color="auto"/>
            <w:bottom w:val="none" w:sz="0" w:space="0" w:color="auto"/>
            <w:right w:val="none" w:sz="0" w:space="0" w:color="auto"/>
          </w:divBdr>
          <w:divsChild>
            <w:div w:id="1317295512">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idney.org.uk/Medical-Info/transplan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a.gov.au/pubs/pdf/report-lit-rev.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lood.gov.au/pubs/ivig/development-and-maintenance-of-the-criteria.html" TargetMode="External"/><Relationship Id="rId4" Type="http://schemas.microsoft.com/office/2007/relationships/stylesWithEffects" Target="stylesWithEffects.xml"/><Relationship Id="rId9" Type="http://schemas.openxmlformats.org/officeDocument/2006/relationships/hyperlink" Target="http://www.blood.gov.au/pubs/ivig/development-and-maintenance-of-the-criteria.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C17E4-34FE-4235-9B15-1111AAE05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2664</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Petra</cp:lastModifiedBy>
  <cp:revision>3</cp:revision>
  <dcterms:created xsi:type="dcterms:W3CDTF">2015-11-15T23:29:00Z</dcterms:created>
  <dcterms:modified xsi:type="dcterms:W3CDTF">2015-11-16T01:07:00Z</dcterms:modified>
</cp:coreProperties>
</file>